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A635" w14:textId="1891629F" w:rsidR="00186A9E" w:rsidRPr="00201A9A" w:rsidRDefault="009C4ADF" w:rsidP="009C4ADF">
      <w:pPr>
        <w:pStyle w:val="Pagedecouverture"/>
        <w:rPr>
          <w:noProof/>
        </w:rPr>
      </w:pPr>
      <w:r>
        <w:rPr>
          <w:noProof/>
        </w:rPr>
        <w:pict w14:anchorId="7FBAF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8132E6F-0753-4A95-8C91-3ACE3C7D22BB" style="width:455.25pt;height:396.75pt">
            <v:imagedata r:id="rId11" o:title=""/>
          </v:shape>
        </w:pict>
      </w:r>
    </w:p>
    <w:p w14:paraId="7BF61FE8" w14:textId="77777777" w:rsidR="00186A9E" w:rsidRPr="00201A9A" w:rsidRDefault="00186A9E" w:rsidP="00186A9E">
      <w:pPr>
        <w:rPr>
          <w:noProof/>
        </w:rPr>
        <w:sectPr w:rsidR="00186A9E" w:rsidRPr="00201A9A" w:rsidSect="009C4ADF">
          <w:footerReference w:type="even" r:id="rId12"/>
          <w:footerReference w:type="default" r:id="rId13"/>
          <w:pgSz w:w="11907" w:h="16839"/>
          <w:pgMar w:top="1134" w:right="1417" w:bottom="1134" w:left="1417" w:header="709" w:footer="709" w:gutter="0"/>
          <w:pgNumType w:start="0"/>
          <w:cols w:space="720"/>
          <w:docGrid w:linePitch="360"/>
        </w:sectPr>
      </w:pPr>
    </w:p>
    <w:p w14:paraId="2C3313A0" w14:textId="77777777" w:rsidR="00794A16" w:rsidRPr="00201A9A" w:rsidRDefault="00794A16" w:rsidP="00794A16">
      <w:pPr>
        <w:pStyle w:val="Exposdesmotifstitre"/>
        <w:rPr>
          <w:noProof/>
        </w:rPr>
      </w:pPr>
      <w:bookmarkStart w:id="0" w:name="_GoBack"/>
      <w:bookmarkEnd w:id="0"/>
      <w:r w:rsidRPr="00201A9A">
        <w:rPr>
          <w:noProof/>
        </w:rPr>
        <w:lastRenderedPageBreak/>
        <w:t>UZASADNIENIE</w:t>
      </w:r>
    </w:p>
    <w:p w14:paraId="3E849CD8" w14:textId="77777777" w:rsidR="00794A16" w:rsidRPr="00201A9A" w:rsidRDefault="00794A16" w:rsidP="00794A16">
      <w:pPr>
        <w:pStyle w:val="ManualHeading1"/>
        <w:rPr>
          <w:noProof/>
        </w:rPr>
      </w:pPr>
      <w:r w:rsidRPr="00201A9A">
        <w:rPr>
          <w:noProof/>
        </w:rPr>
        <w:t>1.</w:t>
      </w:r>
      <w:r w:rsidRPr="00201A9A">
        <w:rPr>
          <w:noProof/>
        </w:rPr>
        <w:tab/>
        <w:t>KONTEKST WNIOSKU</w:t>
      </w:r>
    </w:p>
    <w:p w14:paraId="0081DB65" w14:textId="3A0CE4A4" w:rsidR="00794A16" w:rsidRPr="00201A9A" w:rsidRDefault="00794A16" w:rsidP="00794A16">
      <w:pPr>
        <w:pStyle w:val="ManualHeading2"/>
        <w:rPr>
          <w:rFonts w:eastAsia="Arial Unicode MS"/>
          <w:noProof/>
        </w:rPr>
      </w:pPr>
      <w:r w:rsidRPr="00201A9A">
        <w:rPr>
          <w:noProof/>
          <w:color w:val="000000"/>
          <w:u w:color="000000"/>
          <w:bdr w:val="nil"/>
        </w:rPr>
        <w:t>•</w:t>
      </w:r>
      <w:r w:rsidRPr="00201A9A">
        <w:rPr>
          <w:noProof/>
        </w:rPr>
        <w:tab/>
        <w:t>Przyczyny</w:t>
      </w:r>
      <w:r w:rsidR="00201A9A" w:rsidRPr="00201A9A">
        <w:rPr>
          <w:noProof/>
        </w:rPr>
        <w:t xml:space="preserve"> i cel</w:t>
      </w:r>
      <w:r w:rsidRPr="00201A9A">
        <w:rPr>
          <w:noProof/>
        </w:rPr>
        <w:t>e wniosku</w:t>
      </w:r>
    </w:p>
    <w:p w14:paraId="10CA6BC4" w14:textId="6C3A4D05" w:rsidR="00794A16" w:rsidRPr="00201A9A" w:rsidRDefault="00F32512" w:rsidP="00794A16">
      <w:pPr>
        <w:rPr>
          <w:noProof/>
        </w:rPr>
      </w:pPr>
      <w:r w:rsidRPr="00201A9A">
        <w:rPr>
          <w:noProof/>
        </w:rPr>
        <w:t>W ostatnich latach fundusze UE opierające się na zasadzie wstępnego przydziału środków na poziomie krajowym przyczyniały się</w:t>
      </w:r>
      <w:r w:rsidR="00201A9A" w:rsidRPr="00201A9A">
        <w:rPr>
          <w:noProof/>
        </w:rPr>
        <w:t xml:space="preserve"> w spo</w:t>
      </w:r>
      <w:r w:rsidRPr="00201A9A">
        <w:rPr>
          <w:noProof/>
        </w:rPr>
        <w:t>sób fundamentalny do realizacji kluczowych celów UE</w:t>
      </w:r>
      <w:r w:rsidR="00201A9A" w:rsidRPr="00201A9A">
        <w:rPr>
          <w:noProof/>
        </w:rPr>
        <w:t xml:space="preserve"> i wsp</w:t>
      </w:r>
      <w:r w:rsidRPr="00201A9A">
        <w:rPr>
          <w:noProof/>
        </w:rPr>
        <w:t>ólnej polityki UE – od spójności gospodarczej, terytorialnej</w:t>
      </w:r>
      <w:r w:rsidR="00201A9A" w:rsidRPr="00201A9A">
        <w:rPr>
          <w:noProof/>
        </w:rPr>
        <w:t xml:space="preserve"> i spo</w:t>
      </w:r>
      <w:r w:rsidRPr="00201A9A">
        <w:rPr>
          <w:noProof/>
        </w:rPr>
        <w:t>łecznej po zapewnienie odpowiedniego poziomu życia ludności wiejskiej, dostęp do przystępnej cenowo żywności, wsparcie wspólnej polityki rybołówstwa czy budowanie przestrzeni wolności, bezpieczeństwa</w:t>
      </w:r>
      <w:r w:rsidR="00201A9A" w:rsidRPr="00201A9A">
        <w:rPr>
          <w:noProof/>
        </w:rPr>
        <w:t xml:space="preserve"> i spr</w:t>
      </w:r>
      <w:r w:rsidRPr="00201A9A">
        <w:rPr>
          <w:noProof/>
        </w:rPr>
        <w:t>awiedliwości. Obecnie istnieje szereg funduszy,</w:t>
      </w:r>
      <w:r w:rsidR="00201A9A" w:rsidRPr="00201A9A">
        <w:rPr>
          <w:noProof/>
        </w:rPr>
        <w:t xml:space="preserve"> w ram</w:t>
      </w:r>
      <w:r w:rsidRPr="00201A9A">
        <w:rPr>
          <w:noProof/>
        </w:rPr>
        <w:t xml:space="preserve">ach których przeważającą część środków wstępnie przydziela się państwom członkowskim. Jednak poważne wyzwania, przed którymi stoi nasza Unia, wymagają refleksji nad tym, jak poprawić strukturę tych funduszy, aby jak najlepiej zrealizować nasze wspólne priorytety. </w:t>
      </w:r>
    </w:p>
    <w:p w14:paraId="4094E8EA" w14:textId="307C4990" w:rsidR="00794A16" w:rsidRPr="00201A9A" w:rsidRDefault="00794A16" w:rsidP="00794A16">
      <w:pPr>
        <w:pBdr>
          <w:top w:val="nil"/>
          <w:left w:val="nil"/>
          <w:bottom w:val="nil"/>
          <w:right w:val="nil"/>
          <w:between w:val="nil"/>
          <w:bar w:val="nil"/>
        </w:pBdr>
        <w:spacing w:before="0" w:after="240"/>
        <w:rPr>
          <w:noProof/>
        </w:rPr>
      </w:pPr>
      <w:r w:rsidRPr="00201A9A">
        <w:rPr>
          <w:noProof/>
        </w:rPr>
        <w:t>Chociaż znacznie zmniejszono dysproporcje regionalne</w:t>
      </w:r>
      <w:r w:rsidR="00201A9A" w:rsidRPr="00201A9A">
        <w:rPr>
          <w:noProof/>
        </w:rPr>
        <w:t xml:space="preserve"> i ter</w:t>
      </w:r>
      <w:r w:rsidRPr="00201A9A">
        <w:rPr>
          <w:noProof/>
        </w:rPr>
        <w:t>ytorialne, m.in. dzięki polityce spójności UE, 29</w:t>
      </w:r>
      <w:r w:rsidR="00201A9A" w:rsidRPr="00201A9A">
        <w:rPr>
          <w:noProof/>
        </w:rPr>
        <w:t> </w:t>
      </w:r>
      <w:r w:rsidRPr="00201A9A">
        <w:rPr>
          <w:noProof/>
        </w:rPr>
        <w:t>% obywateli Unii nadal żyje</w:t>
      </w:r>
      <w:r w:rsidR="00201A9A" w:rsidRPr="00201A9A">
        <w:rPr>
          <w:noProof/>
        </w:rPr>
        <w:t xml:space="preserve"> w reg</w:t>
      </w:r>
      <w:r w:rsidRPr="00201A9A">
        <w:rPr>
          <w:noProof/>
        </w:rPr>
        <w:t>ionach,</w:t>
      </w:r>
      <w:r w:rsidR="00201A9A" w:rsidRPr="00201A9A">
        <w:rPr>
          <w:noProof/>
        </w:rPr>
        <w:t xml:space="preserve"> w któ</w:t>
      </w:r>
      <w:r w:rsidRPr="00201A9A">
        <w:rPr>
          <w:noProof/>
        </w:rPr>
        <w:t>rych PKB na mieszkańca wynosi poniżej 75</w:t>
      </w:r>
      <w:r w:rsidR="00201A9A" w:rsidRPr="00201A9A">
        <w:rPr>
          <w:noProof/>
        </w:rPr>
        <w:t> </w:t>
      </w:r>
      <w:r w:rsidRPr="00201A9A">
        <w:rPr>
          <w:noProof/>
        </w:rPr>
        <w:t>% średniej UE,</w:t>
      </w:r>
      <w:r w:rsidR="00201A9A" w:rsidRPr="00201A9A">
        <w:rPr>
          <w:noProof/>
        </w:rPr>
        <w:t xml:space="preserve"> a oko</w:t>
      </w:r>
      <w:r w:rsidRPr="00201A9A">
        <w:rPr>
          <w:noProof/>
        </w:rPr>
        <w:t>ło 135 mln osób mieszka</w:t>
      </w:r>
      <w:r w:rsidR="00201A9A" w:rsidRPr="00201A9A">
        <w:rPr>
          <w:noProof/>
        </w:rPr>
        <w:t xml:space="preserve"> w mie</w:t>
      </w:r>
      <w:r w:rsidRPr="00201A9A">
        <w:rPr>
          <w:noProof/>
        </w:rPr>
        <w:t>jscach, które</w:t>
      </w:r>
      <w:r w:rsidR="00201A9A" w:rsidRPr="00201A9A">
        <w:rPr>
          <w:noProof/>
        </w:rPr>
        <w:t xml:space="preserve"> w cią</w:t>
      </w:r>
      <w:r w:rsidRPr="00201A9A">
        <w:rPr>
          <w:noProof/>
        </w:rPr>
        <w:t>gu ostatnich dwóch dekad powoli zaczęły pozostawać</w:t>
      </w:r>
      <w:r w:rsidR="00201A9A" w:rsidRPr="00201A9A">
        <w:rPr>
          <w:noProof/>
        </w:rPr>
        <w:t xml:space="preserve"> w tyl</w:t>
      </w:r>
      <w:r w:rsidRPr="00201A9A">
        <w:rPr>
          <w:noProof/>
        </w:rPr>
        <w:t>e. Aktualne rozbieżne trajektorie wzrostu mogą pogłębić różnice społeczno-gospodarcze między państwami członkowskimi,</w:t>
      </w:r>
      <w:r w:rsidR="00201A9A" w:rsidRPr="00201A9A">
        <w:rPr>
          <w:noProof/>
        </w:rPr>
        <w:t xml:space="preserve"> a tak</w:t>
      </w:r>
      <w:r w:rsidRPr="00201A9A">
        <w:rPr>
          <w:noProof/>
        </w:rPr>
        <w:t>że wewnątrz poszczególnych państw, zwłaszcza między obszarami wiejskimi</w:t>
      </w:r>
      <w:r w:rsidR="00201A9A" w:rsidRPr="00201A9A">
        <w:rPr>
          <w:noProof/>
        </w:rPr>
        <w:t xml:space="preserve"> i mie</w:t>
      </w:r>
      <w:r w:rsidRPr="00201A9A">
        <w:rPr>
          <w:noProof/>
        </w:rPr>
        <w:t>jskimi.</w:t>
      </w:r>
      <w:r w:rsidRPr="00201A9A">
        <w:rPr>
          <w:noProof/>
          <w:color w:val="751D20"/>
          <w:u w:val="single"/>
          <w:shd w:val="clear" w:color="auto" w:fill="F1BBBD"/>
        </w:rPr>
        <w:t xml:space="preserve"> </w:t>
      </w:r>
    </w:p>
    <w:p w14:paraId="2BB82C84" w14:textId="39C720ED" w:rsidR="00794A16" w:rsidRPr="00201A9A" w:rsidRDefault="00794A16" w:rsidP="00794A16">
      <w:pPr>
        <w:rPr>
          <w:noProof/>
        </w:rPr>
      </w:pPr>
      <w:r w:rsidRPr="00201A9A">
        <w:rPr>
          <w:noProof/>
        </w:rPr>
        <w:t>Jednocześnie bezpieczeństwo żywnościowe</w:t>
      </w:r>
      <w:r w:rsidR="00201A9A" w:rsidRPr="00201A9A">
        <w:rPr>
          <w:noProof/>
        </w:rPr>
        <w:t xml:space="preserve"> i och</w:t>
      </w:r>
      <w:r w:rsidRPr="00201A9A">
        <w:rPr>
          <w:noProof/>
        </w:rPr>
        <w:t>rona przyrody pozwalają utrzymać jakość życia</w:t>
      </w:r>
      <w:r w:rsidR="00201A9A" w:rsidRPr="00201A9A">
        <w:rPr>
          <w:noProof/>
        </w:rPr>
        <w:t xml:space="preserve"> w Eur</w:t>
      </w:r>
      <w:r w:rsidRPr="00201A9A">
        <w:rPr>
          <w:noProof/>
        </w:rPr>
        <w:t>opie dzięki wspólnej polityce rolnej (WPR), która jest</w:t>
      </w:r>
      <w:r w:rsidR="00201A9A" w:rsidRPr="00201A9A">
        <w:rPr>
          <w:noProof/>
        </w:rPr>
        <w:t xml:space="preserve"> w sta</w:t>
      </w:r>
      <w:r w:rsidRPr="00201A9A">
        <w:rPr>
          <w:noProof/>
        </w:rPr>
        <w:t>nie zagwarantować 450 mln Europejczykom dostęp do bezpiecznych,</w:t>
      </w:r>
      <w:r w:rsidR="00201A9A" w:rsidRPr="00201A9A">
        <w:rPr>
          <w:noProof/>
        </w:rPr>
        <w:t xml:space="preserve"> i zró</w:t>
      </w:r>
      <w:r w:rsidRPr="00201A9A">
        <w:rPr>
          <w:noProof/>
        </w:rPr>
        <w:t>żnicowanych produktów spożywczych wysokiej jakości po przystępnych cenach, przyczyniając się jednocześnie do ochrony dynamicznych obszarów wiejskich oraz do poczynienia znacznych postępów</w:t>
      </w:r>
      <w:r w:rsidR="00201A9A" w:rsidRPr="00201A9A">
        <w:rPr>
          <w:noProof/>
        </w:rPr>
        <w:t xml:space="preserve"> w zak</w:t>
      </w:r>
      <w:r w:rsidRPr="00201A9A">
        <w:rPr>
          <w:noProof/>
        </w:rPr>
        <w:t>resie zrównoważonego rozwoju. Długoterminowe zagrożenia dla bezpieczeństwa żywnościowego oraz skutki zmiany klimatu</w:t>
      </w:r>
      <w:r w:rsidR="00201A9A" w:rsidRPr="00201A9A">
        <w:rPr>
          <w:noProof/>
        </w:rPr>
        <w:t xml:space="preserve"> i deg</w:t>
      </w:r>
      <w:r w:rsidRPr="00201A9A">
        <w:rPr>
          <w:noProof/>
        </w:rPr>
        <w:t>radacji środowiska wywierają jednak coraz większą presję na sektor rolny. Ponadto nieuczciwa konkurencja międzynarodowa, wyższe ceny energii, brak młodych rolników</w:t>
      </w:r>
      <w:r w:rsidR="00201A9A" w:rsidRPr="00201A9A">
        <w:rPr>
          <w:noProof/>
        </w:rPr>
        <w:t xml:space="preserve"> i ryb</w:t>
      </w:r>
      <w:r w:rsidRPr="00201A9A">
        <w:rPr>
          <w:noProof/>
        </w:rPr>
        <w:t>aków oraz trudności</w:t>
      </w:r>
      <w:r w:rsidR="00201A9A" w:rsidRPr="00201A9A">
        <w:rPr>
          <w:noProof/>
        </w:rPr>
        <w:t xml:space="preserve"> w dos</w:t>
      </w:r>
      <w:r w:rsidRPr="00201A9A">
        <w:rPr>
          <w:noProof/>
        </w:rPr>
        <w:t>tępie do kapitału to coraz częstsze problemy dotykające rolników, rybaków</w:t>
      </w:r>
      <w:r w:rsidR="00201A9A" w:rsidRPr="00201A9A">
        <w:rPr>
          <w:noProof/>
        </w:rPr>
        <w:t xml:space="preserve"> i obs</w:t>
      </w:r>
      <w:r w:rsidRPr="00201A9A">
        <w:rPr>
          <w:noProof/>
        </w:rPr>
        <w:t>zary przybrzeżne. Na przykład pomimo znacznego wsparcia</w:t>
      </w:r>
      <w:r w:rsidR="00201A9A" w:rsidRPr="00201A9A">
        <w:rPr>
          <w:noProof/>
        </w:rPr>
        <w:t xml:space="preserve"> w ram</w:t>
      </w:r>
      <w:r w:rsidRPr="00201A9A">
        <w:rPr>
          <w:noProof/>
        </w:rPr>
        <w:t>ach wspólnej polityki rolnej dochód</w:t>
      </w:r>
      <w:r w:rsidR="00201A9A" w:rsidRPr="00201A9A">
        <w:rPr>
          <w:noProof/>
        </w:rPr>
        <w:t xml:space="preserve"> z dzi</w:t>
      </w:r>
      <w:r w:rsidRPr="00201A9A">
        <w:rPr>
          <w:noProof/>
        </w:rPr>
        <w:t>ałalności rolniczej na pracownika pozostaje niestabilny</w:t>
      </w:r>
      <w:r w:rsidR="00201A9A" w:rsidRPr="00201A9A">
        <w:rPr>
          <w:noProof/>
        </w:rPr>
        <w:t xml:space="preserve"> i zna</w:t>
      </w:r>
      <w:r w:rsidRPr="00201A9A">
        <w:rPr>
          <w:noProof/>
        </w:rPr>
        <w:t>cznie niższy od średniego wynagrodzenia</w:t>
      </w:r>
      <w:r w:rsidR="00201A9A" w:rsidRPr="00201A9A">
        <w:rPr>
          <w:noProof/>
        </w:rPr>
        <w:t xml:space="preserve"> w gos</w:t>
      </w:r>
      <w:r w:rsidRPr="00201A9A">
        <w:rPr>
          <w:noProof/>
        </w:rPr>
        <w:t>podarce UE (60</w:t>
      </w:r>
      <w:r w:rsidR="00201A9A" w:rsidRPr="00201A9A">
        <w:rPr>
          <w:noProof/>
        </w:rPr>
        <w:t> </w:t>
      </w:r>
      <w:r w:rsidRPr="00201A9A">
        <w:rPr>
          <w:noProof/>
        </w:rPr>
        <w:t>%</w:t>
      </w:r>
      <w:r w:rsidR="00201A9A" w:rsidRPr="00201A9A">
        <w:rPr>
          <w:noProof/>
        </w:rPr>
        <w:t xml:space="preserve"> w 2</w:t>
      </w:r>
      <w:r w:rsidRPr="00201A9A">
        <w:rPr>
          <w:noProof/>
        </w:rPr>
        <w:t>023</w:t>
      </w:r>
      <w:r w:rsidR="00201A9A" w:rsidRPr="00201A9A">
        <w:rPr>
          <w:noProof/>
        </w:rPr>
        <w:t> </w:t>
      </w:r>
      <w:r w:rsidRPr="00201A9A">
        <w:rPr>
          <w:noProof/>
        </w:rPr>
        <w:t xml:space="preserve">r.). </w:t>
      </w:r>
    </w:p>
    <w:p w14:paraId="53909B78" w14:textId="504B0BDD" w:rsidR="00794A16" w:rsidRPr="00201A9A" w:rsidRDefault="00794A16" w:rsidP="00794A16">
      <w:pPr>
        <w:rPr>
          <w:noProof/>
        </w:rPr>
      </w:pPr>
      <w:r w:rsidRPr="00201A9A">
        <w:rPr>
          <w:noProof/>
        </w:rPr>
        <w:t>Wojna, brak bezpieczeństwa, ubóstwo</w:t>
      </w:r>
      <w:r w:rsidR="00201A9A" w:rsidRPr="00201A9A">
        <w:rPr>
          <w:noProof/>
        </w:rPr>
        <w:t xml:space="preserve"> i bra</w:t>
      </w:r>
      <w:r w:rsidRPr="00201A9A">
        <w:rPr>
          <w:noProof/>
        </w:rPr>
        <w:t>k możliwości zwiększyły przepływy migracyjne,</w:t>
      </w:r>
      <w:r w:rsidR="00201A9A" w:rsidRPr="00201A9A">
        <w:rPr>
          <w:noProof/>
        </w:rPr>
        <w:t xml:space="preserve"> a wyk</w:t>
      </w:r>
      <w:r w:rsidRPr="00201A9A">
        <w:rPr>
          <w:noProof/>
        </w:rPr>
        <w:t>orzystywanie migracji jako broni na granicach UE unaoczniło nowe formy zagrożeń. Jednocześnie globalny krajobraz polityczny</w:t>
      </w:r>
      <w:r w:rsidR="00201A9A" w:rsidRPr="00201A9A">
        <w:rPr>
          <w:noProof/>
        </w:rPr>
        <w:t xml:space="preserve"> i gos</w:t>
      </w:r>
      <w:r w:rsidRPr="00201A9A">
        <w:rPr>
          <w:noProof/>
        </w:rPr>
        <w:t>podarczy stwarza wyzwania</w:t>
      </w:r>
      <w:r w:rsidR="00201A9A" w:rsidRPr="00201A9A">
        <w:rPr>
          <w:noProof/>
        </w:rPr>
        <w:t xml:space="preserve"> o bez</w:t>
      </w:r>
      <w:r w:rsidRPr="00201A9A">
        <w:rPr>
          <w:noProof/>
        </w:rPr>
        <w:t>precedensowej skali,</w:t>
      </w:r>
      <w:r w:rsidR="00201A9A" w:rsidRPr="00201A9A">
        <w:rPr>
          <w:noProof/>
        </w:rPr>
        <w:t xml:space="preserve"> a zar</w:t>
      </w:r>
      <w:r w:rsidRPr="00201A9A">
        <w:rPr>
          <w:noProof/>
        </w:rPr>
        <w:t>ówno na kontynencie europejskim, jak</w:t>
      </w:r>
      <w:r w:rsidR="00201A9A" w:rsidRPr="00201A9A">
        <w:rPr>
          <w:noProof/>
        </w:rPr>
        <w:t xml:space="preserve"> i w jeg</w:t>
      </w:r>
      <w:r w:rsidRPr="00201A9A">
        <w:rPr>
          <w:noProof/>
        </w:rPr>
        <w:t xml:space="preserve">o sąsiedztwie, wciąż toczą się wojny. </w:t>
      </w:r>
    </w:p>
    <w:p w14:paraId="6DA92A6D" w14:textId="7DCDF5FF" w:rsidR="00794A16" w:rsidRPr="00201A9A" w:rsidRDefault="00794A16" w:rsidP="00794A16">
      <w:pPr>
        <w:rPr>
          <w:noProof/>
        </w:rPr>
      </w:pPr>
      <w:r w:rsidRPr="00201A9A">
        <w:rPr>
          <w:noProof/>
        </w:rPr>
        <w:t>Chociaż jest to zaledwie kilka</w:t>
      </w:r>
      <w:r w:rsidR="00201A9A" w:rsidRPr="00201A9A">
        <w:rPr>
          <w:noProof/>
        </w:rPr>
        <w:t xml:space="preserve"> z wie</w:t>
      </w:r>
      <w:r w:rsidRPr="00201A9A">
        <w:rPr>
          <w:noProof/>
        </w:rPr>
        <w:t>lu wyzwań stojących przed Unią, wskazują one na potrzebę poprawy struktury wsparcia UE, aby jak najlepiej realizować nasze wspólne priorytety</w:t>
      </w:r>
      <w:r w:rsidR="00201A9A" w:rsidRPr="00201A9A">
        <w:rPr>
          <w:noProof/>
        </w:rPr>
        <w:t xml:space="preserve"> i wsp</w:t>
      </w:r>
      <w:r w:rsidRPr="00201A9A">
        <w:rPr>
          <w:noProof/>
        </w:rPr>
        <w:t>ólną politykę oraz zapewnić, aby budżet UE nadal odgrywał kluczową rolę we wspieraniu sprawiedliwego</w:t>
      </w:r>
      <w:r w:rsidR="00201A9A" w:rsidRPr="00201A9A">
        <w:rPr>
          <w:noProof/>
        </w:rPr>
        <w:t xml:space="preserve"> i spr</w:t>
      </w:r>
      <w:r w:rsidRPr="00201A9A">
        <w:rPr>
          <w:noProof/>
        </w:rPr>
        <w:t>zyjającego włączeniu społecznemu wzrostu gospodarczego, trwałej konwergencji gospodarczej, sprawiedliwości międzypokoleniowej</w:t>
      </w:r>
      <w:r w:rsidR="00201A9A" w:rsidRPr="00201A9A">
        <w:rPr>
          <w:noProof/>
        </w:rPr>
        <w:t xml:space="preserve"> i bez</w:t>
      </w:r>
      <w:r w:rsidRPr="00201A9A">
        <w:rPr>
          <w:noProof/>
        </w:rPr>
        <w:t>pieczeństwa</w:t>
      </w:r>
      <w:r w:rsidR="00201A9A" w:rsidRPr="00201A9A">
        <w:rPr>
          <w:noProof/>
        </w:rPr>
        <w:t>. W zwi</w:t>
      </w:r>
      <w:r w:rsidRPr="00201A9A">
        <w:rPr>
          <w:noProof/>
        </w:rPr>
        <w:t>ązku</w:t>
      </w:r>
      <w:r w:rsidR="00201A9A" w:rsidRPr="00201A9A">
        <w:rPr>
          <w:noProof/>
        </w:rPr>
        <w:t xml:space="preserve"> z tym w wyt</w:t>
      </w:r>
      <w:r w:rsidRPr="00201A9A">
        <w:rPr>
          <w:noProof/>
        </w:rPr>
        <w:t>ycznych politycznych Komisji na lata 2024–2029 wzywa się do wzmocnienia oraz unowocześnienia polityki spójności</w:t>
      </w:r>
      <w:r w:rsidR="00201A9A" w:rsidRPr="00201A9A">
        <w:rPr>
          <w:noProof/>
        </w:rPr>
        <w:t xml:space="preserve"> i wzr</w:t>
      </w:r>
      <w:r w:rsidRPr="00201A9A">
        <w:rPr>
          <w:noProof/>
        </w:rPr>
        <w:t>ostu gospodarczego celem zmniejszenie dysproporcji gospodarczych, społecznych</w:t>
      </w:r>
      <w:r w:rsidR="00201A9A" w:rsidRPr="00201A9A">
        <w:rPr>
          <w:noProof/>
        </w:rPr>
        <w:t xml:space="preserve"> i ter</w:t>
      </w:r>
      <w:r w:rsidRPr="00201A9A">
        <w:rPr>
          <w:noProof/>
        </w:rPr>
        <w:t>ytorialnych, wspieranie zatrudnienia</w:t>
      </w:r>
      <w:r w:rsidR="00201A9A" w:rsidRPr="00201A9A">
        <w:rPr>
          <w:noProof/>
        </w:rPr>
        <w:t xml:space="preserve"> i wzm</w:t>
      </w:r>
      <w:r w:rsidRPr="00201A9A">
        <w:rPr>
          <w:noProof/>
        </w:rPr>
        <w:t>acnianie konkurencyjności Unii</w:t>
      </w:r>
      <w:r w:rsidR="00201A9A" w:rsidRPr="00201A9A">
        <w:rPr>
          <w:noProof/>
        </w:rPr>
        <w:t>. W prz</w:t>
      </w:r>
      <w:r w:rsidRPr="00201A9A">
        <w:rPr>
          <w:noProof/>
        </w:rPr>
        <w:t>eglądzie śródokresowym polityki spójności przyjęto już elastyczne rozwiązania oraz zaoferowano zachęty do kierowania inwestycji na pojawiające się wyzwania, przy jednoczesnym utrzymaniu głównego nacisku na zmniejszanie dysproporcji regionalnych. Wezwano również do zapewnienia, by sektor gospodarki rybnej pozostał zrównoważony, konkurencyjny</w:t>
      </w:r>
      <w:r w:rsidR="00201A9A" w:rsidRPr="00201A9A">
        <w:rPr>
          <w:noProof/>
        </w:rPr>
        <w:t xml:space="preserve"> i odp</w:t>
      </w:r>
      <w:r w:rsidRPr="00201A9A">
        <w:rPr>
          <w:noProof/>
        </w:rPr>
        <w:t>orny,</w:t>
      </w:r>
      <w:r w:rsidR="00201A9A" w:rsidRPr="00201A9A">
        <w:rPr>
          <w:noProof/>
        </w:rPr>
        <w:t xml:space="preserve"> a tak</w:t>
      </w:r>
      <w:r w:rsidRPr="00201A9A">
        <w:rPr>
          <w:noProof/>
        </w:rPr>
        <w:t>że do utrzymania równych warunków działania dla europejskiego łańcucha rybołówstwa. Zobowiązano się do tego, by Europejski pakt na rzecz wszechoceanu skupiał się na pobudzeniu niebieskiej gospodarki oraz zapewnieniu dobrego zarządzania naszymi oceanami</w:t>
      </w:r>
      <w:r w:rsidR="00201A9A" w:rsidRPr="00201A9A">
        <w:rPr>
          <w:noProof/>
        </w:rPr>
        <w:t xml:space="preserve"> i ich</w:t>
      </w:r>
      <w:r w:rsidRPr="00201A9A">
        <w:rPr>
          <w:noProof/>
        </w:rPr>
        <w:t xml:space="preserve"> zrównoważonego rozwoju we wszystkich aspektach. Zaapelowano również</w:t>
      </w:r>
      <w:r w:rsidR="00201A9A" w:rsidRPr="00201A9A">
        <w:rPr>
          <w:noProof/>
        </w:rPr>
        <w:t xml:space="preserve"> o bar</w:t>
      </w:r>
      <w:r w:rsidRPr="00201A9A">
        <w:rPr>
          <w:noProof/>
        </w:rPr>
        <w:t>dziej ukierunkowaną wspólną politykę rolną, która osiąga odpowiednią równowagę między zachętami, inwestycjami</w:t>
      </w:r>
      <w:r w:rsidR="00201A9A" w:rsidRPr="00201A9A">
        <w:rPr>
          <w:noProof/>
        </w:rPr>
        <w:t xml:space="preserve"> i reg</w:t>
      </w:r>
      <w:r w:rsidRPr="00201A9A">
        <w:rPr>
          <w:noProof/>
        </w:rPr>
        <w:t>ulacjami oraz zapewnia rolnikom sprawiedliwe</w:t>
      </w:r>
      <w:r w:rsidR="00201A9A" w:rsidRPr="00201A9A">
        <w:rPr>
          <w:noProof/>
        </w:rPr>
        <w:t xml:space="preserve"> i wys</w:t>
      </w:r>
      <w:r w:rsidRPr="00201A9A">
        <w:rPr>
          <w:noProof/>
        </w:rPr>
        <w:t>tarczające dochody</w:t>
      </w:r>
      <w:r w:rsidR="00201A9A" w:rsidRPr="00201A9A">
        <w:rPr>
          <w:noProof/>
        </w:rPr>
        <w:t>. W sze</w:t>
      </w:r>
      <w:r w:rsidRPr="00201A9A">
        <w:rPr>
          <w:noProof/>
        </w:rPr>
        <w:t>rszym ujęciu zobowiązano się również do wspierania środków mających na celu wzmocnienie obrony</w:t>
      </w:r>
      <w:r w:rsidR="00201A9A" w:rsidRPr="00201A9A">
        <w:rPr>
          <w:noProof/>
        </w:rPr>
        <w:t xml:space="preserve"> i bez</w:t>
      </w:r>
      <w:r w:rsidRPr="00201A9A">
        <w:rPr>
          <w:noProof/>
        </w:rPr>
        <w:t>pieczeństwa Europy oraz poradzenie sobie</w:t>
      </w:r>
      <w:r w:rsidR="00201A9A" w:rsidRPr="00201A9A">
        <w:rPr>
          <w:noProof/>
        </w:rPr>
        <w:t xml:space="preserve"> z mig</w:t>
      </w:r>
      <w:r w:rsidRPr="00201A9A">
        <w:rPr>
          <w:noProof/>
        </w:rPr>
        <w:t>racją,</w:t>
      </w:r>
      <w:r w:rsidR="00201A9A" w:rsidRPr="00201A9A">
        <w:rPr>
          <w:noProof/>
        </w:rPr>
        <w:t xml:space="preserve"> w tym</w:t>
      </w:r>
      <w:r w:rsidRPr="00201A9A">
        <w:rPr>
          <w:noProof/>
        </w:rPr>
        <w:t xml:space="preserve"> skuteczną ochronę granic zewnętrznych UE,</w:t>
      </w:r>
      <w:r w:rsidR="00201A9A" w:rsidRPr="00201A9A">
        <w:rPr>
          <w:noProof/>
        </w:rPr>
        <w:t xml:space="preserve"> a tak</w:t>
      </w:r>
      <w:r w:rsidRPr="00201A9A">
        <w:rPr>
          <w:noProof/>
        </w:rPr>
        <w:t>że zwiększenie gotowości na skutki zmiany klimatu lub przeciwdziałanie im. Przy różnych okazjach szefowie państw UE wzywali do zwiększenia odporności rolnictwa UE</w:t>
      </w:r>
      <w:r w:rsidR="00201A9A" w:rsidRPr="00201A9A">
        <w:rPr>
          <w:noProof/>
        </w:rPr>
        <w:t xml:space="preserve"> w cel</w:t>
      </w:r>
      <w:r w:rsidRPr="00201A9A">
        <w:rPr>
          <w:noProof/>
        </w:rPr>
        <w:t>u utrzymania bezpieczeństwa żywnościowego</w:t>
      </w:r>
      <w:r w:rsidR="00201A9A" w:rsidRPr="00201A9A">
        <w:rPr>
          <w:noProof/>
        </w:rPr>
        <w:t xml:space="preserve"> w per</w:t>
      </w:r>
      <w:r w:rsidRPr="00201A9A">
        <w:rPr>
          <w:noProof/>
        </w:rPr>
        <w:t>spektywie długoterminowej, wartości dynamicznych społeczności wiejskich oraz zasadniczej roli WPR</w:t>
      </w:r>
      <w:r w:rsidR="00201A9A" w:rsidRPr="00201A9A">
        <w:rPr>
          <w:noProof/>
        </w:rPr>
        <w:t xml:space="preserve"> w tym</w:t>
      </w:r>
      <w:r w:rsidRPr="00201A9A">
        <w:rPr>
          <w:noProof/>
        </w:rPr>
        <w:t xml:space="preserve"> zakresie. Ponadto zaapelowali</w:t>
      </w:r>
      <w:r w:rsidR="00201A9A" w:rsidRPr="00201A9A">
        <w:rPr>
          <w:noProof/>
        </w:rPr>
        <w:t xml:space="preserve"> o zap</w:t>
      </w:r>
      <w:r w:rsidRPr="00201A9A">
        <w:rPr>
          <w:noProof/>
        </w:rPr>
        <w:t>ewnienie stabilnych</w:t>
      </w:r>
      <w:r w:rsidR="00201A9A" w:rsidRPr="00201A9A">
        <w:rPr>
          <w:noProof/>
        </w:rPr>
        <w:t xml:space="preserve"> i prz</w:t>
      </w:r>
      <w:r w:rsidRPr="00201A9A">
        <w:rPr>
          <w:noProof/>
        </w:rPr>
        <w:t>ewidywalnych ram polityki,</w:t>
      </w:r>
      <w:r w:rsidR="00201A9A" w:rsidRPr="00201A9A">
        <w:rPr>
          <w:noProof/>
        </w:rPr>
        <w:t xml:space="preserve"> w tym o wsp</w:t>
      </w:r>
      <w:r w:rsidRPr="00201A9A">
        <w:rPr>
          <w:noProof/>
        </w:rPr>
        <w:t>arcie rolników</w:t>
      </w:r>
      <w:r w:rsidR="00201A9A" w:rsidRPr="00201A9A">
        <w:rPr>
          <w:noProof/>
        </w:rPr>
        <w:t xml:space="preserve"> w sta</w:t>
      </w:r>
      <w:r w:rsidRPr="00201A9A">
        <w:rPr>
          <w:noProof/>
        </w:rPr>
        <w:t>wianiu czoła wyzwaniom środowiskowym</w:t>
      </w:r>
      <w:r w:rsidR="00201A9A" w:rsidRPr="00201A9A">
        <w:rPr>
          <w:noProof/>
        </w:rPr>
        <w:t xml:space="preserve"> i kli</w:t>
      </w:r>
      <w:r w:rsidRPr="00201A9A">
        <w:rPr>
          <w:noProof/>
        </w:rPr>
        <w:t xml:space="preserve">matycznym. </w:t>
      </w:r>
    </w:p>
    <w:p w14:paraId="0DCD7DA7" w14:textId="5E4D6ACC" w:rsidR="00794A16" w:rsidRPr="00201A9A" w:rsidRDefault="00794A16" w:rsidP="00794A16">
      <w:pPr>
        <w:rPr>
          <w:noProof/>
        </w:rPr>
      </w:pPr>
      <w:r w:rsidRPr="00201A9A">
        <w:rPr>
          <w:noProof/>
        </w:rPr>
        <w:t>W komunikacie Komisji</w:t>
      </w:r>
      <w:r w:rsidR="00201A9A" w:rsidRPr="00201A9A">
        <w:rPr>
          <w:noProof/>
        </w:rPr>
        <w:t xml:space="preserve"> z dni</w:t>
      </w:r>
      <w:r w:rsidRPr="00201A9A">
        <w:rPr>
          <w:noProof/>
        </w:rPr>
        <w:t>a 19 lutego 2025</w:t>
      </w:r>
      <w:r w:rsidR="00201A9A" w:rsidRPr="00201A9A">
        <w:rPr>
          <w:noProof/>
        </w:rPr>
        <w:t> </w:t>
      </w:r>
      <w:r w:rsidRPr="00201A9A">
        <w:rPr>
          <w:noProof/>
        </w:rPr>
        <w:t>r. zatytułowanym „Wizja dla rolnictwa</w:t>
      </w:r>
      <w:r w:rsidR="00201A9A" w:rsidRPr="00201A9A">
        <w:rPr>
          <w:noProof/>
        </w:rPr>
        <w:t xml:space="preserve"> i żyw</w:t>
      </w:r>
      <w:r w:rsidRPr="00201A9A">
        <w:rPr>
          <w:noProof/>
        </w:rPr>
        <w:t>ności”</w:t>
      </w:r>
      <w:r w:rsidRPr="00201A9A">
        <w:rPr>
          <w:noProof/>
          <w:vertAlign w:val="superscript"/>
        </w:rPr>
        <w:t>6</w:t>
      </w:r>
      <w:r w:rsidRPr="00201A9A">
        <w:rPr>
          <w:noProof/>
        </w:rPr>
        <w:t xml:space="preserve"> określono ogólne zasady WPR po</w:t>
      </w:r>
      <w:r w:rsidR="00201A9A" w:rsidRPr="00201A9A">
        <w:rPr>
          <w:noProof/>
        </w:rPr>
        <w:t> </w:t>
      </w:r>
      <w:r w:rsidRPr="00201A9A">
        <w:rPr>
          <w:noProof/>
        </w:rPr>
        <w:t>2027</w:t>
      </w:r>
      <w:r w:rsidR="00201A9A" w:rsidRPr="00201A9A">
        <w:rPr>
          <w:noProof/>
        </w:rPr>
        <w:t> </w:t>
      </w:r>
      <w:r w:rsidRPr="00201A9A">
        <w:rPr>
          <w:noProof/>
        </w:rPr>
        <w:t>r. Zasady te obejmują WPR bazującą na celach</w:t>
      </w:r>
      <w:r w:rsidR="00201A9A" w:rsidRPr="00201A9A">
        <w:rPr>
          <w:noProof/>
        </w:rPr>
        <w:t xml:space="preserve"> i uki</w:t>
      </w:r>
      <w:r w:rsidRPr="00201A9A">
        <w:rPr>
          <w:noProof/>
        </w:rPr>
        <w:t>erunkowanych wymogach, większą odpowiedzialność państw członkowskich za realizację celów polityki WPR</w:t>
      </w:r>
      <w:r w:rsidR="00201A9A" w:rsidRPr="00201A9A">
        <w:rPr>
          <w:noProof/>
        </w:rPr>
        <w:t xml:space="preserve"> i ich</w:t>
      </w:r>
      <w:r w:rsidRPr="00201A9A">
        <w:rPr>
          <w:noProof/>
        </w:rPr>
        <w:t xml:space="preserve"> rozliczalność</w:t>
      </w:r>
      <w:r w:rsidR="00201A9A" w:rsidRPr="00201A9A">
        <w:rPr>
          <w:noProof/>
        </w:rPr>
        <w:t xml:space="preserve"> w tym</w:t>
      </w:r>
      <w:r w:rsidRPr="00201A9A">
        <w:rPr>
          <w:noProof/>
        </w:rPr>
        <w:t xml:space="preserve"> zakresie, zasadniczą rolę WPR we wspieraniu</w:t>
      </w:r>
      <w:r w:rsidR="00201A9A" w:rsidRPr="00201A9A">
        <w:rPr>
          <w:noProof/>
        </w:rPr>
        <w:t xml:space="preserve"> i sta</w:t>
      </w:r>
      <w:r w:rsidRPr="00201A9A">
        <w:rPr>
          <w:noProof/>
        </w:rPr>
        <w:t>bilizowaniu dochodów rolników oraz</w:t>
      </w:r>
      <w:r w:rsidR="00201A9A" w:rsidRPr="00201A9A">
        <w:rPr>
          <w:noProof/>
        </w:rPr>
        <w:t xml:space="preserve"> w bud</w:t>
      </w:r>
      <w:r w:rsidRPr="00201A9A">
        <w:rPr>
          <w:noProof/>
        </w:rPr>
        <w:t>owaniu przyszłego pokolenia rolników, prostszą</w:t>
      </w:r>
      <w:r w:rsidR="00201A9A" w:rsidRPr="00201A9A">
        <w:rPr>
          <w:noProof/>
        </w:rPr>
        <w:t xml:space="preserve"> i bar</w:t>
      </w:r>
      <w:r w:rsidRPr="00201A9A">
        <w:rPr>
          <w:noProof/>
        </w:rPr>
        <w:t>dziej ukierunkowaną politykę</w:t>
      </w:r>
      <w:r w:rsidR="00201A9A" w:rsidRPr="00201A9A">
        <w:rPr>
          <w:noProof/>
        </w:rPr>
        <w:t xml:space="preserve"> z wyr</w:t>
      </w:r>
      <w:r w:rsidRPr="00201A9A">
        <w:rPr>
          <w:noProof/>
        </w:rPr>
        <w:t>aźniejszą równowagą między zachętami</w:t>
      </w:r>
      <w:r w:rsidR="00201A9A" w:rsidRPr="00201A9A">
        <w:rPr>
          <w:noProof/>
        </w:rPr>
        <w:t xml:space="preserve"> a obo</w:t>
      </w:r>
      <w:r w:rsidRPr="00201A9A">
        <w:rPr>
          <w:noProof/>
        </w:rPr>
        <w:t xml:space="preserve">wiązkowymi wymogami, większą elastyczność dla rolników oraz przejście od warunków do zachęt. </w:t>
      </w:r>
    </w:p>
    <w:p w14:paraId="1F5A326E" w14:textId="305185FF" w:rsidR="00794A16" w:rsidRPr="00201A9A" w:rsidRDefault="00794A16" w:rsidP="00794A16">
      <w:pPr>
        <w:rPr>
          <w:noProof/>
        </w:rPr>
      </w:pPr>
      <w:r w:rsidRPr="00201A9A">
        <w:rPr>
          <w:noProof/>
        </w:rPr>
        <w:t>W szerszym ujęciu wieloletnie ramy finansowe na lata 2028–2034 stanowią okazję do opracowania budżetu bardziej ukierunkowanego na politykę, prostszego, skuteczniejszego</w:t>
      </w:r>
      <w:r w:rsidR="00201A9A" w:rsidRPr="00201A9A">
        <w:rPr>
          <w:noProof/>
        </w:rPr>
        <w:t xml:space="preserve"> i lep</w:t>
      </w:r>
      <w:r w:rsidRPr="00201A9A">
        <w:rPr>
          <w:noProof/>
        </w:rPr>
        <w:t>iej dostosowanego do potrzeb, który pomoże państwom członkowskim</w:t>
      </w:r>
      <w:r w:rsidR="00201A9A" w:rsidRPr="00201A9A">
        <w:rPr>
          <w:noProof/>
        </w:rPr>
        <w:t xml:space="preserve"> i ich</w:t>
      </w:r>
      <w:r w:rsidRPr="00201A9A">
        <w:rPr>
          <w:noProof/>
        </w:rPr>
        <w:t xml:space="preserve"> regionom</w:t>
      </w:r>
      <w:r w:rsidR="00201A9A" w:rsidRPr="00201A9A">
        <w:rPr>
          <w:noProof/>
        </w:rPr>
        <w:t xml:space="preserve"> w rea</w:t>
      </w:r>
      <w:r w:rsidRPr="00201A9A">
        <w:rPr>
          <w:noProof/>
        </w:rPr>
        <w:t>lizacji priorytetów</w:t>
      </w:r>
      <w:r w:rsidR="00201A9A" w:rsidRPr="00201A9A">
        <w:rPr>
          <w:noProof/>
        </w:rPr>
        <w:t xml:space="preserve"> i wyz</w:t>
      </w:r>
      <w:r w:rsidRPr="00201A9A">
        <w:rPr>
          <w:noProof/>
        </w:rPr>
        <w:t>wań</w:t>
      </w:r>
      <w:r w:rsidR="00201A9A" w:rsidRPr="00201A9A">
        <w:rPr>
          <w:noProof/>
        </w:rPr>
        <w:t xml:space="preserve"> w naj</w:t>
      </w:r>
      <w:r w:rsidRPr="00201A9A">
        <w:rPr>
          <w:noProof/>
        </w:rPr>
        <w:t>bardziej efektywny, sprzyjający włączeniu społecznemu</w:t>
      </w:r>
      <w:r w:rsidR="00201A9A" w:rsidRPr="00201A9A">
        <w:rPr>
          <w:noProof/>
        </w:rPr>
        <w:t xml:space="preserve"> i wyd</w:t>
      </w:r>
      <w:r w:rsidRPr="00201A9A">
        <w:rPr>
          <w:noProof/>
        </w:rPr>
        <w:t>ajny sposób,</w:t>
      </w:r>
      <w:r w:rsidR="00201A9A" w:rsidRPr="00201A9A">
        <w:rPr>
          <w:noProof/>
        </w:rPr>
        <w:t xml:space="preserve"> z wyk</w:t>
      </w:r>
      <w:r w:rsidRPr="00201A9A">
        <w:rPr>
          <w:noProof/>
        </w:rPr>
        <w:t>orzystaniem wszystkich doświadczeń zdobytych podczas realizacji obecnych programów</w:t>
      </w:r>
      <w:r w:rsidR="00201A9A" w:rsidRPr="00201A9A">
        <w:rPr>
          <w:noProof/>
        </w:rPr>
        <w:t>. W kom</w:t>
      </w:r>
      <w:r w:rsidRPr="00201A9A">
        <w:rPr>
          <w:noProof/>
        </w:rPr>
        <w:t>unikacie Komisji pt. „Droga ku następnym wieloletnim ramom finansowym” opublikowanym 11 lutego 2025</w:t>
      </w:r>
      <w:r w:rsidR="00201A9A" w:rsidRPr="00201A9A">
        <w:rPr>
          <w:noProof/>
        </w:rPr>
        <w:t> </w:t>
      </w:r>
      <w:r w:rsidRPr="00201A9A">
        <w:rPr>
          <w:noProof/>
        </w:rPr>
        <w:t>r. podkreślono</w:t>
      </w:r>
      <w:r w:rsidR="00201A9A" w:rsidRPr="00201A9A">
        <w:rPr>
          <w:noProof/>
        </w:rPr>
        <w:t xml:space="preserve"> w zwi</w:t>
      </w:r>
      <w:r w:rsidRPr="00201A9A">
        <w:rPr>
          <w:noProof/>
        </w:rPr>
        <w:t>ązku</w:t>
      </w:r>
      <w:r w:rsidR="00201A9A" w:rsidRPr="00201A9A">
        <w:rPr>
          <w:noProof/>
        </w:rPr>
        <w:t xml:space="preserve"> z tym</w:t>
      </w:r>
      <w:r w:rsidRPr="00201A9A">
        <w:rPr>
          <w:noProof/>
        </w:rPr>
        <w:t xml:space="preserve"> potrzebę zaradzenia „dotychczasowej złożoności, słabości</w:t>
      </w:r>
      <w:r w:rsidR="00201A9A" w:rsidRPr="00201A9A">
        <w:rPr>
          <w:noProof/>
        </w:rPr>
        <w:t xml:space="preserve"> i szt</w:t>
      </w:r>
      <w:r w:rsidRPr="00201A9A">
        <w:rPr>
          <w:noProof/>
        </w:rPr>
        <w:t>ywności oraz zmaksymalizowania wpływu każdego wydawanego euro”, przy jednoczesnym zagwarantowaniu zdolności budżetu do reagowania na zmieniającą się rzeczywistość.</w:t>
      </w:r>
      <w:r w:rsidRPr="00201A9A">
        <w:rPr>
          <w:i/>
          <w:noProof/>
        </w:rPr>
        <w:t xml:space="preserve"> </w:t>
      </w:r>
    </w:p>
    <w:p w14:paraId="624D79BB" w14:textId="4A6CB81D" w:rsidR="00794A16" w:rsidRPr="00201A9A" w:rsidRDefault="00794A16" w:rsidP="00794A16">
      <w:pPr>
        <w:rPr>
          <w:noProof/>
        </w:rPr>
      </w:pPr>
      <w:r w:rsidRPr="00201A9A">
        <w:rPr>
          <w:noProof/>
        </w:rPr>
        <w:t>Niniejszy wniosek dotyczący rozporządzenia ma stanowić odpowiedź na te rozmaite wyzwania poprzez:</w:t>
      </w:r>
      <w:r w:rsidR="00201A9A" w:rsidRPr="00201A9A">
        <w:rPr>
          <w:noProof/>
        </w:rPr>
        <w:t xml:space="preserve"> </w:t>
      </w:r>
    </w:p>
    <w:p w14:paraId="5143D79F" w14:textId="2F60F790" w:rsidR="00794A16" w:rsidRPr="00201A9A" w:rsidRDefault="00794A16" w:rsidP="003E2902">
      <w:pPr>
        <w:pStyle w:val="Bullet0"/>
        <w:numPr>
          <w:ilvl w:val="0"/>
          <w:numId w:val="130"/>
        </w:numPr>
        <w:rPr>
          <w:noProof/>
        </w:rPr>
      </w:pPr>
      <w:r w:rsidRPr="00201A9A">
        <w:rPr>
          <w:b/>
          <w:noProof/>
        </w:rPr>
        <w:t>zapewnienie większej spójności</w:t>
      </w:r>
      <w:r w:rsidRPr="00201A9A">
        <w:rPr>
          <w:noProof/>
        </w:rPr>
        <w:t xml:space="preserve"> między priorytetami UE</w:t>
      </w:r>
      <w:r w:rsidR="00201A9A" w:rsidRPr="00201A9A">
        <w:rPr>
          <w:noProof/>
        </w:rPr>
        <w:t xml:space="preserve"> a dzi</w:t>
      </w:r>
      <w:r w:rsidRPr="00201A9A">
        <w:rPr>
          <w:noProof/>
        </w:rPr>
        <w:t>ałaniami krajowymi</w:t>
      </w:r>
      <w:r w:rsidR="00201A9A" w:rsidRPr="00201A9A">
        <w:rPr>
          <w:noProof/>
        </w:rPr>
        <w:t xml:space="preserve"> i reg</w:t>
      </w:r>
      <w:r w:rsidRPr="00201A9A">
        <w:rPr>
          <w:noProof/>
        </w:rPr>
        <w:t xml:space="preserve">ionalnymi; </w:t>
      </w:r>
    </w:p>
    <w:p w14:paraId="32B3BCB0" w14:textId="7B72B45B" w:rsidR="00794A16" w:rsidRPr="00201A9A" w:rsidRDefault="00794A16" w:rsidP="00794A16">
      <w:pPr>
        <w:pStyle w:val="Bullet0"/>
        <w:rPr>
          <w:noProof/>
        </w:rPr>
      </w:pPr>
      <w:r w:rsidRPr="00201A9A">
        <w:rPr>
          <w:b/>
          <w:noProof/>
        </w:rPr>
        <w:t>uproszczenie</w:t>
      </w:r>
      <w:r w:rsidR="00201A9A" w:rsidRPr="00201A9A">
        <w:rPr>
          <w:b/>
          <w:noProof/>
        </w:rPr>
        <w:t xml:space="preserve"> i lep</w:t>
      </w:r>
      <w:r w:rsidRPr="00201A9A">
        <w:rPr>
          <w:b/>
          <w:noProof/>
        </w:rPr>
        <w:t>sze wykorzystanie środków</w:t>
      </w:r>
      <w:r w:rsidRPr="00201A9A">
        <w:rPr>
          <w:noProof/>
        </w:rPr>
        <w:t xml:space="preserve"> dzięki stworzeniu prostszego</w:t>
      </w:r>
      <w:r w:rsidR="00201A9A" w:rsidRPr="00201A9A">
        <w:rPr>
          <w:noProof/>
        </w:rPr>
        <w:t xml:space="preserve"> i wyd</w:t>
      </w:r>
      <w:r w:rsidRPr="00201A9A">
        <w:rPr>
          <w:noProof/>
        </w:rPr>
        <w:t>ajniejszego systemu realizacji;</w:t>
      </w:r>
    </w:p>
    <w:p w14:paraId="345A822E" w14:textId="4181603F" w:rsidR="00794A16" w:rsidRPr="00201A9A" w:rsidRDefault="00794A16" w:rsidP="00794A16">
      <w:pPr>
        <w:pStyle w:val="Bullet0"/>
        <w:rPr>
          <w:noProof/>
        </w:rPr>
      </w:pPr>
      <w:r w:rsidRPr="00201A9A">
        <w:rPr>
          <w:b/>
          <w:noProof/>
        </w:rPr>
        <w:t>uwzględnienie pojawiających się priorytetów polityki</w:t>
      </w:r>
      <w:r w:rsidR="00201A9A" w:rsidRPr="00201A9A">
        <w:rPr>
          <w:noProof/>
        </w:rPr>
        <w:t xml:space="preserve"> w dro</w:t>
      </w:r>
      <w:r w:rsidRPr="00201A9A">
        <w:rPr>
          <w:noProof/>
        </w:rPr>
        <w:t>dze ułatwiania ponownego przydziału zasobów</w:t>
      </w:r>
      <w:r w:rsidR="00201A9A" w:rsidRPr="00201A9A">
        <w:rPr>
          <w:noProof/>
        </w:rPr>
        <w:t xml:space="preserve"> w cel</w:t>
      </w:r>
      <w:r w:rsidRPr="00201A9A">
        <w:rPr>
          <w:noProof/>
        </w:rPr>
        <w:t>u reagowania na nowe potrzeby</w:t>
      </w:r>
      <w:r w:rsidR="00201A9A" w:rsidRPr="00201A9A">
        <w:rPr>
          <w:noProof/>
        </w:rPr>
        <w:t xml:space="preserve"> i nie</w:t>
      </w:r>
      <w:r w:rsidRPr="00201A9A">
        <w:rPr>
          <w:noProof/>
        </w:rPr>
        <w:t xml:space="preserve">przewidziane kryzysy, </w:t>
      </w:r>
      <w:r w:rsidRPr="00201A9A">
        <w:rPr>
          <w:b/>
          <w:noProof/>
        </w:rPr>
        <w:t>bez narażania na szwank realizacji celów długoterminowych</w:t>
      </w:r>
      <w:r w:rsidRPr="00201A9A">
        <w:rPr>
          <w:noProof/>
        </w:rPr>
        <w:t xml:space="preserve">. </w:t>
      </w:r>
    </w:p>
    <w:p w14:paraId="0F40FB2D" w14:textId="19F6CD6B" w:rsidR="00794A16" w:rsidRPr="00201A9A" w:rsidRDefault="00794A16" w:rsidP="00794A16">
      <w:pPr>
        <w:rPr>
          <w:noProof/>
        </w:rPr>
      </w:pPr>
      <w:r w:rsidRPr="00201A9A">
        <w:rPr>
          <w:noProof/>
        </w:rPr>
        <w:t>Aby osiągnąć te cele,</w:t>
      </w:r>
      <w:r w:rsidR="00201A9A" w:rsidRPr="00201A9A">
        <w:rPr>
          <w:noProof/>
        </w:rPr>
        <w:t xml:space="preserve"> w ram</w:t>
      </w:r>
      <w:r w:rsidRPr="00201A9A">
        <w:rPr>
          <w:noProof/>
        </w:rPr>
        <w:t>ach niniejszej inicjatywy przewiduje się grupowanie</w:t>
      </w:r>
      <w:r w:rsidR="00201A9A" w:rsidRPr="00201A9A">
        <w:rPr>
          <w:noProof/>
        </w:rPr>
        <w:t xml:space="preserve"> w ram</w:t>
      </w:r>
      <w:r w:rsidRPr="00201A9A">
        <w:rPr>
          <w:noProof/>
        </w:rPr>
        <w:t>ach funduszu puli środków wstępnie przydzielanych na poziomie krajowym</w:t>
      </w:r>
      <w:r w:rsidR="00201A9A" w:rsidRPr="00201A9A">
        <w:rPr>
          <w:noProof/>
        </w:rPr>
        <w:t xml:space="preserve"> w cel</w:t>
      </w:r>
      <w:r w:rsidRPr="00201A9A">
        <w:rPr>
          <w:noProof/>
        </w:rPr>
        <w:t>u:</w:t>
      </w:r>
    </w:p>
    <w:p w14:paraId="4AF0A65E" w14:textId="3BD955BE" w:rsidR="00794A16" w:rsidRPr="00201A9A" w:rsidRDefault="00794A16" w:rsidP="00794A16">
      <w:pPr>
        <w:pStyle w:val="Bullet0"/>
        <w:rPr>
          <w:noProof/>
        </w:rPr>
      </w:pPr>
      <w:r w:rsidRPr="00201A9A">
        <w:rPr>
          <w:b/>
          <w:noProof/>
        </w:rPr>
        <w:t>uproszczenia obecnych ram</w:t>
      </w:r>
      <w:r w:rsidRPr="00201A9A">
        <w:rPr>
          <w:noProof/>
        </w:rPr>
        <w:t xml:space="preserve"> – przejście</w:t>
      </w:r>
      <w:r w:rsidR="00201A9A" w:rsidRPr="00201A9A">
        <w:rPr>
          <w:noProof/>
        </w:rPr>
        <w:t xml:space="preserve"> z bli</w:t>
      </w:r>
      <w:r w:rsidRPr="00201A9A">
        <w:rPr>
          <w:noProof/>
        </w:rPr>
        <w:t>sko 540 programów do</w:t>
      </w:r>
      <w:r w:rsidR="00201A9A" w:rsidRPr="00201A9A">
        <w:rPr>
          <w:noProof/>
        </w:rPr>
        <w:t> </w:t>
      </w:r>
      <w:r w:rsidRPr="00201A9A">
        <w:rPr>
          <w:noProof/>
        </w:rPr>
        <w:t>27 planów partnerstwa krajowego</w:t>
      </w:r>
      <w:r w:rsidR="00201A9A" w:rsidRPr="00201A9A">
        <w:rPr>
          <w:noProof/>
        </w:rPr>
        <w:t xml:space="preserve"> i reg</w:t>
      </w:r>
      <w:r w:rsidRPr="00201A9A">
        <w:rPr>
          <w:noProof/>
        </w:rPr>
        <w:t xml:space="preserve">ionalnego oraz jednego </w:t>
      </w:r>
      <w:r w:rsidR="00A47BEA" w:rsidRPr="00201A9A">
        <w:rPr>
          <w:noProof/>
        </w:rPr>
        <w:t>P</w:t>
      </w:r>
      <w:r w:rsidRPr="00201A9A">
        <w:rPr>
          <w:noProof/>
        </w:rPr>
        <w:t>lanu Interreg,</w:t>
      </w:r>
      <w:r w:rsidR="00201A9A" w:rsidRPr="00201A9A">
        <w:rPr>
          <w:noProof/>
        </w:rPr>
        <w:t xml:space="preserve"> o sze</w:t>
      </w:r>
      <w:r w:rsidRPr="00201A9A">
        <w:rPr>
          <w:noProof/>
        </w:rPr>
        <w:t>rokim zakresie kwalifikowalności</w:t>
      </w:r>
      <w:r w:rsidR="00201A9A" w:rsidRPr="00201A9A">
        <w:rPr>
          <w:noProof/>
        </w:rPr>
        <w:t xml:space="preserve"> i jed</w:t>
      </w:r>
      <w:r w:rsidRPr="00201A9A">
        <w:rPr>
          <w:noProof/>
        </w:rPr>
        <w:t>nolitym zbiorze przepisów, zmniejszy koszty administracyjne na wszystkich szczeblach,</w:t>
      </w:r>
      <w:r w:rsidR="00201A9A" w:rsidRPr="00201A9A">
        <w:rPr>
          <w:noProof/>
        </w:rPr>
        <w:t xml:space="preserve"> a jed</w:t>
      </w:r>
      <w:r w:rsidRPr="00201A9A">
        <w:rPr>
          <w:noProof/>
        </w:rPr>
        <w:t>nocześnie ułatwi dostęp do finansowania przedsiębiorstwom UE,</w:t>
      </w:r>
      <w:r w:rsidR="00201A9A" w:rsidRPr="00201A9A">
        <w:rPr>
          <w:noProof/>
        </w:rPr>
        <w:t xml:space="preserve"> w tym</w:t>
      </w:r>
      <w:r w:rsidRPr="00201A9A">
        <w:rPr>
          <w:noProof/>
        </w:rPr>
        <w:t xml:space="preserve"> MŚP, władzom lokalnym</w:t>
      </w:r>
      <w:r w:rsidR="00201A9A" w:rsidRPr="00201A9A">
        <w:rPr>
          <w:noProof/>
        </w:rPr>
        <w:t xml:space="preserve"> i pro</w:t>
      </w:r>
      <w:r w:rsidRPr="00201A9A">
        <w:rPr>
          <w:noProof/>
        </w:rPr>
        <w:t>motorom projektów, oraz skupi się na zmniejszaniu dysproporcji regionalnych. Dla sektora rolnictwa oznacza to ewolucję opartą na najnowszej reformie, która już –</w:t>
      </w:r>
      <w:r w:rsidR="00201A9A" w:rsidRPr="00201A9A">
        <w:rPr>
          <w:noProof/>
        </w:rPr>
        <w:t xml:space="preserve"> a zar</w:t>
      </w:r>
      <w:r w:rsidRPr="00201A9A">
        <w:rPr>
          <w:noProof/>
        </w:rPr>
        <w:t>azem po raz pierwszy – opiera się na strategicznych planach krajowych</w:t>
      </w:r>
      <w:r w:rsidR="00201A9A" w:rsidRPr="00201A9A">
        <w:rPr>
          <w:noProof/>
        </w:rPr>
        <w:t xml:space="preserve"> i wyn</w:t>
      </w:r>
      <w:r w:rsidRPr="00201A9A">
        <w:rPr>
          <w:noProof/>
        </w:rPr>
        <w:t>ikach. Nowe ramy gwarantują również spójność, scalając interwencje</w:t>
      </w:r>
      <w:r w:rsidR="00201A9A" w:rsidRPr="00201A9A">
        <w:rPr>
          <w:noProof/>
        </w:rPr>
        <w:t xml:space="preserve"> w ram</w:t>
      </w:r>
      <w:r w:rsidRPr="00201A9A">
        <w:rPr>
          <w:noProof/>
        </w:rPr>
        <w:t>ach WPR</w:t>
      </w:r>
      <w:r w:rsidR="00201A9A" w:rsidRPr="00201A9A">
        <w:rPr>
          <w:noProof/>
        </w:rPr>
        <w:t xml:space="preserve"> z dot</w:t>
      </w:r>
      <w:r w:rsidRPr="00201A9A">
        <w:rPr>
          <w:noProof/>
        </w:rPr>
        <w:t>ychczasowej struktury dwóch funduszy</w:t>
      </w:r>
      <w:r w:rsidR="00201A9A" w:rsidRPr="00201A9A">
        <w:rPr>
          <w:noProof/>
        </w:rPr>
        <w:t xml:space="preserve"> w ram</w:t>
      </w:r>
      <w:r w:rsidRPr="00201A9A">
        <w:rPr>
          <w:noProof/>
        </w:rPr>
        <w:t>ach jednego instrumentu. Takie dostosowanie prowadzi do większej elastyczności</w:t>
      </w:r>
      <w:r w:rsidR="00201A9A" w:rsidRPr="00201A9A">
        <w:rPr>
          <w:noProof/>
        </w:rPr>
        <w:t xml:space="preserve"> i upr</w:t>
      </w:r>
      <w:r w:rsidRPr="00201A9A">
        <w:rPr>
          <w:noProof/>
        </w:rPr>
        <w:t>oszczenia;</w:t>
      </w:r>
    </w:p>
    <w:p w14:paraId="0D2B46C2" w14:textId="770FB77A" w:rsidR="00794A16" w:rsidRPr="00201A9A" w:rsidRDefault="00794A16" w:rsidP="00794A16">
      <w:pPr>
        <w:pStyle w:val="Bullet0"/>
        <w:rPr>
          <w:noProof/>
        </w:rPr>
      </w:pPr>
      <w:r w:rsidRPr="00201A9A">
        <w:rPr>
          <w:b/>
          <w:noProof/>
        </w:rPr>
        <w:t>zapewnienia bardziej zintegrowanego procesu programowania</w:t>
      </w:r>
      <w:r w:rsidRPr="00201A9A">
        <w:rPr>
          <w:noProof/>
        </w:rPr>
        <w:t xml:space="preserve"> umożliwiającego bardziej zróżnicowane, jakościowe podejście do realizacji priorytetów UE, dostosowane do krajowych</w:t>
      </w:r>
      <w:r w:rsidR="00201A9A" w:rsidRPr="00201A9A">
        <w:rPr>
          <w:noProof/>
        </w:rPr>
        <w:t xml:space="preserve"> i reg</w:t>
      </w:r>
      <w:r w:rsidRPr="00201A9A">
        <w:rPr>
          <w:noProof/>
        </w:rPr>
        <w:t>ionalnych wyzwań poszczególnych państw członkowskich, odchodząc od podejścia uniwersalnego. Zintegrowane programowanie umożliwi również zwiększenie synergii między obszarami polityki, na przykład</w:t>
      </w:r>
      <w:r w:rsidR="00201A9A" w:rsidRPr="00201A9A">
        <w:rPr>
          <w:noProof/>
        </w:rPr>
        <w:t xml:space="preserve"> w cel</w:t>
      </w:r>
      <w:r w:rsidRPr="00201A9A">
        <w:rPr>
          <w:noProof/>
        </w:rPr>
        <w:t>u umożliwienia państwom członkowskim sprostania wyzwaniom stojącym przed obszarami wiejskimi</w:t>
      </w:r>
      <w:r w:rsidR="00201A9A" w:rsidRPr="00201A9A">
        <w:rPr>
          <w:noProof/>
        </w:rPr>
        <w:t xml:space="preserve"> i prz</w:t>
      </w:r>
      <w:r w:rsidRPr="00201A9A">
        <w:rPr>
          <w:noProof/>
        </w:rPr>
        <w:t>ybrzeżnymi</w:t>
      </w:r>
      <w:r w:rsidR="00201A9A" w:rsidRPr="00201A9A">
        <w:rPr>
          <w:noProof/>
        </w:rPr>
        <w:t xml:space="preserve"> w bar</w:t>
      </w:r>
      <w:r w:rsidRPr="00201A9A">
        <w:rPr>
          <w:noProof/>
        </w:rPr>
        <w:t>dziej kompleksowy sposób,</w:t>
      </w:r>
      <w:r w:rsidR="00201A9A" w:rsidRPr="00201A9A">
        <w:rPr>
          <w:noProof/>
        </w:rPr>
        <w:t xml:space="preserve"> a tak</w:t>
      </w:r>
      <w:r w:rsidRPr="00201A9A">
        <w:rPr>
          <w:noProof/>
        </w:rPr>
        <w:t>że</w:t>
      </w:r>
      <w:r w:rsidR="00201A9A" w:rsidRPr="00201A9A">
        <w:rPr>
          <w:noProof/>
        </w:rPr>
        <w:t xml:space="preserve"> z inn</w:t>
      </w:r>
      <w:r w:rsidRPr="00201A9A">
        <w:rPr>
          <w:noProof/>
        </w:rPr>
        <w:t>ymi programami wydatków UE (np. Europejskim Funduszem Konkurencyjności lub instrumentem „Łącząc Europę”)</w:t>
      </w:r>
      <w:r w:rsidR="00201A9A" w:rsidRPr="00201A9A">
        <w:rPr>
          <w:noProof/>
        </w:rPr>
        <w:t>. W ten</w:t>
      </w:r>
      <w:r w:rsidRPr="00201A9A">
        <w:rPr>
          <w:noProof/>
        </w:rPr>
        <w:t xml:space="preserve"> sposób Fundusz zapewni również stałe wsparcie tym, którzy go najbardziej potrzebują,</w:t>
      </w:r>
      <w:r w:rsidR="00201A9A" w:rsidRPr="00201A9A">
        <w:rPr>
          <w:noProof/>
        </w:rPr>
        <w:t xml:space="preserve"> w tym</w:t>
      </w:r>
      <w:r w:rsidRPr="00201A9A">
        <w:rPr>
          <w:noProof/>
        </w:rPr>
        <w:t xml:space="preserve"> najsłabiej rozwiniętym regionom</w:t>
      </w:r>
      <w:r w:rsidR="00201A9A" w:rsidRPr="00201A9A">
        <w:rPr>
          <w:noProof/>
        </w:rPr>
        <w:t xml:space="preserve"> i naj</w:t>
      </w:r>
      <w:r w:rsidRPr="00201A9A">
        <w:rPr>
          <w:noProof/>
        </w:rPr>
        <w:t>bardziej potrzebującym rolnikom, ze szczególnym naciskiem na wymianę pokoleń;</w:t>
      </w:r>
    </w:p>
    <w:p w14:paraId="50463573" w14:textId="45C37AE6" w:rsidR="00794A16" w:rsidRPr="00201A9A" w:rsidRDefault="00794A16" w:rsidP="00794A16">
      <w:pPr>
        <w:pStyle w:val="Bullet0"/>
        <w:rPr>
          <w:noProof/>
        </w:rPr>
      </w:pPr>
      <w:r w:rsidRPr="00201A9A">
        <w:rPr>
          <w:b/>
          <w:noProof/>
        </w:rPr>
        <w:t>zapewnienia, aby budżet UE przyczyniał się do osiągnięcia sukcesu</w:t>
      </w:r>
      <w:r w:rsidRPr="00201A9A">
        <w:rPr>
          <w:noProof/>
        </w:rPr>
        <w:t>, poprzez wyznaczenie państwom członkowskim</w:t>
      </w:r>
      <w:r w:rsidR="00201A9A" w:rsidRPr="00201A9A">
        <w:rPr>
          <w:noProof/>
        </w:rPr>
        <w:t xml:space="preserve"> i reg</w:t>
      </w:r>
      <w:r w:rsidRPr="00201A9A">
        <w:rPr>
          <w:noProof/>
        </w:rPr>
        <w:t>ionom niezbędnych celów umożliwiających realizację ambitnego programu reform, który przyniesie korzyści całej UE, oraz poprzez ukierunkowanie wydatków tam, gdzie są ważne</w:t>
      </w:r>
      <w:r w:rsidR="00201A9A" w:rsidRPr="00201A9A">
        <w:rPr>
          <w:noProof/>
        </w:rPr>
        <w:t xml:space="preserve"> i mog</w:t>
      </w:r>
      <w:r w:rsidRPr="00201A9A">
        <w:rPr>
          <w:noProof/>
        </w:rPr>
        <w:t>ą przynieść najwyższą unijną wartość dodaną,</w:t>
      </w:r>
      <w:r w:rsidR="00201A9A" w:rsidRPr="00201A9A">
        <w:rPr>
          <w:noProof/>
        </w:rPr>
        <w:t xml:space="preserve"> a w szc</w:t>
      </w:r>
      <w:r w:rsidRPr="00201A9A">
        <w:rPr>
          <w:noProof/>
        </w:rPr>
        <w:t>zególności poprzez zachęcanie państw członkowskich</w:t>
      </w:r>
      <w:r w:rsidR="00201A9A" w:rsidRPr="00201A9A">
        <w:rPr>
          <w:noProof/>
        </w:rPr>
        <w:t xml:space="preserve"> i reg</w:t>
      </w:r>
      <w:r w:rsidRPr="00201A9A">
        <w:rPr>
          <w:noProof/>
        </w:rPr>
        <w:t>ionów do wyboru większej liczby projektów</w:t>
      </w:r>
      <w:r w:rsidR="00201A9A" w:rsidRPr="00201A9A">
        <w:rPr>
          <w:noProof/>
        </w:rPr>
        <w:t xml:space="preserve"> o wys</w:t>
      </w:r>
      <w:r w:rsidRPr="00201A9A">
        <w:rPr>
          <w:noProof/>
        </w:rPr>
        <w:t>okiej unijnej wartości dodanej niż obecnie,</w:t>
      </w:r>
      <w:r w:rsidR="00201A9A" w:rsidRPr="00201A9A">
        <w:rPr>
          <w:noProof/>
        </w:rPr>
        <w:t xml:space="preserve"> w tym</w:t>
      </w:r>
      <w:r w:rsidRPr="00201A9A">
        <w:rPr>
          <w:noProof/>
        </w:rPr>
        <w:t xml:space="preserve"> projektów transgranicznych</w:t>
      </w:r>
      <w:r w:rsidR="00201A9A" w:rsidRPr="00201A9A">
        <w:rPr>
          <w:noProof/>
        </w:rPr>
        <w:t xml:space="preserve"> i wie</w:t>
      </w:r>
      <w:r w:rsidRPr="00201A9A">
        <w:rPr>
          <w:noProof/>
        </w:rPr>
        <w:t>lokrajowych (w szczególności projektów IPCEI). Spójność zostanie zapewniona we wszystkich obszarach dzięki lepszemu planowaniu polityki na wszystkich szczeblach</w:t>
      </w:r>
      <w:r w:rsidR="00201A9A" w:rsidRPr="00201A9A">
        <w:rPr>
          <w:noProof/>
        </w:rPr>
        <w:t xml:space="preserve"> i bar</w:t>
      </w:r>
      <w:r w:rsidRPr="00201A9A">
        <w:rPr>
          <w:noProof/>
        </w:rPr>
        <w:t>dziej efektywnemu przydzielaniu funduszy UE tam, gdzie mogą one przynieść najlepsze rezultaty,</w:t>
      </w:r>
      <w:r w:rsidR="00201A9A" w:rsidRPr="00201A9A">
        <w:rPr>
          <w:noProof/>
        </w:rPr>
        <w:t xml:space="preserve"> a tak</w:t>
      </w:r>
      <w:r w:rsidRPr="00201A9A">
        <w:rPr>
          <w:noProof/>
        </w:rPr>
        <w:t xml:space="preserve">że dzięki wspieraniu silniejszej synergii między politykami; </w:t>
      </w:r>
    </w:p>
    <w:p w14:paraId="307D66BA" w14:textId="6C9789B8" w:rsidR="00794A16" w:rsidRPr="00201A9A" w:rsidRDefault="00794A16" w:rsidP="00794A16">
      <w:pPr>
        <w:pStyle w:val="Bullet0"/>
        <w:rPr>
          <w:noProof/>
        </w:rPr>
      </w:pPr>
      <w:r w:rsidRPr="00201A9A">
        <w:rPr>
          <w:b/>
          <w:noProof/>
        </w:rPr>
        <w:t>wspierania odpowiedzialności na wszystkich szczeblach</w:t>
      </w:r>
      <w:r w:rsidRPr="00201A9A">
        <w:rPr>
          <w:noProof/>
        </w:rPr>
        <w:t>, poprzez wielopoziomowe zarządzanie</w:t>
      </w:r>
      <w:r w:rsidR="00201A9A" w:rsidRPr="00201A9A">
        <w:rPr>
          <w:noProof/>
        </w:rPr>
        <w:t xml:space="preserve"> i sil</w:t>
      </w:r>
      <w:r w:rsidRPr="00201A9A">
        <w:rPr>
          <w:noProof/>
        </w:rPr>
        <w:t>ny wymiar regionalny,</w:t>
      </w:r>
      <w:r w:rsidR="00201A9A" w:rsidRPr="00201A9A">
        <w:rPr>
          <w:noProof/>
        </w:rPr>
        <w:t xml:space="preserve"> w opa</w:t>
      </w:r>
      <w:r w:rsidRPr="00201A9A">
        <w:rPr>
          <w:noProof/>
        </w:rPr>
        <w:t>rciu</w:t>
      </w:r>
      <w:r w:rsidR="00201A9A" w:rsidRPr="00201A9A">
        <w:rPr>
          <w:noProof/>
        </w:rPr>
        <w:t xml:space="preserve"> o zar</w:t>
      </w:r>
      <w:r w:rsidRPr="00201A9A">
        <w:rPr>
          <w:noProof/>
        </w:rPr>
        <w:t>ządzanie dzielone</w:t>
      </w:r>
      <w:r w:rsidR="00201A9A" w:rsidRPr="00201A9A">
        <w:rPr>
          <w:noProof/>
        </w:rPr>
        <w:t xml:space="preserve"> i zas</w:t>
      </w:r>
      <w:r w:rsidRPr="00201A9A">
        <w:rPr>
          <w:noProof/>
        </w:rPr>
        <w:t>adę partnerstwa, zapewniając, by wsparcie było skoncentrowane na potrzebach każdego państwa członkowskiego oraz jego regionów</w:t>
      </w:r>
      <w:r w:rsidR="00201A9A" w:rsidRPr="00201A9A">
        <w:rPr>
          <w:noProof/>
        </w:rPr>
        <w:t xml:space="preserve"> i sek</w:t>
      </w:r>
      <w:r w:rsidRPr="00201A9A">
        <w:rPr>
          <w:noProof/>
        </w:rPr>
        <w:t>torów,</w:t>
      </w:r>
      <w:r w:rsidR="00201A9A" w:rsidRPr="00201A9A">
        <w:rPr>
          <w:noProof/>
        </w:rPr>
        <w:t xml:space="preserve"> a tak</w:t>
      </w:r>
      <w:r w:rsidRPr="00201A9A">
        <w:rPr>
          <w:noProof/>
        </w:rPr>
        <w:t>że ciągłość</w:t>
      </w:r>
      <w:r w:rsidR="00201A9A" w:rsidRPr="00201A9A">
        <w:rPr>
          <w:noProof/>
        </w:rPr>
        <w:t xml:space="preserve"> i prz</w:t>
      </w:r>
      <w:r w:rsidRPr="00201A9A">
        <w:rPr>
          <w:noProof/>
        </w:rPr>
        <w:t>ewidywalność dla instytucji zarządzających</w:t>
      </w:r>
      <w:r w:rsidR="00201A9A" w:rsidRPr="00201A9A">
        <w:rPr>
          <w:noProof/>
        </w:rPr>
        <w:t xml:space="preserve"> i ben</w:t>
      </w:r>
      <w:r w:rsidRPr="00201A9A">
        <w:rPr>
          <w:noProof/>
        </w:rPr>
        <w:t xml:space="preserve">eficjentów; </w:t>
      </w:r>
    </w:p>
    <w:p w14:paraId="55DAC144" w14:textId="38B01814" w:rsidR="00794A16" w:rsidRPr="00201A9A" w:rsidRDefault="00794A16" w:rsidP="00794A16">
      <w:pPr>
        <w:pStyle w:val="Bullet0"/>
        <w:rPr>
          <w:noProof/>
        </w:rPr>
      </w:pPr>
      <w:r w:rsidRPr="00201A9A">
        <w:rPr>
          <w:b/>
          <w:noProof/>
        </w:rPr>
        <w:t>umożliwienia szybszego</w:t>
      </w:r>
      <w:r w:rsidR="00201A9A" w:rsidRPr="00201A9A">
        <w:rPr>
          <w:b/>
          <w:noProof/>
        </w:rPr>
        <w:t xml:space="preserve"> i lep</w:t>
      </w:r>
      <w:r w:rsidRPr="00201A9A">
        <w:rPr>
          <w:b/>
          <w:noProof/>
        </w:rPr>
        <w:t>szego wykorzystania środków finansowych</w:t>
      </w:r>
      <w:r w:rsidRPr="00201A9A">
        <w:rPr>
          <w:noProof/>
        </w:rPr>
        <w:t xml:space="preserve"> poprzez powiązanie przekazywania środków państwom członkowskim</w:t>
      </w:r>
      <w:r w:rsidR="00201A9A" w:rsidRPr="00201A9A">
        <w:rPr>
          <w:noProof/>
        </w:rPr>
        <w:t xml:space="preserve"> z pos</w:t>
      </w:r>
      <w:r w:rsidRPr="00201A9A">
        <w:rPr>
          <w:noProof/>
        </w:rPr>
        <w:t>tępami osiągniętymi we wdrażaniu środków, nie zaś ze zwrotem kosztów kwalifikowalnych;</w:t>
      </w:r>
    </w:p>
    <w:p w14:paraId="4435236C" w14:textId="52C9A35B" w:rsidR="00794A16" w:rsidRPr="00201A9A" w:rsidRDefault="00794A16" w:rsidP="00794A16">
      <w:pPr>
        <w:pStyle w:val="Bullet0"/>
        <w:rPr>
          <w:noProof/>
        </w:rPr>
      </w:pPr>
      <w:r w:rsidRPr="00201A9A">
        <w:rPr>
          <w:b/>
          <w:noProof/>
        </w:rPr>
        <w:t>ustanowienia silnych zabezpieczeń</w:t>
      </w:r>
      <w:r w:rsidR="00201A9A" w:rsidRPr="00201A9A">
        <w:rPr>
          <w:b/>
          <w:noProof/>
        </w:rPr>
        <w:t xml:space="preserve"> w cel</w:t>
      </w:r>
      <w:r w:rsidRPr="00201A9A">
        <w:rPr>
          <w:b/>
          <w:noProof/>
        </w:rPr>
        <w:t>u zapewnienia poszanowania państwa prawnego</w:t>
      </w:r>
      <w:r w:rsidR="00201A9A" w:rsidRPr="00201A9A">
        <w:rPr>
          <w:noProof/>
        </w:rPr>
        <w:t xml:space="preserve"> i sku</w:t>
      </w:r>
      <w:r w:rsidRPr="00201A9A">
        <w:rPr>
          <w:noProof/>
        </w:rPr>
        <w:t xml:space="preserve">tecznego stosowania Karty praw podstawowych Unii Europejskiej przez cały okres jej wdrażania; </w:t>
      </w:r>
    </w:p>
    <w:p w14:paraId="459CB848" w14:textId="538BF3E5" w:rsidR="00794A16" w:rsidRPr="00201A9A" w:rsidRDefault="00794A16" w:rsidP="00794A16">
      <w:pPr>
        <w:pStyle w:val="Bullet0"/>
        <w:rPr>
          <w:noProof/>
        </w:rPr>
      </w:pPr>
      <w:r w:rsidRPr="00201A9A">
        <w:rPr>
          <w:b/>
          <w:noProof/>
        </w:rPr>
        <w:t>zachęcania do większej elastyczności</w:t>
      </w:r>
      <w:r w:rsidR="00201A9A" w:rsidRPr="00201A9A">
        <w:rPr>
          <w:b/>
          <w:noProof/>
        </w:rPr>
        <w:t xml:space="preserve"> i prz</w:t>
      </w:r>
      <w:r w:rsidRPr="00201A9A">
        <w:rPr>
          <w:b/>
          <w:noProof/>
        </w:rPr>
        <w:t>ystosowalności</w:t>
      </w:r>
      <w:r w:rsidRPr="00201A9A">
        <w:rPr>
          <w:noProof/>
        </w:rPr>
        <w:t xml:space="preserve"> poprzez stopniowe przydzielanie środków przez cały okres programowania, łatwiejszą rewizję planów oraz utworzenie rezerwy na szczeblu UE (Instrument UE) zapewniającej dodatkowe możliwości dostosowania się do nowych priorytetów</w:t>
      </w:r>
      <w:r w:rsidR="00201A9A" w:rsidRPr="00201A9A">
        <w:rPr>
          <w:noProof/>
        </w:rPr>
        <w:t xml:space="preserve"> i kry</w:t>
      </w:r>
      <w:r w:rsidRPr="00201A9A">
        <w:rPr>
          <w:noProof/>
        </w:rPr>
        <w:t>zysów.</w:t>
      </w:r>
    </w:p>
    <w:p w14:paraId="28567807" w14:textId="59F3093B" w:rsidR="000C1614" w:rsidRPr="00201A9A" w:rsidRDefault="000C1614" w:rsidP="00C9037A">
      <w:pPr>
        <w:rPr>
          <w:noProof/>
        </w:rPr>
      </w:pPr>
      <w:r w:rsidRPr="00201A9A">
        <w:rPr>
          <w:noProof/>
        </w:rPr>
        <w:t>Instrument UE uzupełni wdrażanie na szczeblu krajowym</w:t>
      </w:r>
      <w:r w:rsidR="00201A9A" w:rsidRPr="00201A9A">
        <w:rPr>
          <w:noProof/>
        </w:rPr>
        <w:t xml:space="preserve"> i reg</w:t>
      </w:r>
      <w:r w:rsidRPr="00201A9A">
        <w:rPr>
          <w:noProof/>
        </w:rPr>
        <w:t>ionalnym. Instrument UE będzie wspierał transgraniczne</w:t>
      </w:r>
      <w:r w:rsidR="00201A9A" w:rsidRPr="00201A9A">
        <w:rPr>
          <w:noProof/>
        </w:rPr>
        <w:t xml:space="preserve"> i inn</w:t>
      </w:r>
      <w:r w:rsidRPr="00201A9A">
        <w:rPr>
          <w:noProof/>
        </w:rPr>
        <w:t>owacyjne projekty</w:t>
      </w:r>
      <w:r w:rsidR="00201A9A" w:rsidRPr="00201A9A">
        <w:rPr>
          <w:noProof/>
        </w:rPr>
        <w:t xml:space="preserve"> o wys</w:t>
      </w:r>
      <w:r w:rsidRPr="00201A9A">
        <w:rPr>
          <w:noProof/>
        </w:rPr>
        <w:t>okiej unijnej wartości dodanej, które wymagają dodatkowych wysiłków koordynacyjnych na szczeblu UE. Zapewni również państwom członkowskim wsparcie techniczne</w:t>
      </w:r>
      <w:r w:rsidR="00201A9A" w:rsidRPr="00201A9A">
        <w:rPr>
          <w:noProof/>
        </w:rPr>
        <w:t xml:space="preserve"> w cel</w:t>
      </w:r>
      <w:r w:rsidRPr="00201A9A">
        <w:rPr>
          <w:noProof/>
        </w:rPr>
        <w:t>u skutecznej realizacji ich planów partnerstwa krajowego</w:t>
      </w:r>
      <w:r w:rsidR="00201A9A" w:rsidRPr="00201A9A">
        <w:rPr>
          <w:noProof/>
        </w:rPr>
        <w:t xml:space="preserve"> i reg</w:t>
      </w:r>
      <w:r w:rsidRPr="00201A9A">
        <w:rPr>
          <w:noProof/>
        </w:rPr>
        <w:t>ionalnego. Ponadto instrument pomoże państwom członkowskim</w:t>
      </w:r>
      <w:r w:rsidR="00201A9A" w:rsidRPr="00201A9A">
        <w:rPr>
          <w:noProof/>
        </w:rPr>
        <w:t xml:space="preserve"> w szy</w:t>
      </w:r>
      <w:r w:rsidRPr="00201A9A">
        <w:rPr>
          <w:noProof/>
        </w:rPr>
        <w:t>bkim zaspokojeniu pilnych oraz szczególnych potrzeb</w:t>
      </w:r>
      <w:r w:rsidR="00201A9A" w:rsidRPr="00201A9A">
        <w:rPr>
          <w:noProof/>
        </w:rPr>
        <w:t xml:space="preserve"> w odp</w:t>
      </w:r>
      <w:r w:rsidRPr="00201A9A">
        <w:rPr>
          <w:noProof/>
        </w:rPr>
        <w:t>owiedzi na takie sytuacje kryzysowe, jak poważna klęska żywiołowa</w:t>
      </w:r>
      <w:r w:rsidR="00201A9A" w:rsidRPr="00201A9A">
        <w:rPr>
          <w:noProof/>
        </w:rPr>
        <w:t xml:space="preserve"> o wym</w:t>
      </w:r>
      <w:r w:rsidRPr="00201A9A">
        <w:rPr>
          <w:noProof/>
        </w:rPr>
        <w:t>iarze krajowym lub regionalnym, oraz będzie wspierać naprawę</w:t>
      </w:r>
      <w:r w:rsidR="00201A9A" w:rsidRPr="00201A9A">
        <w:rPr>
          <w:noProof/>
        </w:rPr>
        <w:t xml:space="preserve"> i odb</w:t>
      </w:r>
      <w:r w:rsidRPr="00201A9A">
        <w:rPr>
          <w:noProof/>
        </w:rPr>
        <w:t>udowę</w:t>
      </w:r>
      <w:r w:rsidR="00201A9A" w:rsidRPr="00201A9A">
        <w:rPr>
          <w:noProof/>
        </w:rPr>
        <w:t xml:space="preserve"> z myś</w:t>
      </w:r>
      <w:r w:rsidRPr="00201A9A">
        <w:rPr>
          <w:noProof/>
        </w:rPr>
        <w:t>lą</w:t>
      </w:r>
      <w:r w:rsidR="00201A9A" w:rsidRPr="00201A9A">
        <w:rPr>
          <w:noProof/>
        </w:rPr>
        <w:t xml:space="preserve"> o zwi</w:t>
      </w:r>
      <w:r w:rsidRPr="00201A9A">
        <w:rPr>
          <w:noProof/>
        </w:rPr>
        <w:t>ększeniu odporności po kryzysie. Rozwiąże on również problem niepewności, zapewniając Unii dodatkową swobodę</w:t>
      </w:r>
      <w:r w:rsidR="00201A9A" w:rsidRPr="00201A9A">
        <w:rPr>
          <w:noProof/>
        </w:rPr>
        <w:t xml:space="preserve"> w cel</w:t>
      </w:r>
      <w:r w:rsidRPr="00201A9A">
        <w:rPr>
          <w:noProof/>
        </w:rPr>
        <w:t xml:space="preserve">u dostosowania się do pojawiających się priorytetów na poziomie Unii, które wymagają skoordynowanej reakcji. </w:t>
      </w:r>
    </w:p>
    <w:p w14:paraId="18475E2A" w14:textId="2E85B563" w:rsidR="00794A16" w:rsidRPr="00201A9A" w:rsidRDefault="00794A16" w:rsidP="00C9037A">
      <w:pPr>
        <w:rPr>
          <w:noProof/>
        </w:rPr>
      </w:pPr>
      <w:r w:rsidRPr="00201A9A">
        <w:rPr>
          <w:noProof/>
        </w:rPr>
        <w:t>Niniejszemu wnioskowi towarzyszą wnioski dotyczące rozporządzeń sektorowych,</w:t>
      </w:r>
      <w:r w:rsidR="00201A9A" w:rsidRPr="00201A9A">
        <w:rPr>
          <w:noProof/>
        </w:rPr>
        <w:t xml:space="preserve"> w któ</w:t>
      </w:r>
      <w:r w:rsidRPr="00201A9A">
        <w:rPr>
          <w:noProof/>
        </w:rPr>
        <w:t>rych określono szczegółowe warunki udzielania unijnego wsparcia</w:t>
      </w:r>
      <w:r w:rsidR="00201A9A" w:rsidRPr="00201A9A">
        <w:rPr>
          <w:noProof/>
        </w:rPr>
        <w:t xml:space="preserve"> w obs</w:t>
      </w:r>
      <w:r w:rsidRPr="00201A9A">
        <w:rPr>
          <w:noProof/>
        </w:rPr>
        <w:t>zarach polityki objętych planami. Wsparcie unijne będzie udzielane</w:t>
      </w:r>
      <w:r w:rsidR="00201A9A" w:rsidRPr="00201A9A">
        <w:rPr>
          <w:noProof/>
        </w:rPr>
        <w:t xml:space="preserve"> w ram</w:t>
      </w:r>
      <w:r w:rsidRPr="00201A9A">
        <w:rPr>
          <w:noProof/>
        </w:rPr>
        <w:t>ach Funduszu zgodnie</w:t>
      </w:r>
      <w:r w:rsidR="00201A9A" w:rsidRPr="00201A9A">
        <w:rPr>
          <w:noProof/>
        </w:rPr>
        <w:t xml:space="preserve"> z prz</w:t>
      </w:r>
      <w:r w:rsidRPr="00201A9A">
        <w:rPr>
          <w:noProof/>
        </w:rPr>
        <w:t>episami regulującymi ten fundusz zaproponowanymi</w:t>
      </w:r>
      <w:r w:rsidR="00201A9A" w:rsidRPr="00201A9A">
        <w:rPr>
          <w:noProof/>
        </w:rPr>
        <w:t xml:space="preserve"> w nin</w:t>
      </w:r>
      <w:r w:rsidRPr="00201A9A">
        <w:rPr>
          <w:noProof/>
        </w:rPr>
        <w:t xml:space="preserve">iejszym rozporządzeniu. </w:t>
      </w:r>
    </w:p>
    <w:p w14:paraId="04F43EE3" w14:textId="1A0F50BC" w:rsidR="00794A16" w:rsidRPr="00201A9A" w:rsidRDefault="00794A16" w:rsidP="00794A16">
      <w:pPr>
        <w:pStyle w:val="ManualHeading2"/>
        <w:rPr>
          <w:rFonts w:eastAsia="Arial Unicode MS"/>
          <w:noProof/>
          <w:color w:val="000000"/>
          <w:u w:color="000000"/>
          <w:bdr w:val="nil"/>
        </w:rPr>
      </w:pPr>
      <w:r w:rsidRPr="00201A9A">
        <w:rPr>
          <w:noProof/>
          <w:color w:val="000000"/>
          <w:u w:color="000000"/>
          <w:bdr w:val="nil"/>
        </w:rPr>
        <w:t>•</w:t>
      </w:r>
      <w:r w:rsidRPr="00201A9A">
        <w:rPr>
          <w:noProof/>
        </w:rPr>
        <w:tab/>
        <w:t>Spójność</w:t>
      </w:r>
      <w:r w:rsidR="00201A9A" w:rsidRPr="00201A9A">
        <w:rPr>
          <w:noProof/>
        </w:rPr>
        <w:t xml:space="preserve"> z prz</w:t>
      </w:r>
      <w:r w:rsidRPr="00201A9A">
        <w:rPr>
          <w:noProof/>
        </w:rPr>
        <w:t>episami obowiązującymi</w:t>
      </w:r>
      <w:r w:rsidR="00201A9A" w:rsidRPr="00201A9A">
        <w:rPr>
          <w:noProof/>
        </w:rPr>
        <w:t xml:space="preserve"> w tej</w:t>
      </w:r>
      <w:r w:rsidRPr="00201A9A">
        <w:rPr>
          <w:noProof/>
        </w:rPr>
        <w:t xml:space="preserve"> dziedzinie polityki</w:t>
      </w:r>
    </w:p>
    <w:p w14:paraId="291D44D6" w14:textId="58D94EDA" w:rsidR="00794A16" w:rsidRPr="00201A9A" w:rsidRDefault="00794A16" w:rsidP="00794A16">
      <w:pPr>
        <w:rPr>
          <w:rFonts w:eastAsia="Times New Roman"/>
          <w:noProof/>
        </w:rPr>
      </w:pPr>
      <w:r w:rsidRPr="00201A9A">
        <w:rPr>
          <w:noProof/>
        </w:rPr>
        <w:t>Fundusz pomoże lepiej wykorzystać synergie między politykami objętymi zakresem niniejszej inicjatywy,</w:t>
      </w:r>
      <w:r w:rsidR="00201A9A" w:rsidRPr="00201A9A">
        <w:rPr>
          <w:noProof/>
        </w:rPr>
        <w:t xml:space="preserve"> a tym</w:t>
      </w:r>
      <w:r w:rsidRPr="00201A9A">
        <w:rPr>
          <w:noProof/>
        </w:rPr>
        <w:t xml:space="preserve"> samym będzie wspierać ich realizację. Na przykład dzięki włączeniu polityki spójności, wspólnej polityki rolnej</w:t>
      </w:r>
      <w:r w:rsidR="00201A9A" w:rsidRPr="00201A9A">
        <w:rPr>
          <w:noProof/>
        </w:rPr>
        <w:t xml:space="preserve"> i wsp</w:t>
      </w:r>
      <w:r w:rsidRPr="00201A9A">
        <w:rPr>
          <w:noProof/>
        </w:rPr>
        <w:t>ólnej polityki rybołówstwa do podejścia opartego na jednolitym programowaniu państwa członkowskie będą dysponowały szerszym zestawem narzędzi, dzięki któremu będą mogły sprostać wyzwaniom stojącym przed rolnikami</w:t>
      </w:r>
      <w:r w:rsidR="00201A9A" w:rsidRPr="00201A9A">
        <w:rPr>
          <w:noProof/>
        </w:rPr>
        <w:t xml:space="preserve"> i spo</w:t>
      </w:r>
      <w:r w:rsidRPr="00201A9A">
        <w:rPr>
          <w:noProof/>
        </w:rPr>
        <w:t>łecznościami na obszarach wiejskich</w:t>
      </w:r>
      <w:r w:rsidR="00201A9A" w:rsidRPr="00201A9A">
        <w:rPr>
          <w:noProof/>
        </w:rPr>
        <w:t xml:space="preserve"> i prz</w:t>
      </w:r>
      <w:r w:rsidRPr="00201A9A">
        <w:rPr>
          <w:noProof/>
        </w:rPr>
        <w:t>ybrzeżnych (np. rozwój infrastruktury; kwestie związane</w:t>
      </w:r>
      <w:r w:rsidR="00201A9A" w:rsidRPr="00201A9A">
        <w:rPr>
          <w:noProof/>
        </w:rPr>
        <w:t xml:space="preserve"> z usł</w:t>
      </w:r>
      <w:r w:rsidRPr="00201A9A">
        <w:rPr>
          <w:noProof/>
        </w:rPr>
        <w:t>ugami, cyfryzacja, dostęp do wody</w:t>
      </w:r>
      <w:r w:rsidR="00201A9A" w:rsidRPr="00201A9A">
        <w:rPr>
          <w:noProof/>
        </w:rPr>
        <w:t xml:space="preserve"> i inf</w:t>
      </w:r>
      <w:r w:rsidRPr="00201A9A">
        <w:rPr>
          <w:noProof/>
        </w:rPr>
        <w:t>rastruktura energetyczna; rozwój umiejętności, wymiana pokoleń). Podobnie dzięki temu, że migracja zapewnia spójność</w:t>
      </w:r>
      <w:r w:rsidR="00201A9A" w:rsidRPr="00201A9A">
        <w:rPr>
          <w:noProof/>
        </w:rPr>
        <w:t xml:space="preserve"> w ram</w:t>
      </w:r>
      <w:r w:rsidRPr="00201A9A">
        <w:rPr>
          <w:noProof/>
        </w:rPr>
        <w:t>ach tego samego podejścia programowego, państwa członkowskie</w:t>
      </w:r>
      <w:r w:rsidR="00201A9A" w:rsidRPr="00201A9A">
        <w:rPr>
          <w:noProof/>
        </w:rPr>
        <w:t xml:space="preserve"> i reg</w:t>
      </w:r>
      <w:r w:rsidRPr="00201A9A">
        <w:rPr>
          <w:noProof/>
        </w:rPr>
        <w:t>iony będą lepiej przygotowane do integracji migrantów na rynku pracy przy jednoczesnej ochronie swoich granic.</w:t>
      </w:r>
    </w:p>
    <w:p w14:paraId="62E68C53" w14:textId="203FB96A" w:rsidR="00794A16" w:rsidRPr="00201A9A" w:rsidRDefault="00794A16" w:rsidP="00794A16">
      <w:pPr>
        <w:rPr>
          <w:rFonts w:eastAsia="Times New Roman"/>
          <w:noProof/>
        </w:rPr>
      </w:pPr>
      <w:r w:rsidRPr="00201A9A">
        <w:rPr>
          <w:noProof/>
        </w:rPr>
        <w:t>Uproszczone ramy wstępnego przydziału środków na poziomie krajowym ułatwią wykorzystanie synergii</w:t>
      </w:r>
      <w:r w:rsidR="00201A9A" w:rsidRPr="00201A9A">
        <w:rPr>
          <w:noProof/>
        </w:rPr>
        <w:t xml:space="preserve"> z inn</w:t>
      </w:r>
      <w:r w:rsidRPr="00201A9A">
        <w:rPr>
          <w:noProof/>
        </w:rPr>
        <w:t>ymi programami budżetowymi UE, przy czym mechanizm sterujący zagwarantuje spójne programowanie bez powielania działań. Szczególnie istotna będzie synergia</w:t>
      </w:r>
      <w:r w:rsidR="00201A9A" w:rsidRPr="00201A9A">
        <w:rPr>
          <w:noProof/>
        </w:rPr>
        <w:t xml:space="preserve"> z Eur</w:t>
      </w:r>
      <w:r w:rsidRPr="00201A9A">
        <w:rPr>
          <w:noProof/>
        </w:rPr>
        <w:t>opejskim Funduszem Konkurencyjności InvestEU, instrumentem „Łącząc Europę”, programem Erasmus+, programem na rzecz jednolitego rynku, ceł</w:t>
      </w:r>
      <w:r w:rsidR="00201A9A" w:rsidRPr="00201A9A">
        <w:rPr>
          <w:noProof/>
        </w:rPr>
        <w:t xml:space="preserve"> i wsp</w:t>
      </w:r>
      <w:r w:rsidRPr="00201A9A">
        <w:rPr>
          <w:noProof/>
        </w:rPr>
        <w:t>ółpracy między organami krajowymi oraz Funduszem „Globalny wymiar Europy”.</w:t>
      </w:r>
    </w:p>
    <w:p w14:paraId="41A22A0A" w14:textId="479D471E" w:rsidR="00794A16" w:rsidRPr="00201A9A" w:rsidRDefault="00794A16" w:rsidP="00794A16">
      <w:pPr>
        <w:pStyle w:val="ManualHeading2"/>
        <w:rPr>
          <w:rFonts w:eastAsia="Arial Unicode MS"/>
          <w:noProof/>
        </w:rPr>
      </w:pPr>
      <w:r w:rsidRPr="00201A9A">
        <w:rPr>
          <w:noProof/>
          <w:color w:val="000000"/>
          <w:u w:color="000000"/>
          <w:bdr w:val="nil"/>
        </w:rPr>
        <w:t>•</w:t>
      </w:r>
      <w:r w:rsidRPr="00201A9A">
        <w:rPr>
          <w:noProof/>
        </w:rPr>
        <w:tab/>
        <w:t>Spójność</w:t>
      </w:r>
      <w:r w:rsidR="00201A9A" w:rsidRPr="00201A9A">
        <w:rPr>
          <w:noProof/>
        </w:rPr>
        <w:t xml:space="preserve"> z inn</w:t>
      </w:r>
      <w:r w:rsidRPr="00201A9A">
        <w:rPr>
          <w:noProof/>
        </w:rPr>
        <w:t>ymi politykami Unii</w:t>
      </w:r>
    </w:p>
    <w:p w14:paraId="05338BF7" w14:textId="11433326" w:rsidR="00794A16" w:rsidRPr="00201A9A" w:rsidRDefault="00794A16" w:rsidP="00794A16">
      <w:pPr>
        <w:rPr>
          <w:rFonts w:eastAsia="Times New Roman"/>
          <w:noProof/>
        </w:rPr>
      </w:pPr>
      <w:r w:rsidRPr="00201A9A">
        <w:rPr>
          <w:noProof/>
        </w:rPr>
        <w:t>Fundusz będzie wspierał,</w:t>
      </w:r>
      <w:r w:rsidR="00201A9A" w:rsidRPr="00201A9A">
        <w:rPr>
          <w:noProof/>
        </w:rPr>
        <w:t xml:space="preserve"> a tym</w:t>
      </w:r>
      <w:r w:rsidRPr="00201A9A">
        <w:rPr>
          <w:noProof/>
        </w:rPr>
        <w:t xml:space="preserve"> samym zapewniał większą spójność</w:t>
      </w:r>
      <w:r w:rsidR="00201A9A" w:rsidRPr="00201A9A">
        <w:rPr>
          <w:noProof/>
        </w:rPr>
        <w:t xml:space="preserve"> z inn</w:t>
      </w:r>
      <w:r w:rsidRPr="00201A9A">
        <w:rPr>
          <w:noProof/>
        </w:rPr>
        <w:t>ymi politykami Unii, takimi jak:</w:t>
      </w:r>
    </w:p>
    <w:p w14:paraId="258D3D67" w14:textId="4099FE60" w:rsidR="00794A16" w:rsidRPr="00201A9A" w:rsidRDefault="00794A16" w:rsidP="00794A16">
      <w:pPr>
        <w:pStyle w:val="Bullet0"/>
        <w:rPr>
          <w:noProof/>
        </w:rPr>
      </w:pPr>
      <w:r w:rsidRPr="00201A9A">
        <w:rPr>
          <w:noProof/>
        </w:rPr>
        <w:t>komunikat Komisji pt. „Prostsza</w:t>
      </w:r>
      <w:r w:rsidR="00201A9A" w:rsidRPr="00201A9A">
        <w:rPr>
          <w:noProof/>
        </w:rPr>
        <w:t xml:space="preserve"> i szy</w:t>
      </w:r>
      <w:r w:rsidRPr="00201A9A">
        <w:rPr>
          <w:noProof/>
        </w:rPr>
        <w:t>bsza Europa: komunikat dotyczący wdrażania</w:t>
      </w:r>
      <w:r w:rsidR="00201A9A" w:rsidRPr="00201A9A">
        <w:rPr>
          <w:noProof/>
        </w:rPr>
        <w:t xml:space="preserve"> i upr</w:t>
      </w:r>
      <w:r w:rsidRPr="00201A9A">
        <w:rPr>
          <w:noProof/>
        </w:rPr>
        <w:t>aszczania”</w:t>
      </w:r>
      <w:r w:rsidRPr="00201A9A">
        <w:rPr>
          <w:rStyle w:val="FootnoteReference"/>
          <w:rFonts w:eastAsia="Times New Roman"/>
          <w:noProof/>
          <w:lang w:eastAsia="en-IE"/>
        </w:rPr>
        <w:footnoteReference w:id="2"/>
      </w:r>
      <w:r w:rsidRPr="00201A9A">
        <w:rPr>
          <w:noProof/>
        </w:rPr>
        <w:t>,</w:t>
      </w:r>
      <w:r w:rsidR="00201A9A" w:rsidRPr="00201A9A">
        <w:rPr>
          <w:noProof/>
        </w:rPr>
        <w:t xml:space="preserve"> w któ</w:t>
      </w:r>
      <w:r w:rsidRPr="00201A9A">
        <w:rPr>
          <w:noProof/>
        </w:rPr>
        <w:t>rym inicjuje się nowe działania na rzecz przyspieszenia, uproszczenia</w:t>
      </w:r>
      <w:r w:rsidR="00201A9A" w:rsidRPr="00201A9A">
        <w:rPr>
          <w:noProof/>
        </w:rPr>
        <w:t xml:space="preserve"> i udo</w:t>
      </w:r>
      <w:r w:rsidRPr="00201A9A">
        <w:rPr>
          <w:noProof/>
        </w:rPr>
        <w:t>skonalenia polityki</w:t>
      </w:r>
      <w:r w:rsidR="00201A9A" w:rsidRPr="00201A9A">
        <w:rPr>
          <w:noProof/>
        </w:rPr>
        <w:t xml:space="preserve"> i prz</w:t>
      </w:r>
      <w:r w:rsidRPr="00201A9A">
        <w:rPr>
          <w:noProof/>
        </w:rPr>
        <w:t>episów UE oraz uczynienia przepisów jaśniejszymi, zrozumiałymi</w:t>
      </w:r>
      <w:r w:rsidR="00201A9A" w:rsidRPr="00201A9A">
        <w:rPr>
          <w:noProof/>
        </w:rPr>
        <w:t xml:space="preserve"> i szy</w:t>
      </w:r>
      <w:r w:rsidRPr="00201A9A">
        <w:rPr>
          <w:noProof/>
        </w:rPr>
        <w:t>bszymi do wdrożenia;</w:t>
      </w:r>
    </w:p>
    <w:p w14:paraId="36795483" w14:textId="2BFA83A8" w:rsidR="00794A16" w:rsidRPr="00201A9A" w:rsidRDefault="00794A16" w:rsidP="00794A16">
      <w:pPr>
        <w:pStyle w:val="Bullet0"/>
        <w:rPr>
          <w:noProof/>
        </w:rPr>
      </w:pPr>
      <w:r w:rsidRPr="00201A9A">
        <w:rPr>
          <w:noProof/>
        </w:rPr>
        <w:t>Kompas konkurencyjności UE</w:t>
      </w:r>
      <w:r w:rsidRPr="00201A9A">
        <w:rPr>
          <w:rStyle w:val="FootnoteReference"/>
          <w:rFonts w:eastAsia="Times New Roman"/>
          <w:noProof/>
          <w:lang w:eastAsia="en-IE"/>
        </w:rPr>
        <w:footnoteReference w:id="3"/>
      </w:r>
      <w:r w:rsidRPr="00201A9A">
        <w:rPr>
          <w:noProof/>
        </w:rPr>
        <w:t>,</w:t>
      </w:r>
      <w:r w:rsidR="00201A9A" w:rsidRPr="00201A9A">
        <w:rPr>
          <w:noProof/>
        </w:rPr>
        <w:t xml:space="preserve"> w któ</w:t>
      </w:r>
      <w:r w:rsidRPr="00201A9A">
        <w:rPr>
          <w:noProof/>
        </w:rPr>
        <w:t>rym wzywa się do wprowadzenia horyzontalnych czynników sprzyjających, takich jak usuwanie barier na jednolitym rynku, pogłębianie rynków kapitałowych poprzez realizowanie reform leżących</w:t>
      </w:r>
      <w:r w:rsidR="00201A9A" w:rsidRPr="00201A9A">
        <w:rPr>
          <w:noProof/>
        </w:rPr>
        <w:t xml:space="preserve"> u pod</w:t>
      </w:r>
      <w:r w:rsidRPr="00201A9A">
        <w:rPr>
          <w:noProof/>
        </w:rPr>
        <w:t>staw Unii oszczędności</w:t>
      </w:r>
      <w:r w:rsidR="00201A9A" w:rsidRPr="00201A9A">
        <w:rPr>
          <w:noProof/>
        </w:rPr>
        <w:t xml:space="preserve"> i inw</w:t>
      </w:r>
      <w:r w:rsidRPr="00201A9A">
        <w:rPr>
          <w:noProof/>
        </w:rPr>
        <w:t>estycji,</w:t>
      </w:r>
      <w:r w:rsidR="00201A9A" w:rsidRPr="00201A9A">
        <w:rPr>
          <w:noProof/>
        </w:rPr>
        <w:t xml:space="preserve"> a tak</w:t>
      </w:r>
      <w:r w:rsidRPr="00201A9A">
        <w:rPr>
          <w:noProof/>
        </w:rPr>
        <w:t>że uproszczenie otoczenia regulacyjnego poprzez zmianę ukierunkowania budżetu UE. Uproszczone ramy wstępnego przydziału środków na poziomie krajowym umożliwią</w:t>
      </w:r>
      <w:r w:rsidR="00201A9A" w:rsidRPr="00201A9A">
        <w:rPr>
          <w:noProof/>
        </w:rPr>
        <w:t xml:space="preserve"> w tym</w:t>
      </w:r>
      <w:r w:rsidRPr="00201A9A">
        <w:rPr>
          <w:noProof/>
        </w:rPr>
        <w:t xml:space="preserve"> względzie lepsze wykorzystanie synergii</w:t>
      </w:r>
      <w:r w:rsidR="00201A9A" w:rsidRPr="00201A9A">
        <w:rPr>
          <w:noProof/>
        </w:rPr>
        <w:t xml:space="preserve"> z inn</w:t>
      </w:r>
      <w:r w:rsidRPr="00201A9A">
        <w:rPr>
          <w:noProof/>
        </w:rPr>
        <w:t>ymi instrumentami budżetu UE,</w:t>
      </w:r>
      <w:r w:rsidR="00201A9A" w:rsidRPr="00201A9A">
        <w:rPr>
          <w:noProof/>
        </w:rPr>
        <w:t xml:space="preserve"> w tym z Eur</w:t>
      </w:r>
      <w:r w:rsidRPr="00201A9A">
        <w:rPr>
          <w:noProof/>
        </w:rPr>
        <w:t>opejskim Funduszem Konkurencyjności</w:t>
      </w:r>
      <w:r w:rsidR="00201A9A" w:rsidRPr="00201A9A">
        <w:rPr>
          <w:noProof/>
        </w:rPr>
        <w:t xml:space="preserve"> i pro</w:t>
      </w:r>
      <w:r w:rsidRPr="00201A9A">
        <w:rPr>
          <w:noProof/>
        </w:rPr>
        <w:t xml:space="preserve">gramem „Horyzont Europa”; </w:t>
      </w:r>
    </w:p>
    <w:p w14:paraId="67ABF2FD" w14:textId="6C5B2324" w:rsidR="00794A16" w:rsidRPr="00201A9A" w:rsidRDefault="00794A16" w:rsidP="00794A16">
      <w:pPr>
        <w:pStyle w:val="Bullet0"/>
        <w:rPr>
          <w:noProof/>
        </w:rPr>
      </w:pPr>
      <w:r w:rsidRPr="00201A9A">
        <w:rPr>
          <w:noProof/>
        </w:rPr>
        <w:t>Pakt dla czystego przemysłu</w:t>
      </w:r>
      <w:r w:rsidRPr="00201A9A">
        <w:rPr>
          <w:rStyle w:val="FootnoteReference"/>
          <w:rFonts w:eastAsia="Times New Roman"/>
          <w:noProof/>
          <w:lang w:eastAsia="en-IE"/>
        </w:rPr>
        <w:footnoteReference w:id="4"/>
      </w:r>
      <w:r w:rsidRPr="00201A9A">
        <w:rPr>
          <w:noProof/>
        </w:rPr>
        <w:t>,</w:t>
      </w:r>
      <w:r w:rsidR="00201A9A" w:rsidRPr="00201A9A">
        <w:rPr>
          <w:noProof/>
        </w:rPr>
        <w:t xml:space="preserve"> w któ</w:t>
      </w:r>
      <w:r w:rsidRPr="00201A9A">
        <w:rPr>
          <w:noProof/>
        </w:rPr>
        <w:t>rym określono wspólny plan działania na rzecz konkurencyjności</w:t>
      </w:r>
      <w:r w:rsidR="00201A9A" w:rsidRPr="00201A9A">
        <w:rPr>
          <w:noProof/>
        </w:rPr>
        <w:t xml:space="preserve"> i dek</w:t>
      </w:r>
      <w:r w:rsidRPr="00201A9A">
        <w:rPr>
          <w:noProof/>
        </w:rPr>
        <w:t>arbonizacji oraz określono WRF na okres po</w:t>
      </w:r>
      <w:r w:rsidR="00201A9A" w:rsidRPr="00201A9A">
        <w:rPr>
          <w:noProof/>
        </w:rPr>
        <w:t> </w:t>
      </w:r>
      <w:r w:rsidRPr="00201A9A">
        <w:rPr>
          <w:noProof/>
        </w:rPr>
        <w:t>2027</w:t>
      </w:r>
      <w:r w:rsidR="00201A9A" w:rsidRPr="00201A9A">
        <w:rPr>
          <w:noProof/>
        </w:rPr>
        <w:t> </w:t>
      </w:r>
      <w:r w:rsidRPr="00201A9A">
        <w:rPr>
          <w:noProof/>
        </w:rPr>
        <w:t>r. jako kluczowy czynnik umożliwiający czystą transformację</w:t>
      </w:r>
      <w:r w:rsidR="00201A9A" w:rsidRPr="00201A9A">
        <w:rPr>
          <w:noProof/>
        </w:rPr>
        <w:t>. W ram</w:t>
      </w:r>
      <w:r w:rsidRPr="00201A9A">
        <w:rPr>
          <w:noProof/>
        </w:rPr>
        <w:t>ach Paktu dla czystego przemysłu Komisja przyjęła plan działania na rzecz przystępnej cenowo energii</w:t>
      </w:r>
      <w:r w:rsidRPr="00201A9A">
        <w:rPr>
          <w:rStyle w:val="FootnoteReference"/>
          <w:noProof/>
        </w:rPr>
        <w:footnoteReference w:id="5"/>
      </w:r>
      <w:r w:rsidRPr="00201A9A">
        <w:rPr>
          <w:noProof/>
        </w:rPr>
        <w:t xml:space="preserve">, którego celem jest obniżenie kosztów energii dla wszystkich, przyspieszenie wdrażania energii ze źródeł odnawialnych, zwiększenie efektywności energetycznej lub gotowość na wypadek kryzysu energetycznego; </w:t>
      </w:r>
    </w:p>
    <w:p w14:paraId="4A95C61A" w14:textId="3652F3C7" w:rsidR="00794A16" w:rsidRPr="00201A9A" w:rsidRDefault="00794A16" w:rsidP="00794A16">
      <w:pPr>
        <w:pStyle w:val="Bullet0"/>
        <w:rPr>
          <w:noProof/>
        </w:rPr>
      </w:pPr>
      <w:r w:rsidRPr="00201A9A">
        <w:rPr>
          <w:noProof/>
        </w:rPr>
        <w:t>komunikat Komisji</w:t>
      </w:r>
      <w:r w:rsidR="00201A9A" w:rsidRPr="00201A9A">
        <w:rPr>
          <w:noProof/>
        </w:rPr>
        <w:t xml:space="preserve"> z dni</w:t>
      </w:r>
      <w:r w:rsidRPr="00201A9A">
        <w:rPr>
          <w:noProof/>
        </w:rPr>
        <w:t>a 5 marca 2025</w:t>
      </w:r>
      <w:r w:rsidR="00201A9A" w:rsidRPr="00201A9A">
        <w:rPr>
          <w:noProof/>
        </w:rPr>
        <w:t> </w:t>
      </w:r>
      <w:r w:rsidRPr="00201A9A">
        <w:rPr>
          <w:noProof/>
        </w:rPr>
        <w:t>r. pt. „Unia umiejętności”</w:t>
      </w:r>
      <w:r w:rsidRPr="00201A9A">
        <w:rPr>
          <w:rStyle w:val="FootnoteReference"/>
          <w:noProof/>
        </w:rPr>
        <w:footnoteReference w:id="6"/>
      </w:r>
      <w:r w:rsidRPr="00201A9A">
        <w:rPr>
          <w:noProof/>
        </w:rPr>
        <w:t>,</w:t>
      </w:r>
      <w:r w:rsidR="00201A9A" w:rsidRPr="00201A9A">
        <w:rPr>
          <w:noProof/>
        </w:rPr>
        <w:t xml:space="preserve"> w któ</w:t>
      </w:r>
      <w:r w:rsidRPr="00201A9A">
        <w:rPr>
          <w:noProof/>
        </w:rPr>
        <w:t>rym określono niezbędne działania mające na celu wyposażenie ludzi</w:t>
      </w:r>
      <w:r w:rsidR="00201A9A" w:rsidRPr="00201A9A">
        <w:rPr>
          <w:noProof/>
        </w:rPr>
        <w:t xml:space="preserve"> w odp</w:t>
      </w:r>
      <w:r w:rsidRPr="00201A9A">
        <w:rPr>
          <w:noProof/>
        </w:rPr>
        <w:t>owiednie umiejętności</w:t>
      </w:r>
      <w:r w:rsidR="00201A9A" w:rsidRPr="00201A9A">
        <w:rPr>
          <w:noProof/>
        </w:rPr>
        <w:t xml:space="preserve"> i osi</w:t>
      </w:r>
      <w:r w:rsidRPr="00201A9A">
        <w:rPr>
          <w:noProof/>
        </w:rPr>
        <w:t>ągnięcie bardziej konkurencyjnej</w:t>
      </w:r>
      <w:r w:rsidR="00201A9A" w:rsidRPr="00201A9A">
        <w:rPr>
          <w:noProof/>
        </w:rPr>
        <w:t xml:space="preserve"> i spr</w:t>
      </w:r>
      <w:r w:rsidRPr="00201A9A">
        <w:rPr>
          <w:noProof/>
        </w:rPr>
        <w:t>zyjającej włączeniu społecznemu Europy;</w:t>
      </w:r>
    </w:p>
    <w:p w14:paraId="6EDDA663" w14:textId="6BD09851" w:rsidR="00794A16" w:rsidRPr="00201A9A" w:rsidRDefault="00794A16" w:rsidP="00794A16">
      <w:pPr>
        <w:pStyle w:val="Bullet0"/>
        <w:rPr>
          <w:noProof/>
        </w:rPr>
      </w:pPr>
      <w:r w:rsidRPr="00201A9A">
        <w:rPr>
          <w:noProof/>
        </w:rPr>
        <w:t>komunikat pt. „Wizja dla rolnictwa</w:t>
      </w:r>
      <w:r w:rsidR="00201A9A" w:rsidRPr="00201A9A">
        <w:rPr>
          <w:noProof/>
        </w:rPr>
        <w:t xml:space="preserve"> i żyw</w:t>
      </w:r>
      <w:r w:rsidRPr="00201A9A">
        <w:rPr>
          <w:noProof/>
        </w:rPr>
        <w:t>ności”</w:t>
      </w:r>
      <w:r w:rsidRPr="00201A9A">
        <w:rPr>
          <w:rStyle w:val="FootnoteReference"/>
          <w:noProof/>
        </w:rPr>
        <w:footnoteReference w:id="7"/>
      </w:r>
      <w:r w:rsidR="00201A9A" w:rsidRPr="00201A9A">
        <w:rPr>
          <w:noProof/>
        </w:rPr>
        <w:t xml:space="preserve"> z 1</w:t>
      </w:r>
      <w:r w:rsidRPr="00201A9A">
        <w:rPr>
          <w:noProof/>
        </w:rPr>
        <w:t>9 lutego 2025</w:t>
      </w:r>
      <w:r w:rsidR="00201A9A" w:rsidRPr="00201A9A">
        <w:rPr>
          <w:noProof/>
        </w:rPr>
        <w:t> </w:t>
      </w:r>
      <w:r w:rsidRPr="00201A9A">
        <w:rPr>
          <w:noProof/>
        </w:rPr>
        <w:t>r.,</w:t>
      </w:r>
      <w:r w:rsidR="00201A9A" w:rsidRPr="00201A9A">
        <w:rPr>
          <w:noProof/>
        </w:rPr>
        <w:t xml:space="preserve"> w któ</w:t>
      </w:r>
      <w:r w:rsidRPr="00201A9A">
        <w:rPr>
          <w:noProof/>
        </w:rPr>
        <w:t>rym przedstawiono środki mające na celu zapewnienie długoterminowej konkurencyjności, zrównoważoności</w:t>
      </w:r>
      <w:r w:rsidR="00201A9A" w:rsidRPr="00201A9A">
        <w:rPr>
          <w:noProof/>
        </w:rPr>
        <w:t xml:space="preserve"> i odp</w:t>
      </w:r>
      <w:r w:rsidRPr="00201A9A">
        <w:rPr>
          <w:noProof/>
        </w:rPr>
        <w:t>orności unijnego sektora rolnego</w:t>
      </w:r>
      <w:r w:rsidR="00201A9A" w:rsidRPr="00201A9A">
        <w:rPr>
          <w:noProof/>
        </w:rPr>
        <w:t xml:space="preserve"> i spo</w:t>
      </w:r>
      <w:r w:rsidRPr="00201A9A">
        <w:rPr>
          <w:noProof/>
        </w:rPr>
        <w:t>żywczego;</w:t>
      </w:r>
    </w:p>
    <w:p w14:paraId="48452717" w14:textId="0B7B2C10" w:rsidR="005C41DA" w:rsidRPr="00201A9A" w:rsidRDefault="005C41DA" w:rsidP="005C41DA">
      <w:pPr>
        <w:pStyle w:val="Bullet0"/>
        <w:rPr>
          <w:noProof/>
        </w:rPr>
      </w:pPr>
      <w:r w:rsidRPr="00201A9A">
        <w:rPr>
          <w:noProof/>
        </w:rPr>
        <w:t>polityka</w:t>
      </w:r>
      <w:r w:rsidR="00201A9A" w:rsidRPr="00201A9A">
        <w:rPr>
          <w:noProof/>
        </w:rPr>
        <w:t xml:space="preserve"> w zak</w:t>
      </w:r>
      <w:r w:rsidRPr="00201A9A">
        <w:rPr>
          <w:noProof/>
        </w:rPr>
        <w:t>resie badań naukowych</w:t>
      </w:r>
      <w:r w:rsidR="00201A9A" w:rsidRPr="00201A9A">
        <w:rPr>
          <w:noProof/>
        </w:rPr>
        <w:t xml:space="preserve"> i inn</w:t>
      </w:r>
      <w:r w:rsidRPr="00201A9A">
        <w:rPr>
          <w:noProof/>
        </w:rPr>
        <w:t>owacji</w:t>
      </w:r>
      <w:r w:rsidR="00201A9A" w:rsidRPr="00201A9A">
        <w:rPr>
          <w:noProof/>
        </w:rPr>
        <w:t xml:space="preserve"> w ram</w:t>
      </w:r>
      <w:r w:rsidRPr="00201A9A">
        <w:rPr>
          <w:noProof/>
        </w:rPr>
        <w:t>ach paktu na rzecz wszechoceanu; oraz strategia na rzecz badań naukowych</w:t>
      </w:r>
      <w:r w:rsidR="00201A9A" w:rsidRPr="00201A9A">
        <w:rPr>
          <w:noProof/>
        </w:rPr>
        <w:t xml:space="preserve"> i inn</w:t>
      </w:r>
      <w:r w:rsidRPr="00201A9A">
        <w:rPr>
          <w:noProof/>
        </w:rPr>
        <w:t>owacji</w:t>
      </w:r>
      <w:r w:rsidR="00201A9A" w:rsidRPr="00201A9A">
        <w:rPr>
          <w:noProof/>
        </w:rPr>
        <w:t xml:space="preserve"> w zak</w:t>
      </w:r>
      <w:r w:rsidRPr="00201A9A">
        <w:rPr>
          <w:noProof/>
        </w:rPr>
        <w:t>resie odporności gospodarki wodnej</w:t>
      </w:r>
      <w:r w:rsidR="00201A9A" w:rsidRPr="00201A9A">
        <w:rPr>
          <w:noProof/>
        </w:rPr>
        <w:t xml:space="preserve"> w spo</w:t>
      </w:r>
      <w:r w:rsidRPr="00201A9A">
        <w:rPr>
          <w:noProof/>
        </w:rPr>
        <w:t>sób synergiczny;</w:t>
      </w:r>
    </w:p>
    <w:p w14:paraId="1FF97267" w14:textId="3B5F49A6" w:rsidR="00794A16" w:rsidRPr="00201A9A" w:rsidRDefault="00794A16" w:rsidP="00794A16">
      <w:pPr>
        <w:pStyle w:val="Bullet0"/>
        <w:rPr>
          <w:noProof/>
        </w:rPr>
      </w:pPr>
      <w:r w:rsidRPr="00201A9A">
        <w:rPr>
          <w:noProof/>
        </w:rPr>
        <w:t>biała księga</w:t>
      </w:r>
      <w:r w:rsidR="00201A9A" w:rsidRPr="00201A9A">
        <w:rPr>
          <w:noProof/>
        </w:rPr>
        <w:t xml:space="preserve"> w spr</w:t>
      </w:r>
      <w:r w:rsidRPr="00201A9A">
        <w:rPr>
          <w:noProof/>
        </w:rPr>
        <w:t>awie obronności europejskiej – Gotowość 2030,</w:t>
      </w:r>
      <w:r w:rsidR="00201A9A" w:rsidRPr="00201A9A">
        <w:rPr>
          <w:noProof/>
        </w:rPr>
        <w:t xml:space="preserve"> z dni</w:t>
      </w:r>
      <w:r w:rsidRPr="00201A9A">
        <w:rPr>
          <w:noProof/>
        </w:rPr>
        <w:t>a 19 marca 2025</w:t>
      </w:r>
      <w:r w:rsidR="00201A9A" w:rsidRPr="00201A9A">
        <w:rPr>
          <w:noProof/>
        </w:rPr>
        <w:t> </w:t>
      </w:r>
      <w:r w:rsidRPr="00201A9A">
        <w:rPr>
          <w:noProof/>
        </w:rPr>
        <w:t>r.,</w:t>
      </w:r>
      <w:r w:rsidR="00201A9A" w:rsidRPr="00201A9A">
        <w:rPr>
          <w:noProof/>
        </w:rPr>
        <w:t xml:space="preserve"> w któ</w:t>
      </w:r>
      <w:r w:rsidRPr="00201A9A">
        <w:rPr>
          <w:noProof/>
        </w:rPr>
        <w:t>rej przewidziano nowe podejście do obronności</w:t>
      </w:r>
      <w:r w:rsidR="00201A9A" w:rsidRPr="00201A9A">
        <w:rPr>
          <w:noProof/>
        </w:rPr>
        <w:t xml:space="preserve"> i okr</w:t>
      </w:r>
      <w:r w:rsidRPr="00201A9A">
        <w:rPr>
          <w:noProof/>
        </w:rPr>
        <w:t>eślono potrzeby inwestycyjne. Nakreślono</w:t>
      </w:r>
      <w:r w:rsidR="00201A9A" w:rsidRPr="00201A9A">
        <w:rPr>
          <w:noProof/>
        </w:rPr>
        <w:t xml:space="preserve"> w nie</w:t>
      </w:r>
      <w:r w:rsidRPr="00201A9A">
        <w:rPr>
          <w:noProof/>
        </w:rPr>
        <w:t>j kluczowe kierunki działań służących ochronie bezpieczeństwa Europy, m.in. poprzez potężne inwestycje</w:t>
      </w:r>
      <w:r w:rsidR="00201A9A" w:rsidRPr="00201A9A">
        <w:rPr>
          <w:noProof/>
        </w:rPr>
        <w:t xml:space="preserve"> w obr</w:t>
      </w:r>
      <w:r w:rsidRPr="00201A9A">
        <w:rPr>
          <w:noProof/>
        </w:rPr>
        <w:t>onność</w:t>
      </w:r>
      <w:r w:rsidR="00201A9A" w:rsidRPr="00201A9A">
        <w:rPr>
          <w:noProof/>
        </w:rPr>
        <w:t xml:space="preserve"> i bud</w:t>
      </w:r>
      <w:r w:rsidRPr="00201A9A">
        <w:rPr>
          <w:noProof/>
        </w:rPr>
        <w:t xml:space="preserve">owanie gotowości europejskiego przemysłu obronnego; </w:t>
      </w:r>
    </w:p>
    <w:p w14:paraId="3FA6931D" w14:textId="049DDCD9" w:rsidR="00004583" w:rsidRPr="00201A9A" w:rsidRDefault="00004583" w:rsidP="00004583">
      <w:pPr>
        <w:pStyle w:val="Bullet0"/>
        <w:rPr>
          <w:noProof/>
        </w:rPr>
      </w:pPr>
      <w:r w:rsidRPr="00201A9A">
        <w:rPr>
          <w:noProof/>
        </w:rPr>
        <w:t>komunikat Komisji</w:t>
      </w:r>
      <w:r w:rsidR="00201A9A" w:rsidRPr="00201A9A">
        <w:rPr>
          <w:noProof/>
        </w:rPr>
        <w:t xml:space="preserve"> z dni</w:t>
      </w:r>
      <w:r w:rsidRPr="00201A9A">
        <w:rPr>
          <w:noProof/>
        </w:rPr>
        <w:t>a 5 marca 2025</w:t>
      </w:r>
      <w:r w:rsidR="00201A9A" w:rsidRPr="00201A9A">
        <w:rPr>
          <w:noProof/>
        </w:rPr>
        <w:t> </w:t>
      </w:r>
      <w:r w:rsidRPr="00201A9A">
        <w:rPr>
          <w:noProof/>
        </w:rPr>
        <w:t>r.</w:t>
      </w:r>
      <w:r w:rsidR="00201A9A" w:rsidRPr="00201A9A">
        <w:rPr>
          <w:noProof/>
        </w:rPr>
        <w:t xml:space="preserve"> w spr</w:t>
      </w:r>
      <w:r w:rsidRPr="00201A9A">
        <w:rPr>
          <w:noProof/>
        </w:rPr>
        <w:t>awie planu działania przemysłowego dla europejskiego sektora motoryzacyjnego,</w:t>
      </w:r>
      <w:r w:rsidR="00201A9A" w:rsidRPr="00201A9A">
        <w:rPr>
          <w:noProof/>
        </w:rPr>
        <w:t xml:space="preserve"> w któ</w:t>
      </w:r>
      <w:r w:rsidRPr="00201A9A">
        <w:rPr>
          <w:noProof/>
        </w:rPr>
        <w:t>rym określono wymagane kroki</w:t>
      </w:r>
      <w:r w:rsidR="00201A9A" w:rsidRPr="00201A9A">
        <w:rPr>
          <w:noProof/>
        </w:rPr>
        <w:t xml:space="preserve"> w zwi</w:t>
      </w:r>
      <w:r w:rsidRPr="00201A9A">
        <w:rPr>
          <w:noProof/>
        </w:rPr>
        <w:t>ązku</w:t>
      </w:r>
      <w:r w:rsidR="00201A9A" w:rsidRPr="00201A9A">
        <w:rPr>
          <w:noProof/>
        </w:rPr>
        <w:t xml:space="preserve"> z prz</w:t>
      </w:r>
      <w:r w:rsidRPr="00201A9A">
        <w:rPr>
          <w:noProof/>
        </w:rPr>
        <w:t>ejściem na bezemisyjne, podłączone do internetu</w:t>
      </w:r>
      <w:r w:rsidR="00201A9A" w:rsidRPr="00201A9A">
        <w:rPr>
          <w:noProof/>
        </w:rPr>
        <w:t xml:space="preserve"> i cor</w:t>
      </w:r>
      <w:r w:rsidRPr="00201A9A">
        <w:rPr>
          <w:noProof/>
        </w:rPr>
        <w:t>az bardziej zautomatyzowane pojazdy;</w:t>
      </w:r>
    </w:p>
    <w:p w14:paraId="74669420" w14:textId="4DDB681A" w:rsidR="00004583" w:rsidRPr="00201A9A" w:rsidRDefault="00004583" w:rsidP="00004583">
      <w:pPr>
        <w:pStyle w:val="Bullet0"/>
        <w:rPr>
          <w:noProof/>
        </w:rPr>
      </w:pPr>
      <w:r w:rsidRPr="00201A9A">
        <w:rPr>
          <w:noProof/>
        </w:rPr>
        <w:t>w komunikacie Komisji</w:t>
      </w:r>
      <w:r w:rsidR="00201A9A" w:rsidRPr="00201A9A">
        <w:rPr>
          <w:noProof/>
        </w:rPr>
        <w:t xml:space="preserve"> z dni</w:t>
      </w:r>
      <w:r w:rsidRPr="00201A9A">
        <w:rPr>
          <w:noProof/>
        </w:rPr>
        <w:t>a 9 grudnia 2020</w:t>
      </w:r>
      <w:r w:rsidR="00201A9A" w:rsidRPr="00201A9A">
        <w:rPr>
          <w:noProof/>
        </w:rPr>
        <w:t> </w:t>
      </w:r>
      <w:r w:rsidRPr="00201A9A">
        <w:rPr>
          <w:noProof/>
        </w:rPr>
        <w:t>r. pt. „Strategia na rzecz zrównoważonej</w:t>
      </w:r>
      <w:r w:rsidR="00201A9A" w:rsidRPr="00201A9A">
        <w:rPr>
          <w:noProof/>
        </w:rPr>
        <w:t xml:space="preserve"> i int</w:t>
      </w:r>
      <w:r w:rsidRPr="00201A9A">
        <w:rPr>
          <w:noProof/>
        </w:rPr>
        <w:t>eligentnej mobilności – europejski transport na drodze ku przyszłości” określono konieczne kroki na drodze europejskiego systemu transportu do osiągnięcia zrównoważonej, inteligentnej</w:t>
      </w:r>
      <w:r w:rsidR="00201A9A" w:rsidRPr="00201A9A">
        <w:rPr>
          <w:noProof/>
        </w:rPr>
        <w:t xml:space="preserve"> i odp</w:t>
      </w:r>
      <w:r w:rsidRPr="00201A9A">
        <w:rPr>
          <w:noProof/>
        </w:rPr>
        <w:t>ornej mobilności;</w:t>
      </w:r>
    </w:p>
    <w:p w14:paraId="1E4D929A" w14:textId="5759D1AC" w:rsidR="00A65BAB" w:rsidRPr="00201A9A" w:rsidRDefault="00826FE9" w:rsidP="00004583">
      <w:pPr>
        <w:pStyle w:val="Bullet0"/>
        <w:rPr>
          <w:noProof/>
        </w:rPr>
      </w:pPr>
      <w:r w:rsidRPr="00201A9A">
        <w:rPr>
          <w:noProof/>
        </w:rPr>
        <w:t>unia równości</w:t>
      </w:r>
      <w:r w:rsidR="00201A9A" w:rsidRPr="00201A9A">
        <w:rPr>
          <w:noProof/>
        </w:rPr>
        <w:t xml:space="preserve"> i zwi</w:t>
      </w:r>
      <w:r w:rsidRPr="00201A9A">
        <w:rPr>
          <w:noProof/>
        </w:rPr>
        <w:t>ązane</w:t>
      </w:r>
      <w:r w:rsidR="00201A9A" w:rsidRPr="00201A9A">
        <w:rPr>
          <w:noProof/>
        </w:rPr>
        <w:t xml:space="preserve"> z nią</w:t>
      </w:r>
      <w:r w:rsidRPr="00201A9A">
        <w:rPr>
          <w:noProof/>
        </w:rPr>
        <w:t xml:space="preserve"> strategie</w:t>
      </w:r>
      <w:r w:rsidRPr="00201A9A">
        <w:rPr>
          <w:noProof/>
          <w:vertAlign w:val="superscript"/>
        </w:rPr>
        <w:t>7</w:t>
      </w:r>
      <w:r w:rsidRPr="00201A9A">
        <w:rPr>
          <w:noProof/>
        </w:rPr>
        <w:t xml:space="preserve"> mające na celu zwalczanie dyskryminacji ze względu na płeć, rasę lub pochodzenie etniczne, religię lub światopogląd, niepełnosprawność, wiek lub orientację seksualną. Europejski pakt na rzecz wszechoceanu</w:t>
      </w:r>
      <w:r w:rsidR="00201A9A" w:rsidRPr="00201A9A">
        <w:rPr>
          <w:noProof/>
        </w:rPr>
        <w:t xml:space="preserve"> z dni</w:t>
      </w:r>
      <w:r w:rsidRPr="00201A9A">
        <w:rPr>
          <w:noProof/>
        </w:rPr>
        <w:t>a 5 czerwca 2025</w:t>
      </w:r>
      <w:r w:rsidR="00201A9A" w:rsidRPr="00201A9A">
        <w:rPr>
          <w:noProof/>
        </w:rPr>
        <w:t> </w:t>
      </w:r>
      <w:r w:rsidRPr="00201A9A">
        <w:rPr>
          <w:noProof/>
        </w:rPr>
        <w:t>r.,</w:t>
      </w:r>
      <w:r w:rsidR="00201A9A" w:rsidRPr="00201A9A">
        <w:rPr>
          <w:noProof/>
        </w:rPr>
        <w:t xml:space="preserve"> w któ</w:t>
      </w:r>
      <w:r w:rsidRPr="00201A9A">
        <w:rPr>
          <w:noProof/>
        </w:rPr>
        <w:t>rym określono kompleksową strategię na rzecz lepszej ochrony oceanów, promowania dobrze prosperującej niebieskiej gospodarki</w:t>
      </w:r>
      <w:r w:rsidR="00201A9A" w:rsidRPr="00201A9A">
        <w:rPr>
          <w:noProof/>
        </w:rPr>
        <w:t xml:space="preserve"> i wsp</w:t>
      </w:r>
      <w:r w:rsidRPr="00201A9A">
        <w:rPr>
          <w:noProof/>
        </w:rPr>
        <w:t>ierania dobrostanu osób mieszkających na obszarach przybrzeżnych;</w:t>
      </w:r>
    </w:p>
    <w:p w14:paraId="20FDE4E8" w14:textId="07BF2AB4" w:rsidR="00DF0DB0" w:rsidRPr="00201A9A" w:rsidRDefault="00DF0DB0" w:rsidP="00004583">
      <w:pPr>
        <w:pStyle w:val="Bullet0"/>
        <w:rPr>
          <w:noProof/>
        </w:rPr>
      </w:pPr>
      <w:r w:rsidRPr="00201A9A">
        <w:rPr>
          <w:noProof/>
        </w:rPr>
        <w:t>komunikat</w:t>
      </w:r>
      <w:r w:rsidR="00201A9A" w:rsidRPr="00201A9A">
        <w:rPr>
          <w:noProof/>
        </w:rPr>
        <w:t xml:space="preserve"> w spr</w:t>
      </w:r>
      <w:r w:rsidRPr="00201A9A">
        <w:rPr>
          <w:noProof/>
        </w:rPr>
        <w:t>awie strategii na rzecz unii gotowości – zapobieganie nowym zagrożeniom</w:t>
      </w:r>
      <w:r w:rsidR="00201A9A" w:rsidRPr="00201A9A">
        <w:rPr>
          <w:noProof/>
        </w:rPr>
        <w:t xml:space="preserve"> i kry</w:t>
      </w:r>
      <w:r w:rsidRPr="00201A9A">
        <w:rPr>
          <w:noProof/>
        </w:rPr>
        <w:t xml:space="preserve">zysom oraz reagowanie na nie; </w:t>
      </w:r>
    </w:p>
    <w:p w14:paraId="47434C48" w14:textId="289014D1" w:rsidR="006615DC" w:rsidRPr="00201A9A" w:rsidRDefault="000C70BB" w:rsidP="000C70BB">
      <w:pPr>
        <w:pStyle w:val="Bullet0"/>
        <w:rPr>
          <w:noProof/>
        </w:rPr>
      </w:pPr>
      <w:r w:rsidRPr="00201A9A">
        <w:rPr>
          <w:noProof/>
        </w:rPr>
        <w:t>pakiety zbiorcze przyjęte</w:t>
      </w:r>
      <w:r w:rsidR="00201A9A" w:rsidRPr="00201A9A">
        <w:rPr>
          <w:noProof/>
        </w:rPr>
        <w:t xml:space="preserve"> w 2</w:t>
      </w:r>
      <w:r w:rsidRPr="00201A9A">
        <w:rPr>
          <w:noProof/>
        </w:rPr>
        <w:t>025</w:t>
      </w:r>
      <w:r w:rsidR="00201A9A" w:rsidRPr="00201A9A">
        <w:rPr>
          <w:noProof/>
        </w:rPr>
        <w:t> </w:t>
      </w:r>
      <w:r w:rsidRPr="00201A9A">
        <w:rPr>
          <w:noProof/>
        </w:rPr>
        <w:t>r.,</w:t>
      </w:r>
      <w:r w:rsidRPr="00201A9A">
        <w:rPr>
          <w:rStyle w:val="FootnoteReference"/>
          <w:noProof/>
          <w:lang w:eastAsia="en-IE"/>
        </w:rPr>
        <w:footnoteReference w:id="8"/>
      </w:r>
      <w:r w:rsidRPr="00201A9A">
        <w:rPr>
          <w:noProof/>
        </w:rPr>
        <w:t xml:space="preserve"> mające na celu m.in. uproszczenie, spójność</w:t>
      </w:r>
      <w:r w:rsidR="00201A9A" w:rsidRPr="00201A9A">
        <w:rPr>
          <w:noProof/>
        </w:rPr>
        <w:t xml:space="preserve"> z inn</w:t>
      </w:r>
      <w:r w:rsidRPr="00201A9A">
        <w:rPr>
          <w:noProof/>
        </w:rPr>
        <w:t>ymi aktami prawnymi oraz zmniejszenie liczby punktów danych. Akt</w:t>
      </w:r>
      <w:r w:rsidR="00201A9A" w:rsidRPr="00201A9A">
        <w:rPr>
          <w:noProof/>
        </w:rPr>
        <w:t xml:space="preserve"> w spr</w:t>
      </w:r>
      <w:r w:rsidRPr="00201A9A">
        <w:rPr>
          <w:noProof/>
        </w:rPr>
        <w:t>awie przemysłu neutralnego emisyjnie</w:t>
      </w:r>
      <w:r w:rsidR="00201A9A" w:rsidRPr="00201A9A">
        <w:rPr>
          <w:noProof/>
        </w:rPr>
        <w:t xml:space="preserve"> i akt w spr</w:t>
      </w:r>
      <w:r w:rsidRPr="00201A9A">
        <w:rPr>
          <w:noProof/>
        </w:rPr>
        <w:t>awie surowców krytycznych, również</w:t>
      </w:r>
      <w:r w:rsidR="00201A9A" w:rsidRPr="00201A9A">
        <w:rPr>
          <w:noProof/>
        </w:rPr>
        <w:t xml:space="preserve"> z per</w:t>
      </w:r>
      <w:r w:rsidRPr="00201A9A">
        <w:rPr>
          <w:noProof/>
        </w:rPr>
        <w:t>spektywy krótkich terminów wydawania pozwoleń;</w:t>
      </w:r>
    </w:p>
    <w:p w14:paraId="7BD2423D" w14:textId="6D5FF521" w:rsidR="002962F6" w:rsidRPr="00201A9A" w:rsidRDefault="002962F6" w:rsidP="002962F6">
      <w:pPr>
        <w:pStyle w:val="Bullet0"/>
        <w:rPr>
          <w:noProof/>
        </w:rPr>
      </w:pPr>
      <w:r w:rsidRPr="00201A9A">
        <w:rPr>
          <w:noProof/>
        </w:rPr>
        <w:t>komunikat Komisji</w:t>
      </w:r>
      <w:r w:rsidR="00201A9A" w:rsidRPr="00201A9A">
        <w:rPr>
          <w:noProof/>
        </w:rPr>
        <w:t xml:space="preserve"> z dni</w:t>
      </w:r>
      <w:r w:rsidRPr="00201A9A">
        <w:rPr>
          <w:noProof/>
        </w:rPr>
        <w:t>a 5 czerwca 2025</w:t>
      </w:r>
      <w:r w:rsidR="00201A9A" w:rsidRPr="00201A9A">
        <w:rPr>
          <w:noProof/>
        </w:rPr>
        <w:t> </w:t>
      </w:r>
      <w:r w:rsidRPr="00201A9A">
        <w:rPr>
          <w:noProof/>
        </w:rPr>
        <w:t>r.</w:t>
      </w:r>
      <w:r w:rsidR="00201A9A" w:rsidRPr="00201A9A">
        <w:rPr>
          <w:noProof/>
        </w:rPr>
        <w:t xml:space="preserve"> w spr</w:t>
      </w:r>
      <w:r w:rsidRPr="00201A9A">
        <w:rPr>
          <w:noProof/>
        </w:rPr>
        <w:t>awie europejskiej strategii odporności gospodarki wodnej;</w:t>
      </w:r>
    </w:p>
    <w:p w14:paraId="4C44276E" w14:textId="488A63A7" w:rsidR="002962F6" w:rsidRPr="00201A9A" w:rsidRDefault="002962F6" w:rsidP="002962F6">
      <w:pPr>
        <w:pStyle w:val="Bullet0"/>
        <w:rPr>
          <w:noProof/>
        </w:rPr>
      </w:pPr>
      <w:r w:rsidRPr="00201A9A">
        <w:rPr>
          <w:noProof/>
        </w:rPr>
        <w:t>program polityki „Droga ku cyfrowej dekadzie” do</w:t>
      </w:r>
      <w:r w:rsidR="00201A9A" w:rsidRPr="00201A9A">
        <w:rPr>
          <w:noProof/>
        </w:rPr>
        <w:t> </w:t>
      </w:r>
      <w:r w:rsidRPr="00201A9A">
        <w:rPr>
          <w:noProof/>
        </w:rPr>
        <w:t>2030</w:t>
      </w:r>
      <w:r w:rsidR="00201A9A" w:rsidRPr="00201A9A">
        <w:rPr>
          <w:noProof/>
        </w:rPr>
        <w:t> </w:t>
      </w:r>
      <w:r w:rsidRPr="00201A9A">
        <w:rPr>
          <w:noProof/>
        </w:rPr>
        <w:t>r., ustanowiony decyzją Parlamentu Europejskiego</w:t>
      </w:r>
      <w:r w:rsidR="00201A9A" w:rsidRPr="00201A9A">
        <w:rPr>
          <w:noProof/>
        </w:rPr>
        <w:t xml:space="preserve"> i Rad</w:t>
      </w:r>
      <w:r w:rsidRPr="00201A9A">
        <w:rPr>
          <w:noProof/>
        </w:rPr>
        <w:t>y (UE) 2022/2481,</w:t>
      </w:r>
      <w:r w:rsidR="00201A9A" w:rsidRPr="00201A9A">
        <w:rPr>
          <w:noProof/>
        </w:rPr>
        <w:t xml:space="preserve"> w któ</w:t>
      </w:r>
      <w:r w:rsidRPr="00201A9A">
        <w:rPr>
          <w:noProof/>
        </w:rPr>
        <w:t>rym określono cele Unii</w:t>
      </w:r>
      <w:r w:rsidR="00201A9A" w:rsidRPr="00201A9A">
        <w:rPr>
          <w:noProof/>
        </w:rPr>
        <w:t xml:space="preserve"> i war</w:t>
      </w:r>
      <w:r w:rsidRPr="00201A9A">
        <w:rPr>
          <w:noProof/>
        </w:rPr>
        <w:t>tości docelowe</w:t>
      </w:r>
      <w:r w:rsidR="00201A9A" w:rsidRPr="00201A9A">
        <w:rPr>
          <w:noProof/>
        </w:rPr>
        <w:t xml:space="preserve"> w zak</w:t>
      </w:r>
      <w:r w:rsidRPr="00201A9A">
        <w:rPr>
          <w:noProof/>
        </w:rPr>
        <w:t>resie transformacji cyfrowej na</w:t>
      </w:r>
      <w:r w:rsidR="00201A9A" w:rsidRPr="00201A9A">
        <w:rPr>
          <w:noProof/>
        </w:rPr>
        <w:t> </w:t>
      </w:r>
      <w:r w:rsidRPr="00201A9A">
        <w:rPr>
          <w:noProof/>
        </w:rPr>
        <w:t>2030</w:t>
      </w:r>
      <w:r w:rsidR="00201A9A" w:rsidRPr="00201A9A">
        <w:rPr>
          <w:noProof/>
        </w:rPr>
        <w:t> </w:t>
      </w:r>
      <w:r w:rsidRPr="00201A9A">
        <w:rPr>
          <w:noProof/>
        </w:rPr>
        <w:t>r.</w:t>
      </w:r>
      <w:r w:rsidR="00201A9A" w:rsidRPr="00201A9A">
        <w:rPr>
          <w:noProof/>
        </w:rPr>
        <w:t xml:space="preserve"> i prz</w:t>
      </w:r>
      <w:r w:rsidRPr="00201A9A">
        <w:rPr>
          <w:noProof/>
        </w:rPr>
        <w:t>ewidziano mechanizm monitorowania</w:t>
      </w:r>
      <w:r w:rsidR="00201A9A" w:rsidRPr="00201A9A">
        <w:rPr>
          <w:noProof/>
        </w:rPr>
        <w:t xml:space="preserve"> i wsp</w:t>
      </w:r>
      <w:r w:rsidRPr="00201A9A">
        <w:rPr>
          <w:noProof/>
        </w:rPr>
        <w:t>ółpracy oparty na krajowych strategicznych planach działania dotyczących cyfrowej dekady; coroczne komunikaty na temat stanu cyfrowej dekady, zawierające ocenę postępów Unii</w:t>
      </w:r>
      <w:r w:rsidR="00201A9A" w:rsidRPr="00201A9A">
        <w:rPr>
          <w:noProof/>
        </w:rPr>
        <w:t xml:space="preserve"> w rea</w:t>
      </w:r>
      <w:r w:rsidRPr="00201A9A">
        <w:rPr>
          <w:noProof/>
        </w:rPr>
        <w:t>lizacji celów cyfrowych na</w:t>
      </w:r>
      <w:r w:rsidR="00201A9A" w:rsidRPr="00201A9A">
        <w:rPr>
          <w:noProof/>
        </w:rPr>
        <w:t> </w:t>
      </w:r>
      <w:r w:rsidRPr="00201A9A">
        <w:rPr>
          <w:noProof/>
        </w:rPr>
        <w:t>2030</w:t>
      </w:r>
      <w:r w:rsidR="00201A9A" w:rsidRPr="00201A9A">
        <w:rPr>
          <w:noProof/>
        </w:rPr>
        <w:t> </w:t>
      </w:r>
      <w:r w:rsidRPr="00201A9A">
        <w:rPr>
          <w:noProof/>
        </w:rPr>
        <w:t xml:space="preserve">r. oraz praktyczne zalecenia dla każdego państwa członkowskiego; </w:t>
      </w:r>
    </w:p>
    <w:p w14:paraId="6DA977CE" w14:textId="6FCA39B9" w:rsidR="002962F6" w:rsidRPr="00201A9A" w:rsidRDefault="002962F6" w:rsidP="002962F6">
      <w:pPr>
        <w:pStyle w:val="Bullet0"/>
        <w:rPr>
          <w:noProof/>
        </w:rPr>
      </w:pPr>
      <w:r w:rsidRPr="00201A9A">
        <w:rPr>
          <w:noProof/>
        </w:rPr>
        <w:t>komunikat Komisji</w:t>
      </w:r>
      <w:r w:rsidR="00201A9A" w:rsidRPr="00201A9A">
        <w:rPr>
          <w:noProof/>
        </w:rPr>
        <w:t xml:space="preserve"> w spr</w:t>
      </w:r>
      <w:r w:rsidRPr="00201A9A">
        <w:rPr>
          <w:noProof/>
        </w:rPr>
        <w:t xml:space="preserve">awie Planu działania na rzecz kontynentu sztucznej inteligencji; </w:t>
      </w:r>
    </w:p>
    <w:p w14:paraId="196619AB" w14:textId="689B9E85" w:rsidR="002962F6" w:rsidRPr="00201A9A" w:rsidRDefault="002962F6" w:rsidP="002962F6">
      <w:pPr>
        <w:pStyle w:val="Bullet0"/>
        <w:rPr>
          <w:noProof/>
        </w:rPr>
      </w:pPr>
      <w:r w:rsidRPr="00201A9A">
        <w:rPr>
          <w:noProof/>
        </w:rPr>
        <w:t>komunikat Komisji</w:t>
      </w:r>
      <w:r w:rsidR="00201A9A" w:rsidRPr="00201A9A">
        <w:rPr>
          <w:noProof/>
        </w:rPr>
        <w:t xml:space="preserve"> z dni</w:t>
      </w:r>
      <w:r w:rsidRPr="00201A9A">
        <w:rPr>
          <w:noProof/>
        </w:rPr>
        <w:t>a 19 marca 2025</w:t>
      </w:r>
      <w:r w:rsidR="00201A9A" w:rsidRPr="00201A9A">
        <w:rPr>
          <w:noProof/>
        </w:rPr>
        <w:t> </w:t>
      </w:r>
      <w:r w:rsidRPr="00201A9A">
        <w:rPr>
          <w:noProof/>
        </w:rPr>
        <w:t>r.</w:t>
      </w:r>
      <w:r w:rsidR="00201A9A" w:rsidRPr="00201A9A">
        <w:rPr>
          <w:noProof/>
        </w:rPr>
        <w:t xml:space="preserve"> w spr</w:t>
      </w:r>
      <w:r w:rsidRPr="00201A9A">
        <w:rPr>
          <w:noProof/>
        </w:rPr>
        <w:t>awie unii oszczędności</w:t>
      </w:r>
      <w:r w:rsidR="00201A9A" w:rsidRPr="00201A9A">
        <w:rPr>
          <w:noProof/>
        </w:rPr>
        <w:t xml:space="preserve"> i inw</w:t>
      </w:r>
      <w:r w:rsidRPr="00201A9A">
        <w:rPr>
          <w:noProof/>
        </w:rPr>
        <w:t>estycji</w:t>
      </w:r>
      <w:r w:rsidRPr="00201A9A">
        <w:rPr>
          <w:rStyle w:val="FootnoteReference"/>
          <w:noProof/>
        </w:rPr>
        <w:footnoteReference w:id="9"/>
      </w:r>
      <w:r w:rsidRPr="00201A9A">
        <w:rPr>
          <w:noProof/>
        </w:rPr>
        <w:t>,</w:t>
      </w:r>
      <w:r w:rsidR="00201A9A" w:rsidRPr="00201A9A">
        <w:rPr>
          <w:noProof/>
        </w:rPr>
        <w:t xml:space="preserve"> w któ</w:t>
      </w:r>
      <w:r w:rsidRPr="00201A9A">
        <w:rPr>
          <w:noProof/>
        </w:rPr>
        <w:t>rym przedstawiono środki mające na celu stworzenie lepszych możliwości inwestycyjnych dla obywateli UE</w:t>
      </w:r>
      <w:r w:rsidR="00201A9A" w:rsidRPr="00201A9A">
        <w:rPr>
          <w:noProof/>
        </w:rPr>
        <w:t xml:space="preserve"> i moż</w:t>
      </w:r>
      <w:r w:rsidRPr="00201A9A">
        <w:rPr>
          <w:noProof/>
        </w:rPr>
        <w:t xml:space="preserve">liwości finansowania dla unijnych przedsiębiorstw, dzięki czemu rynki finansowe staną się horyzontalnym czynnikiem umożliwiającym osiągnięcie celów strategicznych UE. </w:t>
      </w:r>
    </w:p>
    <w:p w14:paraId="7CF36419" w14:textId="647DEA93" w:rsidR="00004583" w:rsidRPr="00201A9A" w:rsidRDefault="0091695F" w:rsidP="00C9037A">
      <w:pPr>
        <w:rPr>
          <w:noProof/>
        </w:rPr>
      </w:pPr>
      <w:r w:rsidRPr="00201A9A">
        <w:rPr>
          <w:noProof/>
        </w:rPr>
        <w:t>Inicjatywa ta zapewni również spójność</w:t>
      </w:r>
      <w:r w:rsidR="00201A9A" w:rsidRPr="00201A9A">
        <w:rPr>
          <w:noProof/>
        </w:rPr>
        <w:t xml:space="preserve"> z Eur</w:t>
      </w:r>
      <w:r w:rsidRPr="00201A9A">
        <w:rPr>
          <w:noProof/>
        </w:rPr>
        <w:t>opejskim prawem</w:t>
      </w:r>
      <w:r w:rsidR="00201A9A" w:rsidRPr="00201A9A">
        <w:rPr>
          <w:noProof/>
        </w:rPr>
        <w:t xml:space="preserve"> o kli</w:t>
      </w:r>
      <w:r w:rsidRPr="00201A9A">
        <w:rPr>
          <w:noProof/>
        </w:rPr>
        <w:t>macie zgodnie</w:t>
      </w:r>
      <w:r w:rsidR="00201A9A" w:rsidRPr="00201A9A">
        <w:rPr>
          <w:noProof/>
        </w:rPr>
        <w:t xml:space="preserve"> z wym</w:t>
      </w:r>
      <w:r w:rsidRPr="00201A9A">
        <w:rPr>
          <w:noProof/>
        </w:rPr>
        <w:t>ogami art.</w:t>
      </w:r>
      <w:r w:rsidR="00201A9A" w:rsidRPr="00201A9A">
        <w:rPr>
          <w:noProof/>
        </w:rPr>
        <w:t> </w:t>
      </w:r>
      <w:r w:rsidRPr="00201A9A">
        <w:rPr>
          <w:noProof/>
        </w:rPr>
        <w:t>6 ust.</w:t>
      </w:r>
      <w:r w:rsidR="00201A9A" w:rsidRPr="00201A9A">
        <w:rPr>
          <w:noProof/>
        </w:rPr>
        <w:t> </w:t>
      </w:r>
      <w:r w:rsidRPr="00201A9A">
        <w:rPr>
          <w:noProof/>
        </w:rPr>
        <w:t>4 rozporządzenia (UE) 2021/1119.</w:t>
      </w:r>
    </w:p>
    <w:p w14:paraId="20540F04" w14:textId="77777777" w:rsidR="00794A16" w:rsidRPr="00201A9A" w:rsidRDefault="00794A16" w:rsidP="00794A16">
      <w:pPr>
        <w:pStyle w:val="ManualHeading1"/>
        <w:rPr>
          <w:noProof/>
        </w:rPr>
      </w:pPr>
      <w:r w:rsidRPr="00201A9A">
        <w:rPr>
          <w:noProof/>
        </w:rPr>
        <w:t>2.</w:t>
      </w:r>
      <w:r w:rsidRPr="00201A9A">
        <w:rPr>
          <w:noProof/>
        </w:rPr>
        <w:tab/>
        <w:t>PODSTAWA PRAWNA, POMOCNICZOŚĆ I PROPORCJONALNOŚĆ</w:t>
      </w:r>
    </w:p>
    <w:p w14:paraId="53D0D0B6" w14:textId="77777777" w:rsidR="00794A16" w:rsidRPr="00201A9A" w:rsidRDefault="00794A16" w:rsidP="00794A16">
      <w:pPr>
        <w:pStyle w:val="ManualHeading2"/>
        <w:rPr>
          <w:rFonts w:eastAsia="Arial Unicode MS"/>
          <w:noProof/>
          <w:u w:color="000000"/>
          <w:bdr w:val="nil"/>
        </w:rPr>
      </w:pPr>
      <w:r w:rsidRPr="00201A9A">
        <w:rPr>
          <w:noProof/>
          <w:u w:color="000000"/>
          <w:bdr w:val="nil"/>
        </w:rPr>
        <w:t>•</w:t>
      </w:r>
      <w:r w:rsidRPr="00201A9A">
        <w:rPr>
          <w:noProof/>
        </w:rPr>
        <w:tab/>
      </w:r>
      <w:r w:rsidRPr="00201A9A">
        <w:rPr>
          <w:noProof/>
          <w:u w:color="000000"/>
          <w:bdr w:val="nil"/>
        </w:rPr>
        <w:t>Podstawa prawna</w:t>
      </w:r>
    </w:p>
    <w:p w14:paraId="0CE3C22B" w14:textId="77777777" w:rsidR="00794A16" w:rsidRPr="00201A9A" w:rsidRDefault="00794A16" w:rsidP="00794A16">
      <w:pPr>
        <w:rPr>
          <w:noProof/>
        </w:rPr>
      </w:pPr>
      <w:r w:rsidRPr="00201A9A">
        <w:rPr>
          <w:noProof/>
        </w:rPr>
        <w:t>Działanie UE znajduje wiele podstaw prawnych odzwierciedlających rozmaite polityki wspierane przez Fundusz:</w:t>
      </w:r>
    </w:p>
    <w:p w14:paraId="189C9C41" w14:textId="286CA077" w:rsidR="00794A16" w:rsidRPr="00201A9A" w:rsidRDefault="00794A16" w:rsidP="00794A16">
      <w:pPr>
        <w:pStyle w:val="Bullet0"/>
        <w:rPr>
          <w:noProof/>
        </w:rPr>
      </w:pPr>
      <w:r w:rsidRPr="00201A9A">
        <w:rPr>
          <w:noProof/>
        </w:rPr>
        <w:t>Art. 174 TFUE zobowiązuje UE do wspierania spójności gospodarczej, społecznej</w:t>
      </w:r>
      <w:r w:rsidR="00201A9A" w:rsidRPr="00201A9A">
        <w:rPr>
          <w:noProof/>
        </w:rPr>
        <w:t xml:space="preserve"> i ter</w:t>
      </w:r>
      <w:r w:rsidRPr="00201A9A">
        <w:rPr>
          <w:noProof/>
        </w:rPr>
        <w:t>ytorialnej.</w:t>
      </w:r>
    </w:p>
    <w:p w14:paraId="4B2318AB" w14:textId="0DEC1B7D" w:rsidR="00794A16" w:rsidRPr="00201A9A" w:rsidRDefault="00794A16" w:rsidP="00794A16">
      <w:pPr>
        <w:pStyle w:val="Bullet0"/>
        <w:rPr>
          <w:noProof/>
        </w:rPr>
      </w:pPr>
      <w:r w:rsidRPr="00201A9A">
        <w:rPr>
          <w:noProof/>
        </w:rPr>
        <w:t>W art.</w:t>
      </w:r>
      <w:r w:rsidR="00201A9A" w:rsidRPr="00201A9A">
        <w:rPr>
          <w:noProof/>
        </w:rPr>
        <w:t> </w:t>
      </w:r>
      <w:r w:rsidRPr="00201A9A">
        <w:rPr>
          <w:noProof/>
        </w:rPr>
        <w:t>176, 177</w:t>
      </w:r>
      <w:r w:rsidR="00201A9A" w:rsidRPr="00201A9A">
        <w:rPr>
          <w:noProof/>
        </w:rPr>
        <w:t xml:space="preserve"> i 1</w:t>
      </w:r>
      <w:r w:rsidRPr="00201A9A">
        <w:rPr>
          <w:noProof/>
        </w:rPr>
        <w:t>62 TFUE ustanowiono odpowiednio Europejski Fundusz Rozwoju Regionalnego, Fundusz Spójności</w:t>
      </w:r>
      <w:r w:rsidR="00201A9A" w:rsidRPr="00201A9A">
        <w:rPr>
          <w:noProof/>
        </w:rPr>
        <w:t xml:space="preserve"> i Eur</w:t>
      </w:r>
      <w:r w:rsidRPr="00201A9A">
        <w:rPr>
          <w:noProof/>
        </w:rPr>
        <w:t xml:space="preserve">opejski Fundusz Społeczny oraz określono ich odpowiednie cele. </w:t>
      </w:r>
    </w:p>
    <w:p w14:paraId="1C7634A9" w14:textId="1559F454" w:rsidR="00A42774" w:rsidRPr="00201A9A" w:rsidRDefault="00794A16" w:rsidP="00052A4D">
      <w:pPr>
        <w:pStyle w:val="Bullet0"/>
        <w:rPr>
          <w:noProof/>
        </w:rPr>
      </w:pPr>
      <w:r w:rsidRPr="00201A9A">
        <w:rPr>
          <w:noProof/>
        </w:rPr>
        <w:t>W art.</w:t>
      </w:r>
      <w:r w:rsidR="00201A9A" w:rsidRPr="00201A9A">
        <w:rPr>
          <w:noProof/>
        </w:rPr>
        <w:t> </w:t>
      </w:r>
      <w:r w:rsidRPr="00201A9A">
        <w:rPr>
          <w:noProof/>
        </w:rPr>
        <w:t>38</w:t>
      </w:r>
      <w:r w:rsidR="00201A9A" w:rsidRPr="00201A9A">
        <w:rPr>
          <w:noProof/>
        </w:rPr>
        <w:t xml:space="preserve"> i art</w:t>
      </w:r>
      <w:r w:rsidRPr="00201A9A">
        <w:rPr>
          <w:noProof/>
        </w:rPr>
        <w:t>.</w:t>
      </w:r>
      <w:r w:rsidR="00201A9A" w:rsidRPr="00201A9A">
        <w:rPr>
          <w:noProof/>
        </w:rPr>
        <w:t> </w:t>
      </w:r>
      <w:r w:rsidRPr="00201A9A">
        <w:rPr>
          <w:noProof/>
        </w:rPr>
        <w:t>42 ust.</w:t>
      </w:r>
      <w:r w:rsidR="00201A9A" w:rsidRPr="00201A9A">
        <w:rPr>
          <w:noProof/>
        </w:rPr>
        <w:t> </w:t>
      </w:r>
      <w:r w:rsidRPr="00201A9A">
        <w:rPr>
          <w:noProof/>
        </w:rPr>
        <w:t>3 TFUE upoważniono Unię do określania</w:t>
      </w:r>
      <w:r w:rsidR="00201A9A" w:rsidRPr="00201A9A">
        <w:rPr>
          <w:noProof/>
        </w:rPr>
        <w:t xml:space="preserve"> i wdr</w:t>
      </w:r>
      <w:r w:rsidRPr="00201A9A">
        <w:rPr>
          <w:noProof/>
        </w:rPr>
        <w:t>ażania wspólnej polityki rolnej (WPRyb)</w:t>
      </w:r>
      <w:r w:rsidR="00201A9A" w:rsidRPr="00201A9A">
        <w:rPr>
          <w:noProof/>
        </w:rPr>
        <w:t xml:space="preserve"> i wsp</w:t>
      </w:r>
      <w:r w:rsidRPr="00201A9A">
        <w:rPr>
          <w:noProof/>
        </w:rPr>
        <w:t>ólnej polityki rybołówstwa (WPRyb)</w:t>
      </w:r>
      <w:r w:rsidR="00201A9A" w:rsidRPr="00201A9A">
        <w:rPr>
          <w:noProof/>
        </w:rPr>
        <w:t>. W art</w:t>
      </w:r>
      <w:r w:rsidRPr="00201A9A">
        <w:rPr>
          <w:noProof/>
        </w:rPr>
        <w:t>.</w:t>
      </w:r>
      <w:r w:rsidR="00201A9A" w:rsidRPr="00201A9A">
        <w:rPr>
          <w:noProof/>
        </w:rPr>
        <w:t> </w:t>
      </w:r>
      <w:r w:rsidRPr="00201A9A">
        <w:rPr>
          <w:noProof/>
        </w:rPr>
        <w:t>39 TFUE określono cele WPR, które obejmują zwiększenie wydajności rolnictwa, zapewnienie odpowiedniego poziomu życia ludności wiejskiej, stabilizację rynków, zagwarantowanie bezpieczeństwa dostaw oraz zapewnienie rozsądnych cen</w:t>
      </w:r>
      <w:r w:rsidR="00201A9A" w:rsidRPr="00201A9A">
        <w:rPr>
          <w:noProof/>
        </w:rPr>
        <w:t xml:space="preserve"> w dos</w:t>
      </w:r>
      <w:r w:rsidRPr="00201A9A">
        <w:rPr>
          <w:noProof/>
        </w:rPr>
        <w:t>tawach dla konsumentów</w:t>
      </w:r>
      <w:r w:rsidR="00201A9A" w:rsidRPr="00201A9A">
        <w:rPr>
          <w:noProof/>
        </w:rPr>
        <w:t>. W art</w:t>
      </w:r>
      <w:r w:rsidRPr="00201A9A">
        <w:rPr>
          <w:noProof/>
        </w:rPr>
        <w:t>.</w:t>
      </w:r>
      <w:r w:rsidR="00201A9A" w:rsidRPr="00201A9A">
        <w:rPr>
          <w:noProof/>
        </w:rPr>
        <w:t> </w:t>
      </w:r>
      <w:r w:rsidRPr="00201A9A">
        <w:rPr>
          <w:noProof/>
        </w:rPr>
        <w:t>42 TFUE umożliwiono Unii określenie zakresu,</w:t>
      </w:r>
      <w:r w:rsidR="00201A9A" w:rsidRPr="00201A9A">
        <w:rPr>
          <w:noProof/>
        </w:rPr>
        <w:t xml:space="preserve"> w jak</w:t>
      </w:r>
      <w:r w:rsidRPr="00201A9A">
        <w:rPr>
          <w:noProof/>
        </w:rPr>
        <w:t>im unijne reguły konkurencji</w:t>
      </w:r>
      <w:r w:rsidR="00201A9A" w:rsidRPr="00201A9A">
        <w:rPr>
          <w:noProof/>
        </w:rPr>
        <w:t xml:space="preserve"> i pom</w:t>
      </w:r>
      <w:r w:rsidRPr="00201A9A">
        <w:rPr>
          <w:noProof/>
        </w:rPr>
        <w:t>ocy państwa mają zastosowanie do produkcji rolnej</w:t>
      </w:r>
      <w:r w:rsidR="00201A9A" w:rsidRPr="00201A9A">
        <w:rPr>
          <w:noProof/>
        </w:rPr>
        <w:t xml:space="preserve"> i han</w:t>
      </w:r>
      <w:r w:rsidRPr="00201A9A">
        <w:rPr>
          <w:noProof/>
        </w:rPr>
        <w:t>dlu produktami rolnymi wymienionymi</w:t>
      </w:r>
      <w:r w:rsidR="00201A9A" w:rsidRPr="00201A9A">
        <w:rPr>
          <w:noProof/>
        </w:rPr>
        <w:t xml:space="preserve"> w zał</w:t>
      </w:r>
      <w:r w:rsidRPr="00201A9A">
        <w:rPr>
          <w:noProof/>
        </w:rPr>
        <w:t>ączniku I do TFUE.</w:t>
      </w:r>
    </w:p>
    <w:p w14:paraId="7DCEF761" w14:textId="780F97E5" w:rsidR="00794A16" w:rsidRPr="00201A9A" w:rsidRDefault="00794A16" w:rsidP="00052A4D">
      <w:pPr>
        <w:pStyle w:val="Bullet0"/>
        <w:rPr>
          <w:noProof/>
        </w:rPr>
      </w:pPr>
      <w:r w:rsidRPr="00201A9A">
        <w:rPr>
          <w:noProof/>
        </w:rPr>
        <w:t>W art.</w:t>
      </w:r>
      <w:r w:rsidR="00201A9A" w:rsidRPr="00201A9A">
        <w:rPr>
          <w:noProof/>
        </w:rPr>
        <w:t> </w:t>
      </w:r>
      <w:r w:rsidRPr="00201A9A">
        <w:rPr>
          <w:noProof/>
        </w:rPr>
        <w:t>175 TFUE wymieniono fundusze strukturalne, które wspierają osiągnięcie spójności gospodarczej, społecznej</w:t>
      </w:r>
      <w:r w:rsidR="00201A9A" w:rsidRPr="00201A9A">
        <w:rPr>
          <w:noProof/>
        </w:rPr>
        <w:t xml:space="preserve"> i ter</w:t>
      </w:r>
      <w:r w:rsidRPr="00201A9A">
        <w:rPr>
          <w:noProof/>
        </w:rPr>
        <w:t>ytorialnej – Europejski Fundusz Orientacji</w:t>
      </w:r>
      <w:r w:rsidR="00201A9A" w:rsidRPr="00201A9A">
        <w:rPr>
          <w:noProof/>
        </w:rPr>
        <w:t xml:space="preserve"> i Gwa</w:t>
      </w:r>
      <w:r w:rsidRPr="00201A9A">
        <w:rPr>
          <w:noProof/>
        </w:rPr>
        <w:t>rancji Rolnej, Sekcja Orientacji; Europejski Fundusz Społeczny; Europejski Fundusz Rozwoju Regionalnego. Art. 177 TFUE stanowi, że „Parlament Europejski</w:t>
      </w:r>
      <w:r w:rsidR="00201A9A" w:rsidRPr="00201A9A">
        <w:rPr>
          <w:noProof/>
        </w:rPr>
        <w:t xml:space="preserve"> i Rad</w:t>
      </w:r>
      <w:r w:rsidRPr="00201A9A">
        <w:rPr>
          <w:noProof/>
        </w:rPr>
        <w:t xml:space="preserve">a [...] określają zadania, cele priorytetowe oraz organizację funduszy strukturalnych, co może obejmować grupowanie funduszy”. </w:t>
      </w:r>
    </w:p>
    <w:p w14:paraId="07F54917" w14:textId="77777777" w:rsidR="00794A16" w:rsidRPr="00201A9A" w:rsidRDefault="00794A16" w:rsidP="00794A16">
      <w:pPr>
        <w:pStyle w:val="ManualHeading2"/>
        <w:rPr>
          <w:rFonts w:eastAsia="Arial Unicode MS"/>
          <w:noProof/>
          <w:u w:color="000000"/>
          <w:bdr w:val="nil"/>
        </w:rPr>
      </w:pPr>
      <w:r w:rsidRPr="00201A9A">
        <w:rPr>
          <w:noProof/>
          <w:u w:color="000000"/>
          <w:bdr w:val="nil"/>
        </w:rPr>
        <w:t>•</w:t>
      </w:r>
      <w:r w:rsidRPr="00201A9A">
        <w:rPr>
          <w:noProof/>
        </w:rPr>
        <w:tab/>
      </w:r>
      <w:r w:rsidRPr="00201A9A">
        <w:rPr>
          <w:noProof/>
          <w:u w:color="000000"/>
          <w:bdr w:val="nil"/>
        </w:rPr>
        <w:t xml:space="preserve">Pomocniczość (w przypadku kompetencji niewyłącznych) </w:t>
      </w:r>
    </w:p>
    <w:p w14:paraId="6801ACC7" w14:textId="49EBA3D0" w:rsidR="00794A16" w:rsidRPr="00201A9A" w:rsidRDefault="00794A16" w:rsidP="00794A16">
      <w:pPr>
        <w:pBdr>
          <w:top w:val="nil"/>
          <w:left w:val="nil"/>
          <w:bottom w:val="nil"/>
          <w:right w:val="nil"/>
          <w:between w:val="nil"/>
          <w:bar w:val="nil"/>
        </w:pBdr>
        <w:spacing w:before="0" w:after="240"/>
        <w:rPr>
          <w:rFonts w:eastAsia="Times New Roman"/>
          <w:noProof/>
        </w:rPr>
      </w:pPr>
      <w:r w:rsidRPr="00201A9A">
        <w:rPr>
          <w:noProof/>
        </w:rPr>
        <w:t>Państwa członkowskie nie mogą osiągnąć celów niniejszego wniosku, działając samodzielnie, gdyż przedmiotowe wyzwania mają charakter transgraniczny</w:t>
      </w:r>
      <w:r w:rsidR="00201A9A" w:rsidRPr="00201A9A">
        <w:rPr>
          <w:noProof/>
        </w:rPr>
        <w:t xml:space="preserve"> i nie</w:t>
      </w:r>
      <w:r w:rsidRPr="00201A9A">
        <w:rPr>
          <w:noProof/>
        </w:rPr>
        <w:t xml:space="preserve"> ograniczają się do pojedynczych państw członkowskich ani do podgrupy państw członkowskich.</w:t>
      </w:r>
    </w:p>
    <w:p w14:paraId="234E3BB1" w14:textId="6B239ED5" w:rsidR="00794A16" w:rsidRPr="00201A9A" w:rsidRDefault="00794A16" w:rsidP="00794A16">
      <w:pPr>
        <w:pBdr>
          <w:top w:val="nil"/>
          <w:left w:val="nil"/>
          <w:bottom w:val="nil"/>
          <w:right w:val="nil"/>
          <w:between w:val="nil"/>
          <w:bar w:val="nil"/>
        </w:pBdr>
        <w:rPr>
          <w:rFonts w:eastAsia="Times New Roman"/>
          <w:noProof/>
        </w:rPr>
      </w:pPr>
      <w:r w:rsidRPr="00201A9A">
        <w:rPr>
          <w:noProof/>
        </w:rPr>
        <w:t>Wstępny przydział środków na poziomie krajowym odgrywa kluczową rolę</w:t>
      </w:r>
      <w:r w:rsidR="00201A9A" w:rsidRPr="00201A9A">
        <w:rPr>
          <w:noProof/>
        </w:rPr>
        <w:t xml:space="preserve"> w rea</w:t>
      </w:r>
      <w:r w:rsidRPr="00201A9A">
        <w:rPr>
          <w:noProof/>
        </w:rPr>
        <w:t>lizacji priorytetów UE we wszystkich państwach członkowskich</w:t>
      </w:r>
      <w:r w:rsidR="00201A9A" w:rsidRPr="00201A9A">
        <w:rPr>
          <w:noProof/>
        </w:rPr>
        <w:t xml:space="preserve"> i reg</w:t>
      </w:r>
      <w:r w:rsidRPr="00201A9A">
        <w:rPr>
          <w:noProof/>
        </w:rPr>
        <w:t>ionach. Na przykład polityka spójności promuje integrację</w:t>
      </w:r>
      <w:r w:rsidR="00201A9A" w:rsidRPr="00201A9A">
        <w:rPr>
          <w:noProof/>
        </w:rPr>
        <w:t xml:space="preserve"> i wsp</w:t>
      </w:r>
      <w:r w:rsidRPr="00201A9A">
        <w:rPr>
          <w:noProof/>
        </w:rPr>
        <w:t>ółpracę między państwami członkowskimi, przyczyniając się do zmniejszenia dysproporcji regionalnych</w:t>
      </w:r>
      <w:r w:rsidR="00201A9A" w:rsidRPr="00201A9A">
        <w:rPr>
          <w:noProof/>
        </w:rPr>
        <w:t xml:space="preserve"> w pań</w:t>
      </w:r>
      <w:r w:rsidRPr="00201A9A">
        <w:rPr>
          <w:noProof/>
        </w:rPr>
        <w:t>stwach członkowskich</w:t>
      </w:r>
      <w:r w:rsidR="00201A9A" w:rsidRPr="00201A9A">
        <w:rPr>
          <w:noProof/>
        </w:rPr>
        <w:t xml:space="preserve"> i mię</w:t>
      </w:r>
      <w:r w:rsidRPr="00201A9A">
        <w:rPr>
          <w:noProof/>
        </w:rPr>
        <w:t>dzy nimi. Wspólna polityka rolna zapewnia równe warunki działania dla państw członkowskich</w:t>
      </w:r>
      <w:r w:rsidR="00201A9A" w:rsidRPr="00201A9A">
        <w:rPr>
          <w:noProof/>
        </w:rPr>
        <w:t xml:space="preserve"> i rol</w:t>
      </w:r>
      <w:r w:rsidRPr="00201A9A">
        <w:rPr>
          <w:noProof/>
        </w:rPr>
        <w:t>ników na jednolitym rynku, gwarantując bezpieczeństwo żywnościowe</w:t>
      </w:r>
      <w:r w:rsidR="00201A9A" w:rsidRPr="00201A9A">
        <w:rPr>
          <w:noProof/>
        </w:rPr>
        <w:t xml:space="preserve"> w cał</w:t>
      </w:r>
      <w:r w:rsidRPr="00201A9A">
        <w:rPr>
          <w:noProof/>
        </w:rPr>
        <w:t>ej Unii, zwiększając atrakcyjność sektora również dla młodych rolników</w:t>
      </w:r>
      <w:r w:rsidR="00201A9A" w:rsidRPr="00201A9A">
        <w:rPr>
          <w:noProof/>
        </w:rPr>
        <w:t xml:space="preserve"> i now</w:t>
      </w:r>
      <w:r w:rsidRPr="00201A9A">
        <w:rPr>
          <w:noProof/>
        </w:rPr>
        <w:t>ych podmiotów oraz podejmując wyzwania</w:t>
      </w:r>
      <w:r w:rsidR="00201A9A" w:rsidRPr="00201A9A">
        <w:rPr>
          <w:noProof/>
        </w:rPr>
        <w:t xml:space="preserve"> o cha</w:t>
      </w:r>
      <w:r w:rsidRPr="00201A9A">
        <w:rPr>
          <w:noProof/>
        </w:rPr>
        <w:t>rakterze transgranicznym</w:t>
      </w:r>
      <w:r w:rsidR="00201A9A" w:rsidRPr="00201A9A">
        <w:rPr>
          <w:noProof/>
        </w:rPr>
        <w:t xml:space="preserve"> i glo</w:t>
      </w:r>
      <w:r w:rsidRPr="00201A9A">
        <w:rPr>
          <w:noProof/>
        </w:rPr>
        <w:t>balnym</w:t>
      </w:r>
      <w:r w:rsidR="00201A9A" w:rsidRPr="00201A9A">
        <w:rPr>
          <w:noProof/>
        </w:rPr>
        <w:t>. Z och</w:t>
      </w:r>
      <w:r w:rsidRPr="00201A9A">
        <w:rPr>
          <w:noProof/>
        </w:rPr>
        <w:t>roną zasobów morskich, będącą wyłączną kompetencją UE, wiąże się na nałożenie na Unię odpowiedzialności</w:t>
      </w:r>
      <w:r w:rsidR="00201A9A" w:rsidRPr="00201A9A">
        <w:rPr>
          <w:noProof/>
        </w:rPr>
        <w:t xml:space="preserve"> w zak</w:t>
      </w:r>
      <w:r w:rsidRPr="00201A9A">
        <w:rPr>
          <w:noProof/>
        </w:rPr>
        <w:t>resie kształtowania</w:t>
      </w:r>
      <w:r w:rsidR="00201A9A" w:rsidRPr="00201A9A">
        <w:rPr>
          <w:noProof/>
        </w:rPr>
        <w:t xml:space="preserve"> i fin</w:t>
      </w:r>
      <w:r w:rsidRPr="00201A9A">
        <w:rPr>
          <w:noProof/>
        </w:rPr>
        <w:t>ansowania polityki</w:t>
      </w:r>
      <w:r w:rsidR="00201A9A" w:rsidRPr="00201A9A">
        <w:rPr>
          <w:noProof/>
        </w:rPr>
        <w:t>. W dzi</w:t>
      </w:r>
      <w:r w:rsidRPr="00201A9A">
        <w:rPr>
          <w:noProof/>
        </w:rPr>
        <w:t>edzinie spraw wewnętrznych finansowanie unijne jest niezbędne do zapewnienia wspólnego podejścia</w:t>
      </w:r>
      <w:r w:rsidR="00201A9A" w:rsidRPr="00201A9A">
        <w:rPr>
          <w:noProof/>
        </w:rPr>
        <w:t xml:space="preserve"> i wsp</w:t>
      </w:r>
      <w:r w:rsidRPr="00201A9A">
        <w:rPr>
          <w:noProof/>
        </w:rPr>
        <w:t>ierania współpracy</w:t>
      </w:r>
      <w:r w:rsidR="00201A9A" w:rsidRPr="00201A9A">
        <w:rPr>
          <w:noProof/>
        </w:rPr>
        <w:t xml:space="preserve"> w prz</w:t>
      </w:r>
      <w:r w:rsidRPr="00201A9A">
        <w:rPr>
          <w:noProof/>
        </w:rPr>
        <w:t>estrzeni wolności, bezpieczeństwa</w:t>
      </w:r>
      <w:r w:rsidR="00201A9A" w:rsidRPr="00201A9A">
        <w:rPr>
          <w:noProof/>
        </w:rPr>
        <w:t xml:space="preserve"> i spr</w:t>
      </w:r>
      <w:r w:rsidRPr="00201A9A">
        <w:rPr>
          <w:noProof/>
        </w:rPr>
        <w:t xml:space="preserve">awiedliwości. </w:t>
      </w:r>
    </w:p>
    <w:p w14:paraId="0B54B046" w14:textId="71FED75D" w:rsidR="00794A16" w:rsidRPr="00201A9A" w:rsidRDefault="00794A16" w:rsidP="00794A16">
      <w:pPr>
        <w:pBdr>
          <w:top w:val="nil"/>
          <w:left w:val="nil"/>
          <w:bottom w:val="nil"/>
          <w:right w:val="nil"/>
          <w:between w:val="nil"/>
          <w:bar w:val="nil"/>
        </w:pBdr>
        <w:rPr>
          <w:rFonts w:eastAsia="Times New Roman"/>
          <w:noProof/>
        </w:rPr>
      </w:pPr>
      <w:r w:rsidRPr="00201A9A">
        <w:rPr>
          <w:noProof/>
        </w:rPr>
        <w:t>Finansowanie na poziomie Unii jest również niezbędne do wspierania dóbr publicznych UE, którym państwa członkowskie przyznają niedostateczny priorytet, na przykład ze względu na niedoskonałości rynku, ale które przynoszą znaczne korzyści</w:t>
      </w:r>
      <w:r w:rsidR="00201A9A" w:rsidRPr="00201A9A">
        <w:rPr>
          <w:noProof/>
        </w:rPr>
        <w:t xml:space="preserve"> w cał</w:t>
      </w:r>
      <w:r w:rsidRPr="00201A9A">
        <w:rPr>
          <w:noProof/>
        </w:rPr>
        <w:t>ej UE, takie jak projekty transgraniczne lub ważne projekty stanowiące przedmiot wspólnego europejskiego zainteresowania.</w:t>
      </w:r>
    </w:p>
    <w:p w14:paraId="4AFB1F08" w14:textId="72D9BD3E" w:rsidR="00794A16" w:rsidRPr="00201A9A" w:rsidRDefault="00794A16" w:rsidP="00794A16">
      <w:pPr>
        <w:pBdr>
          <w:top w:val="nil"/>
          <w:left w:val="nil"/>
          <w:bottom w:val="nil"/>
          <w:right w:val="nil"/>
          <w:between w:val="nil"/>
          <w:bar w:val="nil"/>
        </w:pBdr>
        <w:rPr>
          <w:noProof/>
        </w:rPr>
      </w:pPr>
      <w:r w:rsidRPr="00201A9A">
        <w:rPr>
          <w:noProof/>
        </w:rPr>
        <w:t>Podjęcie tych wyzwań za pośrednictwem wstępnego przydziału środków na poziomie krajowym zapewniłoby wartość dodaną, tworząc poczucie odpowiedzialności</w:t>
      </w:r>
      <w:r w:rsidR="00201A9A" w:rsidRPr="00201A9A">
        <w:rPr>
          <w:noProof/>
        </w:rPr>
        <w:t xml:space="preserve"> i gwa</w:t>
      </w:r>
      <w:r w:rsidRPr="00201A9A">
        <w:rPr>
          <w:noProof/>
        </w:rPr>
        <w:t>rantując uwzględnienie</w:t>
      </w:r>
      <w:r w:rsidR="00201A9A" w:rsidRPr="00201A9A">
        <w:rPr>
          <w:noProof/>
        </w:rPr>
        <w:t xml:space="preserve"> w ram</w:t>
      </w:r>
      <w:r w:rsidRPr="00201A9A">
        <w:rPr>
          <w:noProof/>
        </w:rPr>
        <w:t>ach tego wsparcia szczególnych potrzeb każdego państwa członkowskiego</w:t>
      </w:r>
      <w:r w:rsidR="00201A9A" w:rsidRPr="00201A9A">
        <w:rPr>
          <w:noProof/>
        </w:rPr>
        <w:t xml:space="preserve"> i jeg</w:t>
      </w:r>
      <w:r w:rsidRPr="00201A9A">
        <w:rPr>
          <w:noProof/>
        </w:rPr>
        <w:t>o regionów. Pomogłoby to również UE</w:t>
      </w:r>
      <w:r w:rsidR="00201A9A" w:rsidRPr="00201A9A">
        <w:rPr>
          <w:noProof/>
        </w:rPr>
        <w:t xml:space="preserve"> w sku</w:t>
      </w:r>
      <w:r w:rsidRPr="00201A9A">
        <w:rPr>
          <w:noProof/>
        </w:rPr>
        <w:t>teczniejszym osiągnięciu jej celów politycznych poprzez powiązanie finansowania unijnego</w:t>
      </w:r>
      <w:r w:rsidR="00201A9A" w:rsidRPr="00201A9A">
        <w:rPr>
          <w:noProof/>
        </w:rPr>
        <w:t xml:space="preserve"> z ref</w:t>
      </w:r>
      <w:r w:rsidRPr="00201A9A">
        <w:rPr>
          <w:noProof/>
        </w:rPr>
        <w:t>ormami, zwiększając tym samym wpływ UE</w:t>
      </w:r>
      <w:r w:rsidR="00201A9A" w:rsidRPr="00201A9A">
        <w:rPr>
          <w:noProof/>
        </w:rPr>
        <w:t xml:space="preserve"> w cel</w:t>
      </w:r>
      <w:r w:rsidRPr="00201A9A">
        <w:rPr>
          <w:noProof/>
        </w:rPr>
        <w:t>u zachęcania państw członkowskich do pokonywania przeszkód instytucjonalnych</w:t>
      </w:r>
      <w:r w:rsidR="00201A9A" w:rsidRPr="00201A9A">
        <w:rPr>
          <w:noProof/>
        </w:rPr>
        <w:t xml:space="preserve"> i reg</w:t>
      </w:r>
      <w:r w:rsidRPr="00201A9A">
        <w:rPr>
          <w:noProof/>
        </w:rPr>
        <w:t>ulacyjnych utrudniających realizację priorytetów polityki UE oraz udzielania im pomocy</w:t>
      </w:r>
      <w:r w:rsidR="00201A9A" w:rsidRPr="00201A9A">
        <w:rPr>
          <w:noProof/>
        </w:rPr>
        <w:t xml:space="preserve"> w tym</w:t>
      </w:r>
      <w:r w:rsidRPr="00201A9A">
        <w:rPr>
          <w:noProof/>
        </w:rPr>
        <w:t xml:space="preserve"> zakresie. Reformy mogą również przyczynić się do pogłębienia pozytywnego wpływu inwestycji, mnożąc tym samym wartość każdego wydanego euro. </w:t>
      </w:r>
    </w:p>
    <w:p w14:paraId="1EE25930" w14:textId="77777777" w:rsidR="00794A16" w:rsidRPr="00201A9A" w:rsidRDefault="00794A16" w:rsidP="00794A16">
      <w:pPr>
        <w:pStyle w:val="ManualHeading2"/>
        <w:rPr>
          <w:rFonts w:eastAsia="Arial Unicode MS"/>
          <w:noProof/>
          <w:u w:color="000000"/>
          <w:bdr w:val="nil"/>
        </w:rPr>
      </w:pPr>
      <w:r w:rsidRPr="00201A9A">
        <w:rPr>
          <w:noProof/>
          <w:u w:color="000000"/>
          <w:bdr w:val="nil"/>
        </w:rPr>
        <w:t>•</w:t>
      </w:r>
      <w:r w:rsidRPr="00201A9A">
        <w:rPr>
          <w:noProof/>
        </w:rPr>
        <w:tab/>
      </w:r>
      <w:r w:rsidRPr="00201A9A">
        <w:rPr>
          <w:noProof/>
          <w:u w:color="000000"/>
          <w:bdr w:val="nil"/>
        </w:rPr>
        <w:t>Proporcjonalność</w:t>
      </w:r>
    </w:p>
    <w:p w14:paraId="6C8453C3" w14:textId="4D1B4F73" w:rsidR="00794A16" w:rsidRPr="00201A9A" w:rsidRDefault="00794A16" w:rsidP="00794A16">
      <w:pPr>
        <w:pBdr>
          <w:top w:val="nil"/>
          <w:left w:val="nil"/>
          <w:bottom w:val="nil"/>
          <w:right w:val="nil"/>
          <w:between w:val="nil"/>
          <w:bar w:val="nil"/>
        </w:pBdr>
        <w:rPr>
          <w:noProof/>
        </w:rPr>
      </w:pPr>
      <w:r w:rsidRPr="00201A9A">
        <w:rPr>
          <w:noProof/>
        </w:rPr>
        <w:t>Zgodnie</w:t>
      </w:r>
      <w:r w:rsidR="00201A9A" w:rsidRPr="00201A9A">
        <w:rPr>
          <w:noProof/>
        </w:rPr>
        <w:t xml:space="preserve"> z zas</w:t>
      </w:r>
      <w:r w:rsidRPr="00201A9A">
        <w:rPr>
          <w:noProof/>
        </w:rPr>
        <w:t>adą proporcjonalności proponowane rozporządzenie nie wykracza poza to, co jest niezbędne do osiągnięcia jego celów wymienionych</w:t>
      </w:r>
      <w:r w:rsidR="00201A9A" w:rsidRPr="00201A9A">
        <w:rPr>
          <w:noProof/>
        </w:rPr>
        <w:t xml:space="preserve"> w sek</w:t>
      </w:r>
      <w:r w:rsidRPr="00201A9A">
        <w:rPr>
          <w:noProof/>
        </w:rPr>
        <w:t>cji 1. Wniosek ma</w:t>
      </w:r>
      <w:r w:rsidR="00201A9A" w:rsidRPr="00201A9A">
        <w:rPr>
          <w:noProof/>
        </w:rPr>
        <w:t xml:space="preserve"> w szc</w:t>
      </w:r>
      <w:r w:rsidRPr="00201A9A">
        <w:rPr>
          <w:noProof/>
        </w:rPr>
        <w:t>zególności na celu wspieranie wcześniejszych wysiłków na rzecz uproszczenia poprzez dalsze ujednolicenie</w:t>
      </w:r>
      <w:r w:rsidR="00201A9A" w:rsidRPr="00201A9A">
        <w:rPr>
          <w:noProof/>
        </w:rPr>
        <w:t xml:space="preserve"> i kon</w:t>
      </w:r>
      <w:r w:rsidRPr="00201A9A">
        <w:rPr>
          <w:noProof/>
        </w:rPr>
        <w:t>solidację przepisów oraz zapewnienie większego nacisku na wyniki</w:t>
      </w:r>
      <w:r w:rsidR="00201A9A" w:rsidRPr="00201A9A">
        <w:rPr>
          <w:noProof/>
        </w:rPr>
        <w:t xml:space="preserve"> i ela</w:t>
      </w:r>
      <w:r w:rsidRPr="00201A9A">
        <w:rPr>
          <w:noProof/>
        </w:rPr>
        <w:t>styczność, aby zmaksymalizować skuteczność wydatków UE</w:t>
      </w:r>
      <w:r w:rsidR="00201A9A" w:rsidRPr="00201A9A">
        <w:rPr>
          <w:noProof/>
        </w:rPr>
        <w:t xml:space="preserve"> i zdo</w:t>
      </w:r>
      <w:r w:rsidRPr="00201A9A">
        <w:rPr>
          <w:noProof/>
        </w:rPr>
        <w:t xml:space="preserve">lności reagowania za ich pomocą. </w:t>
      </w:r>
    </w:p>
    <w:p w14:paraId="2B8E4B10" w14:textId="77777777" w:rsidR="00794A16" w:rsidRPr="00201A9A" w:rsidRDefault="00794A16" w:rsidP="00794A16">
      <w:pPr>
        <w:pStyle w:val="ManualHeading2"/>
        <w:rPr>
          <w:rFonts w:eastAsia="Arial Unicode MS"/>
          <w:noProof/>
          <w:u w:color="000000"/>
          <w:bdr w:val="nil"/>
        </w:rPr>
      </w:pPr>
      <w:r w:rsidRPr="00201A9A">
        <w:rPr>
          <w:noProof/>
          <w:u w:color="000000"/>
          <w:bdr w:val="nil"/>
        </w:rPr>
        <w:t>•</w:t>
      </w:r>
      <w:r w:rsidRPr="00201A9A">
        <w:rPr>
          <w:noProof/>
        </w:rPr>
        <w:tab/>
      </w:r>
      <w:r w:rsidRPr="00201A9A">
        <w:rPr>
          <w:noProof/>
          <w:u w:color="000000"/>
          <w:bdr w:val="nil"/>
        </w:rPr>
        <w:t>Wybór instrumentu</w:t>
      </w:r>
    </w:p>
    <w:p w14:paraId="0CE27BF5" w14:textId="51FB400C" w:rsidR="00794A16" w:rsidRPr="00201A9A" w:rsidRDefault="00794A16" w:rsidP="00794A16">
      <w:pPr>
        <w:pBdr>
          <w:top w:val="nil"/>
          <w:left w:val="nil"/>
          <w:bottom w:val="nil"/>
          <w:right w:val="nil"/>
          <w:between w:val="nil"/>
          <w:bar w:val="nil"/>
        </w:pBdr>
        <w:rPr>
          <w:noProof/>
        </w:rPr>
      </w:pPr>
      <w:r w:rsidRPr="00201A9A">
        <w:rPr>
          <w:noProof/>
        </w:rPr>
        <w:t>Najwłaściwszym sposobem wdrożenia proponowanych ram jest rozporządzenie ustanawiające fundusz</w:t>
      </w:r>
      <w:r w:rsidR="00201A9A" w:rsidRPr="00201A9A">
        <w:rPr>
          <w:noProof/>
        </w:rPr>
        <w:t xml:space="preserve"> o sze</w:t>
      </w:r>
      <w:r w:rsidRPr="00201A9A">
        <w:rPr>
          <w:noProof/>
        </w:rPr>
        <w:t>rokim zakresie kwalifikowalności</w:t>
      </w:r>
      <w:r w:rsidR="00201A9A" w:rsidRPr="00201A9A">
        <w:rPr>
          <w:noProof/>
        </w:rPr>
        <w:t xml:space="preserve"> i okr</w:t>
      </w:r>
      <w:r w:rsidRPr="00201A9A">
        <w:rPr>
          <w:noProof/>
        </w:rPr>
        <w:t>eślające jednolity zbiór przepisów regulujących plany partnerstwa krajowego</w:t>
      </w:r>
      <w:r w:rsidR="00201A9A" w:rsidRPr="00201A9A">
        <w:rPr>
          <w:noProof/>
        </w:rPr>
        <w:t xml:space="preserve"> i reg</w:t>
      </w:r>
      <w:r w:rsidRPr="00201A9A">
        <w:rPr>
          <w:noProof/>
        </w:rPr>
        <w:t>ionalnego, które mają zostać przygotowane przez każde państwo członkowskie na okres po</w:t>
      </w:r>
      <w:r w:rsidR="00201A9A" w:rsidRPr="00201A9A">
        <w:rPr>
          <w:noProof/>
        </w:rPr>
        <w:t> </w:t>
      </w:r>
      <w:r w:rsidRPr="00201A9A">
        <w:rPr>
          <w:noProof/>
        </w:rPr>
        <w:t>2027</w:t>
      </w:r>
      <w:r w:rsidR="00201A9A" w:rsidRPr="00201A9A">
        <w:rPr>
          <w:noProof/>
        </w:rPr>
        <w:t> </w:t>
      </w:r>
      <w:r w:rsidRPr="00201A9A">
        <w:rPr>
          <w:noProof/>
        </w:rPr>
        <w:t xml:space="preserve">r. </w:t>
      </w:r>
    </w:p>
    <w:p w14:paraId="67BA22FE" w14:textId="77777777" w:rsidR="00794A16" w:rsidRPr="00201A9A" w:rsidRDefault="00794A16" w:rsidP="00794A16">
      <w:pPr>
        <w:pStyle w:val="ManualHeading1"/>
        <w:rPr>
          <w:noProof/>
        </w:rPr>
      </w:pPr>
      <w:r w:rsidRPr="00201A9A">
        <w:rPr>
          <w:noProof/>
        </w:rPr>
        <w:t>3.</w:t>
      </w:r>
      <w:r w:rsidRPr="00201A9A">
        <w:rPr>
          <w:noProof/>
        </w:rPr>
        <w:tab/>
        <w:t>WYNIKI OCEN EX POST, KONSULTACJI Z ZAINTERESOWANYMI STRONAMI I OCEN SKUTKÓW</w:t>
      </w:r>
    </w:p>
    <w:p w14:paraId="6ADD64EE" w14:textId="1B958F00" w:rsidR="00794A16" w:rsidRPr="00201A9A" w:rsidRDefault="00794A16" w:rsidP="00794A16">
      <w:pPr>
        <w:pStyle w:val="ManualHeading2"/>
        <w:rPr>
          <w:rFonts w:eastAsia="Arial Unicode MS"/>
          <w:noProof/>
          <w:u w:color="000000"/>
          <w:bdr w:val="nil"/>
        </w:rPr>
      </w:pPr>
      <w:r w:rsidRPr="00201A9A">
        <w:rPr>
          <w:noProof/>
          <w:u w:color="000000"/>
          <w:bdr w:val="nil"/>
        </w:rPr>
        <w:t>•</w:t>
      </w:r>
      <w:r w:rsidRPr="00201A9A">
        <w:rPr>
          <w:noProof/>
        </w:rPr>
        <w:tab/>
      </w:r>
      <w:r w:rsidRPr="00201A9A">
        <w:rPr>
          <w:noProof/>
          <w:u w:color="000000"/>
          <w:bdr w:val="nil"/>
        </w:rPr>
        <w:t>Konsultacje</w:t>
      </w:r>
      <w:r w:rsidR="00201A9A" w:rsidRPr="00201A9A">
        <w:rPr>
          <w:noProof/>
          <w:u w:color="000000"/>
          <w:bdr w:val="nil"/>
        </w:rPr>
        <w:t xml:space="preserve"> z zai</w:t>
      </w:r>
      <w:r w:rsidRPr="00201A9A">
        <w:rPr>
          <w:noProof/>
          <w:u w:color="000000"/>
          <w:bdr w:val="nil"/>
        </w:rPr>
        <w:t>nteresowanymi stronami</w:t>
      </w:r>
    </w:p>
    <w:p w14:paraId="4A75E590" w14:textId="3BB84796" w:rsidR="00794A16" w:rsidRPr="00201A9A" w:rsidRDefault="00794A16" w:rsidP="00794A16">
      <w:pPr>
        <w:pBdr>
          <w:top w:val="nil"/>
          <w:left w:val="nil"/>
          <w:bottom w:val="nil"/>
          <w:right w:val="nil"/>
          <w:between w:val="nil"/>
          <w:bar w:val="nil"/>
        </w:pBdr>
        <w:rPr>
          <w:noProof/>
        </w:rPr>
      </w:pPr>
      <w:r w:rsidRPr="00201A9A">
        <w:rPr>
          <w:noProof/>
        </w:rPr>
        <w:t>Komisja aktywnie współpracowała</w:t>
      </w:r>
      <w:r w:rsidR="00201A9A" w:rsidRPr="00201A9A">
        <w:rPr>
          <w:noProof/>
        </w:rPr>
        <w:t xml:space="preserve"> z zai</w:t>
      </w:r>
      <w:r w:rsidRPr="00201A9A">
        <w:rPr>
          <w:noProof/>
        </w:rPr>
        <w:t>nteresowanymi stronami przy inicjatywie,</w:t>
      </w:r>
      <w:r w:rsidR="00201A9A" w:rsidRPr="00201A9A">
        <w:rPr>
          <w:noProof/>
        </w:rPr>
        <w:t xml:space="preserve"> w szc</w:t>
      </w:r>
      <w:r w:rsidRPr="00201A9A">
        <w:rPr>
          <w:noProof/>
        </w:rPr>
        <w:t>zególności poprzez:</w:t>
      </w:r>
    </w:p>
    <w:p w14:paraId="27F49CC1" w14:textId="4001419B" w:rsidR="00794A16" w:rsidRPr="00201A9A" w:rsidRDefault="00794A16" w:rsidP="00794A16">
      <w:pPr>
        <w:pStyle w:val="Bullet0"/>
        <w:rPr>
          <w:noProof/>
        </w:rPr>
      </w:pPr>
      <w:r w:rsidRPr="00201A9A">
        <w:rPr>
          <w:b/>
          <w:i/>
          <w:noProof/>
        </w:rPr>
        <w:t>specjalne wydarzenia</w:t>
      </w:r>
      <w:r w:rsidRPr="00201A9A">
        <w:rPr>
          <w:noProof/>
        </w:rPr>
        <w:t>, takie jak panel obywatelski na temat nowego budżetu europejskiego, doroczna konferencja budżetowa, Tour d’Europe (runda konsultacji przeprowadzona przez komisarza ds. budżetu, zwalczania nadużyć finansowych</w:t>
      </w:r>
      <w:r w:rsidR="00201A9A" w:rsidRPr="00201A9A">
        <w:rPr>
          <w:noProof/>
        </w:rPr>
        <w:t xml:space="preserve"> i adm</w:t>
      </w:r>
      <w:r w:rsidRPr="00201A9A">
        <w:rPr>
          <w:noProof/>
        </w:rPr>
        <w:t>inistracji publicznej we wszystkich państwach członkowskich</w:t>
      </w:r>
      <w:r w:rsidR="00201A9A" w:rsidRPr="00201A9A">
        <w:rPr>
          <w:noProof/>
        </w:rPr>
        <w:t xml:space="preserve"> i reg</w:t>
      </w:r>
      <w:r w:rsidRPr="00201A9A">
        <w:rPr>
          <w:noProof/>
        </w:rPr>
        <w:t>ionach) oraz</w:t>
      </w:r>
    </w:p>
    <w:p w14:paraId="6E2E70FA" w14:textId="13DC8900" w:rsidR="00794A16" w:rsidRPr="00201A9A" w:rsidRDefault="00794A16" w:rsidP="00794A16">
      <w:pPr>
        <w:pStyle w:val="Bullet0"/>
        <w:rPr>
          <w:noProof/>
        </w:rPr>
      </w:pPr>
      <w:r w:rsidRPr="00201A9A">
        <w:rPr>
          <w:b/>
          <w:i/>
          <w:noProof/>
        </w:rPr>
        <w:t>specjalne otwarte konsultacje publiczne</w:t>
      </w:r>
      <w:r w:rsidRPr="00201A9A">
        <w:rPr>
          <w:noProof/>
        </w:rPr>
        <w:t xml:space="preserve"> (trwające od</w:t>
      </w:r>
      <w:r w:rsidR="00201A9A" w:rsidRPr="00201A9A">
        <w:rPr>
          <w:noProof/>
        </w:rPr>
        <w:t> </w:t>
      </w:r>
      <w:r w:rsidRPr="00201A9A">
        <w:rPr>
          <w:noProof/>
        </w:rPr>
        <w:t>12 lutego do</w:t>
      </w:r>
      <w:r w:rsidR="00201A9A" w:rsidRPr="00201A9A">
        <w:rPr>
          <w:noProof/>
        </w:rPr>
        <w:t> </w:t>
      </w:r>
      <w:r w:rsidRPr="00201A9A">
        <w:rPr>
          <w:noProof/>
        </w:rPr>
        <w:t>7 maja 2025</w:t>
      </w:r>
      <w:r w:rsidR="00201A9A" w:rsidRPr="00201A9A">
        <w:rPr>
          <w:noProof/>
        </w:rPr>
        <w:t> </w:t>
      </w:r>
      <w:r w:rsidRPr="00201A9A">
        <w:rPr>
          <w:noProof/>
        </w:rPr>
        <w:t>r.)</w:t>
      </w:r>
      <w:r w:rsidR="00CD2B8C" w:rsidRPr="00201A9A">
        <w:rPr>
          <w:noProof/>
        </w:rPr>
        <w:t>.</w:t>
      </w:r>
    </w:p>
    <w:p w14:paraId="06B110FF" w14:textId="313D6604" w:rsidR="00794A16" w:rsidRPr="00201A9A" w:rsidRDefault="00794A16" w:rsidP="00794A16">
      <w:pPr>
        <w:rPr>
          <w:noProof/>
        </w:rPr>
      </w:pPr>
      <w:r w:rsidRPr="00201A9A">
        <w:rPr>
          <w:noProof/>
          <w:color w:val="000000" w:themeColor="text1"/>
        </w:rPr>
        <w:t>Konsultacje</w:t>
      </w:r>
      <w:r w:rsidR="00201A9A" w:rsidRPr="00201A9A">
        <w:rPr>
          <w:noProof/>
          <w:color w:val="000000" w:themeColor="text1"/>
        </w:rPr>
        <w:t xml:space="preserve"> z zai</w:t>
      </w:r>
      <w:r w:rsidRPr="00201A9A">
        <w:rPr>
          <w:noProof/>
          <w:color w:val="000000" w:themeColor="text1"/>
        </w:rPr>
        <w:t>nteresowanymi stronami przyniosły podobne wnioski jak ocena skutków, wskazując jako kluczowe cechy przyszłych ram finansowania potrzebę uproszczenia, zwiększenia elastyczności</w:t>
      </w:r>
      <w:r w:rsidR="00201A9A" w:rsidRPr="00201A9A">
        <w:rPr>
          <w:noProof/>
          <w:color w:val="000000" w:themeColor="text1"/>
        </w:rPr>
        <w:t xml:space="preserve"> i zna</w:t>
      </w:r>
      <w:r w:rsidRPr="00201A9A">
        <w:rPr>
          <w:noProof/>
          <w:color w:val="000000" w:themeColor="text1"/>
        </w:rPr>
        <w:t>czenia zapewnienia wsparcia wszystkim regionom</w:t>
      </w:r>
      <w:r w:rsidR="00201A9A" w:rsidRPr="00201A9A">
        <w:rPr>
          <w:noProof/>
          <w:color w:val="000000" w:themeColor="text1"/>
        </w:rPr>
        <w:t xml:space="preserve"> w opa</w:t>
      </w:r>
      <w:r w:rsidRPr="00201A9A">
        <w:rPr>
          <w:noProof/>
          <w:color w:val="000000" w:themeColor="text1"/>
        </w:rPr>
        <w:t>rciu</w:t>
      </w:r>
      <w:r w:rsidR="00201A9A" w:rsidRPr="00201A9A">
        <w:rPr>
          <w:noProof/>
          <w:color w:val="000000" w:themeColor="text1"/>
        </w:rPr>
        <w:t xml:space="preserve"> o ich</w:t>
      </w:r>
      <w:r w:rsidRPr="00201A9A">
        <w:rPr>
          <w:noProof/>
          <w:color w:val="000000" w:themeColor="text1"/>
        </w:rPr>
        <w:t xml:space="preserve"> szczególne potrzeby, odchodząc od jednolitych alokacji. </w:t>
      </w:r>
      <w:r w:rsidRPr="00201A9A">
        <w:rPr>
          <w:noProof/>
        </w:rPr>
        <w:t>Głównym problemem pozostaje niwelowanie różnic strukturalnych,</w:t>
      </w:r>
      <w:r w:rsidR="00201A9A" w:rsidRPr="00201A9A">
        <w:rPr>
          <w:noProof/>
        </w:rPr>
        <w:t xml:space="preserve"> w tym</w:t>
      </w:r>
      <w:r w:rsidRPr="00201A9A">
        <w:rPr>
          <w:noProof/>
        </w:rPr>
        <w:t xml:space="preserve"> utrzymujących się różnic społecznych, gospodarczych, regionalnych</w:t>
      </w:r>
      <w:r w:rsidR="00201A9A" w:rsidRPr="00201A9A">
        <w:rPr>
          <w:noProof/>
        </w:rPr>
        <w:t xml:space="preserve"> i ter</w:t>
      </w:r>
      <w:r w:rsidRPr="00201A9A">
        <w:rPr>
          <w:noProof/>
        </w:rPr>
        <w:t>ytorialnych,</w:t>
      </w:r>
      <w:r w:rsidR="00201A9A" w:rsidRPr="00201A9A">
        <w:rPr>
          <w:noProof/>
        </w:rPr>
        <w:t xml:space="preserve"> a tak</w:t>
      </w:r>
      <w:r w:rsidRPr="00201A9A">
        <w:rPr>
          <w:noProof/>
        </w:rPr>
        <w:t>że potrzeba zwiększenia zdolności administracyjnych. Priorytetem było również wzmocnienie wielopoziomowego zarządzania</w:t>
      </w:r>
      <w:r w:rsidR="00201A9A" w:rsidRPr="00201A9A">
        <w:rPr>
          <w:noProof/>
        </w:rPr>
        <w:t xml:space="preserve"> i udz</w:t>
      </w:r>
      <w:r w:rsidRPr="00201A9A">
        <w:rPr>
          <w:noProof/>
        </w:rPr>
        <w:t xml:space="preserve">iału zainteresowanych stron. </w:t>
      </w:r>
    </w:p>
    <w:p w14:paraId="51E5C8F3" w14:textId="29C5EFD2" w:rsidR="00794A16" w:rsidRPr="00201A9A" w:rsidRDefault="00794A16" w:rsidP="00794A16">
      <w:pPr>
        <w:rPr>
          <w:rFonts w:eastAsia="Times New Roman"/>
          <w:noProof/>
          <w:color w:val="000000" w:themeColor="text1"/>
        </w:rPr>
      </w:pPr>
      <w:r w:rsidRPr="00201A9A">
        <w:rPr>
          <w:noProof/>
          <w:color w:val="000000" w:themeColor="text1"/>
        </w:rPr>
        <w:t>Obawy zgłaszane przez zainteresowane strony uwzględniono</w:t>
      </w:r>
      <w:r w:rsidR="00201A9A" w:rsidRPr="00201A9A">
        <w:rPr>
          <w:noProof/>
          <w:color w:val="000000" w:themeColor="text1"/>
        </w:rPr>
        <w:t xml:space="preserve"> w pos</w:t>
      </w:r>
      <w:r w:rsidRPr="00201A9A">
        <w:rPr>
          <w:noProof/>
          <w:color w:val="000000" w:themeColor="text1"/>
        </w:rPr>
        <w:t>zczególnych środkach upraszczających zawartych</w:t>
      </w:r>
      <w:r w:rsidR="00201A9A" w:rsidRPr="00201A9A">
        <w:rPr>
          <w:noProof/>
          <w:color w:val="000000" w:themeColor="text1"/>
        </w:rPr>
        <w:t xml:space="preserve"> w roz</w:t>
      </w:r>
      <w:r w:rsidRPr="00201A9A">
        <w:rPr>
          <w:noProof/>
          <w:color w:val="000000" w:themeColor="text1"/>
        </w:rPr>
        <w:t>porządzeniu</w:t>
      </w:r>
      <w:r w:rsidR="00201A9A" w:rsidRPr="00201A9A">
        <w:rPr>
          <w:noProof/>
          <w:color w:val="000000" w:themeColor="text1"/>
        </w:rPr>
        <w:t xml:space="preserve"> w spr</w:t>
      </w:r>
      <w:r w:rsidRPr="00201A9A">
        <w:rPr>
          <w:noProof/>
          <w:color w:val="000000" w:themeColor="text1"/>
        </w:rPr>
        <w:t>awie Funduszu,</w:t>
      </w:r>
      <w:r w:rsidR="00201A9A" w:rsidRPr="00201A9A">
        <w:rPr>
          <w:noProof/>
          <w:color w:val="000000" w:themeColor="text1"/>
        </w:rPr>
        <w:t xml:space="preserve"> a tak</w:t>
      </w:r>
      <w:r w:rsidRPr="00201A9A">
        <w:rPr>
          <w:noProof/>
          <w:color w:val="000000" w:themeColor="text1"/>
        </w:rPr>
        <w:t>że</w:t>
      </w:r>
      <w:r w:rsidR="00201A9A" w:rsidRPr="00201A9A">
        <w:rPr>
          <w:noProof/>
          <w:color w:val="000000" w:themeColor="text1"/>
        </w:rPr>
        <w:t xml:space="preserve"> w pos</w:t>
      </w:r>
      <w:r w:rsidRPr="00201A9A">
        <w:rPr>
          <w:noProof/>
          <w:color w:val="000000" w:themeColor="text1"/>
        </w:rPr>
        <w:t>zczególnych przepisach regulujących opracowywanie</w:t>
      </w:r>
      <w:r w:rsidR="00201A9A" w:rsidRPr="00201A9A">
        <w:rPr>
          <w:noProof/>
          <w:color w:val="000000" w:themeColor="text1"/>
        </w:rPr>
        <w:t xml:space="preserve"> i wdr</w:t>
      </w:r>
      <w:r w:rsidRPr="00201A9A">
        <w:rPr>
          <w:noProof/>
          <w:color w:val="000000" w:themeColor="text1"/>
        </w:rPr>
        <w:t>ażanie planów.</w:t>
      </w:r>
    </w:p>
    <w:p w14:paraId="775AE299" w14:textId="3539E2DF" w:rsidR="00794A16" w:rsidRPr="00201A9A" w:rsidRDefault="00794A16" w:rsidP="00794A16">
      <w:pPr>
        <w:pStyle w:val="ManualHeading2"/>
        <w:rPr>
          <w:rFonts w:eastAsia="Arial Unicode MS"/>
          <w:noProof/>
          <w:u w:color="000000"/>
          <w:bdr w:val="nil"/>
        </w:rPr>
      </w:pPr>
      <w:r w:rsidRPr="00201A9A">
        <w:rPr>
          <w:noProof/>
          <w:u w:color="000000"/>
          <w:bdr w:val="nil"/>
        </w:rPr>
        <w:t>•</w:t>
      </w:r>
      <w:r w:rsidRPr="00201A9A">
        <w:rPr>
          <w:noProof/>
        </w:rPr>
        <w:tab/>
      </w:r>
      <w:r w:rsidRPr="00201A9A">
        <w:rPr>
          <w:noProof/>
          <w:u w:color="000000"/>
          <w:bdr w:val="nil"/>
        </w:rPr>
        <w:t>Gromadzenie</w:t>
      </w:r>
      <w:r w:rsidR="00201A9A" w:rsidRPr="00201A9A">
        <w:rPr>
          <w:noProof/>
          <w:u w:color="000000"/>
          <w:bdr w:val="nil"/>
        </w:rPr>
        <w:t xml:space="preserve"> i wyk</w:t>
      </w:r>
      <w:r w:rsidRPr="00201A9A">
        <w:rPr>
          <w:noProof/>
          <w:u w:color="000000"/>
          <w:bdr w:val="nil"/>
        </w:rPr>
        <w:t>orzystanie wiedzy eksperckiej</w:t>
      </w:r>
    </w:p>
    <w:p w14:paraId="74B3FCFE" w14:textId="5544F1C0" w:rsidR="00794A16" w:rsidRPr="00201A9A" w:rsidRDefault="00794A16" w:rsidP="00794A16">
      <w:pPr>
        <w:pBdr>
          <w:top w:val="nil"/>
          <w:left w:val="nil"/>
          <w:bottom w:val="nil"/>
          <w:right w:val="nil"/>
          <w:between w:val="nil"/>
          <w:bar w:val="nil"/>
        </w:pBdr>
        <w:rPr>
          <w:rFonts w:eastAsia="Arial Unicode MS"/>
          <w:noProof/>
          <w:color w:val="000000" w:themeColor="text1"/>
        </w:rPr>
      </w:pPr>
      <w:r w:rsidRPr="00201A9A">
        <w:rPr>
          <w:noProof/>
          <w:color w:val="000000"/>
          <w:bdr w:val="nil"/>
        </w:rPr>
        <w:t>Przygotowanie przez Komisję oceny skutków</w:t>
      </w:r>
      <w:r w:rsidR="00201A9A" w:rsidRPr="00201A9A">
        <w:rPr>
          <w:noProof/>
          <w:color w:val="000000"/>
          <w:bdr w:val="nil"/>
        </w:rPr>
        <w:t xml:space="preserve"> i pro</w:t>
      </w:r>
      <w:r w:rsidRPr="00201A9A">
        <w:rPr>
          <w:noProof/>
          <w:color w:val="000000"/>
          <w:bdr w:val="nil"/>
        </w:rPr>
        <w:t>jektu rozporządzenia opierało się na przeglądzie dostępnych odpadów udokumentowanych</w:t>
      </w:r>
      <w:r w:rsidR="00201A9A" w:rsidRPr="00201A9A">
        <w:rPr>
          <w:noProof/>
          <w:color w:val="000000"/>
          <w:bdr w:val="nil"/>
        </w:rPr>
        <w:t xml:space="preserve"> w spr</w:t>
      </w:r>
      <w:r w:rsidRPr="00201A9A">
        <w:rPr>
          <w:noProof/>
          <w:color w:val="000000"/>
          <w:bdr w:val="nil"/>
        </w:rPr>
        <w:t>awozdaniu</w:t>
      </w:r>
      <w:r w:rsidR="00201A9A" w:rsidRPr="00201A9A">
        <w:rPr>
          <w:noProof/>
          <w:color w:val="000000"/>
          <w:bdr w:val="nil"/>
        </w:rPr>
        <w:t xml:space="preserve"> z oce</w:t>
      </w:r>
      <w:r w:rsidRPr="00201A9A">
        <w:rPr>
          <w:noProof/>
          <w:color w:val="000000"/>
          <w:bdr w:val="nil"/>
        </w:rPr>
        <w:t xml:space="preserve">ny skutków, np. na podstawie ocen programów budżetowych UE (śródokresowych i </w:t>
      </w:r>
      <w:r w:rsidRPr="00201A9A">
        <w:rPr>
          <w:i/>
          <w:noProof/>
          <w:color w:val="000000"/>
          <w:bdr w:val="nil"/>
        </w:rPr>
        <w:t>ex post</w:t>
      </w:r>
      <w:r w:rsidRPr="00201A9A">
        <w:rPr>
          <w:noProof/>
          <w:color w:val="000000"/>
          <w:bdr w:val="nil"/>
        </w:rPr>
        <w:t>), przeglądu wydatków, sprawozdań</w:t>
      </w:r>
      <w:r w:rsidR="00201A9A" w:rsidRPr="00201A9A">
        <w:rPr>
          <w:noProof/>
          <w:color w:val="000000"/>
          <w:bdr w:val="nil"/>
        </w:rPr>
        <w:t xml:space="preserve"> i dok</w:t>
      </w:r>
      <w:r w:rsidRPr="00201A9A">
        <w:rPr>
          <w:noProof/>
          <w:color w:val="000000"/>
          <w:bdr w:val="nil"/>
        </w:rPr>
        <w:t>umentów innych instytucji UE, takich jak Parlament Europejski</w:t>
      </w:r>
      <w:r w:rsidR="00201A9A" w:rsidRPr="00201A9A">
        <w:rPr>
          <w:noProof/>
          <w:color w:val="000000"/>
          <w:bdr w:val="nil"/>
        </w:rPr>
        <w:t xml:space="preserve"> i Eur</w:t>
      </w:r>
      <w:r w:rsidRPr="00201A9A">
        <w:rPr>
          <w:noProof/>
          <w:color w:val="000000"/>
          <w:bdr w:val="nil"/>
        </w:rPr>
        <w:t>opejski Trybunał Obrachunkowy.</w:t>
      </w:r>
    </w:p>
    <w:p w14:paraId="37FD8E64" w14:textId="30F769B1" w:rsidR="00794A16" w:rsidRPr="00201A9A" w:rsidRDefault="00794A16" w:rsidP="00794A16">
      <w:pPr>
        <w:pBdr>
          <w:top w:val="nil"/>
          <w:left w:val="nil"/>
          <w:bottom w:val="nil"/>
          <w:right w:val="nil"/>
          <w:between w:val="nil"/>
          <w:bar w:val="nil"/>
        </w:pBdr>
        <w:rPr>
          <w:rFonts w:eastAsia="Arial Unicode MS"/>
          <w:noProof/>
          <w:color w:val="000000" w:themeColor="text1"/>
        </w:rPr>
      </w:pPr>
      <w:r w:rsidRPr="00201A9A">
        <w:rPr>
          <w:noProof/>
          <w:color w:val="000000"/>
          <w:bdr w:val="nil"/>
        </w:rPr>
        <w:t>W szczególności</w:t>
      </w:r>
      <w:r w:rsidR="00201A9A" w:rsidRPr="00201A9A">
        <w:rPr>
          <w:noProof/>
          <w:color w:val="000000"/>
          <w:bdr w:val="nil"/>
        </w:rPr>
        <w:t xml:space="preserve"> w ana</w:t>
      </w:r>
      <w:r w:rsidRPr="00201A9A">
        <w:rPr>
          <w:noProof/>
          <w:color w:val="000000"/>
          <w:bdr w:val="nil"/>
        </w:rPr>
        <w:t xml:space="preserve">lizie wykorzystano wkład </w:t>
      </w:r>
      <w:r w:rsidRPr="00201A9A">
        <w:rPr>
          <w:noProof/>
          <w:color w:val="000000" w:themeColor="text1"/>
        </w:rPr>
        <w:t>grupy ekspertów wysokiego szczebla ds. przyszłości polityki spójności, która została zwołana</w:t>
      </w:r>
      <w:r w:rsidR="00201A9A" w:rsidRPr="00201A9A">
        <w:rPr>
          <w:noProof/>
          <w:color w:val="000000" w:themeColor="text1"/>
        </w:rPr>
        <w:t xml:space="preserve"> w 2</w:t>
      </w:r>
      <w:r w:rsidRPr="00201A9A">
        <w:rPr>
          <w:noProof/>
          <w:color w:val="000000" w:themeColor="text1"/>
        </w:rPr>
        <w:t>024</w:t>
      </w:r>
      <w:r w:rsidR="00201A9A" w:rsidRPr="00201A9A">
        <w:rPr>
          <w:noProof/>
          <w:color w:val="000000" w:themeColor="text1"/>
        </w:rPr>
        <w:t> </w:t>
      </w:r>
      <w:r w:rsidRPr="00201A9A">
        <w:rPr>
          <w:noProof/>
          <w:color w:val="000000" w:themeColor="text1"/>
        </w:rPr>
        <w:t>r.</w:t>
      </w:r>
      <w:r w:rsidR="00201A9A" w:rsidRPr="00201A9A">
        <w:rPr>
          <w:noProof/>
          <w:color w:val="000000" w:themeColor="text1"/>
        </w:rPr>
        <w:t xml:space="preserve"> i stw</w:t>
      </w:r>
      <w:r w:rsidRPr="00201A9A">
        <w:rPr>
          <w:noProof/>
          <w:color w:val="000000" w:themeColor="text1"/>
        </w:rPr>
        <w:t>ierdzono, że polityka spójności</w:t>
      </w:r>
      <w:r w:rsidRPr="00201A9A">
        <w:rPr>
          <w:noProof/>
        </w:rPr>
        <w:t xml:space="preserve"> powinna funkcjonować</w:t>
      </w:r>
      <w:r w:rsidR="00201A9A" w:rsidRPr="00201A9A">
        <w:rPr>
          <w:noProof/>
        </w:rPr>
        <w:t xml:space="preserve"> w poł</w:t>
      </w:r>
      <w:r w:rsidRPr="00201A9A">
        <w:rPr>
          <w:noProof/>
        </w:rPr>
        <w:t>ączeniu</w:t>
      </w:r>
      <w:r w:rsidR="00201A9A" w:rsidRPr="00201A9A">
        <w:rPr>
          <w:noProof/>
        </w:rPr>
        <w:t xml:space="preserve"> z inn</w:t>
      </w:r>
      <w:r w:rsidRPr="00201A9A">
        <w:rPr>
          <w:noProof/>
        </w:rPr>
        <w:t>ymi politykami unijnymi</w:t>
      </w:r>
      <w:r w:rsidR="00201A9A" w:rsidRPr="00201A9A">
        <w:rPr>
          <w:noProof/>
        </w:rPr>
        <w:t xml:space="preserve"> i kra</w:t>
      </w:r>
      <w:r w:rsidRPr="00201A9A">
        <w:rPr>
          <w:noProof/>
        </w:rPr>
        <w:t>jowymi, ponieważ są one od siebie zależne</w:t>
      </w:r>
      <w:r w:rsidR="00201A9A" w:rsidRPr="00201A9A">
        <w:rPr>
          <w:noProof/>
        </w:rPr>
        <w:t xml:space="preserve"> i mus</w:t>
      </w:r>
      <w:r w:rsidRPr="00201A9A">
        <w:rPr>
          <w:noProof/>
        </w:rPr>
        <w:t xml:space="preserve">zą współpracować, aby osiągnąć swoje wspólne cele. Uwzględniono również materiał dowodowy ze </w:t>
      </w:r>
      <w:r w:rsidRPr="00201A9A">
        <w:rPr>
          <w:noProof/>
          <w:color w:val="000000" w:themeColor="text1"/>
        </w:rPr>
        <w:t>sprawozdania</w:t>
      </w:r>
      <w:r w:rsidR="00201A9A" w:rsidRPr="00201A9A">
        <w:rPr>
          <w:noProof/>
          <w:color w:val="000000" w:themeColor="text1"/>
        </w:rPr>
        <w:t xml:space="preserve"> z 2</w:t>
      </w:r>
      <w:r w:rsidRPr="00201A9A">
        <w:rPr>
          <w:noProof/>
          <w:color w:val="000000" w:themeColor="text1"/>
        </w:rPr>
        <w:t>024</w:t>
      </w:r>
      <w:r w:rsidR="00201A9A" w:rsidRPr="00201A9A">
        <w:rPr>
          <w:noProof/>
          <w:color w:val="000000" w:themeColor="text1"/>
        </w:rPr>
        <w:t> </w:t>
      </w:r>
      <w:r w:rsidRPr="00201A9A">
        <w:rPr>
          <w:noProof/>
          <w:color w:val="000000" w:themeColor="text1"/>
        </w:rPr>
        <w:t>r. sporządzonego</w:t>
      </w:r>
      <w:r w:rsidR="00201A9A" w:rsidRPr="00201A9A">
        <w:rPr>
          <w:noProof/>
          <w:color w:val="000000" w:themeColor="text1"/>
        </w:rPr>
        <w:t xml:space="preserve"> w ram</w:t>
      </w:r>
      <w:r w:rsidRPr="00201A9A">
        <w:rPr>
          <w:noProof/>
          <w:color w:val="000000" w:themeColor="text1"/>
        </w:rPr>
        <w:t>ach strategicznego dialogu na temat przyszłości rolnictwa UE,</w:t>
      </w:r>
      <w:r w:rsidR="00201A9A" w:rsidRPr="00201A9A">
        <w:rPr>
          <w:noProof/>
          <w:color w:val="000000" w:themeColor="text1"/>
        </w:rPr>
        <w:t xml:space="preserve"> w któ</w:t>
      </w:r>
      <w:r w:rsidRPr="00201A9A">
        <w:rPr>
          <w:noProof/>
          <w:color w:val="000000" w:themeColor="text1"/>
        </w:rPr>
        <w:t>rym wezwano do opracowania takiej WPR, która: 1) zapewni wsparcie społeczno-gospodarcze ukierunkowane na rolników, którzy najbardziej tego potrzebują; 2) promuje pozytywne dla społeczeństwa skutki środowiskowe, społeczne</w:t>
      </w:r>
      <w:r w:rsidR="00201A9A" w:rsidRPr="00201A9A">
        <w:rPr>
          <w:noProof/>
          <w:color w:val="000000" w:themeColor="text1"/>
        </w:rPr>
        <w:t xml:space="preserve"> i w zak</w:t>
      </w:r>
      <w:r w:rsidRPr="00201A9A">
        <w:rPr>
          <w:noProof/>
          <w:color w:val="000000" w:themeColor="text1"/>
        </w:rPr>
        <w:t>resie dobrostanu zwierząt oraz 3) wzmacnia warunki sprzyjające obszarom wiejskim. Zaapelowano również</w:t>
      </w:r>
      <w:r w:rsidR="00201A9A" w:rsidRPr="00201A9A">
        <w:rPr>
          <w:noProof/>
          <w:color w:val="000000" w:themeColor="text1"/>
        </w:rPr>
        <w:t xml:space="preserve"> o bar</w:t>
      </w:r>
      <w:r w:rsidRPr="00201A9A">
        <w:rPr>
          <w:noProof/>
          <w:color w:val="000000" w:themeColor="text1"/>
        </w:rPr>
        <w:t>dziej proaktywną rolę polityki spójności we wspieraniu atrakcyjności obszarów wiejskich i WPR. Dodatkowe informacje na temat przyszłości WPR zgromadzono</w:t>
      </w:r>
      <w:r w:rsidR="00201A9A" w:rsidRPr="00201A9A">
        <w:rPr>
          <w:noProof/>
          <w:color w:val="000000" w:themeColor="text1"/>
        </w:rPr>
        <w:t xml:space="preserve"> w ram</w:t>
      </w:r>
      <w:r w:rsidRPr="00201A9A">
        <w:rPr>
          <w:noProof/>
          <w:color w:val="000000" w:themeColor="text1"/>
        </w:rPr>
        <w:t>ach specjalnych spotkań zorganizowanych</w:t>
      </w:r>
      <w:r w:rsidR="00201A9A" w:rsidRPr="00201A9A">
        <w:rPr>
          <w:noProof/>
          <w:color w:val="000000" w:themeColor="text1"/>
        </w:rPr>
        <w:t xml:space="preserve"> w ram</w:t>
      </w:r>
      <w:r w:rsidRPr="00201A9A">
        <w:rPr>
          <w:noProof/>
          <w:color w:val="000000" w:themeColor="text1"/>
        </w:rPr>
        <w:t xml:space="preserve">ach istniejących unijnych platform zainteresowanych stron oraz warsztatów technicznych </w:t>
      </w:r>
      <w:r w:rsidRPr="00201A9A">
        <w:rPr>
          <w:i/>
          <w:noProof/>
          <w:color w:val="000000" w:themeColor="text1"/>
        </w:rPr>
        <w:t>ad hoc</w:t>
      </w:r>
      <w:r w:rsidR="00201A9A" w:rsidRPr="00201A9A">
        <w:rPr>
          <w:noProof/>
          <w:color w:val="000000" w:themeColor="text1"/>
        </w:rPr>
        <w:t xml:space="preserve"> z udz</w:t>
      </w:r>
      <w:r w:rsidRPr="00201A9A">
        <w:rPr>
          <w:noProof/>
          <w:color w:val="000000" w:themeColor="text1"/>
        </w:rPr>
        <w:t>iałem zainteresowanych stron z UE</w:t>
      </w:r>
      <w:r w:rsidR="00201A9A" w:rsidRPr="00201A9A">
        <w:rPr>
          <w:noProof/>
          <w:color w:val="000000" w:themeColor="text1"/>
        </w:rPr>
        <w:t xml:space="preserve"> i pań</w:t>
      </w:r>
      <w:r w:rsidRPr="00201A9A">
        <w:rPr>
          <w:noProof/>
          <w:color w:val="000000" w:themeColor="text1"/>
        </w:rPr>
        <w:t>stw członkowskich.</w:t>
      </w:r>
    </w:p>
    <w:p w14:paraId="154C5E62" w14:textId="77777777" w:rsidR="00794A16" w:rsidRPr="00201A9A" w:rsidRDefault="00794A16" w:rsidP="00794A16">
      <w:pPr>
        <w:pStyle w:val="ManualHeading2"/>
        <w:pBdr>
          <w:top w:val="nil"/>
          <w:left w:val="nil"/>
          <w:bottom w:val="nil"/>
          <w:right w:val="nil"/>
          <w:between w:val="nil"/>
          <w:bar w:val="nil"/>
        </w:pBdr>
        <w:rPr>
          <w:rFonts w:eastAsia="Arial Unicode MS"/>
          <w:noProof/>
          <w:bdr w:val="nil"/>
        </w:rPr>
      </w:pPr>
      <w:r w:rsidRPr="00201A9A">
        <w:rPr>
          <w:noProof/>
          <w:bdr w:val="nil"/>
        </w:rPr>
        <w:t>•</w:t>
      </w:r>
      <w:r w:rsidRPr="00201A9A">
        <w:rPr>
          <w:noProof/>
        </w:rPr>
        <w:tab/>
      </w:r>
      <w:r w:rsidRPr="00201A9A">
        <w:rPr>
          <w:noProof/>
          <w:bdr w:val="nil"/>
        </w:rPr>
        <w:t>Ocena skutków</w:t>
      </w:r>
    </w:p>
    <w:p w14:paraId="2DCD9717" w14:textId="6CA7498D" w:rsidR="00794A16" w:rsidRPr="00201A9A" w:rsidRDefault="00794A16" w:rsidP="00794A16">
      <w:pPr>
        <w:rPr>
          <w:noProof/>
        </w:rPr>
      </w:pPr>
      <w:bookmarkStart w:id="1" w:name="_Hlk201843775"/>
      <w:r w:rsidRPr="00201A9A">
        <w:rPr>
          <w:noProof/>
          <w:color w:val="000000"/>
          <w:bdr w:val="nil"/>
        </w:rPr>
        <w:t>Wniosek został opatrzony oceną skutków</w:t>
      </w:r>
      <w:r w:rsidRPr="00201A9A">
        <w:rPr>
          <w:noProof/>
        </w:rPr>
        <w:t>,</w:t>
      </w:r>
      <w:r w:rsidR="00201A9A" w:rsidRPr="00201A9A">
        <w:rPr>
          <w:noProof/>
        </w:rPr>
        <w:t xml:space="preserve"> w któ</w:t>
      </w:r>
      <w:r w:rsidRPr="00201A9A">
        <w:rPr>
          <w:noProof/>
        </w:rPr>
        <w:t>rej przeanalizowano warianty opracowania planu, koncentrując się na modelu realizacji –</w:t>
      </w:r>
      <w:r w:rsidR="00201A9A" w:rsidRPr="00201A9A">
        <w:rPr>
          <w:noProof/>
        </w:rPr>
        <w:t xml:space="preserve"> w jak</w:t>
      </w:r>
      <w:r w:rsidRPr="00201A9A">
        <w:rPr>
          <w:noProof/>
        </w:rPr>
        <w:t>i sposób dokonywane są płatności – oraz na trybie zarządzania,</w:t>
      </w:r>
      <w:r w:rsidR="00201A9A" w:rsidRPr="00201A9A">
        <w:rPr>
          <w:noProof/>
        </w:rPr>
        <w:t xml:space="preserve"> a tak</w:t>
      </w:r>
      <w:r w:rsidRPr="00201A9A">
        <w:rPr>
          <w:noProof/>
        </w:rPr>
        <w:t>że na sposobie wdrażania</w:t>
      </w:r>
      <w:r w:rsidR="00201A9A" w:rsidRPr="00201A9A">
        <w:rPr>
          <w:noProof/>
        </w:rPr>
        <w:t xml:space="preserve"> i nad</w:t>
      </w:r>
      <w:r w:rsidRPr="00201A9A">
        <w:rPr>
          <w:noProof/>
        </w:rPr>
        <w:t>zorowania wydatków UE. Cechy projektowe mają wpływ na zakres planów, co zostało zbadane</w:t>
      </w:r>
      <w:r w:rsidR="00201A9A" w:rsidRPr="00201A9A">
        <w:rPr>
          <w:noProof/>
        </w:rPr>
        <w:t xml:space="preserve"> w dru</w:t>
      </w:r>
      <w:r w:rsidRPr="00201A9A">
        <w:rPr>
          <w:noProof/>
        </w:rPr>
        <w:t xml:space="preserve">gim etapie. </w:t>
      </w:r>
    </w:p>
    <w:bookmarkEnd w:id="1"/>
    <w:p w14:paraId="432A1DC1" w14:textId="77777777" w:rsidR="00794A16" w:rsidRPr="00201A9A" w:rsidRDefault="00CD2B8C" w:rsidP="00794A16">
      <w:pPr>
        <w:pBdr>
          <w:top w:val="nil"/>
          <w:left w:val="nil"/>
          <w:bottom w:val="nil"/>
          <w:right w:val="nil"/>
          <w:between w:val="nil"/>
          <w:bar w:val="nil"/>
        </w:pBdr>
        <w:spacing w:before="0" w:after="240"/>
        <w:rPr>
          <w:rFonts w:eastAsia="Arial Unicode MS"/>
          <w:noProof/>
        </w:rPr>
      </w:pPr>
      <w:r w:rsidRPr="00201A9A">
        <w:rPr>
          <w:rFonts w:eastAsia="Arial Unicode MS"/>
          <w:noProof/>
          <w:lang w:val="en-GB" w:eastAsia="en-GB"/>
        </w:rPr>
        <w:drawing>
          <wp:inline distT="0" distB="0" distL="0" distR="0" wp14:anchorId="5B2F4C49" wp14:editId="2379F19F">
            <wp:extent cx="6096000" cy="3429000"/>
            <wp:effectExtent l="0" t="0" r="0" b="0"/>
            <wp:docPr id="1391223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pic:spPr>
                </pic:pic>
              </a:graphicData>
            </a:graphic>
          </wp:inline>
        </w:drawing>
      </w:r>
    </w:p>
    <w:p w14:paraId="41C44B22" w14:textId="26235542" w:rsidR="00794A16" w:rsidRPr="00201A9A" w:rsidRDefault="00794A16" w:rsidP="00794A16">
      <w:pPr>
        <w:rPr>
          <w:noProof/>
        </w:rPr>
      </w:pPr>
      <w:r w:rsidRPr="00201A9A">
        <w:rPr>
          <w:noProof/>
        </w:rPr>
        <w:t>W ocenie skutków stwierdzono, że preferowanym wariantem opracowywania planów jest model realizacji</w:t>
      </w:r>
      <w:r w:rsidR="00201A9A" w:rsidRPr="00201A9A">
        <w:rPr>
          <w:noProof/>
        </w:rPr>
        <w:t xml:space="preserve"> w sto</w:t>
      </w:r>
      <w:r w:rsidRPr="00201A9A">
        <w:rPr>
          <w:noProof/>
        </w:rPr>
        <w:t>sunku do wcześniej uzgodnionych celów (wariant B)</w:t>
      </w:r>
      <w:r w:rsidR="00201A9A" w:rsidRPr="00201A9A">
        <w:rPr>
          <w:noProof/>
        </w:rPr>
        <w:t xml:space="preserve"> w ram</w:t>
      </w:r>
      <w:r w:rsidRPr="00201A9A">
        <w:rPr>
          <w:noProof/>
        </w:rPr>
        <w:t>ach zarządzania dzielonego (wariant D)</w:t>
      </w:r>
      <w:r w:rsidR="00201A9A" w:rsidRPr="00201A9A">
        <w:rPr>
          <w:noProof/>
        </w:rPr>
        <w:t>. Z jed</w:t>
      </w:r>
      <w:r w:rsidRPr="00201A9A">
        <w:rPr>
          <w:noProof/>
        </w:rPr>
        <w:t>nej strony realizacja wcześniej uzgodnionych celów zapewnia większą spójność, opłacalność</w:t>
      </w:r>
      <w:r w:rsidR="00201A9A" w:rsidRPr="00201A9A">
        <w:rPr>
          <w:noProof/>
        </w:rPr>
        <w:t xml:space="preserve"> i roz</w:t>
      </w:r>
      <w:r w:rsidRPr="00201A9A">
        <w:rPr>
          <w:noProof/>
        </w:rPr>
        <w:t>liczalność</w:t>
      </w:r>
      <w:r w:rsidR="00201A9A" w:rsidRPr="00201A9A">
        <w:rPr>
          <w:noProof/>
        </w:rPr>
        <w:t xml:space="preserve"> w por</w:t>
      </w:r>
      <w:r w:rsidRPr="00201A9A">
        <w:rPr>
          <w:noProof/>
        </w:rPr>
        <w:t>ównaniu</w:t>
      </w:r>
      <w:r w:rsidR="00201A9A" w:rsidRPr="00201A9A">
        <w:rPr>
          <w:noProof/>
        </w:rPr>
        <w:t xml:space="preserve"> z mod</w:t>
      </w:r>
      <w:r w:rsidRPr="00201A9A">
        <w:rPr>
          <w:noProof/>
        </w:rPr>
        <w:t>elem realizacji opartym na kosztach, ponieważ konkretne rezultaty, które mają zostać osiągnięte, określa się</w:t>
      </w:r>
      <w:r w:rsidR="00201A9A" w:rsidRPr="00201A9A">
        <w:rPr>
          <w:noProof/>
        </w:rPr>
        <w:t xml:space="preserve"> z wyp</w:t>
      </w:r>
      <w:r w:rsidRPr="00201A9A">
        <w:rPr>
          <w:noProof/>
        </w:rPr>
        <w:t>rzedzeniem. Udzielanie wsparcia finansowego po osiągnięciu kamieni milowych</w:t>
      </w:r>
      <w:r w:rsidR="00201A9A" w:rsidRPr="00201A9A">
        <w:rPr>
          <w:noProof/>
        </w:rPr>
        <w:t xml:space="preserve"> i war</w:t>
      </w:r>
      <w:r w:rsidRPr="00201A9A">
        <w:rPr>
          <w:noProof/>
        </w:rPr>
        <w:t>tości docelowych stanowi dalsze zachęty do realizacji uzgodnionych środków. Taki model realizacji zapewnia również prostsze ramy przeprowadzania reform na szczeblu państw członkowskich</w:t>
      </w:r>
      <w:r w:rsidR="00201A9A" w:rsidRPr="00201A9A">
        <w:rPr>
          <w:noProof/>
        </w:rPr>
        <w:t xml:space="preserve"> i umo</w:t>
      </w:r>
      <w:r w:rsidRPr="00201A9A">
        <w:rPr>
          <w:noProof/>
        </w:rPr>
        <w:t>żliwia dalsze zwiększanie spójności między działaniami unijnymi</w:t>
      </w:r>
      <w:r w:rsidR="00201A9A" w:rsidRPr="00201A9A">
        <w:rPr>
          <w:noProof/>
        </w:rPr>
        <w:t xml:space="preserve"> i kra</w:t>
      </w:r>
      <w:r w:rsidRPr="00201A9A">
        <w:rPr>
          <w:noProof/>
        </w:rPr>
        <w:t>jowymi/regionalnymi/lokalnymi</w:t>
      </w:r>
      <w:r w:rsidR="00201A9A" w:rsidRPr="00201A9A">
        <w:rPr>
          <w:noProof/>
        </w:rPr>
        <w:t>. Z dru</w:t>
      </w:r>
      <w:r w:rsidRPr="00201A9A">
        <w:rPr>
          <w:noProof/>
        </w:rPr>
        <w:t>giej strony zarządzanie dzielone będzie najlepiej uwzględniać wielopoziomowe zarządzanie oraz silny wymiar regionalny planów. Zapewniłoby to również państwom członkowskim</w:t>
      </w:r>
      <w:r w:rsidR="00201A9A" w:rsidRPr="00201A9A">
        <w:rPr>
          <w:noProof/>
        </w:rPr>
        <w:t xml:space="preserve"> i reg</w:t>
      </w:r>
      <w:r w:rsidRPr="00201A9A">
        <w:rPr>
          <w:noProof/>
        </w:rPr>
        <w:t>ionom prostotę – mogłyby opierać się na już istniejących strukturach zarządzania funduszami UE opierającymi się na zasadzie wstępnego przydziału środków na poziomie krajowym, co doprowadziłoby do niższych kosztów dostosowania dla organów państw członkowskich</w:t>
      </w:r>
      <w:r w:rsidR="00201A9A" w:rsidRPr="00201A9A">
        <w:rPr>
          <w:noProof/>
        </w:rPr>
        <w:t xml:space="preserve"> w por</w:t>
      </w:r>
      <w:r w:rsidRPr="00201A9A">
        <w:rPr>
          <w:noProof/>
        </w:rPr>
        <w:t>ównaniu</w:t>
      </w:r>
      <w:r w:rsidR="00201A9A" w:rsidRPr="00201A9A">
        <w:rPr>
          <w:noProof/>
        </w:rPr>
        <w:t xml:space="preserve"> z zar</w:t>
      </w:r>
      <w:r w:rsidRPr="00201A9A">
        <w:rPr>
          <w:noProof/>
        </w:rPr>
        <w:t xml:space="preserve">ządzaniem bezpośrednim (z wyjątkiem Społecznego Funduszu Klimatycznego). </w:t>
      </w:r>
    </w:p>
    <w:p w14:paraId="22831EE9" w14:textId="190AD8D1" w:rsidR="00794A16" w:rsidRPr="00201A9A" w:rsidRDefault="00794A16" w:rsidP="00794A16">
      <w:pPr>
        <w:rPr>
          <w:noProof/>
        </w:rPr>
      </w:pPr>
      <w:r w:rsidRPr="00201A9A">
        <w:rPr>
          <w:noProof/>
        </w:rPr>
        <w:t>Jeżeli chodzi</w:t>
      </w:r>
      <w:r w:rsidR="00201A9A" w:rsidRPr="00201A9A">
        <w:rPr>
          <w:noProof/>
        </w:rPr>
        <w:t xml:space="preserve"> o zak</w:t>
      </w:r>
      <w:r w:rsidRPr="00201A9A">
        <w:rPr>
          <w:noProof/>
        </w:rPr>
        <w:t>res planów, ocena skutków wykazała, że opracowanie planu dla każdego państwa członkowskiego zapewniłoby bardziej spójne</w:t>
      </w:r>
      <w:r w:rsidR="00201A9A" w:rsidRPr="00201A9A">
        <w:rPr>
          <w:noProof/>
        </w:rPr>
        <w:t xml:space="preserve"> i sko</w:t>
      </w:r>
      <w:r w:rsidRPr="00201A9A">
        <w:rPr>
          <w:noProof/>
        </w:rPr>
        <w:t>ordynowane programowanie wstępnie przydzielonych środków, odzwierciedlające różne potrzeby na szczeblu krajowym</w:t>
      </w:r>
      <w:r w:rsidR="00201A9A" w:rsidRPr="00201A9A">
        <w:rPr>
          <w:noProof/>
        </w:rPr>
        <w:t xml:space="preserve"> i reg</w:t>
      </w:r>
      <w:r w:rsidRPr="00201A9A">
        <w:rPr>
          <w:noProof/>
        </w:rPr>
        <w:t>ionalnym, przy jednoczesnym zapewnieniu wsparcia</w:t>
      </w:r>
      <w:r w:rsidR="00201A9A" w:rsidRPr="00201A9A">
        <w:rPr>
          <w:noProof/>
        </w:rPr>
        <w:t xml:space="preserve"> w sfe</w:t>
      </w:r>
      <w:r w:rsidRPr="00201A9A">
        <w:rPr>
          <w:noProof/>
        </w:rPr>
        <w:t>rze priorytetów UE określonych</w:t>
      </w:r>
      <w:r w:rsidR="00201A9A" w:rsidRPr="00201A9A">
        <w:rPr>
          <w:noProof/>
        </w:rPr>
        <w:t xml:space="preserve"> w mec</w:t>
      </w:r>
      <w:r w:rsidRPr="00201A9A">
        <w:rPr>
          <w:noProof/>
        </w:rPr>
        <w:t>hanizmie sterującym</w:t>
      </w:r>
      <w:r w:rsidR="00201A9A" w:rsidRPr="00201A9A">
        <w:rPr>
          <w:noProof/>
        </w:rPr>
        <w:t>. W oce</w:t>
      </w:r>
      <w:r w:rsidRPr="00201A9A">
        <w:rPr>
          <w:noProof/>
        </w:rPr>
        <w:t>nie skutków stwierdzono, że większy zakres planów, jak przewidziano</w:t>
      </w:r>
      <w:r w:rsidR="00201A9A" w:rsidRPr="00201A9A">
        <w:rPr>
          <w:noProof/>
        </w:rPr>
        <w:t xml:space="preserve"> w war</w:t>
      </w:r>
      <w:r w:rsidRPr="00201A9A">
        <w:rPr>
          <w:noProof/>
        </w:rPr>
        <w:t>iancie 3b, zapewniłby największą spójność polityki</w:t>
      </w:r>
      <w:r w:rsidR="00201A9A" w:rsidRPr="00201A9A">
        <w:rPr>
          <w:noProof/>
        </w:rPr>
        <w:t xml:space="preserve"> w pla</w:t>
      </w:r>
      <w:r w:rsidRPr="00201A9A">
        <w:rPr>
          <w:noProof/>
        </w:rPr>
        <w:t>nach, umożliwiając wykorzystanie istniejących synergii między politykami oraz eliminując istniejące nakładanie się działań.</w:t>
      </w:r>
    </w:p>
    <w:p w14:paraId="1B459608" w14:textId="2C58AC37" w:rsidR="00794A16" w:rsidRPr="00201A9A" w:rsidRDefault="00794A16" w:rsidP="00794A16">
      <w:pPr>
        <w:rPr>
          <w:noProof/>
        </w:rPr>
      </w:pPr>
      <w:r w:rsidRPr="00201A9A">
        <w:rPr>
          <w:noProof/>
        </w:rPr>
        <w:t>Oczekuje się, że wszystkie warianty zmniejszą koszty administracyjne ponoszone przez państwa członkowskie</w:t>
      </w:r>
      <w:r w:rsidR="00201A9A" w:rsidRPr="00201A9A">
        <w:rPr>
          <w:noProof/>
        </w:rPr>
        <w:t xml:space="preserve"> i reg</w:t>
      </w:r>
      <w:r w:rsidRPr="00201A9A">
        <w:rPr>
          <w:noProof/>
        </w:rPr>
        <w:t>iony – choć</w:t>
      </w:r>
      <w:r w:rsidR="00201A9A" w:rsidRPr="00201A9A">
        <w:rPr>
          <w:noProof/>
        </w:rPr>
        <w:t xml:space="preserve"> w róż</w:t>
      </w:r>
      <w:r w:rsidRPr="00201A9A">
        <w:rPr>
          <w:noProof/>
        </w:rPr>
        <w:t>nym stopniu.</w:t>
      </w:r>
      <w:r w:rsidR="00201A9A" w:rsidRPr="00201A9A">
        <w:rPr>
          <w:noProof/>
        </w:rPr>
        <w:t xml:space="preserve"> </w:t>
      </w:r>
      <w:r w:rsidRPr="00201A9A">
        <w:rPr>
          <w:noProof/>
        </w:rPr>
        <w:t>Wariant 1 prowadziłby do zmniejszenia liczby programów</w:t>
      </w:r>
      <w:r w:rsidR="00201A9A" w:rsidRPr="00201A9A">
        <w:rPr>
          <w:noProof/>
        </w:rPr>
        <w:t xml:space="preserve"> z pon</w:t>
      </w:r>
      <w:r w:rsidRPr="00201A9A">
        <w:rPr>
          <w:noProof/>
        </w:rPr>
        <w:t>ad 400 do planu dla każdego państwa członkowskiego, przy jednoczesnym odejściu od dwuetapowego programowania</w:t>
      </w:r>
      <w:r w:rsidR="00201A9A" w:rsidRPr="00201A9A">
        <w:rPr>
          <w:noProof/>
        </w:rPr>
        <w:t xml:space="preserve"> w ram</w:t>
      </w:r>
      <w:r w:rsidRPr="00201A9A">
        <w:rPr>
          <w:noProof/>
        </w:rPr>
        <w:t>ach polityki spójności na rzecz jednolitego programowania opartego na jednym zestawie przepisów,</w:t>
      </w:r>
      <w:r w:rsidR="00201A9A" w:rsidRPr="00201A9A">
        <w:rPr>
          <w:noProof/>
        </w:rPr>
        <w:t xml:space="preserve"> a jed</w:t>
      </w:r>
      <w:r w:rsidRPr="00201A9A">
        <w:rPr>
          <w:noProof/>
        </w:rPr>
        <w:t>nocześnie oczekuje się, że zmniejszą opóźnienia we wdrażaniu – bez uszczerbku dla silnego wielopoziomowego zarządzania</w:t>
      </w:r>
      <w:r w:rsidR="00201A9A" w:rsidRPr="00201A9A">
        <w:rPr>
          <w:noProof/>
        </w:rPr>
        <w:t xml:space="preserve"> i wym</w:t>
      </w:r>
      <w:r w:rsidRPr="00201A9A">
        <w:rPr>
          <w:noProof/>
        </w:rPr>
        <w:t>iaru regionalnego. Wariant 2a pomógłby częściowo lepiej wykorzystać synergie</w:t>
      </w:r>
      <w:r w:rsidR="00201A9A" w:rsidRPr="00201A9A">
        <w:rPr>
          <w:noProof/>
        </w:rPr>
        <w:t xml:space="preserve"> z inn</w:t>
      </w:r>
      <w:r w:rsidRPr="00201A9A">
        <w:rPr>
          <w:noProof/>
        </w:rPr>
        <w:t>ymi politykami UE, takimi jak polityka spójności, ale odwróciłby podejście do planowania strategicznego</w:t>
      </w:r>
      <w:r w:rsidR="00201A9A" w:rsidRPr="00201A9A">
        <w:rPr>
          <w:noProof/>
        </w:rPr>
        <w:t xml:space="preserve"> w odn</w:t>
      </w:r>
      <w:r w:rsidRPr="00201A9A">
        <w:rPr>
          <w:noProof/>
        </w:rPr>
        <w:t>iesieniu do całej WPR, które wprowadzono</w:t>
      </w:r>
      <w:r w:rsidR="00201A9A" w:rsidRPr="00201A9A">
        <w:rPr>
          <w:noProof/>
        </w:rPr>
        <w:t xml:space="preserve"> w pla</w:t>
      </w:r>
      <w:r w:rsidRPr="00201A9A">
        <w:rPr>
          <w:noProof/>
        </w:rPr>
        <w:t>nach strategicznych WPR na lata 2023–2027. Oczekuje się, że przyczyni się to do dalszego uproszczenia, biorąc pod uwagę podobieństwa między WPR</w:t>
      </w:r>
      <w:r w:rsidR="00201A9A" w:rsidRPr="00201A9A">
        <w:rPr>
          <w:noProof/>
        </w:rPr>
        <w:t xml:space="preserve"> a roz</w:t>
      </w:r>
      <w:r w:rsidRPr="00201A9A">
        <w:rPr>
          <w:noProof/>
        </w:rPr>
        <w:t>porządzeniem</w:t>
      </w:r>
      <w:r w:rsidR="00201A9A" w:rsidRPr="00201A9A">
        <w:rPr>
          <w:noProof/>
        </w:rPr>
        <w:t xml:space="preserve"> w spr</w:t>
      </w:r>
      <w:r w:rsidRPr="00201A9A">
        <w:rPr>
          <w:noProof/>
        </w:rPr>
        <w:t>awie wspólnych przepisów, ale</w:t>
      </w:r>
      <w:r w:rsidR="00201A9A" w:rsidRPr="00201A9A">
        <w:rPr>
          <w:noProof/>
        </w:rPr>
        <w:t xml:space="preserve"> z pew</w:t>
      </w:r>
      <w:r w:rsidRPr="00201A9A">
        <w:rPr>
          <w:noProof/>
        </w:rPr>
        <w:t>nymi kosztami dostosowawczymi ponoszonymi przez organy państw członkowskich, które musiałyby działać</w:t>
      </w:r>
      <w:r w:rsidR="00201A9A" w:rsidRPr="00201A9A">
        <w:rPr>
          <w:noProof/>
        </w:rPr>
        <w:t xml:space="preserve"> w ram</w:t>
      </w:r>
      <w:r w:rsidRPr="00201A9A">
        <w:rPr>
          <w:noProof/>
        </w:rPr>
        <w:t>ach dwóch różnych systemów</w:t>
      </w:r>
      <w:r w:rsidR="00201A9A" w:rsidRPr="00201A9A">
        <w:rPr>
          <w:noProof/>
        </w:rPr>
        <w:t xml:space="preserve"> w odn</w:t>
      </w:r>
      <w:r w:rsidRPr="00201A9A">
        <w:rPr>
          <w:noProof/>
        </w:rPr>
        <w:t>iesieniu do obu funduszy WPR. Pełna integracja WPR (wariant 2b) rozwiązałaby ten problem, ale wprowadzenie szczegółowych przepisów dotyczących integracji interwencji obszarowych</w:t>
      </w:r>
      <w:r w:rsidR="00201A9A" w:rsidRPr="00201A9A">
        <w:rPr>
          <w:noProof/>
        </w:rPr>
        <w:t xml:space="preserve"> i int</w:t>
      </w:r>
      <w:r w:rsidRPr="00201A9A">
        <w:rPr>
          <w:noProof/>
        </w:rPr>
        <w:t>erwencji związanych ze zwierzętami, od których bezpośrednio zależy utrzymanie rolników, nadal byłoby konieczne do zachowania integralności jednolitego rynku</w:t>
      </w:r>
      <w:r w:rsidR="00201A9A" w:rsidRPr="00201A9A">
        <w:rPr>
          <w:noProof/>
        </w:rPr>
        <w:t xml:space="preserve"> i ucz</w:t>
      </w:r>
      <w:r w:rsidRPr="00201A9A">
        <w:rPr>
          <w:noProof/>
        </w:rPr>
        <w:t>ciwej konkurencji między rolnikami. Ogólnie rzecz biorąc stwierdzono, że warianty 2b</w:t>
      </w:r>
      <w:r w:rsidR="00201A9A" w:rsidRPr="00201A9A">
        <w:rPr>
          <w:noProof/>
        </w:rPr>
        <w:t xml:space="preserve"> i 3</w:t>
      </w:r>
      <w:r w:rsidRPr="00201A9A">
        <w:rPr>
          <w:noProof/>
        </w:rPr>
        <w:t xml:space="preserve"> przynoszą większe korzyści</w:t>
      </w:r>
      <w:r w:rsidR="00201A9A" w:rsidRPr="00201A9A">
        <w:rPr>
          <w:noProof/>
        </w:rPr>
        <w:t xml:space="preserve"> w zak</w:t>
      </w:r>
      <w:r w:rsidRPr="00201A9A">
        <w:rPr>
          <w:noProof/>
        </w:rPr>
        <w:t>resie uproszczenia</w:t>
      </w:r>
      <w:r w:rsidR="00201A9A" w:rsidRPr="00201A9A">
        <w:rPr>
          <w:noProof/>
        </w:rPr>
        <w:t xml:space="preserve"> i lep</w:t>
      </w:r>
      <w:r w:rsidRPr="00201A9A">
        <w:rPr>
          <w:noProof/>
        </w:rPr>
        <w:t>sze synergie polityczne niż warianty 1</w:t>
      </w:r>
      <w:r w:rsidR="00201A9A" w:rsidRPr="00201A9A">
        <w:rPr>
          <w:noProof/>
        </w:rPr>
        <w:t xml:space="preserve"> i 2</w:t>
      </w:r>
      <w:r w:rsidRPr="00201A9A">
        <w:rPr>
          <w:noProof/>
        </w:rPr>
        <w:t>a.</w:t>
      </w:r>
    </w:p>
    <w:p w14:paraId="57996C06" w14:textId="05FB6B0B" w:rsidR="00794A16" w:rsidRPr="00201A9A" w:rsidRDefault="00794A16" w:rsidP="00794A16">
      <w:pPr>
        <w:rPr>
          <w:noProof/>
        </w:rPr>
      </w:pPr>
      <w:r w:rsidRPr="00201A9A">
        <w:rPr>
          <w:noProof/>
        </w:rPr>
        <w:t>Posiadanie po jednej puli środków na każde państwo członkowskie zapewniłoby skuteczny</w:t>
      </w:r>
      <w:r w:rsidR="00201A9A" w:rsidRPr="00201A9A">
        <w:rPr>
          <w:noProof/>
        </w:rPr>
        <w:t xml:space="preserve"> i ela</w:t>
      </w:r>
      <w:r w:rsidRPr="00201A9A">
        <w:rPr>
          <w:noProof/>
        </w:rPr>
        <w:t>styczny przydział środków finansowych między obszarami polityki, umożliwiając państwom członkowskim realizację nowych priorytetów, takich jak zdolności obronne lub gotowość. Ułatwiłoby to również ponowny przydział zasobów</w:t>
      </w:r>
      <w:r w:rsidR="00201A9A" w:rsidRPr="00201A9A">
        <w:rPr>
          <w:noProof/>
        </w:rPr>
        <w:t xml:space="preserve"> w odp</w:t>
      </w:r>
      <w:r w:rsidRPr="00201A9A">
        <w:rPr>
          <w:noProof/>
        </w:rPr>
        <w:t>owiedzi na nieprzewidziane wyzwania lub zmianę potrzeb politycznych bez konieczności ponownych zmian ram legislacyjnych</w:t>
      </w:r>
      <w:r w:rsidR="00201A9A" w:rsidRPr="00201A9A">
        <w:rPr>
          <w:noProof/>
        </w:rPr>
        <w:t>. W oce</w:t>
      </w:r>
      <w:r w:rsidRPr="00201A9A">
        <w:rPr>
          <w:noProof/>
        </w:rPr>
        <w:t>nie skutków stwierdzono, że większy zakres planów przewidziany</w:t>
      </w:r>
      <w:r w:rsidR="00201A9A" w:rsidRPr="00201A9A">
        <w:rPr>
          <w:noProof/>
        </w:rPr>
        <w:t xml:space="preserve"> w war</w:t>
      </w:r>
      <w:r w:rsidRPr="00201A9A">
        <w:rPr>
          <w:noProof/>
        </w:rPr>
        <w:t>iancie 3b zapewniłby największą elastyczność</w:t>
      </w:r>
      <w:r w:rsidR="00201A9A" w:rsidRPr="00201A9A">
        <w:rPr>
          <w:noProof/>
        </w:rPr>
        <w:t xml:space="preserve"> w por</w:t>
      </w:r>
      <w:r w:rsidRPr="00201A9A">
        <w:rPr>
          <w:noProof/>
        </w:rPr>
        <w:t>ównaniu</w:t>
      </w:r>
      <w:r w:rsidR="00201A9A" w:rsidRPr="00201A9A">
        <w:rPr>
          <w:noProof/>
        </w:rPr>
        <w:t xml:space="preserve"> z poz</w:t>
      </w:r>
      <w:r w:rsidRPr="00201A9A">
        <w:rPr>
          <w:noProof/>
        </w:rPr>
        <w:t xml:space="preserve">ostałymi dwoma wariantami. </w:t>
      </w:r>
    </w:p>
    <w:p w14:paraId="33D20815" w14:textId="1758A6C1" w:rsidR="00794A16" w:rsidRPr="00201A9A" w:rsidRDefault="00794A16" w:rsidP="00794A16">
      <w:pPr>
        <w:pStyle w:val="ManualHeading2"/>
        <w:rPr>
          <w:rFonts w:eastAsia="Arial Unicode MS"/>
          <w:noProof/>
          <w:u w:color="000000"/>
          <w:bdr w:val="nil"/>
        </w:rPr>
      </w:pPr>
      <w:r w:rsidRPr="00201A9A">
        <w:rPr>
          <w:noProof/>
          <w:u w:color="000000"/>
          <w:bdr w:val="nil"/>
        </w:rPr>
        <w:t>•</w:t>
      </w:r>
      <w:r w:rsidRPr="00201A9A">
        <w:rPr>
          <w:noProof/>
        </w:rPr>
        <w:tab/>
      </w:r>
      <w:r w:rsidRPr="00201A9A">
        <w:rPr>
          <w:noProof/>
          <w:u w:color="000000"/>
          <w:bdr w:val="nil"/>
        </w:rPr>
        <w:t>Sprawność regulacyjna</w:t>
      </w:r>
      <w:r w:rsidR="00201A9A" w:rsidRPr="00201A9A">
        <w:rPr>
          <w:noProof/>
          <w:u w:color="000000"/>
          <w:bdr w:val="nil"/>
        </w:rPr>
        <w:t xml:space="preserve"> i upr</w:t>
      </w:r>
      <w:r w:rsidRPr="00201A9A">
        <w:rPr>
          <w:noProof/>
          <w:u w:color="000000"/>
          <w:bdr w:val="nil"/>
        </w:rPr>
        <w:t>oszczenie</w:t>
      </w:r>
    </w:p>
    <w:p w14:paraId="1B8CE8AB" w14:textId="4817DEE5" w:rsidR="00794A16" w:rsidRPr="00201A9A" w:rsidRDefault="00794A16" w:rsidP="00794A16">
      <w:pPr>
        <w:pBdr>
          <w:top w:val="nil"/>
          <w:left w:val="nil"/>
          <w:bottom w:val="nil"/>
          <w:right w:val="nil"/>
          <w:between w:val="nil"/>
          <w:bar w:val="nil"/>
        </w:pBdr>
        <w:rPr>
          <w:rFonts w:eastAsia="Times New Roman"/>
          <w:noProof/>
        </w:rPr>
      </w:pPr>
      <w:r w:rsidRPr="00201A9A">
        <w:rPr>
          <w:noProof/>
        </w:rPr>
        <w:t>Chociaż proponowane rozporządzenie nie nawiązuje do przeglądu obowiązującego prawodawstwa</w:t>
      </w:r>
      <w:r w:rsidR="00201A9A" w:rsidRPr="00201A9A">
        <w:rPr>
          <w:noProof/>
        </w:rPr>
        <w:t xml:space="preserve"> w zwi</w:t>
      </w:r>
      <w:r w:rsidRPr="00201A9A">
        <w:rPr>
          <w:noProof/>
        </w:rPr>
        <w:t>ązku z REFIT, proponowana inicjatywa jest</w:t>
      </w:r>
      <w:r w:rsidR="00201A9A" w:rsidRPr="00201A9A">
        <w:rPr>
          <w:noProof/>
        </w:rPr>
        <w:t xml:space="preserve"> w peł</w:t>
      </w:r>
      <w:r w:rsidRPr="00201A9A">
        <w:rPr>
          <w:noProof/>
        </w:rPr>
        <w:t>ni zgodna</w:t>
      </w:r>
      <w:r w:rsidR="00201A9A" w:rsidRPr="00201A9A">
        <w:rPr>
          <w:noProof/>
        </w:rPr>
        <w:t xml:space="preserve"> z cel</w:t>
      </w:r>
      <w:r w:rsidRPr="00201A9A">
        <w:rPr>
          <w:noProof/>
        </w:rPr>
        <w:t>ami REFIT, jakimi są uproszczenie</w:t>
      </w:r>
      <w:r w:rsidR="00201A9A" w:rsidRPr="00201A9A">
        <w:rPr>
          <w:noProof/>
        </w:rPr>
        <w:t xml:space="preserve"> i ogr</w:t>
      </w:r>
      <w:r w:rsidRPr="00201A9A">
        <w:rPr>
          <w:noProof/>
        </w:rPr>
        <w:t>aniczenie biurokracji</w:t>
      </w:r>
      <w:r w:rsidR="00201A9A" w:rsidRPr="00201A9A">
        <w:rPr>
          <w:noProof/>
        </w:rPr>
        <w:t>. W por</w:t>
      </w:r>
      <w:r w:rsidRPr="00201A9A">
        <w:rPr>
          <w:noProof/>
        </w:rPr>
        <w:t>ównaniu</w:t>
      </w:r>
      <w:r w:rsidR="00201A9A" w:rsidRPr="00201A9A">
        <w:rPr>
          <w:noProof/>
        </w:rPr>
        <w:t xml:space="preserve"> z syt</w:t>
      </w:r>
      <w:r w:rsidRPr="00201A9A">
        <w:rPr>
          <w:noProof/>
        </w:rPr>
        <w:t>uacją obecną (gdzie fundusze UE opierające się na zasadzie wstępnego przydziału środków na poziomie krajowym są regulowane odrębnymi przepisami dotyczącymi poszczególnych funduszy</w:t>
      </w:r>
      <w:r w:rsidR="00201A9A" w:rsidRPr="00201A9A">
        <w:rPr>
          <w:noProof/>
        </w:rPr>
        <w:t xml:space="preserve"> i wdr</w:t>
      </w:r>
      <w:r w:rsidRPr="00201A9A">
        <w:rPr>
          <w:noProof/>
        </w:rPr>
        <w:t>ażane za pośrednictwem różnych programów), inicjatywa ta stworzyłaby jednolity zbiór przepisów dotyczących wydatkowania środków wstępnie przydzielanych na poziomie krajowym za pośrednictwem jednego dokumentu programowego dla każdego państwa członkowskiego – planów partnerstwa krajowego</w:t>
      </w:r>
      <w:r w:rsidR="00201A9A" w:rsidRPr="00201A9A">
        <w:rPr>
          <w:noProof/>
        </w:rPr>
        <w:t xml:space="preserve"> i reg</w:t>
      </w:r>
      <w:r w:rsidRPr="00201A9A">
        <w:rPr>
          <w:noProof/>
        </w:rPr>
        <w:t xml:space="preserve">ionalnego. </w:t>
      </w:r>
    </w:p>
    <w:p w14:paraId="07C6B633" w14:textId="6E070551" w:rsidR="00794A16" w:rsidRPr="00201A9A" w:rsidRDefault="00794A16" w:rsidP="00794A16">
      <w:pPr>
        <w:rPr>
          <w:noProof/>
        </w:rPr>
      </w:pPr>
      <w:r w:rsidRPr="00201A9A">
        <w:rPr>
          <w:noProof/>
        </w:rPr>
        <w:t>Oczekuje się, że inicjatywa doprowadzi do znacznego zmniejszenia obciążeń administracyjnych</w:t>
      </w:r>
      <w:r w:rsidR="00201A9A" w:rsidRPr="00201A9A">
        <w:rPr>
          <w:noProof/>
        </w:rPr>
        <w:t xml:space="preserve"> i pop</w:t>
      </w:r>
      <w:r w:rsidRPr="00201A9A">
        <w:rPr>
          <w:noProof/>
        </w:rPr>
        <w:t>rawy efektywności. Oczekuje się, że posiadanie jednego wspólnego zbioru przepisów –</w:t>
      </w:r>
      <w:r w:rsidR="00201A9A" w:rsidRPr="00201A9A">
        <w:rPr>
          <w:noProof/>
        </w:rPr>
        <w:t xml:space="preserve"> w per</w:t>
      </w:r>
      <w:r w:rsidRPr="00201A9A">
        <w:rPr>
          <w:noProof/>
        </w:rPr>
        <w:t>spektywie krótko-</w:t>
      </w:r>
      <w:r w:rsidR="00201A9A" w:rsidRPr="00201A9A">
        <w:rPr>
          <w:noProof/>
        </w:rPr>
        <w:t xml:space="preserve"> i śre</w:t>
      </w:r>
      <w:r w:rsidRPr="00201A9A">
        <w:rPr>
          <w:noProof/>
        </w:rPr>
        <w:t>dnioterminowej – zmniejszy koszty po stronie administracji krajowych, regionalnych</w:t>
      </w:r>
      <w:r w:rsidR="00201A9A" w:rsidRPr="00201A9A">
        <w:rPr>
          <w:noProof/>
        </w:rPr>
        <w:t xml:space="preserve"> i lok</w:t>
      </w:r>
      <w:r w:rsidRPr="00201A9A">
        <w:rPr>
          <w:noProof/>
        </w:rPr>
        <w:t>alnych,</w:t>
      </w:r>
      <w:r w:rsidR="00201A9A" w:rsidRPr="00201A9A">
        <w:rPr>
          <w:noProof/>
        </w:rPr>
        <w:t xml:space="preserve"> a tak</w:t>
      </w:r>
      <w:r w:rsidRPr="00201A9A">
        <w:rPr>
          <w:noProof/>
        </w:rPr>
        <w:t>że koszty zainteresowanych stron.</w:t>
      </w:r>
      <w:r w:rsidR="00201A9A" w:rsidRPr="00201A9A">
        <w:rPr>
          <w:noProof/>
        </w:rPr>
        <w:t xml:space="preserve"> </w:t>
      </w:r>
      <w:r w:rsidRPr="00201A9A">
        <w:rPr>
          <w:noProof/>
        </w:rPr>
        <w:t>Łączenie różnych funduszy UE stwarza również możliwość zwiększenia synergii</w:t>
      </w:r>
      <w:r w:rsidR="00201A9A" w:rsidRPr="00201A9A">
        <w:rPr>
          <w:noProof/>
        </w:rPr>
        <w:t xml:space="preserve"> i ela</w:t>
      </w:r>
      <w:r w:rsidRPr="00201A9A">
        <w:rPr>
          <w:noProof/>
        </w:rPr>
        <w:t>styczności</w:t>
      </w:r>
      <w:r w:rsidR="00201A9A" w:rsidRPr="00201A9A">
        <w:rPr>
          <w:noProof/>
        </w:rPr>
        <w:t xml:space="preserve"> w wyk</w:t>
      </w:r>
      <w:r w:rsidRPr="00201A9A">
        <w:rPr>
          <w:noProof/>
        </w:rPr>
        <w:t>orzystywaniu zasobów UE, co sprzyja lepszej alokacji zasobów</w:t>
      </w:r>
      <w:r w:rsidR="00201A9A" w:rsidRPr="00201A9A">
        <w:rPr>
          <w:noProof/>
        </w:rPr>
        <w:t xml:space="preserve"> i wyd</w:t>
      </w:r>
      <w:r w:rsidRPr="00201A9A">
        <w:rPr>
          <w:noProof/>
        </w:rPr>
        <w:t>ajniejszemu budżetowi UE, przynosząc korzyści makroekonomiczne</w:t>
      </w:r>
      <w:r w:rsidR="00201A9A" w:rsidRPr="00201A9A">
        <w:rPr>
          <w:noProof/>
        </w:rPr>
        <w:t xml:space="preserve"> i kor</w:t>
      </w:r>
      <w:r w:rsidRPr="00201A9A">
        <w:rPr>
          <w:noProof/>
        </w:rPr>
        <w:t>zyści dla całego społeczeństwa</w:t>
      </w:r>
      <w:r w:rsidR="00201A9A" w:rsidRPr="00201A9A">
        <w:rPr>
          <w:noProof/>
        </w:rPr>
        <w:t xml:space="preserve"> w per</w:t>
      </w:r>
      <w:r w:rsidRPr="00201A9A">
        <w:rPr>
          <w:noProof/>
        </w:rPr>
        <w:t>spektywie długoterminowej. Oczekuje się, że skupienie się na priorytetach UE, przy jednoczesnym uwzględnieniu potrzeb krajowych</w:t>
      </w:r>
      <w:r w:rsidR="00201A9A" w:rsidRPr="00201A9A">
        <w:rPr>
          <w:noProof/>
        </w:rPr>
        <w:t xml:space="preserve"> i reg</w:t>
      </w:r>
      <w:r w:rsidRPr="00201A9A">
        <w:rPr>
          <w:noProof/>
        </w:rPr>
        <w:t xml:space="preserve">ionalnych, przyczyni się również do bardziej efektywnego wykorzystania zasobów UE. </w:t>
      </w:r>
    </w:p>
    <w:p w14:paraId="6D488057" w14:textId="6E5C096E" w:rsidR="00794A16" w:rsidRPr="00201A9A" w:rsidRDefault="00794A16" w:rsidP="00794A16">
      <w:pPr>
        <w:rPr>
          <w:noProof/>
        </w:rPr>
      </w:pPr>
      <w:r w:rsidRPr="00201A9A">
        <w:rPr>
          <w:noProof/>
        </w:rPr>
        <w:t>Chociaż oczekuje się, że władze krajowe</w:t>
      </w:r>
      <w:r w:rsidR="00201A9A" w:rsidRPr="00201A9A">
        <w:rPr>
          <w:noProof/>
        </w:rPr>
        <w:t xml:space="preserve"> i reg</w:t>
      </w:r>
      <w:r w:rsidRPr="00201A9A">
        <w:rPr>
          <w:noProof/>
        </w:rPr>
        <w:t>ionalne oraz beneficjenci (w tym przedsiębiorstwa) dostosują się do nowej struktury, to oczekuje się również, że stałe koszty przestrzegania przepisów</w:t>
      </w:r>
      <w:r w:rsidR="00201A9A" w:rsidRPr="00201A9A">
        <w:rPr>
          <w:noProof/>
        </w:rPr>
        <w:t xml:space="preserve"> i kos</w:t>
      </w:r>
      <w:r w:rsidRPr="00201A9A">
        <w:rPr>
          <w:noProof/>
        </w:rPr>
        <w:t>zty administracyjne zostaną zmniejszone</w:t>
      </w:r>
      <w:r w:rsidR="00201A9A" w:rsidRPr="00201A9A">
        <w:rPr>
          <w:noProof/>
        </w:rPr>
        <w:t xml:space="preserve"> w por</w:t>
      </w:r>
      <w:r w:rsidRPr="00201A9A">
        <w:rPr>
          <w:noProof/>
        </w:rPr>
        <w:t>ównaniu ze status quo dzięki staraniom na rzecz uproszczenia.</w:t>
      </w:r>
    </w:p>
    <w:p w14:paraId="11708431" w14:textId="77777777" w:rsidR="00794A16" w:rsidRPr="00201A9A" w:rsidRDefault="00794A16" w:rsidP="00794A16">
      <w:pPr>
        <w:pStyle w:val="ManualHeading2"/>
        <w:rPr>
          <w:rFonts w:eastAsia="Arial Unicode MS"/>
          <w:noProof/>
          <w:u w:color="000000"/>
          <w:bdr w:val="nil"/>
        </w:rPr>
      </w:pPr>
      <w:r w:rsidRPr="00201A9A">
        <w:rPr>
          <w:noProof/>
          <w:u w:color="000000"/>
          <w:bdr w:val="nil"/>
        </w:rPr>
        <w:t>•</w:t>
      </w:r>
      <w:r w:rsidRPr="00201A9A">
        <w:rPr>
          <w:noProof/>
        </w:rPr>
        <w:tab/>
      </w:r>
      <w:r w:rsidRPr="00201A9A">
        <w:rPr>
          <w:noProof/>
          <w:u w:color="000000"/>
          <w:bdr w:val="nil"/>
        </w:rPr>
        <w:t>Prawa podstawowe</w:t>
      </w:r>
    </w:p>
    <w:p w14:paraId="248C0593" w14:textId="1B2CA256" w:rsidR="00794A16" w:rsidRPr="00201A9A" w:rsidRDefault="00794A16" w:rsidP="00794A16">
      <w:pPr>
        <w:pBdr>
          <w:top w:val="nil"/>
          <w:left w:val="nil"/>
          <w:bottom w:val="nil"/>
          <w:right w:val="nil"/>
          <w:between w:val="nil"/>
          <w:bar w:val="nil"/>
        </w:pBdr>
        <w:rPr>
          <w:rFonts w:eastAsia="Arial Unicode MS"/>
          <w:noProof/>
        </w:rPr>
      </w:pPr>
      <w:r w:rsidRPr="00201A9A">
        <w:rPr>
          <w:noProof/>
        </w:rPr>
        <w:t>Oprócz rozporządzenia</w:t>
      </w:r>
      <w:r w:rsidR="00201A9A" w:rsidRPr="00201A9A">
        <w:rPr>
          <w:noProof/>
        </w:rPr>
        <w:t xml:space="preserve"> w spr</w:t>
      </w:r>
      <w:r w:rsidRPr="00201A9A">
        <w:rPr>
          <w:noProof/>
        </w:rPr>
        <w:t>awie warunkowości, które będzie nadal miało zastosowanie do całego budżetu UE, niniejsze rozporządzenie zawiera solidne zabezpieczenia</w:t>
      </w:r>
      <w:r w:rsidR="00201A9A" w:rsidRPr="00201A9A">
        <w:rPr>
          <w:noProof/>
        </w:rPr>
        <w:t xml:space="preserve"> w cel</w:t>
      </w:r>
      <w:r w:rsidRPr="00201A9A">
        <w:rPr>
          <w:noProof/>
        </w:rPr>
        <w:t>u zapewnienia, aby fundusze były wdrażane zgodnie</w:t>
      </w:r>
      <w:r w:rsidR="00201A9A" w:rsidRPr="00201A9A">
        <w:rPr>
          <w:noProof/>
        </w:rPr>
        <w:t xml:space="preserve"> z Kar</w:t>
      </w:r>
      <w:r w:rsidRPr="00201A9A">
        <w:rPr>
          <w:noProof/>
        </w:rPr>
        <w:t>tą praw podstawowych Unii Europejskiej</w:t>
      </w:r>
      <w:r w:rsidR="00201A9A" w:rsidRPr="00201A9A">
        <w:rPr>
          <w:noProof/>
        </w:rPr>
        <w:t xml:space="preserve"> i zas</w:t>
      </w:r>
      <w:r w:rsidRPr="00201A9A">
        <w:rPr>
          <w:noProof/>
        </w:rPr>
        <w:t>adami państwa prawnego określonymi</w:t>
      </w:r>
      <w:r w:rsidR="00201A9A" w:rsidRPr="00201A9A">
        <w:rPr>
          <w:noProof/>
        </w:rPr>
        <w:t xml:space="preserve"> w art</w:t>
      </w:r>
      <w:r w:rsidRPr="00201A9A">
        <w:rPr>
          <w:noProof/>
        </w:rPr>
        <w:t>.</w:t>
      </w:r>
      <w:r w:rsidR="00201A9A" w:rsidRPr="00201A9A">
        <w:rPr>
          <w:noProof/>
        </w:rPr>
        <w:t> </w:t>
      </w:r>
      <w:r w:rsidRPr="00201A9A">
        <w:rPr>
          <w:noProof/>
        </w:rPr>
        <w:t>2 lit.</w:t>
      </w:r>
      <w:r w:rsidR="00201A9A" w:rsidRPr="00201A9A">
        <w:rPr>
          <w:noProof/>
        </w:rPr>
        <w:t> </w:t>
      </w:r>
      <w:r w:rsidRPr="00201A9A">
        <w:rPr>
          <w:noProof/>
        </w:rPr>
        <w:t>a) rozporządzenia (UE, Euratom) 2020/2092. Oczekuje się również, że włączenie do przyszłych planów reform związanych m.in.</w:t>
      </w:r>
      <w:r w:rsidR="00201A9A" w:rsidRPr="00201A9A">
        <w:rPr>
          <w:noProof/>
        </w:rPr>
        <w:t xml:space="preserve"> z zal</w:t>
      </w:r>
      <w:r w:rsidRPr="00201A9A">
        <w:rPr>
          <w:noProof/>
        </w:rPr>
        <w:t>eceniami zawartymi</w:t>
      </w:r>
      <w:r w:rsidR="00201A9A" w:rsidRPr="00201A9A">
        <w:rPr>
          <w:noProof/>
        </w:rPr>
        <w:t xml:space="preserve"> w roc</w:t>
      </w:r>
      <w:r w:rsidRPr="00201A9A">
        <w:rPr>
          <w:noProof/>
        </w:rPr>
        <w:t>znym sprawozdaniu na temat praworządności zwiększy ochronę praw podstawowych</w:t>
      </w:r>
      <w:r w:rsidR="00201A9A" w:rsidRPr="00201A9A">
        <w:rPr>
          <w:noProof/>
        </w:rPr>
        <w:t xml:space="preserve"> i zwi</w:t>
      </w:r>
      <w:r w:rsidRPr="00201A9A">
        <w:rPr>
          <w:noProof/>
        </w:rPr>
        <w:t>ększy zgodność</w:t>
      </w:r>
      <w:r w:rsidR="00201A9A" w:rsidRPr="00201A9A">
        <w:rPr>
          <w:noProof/>
        </w:rPr>
        <w:t xml:space="preserve"> z Kar</w:t>
      </w:r>
      <w:r w:rsidRPr="00201A9A">
        <w:rPr>
          <w:noProof/>
        </w:rPr>
        <w:t>tą.</w:t>
      </w:r>
    </w:p>
    <w:p w14:paraId="2ABE8D9A" w14:textId="77777777" w:rsidR="00794A16" w:rsidRPr="00201A9A" w:rsidRDefault="00794A16" w:rsidP="00794A16">
      <w:pPr>
        <w:pStyle w:val="ManualHeading1"/>
        <w:rPr>
          <w:noProof/>
        </w:rPr>
      </w:pPr>
      <w:r w:rsidRPr="00201A9A">
        <w:rPr>
          <w:noProof/>
        </w:rPr>
        <w:t>4.</w:t>
      </w:r>
      <w:r w:rsidRPr="00201A9A">
        <w:rPr>
          <w:noProof/>
        </w:rPr>
        <w:tab/>
        <w:t>WPŁYW NA BUDŻET</w:t>
      </w:r>
    </w:p>
    <w:p w14:paraId="6B4B256F" w14:textId="77777777" w:rsidR="00794A16" w:rsidRPr="00201A9A" w:rsidRDefault="00794A16" w:rsidP="00794A16">
      <w:pPr>
        <w:pBdr>
          <w:top w:val="nil"/>
          <w:left w:val="nil"/>
          <w:bottom w:val="nil"/>
          <w:right w:val="nil"/>
          <w:between w:val="nil"/>
        </w:pBdr>
        <w:rPr>
          <w:noProof/>
        </w:rPr>
      </w:pPr>
      <w:r w:rsidRPr="00201A9A">
        <w:rPr>
          <w:noProof/>
        </w:rPr>
        <w:t>We wniosku Komisji dotyczącym wieloletnich ram finansowych określono kwotę 865 076 000 000 EUR na Fundusz na lata 2028–2034.</w:t>
      </w:r>
    </w:p>
    <w:p w14:paraId="3CE80105" w14:textId="1B28D5BF" w:rsidR="00794A16" w:rsidRPr="00201A9A" w:rsidRDefault="00794A16" w:rsidP="00794A16">
      <w:pPr>
        <w:pBdr>
          <w:top w:val="nil"/>
          <w:left w:val="nil"/>
          <w:bottom w:val="nil"/>
          <w:right w:val="nil"/>
          <w:between w:val="nil"/>
        </w:pBdr>
        <w:rPr>
          <w:noProof/>
        </w:rPr>
      </w:pPr>
      <w:r w:rsidRPr="00201A9A">
        <w:rPr>
          <w:noProof/>
        </w:rPr>
        <w:t>Fundusz udostępnia również państwom członkowskim, na potrzeby realizacji ich planów, łączną kwotę wsparcia</w:t>
      </w:r>
      <w:r w:rsidR="00201A9A" w:rsidRPr="00201A9A">
        <w:rPr>
          <w:noProof/>
        </w:rPr>
        <w:t xml:space="preserve"> w for</w:t>
      </w:r>
      <w:r w:rsidRPr="00201A9A">
        <w:rPr>
          <w:noProof/>
        </w:rPr>
        <w:t>mie pożyczki wynoszącą 150 000 000 000 EUR. Komisja powinna mieć możliwość zaciągania pożyczek na rynkach finansowych zgodnie ze zróżnicowaną strategią finansowania.</w:t>
      </w:r>
    </w:p>
    <w:p w14:paraId="2B7BF3A9" w14:textId="0AAB71F7" w:rsidR="00794A16" w:rsidRPr="00201A9A" w:rsidRDefault="00794A16" w:rsidP="00794A16">
      <w:pPr>
        <w:pBdr>
          <w:top w:val="nil"/>
          <w:left w:val="nil"/>
          <w:bottom w:val="nil"/>
          <w:right w:val="nil"/>
          <w:between w:val="nil"/>
        </w:pBdr>
        <w:rPr>
          <w:noProof/>
        </w:rPr>
      </w:pPr>
      <w:r w:rsidRPr="00201A9A">
        <w:rPr>
          <w:noProof/>
        </w:rPr>
        <w:t>Szczegóły dotyczące potrzeb finansowych</w:t>
      </w:r>
      <w:r w:rsidR="00201A9A" w:rsidRPr="00201A9A">
        <w:rPr>
          <w:noProof/>
        </w:rPr>
        <w:t xml:space="preserve"> i kad</w:t>
      </w:r>
      <w:r w:rsidRPr="00201A9A">
        <w:rPr>
          <w:noProof/>
        </w:rPr>
        <w:t>rowych można znaleźć</w:t>
      </w:r>
      <w:r w:rsidR="00201A9A" w:rsidRPr="00201A9A">
        <w:rPr>
          <w:noProof/>
        </w:rPr>
        <w:t xml:space="preserve"> w oce</w:t>
      </w:r>
      <w:r w:rsidRPr="00201A9A">
        <w:rPr>
          <w:noProof/>
        </w:rPr>
        <w:t>nie skutków finansowych</w:t>
      </w:r>
      <w:r w:rsidR="00201A9A" w:rsidRPr="00201A9A">
        <w:rPr>
          <w:noProof/>
        </w:rPr>
        <w:t xml:space="preserve"> i cyf</w:t>
      </w:r>
      <w:r w:rsidRPr="00201A9A">
        <w:rPr>
          <w:noProof/>
        </w:rPr>
        <w:t>rowych regulacji.</w:t>
      </w:r>
    </w:p>
    <w:p w14:paraId="4D3F61E0" w14:textId="77777777" w:rsidR="00794A16" w:rsidRPr="00201A9A" w:rsidRDefault="00794A16" w:rsidP="00794A16">
      <w:pPr>
        <w:pStyle w:val="ManualHeading1"/>
        <w:rPr>
          <w:noProof/>
        </w:rPr>
      </w:pPr>
      <w:r w:rsidRPr="00201A9A">
        <w:rPr>
          <w:noProof/>
        </w:rPr>
        <w:t>5.</w:t>
      </w:r>
      <w:r w:rsidRPr="00201A9A">
        <w:rPr>
          <w:noProof/>
        </w:rPr>
        <w:tab/>
        <w:t>ELEMENTY FAKULTATYWNE</w:t>
      </w:r>
    </w:p>
    <w:p w14:paraId="139AB328" w14:textId="5A1047E8" w:rsidR="00794A16" w:rsidRPr="00201A9A" w:rsidRDefault="00794A16" w:rsidP="00794A16">
      <w:pPr>
        <w:pStyle w:val="ManualHeading2"/>
        <w:rPr>
          <w:rFonts w:eastAsia="Arial Unicode MS"/>
          <w:noProof/>
          <w:u w:color="000000"/>
          <w:bdr w:val="nil"/>
        </w:rPr>
      </w:pPr>
      <w:r w:rsidRPr="00201A9A">
        <w:rPr>
          <w:noProof/>
          <w:u w:color="000000"/>
          <w:bdr w:val="nil"/>
        </w:rPr>
        <w:t>•</w:t>
      </w:r>
      <w:r w:rsidRPr="00201A9A">
        <w:rPr>
          <w:noProof/>
        </w:rPr>
        <w:tab/>
      </w:r>
      <w:r w:rsidRPr="00201A9A">
        <w:rPr>
          <w:noProof/>
          <w:u w:color="000000"/>
          <w:bdr w:val="nil"/>
        </w:rPr>
        <w:t>Plany wdrożenia</w:t>
      </w:r>
      <w:r w:rsidR="00201A9A" w:rsidRPr="00201A9A">
        <w:rPr>
          <w:noProof/>
          <w:u w:color="000000"/>
          <w:bdr w:val="nil"/>
        </w:rPr>
        <w:t xml:space="preserve"> i mon</w:t>
      </w:r>
      <w:r w:rsidRPr="00201A9A">
        <w:rPr>
          <w:noProof/>
          <w:u w:color="000000"/>
          <w:bdr w:val="nil"/>
        </w:rPr>
        <w:t>itorowanie, ocena</w:t>
      </w:r>
      <w:r w:rsidR="00201A9A" w:rsidRPr="00201A9A">
        <w:rPr>
          <w:noProof/>
          <w:u w:color="000000"/>
          <w:bdr w:val="nil"/>
        </w:rPr>
        <w:t xml:space="preserve"> i spr</w:t>
      </w:r>
      <w:r w:rsidRPr="00201A9A">
        <w:rPr>
          <w:noProof/>
          <w:u w:color="000000"/>
          <w:bdr w:val="nil"/>
        </w:rPr>
        <w:t>awozdania</w:t>
      </w:r>
    </w:p>
    <w:p w14:paraId="30D7C4C6" w14:textId="02CB30F4" w:rsidR="00794A16" w:rsidRPr="00201A9A" w:rsidRDefault="00794A16" w:rsidP="00794A16">
      <w:pPr>
        <w:pBdr>
          <w:top w:val="nil"/>
          <w:left w:val="nil"/>
          <w:bottom w:val="nil"/>
          <w:right w:val="nil"/>
          <w:between w:val="nil"/>
          <w:bar w:val="nil"/>
        </w:pBdr>
        <w:rPr>
          <w:noProof/>
        </w:rPr>
      </w:pPr>
      <w:r w:rsidRPr="00201A9A">
        <w:rPr>
          <w:noProof/>
        </w:rPr>
        <w:t>Inicjatywa ta będzie monitorowana za pomocą ram wykonania mających zastosowanie do wieloletnich ram finansowych na lata 2028–2034, które określono we wniosku dotyczącym rozporządzenia xx [rozporządzenie</w:t>
      </w:r>
      <w:r w:rsidR="00201A9A" w:rsidRPr="00201A9A">
        <w:rPr>
          <w:noProof/>
        </w:rPr>
        <w:t xml:space="preserve"> w spr</w:t>
      </w:r>
      <w:r w:rsidRPr="00201A9A">
        <w:rPr>
          <w:noProof/>
        </w:rPr>
        <w:t>awie wykonania]. Ramy wykonania przewidują sprawozdanie</w:t>
      </w:r>
      <w:r w:rsidR="00201A9A" w:rsidRPr="00201A9A">
        <w:rPr>
          <w:noProof/>
        </w:rPr>
        <w:t xml:space="preserve"> z wyk</w:t>
      </w:r>
      <w:r w:rsidRPr="00201A9A">
        <w:rPr>
          <w:noProof/>
        </w:rPr>
        <w:t>onania na etapie realizacji programu,</w:t>
      </w:r>
      <w:r w:rsidR="00201A9A" w:rsidRPr="00201A9A">
        <w:rPr>
          <w:noProof/>
        </w:rPr>
        <w:t xml:space="preserve"> a tak</w:t>
      </w:r>
      <w:r w:rsidRPr="00201A9A">
        <w:rPr>
          <w:noProof/>
        </w:rPr>
        <w:t>że ocenę retrospektywną, która ma zostać przeprowadzona zgodnie</w:t>
      </w:r>
      <w:r w:rsidR="00201A9A" w:rsidRPr="00201A9A">
        <w:rPr>
          <w:noProof/>
        </w:rPr>
        <w:t xml:space="preserve"> z art</w:t>
      </w:r>
      <w:r w:rsidRPr="00201A9A">
        <w:rPr>
          <w:noProof/>
        </w:rPr>
        <w:t>.</w:t>
      </w:r>
      <w:r w:rsidR="00201A9A" w:rsidRPr="00201A9A">
        <w:rPr>
          <w:noProof/>
        </w:rPr>
        <w:t> </w:t>
      </w:r>
      <w:r w:rsidRPr="00201A9A">
        <w:rPr>
          <w:noProof/>
        </w:rPr>
        <w:t>34 ust.</w:t>
      </w:r>
      <w:r w:rsidR="00201A9A" w:rsidRPr="00201A9A">
        <w:rPr>
          <w:noProof/>
        </w:rPr>
        <w:t> </w:t>
      </w:r>
      <w:r w:rsidRPr="00201A9A">
        <w:rPr>
          <w:noProof/>
        </w:rPr>
        <w:t>3 rozporządzenia (UE, Euratom) 2024/2509. Ocena zostanie przeprowadzona zgodnie</w:t>
      </w:r>
      <w:r w:rsidR="00201A9A" w:rsidRPr="00201A9A">
        <w:rPr>
          <w:noProof/>
        </w:rPr>
        <w:t xml:space="preserve"> z wyt</w:t>
      </w:r>
      <w:r w:rsidRPr="00201A9A">
        <w:rPr>
          <w:noProof/>
        </w:rPr>
        <w:t>ycznymi Komisji dotyczącymi lepszego stanowienia prawa</w:t>
      </w:r>
      <w:r w:rsidR="00201A9A" w:rsidRPr="00201A9A">
        <w:rPr>
          <w:noProof/>
        </w:rPr>
        <w:t xml:space="preserve"> i będ</w:t>
      </w:r>
      <w:r w:rsidRPr="00201A9A">
        <w:rPr>
          <w:noProof/>
        </w:rPr>
        <w:t>zie ona oparta na wskaźnikach istotnych</w:t>
      </w:r>
      <w:r w:rsidR="00201A9A" w:rsidRPr="00201A9A">
        <w:rPr>
          <w:noProof/>
        </w:rPr>
        <w:t xml:space="preserve"> z pun</w:t>
      </w:r>
      <w:r w:rsidRPr="00201A9A">
        <w:rPr>
          <w:noProof/>
        </w:rPr>
        <w:t>ktu widzenia celów Funduszu.</w:t>
      </w:r>
    </w:p>
    <w:p w14:paraId="60A49F18" w14:textId="77777777" w:rsidR="00794A16" w:rsidRPr="00201A9A" w:rsidRDefault="00794A16" w:rsidP="00794A16">
      <w:pPr>
        <w:pStyle w:val="ManualHeading2"/>
        <w:rPr>
          <w:rFonts w:eastAsia="Arial Unicode MS"/>
          <w:noProof/>
          <w:bdr w:val="nil"/>
        </w:rPr>
      </w:pPr>
      <w:r w:rsidRPr="00201A9A">
        <w:rPr>
          <w:noProof/>
          <w:bdr w:val="nil"/>
        </w:rPr>
        <w:t>•</w:t>
      </w:r>
      <w:r w:rsidRPr="00201A9A">
        <w:rPr>
          <w:noProof/>
        </w:rPr>
        <w:tab/>
      </w:r>
      <w:r w:rsidRPr="00201A9A">
        <w:rPr>
          <w:noProof/>
          <w:bdr w:val="nil"/>
        </w:rPr>
        <w:t>Szczegółowe objaśnienia poszczególnych przepisów wniosku</w:t>
      </w:r>
    </w:p>
    <w:p w14:paraId="26783A48" w14:textId="53D6A5DC" w:rsidR="00794A16" w:rsidRPr="00201A9A" w:rsidRDefault="00794A16" w:rsidP="00BE7913">
      <w:pPr>
        <w:pBdr>
          <w:top w:val="nil"/>
          <w:left w:val="nil"/>
          <w:bottom w:val="nil"/>
          <w:right w:val="nil"/>
          <w:between w:val="nil"/>
          <w:bar w:val="nil"/>
        </w:pBdr>
        <w:spacing w:before="0" w:after="240"/>
        <w:rPr>
          <w:b/>
          <w:noProof/>
          <w:szCs w:val="24"/>
        </w:rPr>
      </w:pPr>
      <w:r w:rsidRPr="00201A9A">
        <w:rPr>
          <w:b/>
          <w:noProof/>
        </w:rPr>
        <w:t>Tytuł I - Przepisy ogólne [art.</w:t>
      </w:r>
      <w:r w:rsidR="00201A9A" w:rsidRPr="00201A9A">
        <w:rPr>
          <w:b/>
          <w:noProof/>
        </w:rPr>
        <w:t> </w:t>
      </w:r>
      <w:r w:rsidRPr="00201A9A">
        <w:rPr>
          <w:b/>
          <w:noProof/>
        </w:rPr>
        <w:t>1–9]</w:t>
      </w:r>
    </w:p>
    <w:p w14:paraId="6D609879" w14:textId="3222CD3C"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Fundusz łączy fundusze europejskie</w:t>
      </w:r>
      <w:r w:rsidR="00201A9A" w:rsidRPr="00201A9A">
        <w:rPr>
          <w:noProof/>
        </w:rPr>
        <w:t xml:space="preserve"> z pul</w:t>
      </w:r>
      <w:r w:rsidRPr="00201A9A">
        <w:rPr>
          <w:noProof/>
        </w:rPr>
        <w:t>ami środków wstępnie przydzielanych na poziomie krajowym</w:t>
      </w:r>
      <w:r w:rsidR="00201A9A" w:rsidRPr="00201A9A">
        <w:rPr>
          <w:noProof/>
        </w:rPr>
        <w:t xml:space="preserve"> i ust</w:t>
      </w:r>
      <w:r w:rsidRPr="00201A9A">
        <w:rPr>
          <w:noProof/>
        </w:rPr>
        <w:t>anowiono go na okres 2028–2034</w:t>
      </w:r>
      <w:r w:rsidR="00201A9A" w:rsidRPr="00201A9A">
        <w:rPr>
          <w:noProof/>
        </w:rPr>
        <w:t>. W art</w:t>
      </w:r>
      <w:r w:rsidRPr="00201A9A">
        <w:rPr>
          <w:noProof/>
        </w:rPr>
        <w:t>.</w:t>
      </w:r>
      <w:r w:rsidR="00201A9A" w:rsidRPr="00201A9A">
        <w:rPr>
          <w:noProof/>
        </w:rPr>
        <w:t> </w:t>
      </w:r>
      <w:r w:rsidRPr="00201A9A">
        <w:rPr>
          <w:noProof/>
        </w:rPr>
        <w:t>2 określono ogólne cele, które należy realizować za pomocą celów szczegółowych pogrupowanych wokół pięciu filarów (art.</w:t>
      </w:r>
      <w:r w:rsidR="00201A9A" w:rsidRPr="00201A9A">
        <w:rPr>
          <w:noProof/>
        </w:rPr>
        <w:t> </w:t>
      </w:r>
      <w:r w:rsidRPr="00201A9A">
        <w:rPr>
          <w:noProof/>
        </w:rPr>
        <w:t>3).</w:t>
      </w:r>
    </w:p>
    <w:p w14:paraId="2DC63C44" w14:textId="49057D1F"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Komisja</w:t>
      </w:r>
      <w:r w:rsidR="00201A9A" w:rsidRPr="00201A9A">
        <w:rPr>
          <w:noProof/>
        </w:rPr>
        <w:t xml:space="preserve"> i pań</w:t>
      </w:r>
      <w:r w:rsidRPr="00201A9A">
        <w:rPr>
          <w:noProof/>
        </w:rPr>
        <w:t>stwa członkowskie mają wdrażać plany partnerstwa krajowego</w:t>
      </w:r>
      <w:r w:rsidR="00201A9A" w:rsidRPr="00201A9A">
        <w:rPr>
          <w:noProof/>
        </w:rPr>
        <w:t xml:space="preserve"> i reg</w:t>
      </w:r>
      <w:r w:rsidRPr="00201A9A">
        <w:rPr>
          <w:noProof/>
        </w:rPr>
        <w:t xml:space="preserve">ionalnego oraz </w:t>
      </w:r>
      <w:r w:rsidR="00A47BEA" w:rsidRPr="00201A9A">
        <w:rPr>
          <w:noProof/>
        </w:rPr>
        <w:t>P</w:t>
      </w:r>
      <w:r w:rsidRPr="00201A9A">
        <w:rPr>
          <w:noProof/>
        </w:rPr>
        <w:t>lan Interreg</w:t>
      </w:r>
      <w:r w:rsidR="00201A9A" w:rsidRPr="00201A9A">
        <w:rPr>
          <w:noProof/>
        </w:rPr>
        <w:t xml:space="preserve"> w ram</w:t>
      </w:r>
      <w:r w:rsidRPr="00201A9A">
        <w:rPr>
          <w:noProof/>
        </w:rPr>
        <w:t>ach zarządzania dzielonego, natomiast Komisja może zastosować zarządzanie bezpośrednie, dzielone lub pośrednie przy wdrażaniu Instrumentu UE (art.</w:t>
      </w:r>
      <w:r w:rsidR="00201A9A" w:rsidRPr="00201A9A">
        <w:rPr>
          <w:noProof/>
        </w:rPr>
        <w:t> </w:t>
      </w:r>
      <w:r w:rsidRPr="00201A9A">
        <w:rPr>
          <w:noProof/>
        </w:rPr>
        <w:t>5),</w:t>
      </w:r>
      <w:r w:rsidR="00201A9A" w:rsidRPr="00201A9A">
        <w:rPr>
          <w:noProof/>
        </w:rPr>
        <w:t xml:space="preserve"> a wkł</w:t>
      </w:r>
      <w:r w:rsidRPr="00201A9A">
        <w:rPr>
          <w:noProof/>
        </w:rPr>
        <w:t>ady pochodzące</w:t>
      </w:r>
      <w:r w:rsidR="00201A9A" w:rsidRPr="00201A9A">
        <w:rPr>
          <w:noProof/>
        </w:rPr>
        <w:t xml:space="preserve"> z Ins</w:t>
      </w:r>
      <w:r w:rsidRPr="00201A9A">
        <w:rPr>
          <w:noProof/>
        </w:rPr>
        <w:t>trumentu „Globalny wymiar Europy” ujęte</w:t>
      </w:r>
      <w:r w:rsidR="00201A9A" w:rsidRPr="00201A9A">
        <w:rPr>
          <w:noProof/>
        </w:rPr>
        <w:t xml:space="preserve"> w roz</w:t>
      </w:r>
      <w:r w:rsidRPr="00201A9A">
        <w:rPr>
          <w:noProof/>
        </w:rPr>
        <w:t>działach wspierających współpracę regionów najbardziej oddalonych mogą być wdrażane</w:t>
      </w:r>
      <w:r w:rsidR="00201A9A" w:rsidRPr="00201A9A">
        <w:rPr>
          <w:noProof/>
        </w:rPr>
        <w:t xml:space="preserve"> w ram</w:t>
      </w:r>
      <w:r w:rsidRPr="00201A9A">
        <w:rPr>
          <w:noProof/>
        </w:rPr>
        <w:t xml:space="preserve">ach zarządzania dzielonego lub pośredniego. </w:t>
      </w:r>
    </w:p>
    <w:p w14:paraId="2902BC2B" w14:textId="092A9C21" w:rsidR="00C30DE4" w:rsidRPr="00201A9A" w:rsidRDefault="00C30DE4" w:rsidP="00BE7913">
      <w:pPr>
        <w:pBdr>
          <w:top w:val="nil"/>
          <w:left w:val="nil"/>
          <w:bottom w:val="nil"/>
          <w:right w:val="nil"/>
          <w:between w:val="nil"/>
          <w:bar w:val="nil"/>
        </w:pBdr>
        <w:spacing w:before="0" w:after="240"/>
        <w:rPr>
          <w:noProof/>
          <w:szCs w:val="24"/>
        </w:rPr>
      </w:pPr>
      <w:r w:rsidRPr="00201A9A">
        <w:rPr>
          <w:noProof/>
        </w:rPr>
        <w:t>Każde państwo członkowskie powinno zorganizować</w:t>
      </w:r>
      <w:r w:rsidR="00201A9A" w:rsidRPr="00201A9A">
        <w:rPr>
          <w:noProof/>
        </w:rPr>
        <w:t xml:space="preserve"> i wdr</w:t>
      </w:r>
      <w:r w:rsidRPr="00201A9A">
        <w:rPr>
          <w:noProof/>
        </w:rPr>
        <w:t>ożyć kompleksowe partnerstwo na potrzeby planu partnerstwa krajowego</w:t>
      </w:r>
      <w:r w:rsidR="00201A9A" w:rsidRPr="00201A9A">
        <w:rPr>
          <w:noProof/>
        </w:rPr>
        <w:t xml:space="preserve"> i reg</w:t>
      </w:r>
      <w:r w:rsidRPr="00201A9A">
        <w:rPr>
          <w:noProof/>
        </w:rPr>
        <w:t>ionalnego</w:t>
      </w:r>
      <w:r w:rsidR="00201A9A" w:rsidRPr="00201A9A">
        <w:rPr>
          <w:noProof/>
        </w:rPr>
        <w:t xml:space="preserve"> i każ</w:t>
      </w:r>
      <w:r w:rsidRPr="00201A9A">
        <w:rPr>
          <w:noProof/>
        </w:rPr>
        <w:t>dego rozdziału, zgodnie</w:t>
      </w:r>
      <w:r w:rsidR="00201A9A" w:rsidRPr="00201A9A">
        <w:rPr>
          <w:noProof/>
        </w:rPr>
        <w:t xml:space="preserve"> z zas</w:t>
      </w:r>
      <w:r w:rsidRPr="00201A9A">
        <w:rPr>
          <w:noProof/>
        </w:rPr>
        <w:t>adą wielopoziomowego zarządzania</w:t>
      </w:r>
      <w:r w:rsidR="00201A9A" w:rsidRPr="00201A9A">
        <w:rPr>
          <w:noProof/>
        </w:rPr>
        <w:t xml:space="preserve"> i pod</w:t>
      </w:r>
      <w:r w:rsidRPr="00201A9A">
        <w:rPr>
          <w:noProof/>
        </w:rPr>
        <w:t>ejściem oddolnym, aby zapewnić zrównoważoną reprezentację różnych partnerów (art.</w:t>
      </w:r>
      <w:r w:rsidR="00201A9A" w:rsidRPr="00201A9A">
        <w:rPr>
          <w:noProof/>
        </w:rPr>
        <w:t> </w:t>
      </w:r>
      <w:r w:rsidRPr="00201A9A">
        <w:rPr>
          <w:noProof/>
        </w:rPr>
        <w:t xml:space="preserve">6). </w:t>
      </w:r>
    </w:p>
    <w:p w14:paraId="68F991B0" w14:textId="2741C579"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W art.</w:t>
      </w:r>
      <w:r w:rsidR="00201A9A" w:rsidRPr="00201A9A">
        <w:rPr>
          <w:noProof/>
        </w:rPr>
        <w:t> </w:t>
      </w:r>
      <w:r w:rsidRPr="00201A9A">
        <w:rPr>
          <w:noProof/>
        </w:rPr>
        <w:t>7 określono zasady horyzontalne mające zastosowanie do rozporządzenia,</w:t>
      </w:r>
      <w:r w:rsidR="00201A9A" w:rsidRPr="00201A9A">
        <w:rPr>
          <w:noProof/>
        </w:rPr>
        <w:t xml:space="preserve"> w tym</w:t>
      </w:r>
      <w:r w:rsidRPr="00201A9A">
        <w:rPr>
          <w:noProof/>
        </w:rPr>
        <w:t xml:space="preserve"> obowiązek przestrzegania przez państwa członkowskie, przy wdrażaniu Funduszu, zasad państwa prawnego</w:t>
      </w:r>
      <w:r w:rsidR="00201A9A" w:rsidRPr="00201A9A">
        <w:rPr>
          <w:noProof/>
        </w:rPr>
        <w:t xml:space="preserve"> i Kar</w:t>
      </w:r>
      <w:r w:rsidRPr="00201A9A">
        <w:rPr>
          <w:noProof/>
        </w:rPr>
        <w:t>ty praw podstawowych Unii Europejskiej,</w:t>
      </w:r>
      <w:r w:rsidR="00201A9A" w:rsidRPr="00201A9A">
        <w:rPr>
          <w:noProof/>
        </w:rPr>
        <w:t xml:space="preserve"> a tak</w:t>
      </w:r>
      <w:r w:rsidRPr="00201A9A">
        <w:rPr>
          <w:noProof/>
        </w:rPr>
        <w:t>że zasady niedyskryminacji</w:t>
      </w:r>
      <w:r w:rsidR="00201A9A" w:rsidRPr="00201A9A">
        <w:rPr>
          <w:noProof/>
        </w:rPr>
        <w:t xml:space="preserve"> i rów</w:t>
      </w:r>
      <w:r w:rsidRPr="00201A9A">
        <w:rPr>
          <w:noProof/>
        </w:rPr>
        <w:t>ności płci zgodnie</w:t>
      </w:r>
      <w:r w:rsidR="00201A9A" w:rsidRPr="00201A9A">
        <w:rPr>
          <w:noProof/>
        </w:rPr>
        <w:t xml:space="preserve"> z roz</w:t>
      </w:r>
      <w:r w:rsidRPr="00201A9A">
        <w:rPr>
          <w:noProof/>
        </w:rPr>
        <w:t>porządzeniem (UE) 202X/XXXX [rozporządzenie</w:t>
      </w:r>
      <w:r w:rsidR="00201A9A" w:rsidRPr="00201A9A">
        <w:rPr>
          <w:noProof/>
        </w:rPr>
        <w:t xml:space="preserve"> w spr</w:t>
      </w:r>
      <w:r w:rsidRPr="00201A9A">
        <w:rPr>
          <w:noProof/>
        </w:rPr>
        <w:t>awie wykonania]. Powinny one również wspierać synergię</w:t>
      </w:r>
      <w:r w:rsidR="00201A9A" w:rsidRPr="00201A9A">
        <w:rPr>
          <w:noProof/>
        </w:rPr>
        <w:t xml:space="preserve"> i zap</w:t>
      </w:r>
      <w:r w:rsidRPr="00201A9A">
        <w:rPr>
          <w:noProof/>
        </w:rPr>
        <w:t>ewniać skuteczną koordynację między Funduszem</w:t>
      </w:r>
      <w:r w:rsidR="00201A9A" w:rsidRPr="00201A9A">
        <w:rPr>
          <w:noProof/>
        </w:rPr>
        <w:t xml:space="preserve"> a inn</w:t>
      </w:r>
      <w:r w:rsidRPr="00201A9A">
        <w:rPr>
          <w:noProof/>
        </w:rPr>
        <w:t>ymi programami</w:t>
      </w:r>
      <w:r w:rsidR="00201A9A" w:rsidRPr="00201A9A">
        <w:rPr>
          <w:noProof/>
        </w:rPr>
        <w:t xml:space="preserve"> i ins</w:t>
      </w:r>
      <w:r w:rsidRPr="00201A9A">
        <w:rPr>
          <w:noProof/>
        </w:rPr>
        <w:t>trumentami unijnymi.</w:t>
      </w:r>
      <w:r w:rsidR="00201A9A" w:rsidRPr="00201A9A">
        <w:rPr>
          <w:noProof/>
        </w:rPr>
        <w:t xml:space="preserve"> </w:t>
      </w:r>
    </w:p>
    <w:p w14:paraId="4957057F" w14:textId="4FC33528"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W tym tytule ustanawia się warunki horyzontalne dotyczące przestrzegania państwa prawnego</w:t>
      </w:r>
      <w:r w:rsidR="00201A9A" w:rsidRPr="00201A9A">
        <w:rPr>
          <w:noProof/>
        </w:rPr>
        <w:t xml:space="preserve"> i Kar</w:t>
      </w:r>
      <w:r w:rsidRPr="00201A9A">
        <w:rPr>
          <w:noProof/>
        </w:rPr>
        <w:t>ty praw podstawowych Unii Europejskiej oraz określa warunki ich stosowania (art.</w:t>
      </w:r>
      <w:r w:rsidR="00201A9A" w:rsidRPr="00201A9A">
        <w:rPr>
          <w:noProof/>
        </w:rPr>
        <w:t> </w:t>
      </w:r>
      <w:r w:rsidRPr="00201A9A">
        <w:rPr>
          <w:noProof/>
        </w:rPr>
        <w:t>8</w:t>
      </w:r>
      <w:r w:rsidR="00201A9A" w:rsidRPr="00201A9A">
        <w:rPr>
          <w:noProof/>
        </w:rPr>
        <w:t xml:space="preserve"> i 9</w:t>
      </w:r>
      <w:r w:rsidRPr="00201A9A">
        <w:rPr>
          <w:noProof/>
        </w:rPr>
        <w:t>).</w:t>
      </w:r>
    </w:p>
    <w:p w14:paraId="2A7ABCF1" w14:textId="76D574F7" w:rsidR="00794A16" w:rsidRPr="00201A9A" w:rsidRDefault="00794A16" w:rsidP="00BE7913">
      <w:pPr>
        <w:pBdr>
          <w:top w:val="nil"/>
          <w:left w:val="nil"/>
          <w:bottom w:val="nil"/>
          <w:right w:val="nil"/>
          <w:between w:val="nil"/>
          <w:bar w:val="nil"/>
        </w:pBdr>
        <w:spacing w:before="0" w:after="240"/>
        <w:rPr>
          <w:b/>
          <w:noProof/>
          <w:szCs w:val="24"/>
        </w:rPr>
      </w:pPr>
      <w:r w:rsidRPr="00201A9A">
        <w:rPr>
          <w:b/>
          <w:noProof/>
        </w:rPr>
        <w:t>Tytuł II – Ramy finansowe [art.</w:t>
      </w:r>
      <w:r w:rsidR="00201A9A" w:rsidRPr="00201A9A">
        <w:rPr>
          <w:b/>
          <w:noProof/>
        </w:rPr>
        <w:t> </w:t>
      </w:r>
      <w:r w:rsidRPr="00201A9A">
        <w:rPr>
          <w:b/>
          <w:noProof/>
        </w:rPr>
        <w:t>10–20]</w:t>
      </w:r>
    </w:p>
    <w:p w14:paraId="41AF414B" w14:textId="60FCD1CF"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Pula środków finansowych Funduszu wynosi [xx] EUR na lata 2028–2034,</w:t>
      </w:r>
      <w:r w:rsidR="00201A9A" w:rsidRPr="00201A9A">
        <w:rPr>
          <w:noProof/>
        </w:rPr>
        <w:t xml:space="preserve"> z cze</w:t>
      </w:r>
      <w:r w:rsidRPr="00201A9A">
        <w:rPr>
          <w:noProof/>
        </w:rPr>
        <w:t xml:space="preserve">go [xx] EUR należy przydzielić na plany, [xx] EUR na Instrument UE i [xx] EUR na </w:t>
      </w:r>
      <w:r w:rsidR="00A47BEA" w:rsidRPr="00201A9A">
        <w:rPr>
          <w:noProof/>
        </w:rPr>
        <w:t>P</w:t>
      </w:r>
      <w:r w:rsidRPr="00201A9A">
        <w:rPr>
          <w:noProof/>
        </w:rPr>
        <w:t>lan Interreg (art.</w:t>
      </w:r>
      <w:r w:rsidR="00201A9A" w:rsidRPr="00201A9A">
        <w:rPr>
          <w:noProof/>
        </w:rPr>
        <w:t> </w:t>
      </w:r>
      <w:r w:rsidRPr="00201A9A">
        <w:rPr>
          <w:noProof/>
        </w:rPr>
        <w:t xml:space="preserve">10). </w:t>
      </w:r>
    </w:p>
    <w:p w14:paraId="7B68A89E" w14:textId="05197631"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Przepisy związane</w:t>
      </w:r>
      <w:r w:rsidR="00201A9A" w:rsidRPr="00201A9A">
        <w:rPr>
          <w:noProof/>
        </w:rPr>
        <w:t xml:space="preserve"> z zas</w:t>
      </w:r>
      <w:r w:rsidRPr="00201A9A">
        <w:rPr>
          <w:noProof/>
        </w:rPr>
        <w:t>obami dodatkowymi</w:t>
      </w:r>
      <w:r w:rsidR="00201A9A" w:rsidRPr="00201A9A">
        <w:rPr>
          <w:noProof/>
        </w:rPr>
        <w:t xml:space="preserve"> i ich</w:t>
      </w:r>
      <w:r w:rsidRPr="00201A9A">
        <w:rPr>
          <w:noProof/>
        </w:rPr>
        <w:t xml:space="preserve"> wykorzystaniem przez państwo członkowskie</w:t>
      </w:r>
      <w:r w:rsidR="00201A9A" w:rsidRPr="00201A9A">
        <w:rPr>
          <w:noProof/>
        </w:rPr>
        <w:t xml:space="preserve"> w cel</w:t>
      </w:r>
      <w:r w:rsidRPr="00201A9A">
        <w:rPr>
          <w:noProof/>
        </w:rPr>
        <w:t>u tworzenia rezerw na gwarancję budżetową, finansowania instrumentu finansowego lub jako kwot bezzwrotnego wsparcia</w:t>
      </w:r>
      <w:r w:rsidR="00201A9A" w:rsidRPr="00201A9A">
        <w:rPr>
          <w:noProof/>
        </w:rPr>
        <w:t xml:space="preserve"> w poł</w:t>
      </w:r>
      <w:r w:rsidRPr="00201A9A">
        <w:rPr>
          <w:noProof/>
        </w:rPr>
        <w:t>ączeniu</w:t>
      </w:r>
      <w:r w:rsidR="00201A9A" w:rsidRPr="00201A9A">
        <w:rPr>
          <w:noProof/>
        </w:rPr>
        <w:t xml:space="preserve"> z gwa</w:t>
      </w:r>
      <w:r w:rsidRPr="00201A9A">
        <w:rPr>
          <w:noProof/>
        </w:rPr>
        <w:t>rancją budżetową lub instrumentem finansowym</w:t>
      </w:r>
      <w:r w:rsidR="00201A9A" w:rsidRPr="00201A9A">
        <w:rPr>
          <w:noProof/>
        </w:rPr>
        <w:t xml:space="preserve"> w ram</w:t>
      </w:r>
      <w:r w:rsidRPr="00201A9A">
        <w:rPr>
          <w:noProof/>
        </w:rPr>
        <w:t>ach działania łączonego, jak określono</w:t>
      </w:r>
      <w:r w:rsidR="00201A9A" w:rsidRPr="00201A9A">
        <w:rPr>
          <w:noProof/>
        </w:rPr>
        <w:t xml:space="preserve"> w art</w:t>
      </w:r>
      <w:r w:rsidRPr="00201A9A">
        <w:rPr>
          <w:noProof/>
        </w:rPr>
        <w:t>.</w:t>
      </w:r>
      <w:r w:rsidR="00201A9A" w:rsidRPr="00201A9A">
        <w:rPr>
          <w:noProof/>
        </w:rPr>
        <w:t> </w:t>
      </w:r>
      <w:r w:rsidRPr="00201A9A">
        <w:rPr>
          <w:noProof/>
        </w:rPr>
        <w:t>11.</w:t>
      </w:r>
    </w:p>
    <w:p w14:paraId="7919B573" w14:textId="093FA6FD"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Fundusz może wspierać pomoc techniczną</w:t>
      </w:r>
      <w:r w:rsidR="00201A9A" w:rsidRPr="00201A9A">
        <w:rPr>
          <w:noProof/>
        </w:rPr>
        <w:t xml:space="preserve"> i adm</w:t>
      </w:r>
      <w:r w:rsidRPr="00201A9A">
        <w:rPr>
          <w:noProof/>
        </w:rPr>
        <w:t>inistracyjną</w:t>
      </w:r>
      <w:r w:rsidR="00201A9A" w:rsidRPr="00201A9A">
        <w:rPr>
          <w:noProof/>
        </w:rPr>
        <w:t xml:space="preserve"> z ini</w:t>
      </w:r>
      <w:r w:rsidRPr="00201A9A">
        <w:rPr>
          <w:noProof/>
        </w:rPr>
        <w:t xml:space="preserve">cjatywy Komisji na potrzeby realizacji planu oraz </w:t>
      </w:r>
      <w:r w:rsidR="00A47BEA" w:rsidRPr="00201A9A">
        <w:rPr>
          <w:noProof/>
        </w:rPr>
        <w:t>Plan</w:t>
      </w:r>
      <w:r w:rsidRPr="00201A9A">
        <w:rPr>
          <w:noProof/>
        </w:rPr>
        <w:t>u Interreg (art.</w:t>
      </w:r>
      <w:r w:rsidR="00201A9A" w:rsidRPr="00201A9A">
        <w:rPr>
          <w:noProof/>
        </w:rPr>
        <w:t> </w:t>
      </w:r>
      <w:r w:rsidRPr="00201A9A">
        <w:rPr>
          <w:noProof/>
        </w:rPr>
        <w:t>12)</w:t>
      </w:r>
      <w:r w:rsidR="00201A9A" w:rsidRPr="00201A9A">
        <w:rPr>
          <w:noProof/>
        </w:rPr>
        <w:t>. Z ini</w:t>
      </w:r>
      <w:r w:rsidRPr="00201A9A">
        <w:rPr>
          <w:noProof/>
        </w:rPr>
        <w:t>cjatywy państwa członkowskiego Fundusz może wspierać działania niezbędne do skutecznego wdrażania Funduszu (art.</w:t>
      </w:r>
      <w:r w:rsidR="00201A9A" w:rsidRPr="00201A9A">
        <w:rPr>
          <w:noProof/>
        </w:rPr>
        <w:t> </w:t>
      </w:r>
      <w:r w:rsidRPr="00201A9A">
        <w:rPr>
          <w:noProof/>
        </w:rPr>
        <w:t xml:space="preserve">13). </w:t>
      </w:r>
    </w:p>
    <w:p w14:paraId="6A52E6F3" w14:textId="439ED3E2"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Podział środków między państwa członkowskie</w:t>
      </w:r>
      <w:r w:rsidR="00201A9A" w:rsidRPr="00201A9A">
        <w:rPr>
          <w:noProof/>
        </w:rPr>
        <w:t xml:space="preserve"> w ram</w:t>
      </w:r>
      <w:r w:rsidRPr="00201A9A">
        <w:rPr>
          <w:noProof/>
        </w:rPr>
        <w:t>ach Funduszu zostanie dokonany zgodnie</w:t>
      </w:r>
      <w:r w:rsidR="00201A9A" w:rsidRPr="00201A9A">
        <w:rPr>
          <w:noProof/>
        </w:rPr>
        <w:t xml:space="preserve"> z zał</w:t>
      </w:r>
      <w:r w:rsidRPr="00201A9A">
        <w:rPr>
          <w:noProof/>
        </w:rPr>
        <w:t>ącznikiem I. Na etapie wdrażania państwa członkowskie będą miały swobodę działania, aby móc reagować na sytuacje kryzysowe</w:t>
      </w:r>
      <w:r w:rsidR="00201A9A" w:rsidRPr="00201A9A">
        <w:rPr>
          <w:noProof/>
        </w:rPr>
        <w:t xml:space="preserve"> i nie</w:t>
      </w:r>
      <w:r w:rsidRPr="00201A9A">
        <w:rPr>
          <w:noProof/>
        </w:rPr>
        <w:t>przewidziane okoliczności (art.</w:t>
      </w:r>
      <w:r w:rsidR="00201A9A" w:rsidRPr="00201A9A">
        <w:rPr>
          <w:noProof/>
        </w:rPr>
        <w:t> </w:t>
      </w:r>
      <w:r w:rsidRPr="00201A9A">
        <w:rPr>
          <w:noProof/>
        </w:rPr>
        <w:t xml:space="preserve">14). </w:t>
      </w:r>
    </w:p>
    <w:p w14:paraId="0972E0F5" w14:textId="45A26563"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W art.</w:t>
      </w:r>
      <w:r w:rsidR="00201A9A" w:rsidRPr="00201A9A">
        <w:rPr>
          <w:noProof/>
        </w:rPr>
        <w:t> </w:t>
      </w:r>
      <w:r w:rsidRPr="00201A9A">
        <w:rPr>
          <w:noProof/>
        </w:rPr>
        <w:t>14 określono zasady dotyczące zobowiązań budżetowych</w:t>
      </w:r>
      <w:r w:rsidR="00201A9A" w:rsidRPr="00201A9A">
        <w:rPr>
          <w:noProof/>
        </w:rPr>
        <w:t>. W art</w:t>
      </w:r>
      <w:r w:rsidRPr="00201A9A">
        <w:rPr>
          <w:noProof/>
        </w:rPr>
        <w:t>.</w:t>
      </w:r>
      <w:r w:rsidR="00201A9A" w:rsidRPr="00201A9A">
        <w:rPr>
          <w:noProof/>
        </w:rPr>
        <w:t> </w:t>
      </w:r>
      <w:r w:rsidRPr="00201A9A">
        <w:rPr>
          <w:noProof/>
        </w:rPr>
        <w:t>15</w:t>
      </w:r>
      <w:r w:rsidR="00201A9A" w:rsidRPr="00201A9A">
        <w:rPr>
          <w:noProof/>
        </w:rPr>
        <w:t xml:space="preserve"> i 1</w:t>
      </w:r>
      <w:r w:rsidRPr="00201A9A">
        <w:rPr>
          <w:noProof/>
        </w:rPr>
        <w:t>6 opisano przypadki,</w:t>
      </w:r>
      <w:r w:rsidR="00201A9A" w:rsidRPr="00201A9A">
        <w:rPr>
          <w:noProof/>
        </w:rPr>
        <w:t xml:space="preserve"> w któ</w:t>
      </w:r>
      <w:r w:rsidRPr="00201A9A">
        <w:rPr>
          <w:noProof/>
        </w:rPr>
        <w:t>rych Komisja powinna anulować każdą kwotę</w:t>
      </w:r>
      <w:r w:rsidR="00201A9A" w:rsidRPr="00201A9A">
        <w:rPr>
          <w:noProof/>
        </w:rPr>
        <w:t xml:space="preserve"> w pla</w:t>
      </w:r>
      <w:r w:rsidRPr="00201A9A">
        <w:rPr>
          <w:noProof/>
        </w:rPr>
        <w:t>nie</w:t>
      </w:r>
      <w:r w:rsidR="00201A9A" w:rsidRPr="00201A9A">
        <w:rPr>
          <w:noProof/>
        </w:rPr>
        <w:t xml:space="preserve"> i Pla</w:t>
      </w:r>
      <w:r w:rsidR="00A47BEA" w:rsidRPr="00201A9A">
        <w:rPr>
          <w:noProof/>
        </w:rPr>
        <w:t>n</w:t>
      </w:r>
      <w:r w:rsidRPr="00201A9A">
        <w:rPr>
          <w:noProof/>
        </w:rPr>
        <w:t>ie Interreg, oraz kroki proceduralne</w:t>
      </w:r>
      <w:r w:rsidR="00201A9A" w:rsidRPr="00201A9A">
        <w:rPr>
          <w:noProof/>
        </w:rPr>
        <w:t xml:space="preserve"> w prz</w:t>
      </w:r>
      <w:r w:rsidRPr="00201A9A">
        <w:rPr>
          <w:noProof/>
        </w:rPr>
        <w:t>ypadku umorzenia. Państwa członkowskie powinny mieć możliwość otrzymywania płatności zaliczkowych, pod warunkiem przyjęcia decyzji wykonawczej Rady zatwierdzającej plan (art.</w:t>
      </w:r>
      <w:r w:rsidR="00201A9A" w:rsidRPr="00201A9A">
        <w:rPr>
          <w:noProof/>
        </w:rPr>
        <w:t> </w:t>
      </w:r>
      <w:r w:rsidRPr="00201A9A">
        <w:rPr>
          <w:noProof/>
        </w:rPr>
        <w:t xml:space="preserve">17). </w:t>
      </w:r>
    </w:p>
    <w:p w14:paraId="172CC0F7" w14:textId="530ED4F7"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Na wniosek państwa członkowskiego Komisja może udzielić danemu państwu członkowskiemu pożyczki na realizację jego planu (art.</w:t>
      </w:r>
      <w:r w:rsidR="00201A9A" w:rsidRPr="00201A9A">
        <w:rPr>
          <w:noProof/>
        </w:rPr>
        <w:t> </w:t>
      </w:r>
      <w:r w:rsidRPr="00201A9A">
        <w:rPr>
          <w:noProof/>
        </w:rPr>
        <w:t>18)</w:t>
      </w:r>
      <w:r w:rsidR="00201A9A" w:rsidRPr="00201A9A">
        <w:rPr>
          <w:noProof/>
        </w:rPr>
        <w:t>. W art</w:t>
      </w:r>
      <w:r w:rsidRPr="00201A9A">
        <w:rPr>
          <w:noProof/>
        </w:rPr>
        <w:t>.</w:t>
      </w:r>
      <w:r w:rsidR="00201A9A" w:rsidRPr="00201A9A">
        <w:rPr>
          <w:noProof/>
        </w:rPr>
        <w:t> </w:t>
      </w:r>
      <w:r w:rsidRPr="00201A9A">
        <w:rPr>
          <w:noProof/>
        </w:rPr>
        <w:t xml:space="preserve">19 określono szczegóły umowy pożyczki oraz zasady dotyczące uprawnienia Komisji do pożyczania niezbędnych środków finansowych na rynkach finansowych lub od instytucji finansowych. </w:t>
      </w:r>
    </w:p>
    <w:p w14:paraId="2AF392C8" w14:textId="26E94ADB"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Minimalną stawkę wkładu krajowego</w:t>
      </w:r>
      <w:r w:rsidR="00201A9A" w:rsidRPr="00201A9A">
        <w:rPr>
          <w:noProof/>
        </w:rPr>
        <w:t xml:space="preserve"> w sza</w:t>
      </w:r>
      <w:r w:rsidRPr="00201A9A">
        <w:rPr>
          <w:noProof/>
        </w:rPr>
        <w:t>cowane koszty środków przewidzianych</w:t>
      </w:r>
      <w:r w:rsidR="00201A9A" w:rsidRPr="00201A9A">
        <w:rPr>
          <w:noProof/>
        </w:rPr>
        <w:t xml:space="preserve"> w pla</w:t>
      </w:r>
      <w:r w:rsidRPr="00201A9A">
        <w:rPr>
          <w:noProof/>
        </w:rPr>
        <w:t>nie należy obliczyć na podstawie art.</w:t>
      </w:r>
      <w:r w:rsidR="00201A9A" w:rsidRPr="00201A9A">
        <w:rPr>
          <w:noProof/>
        </w:rPr>
        <w:t> </w:t>
      </w:r>
      <w:r w:rsidRPr="00201A9A">
        <w:rPr>
          <w:noProof/>
        </w:rPr>
        <w:t xml:space="preserve">20. </w:t>
      </w:r>
    </w:p>
    <w:p w14:paraId="5D52CE55" w14:textId="7DB90B1E" w:rsidR="00794A16" w:rsidRPr="00201A9A" w:rsidRDefault="00794A16" w:rsidP="00BE7913">
      <w:pPr>
        <w:pBdr>
          <w:top w:val="nil"/>
          <w:left w:val="nil"/>
          <w:bottom w:val="nil"/>
          <w:right w:val="nil"/>
          <w:between w:val="nil"/>
          <w:bar w:val="nil"/>
        </w:pBdr>
        <w:spacing w:before="0" w:after="240"/>
        <w:rPr>
          <w:b/>
          <w:noProof/>
          <w:szCs w:val="24"/>
        </w:rPr>
      </w:pPr>
      <w:r w:rsidRPr="00201A9A">
        <w:rPr>
          <w:b/>
          <w:noProof/>
        </w:rPr>
        <w:t>Tytuł III – Plany partnerstwa krajowego</w:t>
      </w:r>
      <w:r w:rsidR="00201A9A" w:rsidRPr="00201A9A">
        <w:rPr>
          <w:b/>
          <w:noProof/>
        </w:rPr>
        <w:t xml:space="preserve"> i reg</w:t>
      </w:r>
      <w:r w:rsidRPr="00201A9A">
        <w:rPr>
          <w:b/>
          <w:noProof/>
        </w:rPr>
        <w:t>ionalnego [art.</w:t>
      </w:r>
      <w:r w:rsidR="00201A9A" w:rsidRPr="00201A9A">
        <w:rPr>
          <w:b/>
          <w:noProof/>
        </w:rPr>
        <w:t> </w:t>
      </w:r>
      <w:r w:rsidRPr="00201A9A">
        <w:rPr>
          <w:b/>
          <w:noProof/>
        </w:rPr>
        <w:t>21–25]</w:t>
      </w:r>
    </w:p>
    <w:p w14:paraId="4CC27E40" w14:textId="4F400ACC"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Każde państwo członkowskie powinno przedłożyć Komisji plan partnerstwa krajowego</w:t>
      </w:r>
      <w:r w:rsidR="00201A9A" w:rsidRPr="00201A9A">
        <w:rPr>
          <w:noProof/>
        </w:rPr>
        <w:t xml:space="preserve"> i reg</w:t>
      </w:r>
      <w:r w:rsidRPr="00201A9A">
        <w:rPr>
          <w:noProof/>
        </w:rPr>
        <w:t>ionalnego, który powinien zostać przygotowany</w:t>
      </w:r>
      <w:r w:rsidR="00201A9A" w:rsidRPr="00201A9A">
        <w:rPr>
          <w:noProof/>
        </w:rPr>
        <w:t xml:space="preserve"> i wdr</w:t>
      </w:r>
      <w:r w:rsidRPr="00201A9A">
        <w:rPr>
          <w:noProof/>
        </w:rPr>
        <w:t>ożony we współpracy</w:t>
      </w:r>
      <w:r w:rsidR="00201A9A" w:rsidRPr="00201A9A">
        <w:rPr>
          <w:noProof/>
        </w:rPr>
        <w:t xml:space="preserve"> z par</w:t>
      </w:r>
      <w:r w:rsidRPr="00201A9A">
        <w:rPr>
          <w:noProof/>
        </w:rPr>
        <w:t>tnerami (art.</w:t>
      </w:r>
      <w:r w:rsidR="00201A9A" w:rsidRPr="00201A9A">
        <w:rPr>
          <w:noProof/>
        </w:rPr>
        <w:t> </w:t>
      </w:r>
      <w:r w:rsidRPr="00201A9A">
        <w:rPr>
          <w:noProof/>
        </w:rPr>
        <w:t>21). Plan powinien zawierać elementy określone</w:t>
      </w:r>
      <w:r w:rsidR="00201A9A" w:rsidRPr="00201A9A">
        <w:rPr>
          <w:noProof/>
        </w:rPr>
        <w:t xml:space="preserve"> w art</w:t>
      </w:r>
      <w:r w:rsidRPr="00201A9A">
        <w:rPr>
          <w:noProof/>
        </w:rPr>
        <w:t>.</w:t>
      </w:r>
      <w:r w:rsidR="00201A9A" w:rsidRPr="00201A9A">
        <w:rPr>
          <w:noProof/>
        </w:rPr>
        <w:t> </w:t>
      </w:r>
      <w:r w:rsidRPr="00201A9A">
        <w:rPr>
          <w:noProof/>
        </w:rPr>
        <w:t>22</w:t>
      </w:r>
      <w:r w:rsidR="00201A9A" w:rsidRPr="00201A9A">
        <w:rPr>
          <w:noProof/>
        </w:rPr>
        <w:t xml:space="preserve"> i zał</w:t>
      </w:r>
      <w:r w:rsidRPr="00201A9A">
        <w:rPr>
          <w:noProof/>
        </w:rPr>
        <w:t>ączniku V. Po pozytywnej ocenie Komisja powinna przedstawić wniosek dotyczący decyzji wykonawczej Rady (art.</w:t>
      </w:r>
      <w:r w:rsidR="00201A9A" w:rsidRPr="00201A9A">
        <w:rPr>
          <w:noProof/>
        </w:rPr>
        <w:t> </w:t>
      </w:r>
      <w:r w:rsidRPr="00201A9A">
        <w:rPr>
          <w:noProof/>
        </w:rPr>
        <w:t>23).</w:t>
      </w:r>
    </w:p>
    <w:p w14:paraId="5C724240" w14:textId="3A231753"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Na etapie wdrażania państwa członkowskie mogą wystąpić</w:t>
      </w:r>
      <w:r w:rsidR="00201A9A" w:rsidRPr="00201A9A">
        <w:rPr>
          <w:noProof/>
        </w:rPr>
        <w:t xml:space="preserve"> o uza</w:t>
      </w:r>
      <w:r w:rsidRPr="00201A9A">
        <w:rPr>
          <w:noProof/>
        </w:rPr>
        <w:t>sadnioną zmianę swoich planów partnerstwa krajowego</w:t>
      </w:r>
      <w:r w:rsidR="00201A9A" w:rsidRPr="00201A9A">
        <w:rPr>
          <w:noProof/>
        </w:rPr>
        <w:t xml:space="preserve"> i reg</w:t>
      </w:r>
      <w:r w:rsidRPr="00201A9A">
        <w:rPr>
          <w:noProof/>
        </w:rPr>
        <w:t>ionalnego, określając oczekiwany wpływ na osiągnięcie celów (art.</w:t>
      </w:r>
      <w:r w:rsidR="00201A9A" w:rsidRPr="00201A9A">
        <w:rPr>
          <w:noProof/>
        </w:rPr>
        <w:t> </w:t>
      </w:r>
      <w:r w:rsidRPr="00201A9A">
        <w:rPr>
          <w:noProof/>
        </w:rPr>
        <w:t>24). Państwa członkowskie powinny również przedłożyć zmienione plany</w:t>
      </w:r>
      <w:r w:rsidR="00201A9A" w:rsidRPr="00201A9A">
        <w:rPr>
          <w:noProof/>
        </w:rPr>
        <w:t xml:space="preserve"> w ram</w:t>
      </w:r>
      <w:r w:rsidRPr="00201A9A">
        <w:rPr>
          <w:noProof/>
        </w:rPr>
        <w:t>ach przeglądu śródokresowego do dnia 31 marca 2031</w:t>
      </w:r>
      <w:r w:rsidR="00201A9A" w:rsidRPr="00201A9A">
        <w:rPr>
          <w:noProof/>
        </w:rPr>
        <w:t> </w:t>
      </w:r>
      <w:r w:rsidRPr="00201A9A">
        <w:rPr>
          <w:noProof/>
        </w:rPr>
        <w:t>r. (art.</w:t>
      </w:r>
      <w:r w:rsidR="00201A9A" w:rsidRPr="00201A9A">
        <w:rPr>
          <w:noProof/>
        </w:rPr>
        <w:t> </w:t>
      </w:r>
      <w:r w:rsidRPr="00201A9A">
        <w:rPr>
          <w:noProof/>
        </w:rPr>
        <w:t>25).</w:t>
      </w:r>
    </w:p>
    <w:p w14:paraId="26648BC2" w14:textId="3C2B7427" w:rsidR="00794A16" w:rsidRPr="00201A9A" w:rsidRDefault="00794A16" w:rsidP="00BE7913">
      <w:pPr>
        <w:pBdr>
          <w:top w:val="nil"/>
          <w:left w:val="nil"/>
          <w:bottom w:val="nil"/>
          <w:right w:val="nil"/>
          <w:between w:val="nil"/>
          <w:bar w:val="nil"/>
        </w:pBdr>
        <w:spacing w:before="0" w:after="240"/>
        <w:rPr>
          <w:b/>
          <w:noProof/>
          <w:szCs w:val="24"/>
        </w:rPr>
      </w:pPr>
      <w:r w:rsidRPr="00201A9A">
        <w:rPr>
          <w:b/>
          <w:noProof/>
        </w:rPr>
        <w:t>Tytuł IV – Instrument UE [art.</w:t>
      </w:r>
      <w:r w:rsidR="00201A9A" w:rsidRPr="00201A9A">
        <w:rPr>
          <w:b/>
          <w:noProof/>
        </w:rPr>
        <w:t> </w:t>
      </w:r>
      <w:r w:rsidRPr="00201A9A">
        <w:rPr>
          <w:b/>
          <w:noProof/>
        </w:rPr>
        <w:t>26–34]</w:t>
      </w:r>
    </w:p>
    <w:p w14:paraId="7A526AA3" w14:textId="45425BE4"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Rozporządzenie ustanawia Instrument UE</w:t>
      </w:r>
      <w:r w:rsidR="00201A9A" w:rsidRPr="00201A9A">
        <w:rPr>
          <w:noProof/>
        </w:rPr>
        <w:t xml:space="preserve"> w cel</w:t>
      </w:r>
      <w:r w:rsidRPr="00201A9A">
        <w:rPr>
          <w:noProof/>
        </w:rPr>
        <w:t>u zwiększenia elastyczności</w:t>
      </w:r>
      <w:r w:rsidR="00201A9A" w:rsidRPr="00201A9A">
        <w:rPr>
          <w:noProof/>
        </w:rPr>
        <w:t xml:space="preserve"> i uła</w:t>
      </w:r>
      <w:r w:rsidRPr="00201A9A">
        <w:rPr>
          <w:noProof/>
        </w:rPr>
        <w:t>twienia reagowania na nieprzewidziane kryzysy. Instrument będzie obejmował działania Unii oraz rezerwę na nowe wyzwania</w:t>
      </w:r>
      <w:r w:rsidR="00201A9A" w:rsidRPr="00201A9A">
        <w:rPr>
          <w:noProof/>
        </w:rPr>
        <w:t xml:space="preserve"> i pri</w:t>
      </w:r>
      <w:r w:rsidRPr="00201A9A">
        <w:rPr>
          <w:noProof/>
        </w:rPr>
        <w:t>orytety („rezerwa budżetowa”) (art.</w:t>
      </w:r>
      <w:r w:rsidR="00201A9A" w:rsidRPr="00201A9A">
        <w:rPr>
          <w:noProof/>
        </w:rPr>
        <w:t> </w:t>
      </w:r>
      <w:r w:rsidRPr="00201A9A">
        <w:rPr>
          <w:noProof/>
        </w:rPr>
        <w:t>26). Instrument UE może być wdrażany</w:t>
      </w:r>
      <w:r w:rsidR="00201A9A" w:rsidRPr="00201A9A">
        <w:rPr>
          <w:noProof/>
        </w:rPr>
        <w:t xml:space="preserve"> w for</w:t>
      </w:r>
      <w:r w:rsidRPr="00201A9A">
        <w:rPr>
          <w:noProof/>
        </w:rPr>
        <w:t>mie gwarancji budżetowych, instrumentów finansowych</w:t>
      </w:r>
      <w:r w:rsidR="00201A9A" w:rsidRPr="00201A9A">
        <w:rPr>
          <w:noProof/>
        </w:rPr>
        <w:t xml:space="preserve"> i dzi</w:t>
      </w:r>
      <w:r w:rsidRPr="00201A9A">
        <w:rPr>
          <w:noProof/>
        </w:rPr>
        <w:t>ałań łączonych (art.</w:t>
      </w:r>
      <w:r w:rsidR="00201A9A" w:rsidRPr="00201A9A">
        <w:rPr>
          <w:noProof/>
        </w:rPr>
        <w:t> </w:t>
      </w:r>
      <w:r w:rsidRPr="00201A9A">
        <w:rPr>
          <w:noProof/>
        </w:rPr>
        <w:t>27),</w:t>
      </w:r>
      <w:r w:rsidR="00201A9A" w:rsidRPr="00201A9A">
        <w:rPr>
          <w:noProof/>
        </w:rPr>
        <w:t xml:space="preserve"> z udz</w:t>
      </w:r>
      <w:r w:rsidRPr="00201A9A">
        <w:rPr>
          <w:noProof/>
        </w:rPr>
        <w:t>iałem państw trzecich (art.</w:t>
      </w:r>
      <w:r w:rsidR="00201A9A" w:rsidRPr="00201A9A">
        <w:rPr>
          <w:noProof/>
        </w:rPr>
        <w:t> </w:t>
      </w:r>
      <w:r w:rsidRPr="00201A9A">
        <w:rPr>
          <w:noProof/>
        </w:rPr>
        <w:t>28) lub</w:t>
      </w:r>
      <w:r w:rsidR="00201A9A" w:rsidRPr="00201A9A">
        <w:rPr>
          <w:noProof/>
        </w:rPr>
        <w:t xml:space="preserve"> w for</w:t>
      </w:r>
      <w:r w:rsidRPr="00201A9A">
        <w:rPr>
          <w:noProof/>
        </w:rPr>
        <w:t>mie wsparcia działań</w:t>
      </w:r>
      <w:r w:rsidR="00201A9A" w:rsidRPr="00201A9A">
        <w:rPr>
          <w:noProof/>
        </w:rPr>
        <w:t xml:space="preserve"> w pań</w:t>
      </w:r>
      <w:r w:rsidRPr="00201A9A">
        <w:rPr>
          <w:noProof/>
        </w:rPr>
        <w:t>stwach trzecich lub działań dotyczących państw trzecich (art.</w:t>
      </w:r>
      <w:r w:rsidR="00201A9A" w:rsidRPr="00201A9A">
        <w:rPr>
          <w:noProof/>
        </w:rPr>
        <w:t> </w:t>
      </w:r>
      <w:r w:rsidRPr="00201A9A">
        <w:rPr>
          <w:noProof/>
        </w:rPr>
        <w:t>29) oraz innych podmiotów</w:t>
      </w:r>
      <w:r w:rsidR="00201A9A" w:rsidRPr="00201A9A">
        <w:rPr>
          <w:noProof/>
        </w:rPr>
        <w:t xml:space="preserve"> w ram</w:t>
      </w:r>
      <w:r w:rsidRPr="00201A9A">
        <w:rPr>
          <w:noProof/>
        </w:rPr>
        <w:t>ach zarządzania bezpośredniego</w:t>
      </w:r>
      <w:r w:rsidR="00201A9A" w:rsidRPr="00201A9A">
        <w:rPr>
          <w:noProof/>
        </w:rPr>
        <w:t xml:space="preserve"> i poś</w:t>
      </w:r>
      <w:r w:rsidRPr="00201A9A">
        <w:rPr>
          <w:noProof/>
        </w:rPr>
        <w:t>redniego (art.</w:t>
      </w:r>
      <w:r w:rsidR="00201A9A" w:rsidRPr="00201A9A">
        <w:rPr>
          <w:noProof/>
        </w:rPr>
        <w:t> </w:t>
      </w:r>
      <w:r w:rsidRPr="00201A9A">
        <w:rPr>
          <w:noProof/>
        </w:rPr>
        <w:t>30)</w:t>
      </w:r>
      <w:r w:rsidR="00201A9A" w:rsidRPr="00201A9A">
        <w:rPr>
          <w:noProof/>
        </w:rPr>
        <w:t>. W art</w:t>
      </w:r>
      <w:r w:rsidRPr="00201A9A">
        <w:rPr>
          <w:noProof/>
        </w:rPr>
        <w:t>.</w:t>
      </w:r>
      <w:r w:rsidR="00201A9A" w:rsidRPr="00201A9A">
        <w:rPr>
          <w:noProof/>
        </w:rPr>
        <w:t> </w:t>
      </w:r>
      <w:r w:rsidRPr="00201A9A">
        <w:rPr>
          <w:noProof/>
        </w:rPr>
        <w:t>31 określono cele</w:t>
      </w:r>
      <w:r w:rsidR="00201A9A" w:rsidRPr="00201A9A">
        <w:rPr>
          <w:noProof/>
        </w:rPr>
        <w:t xml:space="preserve"> i dzi</w:t>
      </w:r>
      <w:r w:rsidRPr="00201A9A">
        <w:rPr>
          <w:noProof/>
        </w:rPr>
        <w:t>ałania, które mają być objęte wsparciem, oraz odpowiednie etapy proceduralne działań Unii</w:t>
      </w:r>
      <w:r w:rsidR="00201A9A" w:rsidRPr="00201A9A">
        <w:rPr>
          <w:noProof/>
        </w:rPr>
        <w:t>. W art</w:t>
      </w:r>
      <w:r w:rsidRPr="00201A9A">
        <w:rPr>
          <w:noProof/>
        </w:rPr>
        <w:t>.</w:t>
      </w:r>
      <w:r w:rsidR="00201A9A" w:rsidRPr="00201A9A">
        <w:rPr>
          <w:noProof/>
        </w:rPr>
        <w:t> </w:t>
      </w:r>
      <w:r w:rsidRPr="00201A9A">
        <w:rPr>
          <w:noProof/>
        </w:rPr>
        <w:t>32 określono zasady dotyczące wydatków związanych ze środkiem interwencji publicznej</w:t>
      </w:r>
      <w:r w:rsidR="00201A9A" w:rsidRPr="00201A9A">
        <w:rPr>
          <w:noProof/>
        </w:rPr>
        <w:t xml:space="preserve"> w ram</w:t>
      </w:r>
      <w:r w:rsidRPr="00201A9A">
        <w:rPr>
          <w:noProof/>
        </w:rPr>
        <w:t>ach sieci bezpieczeństwa opartej na jedności,</w:t>
      </w:r>
      <w:r w:rsidR="00201A9A" w:rsidRPr="00201A9A">
        <w:rPr>
          <w:noProof/>
        </w:rPr>
        <w:t xml:space="preserve"> a w art</w:t>
      </w:r>
      <w:r w:rsidRPr="00201A9A">
        <w:rPr>
          <w:noProof/>
        </w:rPr>
        <w:t>.</w:t>
      </w:r>
      <w:r w:rsidR="00201A9A" w:rsidRPr="00201A9A">
        <w:rPr>
          <w:noProof/>
        </w:rPr>
        <w:t> </w:t>
      </w:r>
      <w:r w:rsidRPr="00201A9A">
        <w:rPr>
          <w:noProof/>
        </w:rPr>
        <w:t>33 określono przypadki,</w:t>
      </w:r>
      <w:r w:rsidR="00201A9A" w:rsidRPr="00201A9A">
        <w:rPr>
          <w:noProof/>
        </w:rPr>
        <w:t xml:space="preserve"> w któ</w:t>
      </w:r>
      <w:r w:rsidRPr="00201A9A">
        <w:rPr>
          <w:noProof/>
        </w:rPr>
        <w:t>rych należy wykorzystać kwotę przeznaczoną na rezerwę budżetową. Państwa członkowskie mogą zwrócić się</w:t>
      </w:r>
      <w:r w:rsidR="00201A9A" w:rsidRPr="00201A9A">
        <w:rPr>
          <w:noProof/>
        </w:rPr>
        <w:t xml:space="preserve"> o zmi</w:t>
      </w:r>
      <w:r w:rsidRPr="00201A9A">
        <w:rPr>
          <w:noProof/>
        </w:rPr>
        <w:t>anę swoich planów</w:t>
      </w:r>
      <w:r w:rsidR="00201A9A" w:rsidRPr="00201A9A">
        <w:rPr>
          <w:noProof/>
        </w:rPr>
        <w:t xml:space="preserve"> w syt</w:t>
      </w:r>
      <w:r w:rsidRPr="00201A9A">
        <w:rPr>
          <w:noProof/>
        </w:rPr>
        <w:t>uacjach kryzysowych (art.</w:t>
      </w:r>
      <w:r w:rsidR="00201A9A" w:rsidRPr="00201A9A">
        <w:rPr>
          <w:noProof/>
        </w:rPr>
        <w:t> </w:t>
      </w:r>
      <w:r w:rsidRPr="00201A9A">
        <w:rPr>
          <w:noProof/>
        </w:rPr>
        <w:t xml:space="preserve">34). </w:t>
      </w:r>
    </w:p>
    <w:p w14:paraId="46D1F543" w14:textId="400EE00A" w:rsidR="00794A16" w:rsidRPr="00201A9A" w:rsidRDefault="00794A16" w:rsidP="00BE7913">
      <w:pPr>
        <w:pBdr>
          <w:top w:val="nil"/>
          <w:left w:val="nil"/>
          <w:bottom w:val="nil"/>
          <w:right w:val="nil"/>
          <w:between w:val="nil"/>
          <w:bar w:val="nil"/>
        </w:pBdr>
        <w:spacing w:before="0" w:after="240"/>
        <w:rPr>
          <w:b/>
          <w:noProof/>
          <w:szCs w:val="24"/>
        </w:rPr>
      </w:pPr>
      <w:r w:rsidRPr="00201A9A">
        <w:rPr>
          <w:b/>
          <w:noProof/>
        </w:rPr>
        <w:t>Tytuł V – Wspólna polityka rolna [art.</w:t>
      </w:r>
      <w:r w:rsidR="00201A9A" w:rsidRPr="00201A9A">
        <w:rPr>
          <w:b/>
          <w:noProof/>
        </w:rPr>
        <w:t> </w:t>
      </w:r>
      <w:r w:rsidRPr="00201A9A">
        <w:rPr>
          <w:b/>
          <w:noProof/>
        </w:rPr>
        <w:t xml:space="preserve">35–45] </w:t>
      </w:r>
    </w:p>
    <w:p w14:paraId="7FBAE387" w14:textId="08B73313" w:rsidR="00794A16" w:rsidRPr="00201A9A" w:rsidRDefault="00A266F4" w:rsidP="00BE7913">
      <w:pPr>
        <w:pBdr>
          <w:top w:val="nil"/>
          <w:left w:val="nil"/>
          <w:bottom w:val="nil"/>
          <w:right w:val="nil"/>
          <w:between w:val="nil"/>
          <w:bar w:val="nil"/>
        </w:pBdr>
        <w:spacing w:before="0" w:after="240"/>
        <w:rPr>
          <w:noProof/>
        </w:rPr>
      </w:pPr>
      <w:r w:rsidRPr="00201A9A">
        <w:rPr>
          <w:noProof/>
        </w:rPr>
        <w:t>W art.</w:t>
      </w:r>
      <w:r w:rsidR="00201A9A" w:rsidRPr="00201A9A">
        <w:rPr>
          <w:noProof/>
        </w:rPr>
        <w:t> </w:t>
      </w:r>
      <w:r w:rsidRPr="00201A9A">
        <w:rPr>
          <w:noProof/>
        </w:rPr>
        <w:t>35 wymieniono rodzaje interwencji, na które przyznaje się wsparcie unijne na realizację celów wspólnej polityki rolnej. Szczegółowe wymogi dotyczące interwencji</w:t>
      </w:r>
      <w:r w:rsidR="00201A9A" w:rsidRPr="00201A9A">
        <w:rPr>
          <w:noProof/>
        </w:rPr>
        <w:t xml:space="preserve"> w ram</w:t>
      </w:r>
      <w:r w:rsidRPr="00201A9A">
        <w:rPr>
          <w:noProof/>
        </w:rPr>
        <w:t>ach WPR określono</w:t>
      </w:r>
      <w:r w:rsidR="00201A9A" w:rsidRPr="00201A9A">
        <w:rPr>
          <w:noProof/>
        </w:rPr>
        <w:t xml:space="preserve"> w art</w:t>
      </w:r>
      <w:r w:rsidRPr="00201A9A">
        <w:rPr>
          <w:noProof/>
        </w:rPr>
        <w:t>.</w:t>
      </w:r>
      <w:r w:rsidR="00201A9A" w:rsidRPr="00201A9A">
        <w:rPr>
          <w:noProof/>
        </w:rPr>
        <w:t> </w:t>
      </w:r>
      <w:r w:rsidRPr="00201A9A">
        <w:rPr>
          <w:noProof/>
        </w:rPr>
        <w:t>36,</w:t>
      </w:r>
      <w:r w:rsidR="00201A9A" w:rsidRPr="00201A9A">
        <w:rPr>
          <w:noProof/>
        </w:rPr>
        <w:t xml:space="preserve"> a prz</w:t>
      </w:r>
      <w:r w:rsidRPr="00201A9A">
        <w:rPr>
          <w:noProof/>
        </w:rPr>
        <w:t>episy dotyczące monitorowania zasobów rolnych –</w:t>
      </w:r>
      <w:r w:rsidR="00201A9A" w:rsidRPr="00201A9A">
        <w:rPr>
          <w:noProof/>
        </w:rPr>
        <w:t xml:space="preserve"> w art</w:t>
      </w:r>
      <w:r w:rsidRPr="00201A9A">
        <w:rPr>
          <w:noProof/>
        </w:rPr>
        <w:t>.</w:t>
      </w:r>
      <w:r w:rsidR="00201A9A" w:rsidRPr="00201A9A">
        <w:rPr>
          <w:noProof/>
        </w:rPr>
        <w:t> </w:t>
      </w:r>
      <w:r w:rsidRPr="00201A9A">
        <w:rPr>
          <w:noProof/>
        </w:rPr>
        <w:t>37</w:t>
      </w:r>
      <w:r w:rsidR="00201A9A" w:rsidRPr="00201A9A">
        <w:rPr>
          <w:noProof/>
        </w:rPr>
        <w:t>. W art</w:t>
      </w:r>
      <w:r w:rsidRPr="00201A9A">
        <w:rPr>
          <w:noProof/>
        </w:rPr>
        <w:t>.</w:t>
      </w:r>
      <w:r w:rsidR="00201A9A" w:rsidRPr="00201A9A">
        <w:rPr>
          <w:noProof/>
        </w:rPr>
        <w:t> </w:t>
      </w:r>
      <w:r w:rsidRPr="00201A9A">
        <w:rPr>
          <w:noProof/>
        </w:rPr>
        <w:t>38 określono zasady dotyczące płatności kryzysowych dla rolników</w:t>
      </w:r>
      <w:r w:rsidR="00201A9A" w:rsidRPr="00201A9A">
        <w:rPr>
          <w:noProof/>
        </w:rPr>
        <w:t xml:space="preserve"> w nas</w:t>
      </w:r>
      <w:r w:rsidRPr="00201A9A">
        <w:rPr>
          <w:noProof/>
        </w:rPr>
        <w:t>tępstwie klęsk żywiołowych, niekorzystnych zjawisk klimatycznych</w:t>
      </w:r>
      <w:r w:rsidR="00201A9A" w:rsidRPr="00201A9A">
        <w:rPr>
          <w:noProof/>
        </w:rPr>
        <w:t xml:space="preserve"> i kat</w:t>
      </w:r>
      <w:r w:rsidRPr="00201A9A">
        <w:rPr>
          <w:noProof/>
        </w:rPr>
        <w:t>astrof Płatności specyficzne</w:t>
      </w:r>
      <w:r w:rsidR="00201A9A" w:rsidRPr="00201A9A">
        <w:rPr>
          <w:noProof/>
        </w:rPr>
        <w:t xml:space="preserve"> w odn</w:t>
      </w:r>
      <w:r w:rsidRPr="00201A9A">
        <w:rPr>
          <w:noProof/>
        </w:rPr>
        <w:t>iesieniu do bawełny przewidziano</w:t>
      </w:r>
      <w:r w:rsidR="00201A9A" w:rsidRPr="00201A9A">
        <w:rPr>
          <w:noProof/>
        </w:rPr>
        <w:t xml:space="preserve"> w art</w:t>
      </w:r>
      <w:r w:rsidRPr="00201A9A">
        <w:rPr>
          <w:noProof/>
        </w:rPr>
        <w:t>.</w:t>
      </w:r>
      <w:r w:rsidR="00201A9A" w:rsidRPr="00201A9A">
        <w:rPr>
          <w:noProof/>
        </w:rPr>
        <w:t> </w:t>
      </w:r>
      <w:r w:rsidRPr="00201A9A">
        <w:rPr>
          <w:noProof/>
        </w:rPr>
        <w:t xml:space="preserve">39. </w:t>
      </w:r>
    </w:p>
    <w:p w14:paraId="3FB7AA3A" w14:textId="5A5061DD" w:rsidR="00243E34" w:rsidRPr="00201A9A" w:rsidRDefault="00243E34" w:rsidP="00BE7913">
      <w:pPr>
        <w:pBdr>
          <w:top w:val="nil"/>
          <w:left w:val="nil"/>
          <w:bottom w:val="nil"/>
          <w:right w:val="nil"/>
          <w:between w:val="nil"/>
          <w:bar w:val="nil"/>
        </w:pBdr>
        <w:spacing w:before="0" w:after="240"/>
        <w:rPr>
          <w:noProof/>
          <w:szCs w:val="24"/>
        </w:rPr>
      </w:pPr>
      <w:r w:rsidRPr="00201A9A">
        <w:rPr>
          <w:noProof/>
        </w:rPr>
        <w:t>Państwa członkowskie powinny opracować interwencje</w:t>
      </w:r>
      <w:r w:rsidR="00201A9A" w:rsidRPr="00201A9A">
        <w:rPr>
          <w:noProof/>
        </w:rPr>
        <w:t xml:space="preserve"> w ram</w:t>
      </w:r>
      <w:r w:rsidRPr="00201A9A">
        <w:rPr>
          <w:noProof/>
        </w:rPr>
        <w:t>ach WPR określone</w:t>
      </w:r>
      <w:r w:rsidR="00201A9A" w:rsidRPr="00201A9A">
        <w:rPr>
          <w:noProof/>
        </w:rPr>
        <w:t xml:space="preserve"> w nin</w:t>
      </w:r>
      <w:r w:rsidRPr="00201A9A">
        <w:rPr>
          <w:noProof/>
        </w:rPr>
        <w:t>iejszym rozporządzeniu, rozporządzeniu (UE) 202X/XXXX [rozporządzenie</w:t>
      </w:r>
      <w:r w:rsidR="00201A9A" w:rsidRPr="00201A9A">
        <w:rPr>
          <w:noProof/>
        </w:rPr>
        <w:t xml:space="preserve"> w spr</w:t>
      </w:r>
      <w:r w:rsidRPr="00201A9A">
        <w:rPr>
          <w:noProof/>
        </w:rPr>
        <w:t>awie WPR]</w:t>
      </w:r>
      <w:r w:rsidR="00201A9A" w:rsidRPr="00201A9A">
        <w:rPr>
          <w:noProof/>
        </w:rPr>
        <w:t xml:space="preserve"> i roz</w:t>
      </w:r>
      <w:r w:rsidRPr="00201A9A">
        <w:rPr>
          <w:noProof/>
        </w:rPr>
        <w:t>porządzeniu (UE) nr</w:t>
      </w:r>
      <w:r w:rsidR="00201A9A" w:rsidRPr="00201A9A">
        <w:rPr>
          <w:noProof/>
        </w:rPr>
        <w:t> </w:t>
      </w:r>
      <w:r w:rsidRPr="00201A9A">
        <w:rPr>
          <w:noProof/>
        </w:rPr>
        <w:t>1308/2013 zgodnie</w:t>
      </w:r>
      <w:r w:rsidR="00201A9A" w:rsidRPr="00201A9A">
        <w:rPr>
          <w:noProof/>
        </w:rPr>
        <w:t xml:space="preserve"> z art</w:t>
      </w:r>
      <w:r w:rsidRPr="00201A9A">
        <w:rPr>
          <w:noProof/>
        </w:rPr>
        <w:t>.</w:t>
      </w:r>
      <w:r w:rsidR="00201A9A" w:rsidRPr="00201A9A">
        <w:rPr>
          <w:noProof/>
        </w:rPr>
        <w:t> </w:t>
      </w:r>
      <w:r w:rsidRPr="00201A9A">
        <w:rPr>
          <w:noProof/>
        </w:rPr>
        <w:t>40 [WTO]</w:t>
      </w:r>
      <w:r w:rsidR="00201A9A" w:rsidRPr="00201A9A">
        <w:rPr>
          <w:noProof/>
        </w:rPr>
        <w:t xml:space="preserve"> i zał</w:t>
      </w:r>
      <w:r w:rsidRPr="00201A9A">
        <w:rPr>
          <w:noProof/>
        </w:rPr>
        <w:t>ącznikiem XVII [załącznik dotyczący WTO] (art.</w:t>
      </w:r>
      <w:r w:rsidR="00201A9A" w:rsidRPr="00201A9A">
        <w:rPr>
          <w:noProof/>
        </w:rPr>
        <w:t> </w:t>
      </w:r>
      <w:r w:rsidRPr="00201A9A">
        <w:rPr>
          <w:noProof/>
        </w:rPr>
        <w:t>40)</w:t>
      </w:r>
      <w:r w:rsidR="00201A9A" w:rsidRPr="00201A9A">
        <w:rPr>
          <w:noProof/>
        </w:rPr>
        <w:t>. W art</w:t>
      </w:r>
      <w:r w:rsidRPr="00201A9A">
        <w:rPr>
          <w:noProof/>
        </w:rPr>
        <w:t>.</w:t>
      </w:r>
      <w:r w:rsidR="00201A9A" w:rsidRPr="00201A9A">
        <w:rPr>
          <w:noProof/>
        </w:rPr>
        <w:t> </w:t>
      </w:r>
      <w:r w:rsidRPr="00201A9A">
        <w:rPr>
          <w:noProof/>
        </w:rPr>
        <w:t>41 określono zasady wdrażania protokołu ustaleń</w:t>
      </w:r>
      <w:r w:rsidR="00201A9A" w:rsidRPr="00201A9A">
        <w:rPr>
          <w:noProof/>
        </w:rPr>
        <w:t xml:space="preserve"> w spr</w:t>
      </w:r>
      <w:r w:rsidRPr="00201A9A">
        <w:rPr>
          <w:noProof/>
        </w:rPr>
        <w:t>awie nasion oleistych między Europejską Wspólnotą Gospodarczą</w:t>
      </w:r>
      <w:r w:rsidR="00201A9A" w:rsidRPr="00201A9A">
        <w:rPr>
          <w:noProof/>
        </w:rPr>
        <w:t xml:space="preserve"> a Sta</w:t>
      </w:r>
      <w:r w:rsidRPr="00201A9A">
        <w:rPr>
          <w:noProof/>
        </w:rPr>
        <w:t xml:space="preserve">nami Zjednoczonymi Ameryki. </w:t>
      </w:r>
    </w:p>
    <w:p w14:paraId="040A5A67" w14:textId="42E47A57" w:rsidR="002A362F" w:rsidRPr="00201A9A" w:rsidRDefault="002A362F" w:rsidP="00BE7913">
      <w:pPr>
        <w:pBdr>
          <w:top w:val="nil"/>
          <w:left w:val="nil"/>
          <w:bottom w:val="nil"/>
          <w:right w:val="nil"/>
          <w:between w:val="nil"/>
          <w:bar w:val="nil"/>
        </w:pBdr>
        <w:spacing w:before="0" w:after="240"/>
        <w:rPr>
          <w:noProof/>
          <w:szCs w:val="24"/>
        </w:rPr>
      </w:pPr>
      <w:r w:rsidRPr="00201A9A">
        <w:rPr>
          <w:noProof/>
        </w:rPr>
        <w:t>W art.</w:t>
      </w:r>
      <w:r w:rsidR="00201A9A" w:rsidRPr="00201A9A">
        <w:rPr>
          <w:noProof/>
        </w:rPr>
        <w:t> </w:t>
      </w:r>
      <w:r w:rsidRPr="00201A9A">
        <w:rPr>
          <w:noProof/>
        </w:rPr>
        <w:t>42–45 określono przepisy dotyczące wsparcia dla mniejszych wysp Morza Egejskiego,</w:t>
      </w:r>
      <w:r w:rsidR="00201A9A" w:rsidRPr="00201A9A">
        <w:rPr>
          <w:noProof/>
        </w:rPr>
        <w:t xml:space="preserve"> w tym</w:t>
      </w:r>
      <w:r w:rsidRPr="00201A9A">
        <w:rPr>
          <w:noProof/>
        </w:rPr>
        <w:t xml:space="preserve"> zakres</w:t>
      </w:r>
      <w:r w:rsidR="00201A9A" w:rsidRPr="00201A9A">
        <w:rPr>
          <w:noProof/>
        </w:rPr>
        <w:t xml:space="preserve"> i wsp</w:t>
      </w:r>
      <w:r w:rsidRPr="00201A9A">
        <w:rPr>
          <w:noProof/>
        </w:rPr>
        <w:t>ólne wymogi, szczególne systemy dostaw, wsparcie na rzecz lokalnych produktów rolnych oraz związane</w:t>
      </w:r>
      <w:r w:rsidR="00201A9A" w:rsidRPr="00201A9A">
        <w:rPr>
          <w:noProof/>
        </w:rPr>
        <w:t xml:space="preserve"> z tym</w:t>
      </w:r>
      <w:r w:rsidRPr="00201A9A">
        <w:rPr>
          <w:noProof/>
        </w:rPr>
        <w:t xml:space="preserve"> kontrole</w:t>
      </w:r>
      <w:r w:rsidR="00201A9A" w:rsidRPr="00201A9A">
        <w:rPr>
          <w:noProof/>
        </w:rPr>
        <w:t xml:space="preserve"> i kar</w:t>
      </w:r>
      <w:r w:rsidRPr="00201A9A">
        <w:rPr>
          <w:noProof/>
        </w:rPr>
        <w:t xml:space="preserve">y. </w:t>
      </w:r>
    </w:p>
    <w:p w14:paraId="1C3AC10A" w14:textId="47111DA4" w:rsidR="00794A16" w:rsidRPr="00201A9A" w:rsidRDefault="00794A16" w:rsidP="00BE7913">
      <w:pPr>
        <w:pBdr>
          <w:top w:val="nil"/>
          <w:left w:val="nil"/>
          <w:bottom w:val="nil"/>
          <w:right w:val="nil"/>
          <w:between w:val="nil"/>
          <w:bar w:val="nil"/>
        </w:pBdr>
        <w:spacing w:before="0" w:after="240"/>
        <w:rPr>
          <w:b/>
          <w:bCs/>
          <w:noProof/>
        </w:rPr>
      </w:pPr>
      <w:r w:rsidRPr="00201A9A">
        <w:rPr>
          <w:b/>
          <w:noProof/>
        </w:rPr>
        <w:t>Tytuł VI Regiony najbardziej oddalone [art.</w:t>
      </w:r>
      <w:r w:rsidR="00201A9A" w:rsidRPr="00201A9A">
        <w:rPr>
          <w:b/>
          <w:noProof/>
        </w:rPr>
        <w:t> </w:t>
      </w:r>
      <w:r w:rsidRPr="00201A9A">
        <w:rPr>
          <w:b/>
          <w:noProof/>
        </w:rPr>
        <w:t>46–48]</w:t>
      </w:r>
    </w:p>
    <w:p w14:paraId="150C6923" w14:textId="48982866" w:rsidR="00794A16" w:rsidRPr="00201A9A" w:rsidRDefault="00794A16" w:rsidP="00BE7913">
      <w:pPr>
        <w:pBdr>
          <w:top w:val="nil"/>
          <w:left w:val="nil"/>
          <w:bottom w:val="nil"/>
          <w:right w:val="nil"/>
          <w:between w:val="nil"/>
          <w:bar w:val="nil"/>
        </w:pBdr>
        <w:spacing w:before="0" w:after="240"/>
        <w:rPr>
          <w:noProof/>
        </w:rPr>
      </w:pPr>
      <w:r w:rsidRPr="00201A9A">
        <w:rPr>
          <w:noProof/>
        </w:rPr>
        <w:t>Rozporządzenie stanowi, że zainteresowane państwa członkowskie wdrażają środki, by sprostać wyzwaniom,</w:t>
      </w:r>
      <w:r w:rsidR="00201A9A" w:rsidRPr="00201A9A">
        <w:rPr>
          <w:noProof/>
        </w:rPr>
        <w:t xml:space="preserve"> z któ</w:t>
      </w:r>
      <w:r w:rsidRPr="00201A9A">
        <w:rPr>
          <w:noProof/>
        </w:rPr>
        <w:t>rymi mierzy się każdy</w:t>
      </w:r>
      <w:r w:rsidR="00201A9A" w:rsidRPr="00201A9A">
        <w:rPr>
          <w:noProof/>
        </w:rPr>
        <w:t xml:space="preserve"> z ich</w:t>
      </w:r>
      <w:r w:rsidRPr="00201A9A">
        <w:rPr>
          <w:noProof/>
        </w:rPr>
        <w:t xml:space="preserve"> regionów najbardziej oddalonych, realizując cele określone</w:t>
      </w:r>
      <w:r w:rsidR="00201A9A" w:rsidRPr="00201A9A">
        <w:rPr>
          <w:noProof/>
        </w:rPr>
        <w:t xml:space="preserve"> w art</w:t>
      </w:r>
      <w:r w:rsidRPr="00201A9A">
        <w:rPr>
          <w:noProof/>
        </w:rPr>
        <w:t>.</w:t>
      </w:r>
      <w:r w:rsidR="00201A9A" w:rsidRPr="00201A9A">
        <w:rPr>
          <w:noProof/>
        </w:rPr>
        <w:t> </w:t>
      </w:r>
      <w:r w:rsidRPr="00201A9A">
        <w:rPr>
          <w:noProof/>
        </w:rPr>
        <w:t>46. Rozporządzenie ustanawia przepisy dotyczące szczególnego systemu dostaw produktów rolnych wymienionych</w:t>
      </w:r>
      <w:r w:rsidR="00201A9A" w:rsidRPr="00201A9A">
        <w:rPr>
          <w:noProof/>
        </w:rPr>
        <w:t xml:space="preserve"> w zał</w:t>
      </w:r>
      <w:r w:rsidRPr="00201A9A">
        <w:rPr>
          <w:noProof/>
        </w:rPr>
        <w:t>ączniku I do TFUE (art.</w:t>
      </w:r>
      <w:r w:rsidR="00201A9A" w:rsidRPr="00201A9A">
        <w:rPr>
          <w:noProof/>
        </w:rPr>
        <w:t> </w:t>
      </w:r>
      <w:r w:rsidRPr="00201A9A">
        <w:rPr>
          <w:noProof/>
        </w:rPr>
        <w:t>47) oraz wsparcia na rzecz lokalnych produktów rolnych (art.</w:t>
      </w:r>
      <w:r w:rsidR="00201A9A" w:rsidRPr="00201A9A">
        <w:rPr>
          <w:noProof/>
        </w:rPr>
        <w:t> </w:t>
      </w:r>
      <w:r w:rsidRPr="00201A9A">
        <w:rPr>
          <w:noProof/>
        </w:rPr>
        <w:t>48).</w:t>
      </w:r>
    </w:p>
    <w:p w14:paraId="182A28A7" w14:textId="7EDB4EFF" w:rsidR="00794A16" w:rsidRPr="00201A9A" w:rsidRDefault="00794A16" w:rsidP="00FA3FDF">
      <w:pPr>
        <w:keepNext/>
        <w:pBdr>
          <w:top w:val="nil"/>
          <w:left w:val="nil"/>
          <w:bottom w:val="nil"/>
          <w:right w:val="nil"/>
          <w:between w:val="nil"/>
          <w:bar w:val="nil"/>
        </w:pBdr>
        <w:spacing w:before="0" w:after="240"/>
        <w:rPr>
          <w:b/>
          <w:bCs/>
          <w:noProof/>
        </w:rPr>
      </w:pPr>
      <w:r w:rsidRPr="00201A9A">
        <w:rPr>
          <w:b/>
          <w:noProof/>
        </w:rPr>
        <w:t>Tytuł VII – Zarządzanie planem [art.</w:t>
      </w:r>
      <w:r w:rsidR="00201A9A" w:rsidRPr="00201A9A">
        <w:rPr>
          <w:b/>
          <w:noProof/>
        </w:rPr>
        <w:t> </w:t>
      </w:r>
      <w:r w:rsidRPr="00201A9A">
        <w:rPr>
          <w:b/>
          <w:noProof/>
        </w:rPr>
        <w:t>49–57]</w:t>
      </w:r>
    </w:p>
    <w:p w14:paraId="24664657" w14:textId="4D42F435"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Państwa członkowskie powinny wyznaczyć na potrzeby planu co najmniej jedną instytucję zarządzającą, co najmniej jedną agencję płatniczą i co najmniej jedną instytucję audytową (art.</w:t>
      </w:r>
      <w:r w:rsidR="00201A9A" w:rsidRPr="00201A9A">
        <w:rPr>
          <w:noProof/>
        </w:rPr>
        <w:t> </w:t>
      </w:r>
      <w:r w:rsidRPr="00201A9A">
        <w:rPr>
          <w:noProof/>
        </w:rPr>
        <w:t>49), które mają spełniać kluczowe wymogi określone</w:t>
      </w:r>
      <w:r w:rsidR="00201A9A" w:rsidRPr="00201A9A">
        <w:rPr>
          <w:noProof/>
        </w:rPr>
        <w:t xml:space="preserve"> w zał</w:t>
      </w:r>
      <w:r w:rsidRPr="00201A9A">
        <w:rPr>
          <w:noProof/>
        </w:rPr>
        <w:t>ączniku IV. Jeżeli państwo członkowskie wyznaczy więcej niż jedną instytucję zarządzającą, to powinno też ustanowić instytucję koordynującą. Rozporządzenie określa funkcje instytucji koordynującej (art.</w:t>
      </w:r>
      <w:r w:rsidR="00201A9A" w:rsidRPr="00201A9A">
        <w:rPr>
          <w:noProof/>
        </w:rPr>
        <w:t> </w:t>
      </w:r>
      <w:r w:rsidRPr="00201A9A">
        <w:rPr>
          <w:noProof/>
        </w:rPr>
        <w:t>50), instytucji zarządzającej (art.</w:t>
      </w:r>
      <w:r w:rsidR="00201A9A" w:rsidRPr="00201A9A">
        <w:rPr>
          <w:noProof/>
        </w:rPr>
        <w:t> </w:t>
      </w:r>
      <w:r w:rsidRPr="00201A9A">
        <w:rPr>
          <w:noProof/>
        </w:rPr>
        <w:t>51), agencji płatniczej (art.</w:t>
      </w:r>
      <w:r w:rsidR="00201A9A" w:rsidRPr="00201A9A">
        <w:rPr>
          <w:noProof/>
        </w:rPr>
        <w:t> </w:t>
      </w:r>
      <w:r w:rsidRPr="00201A9A">
        <w:rPr>
          <w:noProof/>
        </w:rPr>
        <w:t>52)</w:t>
      </w:r>
      <w:r w:rsidR="00201A9A" w:rsidRPr="00201A9A">
        <w:rPr>
          <w:noProof/>
        </w:rPr>
        <w:t xml:space="preserve"> i ins</w:t>
      </w:r>
      <w:r w:rsidRPr="00201A9A">
        <w:rPr>
          <w:noProof/>
        </w:rPr>
        <w:t>tytucji audytowej (art.</w:t>
      </w:r>
      <w:r w:rsidR="00201A9A" w:rsidRPr="00201A9A">
        <w:rPr>
          <w:noProof/>
        </w:rPr>
        <w:t> </w:t>
      </w:r>
      <w:r w:rsidRPr="00201A9A">
        <w:rPr>
          <w:noProof/>
        </w:rPr>
        <w:t>53).</w:t>
      </w:r>
    </w:p>
    <w:p w14:paraId="02A54FE0" w14:textId="1FA39940"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Państwa członkowskie powinny ustanowić co najmniej jeden komitet monitorujący</w:t>
      </w:r>
      <w:r w:rsidR="00201A9A" w:rsidRPr="00201A9A">
        <w:rPr>
          <w:noProof/>
        </w:rPr>
        <w:t xml:space="preserve"> w odn</w:t>
      </w:r>
      <w:r w:rsidRPr="00201A9A">
        <w:rPr>
          <w:noProof/>
        </w:rPr>
        <w:t>iesieniu do co najmniej jednego rozdziału planu</w:t>
      </w:r>
      <w:r w:rsidR="00201A9A" w:rsidRPr="00201A9A">
        <w:rPr>
          <w:noProof/>
        </w:rPr>
        <w:t>. W prz</w:t>
      </w:r>
      <w:r w:rsidRPr="00201A9A">
        <w:rPr>
          <w:noProof/>
        </w:rPr>
        <w:t>ypadku utworzenia więcej niż jednego komitetu monitorującego państwo członkowskie powinno również ustanowić komitet koordynujący</w:t>
      </w:r>
      <w:r w:rsidR="00201A9A" w:rsidRPr="00201A9A">
        <w:rPr>
          <w:noProof/>
        </w:rPr>
        <w:t xml:space="preserve"> w cel</w:t>
      </w:r>
      <w:r w:rsidRPr="00201A9A">
        <w:rPr>
          <w:noProof/>
        </w:rPr>
        <w:t>u zapewnienia przeglądu</w:t>
      </w:r>
      <w:r w:rsidR="00201A9A" w:rsidRPr="00201A9A">
        <w:rPr>
          <w:noProof/>
        </w:rPr>
        <w:t xml:space="preserve"> i mon</w:t>
      </w:r>
      <w:r w:rsidRPr="00201A9A">
        <w:rPr>
          <w:noProof/>
        </w:rPr>
        <w:t>itorowania wdrażania (art.</w:t>
      </w:r>
      <w:r w:rsidR="00201A9A" w:rsidRPr="00201A9A">
        <w:rPr>
          <w:noProof/>
        </w:rPr>
        <w:t> </w:t>
      </w:r>
      <w:r w:rsidRPr="00201A9A">
        <w:rPr>
          <w:noProof/>
        </w:rPr>
        <w:t>54)</w:t>
      </w:r>
      <w:r w:rsidR="00201A9A" w:rsidRPr="00201A9A">
        <w:rPr>
          <w:noProof/>
        </w:rPr>
        <w:t>. W art</w:t>
      </w:r>
      <w:r w:rsidRPr="00201A9A">
        <w:rPr>
          <w:noProof/>
        </w:rPr>
        <w:t>.</w:t>
      </w:r>
      <w:r w:rsidR="00201A9A" w:rsidRPr="00201A9A">
        <w:rPr>
          <w:noProof/>
        </w:rPr>
        <w:t> </w:t>
      </w:r>
      <w:r w:rsidRPr="00201A9A">
        <w:rPr>
          <w:noProof/>
        </w:rPr>
        <w:t>55 określono skład,</w:t>
      </w:r>
      <w:r w:rsidR="00201A9A" w:rsidRPr="00201A9A">
        <w:rPr>
          <w:noProof/>
        </w:rPr>
        <w:t xml:space="preserve"> a art</w:t>
      </w:r>
      <w:r w:rsidRPr="00201A9A">
        <w:rPr>
          <w:noProof/>
        </w:rPr>
        <w:t>.</w:t>
      </w:r>
      <w:r w:rsidR="00201A9A" w:rsidRPr="00201A9A">
        <w:rPr>
          <w:noProof/>
        </w:rPr>
        <w:t> </w:t>
      </w:r>
      <w:r w:rsidRPr="00201A9A">
        <w:rPr>
          <w:noProof/>
        </w:rPr>
        <w:t>56 funkcje komitetu monitorującego</w:t>
      </w:r>
      <w:r w:rsidR="00201A9A" w:rsidRPr="00201A9A">
        <w:rPr>
          <w:noProof/>
        </w:rPr>
        <w:t>. W art</w:t>
      </w:r>
      <w:r w:rsidRPr="00201A9A">
        <w:rPr>
          <w:noProof/>
        </w:rPr>
        <w:t>.</w:t>
      </w:r>
      <w:r w:rsidR="00201A9A" w:rsidRPr="00201A9A">
        <w:rPr>
          <w:noProof/>
        </w:rPr>
        <w:t> </w:t>
      </w:r>
      <w:r w:rsidRPr="00201A9A">
        <w:rPr>
          <w:noProof/>
        </w:rPr>
        <w:t>57 określono cele unijnej</w:t>
      </w:r>
      <w:r w:rsidR="00201A9A" w:rsidRPr="00201A9A">
        <w:rPr>
          <w:noProof/>
        </w:rPr>
        <w:t xml:space="preserve"> i kra</w:t>
      </w:r>
      <w:r w:rsidRPr="00201A9A">
        <w:rPr>
          <w:noProof/>
        </w:rPr>
        <w:t>jowej sieci WPR.</w:t>
      </w:r>
    </w:p>
    <w:p w14:paraId="1AF5F6CE" w14:textId="73CD40B7" w:rsidR="00794A16" w:rsidRPr="00201A9A" w:rsidRDefault="00794A16" w:rsidP="00BE7913">
      <w:pPr>
        <w:pBdr>
          <w:top w:val="nil"/>
          <w:left w:val="nil"/>
          <w:bottom w:val="nil"/>
          <w:right w:val="nil"/>
          <w:between w:val="nil"/>
          <w:bar w:val="nil"/>
        </w:pBdr>
        <w:spacing w:before="0" w:after="240"/>
        <w:rPr>
          <w:b/>
          <w:bCs/>
          <w:noProof/>
        </w:rPr>
      </w:pPr>
      <w:r w:rsidRPr="00201A9A">
        <w:rPr>
          <w:b/>
          <w:noProof/>
        </w:rPr>
        <w:t>Tytuł VIII – Zasady zarządzania</w:t>
      </w:r>
      <w:r w:rsidR="00201A9A" w:rsidRPr="00201A9A">
        <w:rPr>
          <w:b/>
          <w:noProof/>
        </w:rPr>
        <w:t xml:space="preserve"> i prz</w:t>
      </w:r>
      <w:r w:rsidRPr="00201A9A">
        <w:rPr>
          <w:b/>
          <w:noProof/>
        </w:rPr>
        <w:t>episy finansowe [art.</w:t>
      </w:r>
      <w:r w:rsidR="00201A9A" w:rsidRPr="00201A9A">
        <w:rPr>
          <w:b/>
          <w:noProof/>
        </w:rPr>
        <w:t> </w:t>
      </w:r>
      <w:r w:rsidRPr="00201A9A">
        <w:rPr>
          <w:b/>
          <w:noProof/>
        </w:rPr>
        <w:t>58–70]</w:t>
      </w:r>
    </w:p>
    <w:p w14:paraId="6909F9AE" w14:textId="538D61D1"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W rozporządzeniu określono odpowiednie środki ochrony interesów finansowych Unii</w:t>
      </w:r>
      <w:r w:rsidR="00201A9A" w:rsidRPr="00201A9A">
        <w:rPr>
          <w:noProof/>
        </w:rPr>
        <w:t xml:space="preserve"> i zgo</w:t>
      </w:r>
      <w:r w:rsidRPr="00201A9A">
        <w:rPr>
          <w:noProof/>
        </w:rPr>
        <w:t>dności</w:t>
      </w:r>
      <w:r w:rsidR="00201A9A" w:rsidRPr="00201A9A">
        <w:rPr>
          <w:noProof/>
        </w:rPr>
        <w:t xml:space="preserve"> z maj</w:t>
      </w:r>
      <w:r w:rsidRPr="00201A9A">
        <w:rPr>
          <w:noProof/>
        </w:rPr>
        <w:t>ącym zastosowanie prawem (art.</w:t>
      </w:r>
      <w:r w:rsidR="00201A9A" w:rsidRPr="00201A9A">
        <w:rPr>
          <w:noProof/>
        </w:rPr>
        <w:t> </w:t>
      </w:r>
      <w:r w:rsidRPr="00201A9A">
        <w:rPr>
          <w:noProof/>
        </w:rPr>
        <w:t>58). Państwa członkowskie powinny przedkładać Komisji do dnia 15 lutego każdego roku po</w:t>
      </w:r>
      <w:r w:rsidR="00201A9A" w:rsidRPr="00201A9A">
        <w:rPr>
          <w:noProof/>
        </w:rPr>
        <w:t> </w:t>
      </w:r>
      <w:r w:rsidRPr="00201A9A">
        <w:rPr>
          <w:noProof/>
        </w:rPr>
        <w:t>2028</w:t>
      </w:r>
      <w:r w:rsidR="00201A9A" w:rsidRPr="00201A9A">
        <w:rPr>
          <w:noProof/>
        </w:rPr>
        <w:t> </w:t>
      </w:r>
      <w:r w:rsidRPr="00201A9A">
        <w:rPr>
          <w:noProof/>
        </w:rPr>
        <w:t>r. pakiet dokumentów dotyczących poświadczenia wiarygodności (art.</w:t>
      </w:r>
      <w:r w:rsidR="00201A9A" w:rsidRPr="00201A9A">
        <w:rPr>
          <w:noProof/>
        </w:rPr>
        <w:t> </w:t>
      </w:r>
      <w:r w:rsidRPr="00201A9A">
        <w:rPr>
          <w:noProof/>
        </w:rPr>
        <w:t>59)</w:t>
      </w:r>
      <w:r w:rsidR="00201A9A" w:rsidRPr="00201A9A">
        <w:rPr>
          <w:noProof/>
        </w:rPr>
        <w:t>. W roz</w:t>
      </w:r>
      <w:r w:rsidRPr="00201A9A">
        <w:rPr>
          <w:noProof/>
        </w:rPr>
        <w:t>porządzeniu określono również obowiązki Komisji (art.</w:t>
      </w:r>
      <w:r w:rsidR="00201A9A" w:rsidRPr="00201A9A">
        <w:rPr>
          <w:noProof/>
        </w:rPr>
        <w:t> </w:t>
      </w:r>
      <w:r w:rsidRPr="00201A9A">
        <w:rPr>
          <w:noProof/>
        </w:rPr>
        <w:t>60), zdefiniowano podejście oparte na zasadzie jednego audytu (art.</w:t>
      </w:r>
      <w:r w:rsidR="00201A9A" w:rsidRPr="00201A9A">
        <w:rPr>
          <w:noProof/>
        </w:rPr>
        <w:t> </w:t>
      </w:r>
      <w:r w:rsidRPr="00201A9A">
        <w:rPr>
          <w:noProof/>
        </w:rPr>
        <w:t>61)</w:t>
      </w:r>
      <w:r w:rsidR="00201A9A" w:rsidRPr="00201A9A">
        <w:rPr>
          <w:noProof/>
        </w:rPr>
        <w:t>. W art</w:t>
      </w:r>
      <w:r w:rsidRPr="00201A9A">
        <w:rPr>
          <w:noProof/>
        </w:rPr>
        <w:t>.</w:t>
      </w:r>
      <w:r w:rsidR="00201A9A" w:rsidRPr="00201A9A">
        <w:rPr>
          <w:noProof/>
        </w:rPr>
        <w:t> </w:t>
      </w:r>
      <w:r w:rsidRPr="00201A9A">
        <w:rPr>
          <w:noProof/>
        </w:rPr>
        <w:t>62 ustanowiono system kontroli na potrzeby odpowiedzialnego prowadzenia gospodarstwa</w:t>
      </w:r>
      <w:r w:rsidR="00201A9A" w:rsidRPr="00201A9A">
        <w:rPr>
          <w:noProof/>
        </w:rPr>
        <w:t xml:space="preserve"> i wsp</w:t>
      </w:r>
      <w:r w:rsidRPr="00201A9A">
        <w:rPr>
          <w:noProof/>
        </w:rPr>
        <w:t>ólnej polityki rybołówstwa</w:t>
      </w:r>
      <w:r w:rsidR="00201A9A" w:rsidRPr="00201A9A">
        <w:rPr>
          <w:noProof/>
        </w:rPr>
        <w:t>. W roz</w:t>
      </w:r>
      <w:r w:rsidRPr="00201A9A">
        <w:rPr>
          <w:noProof/>
        </w:rPr>
        <w:t>porządzeniu określono obowiązki Komisji</w:t>
      </w:r>
      <w:r w:rsidR="00201A9A" w:rsidRPr="00201A9A">
        <w:rPr>
          <w:noProof/>
        </w:rPr>
        <w:t xml:space="preserve"> i pań</w:t>
      </w:r>
      <w:r w:rsidRPr="00201A9A">
        <w:rPr>
          <w:noProof/>
        </w:rPr>
        <w:t>stw członkowskich</w:t>
      </w:r>
      <w:r w:rsidR="00201A9A" w:rsidRPr="00201A9A">
        <w:rPr>
          <w:noProof/>
        </w:rPr>
        <w:t xml:space="preserve"> w zak</w:t>
      </w:r>
      <w:r w:rsidRPr="00201A9A">
        <w:rPr>
          <w:noProof/>
        </w:rPr>
        <w:t>resie gromadzenia</w:t>
      </w:r>
      <w:r w:rsidR="00201A9A" w:rsidRPr="00201A9A">
        <w:rPr>
          <w:noProof/>
        </w:rPr>
        <w:t xml:space="preserve"> i rej</w:t>
      </w:r>
      <w:r w:rsidRPr="00201A9A">
        <w:rPr>
          <w:noProof/>
        </w:rPr>
        <w:t>estrowania danych (art.</w:t>
      </w:r>
      <w:r w:rsidR="00201A9A" w:rsidRPr="00201A9A">
        <w:rPr>
          <w:noProof/>
        </w:rPr>
        <w:t> </w:t>
      </w:r>
      <w:r w:rsidRPr="00201A9A">
        <w:rPr>
          <w:noProof/>
        </w:rPr>
        <w:t>63) oraz przejrzystości (art.</w:t>
      </w:r>
      <w:r w:rsidR="00201A9A" w:rsidRPr="00201A9A">
        <w:rPr>
          <w:noProof/>
        </w:rPr>
        <w:t> </w:t>
      </w:r>
      <w:r w:rsidRPr="00201A9A">
        <w:rPr>
          <w:noProof/>
        </w:rPr>
        <w:t xml:space="preserve">64). </w:t>
      </w:r>
    </w:p>
    <w:p w14:paraId="3EBC6592" w14:textId="39FF5815"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Rozporządzenie ustanawia przepisy dotyczące płatności,</w:t>
      </w:r>
      <w:r w:rsidR="00201A9A" w:rsidRPr="00201A9A">
        <w:rPr>
          <w:noProof/>
        </w:rPr>
        <w:t xml:space="preserve"> w tym</w:t>
      </w:r>
      <w:r w:rsidRPr="00201A9A">
        <w:rPr>
          <w:noProof/>
        </w:rPr>
        <w:t xml:space="preserve"> składania</w:t>
      </w:r>
      <w:r w:rsidR="00201A9A" w:rsidRPr="00201A9A">
        <w:rPr>
          <w:noProof/>
        </w:rPr>
        <w:t xml:space="preserve"> i oce</w:t>
      </w:r>
      <w:r w:rsidRPr="00201A9A">
        <w:rPr>
          <w:noProof/>
        </w:rPr>
        <w:t>ny wniosków</w:t>
      </w:r>
      <w:r w:rsidR="00201A9A" w:rsidRPr="00201A9A">
        <w:rPr>
          <w:noProof/>
        </w:rPr>
        <w:t xml:space="preserve"> o pła</w:t>
      </w:r>
      <w:r w:rsidRPr="00201A9A">
        <w:rPr>
          <w:noProof/>
        </w:rPr>
        <w:t>tność (art.</w:t>
      </w:r>
      <w:r w:rsidR="00201A9A" w:rsidRPr="00201A9A">
        <w:rPr>
          <w:noProof/>
        </w:rPr>
        <w:t> </w:t>
      </w:r>
      <w:r w:rsidRPr="00201A9A">
        <w:rPr>
          <w:noProof/>
        </w:rPr>
        <w:t>65), terminów</w:t>
      </w:r>
      <w:r w:rsidR="00201A9A" w:rsidRPr="00201A9A">
        <w:rPr>
          <w:noProof/>
        </w:rPr>
        <w:t xml:space="preserve"> i wst</w:t>
      </w:r>
      <w:r w:rsidRPr="00201A9A">
        <w:rPr>
          <w:noProof/>
        </w:rPr>
        <w:t>rzymania biegu terminu płatności (art.</w:t>
      </w:r>
      <w:r w:rsidR="00201A9A" w:rsidRPr="00201A9A">
        <w:rPr>
          <w:noProof/>
        </w:rPr>
        <w:t> </w:t>
      </w:r>
      <w:r w:rsidRPr="00201A9A">
        <w:rPr>
          <w:noProof/>
        </w:rPr>
        <w:t>66), zawieszenia płatności (art.</w:t>
      </w:r>
      <w:r w:rsidR="00201A9A" w:rsidRPr="00201A9A">
        <w:rPr>
          <w:noProof/>
        </w:rPr>
        <w:t> </w:t>
      </w:r>
      <w:r w:rsidRPr="00201A9A">
        <w:rPr>
          <w:noProof/>
        </w:rPr>
        <w:t>67), korekt finansowych dokonywanych przez Komisję (art.</w:t>
      </w:r>
      <w:r w:rsidR="00201A9A" w:rsidRPr="00201A9A">
        <w:rPr>
          <w:noProof/>
        </w:rPr>
        <w:t> </w:t>
      </w:r>
      <w:r w:rsidRPr="00201A9A">
        <w:rPr>
          <w:noProof/>
        </w:rPr>
        <w:t>68) oraz trwałości</w:t>
      </w:r>
      <w:r w:rsidR="00201A9A" w:rsidRPr="00201A9A">
        <w:rPr>
          <w:noProof/>
        </w:rPr>
        <w:t xml:space="preserve"> i odw</w:t>
      </w:r>
      <w:r w:rsidRPr="00201A9A">
        <w:rPr>
          <w:noProof/>
        </w:rPr>
        <w:t>rócenia (art.</w:t>
      </w:r>
      <w:r w:rsidR="00201A9A" w:rsidRPr="00201A9A">
        <w:rPr>
          <w:noProof/>
        </w:rPr>
        <w:t> </w:t>
      </w:r>
      <w:r w:rsidRPr="00201A9A">
        <w:rPr>
          <w:noProof/>
        </w:rPr>
        <w:t>69) oraz zintegrowanego systemu zarządzania</w:t>
      </w:r>
      <w:r w:rsidR="00201A9A" w:rsidRPr="00201A9A">
        <w:rPr>
          <w:noProof/>
        </w:rPr>
        <w:t xml:space="preserve"> i kon</w:t>
      </w:r>
      <w:r w:rsidRPr="00201A9A">
        <w:rPr>
          <w:noProof/>
        </w:rPr>
        <w:t>troli (ZSZiK) (art.</w:t>
      </w:r>
      <w:r w:rsidR="00201A9A" w:rsidRPr="00201A9A">
        <w:rPr>
          <w:noProof/>
        </w:rPr>
        <w:t> </w:t>
      </w:r>
      <w:r w:rsidRPr="00201A9A">
        <w:rPr>
          <w:noProof/>
        </w:rPr>
        <w:t xml:space="preserve">70). </w:t>
      </w:r>
    </w:p>
    <w:p w14:paraId="5C917851" w14:textId="7F47E2A3" w:rsidR="00794A16" w:rsidRPr="00201A9A" w:rsidRDefault="00794A16" w:rsidP="00BE7913">
      <w:pPr>
        <w:pBdr>
          <w:top w:val="nil"/>
          <w:left w:val="nil"/>
          <w:bottom w:val="nil"/>
          <w:right w:val="nil"/>
          <w:between w:val="nil"/>
          <w:bar w:val="nil"/>
        </w:pBdr>
        <w:spacing w:before="0" w:after="240"/>
        <w:rPr>
          <w:b/>
          <w:bCs/>
          <w:noProof/>
        </w:rPr>
      </w:pPr>
      <w:r w:rsidRPr="00201A9A">
        <w:rPr>
          <w:b/>
          <w:noProof/>
        </w:rPr>
        <w:t>Tytuł IX – Szczególny rodzaj wsparcia [art.</w:t>
      </w:r>
      <w:r w:rsidR="00201A9A" w:rsidRPr="00201A9A">
        <w:rPr>
          <w:b/>
          <w:noProof/>
        </w:rPr>
        <w:t> </w:t>
      </w:r>
      <w:r w:rsidRPr="00201A9A">
        <w:rPr>
          <w:b/>
          <w:noProof/>
        </w:rPr>
        <w:t>71–79]</w:t>
      </w:r>
    </w:p>
    <w:p w14:paraId="53C192F1" w14:textId="4735E95C"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W rozporządzeniu określono zasady, które mają zastosowanie, gdy państwa członkowskie chcą uwzględnić</w:t>
      </w:r>
      <w:r w:rsidR="00201A9A" w:rsidRPr="00201A9A">
        <w:rPr>
          <w:noProof/>
        </w:rPr>
        <w:t xml:space="preserve"> w swo</w:t>
      </w:r>
      <w:r w:rsidRPr="00201A9A">
        <w:rPr>
          <w:noProof/>
        </w:rPr>
        <w:t>ich planach istniejące lub nowo utworzone instrumenty finansowe wdrażane bezpośrednio przez instytucję zarządzającą lub na jej odpowiedzialność (art.</w:t>
      </w:r>
      <w:r w:rsidR="00201A9A" w:rsidRPr="00201A9A">
        <w:rPr>
          <w:noProof/>
        </w:rPr>
        <w:t> </w:t>
      </w:r>
      <w:r w:rsidRPr="00201A9A">
        <w:rPr>
          <w:noProof/>
        </w:rPr>
        <w:t>71). Określono</w:t>
      </w:r>
      <w:r w:rsidR="00201A9A" w:rsidRPr="00201A9A">
        <w:rPr>
          <w:noProof/>
        </w:rPr>
        <w:t xml:space="preserve"> w nim</w:t>
      </w:r>
      <w:r w:rsidRPr="00201A9A">
        <w:rPr>
          <w:noProof/>
        </w:rPr>
        <w:t xml:space="preserve"> również zadania związane</w:t>
      </w:r>
      <w:r w:rsidR="00201A9A" w:rsidRPr="00201A9A">
        <w:rPr>
          <w:noProof/>
        </w:rPr>
        <w:t xml:space="preserve"> z wer</w:t>
      </w:r>
      <w:r w:rsidRPr="00201A9A">
        <w:rPr>
          <w:noProof/>
        </w:rPr>
        <w:t>yfikacjami zarządczymi</w:t>
      </w:r>
      <w:r w:rsidR="00201A9A" w:rsidRPr="00201A9A">
        <w:rPr>
          <w:noProof/>
        </w:rPr>
        <w:t xml:space="preserve"> i aud</w:t>
      </w:r>
      <w:r w:rsidRPr="00201A9A">
        <w:rPr>
          <w:noProof/>
        </w:rPr>
        <w:t>ytami instrumentów finansowych (art.</w:t>
      </w:r>
      <w:r w:rsidR="00201A9A" w:rsidRPr="00201A9A">
        <w:rPr>
          <w:noProof/>
        </w:rPr>
        <w:t> </w:t>
      </w:r>
      <w:r w:rsidRPr="00201A9A">
        <w:rPr>
          <w:noProof/>
        </w:rPr>
        <w:t>72)</w:t>
      </w:r>
      <w:r w:rsidR="00201A9A" w:rsidRPr="00201A9A">
        <w:rPr>
          <w:noProof/>
        </w:rPr>
        <w:t>. W art</w:t>
      </w:r>
      <w:r w:rsidRPr="00201A9A">
        <w:rPr>
          <w:noProof/>
        </w:rPr>
        <w:t>.</w:t>
      </w:r>
      <w:r w:rsidR="00201A9A" w:rsidRPr="00201A9A">
        <w:rPr>
          <w:noProof/>
        </w:rPr>
        <w:t> </w:t>
      </w:r>
      <w:r w:rsidRPr="00201A9A">
        <w:rPr>
          <w:noProof/>
        </w:rPr>
        <w:t>73 określono zasady dotyczące weryfikacji zarządczych</w:t>
      </w:r>
      <w:r w:rsidR="00201A9A" w:rsidRPr="00201A9A">
        <w:rPr>
          <w:noProof/>
        </w:rPr>
        <w:t xml:space="preserve"> i aud</w:t>
      </w:r>
      <w:r w:rsidRPr="00201A9A">
        <w:rPr>
          <w:noProof/>
        </w:rPr>
        <w:t xml:space="preserve">ytów podmiotów ocenionych </w:t>
      </w:r>
      <w:r w:rsidRPr="00201A9A">
        <w:rPr>
          <w:i/>
          <w:noProof/>
        </w:rPr>
        <w:t>ex ante</w:t>
      </w:r>
      <w:r w:rsidRPr="00201A9A">
        <w:rPr>
          <w:noProof/>
        </w:rPr>
        <w:t xml:space="preserve"> jako beneficjentów. </w:t>
      </w:r>
    </w:p>
    <w:p w14:paraId="442F0762" w14:textId="068AB21A"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Państwa członkowskie powinny wspierać inicjatywy współpracy lokalnej (art.</w:t>
      </w:r>
      <w:r w:rsidR="00201A9A" w:rsidRPr="00201A9A">
        <w:rPr>
          <w:noProof/>
        </w:rPr>
        <w:t> </w:t>
      </w:r>
      <w:r w:rsidRPr="00201A9A">
        <w:rPr>
          <w:noProof/>
        </w:rPr>
        <w:t>74),</w:t>
      </w:r>
      <w:r w:rsidR="00201A9A" w:rsidRPr="00201A9A">
        <w:rPr>
          <w:noProof/>
        </w:rPr>
        <w:t xml:space="preserve"> w tym</w:t>
      </w:r>
      <w:r w:rsidRPr="00201A9A">
        <w:rPr>
          <w:noProof/>
        </w:rPr>
        <w:t xml:space="preserve"> zintegrowany rozwój terytorialny</w:t>
      </w:r>
      <w:r w:rsidR="00201A9A" w:rsidRPr="00201A9A">
        <w:rPr>
          <w:noProof/>
        </w:rPr>
        <w:t xml:space="preserve"> i mie</w:t>
      </w:r>
      <w:r w:rsidRPr="00201A9A">
        <w:rPr>
          <w:noProof/>
        </w:rPr>
        <w:t>jski</w:t>
      </w:r>
      <w:r w:rsidR="00201A9A" w:rsidRPr="00201A9A">
        <w:rPr>
          <w:noProof/>
        </w:rPr>
        <w:t xml:space="preserve"> w swo</w:t>
      </w:r>
      <w:r w:rsidRPr="00201A9A">
        <w:rPr>
          <w:noProof/>
        </w:rPr>
        <w:t>ich planach (art.</w:t>
      </w:r>
      <w:r w:rsidR="00201A9A" w:rsidRPr="00201A9A">
        <w:rPr>
          <w:noProof/>
        </w:rPr>
        <w:t> </w:t>
      </w:r>
      <w:r w:rsidRPr="00201A9A">
        <w:rPr>
          <w:noProof/>
        </w:rPr>
        <w:t>75), rozwój lokalny kierowany przez społeczność (art.</w:t>
      </w:r>
      <w:r w:rsidR="00201A9A" w:rsidRPr="00201A9A">
        <w:rPr>
          <w:noProof/>
        </w:rPr>
        <w:t> </w:t>
      </w:r>
      <w:r w:rsidRPr="00201A9A">
        <w:rPr>
          <w:noProof/>
        </w:rPr>
        <w:t>76), wsparcie</w:t>
      </w:r>
      <w:r w:rsidR="00201A9A" w:rsidRPr="00201A9A">
        <w:rPr>
          <w:noProof/>
        </w:rPr>
        <w:t xml:space="preserve"> w ram</w:t>
      </w:r>
      <w:r w:rsidRPr="00201A9A">
        <w:rPr>
          <w:noProof/>
        </w:rPr>
        <w:t>ach inicjatywy LEADER (art.</w:t>
      </w:r>
      <w:r w:rsidR="00201A9A" w:rsidRPr="00201A9A">
        <w:rPr>
          <w:noProof/>
        </w:rPr>
        <w:t> </w:t>
      </w:r>
      <w:r w:rsidRPr="00201A9A">
        <w:rPr>
          <w:noProof/>
        </w:rPr>
        <w:t xml:space="preserve">77). </w:t>
      </w:r>
    </w:p>
    <w:p w14:paraId="5B3B20A7" w14:textId="56E9AE03" w:rsidR="00703644" w:rsidRPr="00201A9A" w:rsidRDefault="00703644" w:rsidP="00BE7913">
      <w:pPr>
        <w:pBdr>
          <w:top w:val="nil"/>
          <w:left w:val="nil"/>
          <w:bottom w:val="nil"/>
          <w:right w:val="nil"/>
          <w:between w:val="nil"/>
          <w:bar w:val="nil"/>
        </w:pBdr>
        <w:spacing w:before="0" w:after="240"/>
        <w:rPr>
          <w:noProof/>
          <w:szCs w:val="24"/>
        </w:rPr>
      </w:pPr>
      <w:r w:rsidRPr="00201A9A">
        <w:rPr>
          <w:noProof/>
        </w:rPr>
        <w:t>W art.</w:t>
      </w:r>
      <w:r w:rsidR="00201A9A" w:rsidRPr="00201A9A">
        <w:rPr>
          <w:noProof/>
        </w:rPr>
        <w:t> </w:t>
      </w:r>
      <w:r w:rsidRPr="00201A9A">
        <w:rPr>
          <w:noProof/>
        </w:rPr>
        <w:t>78 określono zasady stosowania uproszczonej formy wsparcia dla beneficjentów.</w:t>
      </w:r>
    </w:p>
    <w:p w14:paraId="06608FA5" w14:textId="3B82C33D"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Państwa członkowskie mogą wspierać środki</w:t>
      </w:r>
      <w:r w:rsidR="00201A9A" w:rsidRPr="00201A9A">
        <w:rPr>
          <w:noProof/>
        </w:rPr>
        <w:t xml:space="preserve"> w prz</w:t>
      </w:r>
      <w:r w:rsidRPr="00201A9A">
        <w:rPr>
          <w:noProof/>
        </w:rPr>
        <w:t>ypadku gdy na operację lub operacje bazowe składa się druga faza operacji już wybranej</w:t>
      </w:r>
      <w:r w:rsidR="00201A9A" w:rsidRPr="00201A9A">
        <w:rPr>
          <w:noProof/>
        </w:rPr>
        <w:t xml:space="preserve"> i roz</w:t>
      </w:r>
      <w:r w:rsidRPr="00201A9A">
        <w:rPr>
          <w:noProof/>
        </w:rPr>
        <w:t>poczętej na mocy rozporządzenia (UE) 2021/1060, jeżeli spełnione są odpowiednie warunki (art.</w:t>
      </w:r>
      <w:r w:rsidR="00201A9A" w:rsidRPr="00201A9A">
        <w:rPr>
          <w:noProof/>
        </w:rPr>
        <w:t> </w:t>
      </w:r>
      <w:r w:rsidRPr="00201A9A">
        <w:rPr>
          <w:noProof/>
        </w:rPr>
        <w:t xml:space="preserve">79). </w:t>
      </w:r>
    </w:p>
    <w:p w14:paraId="417372C6" w14:textId="19298C0A" w:rsidR="00794A16" w:rsidRPr="00201A9A" w:rsidRDefault="00794A16" w:rsidP="00FA3FDF">
      <w:pPr>
        <w:keepNext/>
        <w:pBdr>
          <w:top w:val="nil"/>
          <w:left w:val="nil"/>
          <w:bottom w:val="nil"/>
          <w:right w:val="nil"/>
          <w:between w:val="nil"/>
          <w:bar w:val="nil"/>
        </w:pBdr>
        <w:spacing w:before="0" w:after="240"/>
        <w:rPr>
          <w:b/>
          <w:bCs/>
          <w:noProof/>
        </w:rPr>
      </w:pPr>
      <w:r w:rsidRPr="00201A9A">
        <w:rPr>
          <w:b/>
          <w:noProof/>
        </w:rPr>
        <w:t>Tytuł XII – Społeczny Fundusz Klimatyczny</w:t>
      </w:r>
      <w:r w:rsidR="00201A9A" w:rsidRPr="00201A9A">
        <w:rPr>
          <w:b/>
          <w:noProof/>
        </w:rPr>
        <w:t xml:space="preserve"> i fun</w:t>
      </w:r>
      <w:r w:rsidRPr="00201A9A">
        <w:rPr>
          <w:b/>
          <w:noProof/>
        </w:rPr>
        <w:t>dusz modernizacyjny [art.</w:t>
      </w:r>
      <w:r w:rsidR="00201A9A" w:rsidRPr="00201A9A">
        <w:rPr>
          <w:b/>
          <w:noProof/>
        </w:rPr>
        <w:t> </w:t>
      </w:r>
      <w:r w:rsidRPr="00201A9A">
        <w:rPr>
          <w:b/>
          <w:noProof/>
        </w:rPr>
        <w:t>80–83]</w:t>
      </w:r>
    </w:p>
    <w:p w14:paraId="0506FADD" w14:textId="02FD484D" w:rsidR="00794A16" w:rsidRPr="00201A9A" w:rsidRDefault="00794A16" w:rsidP="00BE7913">
      <w:pPr>
        <w:pBdr>
          <w:top w:val="nil"/>
          <w:left w:val="nil"/>
          <w:bottom w:val="nil"/>
          <w:right w:val="nil"/>
          <w:between w:val="nil"/>
          <w:bar w:val="nil"/>
        </w:pBdr>
        <w:spacing w:before="0" w:after="240"/>
        <w:rPr>
          <w:noProof/>
        </w:rPr>
      </w:pPr>
      <w:r w:rsidRPr="00201A9A">
        <w:rPr>
          <w:noProof/>
        </w:rPr>
        <w:t>Biorąc pod uwagę znaczne pokrywanie się działań, np. pod względem celów polityki</w:t>
      </w:r>
      <w:r w:rsidR="00201A9A" w:rsidRPr="00201A9A">
        <w:rPr>
          <w:noProof/>
        </w:rPr>
        <w:t xml:space="preserve"> i har</w:t>
      </w:r>
      <w:r w:rsidRPr="00201A9A">
        <w:rPr>
          <w:noProof/>
        </w:rPr>
        <w:t>monogramu wdrażania, plany społeczno-klimatyczne należy włączyć jako oddzielne rozdziały planów począwszy od</w:t>
      </w:r>
      <w:r w:rsidR="00201A9A" w:rsidRPr="00201A9A">
        <w:rPr>
          <w:noProof/>
        </w:rPr>
        <w:t> </w:t>
      </w:r>
      <w:r w:rsidRPr="00201A9A">
        <w:rPr>
          <w:noProof/>
        </w:rPr>
        <w:t>2028</w:t>
      </w:r>
      <w:r w:rsidR="00201A9A" w:rsidRPr="00201A9A">
        <w:rPr>
          <w:noProof/>
        </w:rPr>
        <w:t> </w:t>
      </w:r>
      <w:r w:rsidRPr="00201A9A">
        <w:rPr>
          <w:noProof/>
        </w:rPr>
        <w:t>r</w:t>
      </w:r>
      <w:r w:rsidR="00201A9A" w:rsidRPr="00201A9A">
        <w:rPr>
          <w:noProof/>
        </w:rPr>
        <w:t>. W art</w:t>
      </w:r>
      <w:r w:rsidRPr="00201A9A">
        <w:rPr>
          <w:noProof/>
        </w:rPr>
        <w:t>.</w:t>
      </w:r>
      <w:r w:rsidR="00201A9A" w:rsidRPr="00201A9A">
        <w:rPr>
          <w:noProof/>
        </w:rPr>
        <w:t> </w:t>
      </w:r>
      <w:r w:rsidRPr="00201A9A">
        <w:rPr>
          <w:noProof/>
        </w:rPr>
        <w:t>80</w:t>
      </w:r>
      <w:r w:rsidR="00201A9A" w:rsidRPr="00201A9A">
        <w:rPr>
          <w:noProof/>
        </w:rPr>
        <w:t xml:space="preserve"> i 8</w:t>
      </w:r>
      <w:r w:rsidRPr="00201A9A">
        <w:rPr>
          <w:noProof/>
        </w:rPr>
        <w:t>1 określono przepisy proceduralne wraz ze zmianami rozporządzenia (UE) 2023/955. Aby zwiększyć synergię</w:t>
      </w:r>
      <w:r w:rsidR="00201A9A" w:rsidRPr="00201A9A">
        <w:rPr>
          <w:noProof/>
        </w:rPr>
        <w:t xml:space="preserve"> i spó</w:t>
      </w:r>
      <w:r w:rsidRPr="00201A9A">
        <w:rPr>
          <w:noProof/>
        </w:rPr>
        <w:t>jność, państwa członkowskie korzystające ze wsparcia</w:t>
      </w:r>
      <w:r w:rsidR="00201A9A" w:rsidRPr="00201A9A">
        <w:rPr>
          <w:noProof/>
        </w:rPr>
        <w:t xml:space="preserve"> w ram</w:t>
      </w:r>
      <w:r w:rsidRPr="00201A9A">
        <w:rPr>
          <w:noProof/>
        </w:rPr>
        <w:t>ach funduszu modernizacyjnego będą dążyć do zapewnienia spójności między inwestycjami finansowanymi</w:t>
      </w:r>
      <w:r w:rsidR="00201A9A" w:rsidRPr="00201A9A">
        <w:rPr>
          <w:noProof/>
        </w:rPr>
        <w:t xml:space="preserve"> w ram</w:t>
      </w:r>
      <w:r w:rsidRPr="00201A9A">
        <w:rPr>
          <w:noProof/>
        </w:rPr>
        <w:t>ach ich planów PKR</w:t>
      </w:r>
      <w:r w:rsidR="00201A9A" w:rsidRPr="00201A9A">
        <w:rPr>
          <w:noProof/>
        </w:rPr>
        <w:t xml:space="preserve"> a inw</w:t>
      </w:r>
      <w:r w:rsidRPr="00201A9A">
        <w:rPr>
          <w:noProof/>
        </w:rPr>
        <w:t>estycjami przedstawianymi komitetowi inwestycyjnemu funduszu modernizacyjnego (art.</w:t>
      </w:r>
      <w:r w:rsidR="00201A9A" w:rsidRPr="00201A9A">
        <w:rPr>
          <w:noProof/>
        </w:rPr>
        <w:t> </w:t>
      </w:r>
      <w:r w:rsidRPr="00201A9A">
        <w:rPr>
          <w:noProof/>
        </w:rPr>
        <w:t>82). Art. 83 zawiera zmiany</w:t>
      </w:r>
      <w:r w:rsidR="00201A9A" w:rsidRPr="00201A9A">
        <w:rPr>
          <w:noProof/>
        </w:rPr>
        <w:t xml:space="preserve"> w roz</w:t>
      </w:r>
      <w:r w:rsidRPr="00201A9A">
        <w:rPr>
          <w:noProof/>
        </w:rPr>
        <w:t>porządzeniu (UE) 2023/955</w:t>
      </w:r>
    </w:p>
    <w:p w14:paraId="77D29718" w14:textId="1B416DD9" w:rsidR="00794A16" w:rsidRPr="00201A9A" w:rsidRDefault="00794A16" w:rsidP="00BE7913">
      <w:pPr>
        <w:pBdr>
          <w:top w:val="nil"/>
          <w:left w:val="nil"/>
          <w:bottom w:val="nil"/>
          <w:right w:val="nil"/>
          <w:between w:val="nil"/>
          <w:bar w:val="nil"/>
        </w:pBdr>
        <w:spacing w:before="0" w:after="240"/>
        <w:rPr>
          <w:b/>
          <w:bCs/>
          <w:noProof/>
        </w:rPr>
      </w:pPr>
      <w:r w:rsidRPr="00201A9A">
        <w:rPr>
          <w:b/>
          <w:noProof/>
        </w:rPr>
        <w:t>Tytuł XIII – Przepisy instytucjonalne</w:t>
      </w:r>
      <w:r w:rsidR="00201A9A" w:rsidRPr="00201A9A">
        <w:rPr>
          <w:b/>
          <w:noProof/>
        </w:rPr>
        <w:t xml:space="preserve"> i koń</w:t>
      </w:r>
      <w:r w:rsidRPr="00201A9A">
        <w:rPr>
          <w:b/>
          <w:noProof/>
        </w:rPr>
        <w:t>cowe [art.</w:t>
      </w:r>
      <w:r w:rsidR="00201A9A" w:rsidRPr="00201A9A">
        <w:rPr>
          <w:b/>
          <w:noProof/>
        </w:rPr>
        <w:t> </w:t>
      </w:r>
      <w:r w:rsidRPr="00201A9A">
        <w:rPr>
          <w:b/>
          <w:noProof/>
        </w:rPr>
        <w:t>84–90].</w:t>
      </w:r>
    </w:p>
    <w:p w14:paraId="64FB775E" w14:textId="43F519D1"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Rozporządzenie zawiera przepisy dotyczące reguł mających zastosowanie do przedsiębiorstw, zasad pomocy państwa oraz potencjalnego odstępstwa od tych zasad (art.</w:t>
      </w:r>
      <w:r w:rsidR="00201A9A" w:rsidRPr="00201A9A">
        <w:rPr>
          <w:noProof/>
        </w:rPr>
        <w:t> </w:t>
      </w:r>
      <w:r w:rsidRPr="00201A9A">
        <w:rPr>
          <w:noProof/>
        </w:rPr>
        <w:t xml:space="preserve">84–85). </w:t>
      </w:r>
    </w:p>
    <w:p w14:paraId="1E1F3089" w14:textId="5C5C4AAB" w:rsidR="00794A16" w:rsidRPr="00201A9A" w:rsidRDefault="00794A16" w:rsidP="00BE7913">
      <w:pPr>
        <w:pBdr>
          <w:top w:val="nil"/>
          <w:left w:val="nil"/>
          <w:bottom w:val="nil"/>
          <w:right w:val="nil"/>
          <w:between w:val="nil"/>
          <w:bar w:val="nil"/>
        </w:pBdr>
        <w:spacing w:before="0" w:after="240"/>
        <w:rPr>
          <w:noProof/>
          <w:szCs w:val="24"/>
        </w:rPr>
      </w:pPr>
      <w:r w:rsidRPr="00201A9A">
        <w:rPr>
          <w:noProof/>
        </w:rPr>
        <w:t>Rozporządzenie powierza Komisji uprawnienia do przyjmowania aktów delegowanych, na czas nieokreślony począwszy od wejścia</w:t>
      </w:r>
      <w:r w:rsidR="00201A9A" w:rsidRPr="00201A9A">
        <w:rPr>
          <w:noProof/>
        </w:rPr>
        <w:t xml:space="preserve"> w życ</w:t>
      </w:r>
      <w:r w:rsidRPr="00201A9A">
        <w:rPr>
          <w:noProof/>
        </w:rPr>
        <w:t>ie rozporządzenia (art.</w:t>
      </w:r>
      <w:r w:rsidR="00201A9A" w:rsidRPr="00201A9A">
        <w:rPr>
          <w:noProof/>
        </w:rPr>
        <w:t> </w:t>
      </w:r>
      <w:r w:rsidRPr="00201A9A">
        <w:rPr>
          <w:noProof/>
        </w:rPr>
        <w:t>86</w:t>
      </w:r>
      <w:r w:rsidR="00201A9A" w:rsidRPr="00201A9A">
        <w:rPr>
          <w:noProof/>
        </w:rPr>
        <w:t xml:space="preserve"> i 8</w:t>
      </w:r>
      <w:r w:rsidRPr="00201A9A">
        <w:rPr>
          <w:noProof/>
        </w:rPr>
        <w:t xml:space="preserve">7). </w:t>
      </w:r>
    </w:p>
    <w:p w14:paraId="2D95B403" w14:textId="2BA768AD" w:rsidR="0005552B" w:rsidRPr="00201A9A" w:rsidRDefault="00794A16" w:rsidP="00BE7913">
      <w:pPr>
        <w:pBdr>
          <w:top w:val="nil"/>
          <w:left w:val="nil"/>
          <w:bottom w:val="nil"/>
          <w:right w:val="nil"/>
          <w:between w:val="nil"/>
          <w:bar w:val="nil"/>
        </w:pBdr>
        <w:spacing w:before="0" w:after="240"/>
        <w:rPr>
          <w:noProof/>
        </w:rPr>
      </w:pPr>
      <w:r w:rsidRPr="00201A9A">
        <w:rPr>
          <w:noProof/>
        </w:rPr>
        <w:t>Przepisy dotyczące procedury komitetowej określono</w:t>
      </w:r>
      <w:r w:rsidR="00201A9A" w:rsidRPr="00201A9A">
        <w:rPr>
          <w:noProof/>
        </w:rPr>
        <w:t xml:space="preserve"> w art</w:t>
      </w:r>
      <w:r w:rsidRPr="00201A9A">
        <w:rPr>
          <w:noProof/>
        </w:rPr>
        <w:t>.</w:t>
      </w:r>
      <w:r w:rsidR="00201A9A" w:rsidRPr="00201A9A">
        <w:rPr>
          <w:noProof/>
        </w:rPr>
        <w:t> </w:t>
      </w:r>
      <w:r w:rsidRPr="00201A9A">
        <w:rPr>
          <w:noProof/>
        </w:rPr>
        <w:t>88.</w:t>
      </w:r>
    </w:p>
    <w:p w14:paraId="6327B26D" w14:textId="08814C83" w:rsidR="00794A16" w:rsidRPr="00201A9A" w:rsidRDefault="00794A16" w:rsidP="00BE7913">
      <w:pPr>
        <w:pBdr>
          <w:top w:val="nil"/>
          <w:left w:val="nil"/>
          <w:bottom w:val="nil"/>
          <w:right w:val="nil"/>
          <w:between w:val="nil"/>
          <w:bar w:val="nil"/>
        </w:pBdr>
        <w:spacing w:before="0" w:after="240"/>
        <w:rPr>
          <w:noProof/>
        </w:rPr>
      </w:pPr>
      <w:r w:rsidRPr="00201A9A">
        <w:rPr>
          <w:noProof/>
        </w:rPr>
        <w:t>Przepisy dotyczące zarządzania dzielonego na mocy rozporządzenia finansowego zmienia się</w:t>
      </w:r>
      <w:r w:rsidR="00201A9A" w:rsidRPr="00201A9A">
        <w:rPr>
          <w:noProof/>
        </w:rPr>
        <w:t xml:space="preserve"> w cel</w:t>
      </w:r>
      <w:r w:rsidRPr="00201A9A">
        <w:rPr>
          <w:noProof/>
        </w:rPr>
        <w:t>u dostosowania ich do modelu realizacji określonego</w:t>
      </w:r>
      <w:r w:rsidR="00201A9A" w:rsidRPr="00201A9A">
        <w:rPr>
          <w:noProof/>
        </w:rPr>
        <w:t xml:space="preserve"> w nin</w:t>
      </w:r>
      <w:r w:rsidRPr="00201A9A">
        <w:rPr>
          <w:noProof/>
        </w:rPr>
        <w:t>iejszym rozporządzeniu (art.</w:t>
      </w:r>
      <w:r w:rsidR="00201A9A" w:rsidRPr="00201A9A">
        <w:rPr>
          <w:noProof/>
        </w:rPr>
        <w:t> </w:t>
      </w:r>
      <w:r w:rsidRPr="00201A9A">
        <w:rPr>
          <w:noProof/>
        </w:rPr>
        <w:t>89).</w:t>
      </w:r>
    </w:p>
    <w:p w14:paraId="04F4E98D" w14:textId="77777777" w:rsidR="00186A9E" w:rsidRPr="00201A9A" w:rsidRDefault="00186A9E">
      <w:pPr>
        <w:rPr>
          <w:noProof/>
        </w:rPr>
        <w:sectPr w:rsidR="00186A9E" w:rsidRPr="00201A9A" w:rsidSect="009C4ADF">
          <w:headerReference w:type="even" r:id="rId15"/>
          <w:footerReference w:type="even" r:id="rId16"/>
          <w:footerReference w:type="default" r:id="rId17"/>
          <w:headerReference w:type="first" r:id="rId18"/>
          <w:footerReference w:type="first" r:id="rId19"/>
          <w:pgSz w:w="11907" w:h="16839"/>
          <w:pgMar w:top="1134" w:right="1417" w:bottom="1134" w:left="1417" w:header="709" w:footer="709" w:gutter="0"/>
          <w:cols w:space="708"/>
          <w:docGrid w:linePitch="360"/>
        </w:sectPr>
      </w:pPr>
    </w:p>
    <w:p w14:paraId="42B0738E" w14:textId="51832AED" w:rsidR="00991318" w:rsidRPr="00201A9A" w:rsidRDefault="00E56168" w:rsidP="00E56168">
      <w:pPr>
        <w:pStyle w:val="Rfrenceinterinstitutionnelle"/>
        <w:rPr>
          <w:noProof/>
        </w:rPr>
      </w:pPr>
      <w:r>
        <w:rPr>
          <w:noProof/>
        </w:rPr>
        <w:t>2025/0240 (COD)</w:t>
      </w:r>
    </w:p>
    <w:p w14:paraId="064DE44F" w14:textId="555DAE0F" w:rsidR="00186A9E" w:rsidRPr="00201A9A" w:rsidRDefault="00E56168" w:rsidP="00E56168">
      <w:pPr>
        <w:pStyle w:val="Statut"/>
        <w:rPr>
          <w:noProof/>
        </w:rPr>
      </w:pPr>
      <w:r w:rsidRPr="00E56168">
        <w:rPr>
          <w:noProof/>
        </w:rPr>
        <w:t>Wniosek</w:t>
      </w:r>
    </w:p>
    <w:p w14:paraId="753C5661" w14:textId="2E3C87D8" w:rsidR="00186A9E" w:rsidRPr="00201A9A" w:rsidRDefault="00E56168" w:rsidP="00E56168">
      <w:pPr>
        <w:pStyle w:val="Typedudocument"/>
        <w:rPr>
          <w:noProof/>
        </w:rPr>
      </w:pPr>
      <w:r w:rsidRPr="00E56168">
        <w:rPr>
          <w:noProof/>
        </w:rPr>
        <w:t>ROZPORZĄDZENIE PARLAMENTU EUROPEJSKIEGO I RADY</w:t>
      </w:r>
    </w:p>
    <w:p w14:paraId="26CAC379" w14:textId="2AE6E40F" w:rsidR="00AF6A2B" w:rsidRPr="00201A9A" w:rsidRDefault="00E56168" w:rsidP="00E56168">
      <w:pPr>
        <w:pStyle w:val="Titreobjet"/>
        <w:rPr>
          <w:noProof/>
        </w:rPr>
      </w:pPr>
      <w:r w:rsidRPr="00E56168">
        <w:rPr>
          <w:noProof/>
        </w:rPr>
        <w:t>ustanawiające Europejski Fundusz Spójności Gospodarczej, Społecznej i Terytorialnej, Rolnictwa i Obszarów Wiejskich, Rybołówstwa i Polityki Morskiej, Dobrobytu i Bezpieczeństwa na lata 2028–2034 oraz zmieniające rozporządzenie (UE) 2023/955 i rozporządzenie (UE, Euratom) 2024/2509</w:t>
      </w:r>
    </w:p>
    <w:p w14:paraId="4BB9B2BA" w14:textId="77777777" w:rsidR="00186A9E" w:rsidRPr="00201A9A" w:rsidRDefault="00186A9E">
      <w:pPr>
        <w:pStyle w:val="Institutionquiagit"/>
        <w:rPr>
          <w:noProof/>
        </w:rPr>
      </w:pPr>
      <w:r w:rsidRPr="00201A9A">
        <w:rPr>
          <w:noProof/>
        </w:rPr>
        <w:t>PARLAMENT EUROPEJSKI I RADA UNII EUROPEJSKIEJ,</w:t>
      </w:r>
    </w:p>
    <w:p w14:paraId="2E0A6522" w14:textId="59790580" w:rsidR="00186A9E" w:rsidRPr="00201A9A" w:rsidRDefault="00186A9E">
      <w:pPr>
        <w:rPr>
          <w:noProof/>
        </w:rPr>
      </w:pPr>
      <w:r w:rsidRPr="00201A9A">
        <w:rPr>
          <w:noProof/>
        </w:rPr>
        <w:t>uwzględniając Traktat</w:t>
      </w:r>
      <w:r w:rsidR="00201A9A" w:rsidRPr="00201A9A">
        <w:rPr>
          <w:noProof/>
        </w:rPr>
        <w:t xml:space="preserve"> o fun</w:t>
      </w:r>
      <w:r w:rsidRPr="00201A9A">
        <w:rPr>
          <w:noProof/>
        </w:rPr>
        <w:t>kcjonowaniu Unii Europejskiej,</w:t>
      </w:r>
      <w:r w:rsidR="00201A9A" w:rsidRPr="00201A9A">
        <w:rPr>
          <w:noProof/>
        </w:rPr>
        <w:t xml:space="preserve"> w szc</w:t>
      </w:r>
      <w:r w:rsidRPr="00201A9A">
        <w:rPr>
          <w:noProof/>
        </w:rPr>
        <w:t>zególności jego art.</w:t>
      </w:r>
      <w:r w:rsidR="00201A9A" w:rsidRPr="00201A9A">
        <w:rPr>
          <w:noProof/>
        </w:rPr>
        <w:t> </w:t>
      </w:r>
      <w:r w:rsidRPr="00201A9A">
        <w:rPr>
          <w:noProof/>
        </w:rPr>
        <w:t>42, art.</w:t>
      </w:r>
      <w:r w:rsidR="00201A9A" w:rsidRPr="00201A9A">
        <w:rPr>
          <w:noProof/>
        </w:rPr>
        <w:t> </w:t>
      </w:r>
      <w:r w:rsidRPr="00201A9A">
        <w:rPr>
          <w:noProof/>
        </w:rPr>
        <w:t>43 ust.</w:t>
      </w:r>
      <w:r w:rsidR="00201A9A" w:rsidRPr="00201A9A">
        <w:rPr>
          <w:noProof/>
        </w:rPr>
        <w:t> </w:t>
      </w:r>
      <w:r w:rsidRPr="00201A9A">
        <w:rPr>
          <w:noProof/>
        </w:rPr>
        <w:t>3, art.</w:t>
      </w:r>
      <w:r w:rsidR="00201A9A" w:rsidRPr="00201A9A">
        <w:rPr>
          <w:noProof/>
        </w:rPr>
        <w:t> </w:t>
      </w:r>
      <w:r w:rsidRPr="00201A9A">
        <w:rPr>
          <w:noProof/>
        </w:rPr>
        <w:t>46 lit.</w:t>
      </w:r>
      <w:r w:rsidR="00201A9A" w:rsidRPr="00201A9A">
        <w:rPr>
          <w:noProof/>
        </w:rPr>
        <w:t> </w:t>
      </w:r>
      <w:r w:rsidRPr="00201A9A">
        <w:rPr>
          <w:noProof/>
        </w:rPr>
        <w:t>d), art.</w:t>
      </w:r>
      <w:r w:rsidR="00201A9A" w:rsidRPr="00201A9A">
        <w:rPr>
          <w:noProof/>
        </w:rPr>
        <w:t> </w:t>
      </w:r>
      <w:r w:rsidRPr="00201A9A">
        <w:rPr>
          <w:noProof/>
        </w:rPr>
        <w:t>91 ust.</w:t>
      </w:r>
      <w:r w:rsidR="00201A9A" w:rsidRPr="00201A9A">
        <w:rPr>
          <w:noProof/>
        </w:rPr>
        <w:t> </w:t>
      </w:r>
      <w:r w:rsidRPr="00201A9A">
        <w:rPr>
          <w:noProof/>
        </w:rPr>
        <w:t>1 lit.</w:t>
      </w:r>
      <w:r w:rsidR="00201A9A" w:rsidRPr="00201A9A">
        <w:rPr>
          <w:noProof/>
        </w:rPr>
        <w:t> </w:t>
      </w:r>
      <w:r w:rsidRPr="00201A9A">
        <w:rPr>
          <w:noProof/>
        </w:rPr>
        <w:t>d), art.</w:t>
      </w:r>
      <w:r w:rsidR="00201A9A" w:rsidRPr="00201A9A">
        <w:rPr>
          <w:noProof/>
        </w:rPr>
        <w:t> </w:t>
      </w:r>
      <w:r w:rsidRPr="00201A9A">
        <w:rPr>
          <w:noProof/>
        </w:rPr>
        <w:t>149, art.</w:t>
      </w:r>
      <w:r w:rsidR="00201A9A" w:rsidRPr="00201A9A">
        <w:rPr>
          <w:noProof/>
        </w:rPr>
        <w:t> </w:t>
      </w:r>
      <w:r w:rsidRPr="00201A9A">
        <w:rPr>
          <w:noProof/>
        </w:rPr>
        <w:t>153 ust.</w:t>
      </w:r>
      <w:r w:rsidR="00201A9A" w:rsidRPr="00201A9A">
        <w:rPr>
          <w:noProof/>
        </w:rPr>
        <w:t> </w:t>
      </w:r>
      <w:r w:rsidRPr="00201A9A">
        <w:rPr>
          <w:noProof/>
        </w:rPr>
        <w:t>2 lit.</w:t>
      </w:r>
      <w:r w:rsidR="00201A9A" w:rsidRPr="00201A9A">
        <w:rPr>
          <w:noProof/>
        </w:rPr>
        <w:t> </w:t>
      </w:r>
      <w:r w:rsidRPr="00201A9A">
        <w:rPr>
          <w:noProof/>
        </w:rPr>
        <w:t>a), art.</w:t>
      </w:r>
      <w:r w:rsidR="00201A9A" w:rsidRPr="00201A9A">
        <w:rPr>
          <w:noProof/>
        </w:rPr>
        <w:t> </w:t>
      </w:r>
      <w:r w:rsidRPr="00201A9A">
        <w:rPr>
          <w:noProof/>
        </w:rPr>
        <w:t>164, 175, 177</w:t>
      </w:r>
      <w:r w:rsidR="00201A9A" w:rsidRPr="00201A9A">
        <w:rPr>
          <w:noProof/>
        </w:rPr>
        <w:t xml:space="preserve"> i 1</w:t>
      </w:r>
      <w:r w:rsidRPr="00201A9A">
        <w:rPr>
          <w:noProof/>
        </w:rPr>
        <w:t>78, art.</w:t>
      </w:r>
      <w:r w:rsidR="00201A9A" w:rsidRPr="00201A9A">
        <w:rPr>
          <w:noProof/>
        </w:rPr>
        <w:t> </w:t>
      </w:r>
      <w:r w:rsidRPr="00201A9A">
        <w:rPr>
          <w:noProof/>
        </w:rPr>
        <w:t>192 ust.</w:t>
      </w:r>
      <w:r w:rsidR="00201A9A" w:rsidRPr="00201A9A">
        <w:rPr>
          <w:noProof/>
        </w:rPr>
        <w:t> </w:t>
      </w:r>
      <w:r w:rsidRPr="00201A9A">
        <w:rPr>
          <w:noProof/>
        </w:rPr>
        <w:t>1, art.</w:t>
      </w:r>
      <w:r w:rsidR="00201A9A" w:rsidRPr="00201A9A">
        <w:rPr>
          <w:noProof/>
        </w:rPr>
        <w:t> </w:t>
      </w:r>
      <w:r w:rsidRPr="00201A9A">
        <w:rPr>
          <w:noProof/>
        </w:rPr>
        <w:t>194 ust.</w:t>
      </w:r>
      <w:r w:rsidR="00201A9A" w:rsidRPr="00201A9A">
        <w:rPr>
          <w:noProof/>
        </w:rPr>
        <w:t> </w:t>
      </w:r>
      <w:r w:rsidRPr="00201A9A">
        <w:rPr>
          <w:noProof/>
        </w:rPr>
        <w:t>2, art.</w:t>
      </w:r>
      <w:r w:rsidR="00201A9A" w:rsidRPr="00201A9A">
        <w:rPr>
          <w:noProof/>
        </w:rPr>
        <w:t> </w:t>
      </w:r>
      <w:r w:rsidRPr="00201A9A">
        <w:rPr>
          <w:noProof/>
        </w:rPr>
        <w:t>209 ust.</w:t>
      </w:r>
      <w:r w:rsidR="00201A9A" w:rsidRPr="00201A9A">
        <w:rPr>
          <w:noProof/>
        </w:rPr>
        <w:t> </w:t>
      </w:r>
      <w:r w:rsidRPr="00201A9A">
        <w:rPr>
          <w:noProof/>
        </w:rPr>
        <w:t>1, art.</w:t>
      </w:r>
      <w:r w:rsidR="00201A9A" w:rsidRPr="00201A9A">
        <w:rPr>
          <w:noProof/>
        </w:rPr>
        <w:t> </w:t>
      </w:r>
      <w:r w:rsidRPr="00201A9A">
        <w:rPr>
          <w:noProof/>
        </w:rPr>
        <w:t>212 ust.</w:t>
      </w:r>
      <w:r w:rsidR="00201A9A" w:rsidRPr="00201A9A">
        <w:rPr>
          <w:noProof/>
        </w:rPr>
        <w:t> </w:t>
      </w:r>
      <w:r w:rsidRPr="00201A9A">
        <w:rPr>
          <w:noProof/>
        </w:rPr>
        <w:t>2, art.</w:t>
      </w:r>
      <w:r w:rsidR="00201A9A" w:rsidRPr="00201A9A">
        <w:rPr>
          <w:noProof/>
        </w:rPr>
        <w:t> </w:t>
      </w:r>
      <w:r w:rsidRPr="00201A9A">
        <w:rPr>
          <w:noProof/>
        </w:rPr>
        <w:t>322 ust.</w:t>
      </w:r>
      <w:r w:rsidR="00201A9A" w:rsidRPr="00201A9A">
        <w:rPr>
          <w:noProof/>
        </w:rPr>
        <w:t> </w:t>
      </w:r>
      <w:r w:rsidRPr="00201A9A">
        <w:rPr>
          <w:noProof/>
        </w:rPr>
        <w:t>1 lit.</w:t>
      </w:r>
      <w:r w:rsidR="00201A9A" w:rsidRPr="00201A9A">
        <w:rPr>
          <w:noProof/>
        </w:rPr>
        <w:t> </w:t>
      </w:r>
      <w:r w:rsidRPr="00201A9A">
        <w:rPr>
          <w:noProof/>
        </w:rPr>
        <w:t>a)</w:t>
      </w:r>
      <w:r w:rsidR="00201A9A" w:rsidRPr="00201A9A">
        <w:rPr>
          <w:noProof/>
        </w:rPr>
        <w:t xml:space="preserve"> i art</w:t>
      </w:r>
      <w:r w:rsidRPr="00201A9A">
        <w:rPr>
          <w:noProof/>
        </w:rPr>
        <w:t>.</w:t>
      </w:r>
      <w:r w:rsidR="00201A9A" w:rsidRPr="00201A9A">
        <w:rPr>
          <w:noProof/>
        </w:rPr>
        <w:t> </w:t>
      </w:r>
      <w:r w:rsidRPr="00201A9A">
        <w:rPr>
          <w:noProof/>
        </w:rPr>
        <w:t>349,</w:t>
      </w:r>
    </w:p>
    <w:p w14:paraId="5FD6A1D7" w14:textId="64DA9F85" w:rsidR="00EA21E6" w:rsidRPr="00201A9A" w:rsidRDefault="006E2F61">
      <w:pPr>
        <w:rPr>
          <w:noProof/>
        </w:rPr>
      </w:pPr>
      <w:r w:rsidRPr="00201A9A">
        <w:rPr>
          <w:noProof/>
        </w:rPr>
        <w:t>uwzględniając Traktat</w:t>
      </w:r>
      <w:r w:rsidR="00201A9A" w:rsidRPr="00201A9A">
        <w:rPr>
          <w:noProof/>
        </w:rPr>
        <w:t xml:space="preserve"> o prz</w:t>
      </w:r>
      <w:r w:rsidRPr="00201A9A">
        <w:rPr>
          <w:noProof/>
        </w:rPr>
        <w:t>ystąpieniu</w:t>
      </w:r>
      <w:r w:rsidR="00201A9A" w:rsidRPr="00201A9A">
        <w:rPr>
          <w:noProof/>
        </w:rPr>
        <w:t xml:space="preserve"> z 1</w:t>
      </w:r>
      <w:r w:rsidRPr="00201A9A">
        <w:rPr>
          <w:noProof/>
        </w:rPr>
        <w:t>979</w:t>
      </w:r>
      <w:r w:rsidR="00201A9A" w:rsidRPr="00201A9A">
        <w:rPr>
          <w:noProof/>
        </w:rPr>
        <w:t> </w:t>
      </w:r>
      <w:r w:rsidRPr="00201A9A">
        <w:rPr>
          <w:noProof/>
        </w:rPr>
        <w:t>r.,</w:t>
      </w:r>
      <w:r w:rsidR="00201A9A" w:rsidRPr="00201A9A">
        <w:rPr>
          <w:noProof/>
        </w:rPr>
        <w:t xml:space="preserve"> w szc</w:t>
      </w:r>
      <w:r w:rsidRPr="00201A9A">
        <w:rPr>
          <w:noProof/>
        </w:rPr>
        <w:t>zególności dołączony do niego protokół nr</w:t>
      </w:r>
      <w:r w:rsidR="00201A9A" w:rsidRPr="00201A9A">
        <w:rPr>
          <w:noProof/>
        </w:rPr>
        <w:t> </w:t>
      </w:r>
      <w:r w:rsidRPr="00201A9A">
        <w:rPr>
          <w:noProof/>
        </w:rPr>
        <w:t>4 ust.</w:t>
      </w:r>
      <w:r w:rsidR="00201A9A" w:rsidRPr="00201A9A">
        <w:rPr>
          <w:noProof/>
        </w:rPr>
        <w:t> </w:t>
      </w:r>
      <w:r w:rsidRPr="00201A9A">
        <w:rPr>
          <w:noProof/>
        </w:rPr>
        <w:t>6 dotyczący bawełny,</w:t>
      </w:r>
    </w:p>
    <w:p w14:paraId="480BA2CD" w14:textId="77777777" w:rsidR="006E2F61" w:rsidRPr="00201A9A" w:rsidRDefault="006E2F61">
      <w:pPr>
        <w:rPr>
          <w:noProof/>
        </w:rPr>
      </w:pPr>
      <w:r w:rsidRPr="00201A9A">
        <w:rPr>
          <w:noProof/>
        </w:rPr>
        <w:t>uwzględniając wniosek Komisji Europejskiej,</w:t>
      </w:r>
    </w:p>
    <w:p w14:paraId="01716952" w14:textId="77777777" w:rsidR="006E2F61" w:rsidRPr="00201A9A" w:rsidRDefault="006E2F61">
      <w:pPr>
        <w:rPr>
          <w:noProof/>
        </w:rPr>
      </w:pPr>
      <w:r w:rsidRPr="00201A9A">
        <w:rPr>
          <w:noProof/>
        </w:rPr>
        <w:t>uwzględniając opinię Trybunału Obrachunkowego,</w:t>
      </w:r>
    </w:p>
    <w:p w14:paraId="76E20FE8" w14:textId="77777777" w:rsidR="006E2F61" w:rsidRPr="00201A9A" w:rsidRDefault="006E2F61">
      <w:pPr>
        <w:rPr>
          <w:noProof/>
        </w:rPr>
      </w:pPr>
      <w:r w:rsidRPr="00201A9A">
        <w:rPr>
          <w:noProof/>
        </w:rPr>
        <w:t>po przekazaniu projektu aktu ustawodawczego parlamentom narodowym,</w:t>
      </w:r>
    </w:p>
    <w:p w14:paraId="59891C0F" w14:textId="77777777" w:rsidR="006E2F61" w:rsidRPr="00201A9A" w:rsidRDefault="006E2F61">
      <w:pPr>
        <w:rPr>
          <w:noProof/>
        </w:rPr>
      </w:pPr>
      <w:r w:rsidRPr="00201A9A">
        <w:rPr>
          <w:noProof/>
        </w:rPr>
        <w:t>uwzględniając opinię Europejskiego Komitetu Ekonomiczno-Społecznego,</w:t>
      </w:r>
    </w:p>
    <w:p w14:paraId="7C065CAA" w14:textId="77777777" w:rsidR="006E2F61" w:rsidRPr="00201A9A" w:rsidRDefault="006E2F61">
      <w:pPr>
        <w:rPr>
          <w:noProof/>
        </w:rPr>
      </w:pPr>
      <w:r w:rsidRPr="00201A9A">
        <w:rPr>
          <w:noProof/>
        </w:rPr>
        <w:t>uwzględniając opinię Komitetu Regionów,</w:t>
      </w:r>
    </w:p>
    <w:p w14:paraId="1B1DD135" w14:textId="77777777" w:rsidR="006E2F61" w:rsidRPr="00201A9A" w:rsidRDefault="006E2F61">
      <w:pPr>
        <w:rPr>
          <w:noProof/>
        </w:rPr>
      </w:pPr>
      <w:r w:rsidRPr="00201A9A">
        <w:rPr>
          <w:noProof/>
        </w:rPr>
        <w:t>stanowiąc zgodnie ze zwykłą procedurą ustawodawczą,</w:t>
      </w:r>
    </w:p>
    <w:p w14:paraId="61EFA403" w14:textId="77777777" w:rsidR="00186A9E" w:rsidRPr="00201A9A" w:rsidRDefault="00186A9E">
      <w:pPr>
        <w:rPr>
          <w:noProof/>
        </w:rPr>
      </w:pPr>
      <w:r w:rsidRPr="00201A9A">
        <w:rPr>
          <w:noProof/>
        </w:rPr>
        <w:t>a także mając na uwadze, co następuje:</w:t>
      </w:r>
    </w:p>
    <w:p w14:paraId="4173E50D" w14:textId="1F79B0ED" w:rsidR="00C63D0B" w:rsidRPr="00201A9A" w:rsidRDefault="00875961" w:rsidP="00875961">
      <w:pPr>
        <w:pStyle w:val="ManualConsidrant"/>
        <w:rPr>
          <w:noProof/>
        </w:rPr>
      </w:pPr>
      <w:r w:rsidRPr="00875961">
        <w:rPr>
          <w:noProof/>
        </w:rPr>
        <w:t>(1)</w:t>
      </w:r>
      <w:r w:rsidRPr="00875961">
        <w:rPr>
          <w:noProof/>
        </w:rPr>
        <w:tab/>
      </w:r>
      <w:r w:rsidR="00C63D0B" w:rsidRPr="00201A9A">
        <w:rPr>
          <w:noProof/>
        </w:rPr>
        <w:t>Art. 174 Traktatu</w:t>
      </w:r>
      <w:r w:rsidR="00201A9A" w:rsidRPr="00201A9A">
        <w:rPr>
          <w:noProof/>
        </w:rPr>
        <w:t xml:space="preserve"> o fun</w:t>
      </w:r>
      <w:r w:rsidR="00C63D0B" w:rsidRPr="00201A9A">
        <w:rPr>
          <w:noProof/>
        </w:rPr>
        <w:t>kcjonowaniu Unii Europejskiej (TFUE) stanowi, że</w:t>
      </w:r>
      <w:r w:rsidR="00201A9A" w:rsidRPr="00201A9A">
        <w:rPr>
          <w:noProof/>
        </w:rPr>
        <w:t xml:space="preserve"> w cel</w:t>
      </w:r>
      <w:r w:rsidR="00C63D0B" w:rsidRPr="00201A9A">
        <w:rPr>
          <w:noProof/>
        </w:rPr>
        <w:t>u wspierania harmonijnego rozwoju całej Unii, ma ona rozwijać</w:t>
      </w:r>
      <w:r w:rsidR="00201A9A" w:rsidRPr="00201A9A">
        <w:rPr>
          <w:noProof/>
        </w:rPr>
        <w:t xml:space="preserve"> i pro</w:t>
      </w:r>
      <w:r w:rsidR="00C63D0B" w:rsidRPr="00201A9A">
        <w:rPr>
          <w:noProof/>
        </w:rPr>
        <w:t>wadzić działania służące zwiększeniu jej spójności gospodarczej, społecznej</w:t>
      </w:r>
      <w:r w:rsidR="00201A9A" w:rsidRPr="00201A9A">
        <w:rPr>
          <w:noProof/>
        </w:rPr>
        <w:t xml:space="preserve"> i ter</w:t>
      </w:r>
      <w:r w:rsidR="00C63D0B" w:rsidRPr="00201A9A">
        <w:rPr>
          <w:noProof/>
        </w:rPr>
        <w:t>ytorialnej. Artykuł ten stanowi ponadto, że Unia</w:t>
      </w:r>
      <w:r w:rsidR="00201A9A" w:rsidRPr="00201A9A">
        <w:rPr>
          <w:noProof/>
        </w:rPr>
        <w:t xml:space="preserve"> w szc</w:t>
      </w:r>
      <w:r w:rsidR="00C63D0B" w:rsidRPr="00201A9A">
        <w:rPr>
          <w:noProof/>
        </w:rPr>
        <w:t>zególności zmierza do zmniejszenia dysproporcji</w:t>
      </w:r>
      <w:r w:rsidR="00201A9A" w:rsidRPr="00201A9A">
        <w:rPr>
          <w:noProof/>
        </w:rPr>
        <w:t xml:space="preserve"> w poz</w:t>
      </w:r>
      <w:r w:rsidR="00C63D0B" w:rsidRPr="00201A9A">
        <w:rPr>
          <w:noProof/>
        </w:rPr>
        <w:t>iomach rozwoju różnych regionów oraz zacofania regionów najmniej uprzywilejowanych.</w:t>
      </w:r>
      <w:r w:rsidR="00201A9A" w:rsidRPr="00201A9A">
        <w:rPr>
          <w:noProof/>
        </w:rPr>
        <w:t xml:space="preserve"> </w:t>
      </w:r>
    </w:p>
    <w:p w14:paraId="1626F506" w14:textId="40CD4FC3" w:rsidR="0003368C" w:rsidRPr="00201A9A" w:rsidRDefault="00875961" w:rsidP="00875961">
      <w:pPr>
        <w:pStyle w:val="ManualConsidrant"/>
        <w:rPr>
          <w:noProof/>
        </w:rPr>
      </w:pPr>
      <w:r w:rsidRPr="00875961">
        <w:rPr>
          <w:noProof/>
        </w:rPr>
        <w:t>(2)</w:t>
      </w:r>
      <w:r w:rsidRPr="00875961">
        <w:rPr>
          <w:noProof/>
        </w:rPr>
        <w:tab/>
      </w:r>
      <w:r w:rsidR="0003368C" w:rsidRPr="00201A9A">
        <w:rPr>
          <w:noProof/>
        </w:rPr>
        <w:t>Art. 175 TFUE wymaga, aby państwa członkowskie koordynowały swoje polityki gospodarcze</w:t>
      </w:r>
      <w:r w:rsidR="00201A9A" w:rsidRPr="00201A9A">
        <w:rPr>
          <w:noProof/>
        </w:rPr>
        <w:t xml:space="preserve"> w tak</w:t>
      </w:r>
      <w:r w:rsidR="0003368C" w:rsidRPr="00201A9A">
        <w:rPr>
          <w:noProof/>
        </w:rPr>
        <w:t>i sposób, aby osiągnąć cele określone</w:t>
      </w:r>
      <w:r w:rsidR="00201A9A" w:rsidRPr="00201A9A">
        <w:rPr>
          <w:noProof/>
        </w:rPr>
        <w:t xml:space="preserve"> w art</w:t>
      </w:r>
      <w:r w:rsidR="0003368C" w:rsidRPr="00201A9A">
        <w:rPr>
          <w:noProof/>
        </w:rPr>
        <w:t>.</w:t>
      </w:r>
      <w:r w:rsidR="00201A9A" w:rsidRPr="00201A9A">
        <w:rPr>
          <w:noProof/>
        </w:rPr>
        <w:t> </w:t>
      </w:r>
      <w:r w:rsidR="0003368C" w:rsidRPr="00201A9A">
        <w:rPr>
          <w:noProof/>
        </w:rPr>
        <w:t>174 TFUE.</w:t>
      </w:r>
      <w:r w:rsidR="00201A9A" w:rsidRPr="00201A9A">
        <w:rPr>
          <w:noProof/>
        </w:rPr>
        <w:t xml:space="preserve"> </w:t>
      </w:r>
      <w:r w:rsidR="0003368C" w:rsidRPr="00201A9A">
        <w:rPr>
          <w:noProof/>
        </w:rPr>
        <w:t>Unia wspiera także osiąganie tych celów przez działania, które podejmuje za pośrednictwem funduszy strukturalnych,</w:t>
      </w:r>
      <w:r w:rsidR="00201A9A" w:rsidRPr="00201A9A">
        <w:rPr>
          <w:noProof/>
        </w:rPr>
        <w:t xml:space="preserve"> w tym</w:t>
      </w:r>
      <w:r w:rsidR="0003368C" w:rsidRPr="00201A9A">
        <w:rPr>
          <w:noProof/>
        </w:rPr>
        <w:t xml:space="preserve"> Europejskiego Funduszu Orientacji</w:t>
      </w:r>
      <w:r w:rsidR="00201A9A" w:rsidRPr="00201A9A">
        <w:rPr>
          <w:noProof/>
        </w:rPr>
        <w:t xml:space="preserve"> i Gwa</w:t>
      </w:r>
      <w:r w:rsidR="0003368C" w:rsidRPr="00201A9A">
        <w:rPr>
          <w:noProof/>
        </w:rPr>
        <w:t>rancji Rolnej – Sekcja Orientacji, Europejskiego Funduszu Społecznego</w:t>
      </w:r>
      <w:r w:rsidR="00201A9A" w:rsidRPr="00201A9A">
        <w:rPr>
          <w:noProof/>
        </w:rPr>
        <w:t xml:space="preserve"> i Eur</w:t>
      </w:r>
      <w:r w:rsidR="0003368C" w:rsidRPr="00201A9A">
        <w:rPr>
          <w:noProof/>
        </w:rPr>
        <w:t>opejskiego Funduszu Rozwoju Regionalnego</w:t>
      </w:r>
      <w:r w:rsidR="00201A9A" w:rsidRPr="00201A9A">
        <w:rPr>
          <w:noProof/>
        </w:rPr>
        <w:t>. W kom</w:t>
      </w:r>
      <w:r w:rsidR="0003368C" w:rsidRPr="00201A9A">
        <w:rPr>
          <w:noProof/>
        </w:rPr>
        <w:t>unikacie Komisji</w:t>
      </w:r>
      <w:r w:rsidR="00201A9A" w:rsidRPr="00201A9A">
        <w:rPr>
          <w:noProof/>
        </w:rPr>
        <w:t xml:space="preserve"> w spr</w:t>
      </w:r>
      <w:r w:rsidR="0003368C" w:rsidRPr="00201A9A">
        <w:rPr>
          <w:noProof/>
        </w:rPr>
        <w:t>awie drogi do kolejnych wieloletnich ram finansowych</w:t>
      </w:r>
      <w:r w:rsidR="0003368C" w:rsidRPr="00201A9A">
        <w:rPr>
          <w:noProof/>
          <w:vertAlign w:val="superscript"/>
        </w:rPr>
        <w:t>1</w:t>
      </w:r>
      <w:r w:rsidR="0003368C" w:rsidRPr="00201A9A">
        <w:rPr>
          <w:noProof/>
        </w:rPr>
        <w:t xml:space="preserve"> podkreślono, że skuteczność unijnego finansowania jest osłabiana przez rozdrobnienie struktury finansowej</w:t>
      </w:r>
      <w:r w:rsidR="00201A9A" w:rsidRPr="00201A9A">
        <w:rPr>
          <w:noProof/>
        </w:rPr>
        <w:t xml:space="preserve"> w poł</w:t>
      </w:r>
      <w:r w:rsidR="0003368C" w:rsidRPr="00201A9A">
        <w:rPr>
          <w:noProof/>
        </w:rPr>
        <w:t>ączeniu</w:t>
      </w:r>
      <w:r w:rsidR="00201A9A" w:rsidRPr="00201A9A">
        <w:rPr>
          <w:noProof/>
        </w:rPr>
        <w:t xml:space="preserve"> z jej</w:t>
      </w:r>
      <w:r w:rsidR="0003368C" w:rsidRPr="00201A9A">
        <w:rPr>
          <w:noProof/>
        </w:rPr>
        <w:t xml:space="preserve"> złożonością</w:t>
      </w:r>
      <w:r w:rsidR="00201A9A" w:rsidRPr="00201A9A">
        <w:rPr>
          <w:noProof/>
        </w:rPr>
        <w:t xml:space="preserve"> i szt</w:t>
      </w:r>
      <w:r w:rsidR="0003368C" w:rsidRPr="00201A9A">
        <w:rPr>
          <w:noProof/>
        </w:rPr>
        <w:t>ywnością, które zwiększają ryzyko powielania działań. Finansowanie celów polityki Unii jest rozproszone na pokrywające się programy,</w:t>
      </w:r>
      <w:r w:rsidR="00201A9A" w:rsidRPr="00201A9A">
        <w:rPr>
          <w:noProof/>
        </w:rPr>
        <w:t xml:space="preserve"> z któ</w:t>
      </w:r>
      <w:r w:rsidR="0003368C" w:rsidRPr="00201A9A">
        <w:rPr>
          <w:noProof/>
        </w:rPr>
        <w:t>rych każdy ma własny zbiór zasad. Elementy te powodują obciążenie administracyjne dla odbiorców</w:t>
      </w:r>
      <w:r w:rsidR="00201A9A" w:rsidRPr="00201A9A">
        <w:rPr>
          <w:noProof/>
        </w:rPr>
        <w:t xml:space="preserve"> i pań</w:t>
      </w:r>
      <w:r w:rsidR="0003368C" w:rsidRPr="00201A9A">
        <w:rPr>
          <w:noProof/>
        </w:rPr>
        <w:t>stw członkowskich oraz ograniczają elastyczność budżetu Unii.</w:t>
      </w:r>
    </w:p>
    <w:p w14:paraId="6F929DBA" w14:textId="5BE37A07" w:rsidR="00C63D0B" w:rsidRPr="00201A9A" w:rsidRDefault="00875961" w:rsidP="00875961">
      <w:pPr>
        <w:pStyle w:val="ManualConsidrant"/>
        <w:rPr>
          <w:noProof/>
        </w:rPr>
      </w:pPr>
      <w:r w:rsidRPr="00875961">
        <w:rPr>
          <w:noProof/>
        </w:rPr>
        <w:t>(3)</w:t>
      </w:r>
      <w:r w:rsidRPr="00875961">
        <w:rPr>
          <w:noProof/>
        </w:rPr>
        <w:tab/>
      </w:r>
      <w:r w:rsidR="00E91760" w:rsidRPr="00201A9A">
        <w:rPr>
          <w:noProof/>
        </w:rPr>
        <w:t>Art. 38</w:t>
      </w:r>
      <w:r w:rsidR="00201A9A" w:rsidRPr="00201A9A">
        <w:rPr>
          <w:noProof/>
        </w:rPr>
        <w:t xml:space="preserve"> i art</w:t>
      </w:r>
      <w:r w:rsidR="00E91760" w:rsidRPr="00201A9A">
        <w:rPr>
          <w:noProof/>
        </w:rPr>
        <w:t>.</w:t>
      </w:r>
      <w:r w:rsidR="00201A9A" w:rsidRPr="00201A9A">
        <w:rPr>
          <w:noProof/>
        </w:rPr>
        <w:t> </w:t>
      </w:r>
      <w:r w:rsidR="00E91760" w:rsidRPr="00201A9A">
        <w:rPr>
          <w:noProof/>
        </w:rPr>
        <w:t>43 ust.</w:t>
      </w:r>
      <w:r w:rsidR="00201A9A" w:rsidRPr="00201A9A">
        <w:rPr>
          <w:noProof/>
        </w:rPr>
        <w:t> </w:t>
      </w:r>
      <w:r w:rsidR="00E91760" w:rsidRPr="00201A9A">
        <w:rPr>
          <w:noProof/>
        </w:rPr>
        <w:t>2 TFUE stanowią, że Unia określa</w:t>
      </w:r>
      <w:r w:rsidR="00201A9A" w:rsidRPr="00201A9A">
        <w:rPr>
          <w:noProof/>
        </w:rPr>
        <w:t xml:space="preserve"> i rea</w:t>
      </w:r>
      <w:r w:rsidR="00E91760" w:rsidRPr="00201A9A">
        <w:rPr>
          <w:noProof/>
        </w:rPr>
        <w:t>lizuje wspólną politykę rolną (WPR)</w:t>
      </w:r>
      <w:r w:rsidR="00201A9A" w:rsidRPr="00201A9A">
        <w:rPr>
          <w:noProof/>
        </w:rPr>
        <w:t xml:space="preserve"> i wsp</w:t>
      </w:r>
      <w:r w:rsidR="00E91760" w:rsidRPr="00201A9A">
        <w:rPr>
          <w:noProof/>
        </w:rPr>
        <w:t>ólną politykę rybołówstwa (WPRyb)</w:t>
      </w:r>
      <w:r w:rsidR="00201A9A" w:rsidRPr="00201A9A">
        <w:rPr>
          <w:noProof/>
        </w:rPr>
        <w:t>. W art</w:t>
      </w:r>
      <w:r w:rsidR="00E91760" w:rsidRPr="00201A9A">
        <w:rPr>
          <w:noProof/>
        </w:rPr>
        <w:t>.</w:t>
      </w:r>
      <w:r w:rsidR="00201A9A" w:rsidRPr="00201A9A">
        <w:rPr>
          <w:noProof/>
        </w:rPr>
        <w:t> </w:t>
      </w:r>
      <w:r w:rsidR="00E91760" w:rsidRPr="00201A9A">
        <w:rPr>
          <w:noProof/>
        </w:rPr>
        <w:t>39 TFUE określono cele wspólnej polityki rolnej (WPR), które obejmują zwiększenie wydajności rolnictwa, zapewnienie odpowiedniego poziomu życia ludności wiejskiej, stabilizację rynków</w:t>
      </w:r>
      <w:r w:rsidR="00201A9A" w:rsidRPr="00201A9A">
        <w:rPr>
          <w:noProof/>
        </w:rPr>
        <w:t xml:space="preserve"> i zag</w:t>
      </w:r>
      <w:r w:rsidR="00E91760" w:rsidRPr="00201A9A">
        <w:rPr>
          <w:noProof/>
        </w:rPr>
        <w:t>warantowanie bezpieczeństwa dostaw oraz zapewnienie rozsądnych cen</w:t>
      </w:r>
      <w:r w:rsidR="00201A9A" w:rsidRPr="00201A9A">
        <w:rPr>
          <w:noProof/>
        </w:rPr>
        <w:t xml:space="preserve"> w dos</w:t>
      </w:r>
      <w:r w:rsidR="00E91760" w:rsidRPr="00201A9A">
        <w:rPr>
          <w:noProof/>
        </w:rPr>
        <w:t>tawach dla konsumentów</w:t>
      </w:r>
      <w:r w:rsidR="00201A9A" w:rsidRPr="00201A9A">
        <w:rPr>
          <w:noProof/>
        </w:rPr>
        <w:t>. W art</w:t>
      </w:r>
      <w:r w:rsidR="00E91760" w:rsidRPr="00201A9A">
        <w:rPr>
          <w:noProof/>
        </w:rPr>
        <w:t>.</w:t>
      </w:r>
      <w:r w:rsidR="00201A9A" w:rsidRPr="00201A9A">
        <w:rPr>
          <w:noProof/>
        </w:rPr>
        <w:t> </w:t>
      </w:r>
      <w:r w:rsidR="00E91760" w:rsidRPr="00201A9A">
        <w:rPr>
          <w:noProof/>
        </w:rPr>
        <w:t>42 TFUE umożliwiono Unii określenie zakresu,</w:t>
      </w:r>
      <w:r w:rsidR="00201A9A" w:rsidRPr="00201A9A">
        <w:rPr>
          <w:noProof/>
        </w:rPr>
        <w:t xml:space="preserve"> w jak</w:t>
      </w:r>
      <w:r w:rsidR="00E91760" w:rsidRPr="00201A9A">
        <w:rPr>
          <w:noProof/>
        </w:rPr>
        <w:t>im unijne zasady konkurencji</w:t>
      </w:r>
      <w:r w:rsidR="00201A9A" w:rsidRPr="00201A9A">
        <w:rPr>
          <w:noProof/>
        </w:rPr>
        <w:t xml:space="preserve"> i pom</w:t>
      </w:r>
      <w:r w:rsidR="00E91760" w:rsidRPr="00201A9A">
        <w:rPr>
          <w:noProof/>
        </w:rPr>
        <w:t>ocy państwa powinny mieć zastosowanie do produkcji rolnej</w:t>
      </w:r>
      <w:r w:rsidR="00201A9A" w:rsidRPr="00201A9A">
        <w:rPr>
          <w:noProof/>
        </w:rPr>
        <w:t xml:space="preserve"> i han</w:t>
      </w:r>
      <w:r w:rsidR="00E91760" w:rsidRPr="00201A9A">
        <w:rPr>
          <w:noProof/>
        </w:rPr>
        <w:t>dlu produktami rolnymi wymienionymi</w:t>
      </w:r>
      <w:r w:rsidR="00201A9A" w:rsidRPr="00201A9A">
        <w:rPr>
          <w:noProof/>
        </w:rPr>
        <w:t xml:space="preserve"> w zał</w:t>
      </w:r>
      <w:r w:rsidR="00E91760" w:rsidRPr="00201A9A">
        <w:rPr>
          <w:noProof/>
        </w:rPr>
        <w:t xml:space="preserve">ączniku I do TFUE. </w:t>
      </w:r>
    </w:p>
    <w:p w14:paraId="66B9CB66" w14:textId="03D9F6F3" w:rsidR="00C63D0B" w:rsidRPr="00201A9A" w:rsidRDefault="00875961" w:rsidP="00875961">
      <w:pPr>
        <w:pStyle w:val="ManualConsidrant"/>
        <w:rPr>
          <w:noProof/>
        </w:rPr>
      </w:pPr>
      <w:r w:rsidRPr="00875961">
        <w:rPr>
          <w:noProof/>
        </w:rPr>
        <w:t>(4)</w:t>
      </w:r>
      <w:r w:rsidRPr="00875961">
        <w:rPr>
          <w:noProof/>
        </w:rPr>
        <w:tab/>
      </w:r>
      <w:r w:rsidR="00C63D0B" w:rsidRPr="00201A9A">
        <w:rPr>
          <w:noProof/>
        </w:rPr>
        <w:t>W art.</w:t>
      </w:r>
      <w:r w:rsidR="00201A9A" w:rsidRPr="00201A9A">
        <w:rPr>
          <w:noProof/>
        </w:rPr>
        <w:t> </w:t>
      </w:r>
      <w:r w:rsidR="00C63D0B" w:rsidRPr="00201A9A">
        <w:rPr>
          <w:noProof/>
        </w:rPr>
        <w:t>162 TFUE podkreślono cele, które należy osiągnąć, aby poprawić możliwości zatrudnienia pracowników na rynku wewnętrznym</w:t>
      </w:r>
      <w:r w:rsidR="00201A9A" w:rsidRPr="00201A9A">
        <w:rPr>
          <w:noProof/>
        </w:rPr>
        <w:t xml:space="preserve"> i prz</w:t>
      </w:r>
      <w:r w:rsidR="00C63D0B" w:rsidRPr="00201A9A">
        <w:rPr>
          <w:noProof/>
        </w:rPr>
        <w:t>yczynić się do podniesienia poziomu życia. </w:t>
      </w:r>
    </w:p>
    <w:p w14:paraId="00BCF860" w14:textId="043F1A20" w:rsidR="00FA6640" w:rsidRPr="00201A9A" w:rsidRDefault="00875961" w:rsidP="00875961">
      <w:pPr>
        <w:pStyle w:val="ManualConsidrant"/>
        <w:rPr>
          <w:noProof/>
        </w:rPr>
      </w:pPr>
      <w:r w:rsidRPr="00875961">
        <w:rPr>
          <w:noProof/>
        </w:rPr>
        <w:t>(5)</w:t>
      </w:r>
      <w:r w:rsidRPr="00875961">
        <w:rPr>
          <w:noProof/>
        </w:rPr>
        <w:tab/>
      </w:r>
      <w:r w:rsidR="00FA6640" w:rsidRPr="00201A9A">
        <w:rPr>
          <w:noProof/>
        </w:rPr>
        <w:t>W art.</w:t>
      </w:r>
      <w:r w:rsidR="00201A9A" w:rsidRPr="00201A9A">
        <w:rPr>
          <w:noProof/>
        </w:rPr>
        <w:t> </w:t>
      </w:r>
      <w:r w:rsidR="00FA6640" w:rsidRPr="00201A9A">
        <w:rPr>
          <w:noProof/>
        </w:rPr>
        <w:t>152 TFUE uznano dialog społeczny za kluczowy element europejskiego modelu społecznego</w:t>
      </w:r>
      <w:r w:rsidR="00201A9A" w:rsidRPr="00201A9A">
        <w:rPr>
          <w:noProof/>
        </w:rPr>
        <w:t xml:space="preserve"> i wsp</w:t>
      </w:r>
      <w:r w:rsidR="00FA6640" w:rsidRPr="00201A9A">
        <w:rPr>
          <w:noProof/>
        </w:rPr>
        <w:t>ólny cel Unii</w:t>
      </w:r>
      <w:r w:rsidR="00201A9A" w:rsidRPr="00201A9A">
        <w:rPr>
          <w:noProof/>
        </w:rPr>
        <w:t xml:space="preserve"> i jej</w:t>
      </w:r>
      <w:r w:rsidR="00FA6640" w:rsidRPr="00201A9A">
        <w:rPr>
          <w:noProof/>
        </w:rPr>
        <w:t xml:space="preserve"> państw członkowskich.</w:t>
      </w:r>
      <w:r w:rsidR="00201A9A" w:rsidRPr="00201A9A">
        <w:rPr>
          <w:noProof/>
        </w:rPr>
        <w:t xml:space="preserve"> </w:t>
      </w:r>
    </w:p>
    <w:p w14:paraId="6C913910" w14:textId="7256BA89" w:rsidR="006E7CC8" w:rsidRPr="00201A9A" w:rsidRDefault="00875961" w:rsidP="00875961">
      <w:pPr>
        <w:pStyle w:val="ManualConsidrant"/>
        <w:rPr>
          <w:noProof/>
        </w:rPr>
      </w:pPr>
      <w:r w:rsidRPr="00875961">
        <w:rPr>
          <w:noProof/>
        </w:rPr>
        <w:t>(6)</w:t>
      </w:r>
      <w:r w:rsidRPr="00875961">
        <w:rPr>
          <w:noProof/>
        </w:rPr>
        <w:tab/>
      </w:r>
      <w:r w:rsidR="006E7CC8" w:rsidRPr="00201A9A">
        <w:rPr>
          <w:noProof/>
        </w:rPr>
        <w:t>W art.</w:t>
      </w:r>
      <w:r w:rsidR="00201A9A" w:rsidRPr="00201A9A">
        <w:rPr>
          <w:noProof/>
        </w:rPr>
        <w:t> </w:t>
      </w:r>
      <w:r w:rsidR="006E7CC8" w:rsidRPr="00201A9A">
        <w:rPr>
          <w:noProof/>
        </w:rPr>
        <w:t>9, 19</w:t>
      </w:r>
      <w:r w:rsidR="00201A9A" w:rsidRPr="00201A9A">
        <w:rPr>
          <w:noProof/>
        </w:rPr>
        <w:t xml:space="preserve"> i 1</w:t>
      </w:r>
      <w:r w:rsidR="006E7CC8" w:rsidRPr="00201A9A">
        <w:rPr>
          <w:noProof/>
        </w:rPr>
        <w:t>53 TFUE przewidziano kompleksowe ramy dotyczące włączenia społecznego,</w:t>
      </w:r>
      <w:r w:rsidR="00201A9A" w:rsidRPr="00201A9A">
        <w:rPr>
          <w:noProof/>
        </w:rPr>
        <w:t xml:space="preserve"> w tym</w:t>
      </w:r>
      <w:r w:rsidR="006E7CC8" w:rsidRPr="00201A9A">
        <w:rPr>
          <w:noProof/>
        </w:rPr>
        <w:t xml:space="preserve"> zwalczania ubóstwa</w:t>
      </w:r>
      <w:r w:rsidR="00201A9A" w:rsidRPr="00201A9A">
        <w:rPr>
          <w:noProof/>
        </w:rPr>
        <w:t xml:space="preserve"> i dys</w:t>
      </w:r>
      <w:r w:rsidR="006E7CC8" w:rsidRPr="00201A9A">
        <w:rPr>
          <w:noProof/>
        </w:rPr>
        <w:t>kryminacji, jako głównego celu Unii. Mają one na celu zapewnienie wszystkim obywatelom możliwości</w:t>
      </w:r>
      <w:r w:rsidR="00201A9A" w:rsidRPr="00201A9A">
        <w:rPr>
          <w:noProof/>
        </w:rPr>
        <w:t xml:space="preserve"> i zas</w:t>
      </w:r>
      <w:r w:rsidR="006E7CC8" w:rsidRPr="00201A9A">
        <w:rPr>
          <w:noProof/>
        </w:rPr>
        <w:t>obów umożliwiających pełne uczestnictwo</w:t>
      </w:r>
      <w:r w:rsidR="00201A9A" w:rsidRPr="00201A9A">
        <w:rPr>
          <w:noProof/>
        </w:rPr>
        <w:t xml:space="preserve"> w życ</w:t>
      </w:r>
      <w:r w:rsidR="006E7CC8" w:rsidRPr="00201A9A">
        <w:rPr>
          <w:noProof/>
        </w:rPr>
        <w:t>iu gospodarczym, społecznym</w:t>
      </w:r>
      <w:r w:rsidR="00201A9A" w:rsidRPr="00201A9A">
        <w:rPr>
          <w:noProof/>
        </w:rPr>
        <w:t xml:space="preserve"> i kul</w:t>
      </w:r>
      <w:r w:rsidR="006E7CC8" w:rsidRPr="00201A9A">
        <w:rPr>
          <w:noProof/>
        </w:rPr>
        <w:t>turalnym. Obejmują dostęp do rynku pracy, równy dostęp do obiektów, usług</w:t>
      </w:r>
      <w:r w:rsidR="00201A9A" w:rsidRPr="00201A9A">
        <w:rPr>
          <w:noProof/>
        </w:rPr>
        <w:t xml:space="preserve"> i świ</w:t>
      </w:r>
      <w:r w:rsidR="006E7CC8" w:rsidRPr="00201A9A">
        <w:rPr>
          <w:noProof/>
        </w:rPr>
        <w:t>adczeń, promowanie poziomu życia</w:t>
      </w:r>
      <w:r w:rsidR="00201A9A" w:rsidRPr="00201A9A">
        <w:rPr>
          <w:noProof/>
        </w:rPr>
        <w:t xml:space="preserve"> i dob</w:t>
      </w:r>
      <w:r w:rsidR="006E7CC8" w:rsidRPr="00201A9A">
        <w:rPr>
          <w:noProof/>
        </w:rPr>
        <w:t>rostanu zgodnie</w:t>
      </w:r>
      <w:r w:rsidR="00201A9A" w:rsidRPr="00201A9A">
        <w:rPr>
          <w:noProof/>
        </w:rPr>
        <w:t xml:space="preserve"> z war</w:t>
      </w:r>
      <w:r w:rsidR="006E7CC8" w:rsidRPr="00201A9A">
        <w:rPr>
          <w:noProof/>
        </w:rPr>
        <w:t xml:space="preserve">tościami UE. </w:t>
      </w:r>
    </w:p>
    <w:p w14:paraId="1A4711E1" w14:textId="163109EE" w:rsidR="00C63D0B" w:rsidRPr="00201A9A" w:rsidRDefault="00875961" w:rsidP="00875961">
      <w:pPr>
        <w:pStyle w:val="ManualConsidrant"/>
        <w:rPr>
          <w:noProof/>
        </w:rPr>
      </w:pPr>
      <w:r w:rsidRPr="00875961">
        <w:rPr>
          <w:noProof/>
        </w:rPr>
        <w:t>(7)</w:t>
      </w:r>
      <w:r w:rsidRPr="00875961">
        <w:rPr>
          <w:noProof/>
        </w:rPr>
        <w:tab/>
      </w:r>
      <w:r w:rsidR="00C63D0B" w:rsidRPr="00201A9A">
        <w:rPr>
          <w:noProof/>
        </w:rPr>
        <w:t>Unia musi osiągnąć swoje cele</w:t>
      </w:r>
      <w:r w:rsidR="00201A9A" w:rsidRPr="00201A9A">
        <w:rPr>
          <w:noProof/>
        </w:rPr>
        <w:t xml:space="preserve"> w tru</w:t>
      </w:r>
      <w:r w:rsidR="00C63D0B" w:rsidRPr="00201A9A">
        <w:rPr>
          <w:noProof/>
        </w:rPr>
        <w:t>dnych uwarunkowaniach gospodarczych, społecznych</w:t>
      </w:r>
      <w:r w:rsidR="00201A9A" w:rsidRPr="00201A9A">
        <w:rPr>
          <w:noProof/>
        </w:rPr>
        <w:t xml:space="preserve"> i dem</w:t>
      </w:r>
      <w:r w:rsidR="00C63D0B" w:rsidRPr="00201A9A">
        <w:rPr>
          <w:noProof/>
        </w:rPr>
        <w:t>ograficznych,</w:t>
      </w:r>
      <w:r w:rsidR="00201A9A" w:rsidRPr="00201A9A">
        <w:rPr>
          <w:noProof/>
        </w:rPr>
        <w:t xml:space="preserve"> w tym w kon</w:t>
      </w:r>
      <w:r w:rsidR="00C63D0B" w:rsidRPr="00201A9A">
        <w:rPr>
          <w:noProof/>
        </w:rPr>
        <w:t>tekście utrzymujących się dysproporcji regionalnych</w:t>
      </w:r>
      <w:r w:rsidR="00201A9A" w:rsidRPr="00201A9A">
        <w:rPr>
          <w:noProof/>
        </w:rPr>
        <w:t xml:space="preserve"> i ter</w:t>
      </w:r>
      <w:r w:rsidR="00C63D0B" w:rsidRPr="00201A9A">
        <w:rPr>
          <w:noProof/>
        </w:rPr>
        <w:t>ytorialnych, skutków zmiany klimatu</w:t>
      </w:r>
      <w:r w:rsidR="00201A9A" w:rsidRPr="00201A9A">
        <w:rPr>
          <w:noProof/>
        </w:rPr>
        <w:t xml:space="preserve"> i wyz</w:t>
      </w:r>
      <w:r w:rsidR="00C63D0B" w:rsidRPr="00201A9A">
        <w:rPr>
          <w:noProof/>
        </w:rPr>
        <w:t>wań związanych</w:t>
      </w:r>
      <w:r w:rsidR="00201A9A" w:rsidRPr="00201A9A">
        <w:rPr>
          <w:noProof/>
        </w:rPr>
        <w:t xml:space="preserve"> z bez</w:t>
      </w:r>
      <w:r w:rsidR="00C63D0B" w:rsidRPr="00201A9A">
        <w:rPr>
          <w:noProof/>
        </w:rPr>
        <w:t>pieczeństwem żywnościowym</w:t>
      </w:r>
      <w:r w:rsidR="00201A9A" w:rsidRPr="00201A9A">
        <w:rPr>
          <w:noProof/>
        </w:rPr>
        <w:t xml:space="preserve"> i och</w:t>
      </w:r>
      <w:r w:rsidR="00C63D0B" w:rsidRPr="00201A9A">
        <w:rPr>
          <w:noProof/>
        </w:rPr>
        <w:t>roną przyrody, niewystarczających</w:t>
      </w:r>
      <w:r w:rsidR="00201A9A" w:rsidRPr="00201A9A">
        <w:rPr>
          <w:noProof/>
        </w:rPr>
        <w:t xml:space="preserve"> i nie</w:t>
      </w:r>
      <w:r w:rsidR="00C63D0B" w:rsidRPr="00201A9A">
        <w:rPr>
          <w:noProof/>
        </w:rPr>
        <w:t>równomiernych postępów</w:t>
      </w:r>
      <w:r w:rsidR="00201A9A" w:rsidRPr="00201A9A">
        <w:rPr>
          <w:noProof/>
        </w:rPr>
        <w:t xml:space="preserve"> w tra</w:t>
      </w:r>
      <w:r w:rsidR="00C63D0B" w:rsidRPr="00201A9A">
        <w:rPr>
          <w:noProof/>
        </w:rPr>
        <w:t>nsformacji cyfrowej, niweczących wysiłki na rzecz wzmocnienia suwerenności cyfrowej Unii, jak również poważnych skutków gospodarczych. Dochodzi to tego niełatwa sytuacja geopolityczna</w:t>
      </w:r>
      <w:r w:rsidR="00201A9A" w:rsidRPr="00201A9A">
        <w:rPr>
          <w:noProof/>
        </w:rPr>
        <w:t xml:space="preserve"> i geo</w:t>
      </w:r>
      <w:r w:rsidR="00C63D0B" w:rsidRPr="00201A9A">
        <w:rPr>
          <w:noProof/>
        </w:rPr>
        <w:t>ekonomiczna, która ma wpływ na unijną politykę obronną, politykę bezpieczeństwa (w tym bezpieczeństwo gospodarcze)</w:t>
      </w:r>
      <w:r w:rsidR="00201A9A" w:rsidRPr="00201A9A">
        <w:rPr>
          <w:noProof/>
        </w:rPr>
        <w:t xml:space="preserve"> i pol</w:t>
      </w:r>
      <w:r w:rsidR="00C63D0B" w:rsidRPr="00201A9A">
        <w:rPr>
          <w:noProof/>
        </w:rPr>
        <w:t>itykę migracyjną. Skuteczne sprostanie tym wyzwaniom wymaga bardziej ukierunkowanego, prostego</w:t>
      </w:r>
      <w:r w:rsidR="00201A9A" w:rsidRPr="00201A9A">
        <w:rPr>
          <w:noProof/>
        </w:rPr>
        <w:t xml:space="preserve"> i sku</w:t>
      </w:r>
      <w:r w:rsidR="00C63D0B" w:rsidRPr="00201A9A">
        <w:rPr>
          <w:noProof/>
        </w:rPr>
        <w:t>tecznego budżetu Unii, aby zapewnić unijną wartość dodaną</w:t>
      </w:r>
      <w:r w:rsidR="00201A9A" w:rsidRPr="00201A9A">
        <w:rPr>
          <w:noProof/>
        </w:rPr>
        <w:t xml:space="preserve"> i wyr</w:t>
      </w:r>
      <w:r w:rsidR="00C63D0B" w:rsidRPr="00201A9A">
        <w:rPr>
          <w:noProof/>
        </w:rPr>
        <w:t>aźne dostosowanie unijnego wsparcia finansowego do priorytetów polityki Unii we wszystkich obszarach polityki</w:t>
      </w:r>
      <w:r w:rsidR="00201A9A" w:rsidRPr="00201A9A">
        <w:rPr>
          <w:noProof/>
        </w:rPr>
        <w:t xml:space="preserve"> i try</w:t>
      </w:r>
      <w:r w:rsidR="00C63D0B" w:rsidRPr="00201A9A">
        <w:rPr>
          <w:noProof/>
        </w:rPr>
        <w:t>bach zarządzania oraz aby [dalszymi wysiłkami] uprościć przepisy dotyczące unijnego wsparcia finansowego.</w:t>
      </w:r>
    </w:p>
    <w:p w14:paraId="33859585" w14:textId="39F20EDD" w:rsidR="00CA0916" w:rsidRPr="00201A9A" w:rsidRDefault="00875961" w:rsidP="00875961">
      <w:pPr>
        <w:pStyle w:val="ManualConsidrant"/>
        <w:rPr>
          <w:noProof/>
        </w:rPr>
      </w:pPr>
      <w:r w:rsidRPr="00875961">
        <w:rPr>
          <w:noProof/>
        </w:rPr>
        <w:t>(8)</w:t>
      </w:r>
      <w:r w:rsidRPr="00875961">
        <w:rPr>
          <w:noProof/>
        </w:rPr>
        <w:tab/>
      </w:r>
      <w:r w:rsidR="00CA0916" w:rsidRPr="00201A9A">
        <w:rPr>
          <w:noProof/>
        </w:rPr>
        <w:t>Rozporządzenie powinno określać zasady dotyczące zadań, celów priorytetowych</w:t>
      </w:r>
      <w:r w:rsidR="00201A9A" w:rsidRPr="00201A9A">
        <w:rPr>
          <w:noProof/>
        </w:rPr>
        <w:t xml:space="preserve"> i org</w:t>
      </w:r>
      <w:r w:rsidR="00CA0916" w:rsidRPr="00201A9A">
        <w:rPr>
          <w:noProof/>
        </w:rPr>
        <w:t>anizacji Funduszu. Aby dalej rozwijać skoordynowane</w:t>
      </w:r>
      <w:r w:rsidR="00201A9A" w:rsidRPr="00201A9A">
        <w:rPr>
          <w:noProof/>
        </w:rPr>
        <w:t xml:space="preserve"> i zha</w:t>
      </w:r>
      <w:r w:rsidR="00CA0916" w:rsidRPr="00201A9A">
        <w:rPr>
          <w:noProof/>
        </w:rPr>
        <w:t>rmonizowane wsparcie Unii wdrażane</w:t>
      </w:r>
      <w:r w:rsidR="00201A9A" w:rsidRPr="00201A9A">
        <w:rPr>
          <w:noProof/>
        </w:rPr>
        <w:t xml:space="preserve"> w ram</w:t>
      </w:r>
      <w:r w:rsidR="00CA0916" w:rsidRPr="00201A9A">
        <w:rPr>
          <w:noProof/>
        </w:rPr>
        <w:t>ach zarządzania dzielonego,</w:t>
      </w:r>
      <w:r w:rsidR="00201A9A" w:rsidRPr="00201A9A">
        <w:rPr>
          <w:noProof/>
        </w:rPr>
        <w:t xml:space="preserve"> a mia</w:t>
      </w:r>
      <w:r w:rsidR="00CA0916" w:rsidRPr="00201A9A">
        <w:rPr>
          <w:noProof/>
        </w:rPr>
        <w:t>nowicie Europejskiego Funduszu Rozwoju Regionalnego (EFRR), Europejskiego Funduszu Społecznego (EFS)</w:t>
      </w:r>
      <w:r w:rsidR="00201A9A" w:rsidRPr="00201A9A">
        <w:rPr>
          <w:noProof/>
        </w:rPr>
        <w:t xml:space="preserve"> i Fun</w:t>
      </w:r>
      <w:r w:rsidR="00CA0916" w:rsidRPr="00201A9A">
        <w:rPr>
          <w:noProof/>
        </w:rPr>
        <w:t>duszu Spójności, środków finansowanych</w:t>
      </w:r>
      <w:r w:rsidR="00201A9A" w:rsidRPr="00201A9A">
        <w:rPr>
          <w:noProof/>
        </w:rPr>
        <w:t xml:space="preserve"> w ram</w:t>
      </w:r>
      <w:r w:rsidR="00CA0916" w:rsidRPr="00201A9A">
        <w:rPr>
          <w:noProof/>
        </w:rPr>
        <w:t>ach zarządzania dzielonego</w:t>
      </w:r>
      <w:r w:rsidR="00201A9A" w:rsidRPr="00201A9A">
        <w:rPr>
          <w:noProof/>
        </w:rPr>
        <w:t xml:space="preserve"> w ram</w:t>
      </w:r>
      <w:r w:rsidR="00CA0916" w:rsidRPr="00201A9A">
        <w:rPr>
          <w:noProof/>
        </w:rPr>
        <w:t>ach wspólnej polityki rolnej</w:t>
      </w:r>
      <w:r w:rsidR="00201A9A" w:rsidRPr="00201A9A">
        <w:rPr>
          <w:noProof/>
        </w:rPr>
        <w:t xml:space="preserve"> i ryb</w:t>
      </w:r>
      <w:r w:rsidR="00CA0916" w:rsidRPr="00201A9A">
        <w:rPr>
          <w:noProof/>
        </w:rPr>
        <w:t>ołówstwa oraz wsparcia na podstawie części III tytuł V TFUE, należy również ustanowić przepisy horyzontalne na podstawie art.</w:t>
      </w:r>
      <w:r w:rsidR="00201A9A" w:rsidRPr="00201A9A">
        <w:rPr>
          <w:noProof/>
        </w:rPr>
        <w:t> </w:t>
      </w:r>
      <w:r w:rsidR="00CA0916" w:rsidRPr="00201A9A">
        <w:rPr>
          <w:noProof/>
        </w:rPr>
        <w:t>322 TFUE. Przepisy sektorowe mogą określać szczególne warunki</w:t>
      </w:r>
      <w:r w:rsidR="00201A9A" w:rsidRPr="00201A9A">
        <w:rPr>
          <w:noProof/>
        </w:rPr>
        <w:t xml:space="preserve"> w cel</w:t>
      </w:r>
      <w:r w:rsidR="00CA0916" w:rsidRPr="00201A9A">
        <w:rPr>
          <w:noProof/>
        </w:rPr>
        <w:t>u uzupełnienia rozporządzenia. Warunki te nie powinny być sprzeczne</w:t>
      </w:r>
      <w:r w:rsidR="00201A9A" w:rsidRPr="00201A9A">
        <w:rPr>
          <w:noProof/>
        </w:rPr>
        <w:t xml:space="preserve"> z roz</w:t>
      </w:r>
      <w:r w:rsidR="00CA0916" w:rsidRPr="00201A9A">
        <w:rPr>
          <w:noProof/>
        </w:rPr>
        <w:t>porządzeniem</w:t>
      </w:r>
      <w:r w:rsidR="00201A9A" w:rsidRPr="00201A9A">
        <w:rPr>
          <w:noProof/>
        </w:rPr>
        <w:t>. W prz</w:t>
      </w:r>
      <w:r w:rsidR="00CA0916" w:rsidRPr="00201A9A">
        <w:rPr>
          <w:noProof/>
        </w:rPr>
        <w:t>ypadku wątpliwości pierwszeństwo ma rozporządzenie.</w:t>
      </w:r>
    </w:p>
    <w:p w14:paraId="26C5CC4F" w14:textId="4416CE38" w:rsidR="00C63D0B" w:rsidRPr="00201A9A" w:rsidRDefault="00875961" w:rsidP="00875961">
      <w:pPr>
        <w:pStyle w:val="ManualConsidrant"/>
        <w:rPr>
          <w:noProof/>
        </w:rPr>
      </w:pPr>
      <w:r w:rsidRPr="00875961">
        <w:rPr>
          <w:noProof/>
        </w:rPr>
        <w:t>(9)</w:t>
      </w:r>
      <w:r w:rsidRPr="00875961">
        <w:rPr>
          <w:noProof/>
        </w:rPr>
        <w:tab/>
      </w:r>
      <w:r w:rsidR="00C63D0B" w:rsidRPr="00201A9A">
        <w:rPr>
          <w:noProof/>
        </w:rPr>
        <w:t>Budżet Unii, wykonywany wspólnie</w:t>
      </w:r>
      <w:r w:rsidR="00201A9A" w:rsidRPr="00201A9A">
        <w:rPr>
          <w:noProof/>
        </w:rPr>
        <w:t xml:space="preserve"> z pań</w:t>
      </w:r>
      <w:r w:rsidR="00C63D0B" w:rsidRPr="00201A9A">
        <w:rPr>
          <w:noProof/>
        </w:rPr>
        <w:t>stwami członkowskimi, powinien</w:t>
      </w:r>
      <w:r w:rsidR="00201A9A" w:rsidRPr="00201A9A">
        <w:rPr>
          <w:noProof/>
        </w:rPr>
        <w:t xml:space="preserve"> w szc</w:t>
      </w:r>
      <w:r w:rsidR="00C63D0B" w:rsidRPr="00201A9A">
        <w:rPr>
          <w:noProof/>
        </w:rPr>
        <w:t>zególności zasilać wzmocnioną, zmodernizowaną politykę spójności</w:t>
      </w:r>
      <w:r w:rsidR="00201A9A" w:rsidRPr="00201A9A">
        <w:rPr>
          <w:noProof/>
        </w:rPr>
        <w:t xml:space="preserve"> i wzr</w:t>
      </w:r>
      <w:r w:rsidR="00C63D0B" w:rsidRPr="00201A9A">
        <w:rPr>
          <w:noProof/>
        </w:rPr>
        <w:t>ostu sprzyjającego włączeniu społecznemu, przyczyniając się do zmniejszenia dysproporcji regionalnych</w:t>
      </w:r>
      <w:r w:rsidR="00201A9A" w:rsidRPr="00201A9A">
        <w:rPr>
          <w:noProof/>
        </w:rPr>
        <w:t xml:space="preserve"> w cał</w:t>
      </w:r>
      <w:r w:rsidR="00C63D0B" w:rsidRPr="00201A9A">
        <w:rPr>
          <w:noProof/>
        </w:rPr>
        <w:t>ej Unii, wspierając zrównoważony rozwój</w:t>
      </w:r>
      <w:r w:rsidR="00201A9A" w:rsidRPr="00201A9A">
        <w:rPr>
          <w:noProof/>
        </w:rPr>
        <w:t xml:space="preserve"> i kon</w:t>
      </w:r>
      <w:r w:rsidR="00C63D0B" w:rsidRPr="00201A9A">
        <w:rPr>
          <w:noProof/>
        </w:rPr>
        <w:t>kurencyjność Unii, jej suwerenność technologiczną, transformację cyfrową</w:t>
      </w:r>
      <w:r w:rsidR="00201A9A" w:rsidRPr="00201A9A">
        <w:rPr>
          <w:noProof/>
        </w:rPr>
        <w:t xml:space="preserve"> i bez</w:t>
      </w:r>
      <w:r w:rsidR="00C63D0B" w:rsidRPr="00201A9A">
        <w:rPr>
          <w:noProof/>
        </w:rPr>
        <w:t>pieczeństwo. Polityka tę należy rozwijać we współpracy</w:t>
      </w:r>
      <w:r w:rsidR="00201A9A" w:rsidRPr="00201A9A">
        <w:rPr>
          <w:noProof/>
        </w:rPr>
        <w:t xml:space="preserve"> z wła</w:t>
      </w:r>
      <w:r w:rsidR="00C63D0B" w:rsidRPr="00201A9A">
        <w:rPr>
          <w:noProof/>
        </w:rPr>
        <w:t>dzami krajowymi, regionalnymi</w:t>
      </w:r>
      <w:r w:rsidR="00201A9A" w:rsidRPr="00201A9A">
        <w:rPr>
          <w:noProof/>
        </w:rPr>
        <w:t xml:space="preserve"> i lok</w:t>
      </w:r>
      <w:r w:rsidR="00C63D0B" w:rsidRPr="00201A9A">
        <w:rPr>
          <w:noProof/>
        </w:rPr>
        <w:t>alnymi. oraz powinna ona zwiększać odporność</w:t>
      </w:r>
      <w:r w:rsidR="00201A9A" w:rsidRPr="00201A9A">
        <w:rPr>
          <w:noProof/>
        </w:rPr>
        <w:t xml:space="preserve"> i got</w:t>
      </w:r>
      <w:r w:rsidR="00C63D0B" w:rsidRPr="00201A9A">
        <w:rPr>
          <w:noProof/>
        </w:rPr>
        <w:t>owość</w:t>
      </w:r>
      <w:r w:rsidR="00201A9A" w:rsidRPr="00201A9A">
        <w:rPr>
          <w:noProof/>
        </w:rPr>
        <w:t xml:space="preserve"> w zak</w:t>
      </w:r>
      <w:r w:rsidR="00C63D0B" w:rsidRPr="00201A9A">
        <w:rPr>
          <w:noProof/>
        </w:rPr>
        <w:t>resie klimatu</w:t>
      </w:r>
      <w:r w:rsidR="00201A9A" w:rsidRPr="00201A9A">
        <w:rPr>
          <w:noProof/>
        </w:rPr>
        <w:t xml:space="preserve"> i wod</w:t>
      </w:r>
      <w:r w:rsidR="00C63D0B" w:rsidRPr="00201A9A">
        <w:rPr>
          <w:noProof/>
        </w:rPr>
        <w:t>y, mając na uwadze nadrzędny cel działań Unii polegający na przygotowaniu się na rosnące ryzyko klimatyczne. Budżet Unii powinien nadal wspierać prostszą</w:t>
      </w:r>
      <w:r w:rsidR="00201A9A" w:rsidRPr="00201A9A">
        <w:rPr>
          <w:noProof/>
        </w:rPr>
        <w:t xml:space="preserve"> i uki</w:t>
      </w:r>
      <w:r w:rsidR="00C63D0B" w:rsidRPr="00201A9A">
        <w:rPr>
          <w:noProof/>
        </w:rPr>
        <w:t>erunkowaną WPR zapewniającą odpowiednią równowagę między zachętami, inwestycjami</w:t>
      </w:r>
      <w:r w:rsidR="00201A9A" w:rsidRPr="00201A9A">
        <w:rPr>
          <w:noProof/>
        </w:rPr>
        <w:t xml:space="preserve"> i reg</w:t>
      </w:r>
      <w:r w:rsidR="00C63D0B" w:rsidRPr="00201A9A">
        <w:rPr>
          <w:noProof/>
        </w:rPr>
        <w:t>ulacjami oraz gwarantującą rolnikom sprawiedliwe</w:t>
      </w:r>
      <w:r w:rsidR="00201A9A" w:rsidRPr="00201A9A">
        <w:rPr>
          <w:noProof/>
        </w:rPr>
        <w:t xml:space="preserve"> i wys</w:t>
      </w:r>
      <w:r w:rsidR="00C63D0B" w:rsidRPr="00201A9A">
        <w:rPr>
          <w:noProof/>
        </w:rPr>
        <w:t>tarczające dochody atrakcyjne dla młodych rolników. Budżet Unii powinien zapewniać przewidywalność niezbędną dla wspólnej polityki zapewniającej wsparcie dochodów.</w:t>
      </w:r>
    </w:p>
    <w:p w14:paraId="0D3BC6FF" w14:textId="52F9614E" w:rsidR="006030C9" w:rsidRPr="00201A9A" w:rsidRDefault="00875961" w:rsidP="00875961">
      <w:pPr>
        <w:pStyle w:val="ManualConsidrant"/>
        <w:rPr>
          <w:noProof/>
        </w:rPr>
      </w:pPr>
      <w:r w:rsidRPr="00875961">
        <w:rPr>
          <w:noProof/>
        </w:rPr>
        <w:t>(10)</w:t>
      </w:r>
      <w:r w:rsidRPr="00875961">
        <w:rPr>
          <w:noProof/>
        </w:rPr>
        <w:tab/>
      </w:r>
      <w:r w:rsidR="008A3C8A" w:rsidRPr="00201A9A">
        <w:rPr>
          <w:noProof/>
        </w:rPr>
        <w:t>W tym kontekście kluczowe znaczenie ma kontynuacja wysiłków</w:t>
      </w:r>
      <w:r w:rsidR="00201A9A" w:rsidRPr="00201A9A">
        <w:rPr>
          <w:noProof/>
        </w:rPr>
        <w:t xml:space="preserve"> w cel</w:t>
      </w:r>
      <w:r w:rsidR="008A3C8A" w:rsidRPr="00201A9A">
        <w:rPr>
          <w:noProof/>
        </w:rPr>
        <w:t>u uproszczenia przepisów</w:t>
      </w:r>
      <w:r w:rsidR="00201A9A" w:rsidRPr="00201A9A">
        <w:rPr>
          <w:noProof/>
        </w:rPr>
        <w:t xml:space="preserve"> i pop</w:t>
      </w:r>
      <w:r w:rsidR="008A3C8A" w:rsidRPr="00201A9A">
        <w:rPr>
          <w:noProof/>
        </w:rPr>
        <w:t>rawy obecnych modeli realizacji, aby zmaksymalizować skuteczność</w:t>
      </w:r>
      <w:r w:rsidR="00201A9A" w:rsidRPr="00201A9A">
        <w:rPr>
          <w:noProof/>
        </w:rPr>
        <w:t xml:space="preserve"> i zdo</w:t>
      </w:r>
      <w:r w:rsidR="008A3C8A" w:rsidRPr="00201A9A">
        <w:rPr>
          <w:noProof/>
        </w:rPr>
        <w:t>lność reagowania wydatków Unii oraz doprowadzić do uproszczenia dla państw członkowskich, władz regionalnych</w:t>
      </w:r>
      <w:r w:rsidR="00201A9A" w:rsidRPr="00201A9A">
        <w:rPr>
          <w:noProof/>
        </w:rPr>
        <w:t xml:space="preserve"> i lok</w:t>
      </w:r>
      <w:r w:rsidR="008A3C8A" w:rsidRPr="00201A9A">
        <w:rPr>
          <w:noProof/>
        </w:rPr>
        <w:t>alnych oraz beneficjentów</w:t>
      </w:r>
      <w:r w:rsidR="00201A9A" w:rsidRPr="00201A9A">
        <w:rPr>
          <w:noProof/>
        </w:rPr>
        <w:t>. W śro</w:t>
      </w:r>
      <w:r w:rsidR="008A3C8A" w:rsidRPr="00201A9A">
        <w:rPr>
          <w:noProof/>
        </w:rPr>
        <w:t>dkach przeznaczonych dla państw członkowskich należy zatem położyć większy nacisk na rezultaty, uproszczenie</w:t>
      </w:r>
      <w:r w:rsidR="00201A9A" w:rsidRPr="00201A9A">
        <w:rPr>
          <w:noProof/>
        </w:rPr>
        <w:t xml:space="preserve"> i mak</w:t>
      </w:r>
      <w:r w:rsidR="008A3C8A" w:rsidRPr="00201A9A">
        <w:rPr>
          <w:noProof/>
        </w:rPr>
        <w:t>symalizację inwestycji publicznych</w:t>
      </w:r>
      <w:r w:rsidR="00201A9A" w:rsidRPr="00201A9A">
        <w:rPr>
          <w:noProof/>
        </w:rPr>
        <w:t xml:space="preserve"> o wys</w:t>
      </w:r>
      <w:r w:rsidR="008A3C8A" w:rsidRPr="00201A9A">
        <w:rPr>
          <w:noProof/>
        </w:rPr>
        <w:t>okiej unijnej wartości dodanej,</w:t>
      </w:r>
      <w:r w:rsidR="00201A9A" w:rsidRPr="00201A9A">
        <w:rPr>
          <w:noProof/>
        </w:rPr>
        <w:t xml:space="preserve"> w tym</w:t>
      </w:r>
      <w:r w:rsidR="008A3C8A" w:rsidRPr="00201A9A">
        <w:rPr>
          <w:noProof/>
        </w:rPr>
        <w:t xml:space="preserve"> strategiczne wykorzystanie zamówień publicznych do promowania kluczowych celów polityki oraz pozyskiwanie kapitału prywatnego</w:t>
      </w:r>
      <w:r w:rsidR="00201A9A" w:rsidRPr="00201A9A">
        <w:rPr>
          <w:noProof/>
        </w:rPr>
        <w:t>. W zwi</w:t>
      </w:r>
      <w:r w:rsidR="008A3C8A" w:rsidRPr="00201A9A">
        <w:rPr>
          <w:noProof/>
        </w:rPr>
        <w:t>ązku</w:t>
      </w:r>
      <w:r w:rsidR="00201A9A" w:rsidRPr="00201A9A">
        <w:rPr>
          <w:noProof/>
        </w:rPr>
        <w:t xml:space="preserve"> z tym</w:t>
      </w:r>
      <w:r w:rsidR="008A3C8A" w:rsidRPr="00201A9A">
        <w:rPr>
          <w:noProof/>
        </w:rPr>
        <w:t xml:space="preserve"> Unia powinna określić cele</w:t>
      </w:r>
      <w:r w:rsidR="00201A9A" w:rsidRPr="00201A9A">
        <w:rPr>
          <w:noProof/>
        </w:rPr>
        <w:t xml:space="preserve"> i rod</w:t>
      </w:r>
      <w:r w:rsidR="008A3C8A" w:rsidRPr="00201A9A">
        <w:rPr>
          <w:noProof/>
        </w:rPr>
        <w:t>zaje interwencji,</w:t>
      </w:r>
      <w:r w:rsidR="00201A9A" w:rsidRPr="00201A9A">
        <w:rPr>
          <w:noProof/>
        </w:rPr>
        <w:t xml:space="preserve"> a pań</w:t>
      </w:r>
      <w:r w:rsidR="008A3C8A" w:rsidRPr="00201A9A">
        <w:rPr>
          <w:noProof/>
        </w:rPr>
        <w:t>stwa członkowskie powinny ponosić większą odpowiedzialność</w:t>
      </w:r>
      <w:r w:rsidR="00201A9A" w:rsidRPr="00201A9A">
        <w:rPr>
          <w:noProof/>
        </w:rPr>
        <w:t xml:space="preserve"> i odp</w:t>
      </w:r>
      <w:r w:rsidR="008A3C8A" w:rsidRPr="00201A9A">
        <w:rPr>
          <w:noProof/>
        </w:rPr>
        <w:t>owiedzialność za osiągnięcie tych celów</w:t>
      </w:r>
      <w:r w:rsidR="00201A9A" w:rsidRPr="00201A9A">
        <w:rPr>
          <w:noProof/>
        </w:rPr>
        <w:t>. W zwi</w:t>
      </w:r>
      <w:r w:rsidR="008A3C8A" w:rsidRPr="00201A9A">
        <w:rPr>
          <w:noProof/>
        </w:rPr>
        <w:t>ązku</w:t>
      </w:r>
      <w:r w:rsidR="00201A9A" w:rsidRPr="00201A9A">
        <w:rPr>
          <w:noProof/>
        </w:rPr>
        <w:t xml:space="preserve"> z tym</w:t>
      </w:r>
      <w:r w:rsidR="008A3C8A" w:rsidRPr="00201A9A">
        <w:rPr>
          <w:noProof/>
        </w:rPr>
        <w:t xml:space="preserve"> konieczne jest zapewnienie większej pomocniczości</w:t>
      </w:r>
      <w:r w:rsidR="00201A9A" w:rsidRPr="00201A9A">
        <w:rPr>
          <w:noProof/>
        </w:rPr>
        <w:t xml:space="preserve"> i ela</w:t>
      </w:r>
      <w:r w:rsidR="008A3C8A" w:rsidRPr="00201A9A">
        <w:rPr>
          <w:noProof/>
        </w:rPr>
        <w:t>styczności, aby</w:t>
      </w:r>
      <w:r w:rsidR="00201A9A" w:rsidRPr="00201A9A">
        <w:rPr>
          <w:noProof/>
        </w:rPr>
        <w:t xml:space="preserve"> w lep</w:t>
      </w:r>
      <w:r w:rsidR="008A3C8A" w:rsidRPr="00201A9A">
        <w:rPr>
          <w:noProof/>
        </w:rPr>
        <w:t>iej uwzględniać lokalne</w:t>
      </w:r>
      <w:r w:rsidR="00201A9A" w:rsidRPr="00201A9A">
        <w:rPr>
          <w:noProof/>
        </w:rPr>
        <w:t xml:space="preserve"> i reg</w:t>
      </w:r>
      <w:r w:rsidR="008A3C8A" w:rsidRPr="00201A9A">
        <w:rPr>
          <w:noProof/>
        </w:rPr>
        <w:t xml:space="preserve">ionalne uwarunkowania oraz potrzeby. </w:t>
      </w:r>
    </w:p>
    <w:p w14:paraId="494DE560" w14:textId="3D286D64" w:rsidR="00C63D0B" w:rsidRPr="00201A9A" w:rsidRDefault="00875961" w:rsidP="00875961">
      <w:pPr>
        <w:pStyle w:val="ManualConsidrant"/>
        <w:rPr>
          <w:noProof/>
        </w:rPr>
      </w:pPr>
      <w:r w:rsidRPr="00875961">
        <w:rPr>
          <w:noProof/>
        </w:rPr>
        <w:t>(11)</w:t>
      </w:r>
      <w:r w:rsidRPr="00875961">
        <w:rPr>
          <w:noProof/>
        </w:rPr>
        <w:tab/>
      </w:r>
      <w:r w:rsidR="00443D4C" w:rsidRPr="00201A9A">
        <w:rPr>
          <w:noProof/>
        </w:rPr>
        <w:t>Zgodnie</w:t>
      </w:r>
      <w:r w:rsidR="00201A9A" w:rsidRPr="00201A9A">
        <w:rPr>
          <w:noProof/>
        </w:rPr>
        <w:t xml:space="preserve"> z art</w:t>
      </w:r>
      <w:r w:rsidR="00443D4C" w:rsidRPr="00201A9A">
        <w:rPr>
          <w:noProof/>
        </w:rPr>
        <w:t>.</w:t>
      </w:r>
      <w:r w:rsidR="00201A9A" w:rsidRPr="00201A9A">
        <w:rPr>
          <w:noProof/>
        </w:rPr>
        <w:t> </w:t>
      </w:r>
      <w:r w:rsidR="00443D4C" w:rsidRPr="00201A9A">
        <w:rPr>
          <w:noProof/>
        </w:rPr>
        <w:t>177 TFUE Parlament Europejski</w:t>
      </w:r>
      <w:r w:rsidR="00201A9A" w:rsidRPr="00201A9A">
        <w:rPr>
          <w:noProof/>
        </w:rPr>
        <w:t xml:space="preserve"> i Rad</w:t>
      </w:r>
      <w:r w:rsidR="00443D4C" w:rsidRPr="00201A9A">
        <w:rPr>
          <w:noProof/>
        </w:rPr>
        <w:t>a określają</w:t>
      </w:r>
      <w:r w:rsidR="00201A9A" w:rsidRPr="00201A9A">
        <w:rPr>
          <w:noProof/>
        </w:rPr>
        <w:t xml:space="preserve"> w dro</w:t>
      </w:r>
      <w:r w:rsidR="00443D4C" w:rsidRPr="00201A9A">
        <w:rPr>
          <w:noProof/>
        </w:rPr>
        <w:t>dze rozporządzeń zadania, cele priorytetowe oraz organizację funduszy strukturalnych, co może obejmować grupowanie funduszy. Aby zapewnić bardziej skoordynowane, zharmonizowane</w:t>
      </w:r>
      <w:r w:rsidR="00201A9A" w:rsidRPr="00201A9A">
        <w:rPr>
          <w:noProof/>
        </w:rPr>
        <w:t xml:space="preserve"> i sku</w:t>
      </w:r>
      <w:r w:rsidR="00443D4C" w:rsidRPr="00201A9A">
        <w:rPr>
          <w:noProof/>
        </w:rPr>
        <w:t>teczne wdrażanie funduszy unijnych,</w:t>
      </w:r>
      <w:r w:rsidR="00201A9A" w:rsidRPr="00201A9A">
        <w:rPr>
          <w:noProof/>
        </w:rPr>
        <w:t xml:space="preserve"> w nin</w:t>
      </w:r>
      <w:r w:rsidR="00443D4C" w:rsidRPr="00201A9A">
        <w:rPr>
          <w:noProof/>
        </w:rPr>
        <w:t>iejszym rozporządzeniu należy przewidzieć grupowanie środków wstępnie przydzielanych na poziomie krajowym</w:t>
      </w:r>
      <w:r w:rsidR="00201A9A" w:rsidRPr="00201A9A">
        <w:rPr>
          <w:noProof/>
        </w:rPr>
        <w:t xml:space="preserve"> w ram</w:t>
      </w:r>
      <w:r w:rsidR="00443D4C" w:rsidRPr="00201A9A">
        <w:rPr>
          <w:noProof/>
        </w:rPr>
        <w:t>ach Europejskiego Funduszu Spójności Gospodarczej, Społecznej</w:t>
      </w:r>
      <w:r w:rsidR="00201A9A" w:rsidRPr="00201A9A">
        <w:rPr>
          <w:noProof/>
        </w:rPr>
        <w:t xml:space="preserve"> i Ter</w:t>
      </w:r>
      <w:r w:rsidR="00443D4C" w:rsidRPr="00201A9A">
        <w:rPr>
          <w:noProof/>
        </w:rPr>
        <w:t>ytorialnej, Rolnictwa</w:t>
      </w:r>
      <w:r w:rsidR="00201A9A" w:rsidRPr="00201A9A">
        <w:rPr>
          <w:noProof/>
        </w:rPr>
        <w:t xml:space="preserve"> i Obs</w:t>
      </w:r>
      <w:r w:rsidR="00443D4C" w:rsidRPr="00201A9A">
        <w:rPr>
          <w:noProof/>
        </w:rPr>
        <w:t>zarów Wiejskich, Rybołówstwa</w:t>
      </w:r>
      <w:r w:rsidR="00201A9A" w:rsidRPr="00201A9A">
        <w:rPr>
          <w:noProof/>
        </w:rPr>
        <w:t xml:space="preserve"> i Pol</w:t>
      </w:r>
      <w:r w:rsidR="00443D4C" w:rsidRPr="00201A9A">
        <w:rPr>
          <w:noProof/>
        </w:rPr>
        <w:t>ityki Morskiej, Dobrobytu</w:t>
      </w:r>
      <w:r w:rsidR="00201A9A" w:rsidRPr="00201A9A">
        <w:rPr>
          <w:noProof/>
        </w:rPr>
        <w:t xml:space="preserve"> i Bez</w:t>
      </w:r>
      <w:r w:rsidR="00443D4C" w:rsidRPr="00201A9A">
        <w:rPr>
          <w:noProof/>
        </w:rPr>
        <w:t>pieczeństwa (zwanego dalej „Funduszem”). Fundusz powinien być wdrażany za pośrednictwem planów partnerstwa krajowego</w:t>
      </w:r>
      <w:r w:rsidR="00201A9A" w:rsidRPr="00201A9A">
        <w:rPr>
          <w:noProof/>
        </w:rPr>
        <w:t xml:space="preserve"> i reg</w:t>
      </w:r>
      <w:r w:rsidR="00443D4C" w:rsidRPr="00201A9A">
        <w:rPr>
          <w:noProof/>
        </w:rPr>
        <w:t>ionalnego („plany PKR”) oraz Instrumentu Unii („</w:t>
      </w:r>
      <w:r w:rsidR="00CD2B8C" w:rsidRPr="00201A9A">
        <w:rPr>
          <w:noProof/>
        </w:rPr>
        <w:t>I</w:t>
      </w:r>
      <w:r w:rsidR="00443D4C" w:rsidRPr="00201A9A">
        <w:rPr>
          <w:noProof/>
        </w:rPr>
        <w:t>nstrument”), którego celem jest zwiększenie elastyczności</w:t>
      </w:r>
      <w:r w:rsidR="00201A9A" w:rsidRPr="00201A9A">
        <w:rPr>
          <w:noProof/>
        </w:rPr>
        <w:t xml:space="preserve"> i rea</w:t>
      </w:r>
      <w:r w:rsidR="00443D4C" w:rsidRPr="00201A9A">
        <w:rPr>
          <w:noProof/>
        </w:rPr>
        <w:t>gowanie na nieprzewidziane kryzysy oraz finansowanie interwencji uzupełniających</w:t>
      </w:r>
      <w:r w:rsidR="00201A9A" w:rsidRPr="00201A9A">
        <w:rPr>
          <w:noProof/>
        </w:rPr>
        <w:t xml:space="preserve"> i wzm</w:t>
      </w:r>
      <w:r w:rsidR="00443D4C" w:rsidRPr="00201A9A">
        <w:rPr>
          <w:noProof/>
        </w:rPr>
        <w:t>acniających plany, które wymagają kierowania lub koordynacji na szczeblu Unii,</w:t>
      </w:r>
      <w:r w:rsidR="00201A9A" w:rsidRPr="00201A9A">
        <w:rPr>
          <w:noProof/>
        </w:rPr>
        <w:t xml:space="preserve"> a tak</w:t>
      </w:r>
      <w:r w:rsidR="00443D4C" w:rsidRPr="00201A9A">
        <w:rPr>
          <w:noProof/>
        </w:rPr>
        <w:t>że opartego na dowodach wsparcia politycznego</w:t>
      </w:r>
      <w:r w:rsidR="00201A9A" w:rsidRPr="00201A9A">
        <w:rPr>
          <w:noProof/>
        </w:rPr>
        <w:t xml:space="preserve"> i dod</w:t>
      </w:r>
      <w:r w:rsidR="00443D4C" w:rsidRPr="00201A9A">
        <w:rPr>
          <w:noProof/>
        </w:rPr>
        <w:t>atkowości</w:t>
      </w:r>
      <w:r w:rsidR="00201A9A" w:rsidRPr="00201A9A">
        <w:rPr>
          <w:noProof/>
        </w:rPr>
        <w:t xml:space="preserve"> w sto</w:t>
      </w:r>
      <w:r w:rsidR="00443D4C" w:rsidRPr="00201A9A">
        <w:rPr>
          <w:noProof/>
        </w:rPr>
        <w:t>sunku do uruchamiania inwestycji prywatnych.</w:t>
      </w:r>
    </w:p>
    <w:p w14:paraId="4C656B51" w14:textId="683E67FE" w:rsidR="00D457A7" w:rsidRPr="00201A9A" w:rsidRDefault="00875961" w:rsidP="00875961">
      <w:pPr>
        <w:pStyle w:val="ManualConsidrant"/>
        <w:rPr>
          <w:noProof/>
        </w:rPr>
      </w:pPr>
      <w:r w:rsidRPr="00875961">
        <w:rPr>
          <w:noProof/>
        </w:rPr>
        <w:t>(12)</w:t>
      </w:r>
      <w:r w:rsidRPr="00875961">
        <w:rPr>
          <w:noProof/>
        </w:rPr>
        <w:tab/>
      </w:r>
      <w:r w:rsidR="00D457A7" w:rsidRPr="00201A9A">
        <w:rPr>
          <w:noProof/>
        </w:rPr>
        <w:t>Wschodnie regiony przygraniczne UE – graniczące</w:t>
      </w:r>
      <w:r w:rsidR="00201A9A" w:rsidRPr="00201A9A">
        <w:rPr>
          <w:noProof/>
        </w:rPr>
        <w:t xml:space="preserve"> z Ros</w:t>
      </w:r>
      <w:r w:rsidR="00D457A7" w:rsidRPr="00201A9A">
        <w:rPr>
          <w:noProof/>
        </w:rPr>
        <w:t>ją, Białorusią</w:t>
      </w:r>
      <w:r w:rsidR="00201A9A" w:rsidRPr="00201A9A">
        <w:rPr>
          <w:noProof/>
        </w:rPr>
        <w:t xml:space="preserve"> i Ukr</w:t>
      </w:r>
      <w:r w:rsidR="00D457A7" w:rsidRPr="00201A9A">
        <w:rPr>
          <w:noProof/>
        </w:rPr>
        <w:t>ainą – stoją przed podwójnym wyzwaniem, jakim jest zwiększenie bezpieczeństwa przy jednoczesnym ożywieniu gospodarek tych państw, które ucierpiały bezpośrednio lub pośrednio</w:t>
      </w:r>
      <w:r w:rsidR="00201A9A" w:rsidRPr="00201A9A">
        <w:rPr>
          <w:noProof/>
        </w:rPr>
        <w:t xml:space="preserve"> w wyn</w:t>
      </w:r>
      <w:r w:rsidR="00D457A7" w:rsidRPr="00201A9A">
        <w:rPr>
          <w:noProof/>
        </w:rPr>
        <w:t>iku wojny napastniczej Rosji przeciwko Ukrainie. Plany partnerstwa krajowego</w:t>
      </w:r>
      <w:r w:rsidR="00201A9A" w:rsidRPr="00201A9A">
        <w:rPr>
          <w:noProof/>
        </w:rPr>
        <w:t xml:space="preserve"> i reg</w:t>
      </w:r>
      <w:r w:rsidR="00D457A7" w:rsidRPr="00201A9A">
        <w:rPr>
          <w:noProof/>
        </w:rPr>
        <w:t>ionalnego zapewnią kompleksowe</w:t>
      </w:r>
      <w:r w:rsidR="00201A9A" w:rsidRPr="00201A9A">
        <w:rPr>
          <w:noProof/>
        </w:rPr>
        <w:t xml:space="preserve"> i spó</w:t>
      </w:r>
      <w:r w:rsidR="00D457A7" w:rsidRPr="00201A9A">
        <w:rPr>
          <w:noProof/>
        </w:rPr>
        <w:t>jne wsparcie państwom członkowskim</w:t>
      </w:r>
      <w:r w:rsidR="00201A9A" w:rsidRPr="00201A9A">
        <w:rPr>
          <w:noProof/>
        </w:rPr>
        <w:t xml:space="preserve"> i reg</w:t>
      </w:r>
      <w:r w:rsidR="00D457A7" w:rsidRPr="00201A9A">
        <w:rPr>
          <w:noProof/>
        </w:rPr>
        <w:t>ionom stojącym</w:t>
      </w:r>
      <w:r w:rsidR="00201A9A" w:rsidRPr="00201A9A">
        <w:rPr>
          <w:noProof/>
        </w:rPr>
        <w:t xml:space="preserve"> w obl</w:t>
      </w:r>
      <w:r w:rsidR="00D457A7" w:rsidRPr="00201A9A">
        <w:rPr>
          <w:noProof/>
        </w:rPr>
        <w:t xml:space="preserve">iczu tych wyzwań. </w:t>
      </w:r>
    </w:p>
    <w:p w14:paraId="69D2DB4A" w14:textId="710858AA" w:rsidR="00C63D0B" w:rsidRPr="00201A9A" w:rsidRDefault="00875961" w:rsidP="00875961">
      <w:pPr>
        <w:pStyle w:val="ManualConsidrant"/>
        <w:rPr>
          <w:noProof/>
        </w:rPr>
      </w:pPr>
      <w:r w:rsidRPr="00875961">
        <w:rPr>
          <w:noProof/>
        </w:rPr>
        <w:t>(13)</w:t>
      </w:r>
      <w:r w:rsidRPr="00875961">
        <w:rPr>
          <w:noProof/>
        </w:rPr>
        <w:tab/>
      </w:r>
      <w:r w:rsidR="00C63D0B" w:rsidRPr="00201A9A">
        <w:rPr>
          <w:noProof/>
        </w:rPr>
        <w:t>W celu zapewnienia bardziej efektywnego wykorzystania finansowania unijnego Fundusz powinien podejmować określone wyzwania</w:t>
      </w:r>
      <w:r w:rsidR="00201A9A" w:rsidRPr="00201A9A">
        <w:rPr>
          <w:noProof/>
        </w:rPr>
        <w:t xml:space="preserve"> w spo</w:t>
      </w:r>
      <w:r w:rsidR="00C63D0B" w:rsidRPr="00201A9A">
        <w:rPr>
          <w:noProof/>
        </w:rPr>
        <w:t>sób całościowy, skoordynowany</w:t>
      </w:r>
      <w:r w:rsidR="00201A9A" w:rsidRPr="00201A9A">
        <w:rPr>
          <w:noProof/>
        </w:rPr>
        <w:t xml:space="preserve"> i spó</w:t>
      </w:r>
      <w:r w:rsidR="00C63D0B" w:rsidRPr="00201A9A">
        <w:rPr>
          <w:noProof/>
        </w:rPr>
        <w:t>jny, biorąc pod uwagę różne krajowe</w:t>
      </w:r>
      <w:r w:rsidR="00201A9A" w:rsidRPr="00201A9A">
        <w:rPr>
          <w:noProof/>
        </w:rPr>
        <w:t xml:space="preserve"> i reg</w:t>
      </w:r>
      <w:r w:rsidR="00C63D0B" w:rsidRPr="00201A9A">
        <w:rPr>
          <w:noProof/>
        </w:rPr>
        <w:t>ionalne potrzeby każdego państwa członkowskiego, przy jednoczesnym zapewnieniu wsparcia na realizację wszystkich odpowiednich priorytetów Unii oraz optymalnego wykorzystania środków finansowych. Ponadto Fundusz powinien przyczyniać się do kształtowania usprawnionych</w:t>
      </w:r>
      <w:r w:rsidR="00201A9A" w:rsidRPr="00201A9A">
        <w:rPr>
          <w:noProof/>
        </w:rPr>
        <w:t xml:space="preserve"> i dob</w:t>
      </w:r>
      <w:r w:rsidR="00C63D0B" w:rsidRPr="00201A9A">
        <w:rPr>
          <w:noProof/>
        </w:rPr>
        <w:t>rze skoordynowanych ram,</w:t>
      </w:r>
      <w:r w:rsidR="00201A9A" w:rsidRPr="00201A9A">
        <w:rPr>
          <w:noProof/>
        </w:rPr>
        <w:t xml:space="preserve"> a jed</w:t>
      </w:r>
      <w:r w:rsidR="00C63D0B" w:rsidRPr="00201A9A">
        <w:rPr>
          <w:noProof/>
        </w:rPr>
        <w:t>nocześnie opierać się na silnym wielopoziomowym zarządzaniu</w:t>
      </w:r>
      <w:r w:rsidR="00201A9A" w:rsidRPr="00201A9A">
        <w:rPr>
          <w:noProof/>
        </w:rPr>
        <w:t xml:space="preserve"> i par</w:t>
      </w:r>
      <w:r w:rsidR="00C63D0B" w:rsidRPr="00201A9A">
        <w:rPr>
          <w:noProof/>
        </w:rPr>
        <w:t>tnerstwie. Powinien on stanowić podstawę do zapewnienia skuteczniejszego</w:t>
      </w:r>
      <w:r w:rsidR="00201A9A" w:rsidRPr="00201A9A">
        <w:rPr>
          <w:noProof/>
        </w:rPr>
        <w:t xml:space="preserve"> i bar</w:t>
      </w:r>
      <w:r w:rsidR="00C63D0B" w:rsidRPr="00201A9A">
        <w:rPr>
          <w:noProof/>
        </w:rPr>
        <w:t>dziej elastycznego przydziału środków finansowych na różne obszary polityki,</w:t>
      </w:r>
      <w:r w:rsidR="00201A9A" w:rsidRPr="00201A9A">
        <w:rPr>
          <w:noProof/>
        </w:rPr>
        <w:t xml:space="preserve"> a jed</w:t>
      </w:r>
      <w:r w:rsidR="00C63D0B" w:rsidRPr="00201A9A">
        <w:rPr>
          <w:noProof/>
        </w:rPr>
        <w:t>nocześnie umożliwić państwom Członkowskim realizację nowych priorytetów polityki</w:t>
      </w:r>
      <w:r w:rsidR="00201A9A" w:rsidRPr="00201A9A">
        <w:rPr>
          <w:noProof/>
        </w:rPr>
        <w:t xml:space="preserve"> i pon</w:t>
      </w:r>
      <w:r w:rsidR="00C63D0B" w:rsidRPr="00201A9A">
        <w:rPr>
          <w:noProof/>
        </w:rPr>
        <w:t>owny przydział zasobów</w:t>
      </w:r>
      <w:r w:rsidR="00201A9A" w:rsidRPr="00201A9A">
        <w:rPr>
          <w:noProof/>
        </w:rPr>
        <w:t xml:space="preserve"> w cel</w:t>
      </w:r>
      <w:r w:rsidR="00C63D0B" w:rsidRPr="00201A9A">
        <w:rPr>
          <w:noProof/>
        </w:rPr>
        <w:t>u reagowania na nieprzewidziane wyzwania</w:t>
      </w:r>
      <w:r w:rsidR="00201A9A" w:rsidRPr="00201A9A">
        <w:rPr>
          <w:noProof/>
        </w:rPr>
        <w:t xml:space="preserve"> i kry</w:t>
      </w:r>
      <w:r w:rsidR="00C63D0B" w:rsidRPr="00201A9A">
        <w:rPr>
          <w:noProof/>
        </w:rPr>
        <w:t>zysy. </w:t>
      </w:r>
    </w:p>
    <w:p w14:paraId="5933900E" w14:textId="4E92CE7C" w:rsidR="00430EFD" w:rsidRPr="00201A9A" w:rsidRDefault="00875961" w:rsidP="00875961">
      <w:pPr>
        <w:pStyle w:val="ManualConsidrant"/>
        <w:rPr>
          <w:noProof/>
        </w:rPr>
      </w:pPr>
      <w:r w:rsidRPr="00875961">
        <w:rPr>
          <w:noProof/>
        </w:rPr>
        <w:t>(14)</w:t>
      </w:r>
      <w:r w:rsidRPr="00875961">
        <w:rPr>
          <w:noProof/>
        </w:rPr>
        <w:tab/>
      </w:r>
      <w:r w:rsidR="00CD4D9C" w:rsidRPr="00201A9A">
        <w:rPr>
          <w:noProof/>
        </w:rPr>
        <w:t>Należy zapewnić wsparcie państwom członkowskim, regionom</w:t>
      </w:r>
      <w:r w:rsidR="00201A9A" w:rsidRPr="00201A9A">
        <w:rPr>
          <w:noProof/>
        </w:rPr>
        <w:t xml:space="preserve"> i spo</w:t>
      </w:r>
      <w:r w:rsidR="00CD4D9C" w:rsidRPr="00201A9A">
        <w:rPr>
          <w:noProof/>
        </w:rPr>
        <w:t>łecznościom lokalnym</w:t>
      </w:r>
      <w:r w:rsidR="00201A9A" w:rsidRPr="00201A9A">
        <w:rPr>
          <w:noProof/>
        </w:rPr>
        <w:t xml:space="preserve"> w rea</w:t>
      </w:r>
      <w:r w:rsidR="00CD4D9C" w:rsidRPr="00201A9A">
        <w:rPr>
          <w:noProof/>
        </w:rPr>
        <w:t>lizacji priorytetów polityki Unii oraz maksymalizacji efektywności wykorzystania finansowania unijnego poprzez wspieranie środków</w:t>
      </w:r>
      <w:r w:rsidR="00201A9A" w:rsidRPr="00201A9A">
        <w:rPr>
          <w:noProof/>
        </w:rPr>
        <w:t xml:space="preserve"> o duż</w:t>
      </w:r>
      <w:r w:rsidR="00CD4D9C" w:rsidRPr="00201A9A">
        <w:rPr>
          <w:noProof/>
        </w:rPr>
        <w:t>ym znaczeniu dla Unii, związanych</w:t>
      </w:r>
      <w:r w:rsidR="00201A9A" w:rsidRPr="00201A9A">
        <w:rPr>
          <w:noProof/>
        </w:rPr>
        <w:t xml:space="preserve"> z naj</w:t>
      </w:r>
      <w:r w:rsidR="00CD4D9C" w:rsidRPr="00201A9A">
        <w:rPr>
          <w:noProof/>
        </w:rPr>
        <w:t>pilniejszymi wyzwaniami stojącymi przed Europą.</w:t>
      </w:r>
      <w:r w:rsidR="00201A9A" w:rsidRPr="00201A9A">
        <w:rPr>
          <w:noProof/>
        </w:rPr>
        <w:t xml:space="preserve"> </w:t>
      </w:r>
      <w:r w:rsidR="00CD4D9C" w:rsidRPr="00201A9A">
        <w:rPr>
          <w:noProof/>
        </w:rPr>
        <w:t>Należy stawić czoła tym wyzwaniom, realizując pięć celów wysokiego szczebla: trwały dobrobyt Europy we wszystkich regionach; zdolności obronne</w:t>
      </w:r>
      <w:r w:rsidR="00201A9A" w:rsidRPr="00201A9A">
        <w:rPr>
          <w:noProof/>
        </w:rPr>
        <w:t xml:space="preserve"> i bez</w:t>
      </w:r>
      <w:r w:rsidR="00CD4D9C" w:rsidRPr="00201A9A">
        <w:rPr>
          <w:noProof/>
        </w:rPr>
        <w:t>pieczeństwo Europy; wspieranie ludzi, wzmacnianie społeczeństw europejskich</w:t>
      </w:r>
      <w:r w:rsidR="00201A9A" w:rsidRPr="00201A9A">
        <w:rPr>
          <w:noProof/>
        </w:rPr>
        <w:t xml:space="preserve"> i eur</w:t>
      </w:r>
      <w:r w:rsidR="00CD4D9C" w:rsidRPr="00201A9A">
        <w:rPr>
          <w:noProof/>
        </w:rPr>
        <w:t>opejskiego modelu społecznego; utrzymanie jakości życia</w:t>
      </w:r>
      <w:r w:rsidR="00201A9A" w:rsidRPr="00201A9A">
        <w:rPr>
          <w:noProof/>
        </w:rPr>
        <w:t xml:space="preserve"> w Eur</w:t>
      </w:r>
      <w:r w:rsidR="00CD4D9C" w:rsidRPr="00201A9A">
        <w:rPr>
          <w:noProof/>
        </w:rPr>
        <w:t>opie; ochrona</w:t>
      </w:r>
      <w:r w:rsidR="00201A9A" w:rsidRPr="00201A9A">
        <w:rPr>
          <w:noProof/>
        </w:rPr>
        <w:t xml:space="preserve"> i wzm</w:t>
      </w:r>
      <w:r w:rsidR="00CD4D9C" w:rsidRPr="00201A9A">
        <w:rPr>
          <w:noProof/>
        </w:rPr>
        <w:t>acnianie demokracji, państwa prawnego</w:t>
      </w:r>
      <w:r w:rsidR="00201A9A" w:rsidRPr="00201A9A">
        <w:rPr>
          <w:noProof/>
        </w:rPr>
        <w:t xml:space="preserve"> i prz</w:t>
      </w:r>
      <w:r w:rsidR="00CD4D9C" w:rsidRPr="00201A9A">
        <w:rPr>
          <w:noProof/>
        </w:rPr>
        <w:t>estrzeganie wartości Unii.</w:t>
      </w:r>
    </w:p>
    <w:p w14:paraId="2A2A51B0" w14:textId="6D32BD3D" w:rsidR="00C63D0B" w:rsidRPr="00201A9A" w:rsidRDefault="00875961" w:rsidP="00875961">
      <w:pPr>
        <w:pStyle w:val="ManualConsidrant"/>
        <w:rPr>
          <w:noProof/>
        </w:rPr>
      </w:pPr>
      <w:r w:rsidRPr="00875961">
        <w:rPr>
          <w:noProof/>
        </w:rPr>
        <w:t>(15)</w:t>
      </w:r>
      <w:r w:rsidRPr="00875961">
        <w:rPr>
          <w:noProof/>
        </w:rPr>
        <w:tab/>
      </w:r>
      <w:r w:rsidR="00D94A66" w:rsidRPr="00201A9A">
        <w:rPr>
          <w:noProof/>
        </w:rPr>
        <w:t>Zrównoważony dobrobyt Unii należy wspierać poprzez wzmocnienie jej bazy przemysłowej oraz zwiększanie atrakcyjności terytoriów, propagując prawo do pozostania, między innymi poprzez strategie zintegrowanego rozwoju obszarów miejskich, wiejskich</w:t>
      </w:r>
      <w:r w:rsidR="00201A9A" w:rsidRPr="00201A9A">
        <w:rPr>
          <w:noProof/>
        </w:rPr>
        <w:t xml:space="preserve"> i prz</w:t>
      </w:r>
      <w:r w:rsidR="00D94A66" w:rsidRPr="00201A9A">
        <w:rPr>
          <w:noProof/>
        </w:rPr>
        <w:t>ybrzeżnych oraz wspieranie europejskiej współpracy terytorialnej. Środki te powinny być ukierunkowane na ukończenie transeuropejskich sieci transportowych</w:t>
      </w:r>
      <w:r w:rsidR="00201A9A" w:rsidRPr="00201A9A">
        <w:rPr>
          <w:noProof/>
        </w:rPr>
        <w:t xml:space="preserve"> i ene</w:t>
      </w:r>
      <w:r w:rsidR="00D94A66" w:rsidRPr="00201A9A">
        <w:rPr>
          <w:noProof/>
        </w:rPr>
        <w:t>rgetycznych, które mają kluczowe znaczenie dla prawdziwej unii energetycznej, oraz na projektach dekarbonizacji,</w:t>
      </w:r>
      <w:r w:rsidR="00201A9A" w:rsidRPr="00201A9A">
        <w:rPr>
          <w:noProof/>
        </w:rPr>
        <w:t xml:space="preserve"> w tym</w:t>
      </w:r>
      <w:r w:rsidR="00D94A66" w:rsidRPr="00201A9A">
        <w:rPr>
          <w:noProof/>
        </w:rPr>
        <w:t xml:space="preserve"> na wspieranie wytwarzania energii ze źródeł odnawialnych, efektywności energetycznej, magazynowania</w:t>
      </w:r>
      <w:r w:rsidR="00201A9A" w:rsidRPr="00201A9A">
        <w:rPr>
          <w:noProof/>
        </w:rPr>
        <w:t xml:space="preserve"> i roz</w:t>
      </w:r>
      <w:r w:rsidR="00D94A66" w:rsidRPr="00201A9A">
        <w:rPr>
          <w:noProof/>
        </w:rPr>
        <w:t>woju inteligentnych systemów energetycznych, krajowych sieci przesyłowych</w:t>
      </w:r>
      <w:r w:rsidR="00201A9A" w:rsidRPr="00201A9A">
        <w:rPr>
          <w:noProof/>
        </w:rPr>
        <w:t xml:space="preserve"> i dys</w:t>
      </w:r>
      <w:r w:rsidR="00D94A66" w:rsidRPr="00201A9A">
        <w:rPr>
          <w:noProof/>
        </w:rPr>
        <w:t>trybucyjnych, przy jednoczesnym umożliwieniu regionom, sektorom</w:t>
      </w:r>
      <w:r w:rsidR="00201A9A" w:rsidRPr="00201A9A">
        <w:rPr>
          <w:noProof/>
        </w:rPr>
        <w:t xml:space="preserve"> i oby</w:t>
      </w:r>
      <w:r w:rsidR="00D94A66" w:rsidRPr="00201A9A">
        <w:rPr>
          <w:noProof/>
        </w:rPr>
        <w:t>watelom łagodzenia skutków transformacji</w:t>
      </w:r>
      <w:r w:rsidR="00201A9A" w:rsidRPr="00201A9A">
        <w:rPr>
          <w:noProof/>
        </w:rPr>
        <w:t xml:space="preserve"> w kie</w:t>
      </w:r>
      <w:r w:rsidR="00D94A66" w:rsidRPr="00201A9A">
        <w:rPr>
          <w:noProof/>
        </w:rPr>
        <w:t>runku osiągnięcia unijnego celu klimatycznego. Transeuropejskie sieci transportowe muszą zostać ukończone do</w:t>
      </w:r>
      <w:r w:rsidR="00201A9A" w:rsidRPr="00201A9A">
        <w:rPr>
          <w:noProof/>
        </w:rPr>
        <w:t> </w:t>
      </w:r>
      <w:r w:rsidR="00D94A66" w:rsidRPr="00201A9A">
        <w:rPr>
          <w:noProof/>
        </w:rPr>
        <w:t>2030</w:t>
      </w:r>
      <w:r w:rsidR="00201A9A" w:rsidRPr="00201A9A">
        <w:rPr>
          <w:noProof/>
        </w:rPr>
        <w:t> </w:t>
      </w:r>
      <w:r w:rsidR="00D94A66" w:rsidRPr="00201A9A">
        <w:rPr>
          <w:noProof/>
        </w:rPr>
        <w:t>r., co dotyczy sieci bazowej oraz do</w:t>
      </w:r>
      <w:r w:rsidR="00201A9A" w:rsidRPr="00201A9A">
        <w:rPr>
          <w:noProof/>
        </w:rPr>
        <w:t> </w:t>
      </w:r>
      <w:r w:rsidR="00D94A66" w:rsidRPr="00201A9A">
        <w:rPr>
          <w:noProof/>
        </w:rPr>
        <w:t>2040</w:t>
      </w:r>
      <w:r w:rsidR="00201A9A" w:rsidRPr="00201A9A">
        <w:rPr>
          <w:noProof/>
        </w:rPr>
        <w:t> </w:t>
      </w:r>
      <w:r w:rsidR="00D94A66" w:rsidRPr="00201A9A">
        <w:rPr>
          <w:noProof/>
        </w:rPr>
        <w:t>r., co dotyczy rozszerzonej sieci bazowej, aby zapewnić wsparcie na rzecz zielonej oraz cyfrowej transformacji transportu</w:t>
      </w:r>
      <w:r w:rsidR="00201A9A" w:rsidRPr="00201A9A">
        <w:rPr>
          <w:noProof/>
        </w:rPr>
        <w:t xml:space="preserve"> i mob</w:t>
      </w:r>
      <w:r w:rsidR="00D94A66" w:rsidRPr="00201A9A">
        <w:rPr>
          <w:noProof/>
        </w:rPr>
        <w:t>ilności. Powinny one również służyć innowacyjnej transformacji gospodarczej, pomóc</w:t>
      </w:r>
      <w:r w:rsidR="00201A9A" w:rsidRPr="00201A9A">
        <w:rPr>
          <w:noProof/>
        </w:rPr>
        <w:t xml:space="preserve"> w osi</w:t>
      </w:r>
      <w:r w:rsidR="00D94A66" w:rsidRPr="00201A9A">
        <w:rPr>
          <w:noProof/>
        </w:rPr>
        <w:t>ągnięciu wartości docelowej dotyczącej badań</w:t>
      </w:r>
      <w:r w:rsidR="00201A9A" w:rsidRPr="00201A9A">
        <w:rPr>
          <w:noProof/>
        </w:rPr>
        <w:t xml:space="preserve"> i roz</w:t>
      </w:r>
      <w:r w:rsidR="00D94A66" w:rsidRPr="00201A9A">
        <w:rPr>
          <w:noProof/>
        </w:rPr>
        <w:t>woju wynoszącej 3</w:t>
      </w:r>
      <w:r w:rsidR="00201A9A" w:rsidRPr="00201A9A">
        <w:rPr>
          <w:noProof/>
        </w:rPr>
        <w:t> </w:t>
      </w:r>
      <w:r w:rsidR="00D94A66" w:rsidRPr="00201A9A">
        <w:rPr>
          <w:noProof/>
        </w:rPr>
        <w:t>% PKB oraz rozwoju</w:t>
      </w:r>
      <w:r w:rsidR="00201A9A" w:rsidRPr="00201A9A">
        <w:rPr>
          <w:noProof/>
        </w:rPr>
        <w:t xml:space="preserve"> i wyk</w:t>
      </w:r>
      <w:r w:rsidR="00D94A66" w:rsidRPr="00201A9A">
        <w:rPr>
          <w:noProof/>
        </w:rPr>
        <w:t>orzystania zaawansowanych technologii, absorpcji zaawansowanych rozwiązań cyfrowych,</w:t>
      </w:r>
      <w:r w:rsidR="00201A9A" w:rsidRPr="00201A9A">
        <w:rPr>
          <w:noProof/>
        </w:rPr>
        <w:t xml:space="preserve"> w tym</w:t>
      </w:r>
      <w:r w:rsidR="00D94A66" w:rsidRPr="00201A9A">
        <w:rPr>
          <w:noProof/>
        </w:rPr>
        <w:t xml:space="preserve"> sztucznej inteligencji, bezpiecznej</w:t>
      </w:r>
      <w:r w:rsidR="00201A9A" w:rsidRPr="00201A9A">
        <w:rPr>
          <w:noProof/>
        </w:rPr>
        <w:t xml:space="preserve"> i pew</w:t>
      </w:r>
      <w:r w:rsidR="00D94A66" w:rsidRPr="00201A9A">
        <w:rPr>
          <w:noProof/>
        </w:rPr>
        <w:t>nej łączności ICT, przy jednoczesnym niwelowaniu przepaści innowacyjnej</w:t>
      </w:r>
      <w:r w:rsidR="00201A9A" w:rsidRPr="00201A9A">
        <w:rPr>
          <w:noProof/>
        </w:rPr>
        <w:t xml:space="preserve"> i cyf</w:t>
      </w:r>
      <w:r w:rsidR="00D94A66" w:rsidRPr="00201A9A">
        <w:rPr>
          <w:noProof/>
        </w:rPr>
        <w:t>rowej.</w:t>
      </w:r>
      <w:r w:rsidR="00201A9A" w:rsidRPr="00201A9A">
        <w:rPr>
          <w:noProof/>
        </w:rPr>
        <w:t xml:space="preserve"> </w:t>
      </w:r>
      <w:r w:rsidR="00D94A66" w:rsidRPr="00201A9A">
        <w:rPr>
          <w:noProof/>
        </w:rPr>
        <w:t>Środki te powinny pomóc we wdrażaniu zaleceń na podstawie art.</w:t>
      </w:r>
      <w:r w:rsidR="00201A9A" w:rsidRPr="00201A9A">
        <w:rPr>
          <w:noProof/>
        </w:rPr>
        <w:t> </w:t>
      </w:r>
      <w:r w:rsidR="00D94A66" w:rsidRPr="00201A9A">
        <w:rPr>
          <w:noProof/>
        </w:rPr>
        <w:t>6 programu polityki „Droga ku cyfrowej dekadzie” do</w:t>
      </w:r>
      <w:r w:rsidR="00201A9A" w:rsidRPr="00201A9A">
        <w:rPr>
          <w:noProof/>
        </w:rPr>
        <w:t> </w:t>
      </w:r>
      <w:r w:rsidR="00D94A66" w:rsidRPr="00201A9A">
        <w:rPr>
          <w:noProof/>
        </w:rPr>
        <w:t>2030</w:t>
      </w:r>
      <w:r w:rsidR="00201A9A" w:rsidRPr="00201A9A">
        <w:rPr>
          <w:noProof/>
        </w:rPr>
        <w:t> </w:t>
      </w:r>
      <w:r w:rsidR="00D94A66" w:rsidRPr="00201A9A">
        <w:rPr>
          <w:noProof/>
        </w:rPr>
        <w:t>r.</w:t>
      </w:r>
      <w:r w:rsidR="00201A9A" w:rsidRPr="00201A9A">
        <w:rPr>
          <w:noProof/>
        </w:rPr>
        <w:t xml:space="preserve"> i wsp</w:t>
      </w:r>
      <w:r w:rsidR="00D94A66" w:rsidRPr="00201A9A">
        <w:rPr>
          <w:noProof/>
        </w:rPr>
        <w:t>ierać transformację cyfrową. Powinny one również przyczynić się do wzmocnienia odporności systemów opieki zdrowotnej</w:t>
      </w:r>
      <w:r w:rsidR="00201A9A" w:rsidRPr="00201A9A">
        <w:rPr>
          <w:noProof/>
        </w:rPr>
        <w:t xml:space="preserve"> i usł</w:t>
      </w:r>
      <w:r w:rsidR="00D94A66" w:rsidRPr="00201A9A">
        <w:rPr>
          <w:noProof/>
        </w:rPr>
        <w:t>ug opieki długoterminowej oraz wspierać przystępne cenowo mieszkania. Środki powinny również wspierać konkurencyjny</w:t>
      </w:r>
      <w:r w:rsidR="00201A9A" w:rsidRPr="00201A9A">
        <w:rPr>
          <w:noProof/>
        </w:rPr>
        <w:t xml:space="preserve"> i zró</w:t>
      </w:r>
      <w:r w:rsidR="00D94A66" w:rsidRPr="00201A9A">
        <w:rPr>
          <w:noProof/>
        </w:rPr>
        <w:t>wnoważony sektor turystyki w UE, mający na celu zrównoważoną turystykę, zarządzanie przepływami turystycznymi</w:t>
      </w:r>
      <w:r w:rsidR="00201A9A" w:rsidRPr="00201A9A">
        <w:rPr>
          <w:noProof/>
        </w:rPr>
        <w:t xml:space="preserve"> i wsp</w:t>
      </w:r>
      <w:r w:rsidR="00D94A66" w:rsidRPr="00201A9A">
        <w:rPr>
          <w:noProof/>
        </w:rPr>
        <w:t>ieranie Europy jako pierwszego kierunku turystycznego na świecie.</w:t>
      </w:r>
    </w:p>
    <w:p w14:paraId="348C964B" w14:textId="1CD1AABB" w:rsidR="00C63D0B" w:rsidRPr="00201A9A" w:rsidRDefault="00875961" w:rsidP="00875961">
      <w:pPr>
        <w:pStyle w:val="ManualConsidrant"/>
        <w:rPr>
          <w:noProof/>
        </w:rPr>
      </w:pPr>
      <w:r w:rsidRPr="00875961">
        <w:rPr>
          <w:noProof/>
        </w:rPr>
        <w:t>(16)</w:t>
      </w:r>
      <w:r w:rsidRPr="00875961">
        <w:rPr>
          <w:noProof/>
        </w:rPr>
        <w:tab/>
      </w:r>
      <w:r w:rsidR="00C63D0B" w:rsidRPr="00201A9A">
        <w:rPr>
          <w:noProof/>
        </w:rPr>
        <w:t>W obszarze zdolności obronnych</w:t>
      </w:r>
      <w:r w:rsidR="00201A9A" w:rsidRPr="00201A9A">
        <w:rPr>
          <w:noProof/>
        </w:rPr>
        <w:t xml:space="preserve"> i bez</w:t>
      </w:r>
      <w:r w:rsidR="00C63D0B" w:rsidRPr="00201A9A">
        <w:rPr>
          <w:noProof/>
        </w:rPr>
        <w:t>pieczeństwa Unii środki powinny wzmocnić bazę przemysłową Unii</w:t>
      </w:r>
      <w:r w:rsidR="00201A9A" w:rsidRPr="00201A9A">
        <w:rPr>
          <w:noProof/>
        </w:rPr>
        <w:t xml:space="preserve"> w dzi</w:t>
      </w:r>
      <w:r w:rsidR="00C63D0B" w:rsidRPr="00201A9A">
        <w:rPr>
          <w:noProof/>
        </w:rPr>
        <w:t>edzinie obronności oraz mobilność wojskową,</w:t>
      </w:r>
      <w:r w:rsidR="00201A9A" w:rsidRPr="00201A9A">
        <w:rPr>
          <w:noProof/>
        </w:rPr>
        <w:t xml:space="preserve"> a tak</w:t>
      </w:r>
      <w:r w:rsidR="00C63D0B" w:rsidRPr="00201A9A">
        <w:rPr>
          <w:noProof/>
        </w:rPr>
        <w:t>że zwiększyć gotowość Unii, polepszyć wykrywanie zagrożeń, ochronę krytycznej infrastruktury energetycznej</w:t>
      </w:r>
      <w:r w:rsidR="00201A9A" w:rsidRPr="00201A9A">
        <w:rPr>
          <w:noProof/>
        </w:rPr>
        <w:t xml:space="preserve"> i tra</w:t>
      </w:r>
      <w:r w:rsidR="00C63D0B" w:rsidRPr="00201A9A">
        <w:rPr>
          <w:noProof/>
        </w:rPr>
        <w:t>nsportowej oraz odporność</w:t>
      </w:r>
      <w:r w:rsidR="00201A9A" w:rsidRPr="00201A9A">
        <w:rPr>
          <w:noProof/>
        </w:rPr>
        <w:t xml:space="preserve"> i rea</w:t>
      </w:r>
      <w:r w:rsidR="00C63D0B" w:rsidRPr="00201A9A">
        <w:rPr>
          <w:noProof/>
        </w:rPr>
        <w:t>gowanie kryzysowe,</w:t>
      </w:r>
      <w:r w:rsidR="00201A9A" w:rsidRPr="00201A9A">
        <w:rPr>
          <w:noProof/>
        </w:rPr>
        <w:t xml:space="preserve"> w tym</w:t>
      </w:r>
      <w:r w:rsidR="00C63D0B" w:rsidRPr="00201A9A">
        <w:rPr>
          <w:noProof/>
        </w:rPr>
        <w:t xml:space="preserve"> poprzez wzmocnienie cyberbezpieczeństwa. Należy przy tym uwzględnić środki mające na celu rozwój infrastruktury podwójnego zastosowania TEN-T</w:t>
      </w:r>
      <w:r w:rsidR="00201A9A" w:rsidRPr="00201A9A">
        <w:rPr>
          <w:noProof/>
        </w:rPr>
        <w:t xml:space="preserve"> w cel</w:t>
      </w:r>
      <w:r w:rsidR="00C63D0B" w:rsidRPr="00201A9A">
        <w:rPr>
          <w:noProof/>
        </w:rPr>
        <w:t>u umożliwienia szybkiego przemieszczania na dużą skalę oddziałów oraz ciężkiego sprzętu</w:t>
      </w:r>
      <w:r w:rsidR="00201A9A" w:rsidRPr="00201A9A">
        <w:rPr>
          <w:noProof/>
        </w:rPr>
        <w:t xml:space="preserve"> i mat</w:t>
      </w:r>
      <w:r w:rsidR="00C63D0B" w:rsidRPr="00201A9A">
        <w:rPr>
          <w:noProof/>
        </w:rPr>
        <w:t>eriałów. Środki powinny również mieć na celu zapewnienie wysokiego poziomu bezpieczeństwa</w:t>
      </w:r>
      <w:r w:rsidR="00201A9A" w:rsidRPr="00201A9A">
        <w:rPr>
          <w:noProof/>
        </w:rPr>
        <w:t xml:space="preserve"> w Uni</w:t>
      </w:r>
      <w:r w:rsidR="00C63D0B" w:rsidRPr="00201A9A">
        <w:rPr>
          <w:noProof/>
        </w:rPr>
        <w:t>i,</w:t>
      </w:r>
      <w:r w:rsidR="00201A9A" w:rsidRPr="00201A9A">
        <w:rPr>
          <w:noProof/>
        </w:rPr>
        <w:t xml:space="preserve"> w tym</w:t>
      </w:r>
      <w:r w:rsidR="00C63D0B" w:rsidRPr="00201A9A">
        <w:rPr>
          <w:noProof/>
        </w:rPr>
        <w:t xml:space="preserve"> środki integracyjne zgodne</w:t>
      </w:r>
      <w:r w:rsidR="00201A9A" w:rsidRPr="00201A9A">
        <w:rPr>
          <w:noProof/>
        </w:rPr>
        <w:t xml:space="preserve"> z cel</w:t>
      </w:r>
      <w:r w:rsidR="00C63D0B" w:rsidRPr="00201A9A">
        <w:rPr>
          <w:noProof/>
        </w:rPr>
        <w:t>ami określonymi</w:t>
      </w:r>
      <w:r w:rsidR="00201A9A" w:rsidRPr="00201A9A">
        <w:rPr>
          <w:noProof/>
        </w:rPr>
        <w:t xml:space="preserve"> w roz</w:t>
      </w:r>
      <w:r w:rsidR="00C63D0B" w:rsidRPr="00201A9A">
        <w:rPr>
          <w:noProof/>
        </w:rPr>
        <w:t>porządzeniu (UE) [...]</w:t>
      </w:r>
      <w:r w:rsidR="00201A9A" w:rsidRPr="00201A9A">
        <w:rPr>
          <w:noProof/>
        </w:rPr>
        <w:t xml:space="preserve"> w spr</w:t>
      </w:r>
      <w:r w:rsidR="00C63D0B" w:rsidRPr="00201A9A">
        <w:rPr>
          <w:noProof/>
        </w:rPr>
        <w:t>awie unijnego wsparcia na rzecz azylu,</w:t>
      </w:r>
      <w:r w:rsidR="00201A9A" w:rsidRPr="00201A9A">
        <w:rPr>
          <w:noProof/>
        </w:rPr>
        <w:t xml:space="preserve"> w tym</w:t>
      </w:r>
      <w:r w:rsidR="00C63D0B" w:rsidRPr="00201A9A">
        <w:rPr>
          <w:noProof/>
        </w:rPr>
        <w:t xml:space="preserve"> ochrony uzupełniającej, tymczasowej ochrony, migracji</w:t>
      </w:r>
      <w:r w:rsidR="00201A9A" w:rsidRPr="00201A9A">
        <w:rPr>
          <w:noProof/>
        </w:rPr>
        <w:t xml:space="preserve"> i int</w:t>
      </w:r>
      <w:r w:rsidR="00C63D0B" w:rsidRPr="00201A9A">
        <w:rPr>
          <w:noProof/>
        </w:rPr>
        <w:t>egracji, rozporządzeniu (UE) [...]</w:t>
      </w:r>
      <w:r w:rsidR="00201A9A" w:rsidRPr="00201A9A">
        <w:rPr>
          <w:noProof/>
        </w:rPr>
        <w:t xml:space="preserve"> w spr</w:t>
      </w:r>
      <w:r w:rsidR="00C63D0B" w:rsidRPr="00201A9A">
        <w:rPr>
          <w:noProof/>
        </w:rPr>
        <w:t>awie unijnego wsparcia na rzecz na rzecz strefy Schengen, europejskiego [zintegrowanego] zarządzania granicami</w:t>
      </w:r>
      <w:r w:rsidR="00201A9A" w:rsidRPr="00201A9A">
        <w:rPr>
          <w:noProof/>
        </w:rPr>
        <w:t xml:space="preserve"> i wsp</w:t>
      </w:r>
      <w:r w:rsidR="00C63D0B" w:rsidRPr="00201A9A">
        <w:rPr>
          <w:noProof/>
        </w:rPr>
        <w:t>ólnej polityki wizowej, oraz rozporządzeniu (UE) [...]</w:t>
      </w:r>
      <w:r w:rsidR="00201A9A" w:rsidRPr="00201A9A">
        <w:rPr>
          <w:noProof/>
        </w:rPr>
        <w:t xml:space="preserve"> w spr</w:t>
      </w:r>
      <w:r w:rsidR="00C63D0B" w:rsidRPr="00201A9A">
        <w:rPr>
          <w:noProof/>
        </w:rPr>
        <w:t>awie unijnego wsparcia na rzecz bezpieczeństwa wewnętrznego.</w:t>
      </w:r>
    </w:p>
    <w:p w14:paraId="106E8E6B" w14:textId="7F709359" w:rsidR="00C63D0B" w:rsidRPr="00201A9A" w:rsidRDefault="00875961" w:rsidP="00875961">
      <w:pPr>
        <w:pStyle w:val="ManualConsidrant"/>
        <w:rPr>
          <w:noProof/>
        </w:rPr>
      </w:pPr>
      <w:r w:rsidRPr="00875961">
        <w:rPr>
          <w:noProof/>
        </w:rPr>
        <w:t>(17)</w:t>
      </w:r>
      <w:r w:rsidRPr="00875961">
        <w:rPr>
          <w:noProof/>
        </w:rPr>
        <w:tab/>
      </w:r>
      <w:r w:rsidR="00C63D0B" w:rsidRPr="00201A9A">
        <w:rPr>
          <w:noProof/>
        </w:rPr>
        <w:t>Środki wspierające ludność oraz wzmacniające społeczeństwo Unii oraz unijny model społeczny powinny przyczyniać się do wdrożenia Europejskiego filaru praw socjalnych</w:t>
      </w:r>
      <w:r w:rsidR="00201A9A" w:rsidRPr="00201A9A">
        <w:rPr>
          <w:noProof/>
        </w:rPr>
        <w:t xml:space="preserve"> i osi</w:t>
      </w:r>
      <w:r w:rsidR="00C63D0B" w:rsidRPr="00201A9A">
        <w:rPr>
          <w:noProof/>
        </w:rPr>
        <w:t>ągnięcia jego głównych celów, zgodnie</w:t>
      </w:r>
      <w:r w:rsidR="00201A9A" w:rsidRPr="00201A9A">
        <w:rPr>
          <w:noProof/>
        </w:rPr>
        <w:t xml:space="preserve"> z wyt</w:t>
      </w:r>
      <w:r w:rsidR="00C63D0B" w:rsidRPr="00201A9A">
        <w:rPr>
          <w:noProof/>
        </w:rPr>
        <w:t>ycznymi dotyczącymi zatrudnienia,</w:t>
      </w:r>
      <w:r w:rsidR="00201A9A" w:rsidRPr="00201A9A">
        <w:rPr>
          <w:noProof/>
        </w:rPr>
        <w:t xml:space="preserve"> o któ</w:t>
      </w:r>
      <w:r w:rsidR="00C63D0B" w:rsidRPr="00201A9A">
        <w:rPr>
          <w:noProof/>
        </w:rPr>
        <w:t>rych mowa</w:t>
      </w:r>
      <w:r w:rsidR="00201A9A" w:rsidRPr="00201A9A">
        <w:rPr>
          <w:noProof/>
        </w:rPr>
        <w:t xml:space="preserve"> w art</w:t>
      </w:r>
      <w:r w:rsidR="00C63D0B" w:rsidRPr="00201A9A">
        <w:rPr>
          <w:noProof/>
        </w:rPr>
        <w:t>.</w:t>
      </w:r>
      <w:r w:rsidR="00201A9A" w:rsidRPr="00201A9A">
        <w:rPr>
          <w:noProof/>
        </w:rPr>
        <w:t> </w:t>
      </w:r>
      <w:r w:rsidR="00C63D0B" w:rsidRPr="00201A9A">
        <w:rPr>
          <w:noProof/>
        </w:rPr>
        <w:t>148 ust.</w:t>
      </w:r>
      <w:r w:rsidR="00201A9A" w:rsidRPr="00201A9A">
        <w:rPr>
          <w:noProof/>
        </w:rPr>
        <w:t> </w:t>
      </w:r>
      <w:r w:rsidR="00C63D0B" w:rsidRPr="00201A9A">
        <w:rPr>
          <w:noProof/>
        </w:rPr>
        <w:t>4 TFUE, poprzez wspieranie projektów</w:t>
      </w:r>
      <w:r w:rsidR="00201A9A" w:rsidRPr="00201A9A">
        <w:rPr>
          <w:noProof/>
        </w:rPr>
        <w:t xml:space="preserve"> w obs</w:t>
      </w:r>
      <w:r w:rsidR="00C63D0B" w:rsidRPr="00201A9A">
        <w:rPr>
          <w:noProof/>
        </w:rPr>
        <w:t>zarach polityki dotyczących zatrudnienia</w:t>
      </w:r>
      <w:r w:rsidR="00201A9A" w:rsidRPr="00201A9A">
        <w:rPr>
          <w:noProof/>
        </w:rPr>
        <w:t xml:space="preserve"> i mob</w:t>
      </w:r>
      <w:r w:rsidR="00C63D0B" w:rsidRPr="00201A9A">
        <w:rPr>
          <w:noProof/>
        </w:rPr>
        <w:t>ilności pracowników, rozwoju umiejętności, edukacji, włączenia społecznego</w:t>
      </w:r>
      <w:r w:rsidR="00201A9A" w:rsidRPr="00201A9A">
        <w:rPr>
          <w:noProof/>
        </w:rPr>
        <w:t xml:space="preserve"> i ogr</w:t>
      </w:r>
      <w:r w:rsidR="00C63D0B" w:rsidRPr="00201A9A">
        <w:rPr>
          <w:noProof/>
        </w:rPr>
        <w:t>aniczania ubóstwa,</w:t>
      </w:r>
      <w:r w:rsidR="00201A9A" w:rsidRPr="00201A9A">
        <w:rPr>
          <w:noProof/>
        </w:rPr>
        <w:t xml:space="preserve"> a tym</w:t>
      </w:r>
      <w:r w:rsidR="00C63D0B" w:rsidRPr="00201A9A">
        <w:rPr>
          <w:noProof/>
        </w:rPr>
        <w:t xml:space="preserve"> samym wzmacniania odporności</w:t>
      </w:r>
      <w:r w:rsidR="00201A9A" w:rsidRPr="00201A9A">
        <w:rPr>
          <w:noProof/>
        </w:rPr>
        <w:t xml:space="preserve"> i kon</w:t>
      </w:r>
      <w:r w:rsidR="00C63D0B" w:rsidRPr="00201A9A">
        <w:rPr>
          <w:noProof/>
        </w:rPr>
        <w:t>kurencyjności Unii. Powinny one służyć zapewnieniu równych szans, równego dostępu do rynku pracy, sprawiedliwych</w:t>
      </w:r>
      <w:r w:rsidR="00201A9A" w:rsidRPr="00201A9A">
        <w:rPr>
          <w:noProof/>
        </w:rPr>
        <w:t xml:space="preserve"> i wys</w:t>
      </w:r>
      <w:r w:rsidR="00C63D0B" w:rsidRPr="00201A9A">
        <w:rPr>
          <w:noProof/>
        </w:rPr>
        <w:t>okiej jakości warunków pracy, ochrony socjalnej</w:t>
      </w:r>
      <w:r w:rsidR="00201A9A" w:rsidRPr="00201A9A">
        <w:rPr>
          <w:noProof/>
        </w:rPr>
        <w:t xml:space="preserve"> i włą</w:t>
      </w:r>
      <w:r w:rsidR="00C63D0B" w:rsidRPr="00201A9A">
        <w:rPr>
          <w:noProof/>
        </w:rPr>
        <w:t>czenia społecznego, ze szczególnym uwzględnieniem zwiększenia podaży pracy, zapewnienia wysokiej jakości włączającego kształcenia</w:t>
      </w:r>
      <w:r w:rsidR="00201A9A" w:rsidRPr="00201A9A">
        <w:rPr>
          <w:noProof/>
        </w:rPr>
        <w:t xml:space="preserve"> i szk</w:t>
      </w:r>
      <w:r w:rsidR="00C63D0B" w:rsidRPr="00201A9A">
        <w:rPr>
          <w:noProof/>
        </w:rPr>
        <w:t>olenia, uczenia się przez całe życie</w:t>
      </w:r>
      <w:r w:rsidR="00201A9A" w:rsidRPr="00201A9A">
        <w:rPr>
          <w:noProof/>
        </w:rPr>
        <w:t xml:space="preserve"> i wsp</w:t>
      </w:r>
      <w:r w:rsidR="00C63D0B" w:rsidRPr="00201A9A">
        <w:rPr>
          <w:noProof/>
        </w:rPr>
        <w:t>arcia materialnego dla osób najbardziej potrzebujących, niwelowania istniejących różnic,</w:t>
      </w:r>
      <w:r w:rsidR="00201A9A" w:rsidRPr="00201A9A">
        <w:rPr>
          <w:noProof/>
        </w:rPr>
        <w:t xml:space="preserve"> w tym</w:t>
      </w:r>
      <w:r w:rsidR="00C63D0B" w:rsidRPr="00201A9A">
        <w:rPr>
          <w:noProof/>
        </w:rPr>
        <w:t xml:space="preserve"> różnic</w:t>
      </w:r>
      <w:r w:rsidR="00201A9A" w:rsidRPr="00201A9A">
        <w:rPr>
          <w:noProof/>
        </w:rPr>
        <w:t xml:space="preserve"> w tra</w:t>
      </w:r>
      <w:r w:rsidR="00C63D0B" w:rsidRPr="00201A9A">
        <w:rPr>
          <w:noProof/>
        </w:rPr>
        <w:t>ktowaniu kobiet</w:t>
      </w:r>
      <w:r w:rsidR="00201A9A" w:rsidRPr="00201A9A">
        <w:rPr>
          <w:noProof/>
        </w:rPr>
        <w:t xml:space="preserve"> i męż</w:t>
      </w:r>
      <w:r w:rsidR="00C63D0B" w:rsidRPr="00201A9A">
        <w:rPr>
          <w:noProof/>
        </w:rPr>
        <w:t>czyzn. Przedmiotowe środki powinny wspierać inwestycje</w:t>
      </w:r>
      <w:r w:rsidR="00201A9A" w:rsidRPr="00201A9A">
        <w:rPr>
          <w:noProof/>
        </w:rPr>
        <w:t xml:space="preserve"> w dzi</w:t>
      </w:r>
      <w:r w:rsidR="00C63D0B" w:rsidRPr="00201A9A">
        <w:rPr>
          <w:noProof/>
        </w:rPr>
        <w:t>eci</w:t>
      </w:r>
      <w:r w:rsidR="00201A9A" w:rsidRPr="00201A9A">
        <w:rPr>
          <w:noProof/>
        </w:rPr>
        <w:t xml:space="preserve"> i mło</w:t>
      </w:r>
      <w:r w:rsidR="00C63D0B" w:rsidRPr="00201A9A">
        <w:rPr>
          <w:noProof/>
        </w:rPr>
        <w:t>dzież, społeczności marginalizowane</w:t>
      </w:r>
      <w:r w:rsidR="00201A9A" w:rsidRPr="00201A9A">
        <w:rPr>
          <w:noProof/>
        </w:rPr>
        <w:t xml:space="preserve"> i zna</w:t>
      </w:r>
      <w:r w:rsidR="00C63D0B" w:rsidRPr="00201A9A">
        <w:rPr>
          <w:noProof/>
        </w:rPr>
        <w:t>jdujące się</w:t>
      </w:r>
      <w:r w:rsidR="00201A9A" w:rsidRPr="00201A9A">
        <w:rPr>
          <w:noProof/>
        </w:rPr>
        <w:t xml:space="preserve"> w nie</w:t>
      </w:r>
      <w:r w:rsidR="00C63D0B" w:rsidRPr="00201A9A">
        <w:rPr>
          <w:noProof/>
        </w:rPr>
        <w:t>korzystnej sytuacji oraz obywateli państw trzecich,</w:t>
      </w:r>
      <w:r w:rsidR="00201A9A" w:rsidRPr="00201A9A">
        <w:rPr>
          <w:noProof/>
        </w:rPr>
        <w:t xml:space="preserve"> a tak</w:t>
      </w:r>
      <w:r w:rsidR="00C63D0B" w:rsidRPr="00201A9A">
        <w:rPr>
          <w:noProof/>
        </w:rPr>
        <w:t>że powinny zapewniać równy dostęp do usług. Powinny one również przyczyniać się do wzmocnienia odporności systemów opieki zdrowotnej</w:t>
      </w:r>
      <w:r w:rsidR="00201A9A" w:rsidRPr="00201A9A">
        <w:rPr>
          <w:noProof/>
        </w:rPr>
        <w:t xml:space="preserve"> i usł</w:t>
      </w:r>
      <w:r w:rsidR="00C63D0B" w:rsidRPr="00201A9A">
        <w:rPr>
          <w:noProof/>
        </w:rPr>
        <w:t>ug opieki długoterminowej, wspierać mieszkania socjalne</w:t>
      </w:r>
      <w:r w:rsidR="00201A9A" w:rsidRPr="00201A9A">
        <w:rPr>
          <w:noProof/>
        </w:rPr>
        <w:t xml:space="preserve"> i prz</w:t>
      </w:r>
      <w:r w:rsidR="00C63D0B" w:rsidRPr="00201A9A">
        <w:rPr>
          <w:noProof/>
        </w:rPr>
        <w:t>ystępne cenowo mieszkania oraz koncentrować się na osiągnięciu sprawiedliwej społecznie transformacji</w:t>
      </w:r>
      <w:r w:rsidR="00201A9A" w:rsidRPr="00201A9A">
        <w:rPr>
          <w:noProof/>
        </w:rPr>
        <w:t xml:space="preserve"> w kie</w:t>
      </w:r>
      <w:r w:rsidR="00C63D0B" w:rsidRPr="00201A9A">
        <w:rPr>
          <w:noProof/>
        </w:rPr>
        <w:t>runku neutralności klimatycznej, uwzględniając społeczne skutki włączenia emisji gazów cieplarnianych</w:t>
      </w:r>
      <w:r w:rsidR="00201A9A" w:rsidRPr="00201A9A">
        <w:rPr>
          <w:noProof/>
        </w:rPr>
        <w:t xml:space="preserve"> z bud</w:t>
      </w:r>
      <w:r w:rsidR="00C63D0B" w:rsidRPr="00201A9A">
        <w:rPr>
          <w:noProof/>
        </w:rPr>
        <w:t>ynków</w:t>
      </w:r>
      <w:r w:rsidR="00201A9A" w:rsidRPr="00201A9A">
        <w:rPr>
          <w:noProof/>
        </w:rPr>
        <w:t xml:space="preserve"> i tra</w:t>
      </w:r>
      <w:r w:rsidR="00C63D0B" w:rsidRPr="00201A9A">
        <w:rPr>
          <w:noProof/>
        </w:rPr>
        <w:t>nsportu drogowego</w:t>
      </w:r>
      <w:r w:rsidR="00201A9A" w:rsidRPr="00201A9A">
        <w:rPr>
          <w:noProof/>
        </w:rPr>
        <w:t xml:space="preserve"> w zak</w:t>
      </w:r>
      <w:r w:rsidR="00C63D0B" w:rsidRPr="00201A9A">
        <w:rPr>
          <w:noProof/>
        </w:rPr>
        <w:t>res dyrektywy 2003/87/WE Parlamentu Europejskiego</w:t>
      </w:r>
      <w:r w:rsidR="00201A9A" w:rsidRPr="00201A9A">
        <w:rPr>
          <w:noProof/>
        </w:rPr>
        <w:t xml:space="preserve"> i Rad</w:t>
      </w:r>
      <w:r w:rsidR="00C63D0B" w:rsidRPr="00201A9A">
        <w:rPr>
          <w:noProof/>
        </w:rPr>
        <w:t>y.</w:t>
      </w:r>
    </w:p>
    <w:p w14:paraId="7C5A6A2C" w14:textId="2E75FCD0" w:rsidR="00C63D0B" w:rsidRPr="00201A9A" w:rsidRDefault="00875961" w:rsidP="00875961">
      <w:pPr>
        <w:pStyle w:val="ManualConsidrant"/>
        <w:rPr>
          <w:noProof/>
        </w:rPr>
      </w:pPr>
      <w:r w:rsidRPr="00875961">
        <w:rPr>
          <w:noProof/>
        </w:rPr>
        <w:t>(18)</w:t>
      </w:r>
      <w:r w:rsidRPr="00875961">
        <w:rPr>
          <w:noProof/>
        </w:rPr>
        <w:tab/>
      </w:r>
      <w:r w:rsidR="003425AD" w:rsidRPr="00201A9A">
        <w:rPr>
          <w:noProof/>
        </w:rPr>
        <w:t>Należy wspierać zrównoważoną jakość życia</w:t>
      </w:r>
      <w:r w:rsidR="00201A9A" w:rsidRPr="00201A9A">
        <w:rPr>
          <w:noProof/>
        </w:rPr>
        <w:t xml:space="preserve"> w Uni</w:t>
      </w:r>
      <w:r w:rsidR="003425AD" w:rsidRPr="00201A9A">
        <w:rPr>
          <w:noProof/>
        </w:rPr>
        <w:t>i poprzez zapewnienie rolnikom sprawiedliwszych</w:t>
      </w:r>
      <w:r w:rsidR="00201A9A" w:rsidRPr="00201A9A">
        <w:rPr>
          <w:noProof/>
        </w:rPr>
        <w:t xml:space="preserve"> i wys</w:t>
      </w:r>
      <w:r w:rsidR="003425AD" w:rsidRPr="00201A9A">
        <w:rPr>
          <w:noProof/>
        </w:rPr>
        <w:t>tarczających dochodów</w:t>
      </w:r>
      <w:r w:rsidR="00201A9A" w:rsidRPr="00201A9A">
        <w:rPr>
          <w:noProof/>
        </w:rPr>
        <w:t xml:space="preserve"> i ich</w:t>
      </w:r>
      <w:r w:rsidR="003425AD" w:rsidRPr="00201A9A">
        <w:rPr>
          <w:noProof/>
        </w:rPr>
        <w:t xml:space="preserve"> długoterminowej konkurencyjności oraz przyczynianie się do długoterminowego bezpieczeństwa żywnościowego.</w:t>
      </w:r>
      <w:r w:rsidR="00201A9A" w:rsidRPr="00201A9A">
        <w:rPr>
          <w:noProof/>
        </w:rPr>
        <w:t xml:space="preserve"> </w:t>
      </w:r>
      <w:r w:rsidR="003425AD" w:rsidRPr="00201A9A">
        <w:rPr>
          <w:noProof/>
        </w:rPr>
        <w:t>Ogólne cele Funduszu</w:t>
      </w:r>
      <w:r w:rsidR="00201A9A" w:rsidRPr="00201A9A">
        <w:rPr>
          <w:noProof/>
        </w:rPr>
        <w:t xml:space="preserve"> w odn</w:t>
      </w:r>
      <w:r w:rsidR="003425AD" w:rsidRPr="00201A9A">
        <w:rPr>
          <w:noProof/>
        </w:rPr>
        <w:t>iesieniu do WPR powinny zostać określone na poziomie Unii</w:t>
      </w:r>
      <w:r w:rsidR="00201A9A" w:rsidRPr="00201A9A">
        <w:rPr>
          <w:noProof/>
        </w:rPr>
        <w:t xml:space="preserve"> i wdr</w:t>
      </w:r>
      <w:r w:rsidR="003425AD" w:rsidRPr="00201A9A">
        <w:rPr>
          <w:noProof/>
        </w:rPr>
        <w:t>ożone przez państwa członkowskie za pośrednictwem ich planów. Środki powinny również poprawić atrakcyjność</w:t>
      </w:r>
      <w:r w:rsidR="00201A9A" w:rsidRPr="00201A9A">
        <w:rPr>
          <w:noProof/>
        </w:rPr>
        <w:t xml:space="preserve"> i poz</w:t>
      </w:r>
      <w:r w:rsidR="003425AD" w:rsidRPr="00201A9A">
        <w:rPr>
          <w:noProof/>
        </w:rPr>
        <w:t>iom życia na obszarach wiejskich oraz sprawiedliwe warunki pracy,</w:t>
      </w:r>
      <w:r w:rsidR="00201A9A" w:rsidRPr="00201A9A">
        <w:rPr>
          <w:noProof/>
        </w:rPr>
        <w:t xml:space="preserve"> a tak</w:t>
      </w:r>
      <w:r w:rsidR="003425AD" w:rsidRPr="00201A9A">
        <w:rPr>
          <w:noProof/>
        </w:rPr>
        <w:t>że wspierać wymianę pokoleń. zwiększyć gotowość oraz zdolność rolników do radzenia sobie</w:t>
      </w:r>
      <w:r w:rsidR="00201A9A" w:rsidRPr="00201A9A">
        <w:rPr>
          <w:noProof/>
        </w:rPr>
        <w:t xml:space="preserve"> z kry</w:t>
      </w:r>
      <w:r w:rsidR="003425AD" w:rsidRPr="00201A9A">
        <w:rPr>
          <w:noProof/>
        </w:rPr>
        <w:t>zysami</w:t>
      </w:r>
      <w:r w:rsidR="00201A9A" w:rsidRPr="00201A9A">
        <w:rPr>
          <w:noProof/>
        </w:rPr>
        <w:t xml:space="preserve"> i zag</w:t>
      </w:r>
      <w:r w:rsidR="003425AD" w:rsidRPr="00201A9A">
        <w:rPr>
          <w:noProof/>
        </w:rPr>
        <w:t>rożeniami, polepszyć dostęp do wiedzy</w:t>
      </w:r>
      <w:r w:rsidR="00201A9A" w:rsidRPr="00201A9A">
        <w:rPr>
          <w:noProof/>
        </w:rPr>
        <w:t xml:space="preserve"> i inn</w:t>
      </w:r>
      <w:r w:rsidR="003425AD" w:rsidRPr="00201A9A">
        <w:rPr>
          <w:noProof/>
        </w:rPr>
        <w:t>owacji oraz przyspieszyć zieloną</w:t>
      </w:r>
      <w:r w:rsidR="00201A9A" w:rsidRPr="00201A9A">
        <w:rPr>
          <w:noProof/>
        </w:rPr>
        <w:t xml:space="preserve"> i cyf</w:t>
      </w:r>
      <w:r w:rsidR="003425AD" w:rsidRPr="00201A9A">
        <w:rPr>
          <w:noProof/>
        </w:rPr>
        <w:t>rową transformację</w:t>
      </w:r>
      <w:r w:rsidR="00201A9A" w:rsidRPr="00201A9A">
        <w:rPr>
          <w:noProof/>
        </w:rPr>
        <w:t xml:space="preserve"> z myś</w:t>
      </w:r>
      <w:r w:rsidR="003425AD" w:rsidRPr="00201A9A">
        <w:rPr>
          <w:noProof/>
        </w:rPr>
        <w:t>lą</w:t>
      </w:r>
      <w:r w:rsidR="00201A9A" w:rsidRPr="00201A9A">
        <w:rPr>
          <w:noProof/>
        </w:rPr>
        <w:t xml:space="preserve"> o dob</w:t>
      </w:r>
      <w:r w:rsidR="003425AD" w:rsidRPr="00201A9A">
        <w:rPr>
          <w:noProof/>
        </w:rPr>
        <w:t>rze prosperującym sektorze rolno-spożywczym. Środki te powinny wspierać zrównoważony rozwój, konkurencyjność</w:t>
      </w:r>
      <w:r w:rsidR="00201A9A" w:rsidRPr="00201A9A">
        <w:rPr>
          <w:noProof/>
        </w:rPr>
        <w:t xml:space="preserve"> i odp</w:t>
      </w:r>
      <w:r w:rsidR="003425AD" w:rsidRPr="00201A9A">
        <w:rPr>
          <w:noProof/>
        </w:rPr>
        <w:t>orność unijnego sektora rybołówstwa</w:t>
      </w:r>
      <w:r w:rsidR="00201A9A" w:rsidRPr="00201A9A">
        <w:rPr>
          <w:noProof/>
        </w:rPr>
        <w:t xml:space="preserve"> i uni</w:t>
      </w:r>
      <w:r w:rsidR="003425AD" w:rsidRPr="00201A9A">
        <w:rPr>
          <w:noProof/>
        </w:rPr>
        <w:t>jnego sektora akwakultury, pobudzając zrównoważoną</w:t>
      </w:r>
      <w:r w:rsidR="00201A9A" w:rsidRPr="00201A9A">
        <w:rPr>
          <w:noProof/>
        </w:rPr>
        <w:t xml:space="preserve"> i kon</w:t>
      </w:r>
      <w:r w:rsidR="003425AD" w:rsidRPr="00201A9A">
        <w:rPr>
          <w:noProof/>
        </w:rPr>
        <w:t>kurencyjną niebieską gospodarkę na obszarach przybrzeżnych, wyspiarskich</w:t>
      </w:r>
      <w:r w:rsidR="00201A9A" w:rsidRPr="00201A9A">
        <w:rPr>
          <w:noProof/>
        </w:rPr>
        <w:t xml:space="preserve"> i śró</w:t>
      </w:r>
      <w:r w:rsidR="003425AD" w:rsidRPr="00201A9A">
        <w:rPr>
          <w:noProof/>
        </w:rPr>
        <w:t>dlądowych, zwiększając możliwości społeczno-gospodarcze</w:t>
      </w:r>
      <w:r w:rsidR="00201A9A" w:rsidRPr="00201A9A">
        <w:rPr>
          <w:noProof/>
        </w:rPr>
        <w:t xml:space="preserve"> i odp</w:t>
      </w:r>
      <w:r w:rsidR="003425AD" w:rsidRPr="00201A9A">
        <w:rPr>
          <w:noProof/>
        </w:rPr>
        <w:t>orność społeczności lokalnych oraz zapewniając sprawne zarządzanie oceanami we wszystkich wymiarach – aby były bezpieczne, chronione, czyste</w:t>
      </w:r>
      <w:r w:rsidR="00201A9A" w:rsidRPr="00201A9A">
        <w:rPr>
          <w:noProof/>
        </w:rPr>
        <w:t xml:space="preserve"> i zar</w:t>
      </w:r>
      <w:r w:rsidR="003425AD" w:rsidRPr="00201A9A">
        <w:rPr>
          <w:noProof/>
        </w:rPr>
        <w:t>ządzane</w:t>
      </w:r>
      <w:r w:rsidR="00201A9A" w:rsidRPr="00201A9A">
        <w:rPr>
          <w:noProof/>
        </w:rPr>
        <w:t xml:space="preserve"> w zró</w:t>
      </w:r>
      <w:r w:rsidR="003425AD" w:rsidRPr="00201A9A">
        <w:rPr>
          <w:noProof/>
        </w:rPr>
        <w:t>wnoważony sposób. Środki powinny aktywnie wzmacniać działania</w:t>
      </w:r>
      <w:r w:rsidR="00201A9A" w:rsidRPr="00201A9A">
        <w:rPr>
          <w:noProof/>
        </w:rPr>
        <w:t xml:space="preserve"> w dzi</w:t>
      </w:r>
      <w:r w:rsidR="003425AD" w:rsidRPr="00201A9A">
        <w:rPr>
          <w:noProof/>
        </w:rPr>
        <w:t>edzinie klimatu poprzez zwiększanie redukcji emisji gazów cieplarnianych, wspieranie działań łagodzących oraz ułatwianie przystosowania się do zmiany klimatu. Powinny one wspierać działania</w:t>
      </w:r>
      <w:r w:rsidR="00201A9A" w:rsidRPr="00201A9A">
        <w:rPr>
          <w:noProof/>
        </w:rPr>
        <w:t xml:space="preserve"> w dzi</w:t>
      </w:r>
      <w:r w:rsidR="003425AD" w:rsidRPr="00201A9A">
        <w:rPr>
          <w:noProof/>
        </w:rPr>
        <w:t>edzinie klimatu, świadczenie usług ekosystemowych, wydajną</w:t>
      </w:r>
      <w:r w:rsidR="00201A9A" w:rsidRPr="00201A9A">
        <w:rPr>
          <w:noProof/>
        </w:rPr>
        <w:t xml:space="preserve"> i odp</w:t>
      </w:r>
      <w:r w:rsidR="003425AD" w:rsidRPr="00201A9A">
        <w:rPr>
          <w:noProof/>
        </w:rPr>
        <w:t>orną gospodarkę wodną oraz wzmacniać zrównoważony rozwój, ochronę środowiska, ochronę</w:t>
      </w:r>
      <w:r w:rsidR="00201A9A" w:rsidRPr="00201A9A">
        <w:rPr>
          <w:noProof/>
        </w:rPr>
        <w:t xml:space="preserve"> i odb</w:t>
      </w:r>
      <w:r w:rsidR="003425AD" w:rsidRPr="00201A9A">
        <w:rPr>
          <w:noProof/>
        </w:rPr>
        <w:t>udowę różnorodności biologicznej</w:t>
      </w:r>
      <w:r w:rsidR="00201A9A" w:rsidRPr="00201A9A">
        <w:rPr>
          <w:noProof/>
        </w:rPr>
        <w:t xml:space="preserve"> i zas</w:t>
      </w:r>
      <w:r w:rsidR="003425AD" w:rsidRPr="00201A9A">
        <w:rPr>
          <w:noProof/>
        </w:rPr>
        <w:t>obów naturalnych,</w:t>
      </w:r>
      <w:r w:rsidR="00201A9A" w:rsidRPr="00201A9A">
        <w:rPr>
          <w:noProof/>
        </w:rPr>
        <w:t xml:space="preserve"> w tym</w:t>
      </w:r>
      <w:r w:rsidR="003425AD" w:rsidRPr="00201A9A">
        <w:rPr>
          <w:noProof/>
        </w:rPr>
        <w:t xml:space="preserve"> gleb, oraz służyć poprawie dobrostanu zwierząt. Uznając pozytywny wpływ rolników na klimat oraz</w:t>
      </w:r>
      <w:r w:rsidR="00201A9A" w:rsidRPr="00201A9A">
        <w:rPr>
          <w:noProof/>
        </w:rPr>
        <w:t xml:space="preserve"> w tro</w:t>
      </w:r>
      <w:r w:rsidR="003425AD" w:rsidRPr="00201A9A">
        <w:rPr>
          <w:noProof/>
        </w:rPr>
        <w:t>sce</w:t>
      </w:r>
      <w:r w:rsidR="00201A9A" w:rsidRPr="00201A9A">
        <w:rPr>
          <w:noProof/>
        </w:rPr>
        <w:t xml:space="preserve"> o uła</w:t>
      </w:r>
      <w:r w:rsidR="003425AD" w:rsidRPr="00201A9A">
        <w:rPr>
          <w:noProof/>
        </w:rPr>
        <w:t>twienie im dostępu do dobrowolnych zachęt rynkowych, Komisja</w:t>
      </w:r>
      <w:r w:rsidR="00201A9A" w:rsidRPr="00201A9A">
        <w:rPr>
          <w:noProof/>
        </w:rPr>
        <w:t xml:space="preserve"> i pań</w:t>
      </w:r>
      <w:r w:rsidR="003425AD" w:rsidRPr="00201A9A">
        <w:rPr>
          <w:noProof/>
        </w:rPr>
        <w:t>stwa członkowskie nadal pracują nad opracowaniem metodyki usuwania dwutlenku węgla</w:t>
      </w:r>
      <w:r w:rsidR="00201A9A" w:rsidRPr="00201A9A">
        <w:rPr>
          <w:noProof/>
        </w:rPr>
        <w:t xml:space="preserve"> i sza</w:t>
      </w:r>
      <w:r w:rsidR="003425AD" w:rsidRPr="00201A9A">
        <w:rPr>
          <w:noProof/>
        </w:rPr>
        <w:t>cowaniem redukcji emisji gazów cieplarnianych osiągniętych</w:t>
      </w:r>
      <w:r w:rsidR="00201A9A" w:rsidRPr="00201A9A">
        <w:rPr>
          <w:noProof/>
        </w:rPr>
        <w:t xml:space="preserve"> w ram</w:t>
      </w:r>
      <w:r w:rsidR="003425AD" w:rsidRPr="00201A9A">
        <w:rPr>
          <w:noProof/>
        </w:rPr>
        <w:t>ach WPR.</w:t>
      </w:r>
    </w:p>
    <w:p w14:paraId="33A808E1" w14:textId="59C67B53" w:rsidR="00467DF7" w:rsidRPr="00201A9A" w:rsidRDefault="00875961" w:rsidP="00875961">
      <w:pPr>
        <w:pStyle w:val="ManualConsidrant"/>
        <w:rPr>
          <w:noProof/>
        </w:rPr>
      </w:pPr>
      <w:r w:rsidRPr="00875961">
        <w:rPr>
          <w:noProof/>
        </w:rPr>
        <w:t>(19)</w:t>
      </w:r>
      <w:r w:rsidRPr="00875961">
        <w:rPr>
          <w:noProof/>
        </w:rPr>
        <w:tab/>
      </w:r>
      <w:r w:rsidR="00467DF7" w:rsidRPr="00201A9A">
        <w:rPr>
          <w:noProof/>
        </w:rPr>
        <w:t>Plany partnerstwa krajowego</w:t>
      </w:r>
      <w:r w:rsidR="00201A9A" w:rsidRPr="00201A9A">
        <w:rPr>
          <w:noProof/>
        </w:rPr>
        <w:t xml:space="preserve"> i reg</w:t>
      </w:r>
      <w:r w:rsidR="00467DF7" w:rsidRPr="00201A9A">
        <w:rPr>
          <w:noProof/>
        </w:rPr>
        <w:t>ionalnego (plany PKR) powinny nadal wspierać rozwój innowacyjnych projektów realizowanych</w:t>
      </w:r>
      <w:r w:rsidR="00201A9A" w:rsidRPr="00201A9A">
        <w:rPr>
          <w:noProof/>
        </w:rPr>
        <w:t xml:space="preserve"> z ini</w:t>
      </w:r>
      <w:r w:rsidR="00467DF7" w:rsidRPr="00201A9A">
        <w:rPr>
          <w:noProof/>
        </w:rPr>
        <w:t>cjatywy zainteresowanych stron, które przyczyniają się do realizacji strategicznych priorytetów UE, wzmacniając</w:t>
      </w:r>
      <w:r w:rsidR="00201A9A" w:rsidRPr="00201A9A">
        <w:rPr>
          <w:noProof/>
        </w:rPr>
        <w:t xml:space="preserve"> w ten</w:t>
      </w:r>
      <w:r w:rsidR="00467DF7" w:rsidRPr="00201A9A">
        <w:rPr>
          <w:noProof/>
        </w:rPr>
        <w:t xml:space="preserve"> sposób odporność UE na zmiany klimatu</w:t>
      </w:r>
      <w:r w:rsidR="00201A9A" w:rsidRPr="00201A9A">
        <w:rPr>
          <w:noProof/>
        </w:rPr>
        <w:t xml:space="preserve"> i jej</w:t>
      </w:r>
      <w:r w:rsidR="00467DF7" w:rsidRPr="00201A9A">
        <w:rPr>
          <w:noProof/>
        </w:rPr>
        <w:t xml:space="preserve"> wiodącą rolę</w:t>
      </w:r>
      <w:r w:rsidR="00201A9A" w:rsidRPr="00201A9A">
        <w:rPr>
          <w:noProof/>
        </w:rPr>
        <w:t xml:space="preserve"> w dzi</w:t>
      </w:r>
      <w:r w:rsidR="00467DF7" w:rsidRPr="00201A9A">
        <w:rPr>
          <w:noProof/>
        </w:rPr>
        <w:t>edzinie klimatu, przy jednoczesnej ochronie zasobów naturalnych</w:t>
      </w:r>
      <w:r w:rsidR="00201A9A" w:rsidRPr="00201A9A">
        <w:rPr>
          <w:noProof/>
        </w:rPr>
        <w:t xml:space="preserve"> i róż</w:t>
      </w:r>
      <w:r w:rsidR="00467DF7" w:rsidRPr="00201A9A">
        <w:rPr>
          <w:noProof/>
        </w:rPr>
        <w:t>norodności biologicznej Unii, które stanowią podstawę naszego dobrobytu</w:t>
      </w:r>
      <w:r w:rsidR="00201A9A" w:rsidRPr="00201A9A">
        <w:rPr>
          <w:noProof/>
        </w:rPr>
        <w:t xml:space="preserve"> i pow</w:t>
      </w:r>
      <w:r w:rsidR="00467DF7" w:rsidRPr="00201A9A">
        <w:rPr>
          <w:noProof/>
        </w:rPr>
        <w:t>odzenia,</w:t>
      </w:r>
      <w:r w:rsidR="00201A9A" w:rsidRPr="00201A9A">
        <w:rPr>
          <w:noProof/>
        </w:rPr>
        <w:t xml:space="preserve"> w opa</w:t>
      </w:r>
      <w:r w:rsidR="00467DF7" w:rsidRPr="00201A9A">
        <w:rPr>
          <w:noProof/>
        </w:rPr>
        <w:t>rciu</w:t>
      </w:r>
      <w:r w:rsidR="00201A9A" w:rsidRPr="00201A9A">
        <w:rPr>
          <w:noProof/>
        </w:rPr>
        <w:t xml:space="preserve"> o doś</w:t>
      </w:r>
      <w:r w:rsidR="00467DF7" w:rsidRPr="00201A9A">
        <w:rPr>
          <w:noProof/>
        </w:rPr>
        <w:t>wiadczenia zdobyte</w:t>
      </w:r>
      <w:r w:rsidR="00201A9A" w:rsidRPr="00201A9A">
        <w:rPr>
          <w:noProof/>
        </w:rPr>
        <w:t xml:space="preserve"> w ram</w:t>
      </w:r>
      <w:r w:rsidR="00467DF7" w:rsidRPr="00201A9A">
        <w:rPr>
          <w:noProof/>
        </w:rPr>
        <w:t>ach programu LIFE.</w:t>
      </w:r>
    </w:p>
    <w:p w14:paraId="506972FC" w14:textId="64422D08" w:rsidR="00056EEF" w:rsidRPr="00201A9A" w:rsidRDefault="00875961" w:rsidP="00875961">
      <w:pPr>
        <w:pStyle w:val="ManualConsidrant"/>
        <w:rPr>
          <w:noProof/>
          <w:sz w:val="22"/>
        </w:rPr>
      </w:pPr>
      <w:r w:rsidRPr="00875961">
        <w:rPr>
          <w:noProof/>
        </w:rPr>
        <w:t>(20)</w:t>
      </w:r>
      <w:r w:rsidRPr="00875961">
        <w:rPr>
          <w:noProof/>
        </w:rPr>
        <w:tab/>
      </w:r>
      <w:r w:rsidR="00A87E57" w:rsidRPr="00201A9A">
        <w:rPr>
          <w:noProof/>
        </w:rPr>
        <w:t>W trosce</w:t>
      </w:r>
      <w:r w:rsidR="00201A9A" w:rsidRPr="00201A9A">
        <w:rPr>
          <w:noProof/>
        </w:rPr>
        <w:t xml:space="preserve"> o och</w:t>
      </w:r>
      <w:r w:rsidR="00A87E57" w:rsidRPr="00201A9A">
        <w:rPr>
          <w:noProof/>
        </w:rPr>
        <w:t>ronę</w:t>
      </w:r>
      <w:r w:rsidR="00201A9A" w:rsidRPr="00201A9A">
        <w:rPr>
          <w:noProof/>
        </w:rPr>
        <w:t xml:space="preserve"> i wzm</w:t>
      </w:r>
      <w:r w:rsidR="00A87E57" w:rsidRPr="00201A9A">
        <w:rPr>
          <w:noProof/>
        </w:rPr>
        <w:t>ocnienie demokracji, praworządności oraz przestrzeganie wartości Unii, należy przeznaczyć środki na utrzymanie</w:t>
      </w:r>
      <w:r w:rsidR="00201A9A" w:rsidRPr="00201A9A">
        <w:rPr>
          <w:noProof/>
        </w:rPr>
        <w:t xml:space="preserve"> i dal</w:t>
      </w:r>
      <w:r w:rsidR="00A87E57" w:rsidRPr="00201A9A">
        <w:rPr>
          <w:noProof/>
        </w:rPr>
        <w:t>szy rozwój otwartych, opartych na prawach, demokratycznych, równych</w:t>
      </w:r>
      <w:r w:rsidR="00201A9A" w:rsidRPr="00201A9A">
        <w:rPr>
          <w:noProof/>
        </w:rPr>
        <w:t xml:space="preserve"> i int</w:t>
      </w:r>
      <w:r w:rsidR="00A87E57" w:rsidRPr="00201A9A">
        <w:rPr>
          <w:noProof/>
        </w:rPr>
        <w:t>egracyjnych społeczeństw,</w:t>
      </w:r>
      <w:r w:rsidR="00201A9A" w:rsidRPr="00201A9A">
        <w:rPr>
          <w:noProof/>
        </w:rPr>
        <w:t xml:space="preserve"> a tak</w:t>
      </w:r>
      <w:r w:rsidR="00A87E57" w:rsidRPr="00201A9A">
        <w:rPr>
          <w:noProof/>
        </w:rPr>
        <w:t>że na wzmocnienie systemów wymiaru sprawiedliwości, ram antykorupcyjnych, pluralizmu mediów oraz skutecznych mechanizmów kontroli</w:t>
      </w:r>
      <w:r w:rsidR="00201A9A" w:rsidRPr="00201A9A">
        <w:rPr>
          <w:noProof/>
        </w:rPr>
        <w:t xml:space="preserve"> i rów</w:t>
      </w:r>
      <w:r w:rsidR="00A87E57" w:rsidRPr="00201A9A">
        <w:rPr>
          <w:noProof/>
        </w:rPr>
        <w:t>nowagi. Środki te powinny również przyczynić się do lepszego zarządzania poprzez zwiększenie efektywności administracji publicznej,</w:t>
      </w:r>
      <w:r w:rsidR="00201A9A" w:rsidRPr="00201A9A">
        <w:rPr>
          <w:noProof/>
        </w:rPr>
        <w:t xml:space="preserve"> w tym</w:t>
      </w:r>
      <w:r w:rsidR="00A87E57" w:rsidRPr="00201A9A">
        <w:rPr>
          <w:noProof/>
        </w:rPr>
        <w:t xml:space="preserve"> organów sądowych, oraz zdolności instytucjonalnych organów publicznych</w:t>
      </w:r>
      <w:r w:rsidR="00201A9A" w:rsidRPr="00201A9A">
        <w:rPr>
          <w:noProof/>
        </w:rPr>
        <w:t xml:space="preserve"> i zai</w:t>
      </w:r>
      <w:r w:rsidR="00A87E57" w:rsidRPr="00201A9A">
        <w:rPr>
          <w:noProof/>
        </w:rPr>
        <w:t>nteresowanych stron</w:t>
      </w:r>
      <w:r w:rsidR="00201A9A" w:rsidRPr="00201A9A">
        <w:rPr>
          <w:noProof/>
        </w:rPr>
        <w:t xml:space="preserve"> w pań</w:t>
      </w:r>
      <w:r w:rsidR="00A87E57" w:rsidRPr="00201A9A">
        <w:rPr>
          <w:noProof/>
        </w:rPr>
        <w:t>stwach członkowskich, regionach</w:t>
      </w:r>
      <w:r w:rsidR="00201A9A" w:rsidRPr="00201A9A">
        <w:rPr>
          <w:noProof/>
        </w:rPr>
        <w:t xml:space="preserve"> i spo</w:t>
      </w:r>
      <w:r w:rsidR="00A87E57" w:rsidRPr="00201A9A">
        <w:rPr>
          <w:noProof/>
        </w:rPr>
        <w:t>łecznościach lokalnych. Ma to pozwolić na zwiększenie wydajności</w:t>
      </w:r>
      <w:r w:rsidR="00201A9A" w:rsidRPr="00201A9A">
        <w:rPr>
          <w:noProof/>
        </w:rPr>
        <w:t xml:space="preserve"> i sku</w:t>
      </w:r>
      <w:r w:rsidR="00A87E57" w:rsidRPr="00201A9A">
        <w:rPr>
          <w:noProof/>
        </w:rPr>
        <w:t>teczności wspieranych środków</w:t>
      </w:r>
      <w:r w:rsidR="00201A9A" w:rsidRPr="00201A9A">
        <w:rPr>
          <w:noProof/>
        </w:rPr>
        <w:t>. W cel</w:t>
      </w:r>
      <w:r w:rsidR="00A87E57" w:rsidRPr="00201A9A">
        <w:rPr>
          <w:noProof/>
        </w:rPr>
        <w:t>u zapewnienia, by wymiar społeczny Europy określony</w:t>
      </w:r>
      <w:r w:rsidR="00201A9A" w:rsidRPr="00201A9A">
        <w:rPr>
          <w:noProof/>
        </w:rPr>
        <w:t xml:space="preserve"> w Eur</w:t>
      </w:r>
      <w:r w:rsidR="00A87E57" w:rsidRPr="00201A9A">
        <w:rPr>
          <w:noProof/>
        </w:rPr>
        <w:t>opejskim filarze praw socjalnych został należycie przedstawiony oraz by wystarczająca kwota środków została ukierunkowana na osoby najbardziej potrzebujące, państwa członkowskie powinny przeznaczyć środki na wspieranie włączenia społecznego. Ze względu na szczególną potrzebę wspierania dzieci żyjących</w:t>
      </w:r>
      <w:r w:rsidR="00201A9A" w:rsidRPr="00201A9A">
        <w:rPr>
          <w:noProof/>
        </w:rPr>
        <w:t xml:space="preserve"> w ubó</w:t>
      </w:r>
      <w:r w:rsidR="00A87E57" w:rsidRPr="00201A9A">
        <w:rPr>
          <w:noProof/>
        </w:rPr>
        <w:t>stwie państwa członkowskie powinny również zaprogramować zasoby na środki</w:t>
      </w:r>
      <w:r w:rsidR="00201A9A" w:rsidRPr="00201A9A">
        <w:rPr>
          <w:noProof/>
        </w:rPr>
        <w:t xml:space="preserve"> w ram</w:t>
      </w:r>
      <w:r w:rsidR="00A87E57" w:rsidRPr="00201A9A">
        <w:rPr>
          <w:noProof/>
        </w:rPr>
        <w:t>ach gwarancji dla dzieci. Zważywszy na utrzymujące się wysokie poziomy bezrobocia</w:t>
      </w:r>
      <w:r w:rsidR="00201A9A" w:rsidRPr="00201A9A">
        <w:rPr>
          <w:noProof/>
        </w:rPr>
        <w:t xml:space="preserve"> i bie</w:t>
      </w:r>
      <w:r w:rsidR="00A87E57" w:rsidRPr="00201A9A">
        <w:rPr>
          <w:noProof/>
        </w:rPr>
        <w:t>rności zawodowej osób młodych</w:t>
      </w:r>
      <w:r w:rsidR="00201A9A" w:rsidRPr="00201A9A">
        <w:rPr>
          <w:noProof/>
        </w:rPr>
        <w:t xml:space="preserve"> w sze</w:t>
      </w:r>
      <w:r w:rsidR="00A87E57" w:rsidRPr="00201A9A">
        <w:rPr>
          <w:noProof/>
        </w:rPr>
        <w:t>regu państw członkowskich</w:t>
      </w:r>
      <w:r w:rsidR="00201A9A" w:rsidRPr="00201A9A">
        <w:rPr>
          <w:noProof/>
        </w:rPr>
        <w:t xml:space="preserve"> i reg</w:t>
      </w:r>
      <w:r w:rsidR="00A87E57" w:rsidRPr="00201A9A">
        <w:rPr>
          <w:noProof/>
        </w:rPr>
        <w:t>ionów,</w:t>
      </w:r>
      <w:r w:rsidR="00201A9A" w:rsidRPr="00201A9A">
        <w:rPr>
          <w:noProof/>
        </w:rPr>
        <w:t xml:space="preserve"> w szc</w:t>
      </w:r>
      <w:r w:rsidR="00A87E57" w:rsidRPr="00201A9A">
        <w:rPr>
          <w:noProof/>
        </w:rPr>
        <w:t>zególności wśród młodzieży niekształcącej się, niepracującej ani nieszkolącej się, konieczne jest, aby te państwa nadal inwestowały wystarczające zasoby</w:t>
      </w:r>
      <w:r w:rsidR="00201A9A" w:rsidRPr="00201A9A">
        <w:rPr>
          <w:noProof/>
        </w:rPr>
        <w:t xml:space="preserve"> w śro</w:t>
      </w:r>
      <w:r w:rsidR="00A87E57" w:rsidRPr="00201A9A">
        <w:rPr>
          <w:noProof/>
        </w:rPr>
        <w:t>dki promujące zatrudnienie osób młodych,</w:t>
      </w:r>
      <w:r w:rsidR="00201A9A" w:rsidRPr="00201A9A">
        <w:rPr>
          <w:noProof/>
        </w:rPr>
        <w:t xml:space="preserve"> w tym</w:t>
      </w:r>
      <w:r w:rsidR="00A87E57" w:rsidRPr="00201A9A">
        <w:rPr>
          <w:noProof/>
        </w:rPr>
        <w:t xml:space="preserve"> za pomocą gwarancji dla młodzieży. Państwa członkowskie powinny zatem przeznaczyć odpowiednią kwotę środków na to wyzwanie. Państwa członkowskie poważnie dotknięte bezrobociem młodzieży powinny przeznaczyć środki z EFS na wsparcie zdolności do zatrudnienia młodzieży.</w:t>
      </w:r>
    </w:p>
    <w:p w14:paraId="786CFFD1" w14:textId="7ECB9C90" w:rsidR="00467DF7" w:rsidRPr="00201A9A" w:rsidRDefault="00875961" w:rsidP="00875961">
      <w:pPr>
        <w:pStyle w:val="ManualConsidrant"/>
        <w:rPr>
          <w:noProof/>
          <w:sz w:val="22"/>
        </w:rPr>
      </w:pPr>
      <w:r w:rsidRPr="00875961">
        <w:rPr>
          <w:noProof/>
        </w:rPr>
        <w:t>(21)</w:t>
      </w:r>
      <w:r w:rsidRPr="00875961">
        <w:rPr>
          <w:noProof/>
        </w:rPr>
        <w:tab/>
      </w:r>
      <w:r w:rsidR="00467DF7" w:rsidRPr="00201A9A">
        <w:rPr>
          <w:noProof/>
        </w:rPr>
        <w:t>Dalszy rozwój finansowania rynkowego we wszystkich państwach członkowskich,</w:t>
      </w:r>
      <w:r w:rsidR="00201A9A" w:rsidRPr="00201A9A">
        <w:rPr>
          <w:noProof/>
        </w:rPr>
        <w:t xml:space="preserve"> a w szc</w:t>
      </w:r>
      <w:r w:rsidR="00467DF7" w:rsidRPr="00201A9A">
        <w:rPr>
          <w:noProof/>
        </w:rPr>
        <w:t>zególności</w:t>
      </w:r>
      <w:r w:rsidR="00201A9A" w:rsidRPr="00201A9A">
        <w:rPr>
          <w:noProof/>
        </w:rPr>
        <w:t xml:space="preserve"> w tyc</w:t>
      </w:r>
      <w:r w:rsidR="00467DF7" w:rsidRPr="00201A9A">
        <w:rPr>
          <w:noProof/>
        </w:rPr>
        <w:t>h,</w:t>
      </w:r>
      <w:r w:rsidR="00201A9A" w:rsidRPr="00201A9A">
        <w:rPr>
          <w:noProof/>
        </w:rPr>
        <w:t xml:space="preserve"> w któ</w:t>
      </w:r>
      <w:r w:rsidR="00467DF7" w:rsidRPr="00201A9A">
        <w:rPr>
          <w:noProof/>
        </w:rPr>
        <w:t>rych rynki kapitałowe są obecnie słabiej rozwinięte, wniesie istotny wkład</w:t>
      </w:r>
      <w:r w:rsidR="00201A9A" w:rsidRPr="00201A9A">
        <w:rPr>
          <w:noProof/>
        </w:rPr>
        <w:t xml:space="preserve"> w trw</w:t>
      </w:r>
      <w:r w:rsidR="00467DF7" w:rsidRPr="00201A9A">
        <w:rPr>
          <w:noProof/>
        </w:rPr>
        <w:t>ały dobrobyt</w:t>
      </w:r>
      <w:r w:rsidR="00201A9A" w:rsidRPr="00201A9A">
        <w:rPr>
          <w:noProof/>
        </w:rPr>
        <w:t xml:space="preserve"> i kon</w:t>
      </w:r>
      <w:r w:rsidR="00467DF7" w:rsidRPr="00201A9A">
        <w:rPr>
          <w:noProof/>
        </w:rPr>
        <w:t>kurencyjność Unii. Realizując te cele, Unia oszczędności</w:t>
      </w:r>
      <w:r w:rsidR="00201A9A" w:rsidRPr="00201A9A">
        <w:rPr>
          <w:noProof/>
        </w:rPr>
        <w:t xml:space="preserve"> i inw</w:t>
      </w:r>
      <w:r w:rsidR="00467DF7" w:rsidRPr="00201A9A">
        <w:rPr>
          <w:noProof/>
        </w:rPr>
        <w:t>estycji wymaga podejścia oddolnego</w:t>
      </w:r>
      <w:r w:rsidR="00201A9A" w:rsidRPr="00201A9A">
        <w:rPr>
          <w:noProof/>
        </w:rPr>
        <w:t xml:space="preserve"> w ram</w:t>
      </w:r>
      <w:r w:rsidR="00467DF7" w:rsidRPr="00201A9A">
        <w:rPr>
          <w:noProof/>
        </w:rPr>
        <w:t>ach wspólnej odpowiedzialności państw członkowskich</w:t>
      </w:r>
      <w:r w:rsidR="00201A9A" w:rsidRPr="00201A9A">
        <w:rPr>
          <w:noProof/>
        </w:rPr>
        <w:t xml:space="preserve"> i ins</w:t>
      </w:r>
      <w:r w:rsidR="00467DF7" w:rsidRPr="00201A9A">
        <w:rPr>
          <w:noProof/>
        </w:rPr>
        <w:t>tytucji UE. Chociaż środki na szczeblu UE są uzasadnione</w:t>
      </w:r>
      <w:r w:rsidR="00201A9A" w:rsidRPr="00201A9A">
        <w:rPr>
          <w:noProof/>
        </w:rPr>
        <w:t xml:space="preserve"> w klu</w:t>
      </w:r>
      <w:r w:rsidR="00467DF7" w:rsidRPr="00201A9A">
        <w:rPr>
          <w:noProof/>
        </w:rPr>
        <w:t>czowych obszarach,</w:t>
      </w:r>
      <w:r w:rsidR="00201A9A" w:rsidRPr="00201A9A">
        <w:rPr>
          <w:noProof/>
        </w:rPr>
        <w:t xml:space="preserve"> w któ</w:t>
      </w:r>
      <w:r w:rsidR="00467DF7" w:rsidRPr="00201A9A">
        <w:rPr>
          <w:noProof/>
        </w:rPr>
        <w:t>rych wszystkie państwa członkowskie powinny działać</w:t>
      </w:r>
      <w:r w:rsidR="00201A9A" w:rsidRPr="00201A9A">
        <w:rPr>
          <w:noProof/>
        </w:rPr>
        <w:t xml:space="preserve"> w spo</w:t>
      </w:r>
      <w:r w:rsidR="00467DF7" w:rsidRPr="00201A9A">
        <w:rPr>
          <w:noProof/>
        </w:rPr>
        <w:t>sób blokady, aby zaradzić niedociągnięciom ogólnounijnym, inne środki również będą wymagały skoordynowanego podejścia, ale będą</w:t>
      </w:r>
      <w:r w:rsidR="00201A9A" w:rsidRPr="00201A9A">
        <w:rPr>
          <w:noProof/>
        </w:rPr>
        <w:t xml:space="preserve"> w wię</w:t>
      </w:r>
      <w:r w:rsidR="00467DF7" w:rsidRPr="00201A9A">
        <w:rPr>
          <w:noProof/>
        </w:rPr>
        <w:t>kszym stopniu polegać na indywidualnych działaniach państw członkowskich.</w:t>
      </w:r>
    </w:p>
    <w:p w14:paraId="089EDFB4" w14:textId="5967D10C" w:rsidR="00C63D0B" w:rsidRPr="00201A9A" w:rsidRDefault="00875961" w:rsidP="00875961">
      <w:pPr>
        <w:pStyle w:val="ManualConsidrant"/>
        <w:rPr>
          <w:noProof/>
        </w:rPr>
      </w:pPr>
      <w:r w:rsidRPr="00875961">
        <w:rPr>
          <w:noProof/>
        </w:rPr>
        <w:t>(22)</w:t>
      </w:r>
      <w:r w:rsidRPr="00875961">
        <w:rPr>
          <w:noProof/>
        </w:rPr>
        <w:tab/>
      </w:r>
      <w:r w:rsidR="00C63D0B" w:rsidRPr="00201A9A">
        <w:rPr>
          <w:noProof/>
        </w:rPr>
        <w:t>Ponieważ cele niniejszego rozporządzenia nie mogą zostać osiągnięte</w:t>
      </w:r>
      <w:r w:rsidR="00201A9A" w:rsidRPr="00201A9A">
        <w:rPr>
          <w:noProof/>
        </w:rPr>
        <w:t xml:space="preserve"> w spo</w:t>
      </w:r>
      <w:r w:rsidR="00C63D0B" w:rsidRPr="00201A9A">
        <w:rPr>
          <w:noProof/>
        </w:rPr>
        <w:t>sób wystarczający przez państwa członkowskie,</w:t>
      </w:r>
      <w:r w:rsidR="00201A9A" w:rsidRPr="00201A9A">
        <w:rPr>
          <w:noProof/>
        </w:rPr>
        <w:t xml:space="preserve"> a wzg</w:t>
      </w:r>
      <w:r w:rsidR="00C63D0B" w:rsidRPr="00201A9A">
        <w:rPr>
          <w:noProof/>
        </w:rPr>
        <w:t>lędu na zakres</w:t>
      </w:r>
      <w:r w:rsidR="00201A9A" w:rsidRPr="00201A9A">
        <w:rPr>
          <w:noProof/>
        </w:rPr>
        <w:t xml:space="preserve"> i spe</w:t>
      </w:r>
      <w:r w:rsidR="00C63D0B" w:rsidRPr="00201A9A">
        <w:rPr>
          <w:noProof/>
        </w:rPr>
        <w:t>cyfikę niektórych wyżej wymienionych wyzwań lepiej można stawić im czoła na poziomie Unii, Unia może przedsięwziąć środki zgodnie</w:t>
      </w:r>
      <w:r w:rsidR="00201A9A" w:rsidRPr="00201A9A">
        <w:rPr>
          <w:noProof/>
        </w:rPr>
        <w:t xml:space="preserve"> z zas</w:t>
      </w:r>
      <w:r w:rsidR="00C63D0B" w:rsidRPr="00201A9A">
        <w:rPr>
          <w:noProof/>
        </w:rPr>
        <w:t>adą pomocniczości określoną</w:t>
      </w:r>
      <w:r w:rsidR="00201A9A" w:rsidRPr="00201A9A">
        <w:rPr>
          <w:noProof/>
        </w:rPr>
        <w:t xml:space="preserve"> w art</w:t>
      </w:r>
      <w:r w:rsidR="00C63D0B" w:rsidRPr="00201A9A">
        <w:rPr>
          <w:noProof/>
        </w:rPr>
        <w:t>.</w:t>
      </w:r>
      <w:r w:rsidR="00201A9A" w:rsidRPr="00201A9A">
        <w:rPr>
          <w:noProof/>
        </w:rPr>
        <w:t> </w:t>
      </w:r>
      <w:r w:rsidR="00C63D0B" w:rsidRPr="00201A9A">
        <w:rPr>
          <w:noProof/>
        </w:rPr>
        <w:t>5 Traktatu</w:t>
      </w:r>
      <w:r w:rsidR="00201A9A" w:rsidRPr="00201A9A">
        <w:rPr>
          <w:noProof/>
        </w:rPr>
        <w:t xml:space="preserve"> o Uni</w:t>
      </w:r>
      <w:r w:rsidR="00C63D0B" w:rsidRPr="00201A9A">
        <w:rPr>
          <w:noProof/>
        </w:rPr>
        <w:t>i Europejskiej. Zgodnie</w:t>
      </w:r>
      <w:r w:rsidR="00201A9A" w:rsidRPr="00201A9A">
        <w:rPr>
          <w:noProof/>
        </w:rPr>
        <w:t xml:space="preserve"> z zas</w:t>
      </w:r>
      <w:r w:rsidR="00C63D0B" w:rsidRPr="00201A9A">
        <w:rPr>
          <w:noProof/>
        </w:rPr>
        <w:t>adą proporcjonalności określoną</w:t>
      </w:r>
      <w:r w:rsidR="00201A9A" w:rsidRPr="00201A9A">
        <w:rPr>
          <w:noProof/>
        </w:rPr>
        <w:t xml:space="preserve"> w tym</w:t>
      </w:r>
      <w:r w:rsidR="00C63D0B" w:rsidRPr="00201A9A">
        <w:rPr>
          <w:noProof/>
        </w:rPr>
        <w:t xml:space="preserve"> artykule niniejsze rozporządzenie nie wykracza poza to, co jest konieczne do osiągnięcia tych celów. Regiony pozostaną</w:t>
      </w:r>
      <w:r w:rsidR="00201A9A" w:rsidRPr="00201A9A">
        <w:rPr>
          <w:noProof/>
        </w:rPr>
        <w:t xml:space="preserve"> w cen</w:t>
      </w:r>
      <w:r w:rsidR="00C63D0B" w:rsidRPr="00201A9A">
        <w:rPr>
          <w:noProof/>
        </w:rPr>
        <w:t>trum Funduszu,</w:t>
      </w:r>
      <w:r w:rsidR="00201A9A" w:rsidRPr="00201A9A">
        <w:rPr>
          <w:noProof/>
        </w:rPr>
        <w:t xml:space="preserve"> a pod</w:t>
      </w:r>
      <w:r w:rsidR="00C63D0B" w:rsidRPr="00201A9A">
        <w:rPr>
          <w:noProof/>
        </w:rPr>
        <w:t>stawowymi elementami będą zasada partnerstwa</w:t>
      </w:r>
      <w:r w:rsidR="00201A9A" w:rsidRPr="00201A9A">
        <w:rPr>
          <w:noProof/>
        </w:rPr>
        <w:t xml:space="preserve"> i wie</w:t>
      </w:r>
      <w:r w:rsidR="00C63D0B" w:rsidRPr="00201A9A">
        <w:rPr>
          <w:noProof/>
        </w:rPr>
        <w:t>lopoziomowe zarządzanie. Aby zapewnić ciągłość, Fundusz będzie</w:t>
      </w:r>
      <w:r w:rsidR="00201A9A" w:rsidRPr="00201A9A">
        <w:rPr>
          <w:noProof/>
        </w:rPr>
        <w:t xml:space="preserve"> w jak</w:t>
      </w:r>
      <w:r w:rsidR="00C63D0B" w:rsidRPr="00201A9A">
        <w:rPr>
          <w:noProof/>
        </w:rPr>
        <w:t xml:space="preserve"> największym stopniu opierał się na istniejących strukturach pro-strukturalnych</w:t>
      </w:r>
      <w:r w:rsidR="00201A9A" w:rsidRPr="00201A9A">
        <w:rPr>
          <w:noProof/>
        </w:rPr>
        <w:t xml:space="preserve"> z udz</w:t>
      </w:r>
      <w:r w:rsidR="00C63D0B" w:rsidRPr="00201A9A">
        <w:rPr>
          <w:noProof/>
        </w:rPr>
        <w:t>iałem władz regionalnych</w:t>
      </w:r>
      <w:r w:rsidR="00201A9A" w:rsidRPr="00201A9A">
        <w:rPr>
          <w:noProof/>
        </w:rPr>
        <w:t xml:space="preserve"> i lok</w:t>
      </w:r>
      <w:r w:rsidR="00C63D0B" w:rsidRPr="00201A9A">
        <w:rPr>
          <w:noProof/>
        </w:rPr>
        <w:t>alnych, partnerów społecznych</w:t>
      </w:r>
      <w:r w:rsidR="00201A9A" w:rsidRPr="00201A9A">
        <w:rPr>
          <w:noProof/>
        </w:rPr>
        <w:t xml:space="preserve"> i inn</w:t>
      </w:r>
      <w:r w:rsidR="00C63D0B" w:rsidRPr="00201A9A">
        <w:rPr>
          <w:noProof/>
        </w:rPr>
        <w:t>ych odpowiednich zainteresowanych stron odgrywających kluczową rolę</w:t>
      </w:r>
      <w:r w:rsidR="00201A9A" w:rsidRPr="00201A9A">
        <w:rPr>
          <w:noProof/>
        </w:rPr>
        <w:t xml:space="preserve"> w opr</w:t>
      </w:r>
      <w:r w:rsidR="00C63D0B" w:rsidRPr="00201A9A">
        <w:rPr>
          <w:noProof/>
        </w:rPr>
        <w:t>acowywaniu, zarządzaniu, wdrażaniu</w:t>
      </w:r>
      <w:r w:rsidR="00201A9A" w:rsidRPr="00201A9A">
        <w:rPr>
          <w:noProof/>
        </w:rPr>
        <w:t xml:space="preserve"> i mon</w:t>
      </w:r>
      <w:r w:rsidR="00C63D0B" w:rsidRPr="00201A9A">
        <w:rPr>
          <w:noProof/>
        </w:rPr>
        <w:t>itorowaniu środków wspieranych</w:t>
      </w:r>
      <w:r w:rsidR="00201A9A" w:rsidRPr="00201A9A">
        <w:rPr>
          <w:noProof/>
        </w:rPr>
        <w:t xml:space="preserve"> w ram</w:t>
      </w:r>
      <w:r w:rsidR="00C63D0B" w:rsidRPr="00201A9A">
        <w:rPr>
          <w:noProof/>
        </w:rPr>
        <w:t xml:space="preserve">ach Funduszu. </w:t>
      </w:r>
    </w:p>
    <w:p w14:paraId="51F8A9B9" w14:textId="4D62912A" w:rsidR="001A0813" w:rsidRPr="00201A9A" w:rsidRDefault="00875961" w:rsidP="00875961">
      <w:pPr>
        <w:pStyle w:val="ManualConsidrant"/>
        <w:rPr>
          <w:noProof/>
        </w:rPr>
      </w:pPr>
      <w:r w:rsidRPr="00875961">
        <w:rPr>
          <w:noProof/>
        </w:rPr>
        <w:t>(23)</w:t>
      </w:r>
      <w:r w:rsidRPr="00875961">
        <w:rPr>
          <w:noProof/>
        </w:rPr>
        <w:tab/>
      </w:r>
      <w:r w:rsidR="001A0813" w:rsidRPr="00201A9A">
        <w:rPr>
          <w:noProof/>
        </w:rPr>
        <w:t>Jako uzupełnienie działań wspieranych na mocy rozporządzenia (UE) [...] [Globalny wymiar Europy] Fundusz może wspierać działania</w:t>
      </w:r>
      <w:r w:rsidR="00201A9A" w:rsidRPr="00201A9A">
        <w:rPr>
          <w:noProof/>
        </w:rPr>
        <w:t xml:space="preserve"> w pań</w:t>
      </w:r>
      <w:r w:rsidR="001A0813" w:rsidRPr="00201A9A">
        <w:rPr>
          <w:noProof/>
        </w:rPr>
        <w:t>stwach trzecich lub działania dotyczące państw trzecich. Takie działania powinny zapewniać pełną spójność</w:t>
      </w:r>
      <w:r w:rsidR="00201A9A" w:rsidRPr="00201A9A">
        <w:rPr>
          <w:noProof/>
        </w:rPr>
        <w:t xml:space="preserve"> z zas</w:t>
      </w:r>
      <w:r w:rsidR="001A0813" w:rsidRPr="00201A9A">
        <w:rPr>
          <w:noProof/>
        </w:rPr>
        <w:t>adami</w:t>
      </w:r>
      <w:r w:rsidR="00201A9A" w:rsidRPr="00201A9A">
        <w:rPr>
          <w:noProof/>
        </w:rPr>
        <w:t xml:space="preserve"> i ogó</w:t>
      </w:r>
      <w:r w:rsidR="001A0813" w:rsidRPr="00201A9A">
        <w:rPr>
          <w:noProof/>
        </w:rPr>
        <w:t>lnymi celami polityki zewnętrznej Unii,</w:t>
      </w:r>
      <w:r w:rsidR="00201A9A" w:rsidRPr="00201A9A">
        <w:rPr>
          <w:noProof/>
        </w:rPr>
        <w:t xml:space="preserve"> z mię</w:t>
      </w:r>
      <w:r w:rsidR="001A0813" w:rsidRPr="00201A9A">
        <w:rPr>
          <w:noProof/>
        </w:rPr>
        <w:t>dzynarodowymi zobowiązaniami Unii oraz</w:t>
      </w:r>
      <w:r w:rsidR="00201A9A" w:rsidRPr="00201A9A">
        <w:rPr>
          <w:noProof/>
        </w:rPr>
        <w:t xml:space="preserve"> z pra</w:t>
      </w:r>
      <w:r w:rsidR="001A0813" w:rsidRPr="00201A9A">
        <w:rPr>
          <w:noProof/>
        </w:rPr>
        <w:t>wami</w:t>
      </w:r>
      <w:r w:rsidR="00201A9A" w:rsidRPr="00201A9A">
        <w:rPr>
          <w:noProof/>
        </w:rPr>
        <w:t xml:space="preserve"> i zas</w:t>
      </w:r>
      <w:r w:rsidR="001A0813" w:rsidRPr="00201A9A">
        <w:rPr>
          <w:noProof/>
        </w:rPr>
        <w:t>adami zapisanymi</w:t>
      </w:r>
      <w:r w:rsidR="00201A9A" w:rsidRPr="00201A9A">
        <w:rPr>
          <w:noProof/>
        </w:rPr>
        <w:t xml:space="preserve"> w dor</w:t>
      </w:r>
      <w:r w:rsidR="001A0813" w:rsidRPr="00201A9A">
        <w:rPr>
          <w:noProof/>
        </w:rPr>
        <w:t>obku prawnym UE.</w:t>
      </w:r>
    </w:p>
    <w:p w14:paraId="4B93F3ED" w14:textId="40CE821E" w:rsidR="00C63D0B" w:rsidRPr="00201A9A" w:rsidRDefault="00875961" w:rsidP="00875961">
      <w:pPr>
        <w:pStyle w:val="ManualConsidrant"/>
        <w:rPr>
          <w:noProof/>
        </w:rPr>
      </w:pPr>
      <w:r w:rsidRPr="00875961">
        <w:rPr>
          <w:noProof/>
        </w:rPr>
        <w:t>(24)</w:t>
      </w:r>
      <w:r w:rsidRPr="00875961">
        <w:rPr>
          <w:noProof/>
        </w:rPr>
        <w:tab/>
      </w:r>
      <w:r w:rsidR="00C63D0B" w:rsidRPr="00201A9A">
        <w:rPr>
          <w:noProof/>
        </w:rPr>
        <w:t>Kluczowym elementem realizacji planów partnerstwa krajowego</w:t>
      </w:r>
      <w:r w:rsidR="00201A9A" w:rsidRPr="00201A9A">
        <w:rPr>
          <w:noProof/>
        </w:rPr>
        <w:t xml:space="preserve"> i reg</w:t>
      </w:r>
      <w:r w:rsidR="00C63D0B" w:rsidRPr="00201A9A">
        <w:rPr>
          <w:noProof/>
        </w:rPr>
        <w:t>ionalnego (planów PKR) jest zasada partnerstwa</w:t>
      </w:r>
      <w:r w:rsidR="00201A9A" w:rsidRPr="00201A9A">
        <w:rPr>
          <w:noProof/>
        </w:rPr>
        <w:t xml:space="preserve"> z pod</w:t>
      </w:r>
      <w:r w:rsidR="00C63D0B" w:rsidRPr="00201A9A">
        <w:rPr>
          <w:noProof/>
        </w:rPr>
        <w:t>ejściem opartym na wielopoziomowym zarządzaniu, która zapewnia udział władz regionalnych, lokalnych</w:t>
      </w:r>
      <w:r w:rsidR="00201A9A" w:rsidRPr="00201A9A">
        <w:rPr>
          <w:noProof/>
        </w:rPr>
        <w:t xml:space="preserve"> i mie</w:t>
      </w:r>
      <w:r w:rsidR="00C63D0B" w:rsidRPr="00201A9A">
        <w:rPr>
          <w:noProof/>
        </w:rPr>
        <w:t>jskich oraz innych instytucji publicznych, organizacji społeczeństwa obywatelskiego, partnerów gospodarczych</w:t>
      </w:r>
      <w:r w:rsidR="00201A9A" w:rsidRPr="00201A9A">
        <w:rPr>
          <w:noProof/>
        </w:rPr>
        <w:t xml:space="preserve"> i spo</w:t>
      </w:r>
      <w:r w:rsidR="00C63D0B" w:rsidRPr="00201A9A">
        <w:rPr>
          <w:noProof/>
        </w:rPr>
        <w:t>łecznych oraz,</w:t>
      </w:r>
      <w:r w:rsidR="00201A9A" w:rsidRPr="00201A9A">
        <w:rPr>
          <w:noProof/>
        </w:rPr>
        <w:t xml:space="preserve"> w sto</w:t>
      </w:r>
      <w:r w:rsidR="00C63D0B" w:rsidRPr="00201A9A">
        <w:rPr>
          <w:noProof/>
        </w:rPr>
        <w:t>sownych przypadkach, organizacji badawczych</w:t>
      </w:r>
      <w:r w:rsidR="00201A9A" w:rsidRPr="00201A9A">
        <w:rPr>
          <w:noProof/>
        </w:rPr>
        <w:t xml:space="preserve"> i uni</w:t>
      </w:r>
      <w:r w:rsidR="00C63D0B" w:rsidRPr="00201A9A">
        <w:rPr>
          <w:noProof/>
        </w:rPr>
        <w:t>wersytetów. Aby zapewnić ciągłość struktury partnerstwa, do Funduszy objętych niniejszym rozporządzeniem nadal powinien mieć zastosowanie europejski kodeks postępowania</w:t>
      </w:r>
      <w:r w:rsidR="00201A9A" w:rsidRPr="00201A9A">
        <w:rPr>
          <w:noProof/>
        </w:rPr>
        <w:t xml:space="preserve"> w spr</w:t>
      </w:r>
      <w:r w:rsidR="00C63D0B" w:rsidRPr="00201A9A">
        <w:rPr>
          <w:noProof/>
        </w:rPr>
        <w:t>awie umów</w:t>
      </w:r>
      <w:r w:rsidR="00201A9A" w:rsidRPr="00201A9A">
        <w:rPr>
          <w:noProof/>
        </w:rPr>
        <w:t xml:space="preserve"> o par</w:t>
      </w:r>
      <w:r w:rsidR="00C63D0B" w:rsidRPr="00201A9A">
        <w:rPr>
          <w:noProof/>
        </w:rPr>
        <w:t>tnerstwie</w:t>
      </w:r>
      <w:r w:rsidR="00201A9A" w:rsidRPr="00201A9A">
        <w:rPr>
          <w:noProof/>
        </w:rPr>
        <w:t xml:space="preserve"> i pro</w:t>
      </w:r>
      <w:r w:rsidR="00C63D0B" w:rsidRPr="00201A9A">
        <w:rPr>
          <w:noProof/>
        </w:rPr>
        <w:t>gramów wspieranych</w:t>
      </w:r>
      <w:r w:rsidR="00201A9A" w:rsidRPr="00201A9A">
        <w:rPr>
          <w:noProof/>
        </w:rPr>
        <w:t xml:space="preserve"> z eur</w:t>
      </w:r>
      <w:r w:rsidR="00C63D0B" w:rsidRPr="00201A9A">
        <w:rPr>
          <w:noProof/>
        </w:rPr>
        <w:t>opejskich funduszy strukturalnych</w:t>
      </w:r>
      <w:r w:rsidR="00201A9A" w:rsidRPr="00201A9A">
        <w:rPr>
          <w:noProof/>
        </w:rPr>
        <w:t xml:space="preserve"> i inw</w:t>
      </w:r>
      <w:r w:rsidR="00C63D0B" w:rsidRPr="00201A9A">
        <w:rPr>
          <w:noProof/>
        </w:rPr>
        <w:t>estycyjnych ustanowiony rozporządzeniem delegowanym Komisji (UE) nr</w:t>
      </w:r>
      <w:r w:rsidR="00201A9A" w:rsidRPr="00201A9A">
        <w:rPr>
          <w:noProof/>
        </w:rPr>
        <w:t> </w:t>
      </w:r>
      <w:r w:rsidR="00C63D0B" w:rsidRPr="00201A9A">
        <w:rPr>
          <w:noProof/>
        </w:rPr>
        <w:t>240/2014</w:t>
      </w:r>
      <w:r w:rsidR="00C63D0B" w:rsidRPr="00201A9A">
        <w:rPr>
          <w:rStyle w:val="FootnoteReference"/>
          <w:noProof/>
        </w:rPr>
        <w:footnoteReference w:id="10"/>
      </w:r>
      <w:r w:rsidR="00C63D0B" w:rsidRPr="00201A9A">
        <w:rPr>
          <w:noProof/>
        </w:rPr>
        <w:t xml:space="preserve"> („europejski kodeks postępowania</w:t>
      </w:r>
      <w:r w:rsidR="00201A9A" w:rsidRPr="00201A9A">
        <w:rPr>
          <w:noProof/>
        </w:rPr>
        <w:t xml:space="preserve"> w zak</w:t>
      </w:r>
      <w:r w:rsidR="00C63D0B" w:rsidRPr="00201A9A">
        <w:rPr>
          <w:noProof/>
        </w:rPr>
        <w:t>resie partnerstwa”).</w:t>
      </w:r>
    </w:p>
    <w:p w14:paraId="06019D26" w14:textId="526D2919" w:rsidR="00C63D0B" w:rsidRPr="00201A9A" w:rsidRDefault="00875961" w:rsidP="00875961">
      <w:pPr>
        <w:pStyle w:val="ManualConsidrant"/>
        <w:rPr>
          <w:noProof/>
        </w:rPr>
      </w:pPr>
      <w:r w:rsidRPr="00875961">
        <w:rPr>
          <w:noProof/>
        </w:rPr>
        <w:t>(25)</w:t>
      </w:r>
      <w:r w:rsidRPr="00875961">
        <w:rPr>
          <w:noProof/>
        </w:rPr>
        <w:tab/>
      </w:r>
      <w:r w:rsidR="00C63D0B" w:rsidRPr="00201A9A">
        <w:rPr>
          <w:noProof/>
        </w:rPr>
        <w:t>Plany PKR mają na celu zapewnienie wysokiego stosunku jakości do ceny poprzez uzależnienie płatności dokonywanych przez Komisję na rzecz państw członkowskich od osiągnięcia produktów</w:t>
      </w:r>
      <w:r w:rsidR="00201A9A" w:rsidRPr="00201A9A">
        <w:rPr>
          <w:noProof/>
        </w:rPr>
        <w:t xml:space="preserve"> i spe</w:t>
      </w:r>
      <w:r w:rsidR="00C63D0B" w:rsidRPr="00201A9A">
        <w:rPr>
          <w:noProof/>
        </w:rPr>
        <w:t>łnienia uzgodnionych warunków, niezależnie od formy zwrotu kosztów przez państwa członkowskie na rzecz beneficjentów. Powiązanie wypłat</w:t>
      </w:r>
      <w:r w:rsidR="00201A9A" w:rsidRPr="00201A9A">
        <w:rPr>
          <w:noProof/>
        </w:rPr>
        <w:t xml:space="preserve"> z uzg</w:t>
      </w:r>
      <w:r w:rsidR="00C63D0B" w:rsidRPr="00201A9A">
        <w:rPr>
          <w:noProof/>
        </w:rPr>
        <w:t>odnionymi</w:t>
      </w:r>
      <w:r w:rsidR="00201A9A" w:rsidRPr="00201A9A">
        <w:rPr>
          <w:noProof/>
        </w:rPr>
        <w:t xml:space="preserve"> i wcz</w:t>
      </w:r>
      <w:r w:rsidR="00C63D0B" w:rsidRPr="00201A9A">
        <w:rPr>
          <w:noProof/>
        </w:rPr>
        <w:t>eśniej ustalonymi kamieniami milowymi, wartościami docelowymi</w:t>
      </w:r>
      <w:r w:rsidR="00201A9A" w:rsidRPr="00201A9A">
        <w:rPr>
          <w:noProof/>
        </w:rPr>
        <w:t xml:space="preserve"> i pro</w:t>
      </w:r>
      <w:r w:rsidR="00C63D0B" w:rsidRPr="00201A9A">
        <w:rPr>
          <w:noProof/>
        </w:rPr>
        <w:t>duktami obejmującymi cały okres realizacji wspieranego środka przyczyni się do zachowania regularności płatności na rzecz państw członkowskich. Aby ułatwić ten proces, państwa członkowskie powinny mieć możliwość składania wniosków</w:t>
      </w:r>
      <w:r w:rsidR="00201A9A" w:rsidRPr="00201A9A">
        <w:rPr>
          <w:noProof/>
        </w:rPr>
        <w:t xml:space="preserve"> o pła</w:t>
      </w:r>
      <w:r w:rsidR="00C63D0B" w:rsidRPr="00201A9A">
        <w:rPr>
          <w:noProof/>
        </w:rPr>
        <w:t>tność do sześciu razy</w:t>
      </w:r>
      <w:r w:rsidR="00201A9A" w:rsidRPr="00201A9A">
        <w:rPr>
          <w:noProof/>
        </w:rPr>
        <w:t xml:space="preserve"> w rok</w:t>
      </w:r>
      <w:r w:rsidR="00C63D0B" w:rsidRPr="00201A9A">
        <w:rPr>
          <w:noProof/>
        </w:rPr>
        <w:t>u</w:t>
      </w:r>
      <w:r w:rsidR="00201A9A" w:rsidRPr="00201A9A">
        <w:rPr>
          <w:noProof/>
        </w:rPr>
        <w:t>. W cel</w:t>
      </w:r>
      <w:r w:rsidR="00C63D0B" w:rsidRPr="00201A9A">
        <w:rPr>
          <w:noProof/>
        </w:rPr>
        <w:t>u uproszczenia finansowania</w:t>
      </w:r>
      <w:r w:rsidR="00201A9A" w:rsidRPr="00201A9A">
        <w:rPr>
          <w:noProof/>
        </w:rPr>
        <w:t xml:space="preserve"> i zmn</w:t>
      </w:r>
      <w:r w:rsidR="00C63D0B" w:rsidRPr="00201A9A">
        <w:rPr>
          <w:noProof/>
        </w:rPr>
        <w:t xml:space="preserve">iejszenia obciążeń administracyjnych dla beneficjentów zachęca się państwa członkowskie do stosowania tej samej formy zwrotu kosztów, jaka ma zastosowanie do płatności Komisji na rzecz państw członkowskich, lub standardowych stawek jednostkowych, kwot ryczałtowych lub stawek zryczałtowanych. </w:t>
      </w:r>
    </w:p>
    <w:p w14:paraId="06F66A50" w14:textId="5CA21E31" w:rsidR="00C63D0B" w:rsidRPr="00201A9A" w:rsidRDefault="00875961" w:rsidP="00875961">
      <w:pPr>
        <w:pStyle w:val="ManualConsidrant"/>
        <w:rPr>
          <w:noProof/>
        </w:rPr>
      </w:pPr>
      <w:r w:rsidRPr="00875961">
        <w:rPr>
          <w:noProof/>
        </w:rPr>
        <w:t>(26)</w:t>
      </w:r>
      <w:r w:rsidRPr="00875961">
        <w:rPr>
          <w:noProof/>
        </w:rPr>
        <w:tab/>
      </w:r>
      <w:r w:rsidR="00C63D0B" w:rsidRPr="00201A9A">
        <w:rPr>
          <w:noProof/>
        </w:rPr>
        <w:t>Fundusz ma być realizowany zgodnie</w:t>
      </w:r>
      <w:r w:rsidR="00201A9A" w:rsidRPr="00201A9A">
        <w:rPr>
          <w:noProof/>
        </w:rPr>
        <w:t xml:space="preserve"> z roz</w:t>
      </w:r>
      <w:r w:rsidR="00C63D0B" w:rsidRPr="00201A9A">
        <w:rPr>
          <w:noProof/>
        </w:rPr>
        <w:t>porządzeniem (UE, Euratom) 202X/XXXX [rozporządzenie</w:t>
      </w:r>
      <w:r w:rsidR="00201A9A" w:rsidRPr="00201A9A">
        <w:rPr>
          <w:noProof/>
        </w:rPr>
        <w:t xml:space="preserve"> w spr</w:t>
      </w:r>
      <w:r w:rsidR="00C63D0B" w:rsidRPr="00201A9A">
        <w:rPr>
          <w:noProof/>
        </w:rPr>
        <w:t>awie wykonania], które ustanawia przepisy dotyczące monitorowania wydatków</w:t>
      </w:r>
      <w:r w:rsidR="00201A9A" w:rsidRPr="00201A9A">
        <w:rPr>
          <w:noProof/>
        </w:rPr>
        <w:t xml:space="preserve"> i ram</w:t>
      </w:r>
      <w:r w:rsidR="00C63D0B" w:rsidRPr="00201A9A">
        <w:rPr>
          <w:noProof/>
        </w:rPr>
        <w:t xml:space="preserve"> wykonania budżetu,</w:t>
      </w:r>
      <w:r w:rsidR="00201A9A" w:rsidRPr="00201A9A">
        <w:rPr>
          <w:noProof/>
        </w:rPr>
        <w:t xml:space="preserve"> w tym</w:t>
      </w:r>
      <w:r w:rsidR="00C63D0B" w:rsidRPr="00201A9A">
        <w:rPr>
          <w:noProof/>
        </w:rPr>
        <w:t xml:space="preserve"> przepisy zapewniające jednolite stosowanie zasady „nie czyń poważnych szkód”</w:t>
      </w:r>
      <w:r w:rsidR="00201A9A" w:rsidRPr="00201A9A">
        <w:rPr>
          <w:noProof/>
        </w:rPr>
        <w:t xml:space="preserve"> i zas</w:t>
      </w:r>
      <w:r w:rsidR="00C63D0B" w:rsidRPr="00201A9A">
        <w:rPr>
          <w:noProof/>
        </w:rPr>
        <w:t>ady równości płci,</w:t>
      </w:r>
      <w:r w:rsidR="00201A9A" w:rsidRPr="00201A9A">
        <w:rPr>
          <w:noProof/>
        </w:rPr>
        <w:t xml:space="preserve"> o któ</w:t>
      </w:r>
      <w:r w:rsidR="00C63D0B" w:rsidRPr="00201A9A">
        <w:rPr>
          <w:noProof/>
        </w:rPr>
        <w:t>rych mowa odpowiednio</w:t>
      </w:r>
      <w:r w:rsidR="00201A9A" w:rsidRPr="00201A9A">
        <w:rPr>
          <w:noProof/>
        </w:rPr>
        <w:t xml:space="preserve"> w art</w:t>
      </w:r>
      <w:r w:rsidR="00C63D0B" w:rsidRPr="00201A9A">
        <w:rPr>
          <w:noProof/>
        </w:rPr>
        <w:t>.</w:t>
      </w:r>
      <w:r w:rsidR="00201A9A" w:rsidRPr="00201A9A">
        <w:rPr>
          <w:noProof/>
        </w:rPr>
        <w:t> </w:t>
      </w:r>
      <w:r w:rsidR="00C63D0B" w:rsidRPr="00201A9A">
        <w:rPr>
          <w:noProof/>
        </w:rPr>
        <w:t>33 ust.</w:t>
      </w:r>
      <w:r w:rsidR="00201A9A" w:rsidRPr="00201A9A">
        <w:rPr>
          <w:noProof/>
        </w:rPr>
        <w:t> </w:t>
      </w:r>
      <w:r w:rsidR="00C63D0B" w:rsidRPr="00201A9A">
        <w:rPr>
          <w:noProof/>
        </w:rPr>
        <w:t>2 lit.</w:t>
      </w:r>
      <w:r w:rsidR="00201A9A" w:rsidRPr="00201A9A">
        <w:rPr>
          <w:noProof/>
        </w:rPr>
        <w:t> </w:t>
      </w:r>
      <w:r w:rsidR="00C63D0B" w:rsidRPr="00201A9A">
        <w:rPr>
          <w:noProof/>
        </w:rPr>
        <w:t>d) i f) rozporządzenia (UE, Euratom) 2024/2509, przepisy dotyczące monitorowania</w:t>
      </w:r>
      <w:r w:rsidR="00201A9A" w:rsidRPr="00201A9A">
        <w:rPr>
          <w:noProof/>
        </w:rPr>
        <w:t xml:space="preserve"> i spr</w:t>
      </w:r>
      <w:r w:rsidR="00C63D0B" w:rsidRPr="00201A9A">
        <w:rPr>
          <w:noProof/>
        </w:rPr>
        <w:t>awozdawczości</w:t>
      </w:r>
      <w:r w:rsidR="00201A9A" w:rsidRPr="00201A9A">
        <w:rPr>
          <w:noProof/>
        </w:rPr>
        <w:t xml:space="preserve"> w zak</w:t>
      </w:r>
      <w:r w:rsidR="00C63D0B" w:rsidRPr="00201A9A">
        <w:rPr>
          <w:noProof/>
        </w:rPr>
        <w:t>resie wykonania programów</w:t>
      </w:r>
      <w:r w:rsidR="00201A9A" w:rsidRPr="00201A9A">
        <w:rPr>
          <w:noProof/>
        </w:rPr>
        <w:t xml:space="preserve"> i dzi</w:t>
      </w:r>
      <w:r w:rsidR="00C63D0B" w:rsidRPr="00201A9A">
        <w:rPr>
          <w:noProof/>
        </w:rPr>
        <w:t>ałań Unii, przepisy dotyczące utworzenia unijnego portalu finansowego, przepisy dotyczące oceny programów,</w:t>
      </w:r>
      <w:r w:rsidR="00201A9A" w:rsidRPr="00201A9A">
        <w:rPr>
          <w:noProof/>
        </w:rPr>
        <w:t xml:space="preserve"> a tak</w:t>
      </w:r>
      <w:r w:rsidR="00C63D0B" w:rsidRPr="00201A9A">
        <w:rPr>
          <w:noProof/>
        </w:rPr>
        <w:t>że inne przepisy horyzontalne mające zastosowanie do wszystkich programów unijnych, takie jak przepisy dotyczące informacji, komunikacji</w:t>
      </w:r>
      <w:r w:rsidR="00201A9A" w:rsidRPr="00201A9A">
        <w:rPr>
          <w:noProof/>
        </w:rPr>
        <w:t xml:space="preserve"> i wid</w:t>
      </w:r>
      <w:r w:rsidR="00C63D0B" w:rsidRPr="00201A9A">
        <w:rPr>
          <w:noProof/>
        </w:rPr>
        <w:t>oczności. Fundusz powinien gwarantować dostępność,</w:t>
      </w:r>
      <w:r w:rsidR="00201A9A" w:rsidRPr="00201A9A">
        <w:rPr>
          <w:noProof/>
        </w:rPr>
        <w:t xml:space="preserve"> z uwz</w:t>
      </w:r>
      <w:r w:rsidR="00C63D0B" w:rsidRPr="00201A9A">
        <w:rPr>
          <w:noProof/>
        </w:rPr>
        <w:t>ględnieniem Karty praw podstawowych Unii Europejskiej,</w:t>
      </w:r>
      <w:r w:rsidR="00201A9A" w:rsidRPr="00201A9A">
        <w:rPr>
          <w:noProof/>
        </w:rPr>
        <w:t xml:space="preserve"> w tym</w:t>
      </w:r>
      <w:r w:rsidR="00C63D0B" w:rsidRPr="00201A9A">
        <w:rPr>
          <w:noProof/>
        </w:rPr>
        <w:t xml:space="preserve"> Konwencji ONZ</w:t>
      </w:r>
      <w:r w:rsidR="00201A9A" w:rsidRPr="00201A9A">
        <w:rPr>
          <w:noProof/>
        </w:rPr>
        <w:t xml:space="preserve"> o pra</w:t>
      </w:r>
      <w:r w:rsidR="00C63D0B" w:rsidRPr="00201A9A">
        <w:rPr>
          <w:noProof/>
        </w:rPr>
        <w:t>wach osób niepełnosprawnych. Fundusz nie powinien wspierać działań przyczyniających się do jakichkolwiek form segregacji, dyskryminacji lub wykluczenia,</w:t>
      </w:r>
      <w:r w:rsidR="00201A9A" w:rsidRPr="00201A9A">
        <w:rPr>
          <w:noProof/>
        </w:rPr>
        <w:t xml:space="preserve"> w tym</w:t>
      </w:r>
      <w:r w:rsidR="00C63D0B" w:rsidRPr="00201A9A">
        <w:rPr>
          <w:noProof/>
        </w:rPr>
        <w:t xml:space="preserve"> społeczności padających ofiarą uprzedzeń rasowych, takich jak Romowie,</w:t>
      </w:r>
      <w:r w:rsidR="00201A9A" w:rsidRPr="00201A9A">
        <w:rPr>
          <w:noProof/>
        </w:rPr>
        <w:t xml:space="preserve"> a fin</w:t>
      </w:r>
      <w:r w:rsidR="00C63D0B" w:rsidRPr="00201A9A">
        <w:rPr>
          <w:noProof/>
        </w:rPr>
        <w:t>ansując infrastrukturę, powinien zapewnić dostępność dla osób</w:t>
      </w:r>
      <w:r w:rsidR="00201A9A" w:rsidRPr="00201A9A">
        <w:rPr>
          <w:noProof/>
        </w:rPr>
        <w:t xml:space="preserve"> z nie</w:t>
      </w:r>
      <w:r w:rsidR="00C63D0B" w:rsidRPr="00201A9A">
        <w:rPr>
          <w:noProof/>
        </w:rPr>
        <w:t>pełnosprawnościami.</w:t>
      </w:r>
    </w:p>
    <w:p w14:paraId="365938AF" w14:textId="5AFDFB64" w:rsidR="002711E3" w:rsidRPr="00201A9A" w:rsidRDefault="00875961" w:rsidP="00875961">
      <w:pPr>
        <w:pStyle w:val="ManualConsidrant"/>
        <w:rPr>
          <w:noProof/>
        </w:rPr>
      </w:pPr>
      <w:r w:rsidRPr="00875961">
        <w:rPr>
          <w:noProof/>
        </w:rPr>
        <w:t>(27)</w:t>
      </w:r>
      <w:r w:rsidRPr="00875961">
        <w:rPr>
          <w:noProof/>
        </w:rPr>
        <w:tab/>
      </w:r>
      <w:r w:rsidR="002711E3" w:rsidRPr="00201A9A">
        <w:rPr>
          <w:noProof/>
        </w:rPr>
        <w:t>Rozporządzenie powinno zawierać solidne zabezpieczenia, aby Fundusz był wdrażany</w:t>
      </w:r>
      <w:r w:rsidR="00201A9A" w:rsidRPr="00201A9A">
        <w:rPr>
          <w:noProof/>
        </w:rPr>
        <w:t xml:space="preserve"> w spo</w:t>
      </w:r>
      <w:r w:rsidR="002711E3" w:rsidRPr="00201A9A">
        <w:rPr>
          <w:noProof/>
        </w:rPr>
        <w:t>sób zapewniający poszanowanie praw, wolności</w:t>
      </w:r>
      <w:r w:rsidR="00201A9A" w:rsidRPr="00201A9A">
        <w:rPr>
          <w:noProof/>
        </w:rPr>
        <w:t xml:space="preserve"> i zas</w:t>
      </w:r>
      <w:r w:rsidR="002711E3" w:rsidRPr="00201A9A">
        <w:rPr>
          <w:noProof/>
        </w:rPr>
        <w:t>ad określonych</w:t>
      </w:r>
      <w:r w:rsidR="00201A9A" w:rsidRPr="00201A9A">
        <w:rPr>
          <w:noProof/>
        </w:rPr>
        <w:t xml:space="preserve"> w Kar</w:t>
      </w:r>
      <w:r w:rsidR="002711E3" w:rsidRPr="00201A9A">
        <w:rPr>
          <w:noProof/>
        </w:rPr>
        <w:t>cie praw podstawowych Unii Europejskiej oraz zasad państwa prawnego określonych</w:t>
      </w:r>
      <w:r w:rsidR="00201A9A" w:rsidRPr="00201A9A">
        <w:rPr>
          <w:noProof/>
        </w:rPr>
        <w:t xml:space="preserve"> w art</w:t>
      </w:r>
      <w:r w:rsidR="002711E3" w:rsidRPr="00201A9A">
        <w:rPr>
          <w:noProof/>
        </w:rPr>
        <w:t>.</w:t>
      </w:r>
      <w:r w:rsidR="00201A9A" w:rsidRPr="00201A9A">
        <w:rPr>
          <w:noProof/>
        </w:rPr>
        <w:t> </w:t>
      </w:r>
      <w:r w:rsidR="002711E3" w:rsidRPr="00201A9A">
        <w:rPr>
          <w:noProof/>
        </w:rPr>
        <w:t>2 lit.</w:t>
      </w:r>
      <w:r w:rsidR="00201A9A" w:rsidRPr="00201A9A">
        <w:rPr>
          <w:noProof/>
        </w:rPr>
        <w:t> </w:t>
      </w:r>
      <w:r w:rsidR="002711E3" w:rsidRPr="00201A9A">
        <w:rPr>
          <w:noProof/>
        </w:rPr>
        <w:t>a) rozporządzenia Parlamentu Europejskiego</w:t>
      </w:r>
      <w:r w:rsidR="00201A9A" w:rsidRPr="00201A9A">
        <w:rPr>
          <w:noProof/>
        </w:rPr>
        <w:t xml:space="preserve"> i Rad</w:t>
      </w:r>
      <w:r w:rsidR="002711E3" w:rsidRPr="00201A9A">
        <w:rPr>
          <w:noProof/>
        </w:rPr>
        <w:t>y (UE, Euratom) 2020/2092</w:t>
      </w:r>
      <w:r w:rsidR="002711E3" w:rsidRPr="00201A9A">
        <w:rPr>
          <w:rStyle w:val="FootnoteReference"/>
          <w:noProof/>
        </w:rPr>
        <w:footnoteReference w:id="11"/>
      </w:r>
      <w:r w:rsidR="00201A9A" w:rsidRPr="00201A9A">
        <w:rPr>
          <w:noProof/>
        </w:rPr>
        <w:t>. W zwi</w:t>
      </w:r>
      <w:r w:rsidR="002711E3" w:rsidRPr="00201A9A">
        <w:rPr>
          <w:noProof/>
        </w:rPr>
        <w:t>ązku</w:t>
      </w:r>
      <w:r w:rsidR="00201A9A" w:rsidRPr="00201A9A">
        <w:rPr>
          <w:noProof/>
        </w:rPr>
        <w:t xml:space="preserve"> z tym w ram</w:t>
      </w:r>
      <w:r w:rsidR="002711E3" w:rsidRPr="00201A9A">
        <w:rPr>
          <w:noProof/>
        </w:rPr>
        <w:t>ach procesu zatwierdzania planów PKR państwa członkowskie powinny zapewnić spełnienie tych dwóch warunków horyzontalnych, wskazując przy tym potencjalne niedociągnięcia</w:t>
      </w:r>
      <w:r w:rsidR="00201A9A" w:rsidRPr="00201A9A">
        <w:rPr>
          <w:noProof/>
        </w:rPr>
        <w:t xml:space="preserve"> i dzi</w:t>
      </w:r>
      <w:r w:rsidR="002711E3" w:rsidRPr="00201A9A">
        <w:rPr>
          <w:noProof/>
        </w:rPr>
        <w:t>ałania naprawcze, określone</w:t>
      </w:r>
      <w:r w:rsidR="00201A9A" w:rsidRPr="00201A9A">
        <w:rPr>
          <w:noProof/>
        </w:rPr>
        <w:t xml:space="preserve"> w szc</w:t>
      </w:r>
      <w:r w:rsidR="002711E3" w:rsidRPr="00201A9A">
        <w:rPr>
          <w:noProof/>
        </w:rPr>
        <w:t>zególności na podstawie wyzwań specyficznych dla danego kraju wskazane</w:t>
      </w:r>
      <w:r w:rsidR="00201A9A" w:rsidRPr="00201A9A">
        <w:rPr>
          <w:noProof/>
        </w:rPr>
        <w:t xml:space="preserve"> w kon</w:t>
      </w:r>
      <w:r w:rsidR="002711E3" w:rsidRPr="00201A9A">
        <w:rPr>
          <w:noProof/>
        </w:rPr>
        <w:t>tekście rocznego sprawozdania na temat praworządności</w:t>
      </w:r>
      <w:r w:rsidR="00201A9A" w:rsidRPr="00201A9A">
        <w:rPr>
          <w:noProof/>
        </w:rPr>
        <w:t xml:space="preserve"> i eur</w:t>
      </w:r>
      <w:r w:rsidR="002711E3" w:rsidRPr="00201A9A">
        <w:rPr>
          <w:noProof/>
        </w:rPr>
        <w:t>opejskiego semestru,</w:t>
      </w:r>
      <w:r w:rsidR="00201A9A" w:rsidRPr="00201A9A">
        <w:rPr>
          <w:noProof/>
        </w:rPr>
        <w:t xml:space="preserve"> a tak</w:t>
      </w:r>
      <w:r w:rsidR="002711E3" w:rsidRPr="00201A9A">
        <w:rPr>
          <w:noProof/>
        </w:rPr>
        <w:t>że postępowania</w:t>
      </w:r>
      <w:r w:rsidR="00201A9A" w:rsidRPr="00201A9A">
        <w:rPr>
          <w:noProof/>
        </w:rPr>
        <w:t xml:space="preserve"> w spr</w:t>
      </w:r>
      <w:r w:rsidR="002711E3" w:rsidRPr="00201A9A">
        <w:rPr>
          <w:noProof/>
        </w:rPr>
        <w:t>awie uchybienia zobowiązaniom państwa członkowskiego</w:t>
      </w:r>
      <w:r w:rsidR="00201A9A" w:rsidRPr="00201A9A">
        <w:rPr>
          <w:noProof/>
        </w:rPr>
        <w:t xml:space="preserve"> i wyr</w:t>
      </w:r>
      <w:r w:rsidR="002711E3" w:rsidRPr="00201A9A">
        <w:rPr>
          <w:noProof/>
        </w:rPr>
        <w:t>oki Trybunału Sprawiedliwości Unii Europejskiej. Wszystkie państwa członkowskie powinny być zobowiązane do dokonania przeglądu swoich planów PKR</w:t>
      </w:r>
      <w:r w:rsidR="00201A9A" w:rsidRPr="00201A9A">
        <w:rPr>
          <w:noProof/>
        </w:rPr>
        <w:t xml:space="preserve"> w poł</w:t>
      </w:r>
      <w:r w:rsidR="002711E3" w:rsidRPr="00201A9A">
        <w:rPr>
          <w:noProof/>
        </w:rPr>
        <w:t>owie okresu wdrażania,</w:t>
      </w:r>
      <w:r w:rsidR="00201A9A" w:rsidRPr="00201A9A">
        <w:rPr>
          <w:noProof/>
        </w:rPr>
        <w:t xml:space="preserve"> w ram</w:t>
      </w:r>
      <w:r w:rsidR="002711E3" w:rsidRPr="00201A9A">
        <w:rPr>
          <w:noProof/>
        </w:rPr>
        <w:t>ach przeglądu śródokresowego,</w:t>
      </w:r>
      <w:r w:rsidR="00201A9A" w:rsidRPr="00201A9A">
        <w:rPr>
          <w:noProof/>
        </w:rPr>
        <w:t xml:space="preserve"> w cel</w:t>
      </w:r>
      <w:r w:rsidR="002711E3" w:rsidRPr="00201A9A">
        <w:rPr>
          <w:noProof/>
        </w:rPr>
        <w:t>u wyeliminowania wszelkich nowych niedociągnięć stwierdzonych</w:t>
      </w:r>
      <w:r w:rsidR="00201A9A" w:rsidRPr="00201A9A">
        <w:rPr>
          <w:noProof/>
        </w:rPr>
        <w:t xml:space="preserve"> w szc</w:t>
      </w:r>
      <w:r w:rsidR="002711E3" w:rsidRPr="00201A9A">
        <w:rPr>
          <w:noProof/>
        </w:rPr>
        <w:t>zególności</w:t>
      </w:r>
      <w:r w:rsidR="00201A9A" w:rsidRPr="00201A9A">
        <w:rPr>
          <w:noProof/>
        </w:rPr>
        <w:t xml:space="preserve"> w kon</w:t>
      </w:r>
      <w:r w:rsidR="002711E3" w:rsidRPr="00201A9A">
        <w:rPr>
          <w:noProof/>
        </w:rPr>
        <w:t>tekście ostatniego sprawozdania na temat praworządności</w:t>
      </w:r>
      <w:r w:rsidR="00201A9A" w:rsidRPr="00201A9A">
        <w:rPr>
          <w:noProof/>
        </w:rPr>
        <w:t>. W dow</w:t>
      </w:r>
      <w:r w:rsidR="002711E3" w:rsidRPr="00201A9A">
        <w:rPr>
          <w:noProof/>
        </w:rPr>
        <w:t>olnym momencie wdrażania i po wymianie informacji</w:t>
      </w:r>
      <w:r w:rsidR="00201A9A" w:rsidRPr="00201A9A">
        <w:rPr>
          <w:noProof/>
        </w:rPr>
        <w:t xml:space="preserve"> z dan</w:t>
      </w:r>
      <w:r w:rsidR="002711E3" w:rsidRPr="00201A9A">
        <w:rPr>
          <w:noProof/>
        </w:rPr>
        <w:t>ym państwem członkowskim powinna istnieć możliwość zablokowania części lub całości płatności dokonanych na rzecz państwa członkowskiego, jeżeli nie został spełniony chociaż jeden</w:t>
      </w:r>
      <w:r w:rsidR="00201A9A" w:rsidRPr="00201A9A">
        <w:rPr>
          <w:noProof/>
        </w:rPr>
        <w:t xml:space="preserve"> z war</w:t>
      </w:r>
      <w:r w:rsidR="002711E3" w:rsidRPr="00201A9A">
        <w:rPr>
          <w:noProof/>
        </w:rPr>
        <w:t>unków horyzontalnych dotyczących państwa prawnego</w:t>
      </w:r>
      <w:r w:rsidR="00201A9A" w:rsidRPr="00201A9A">
        <w:rPr>
          <w:noProof/>
        </w:rPr>
        <w:t xml:space="preserve"> i Kar</w:t>
      </w:r>
      <w:r w:rsidR="002711E3" w:rsidRPr="00201A9A">
        <w:rPr>
          <w:noProof/>
        </w:rPr>
        <w:t>ty. Mając na względzie zasadę proporcjonalności, przy ustalaniu, czy dane środki nie zostały spełnione, oraz wskazywaniu konkretnych środków, których to dotyczy, należy wziąć pod uwagę rzeczywisty lub potencjalny wpływ niewykonania na należyte zarządzanie finansami</w:t>
      </w:r>
      <w:r w:rsidR="00201A9A" w:rsidRPr="00201A9A">
        <w:rPr>
          <w:noProof/>
        </w:rPr>
        <w:t xml:space="preserve"> w ram</w:t>
      </w:r>
      <w:r w:rsidR="002711E3" w:rsidRPr="00201A9A">
        <w:rPr>
          <w:noProof/>
        </w:rPr>
        <w:t>ach budżetu Unii lub na interesy finansowe Unii,</w:t>
      </w:r>
      <w:r w:rsidR="00201A9A" w:rsidRPr="00201A9A">
        <w:rPr>
          <w:noProof/>
        </w:rPr>
        <w:t xml:space="preserve"> a tak</w:t>
      </w:r>
      <w:r w:rsidR="002711E3" w:rsidRPr="00201A9A">
        <w:rPr>
          <w:noProof/>
        </w:rPr>
        <w:t>że charakter, czas trwania, wagę</w:t>
      </w:r>
      <w:r w:rsidR="00201A9A" w:rsidRPr="00201A9A">
        <w:rPr>
          <w:noProof/>
        </w:rPr>
        <w:t xml:space="preserve"> i zak</w:t>
      </w:r>
      <w:r w:rsidR="002711E3" w:rsidRPr="00201A9A">
        <w:rPr>
          <w:noProof/>
        </w:rPr>
        <w:t xml:space="preserve">res naruszenia. </w:t>
      </w:r>
    </w:p>
    <w:p w14:paraId="17E05F34" w14:textId="693CC27C" w:rsidR="00360618" w:rsidRPr="00201A9A" w:rsidRDefault="00875961" w:rsidP="00875961">
      <w:pPr>
        <w:pStyle w:val="ManualConsidrant"/>
        <w:rPr>
          <w:noProof/>
        </w:rPr>
      </w:pPr>
      <w:r w:rsidRPr="00875961">
        <w:rPr>
          <w:noProof/>
        </w:rPr>
        <w:t>(28)</w:t>
      </w:r>
      <w:r w:rsidRPr="00875961">
        <w:rPr>
          <w:noProof/>
        </w:rPr>
        <w:tab/>
      </w:r>
      <w:r w:rsidR="00360618" w:rsidRPr="00201A9A">
        <w:rPr>
          <w:noProof/>
        </w:rPr>
        <w:t>Ogólne kwoty, które mają zostać przydzielone poszczególnym państwom członkowskim, powinny zostać określone przez Komisję zgodnie</w:t>
      </w:r>
      <w:r w:rsidR="00201A9A" w:rsidRPr="00201A9A">
        <w:rPr>
          <w:noProof/>
        </w:rPr>
        <w:t xml:space="preserve"> z met</w:t>
      </w:r>
      <w:r w:rsidR="00360618" w:rsidRPr="00201A9A">
        <w:rPr>
          <w:noProof/>
        </w:rPr>
        <w:t>odyką przydziału określoną</w:t>
      </w:r>
      <w:r w:rsidR="00201A9A" w:rsidRPr="00201A9A">
        <w:rPr>
          <w:noProof/>
        </w:rPr>
        <w:t xml:space="preserve"> w nin</w:t>
      </w:r>
      <w:r w:rsidR="00360618" w:rsidRPr="00201A9A">
        <w:rPr>
          <w:noProof/>
        </w:rPr>
        <w:t>iejszym rozporządzeniu</w:t>
      </w:r>
      <w:r w:rsidR="00201A9A" w:rsidRPr="00201A9A">
        <w:rPr>
          <w:noProof/>
        </w:rPr>
        <w:t xml:space="preserve"> w dro</w:t>
      </w:r>
      <w:r w:rsidR="00360618" w:rsidRPr="00201A9A">
        <w:rPr>
          <w:noProof/>
        </w:rPr>
        <w:t>dze jednej decyzji wykonawczej. Decyzja ta powinna co do zasady obejmować kwoty przewidziane</w:t>
      </w:r>
      <w:r w:rsidR="00201A9A" w:rsidRPr="00201A9A">
        <w:rPr>
          <w:noProof/>
        </w:rPr>
        <w:t xml:space="preserve"> w nin</w:t>
      </w:r>
      <w:r w:rsidR="00360618" w:rsidRPr="00201A9A">
        <w:rPr>
          <w:noProof/>
        </w:rPr>
        <w:t>iejszym rozporządzeniu oraz</w:t>
      </w:r>
      <w:r w:rsidR="00201A9A" w:rsidRPr="00201A9A">
        <w:rPr>
          <w:noProof/>
        </w:rPr>
        <w:t xml:space="preserve"> w art</w:t>
      </w:r>
      <w:r w:rsidR="00360618" w:rsidRPr="00201A9A">
        <w:rPr>
          <w:noProof/>
        </w:rPr>
        <w:t>.</w:t>
      </w:r>
      <w:r w:rsidR="00201A9A" w:rsidRPr="00201A9A">
        <w:rPr>
          <w:noProof/>
        </w:rPr>
        <w:t> </w:t>
      </w:r>
      <w:r w:rsidR="00360618" w:rsidRPr="00201A9A">
        <w:rPr>
          <w:noProof/>
        </w:rPr>
        <w:t>4 rozporządzenia (UE) 202X/XXXX [azyl], art.</w:t>
      </w:r>
      <w:r w:rsidR="00201A9A" w:rsidRPr="00201A9A">
        <w:rPr>
          <w:noProof/>
        </w:rPr>
        <w:t> </w:t>
      </w:r>
      <w:r w:rsidR="00360618" w:rsidRPr="00201A9A">
        <w:rPr>
          <w:noProof/>
        </w:rPr>
        <w:t>4 rozporządzenia (UE) 202X/XXXX [zarządzanie granicami]</w:t>
      </w:r>
      <w:r w:rsidR="00201A9A" w:rsidRPr="00201A9A">
        <w:rPr>
          <w:noProof/>
        </w:rPr>
        <w:t xml:space="preserve"> i art</w:t>
      </w:r>
      <w:r w:rsidR="00360618" w:rsidRPr="00201A9A">
        <w:rPr>
          <w:noProof/>
        </w:rPr>
        <w:t>.</w:t>
      </w:r>
      <w:r w:rsidR="00201A9A" w:rsidRPr="00201A9A">
        <w:rPr>
          <w:noProof/>
        </w:rPr>
        <w:t> </w:t>
      </w:r>
      <w:r w:rsidR="00360618" w:rsidRPr="00201A9A">
        <w:rPr>
          <w:noProof/>
        </w:rPr>
        <w:t>4 rozporządzenia 202X/XXXX [bezpieczeństwo wewnętrzne].</w:t>
      </w:r>
    </w:p>
    <w:p w14:paraId="15B10843" w14:textId="0E08233E" w:rsidR="00C63D0B" w:rsidRPr="00201A9A" w:rsidRDefault="00875961" w:rsidP="00875961">
      <w:pPr>
        <w:pStyle w:val="ManualConsidrant"/>
        <w:rPr>
          <w:noProof/>
        </w:rPr>
      </w:pPr>
      <w:r w:rsidRPr="00875961">
        <w:rPr>
          <w:noProof/>
        </w:rPr>
        <w:t>(29)</w:t>
      </w:r>
      <w:r w:rsidRPr="00875961">
        <w:rPr>
          <w:noProof/>
        </w:rPr>
        <w:tab/>
      </w:r>
      <w:r w:rsidR="00C63D0B" w:rsidRPr="00201A9A">
        <w:rPr>
          <w:noProof/>
        </w:rPr>
        <w:t>Każde państwo członkowskie powinno co do zasady przedłożyć Komisji plan PKR do dnia 31 stycznia 2028</w:t>
      </w:r>
      <w:r w:rsidR="00201A9A" w:rsidRPr="00201A9A">
        <w:rPr>
          <w:noProof/>
        </w:rPr>
        <w:t> </w:t>
      </w:r>
      <w:r w:rsidR="00C63D0B" w:rsidRPr="00201A9A">
        <w:rPr>
          <w:noProof/>
        </w:rPr>
        <w:t>r., tak aby można go było starannie</w:t>
      </w:r>
      <w:r w:rsidR="00201A9A" w:rsidRPr="00201A9A">
        <w:rPr>
          <w:noProof/>
        </w:rPr>
        <w:t xml:space="preserve"> i ter</w:t>
      </w:r>
      <w:r w:rsidR="00C63D0B" w:rsidRPr="00201A9A">
        <w:rPr>
          <w:noProof/>
        </w:rPr>
        <w:t>minowo rozważyć. Aby zapewnić szybkie wdrożenie Funduszu, państwa członkowskie powinny mieć możliwość przedłożenia projektu planu PKR od czerwca 2027</w:t>
      </w:r>
      <w:r w:rsidR="00201A9A" w:rsidRPr="00201A9A">
        <w:rPr>
          <w:noProof/>
        </w:rPr>
        <w:t> </w:t>
      </w:r>
      <w:r w:rsidR="00C63D0B" w:rsidRPr="00201A9A">
        <w:rPr>
          <w:noProof/>
        </w:rPr>
        <w:t>r. Państwa członkowskie powinny opracować</w:t>
      </w:r>
      <w:r w:rsidR="00201A9A" w:rsidRPr="00201A9A">
        <w:rPr>
          <w:noProof/>
        </w:rPr>
        <w:t xml:space="preserve"> i wdr</w:t>
      </w:r>
      <w:r w:rsidR="00C63D0B" w:rsidRPr="00201A9A">
        <w:rPr>
          <w:noProof/>
        </w:rPr>
        <w:t>ożyć plany PKR we współpracy</w:t>
      </w:r>
      <w:r w:rsidR="00201A9A" w:rsidRPr="00201A9A">
        <w:rPr>
          <w:noProof/>
        </w:rPr>
        <w:t xml:space="preserve"> z wła</w:t>
      </w:r>
      <w:r w:rsidR="00C63D0B" w:rsidRPr="00201A9A">
        <w:rPr>
          <w:noProof/>
        </w:rPr>
        <w:t>dzami lokalnymi</w:t>
      </w:r>
      <w:r w:rsidR="00201A9A" w:rsidRPr="00201A9A">
        <w:rPr>
          <w:noProof/>
        </w:rPr>
        <w:t xml:space="preserve"> i reg</w:t>
      </w:r>
      <w:r w:rsidR="00C63D0B" w:rsidRPr="00201A9A">
        <w:rPr>
          <w:noProof/>
        </w:rPr>
        <w:t>ionalnymi, partnerami gospodarczymi, społecznymi</w:t>
      </w:r>
      <w:r w:rsidR="00201A9A" w:rsidRPr="00201A9A">
        <w:rPr>
          <w:noProof/>
        </w:rPr>
        <w:t xml:space="preserve"> i wie</w:t>
      </w:r>
      <w:r w:rsidR="00C63D0B" w:rsidRPr="00201A9A">
        <w:rPr>
          <w:noProof/>
        </w:rPr>
        <w:t>jskimi oraz organizacjami społeczeństwa obywatelskiego</w:t>
      </w:r>
      <w:r w:rsidR="00201A9A" w:rsidRPr="00201A9A">
        <w:rPr>
          <w:noProof/>
        </w:rPr>
        <w:t xml:space="preserve"> i inn</w:t>
      </w:r>
      <w:r w:rsidR="00C63D0B" w:rsidRPr="00201A9A">
        <w:rPr>
          <w:noProof/>
        </w:rPr>
        <w:t>ymi odpowiednimi zainteresowanymi stronami zgodnie</w:t>
      </w:r>
      <w:r w:rsidR="00201A9A" w:rsidRPr="00201A9A">
        <w:rPr>
          <w:noProof/>
        </w:rPr>
        <w:t xml:space="preserve"> z kra</w:t>
      </w:r>
      <w:r w:rsidR="00C63D0B" w:rsidRPr="00201A9A">
        <w:rPr>
          <w:noProof/>
        </w:rPr>
        <w:t>jowymi ramami prawnymi</w:t>
      </w:r>
      <w:r w:rsidR="00201A9A" w:rsidRPr="00201A9A">
        <w:rPr>
          <w:noProof/>
        </w:rPr>
        <w:t xml:space="preserve"> i prz</w:t>
      </w:r>
      <w:r w:rsidR="00C63D0B" w:rsidRPr="00201A9A">
        <w:rPr>
          <w:noProof/>
        </w:rPr>
        <w:t>episami określonymi</w:t>
      </w:r>
      <w:r w:rsidR="00201A9A" w:rsidRPr="00201A9A">
        <w:rPr>
          <w:noProof/>
        </w:rPr>
        <w:t xml:space="preserve"> w nin</w:t>
      </w:r>
      <w:r w:rsidR="00C63D0B" w:rsidRPr="00201A9A">
        <w:rPr>
          <w:noProof/>
        </w:rPr>
        <w:t>iejszym rozporządzeniu. Plany PKR powinno się opracowywać</w:t>
      </w:r>
      <w:r w:rsidR="00201A9A" w:rsidRPr="00201A9A">
        <w:rPr>
          <w:noProof/>
        </w:rPr>
        <w:t xml:space="preserve"> w ści</w:t>
      </w:r>
      <w:r w:rsidR="00C63D0B" w:rsidRPr="00201A9A">
        <w:rPr>
          <w:noProof/>
        </w:rPr>
        <w:t>słej współpracy</w:t>
      </w:r>
      <w:r w:rsidR="00201A9A" w:rsidRPr="00201A9A">
        <w:rPr>
          <w:noProof/>
        </w:rPr>
        <w:t xml:space="preserve"> z Kom</w:t>
      </w:r>
      <w:r w:rsidR="00C63D0B" w:rsidRPr="00201A9A">
        <w:rPr>
          <w:noProof/>
        </w:rPr>
        <w:t>isją, zgodnie</w:t>
      </w:r>
      <w:r w:rsidR="00201A9A" w:rsidRPr="00201A9A">
        <w:rPr>
          <w:noProof/>
        </w:rPr>
        <w:t xml:space="preserve"> z dos</w:t>
      </w:r>
      <w:r w:rsidR="00C63D0B" w:rsidRPr="00201A9A">
        <w:rPr>
          <w:noProof/>
        </w:rPr>
        <w:t>tarczonym wzorem, a po przyjęciu przez Radę na podstawie oceny Komisji</w:t>
      </w:r>
      <w:r w:rsidR="00201A9A" w:rsidRPr="00201A9A">
        <w:rPr>
          <w:noProof/>
        </w:rPr>
        <w:t xml:space="preserve"> i wni</w:t>
      </w:r>
      <w:r w:rsidR="00C63D0B" w:rsidRPr="00201A9A">
        <w:rPr>
          <w:noProof/>
        </w:rPr>
        <w:t>osku dotyczącego decyzji wykonawczej Rady – udostępniać publicznie. Zgodnie</w:t>
      </w:r>
      <w:r w:rsidR="00201A9A" w:rsidRPr="00201A9A">
        <w:rPr>
          <w:noProof/>
        </w:rPr>
        <w:t xml:space="preserve"> z obe</w:t>
      </w:r>
      <w:r w:rsidR="00C63D0B" w:rsidRPr="00201A9A">
        <w:rPr>
          <w:noProof/>
        </w:rPr>
        <w:t>cnymi ustaleniami państwa członkowskie będą miały możliwość włączenia rozdziałów regionalnych</w:t>
      </w:r>
      <w:r w:rsidR="00201A9A" w:rsidRPr="00201A9A">
        <w:rPr>
          <w:noProof/>
        </w:rPr>
        <w:t xml:space="preserve"> i ter</w:t>
      </w:r>
      <w:r w:rsidR="00C63D0B" w:rsidRPr="00201A9A">
        <w:rPr>
          <w:noProof/>
        </w:rPr>
        <w:t>ytorialnych do swoich planów PKR</w:t>
      </w:r>
      <w:r w:rsidR="00201A9A" w:rsidRPr="00201A9A">
        <w:rPr>
          <w:noProof/>
        </w:rPr>
        <w:t xml:space="preserve"> i pow</w:t>
      </w:r>
      <w:r w:rsidR="00C63D0B" w:rsidRPr="00201A9A">
        <w:rPr>
          <w:noProof/>
        </w:rPr>
        <w:t>inno się od nich wymagać dopilnowania, by regionalne organy zarządzające otrzymywały regularne płatności na podstawie postępów</w:t>
      </w:r>
      <w:r w:rsidR="00201A9A" w:rsidRPr="00201A9A">
        <w:rPr>
          <w:noProof/>
        </w:rPr>
        <w:t xml:space="preserve"> w rea</w:t>
      </w:r>
      <w:r w:rsidR="00C63D0B" w:rsidRPr="00201A9A">
        <w:rPr>
          <w:noProof/>
        </w:rPr>
        <w:t>lizacji odpowiednich środków, oraz kwotę co najmniej równoważną ich wkładowi unijnemu do końca okresu,</w:t>
      </w:r>
      <w:r w:rsidR="00201A9A" w:rsidRPr="00201A9A">
        <w:rPr>
          <w:noProof/>
        </w:rPr>
        <w:t xml:space="preserve"> z zas</w:t>
      </w:r>
      <w:r w:rsidR="00C63D0B" w:rsidRPr="00201A9A">
        <w:rPr>
          <w:noProof/>
        </w:rPr>
        <w:t>trzeżeniem ewentualnych korekt wynikających</w:t>
      </w:r>
      <w:r w:rsidR="00201A9A" w:rsidRPr="00201A9A">
        <w:rPr>
          <w:noProof/>
        </w:rPr>
        <w:t xml:space="preserve"> z wdr</w:t>
      </w:r>
      <w:r w:rsidR="00C63D0B" w:rsidRPr="00201A9A">
        <w:rPr>
          <w:noProof/>
        </w:rPr>
        <w:t xml:space="preserve">ożenia odpowiednich rozdziałów. Aby zapewnić skuteczne zarządzanie planem PKR, państwa członkowskie powinny ustanowić komitety monitorujące ds. rozdziałów oraz komitet koordynujący na szczeblu planu PKR. </w:t>
      </w:r>
    </w:p>
    <w:p w14:paraId="4396B8EC" w14:textId="79856888" w:rsidR="00C96E38" w:rsidRPr="00201A9A" w:rsidRDefault="00875961" w:rsidP="00875961">
      <w:pPr>
        <w:pStyle w:val="ManualConsidrant"/>
        <w:rPr>
          <w:noProof/>
        </w:rPr>
      </w:pPr>
      <w:r w:rsidRPr="00875961">
        <w:rPr>
          <w:noProof/>
        </w:rPr>
        <w:t>(30)</w:t>
      </w:r>
      <w:r w:rsidRPr="00875961">
        <w:rPr>
          <w:noProof/>
        </w:rPr>
        <w:tab/>
      </w:r>
      <w:r w:rsidR="00C63D0B" w:rsidRPr="00201A9A">
        <w:rPr>
          <w:noProof/>
        </w:rPr>
        <w:t>Aby zapewnić odpowiedzialność krajową, państwa członkowskie pragnące otrzymać wsparcie powinny przedłożyć Komisji plany PKR, które są należycie uzasadnione</w:t>
      </w:r>
      <w:r w:rsidR="00201A9A" w:rsidRPr="00201A9A">
        <w:rPr>
          <w:noProof/>
        </w:rPr>
        <w:t xml:space="preserve"> i uza</w:t>
      </w:r>
      <w:r w:rsidR="00C63D0B" w:rsidRPr="00201A9A">
        <w:rPr>
          <w:noProof/>
        </w:rPr>
        <w:t>sadnione. Plany PKR powinny zawierać szczegółowe informacje na temat tego,</w:t>
      </w:r>
      <w:r w:rsidR="00201A9A" w:rsidRPr="00201A9A">
        <w:rPr>
          <w:noProof/>
        </w:rPr>
        <w:t xml:space="preserve"> w jak</w:t>
      </w:r>
      <w:r w:rsidR="00C63D0B" w:rsidRPr="00201A9A">
        <w:rPr>
          <w:noProof/>
        </w:rPr>
        <w:t>i sposób stanowią one kompleksowy wkład</w:t>
      </w:r>
      <w:r w:rsidR="00201A9A" w:rsidRPr="00201A9A">
        <w:rPr>
          <w:noProof/>
        </w:rPr>
        <w:t xml:space="preserve"> w rea</w:t>
      </w:r>
      <w:r w:rsidR="00C63D0B" w:rsidRPr="00201A9A">
        <w:rPr>
          <w:noProof/>
        </w:rPr>
        <w:t>lizację wszystkich celów Funduszu,</w:t>
      </w:r>
      <w:r w:rsidR="00201A9A" w:rsidRPr="00201A9A">
        <w:rPr>
          <w:noProof/>
        </w:rPr>
        <w:t xml:space="preserve"> z uwz</w:t>
      </w:r>
      <w:r w:rsidR="00C63D0B" w:rsidRPr="00201A9A">
        <w:rPr>
          <w:noProof/>
        </w:rPr>
        <w:t>ględnieniem szczególnych wyzwań krajowych, regionalnych</w:t>
      </w:r>
      <w:r w:rsidR="00201A9A" w:rsidRPr="00201A9A">
        <w:rPr>
          <w:noProof/>
        </w:rPr>
        <w:t xml:space="preserve"> i ter</w:t>
      </w:r>
      <w:r w:rsidR="00C63D0B" w:rsidRPr="00201A9A">
        <w:rPr>
          <w:noProof/>
        </w:rPr>
        <w:t>ytorialnych danego państwa członkowskiego. Plan powinien również zawierać wyjaśnienie,</w:t>
      </w:r>
      <w:r w:rsidR="00201A9A" w:rsidRPr="00201A9A">
        <w:rPr>
          <w:noProof/>
        </w:rPr>
        <w:t xml:space="preserve"> w jak</w:t>
      </w:r>
      <w:r w:rsidR="00C63D0B" w:rsidRPr="00201A9A">
        <w:rPr>
          <w:noProof/>
        </w:rPr>
        <w:t>i sposób przyczynia się do skutecznego sprostania odpowiednim wyzwaniom specyficznym dla danego kraju, zidentyfikowanym między innymi</w:t>
      </w:r>
      <w:r w:rsidR="00201A9A" w:rsidRPr="00201A9A">
        <w:rPr>
          <w:noProof/>
        </w:rPr>
        <w:t xml:space="preserve"> w kon</w:t>
      </w:r>
      <w:r w:rsidR="00C63D0B" w:rsidRPr="00201A9A">
        <w:rPr>
          <w:noProof/>
        </w:rPr>
        <w:t>tekście europejskiego semestru</w:t>
      </w:r>
      <w:r w:rsidR="00201A9A" w:rsidRPr="00201A9A">
        <w:rPr>
          <w:noProof/>
        </w:rPr>
        <w:t xml:space="preserve"> i inn</w:t>
      </w:r>
      <w:r w:rsidR="00C63D0B" w:rsidRPr="00201A9A">
        <w:rPr>
          <w:noProof/>
        </w:rPr>
        <w:t>ych odpowiednich dokumentów oficjalnie przyjętych przez Komisję, związanych</w:t>
      </w:r>
      <w:r w:rsidR="00201A9A" w:rsidRPr="00201A9A">
        <w:rPr>
          <w:noProof/>
        </w:rPr>
        <w:t xml:space="preserve"> z cel</w:t>
      </w:r>
      <w:r w:rsidR="00C63D0B" w:rsidRPr="00201A9A">
        <w:rPr>
          <w:noProof/>
        </w:rPr>
        <w:t>ami wspieranymi przez Fundusz, oraz</w:t>
      </w:r>
      <w:r w:rsidR="00201A9A" w:rsidRPr="00201A9A">
        <w:rPr>
          <w:noProof/>
        </w:rPr>
        <w:t xml:space="preserve"> w jak</w:t>
      </w:r>
      <w:r w:rsidR="00C63D0B" w:rsidRPr="00201A9A">
        <w:rPr>
          <w:noProof/>
        </w:rPr>
        <w:t>i sposób przyczynia się do urzeczywistnienia rynku wewnętrznego,</w:t>
      </w:r>
      <w:r w:rsidR="00201A9A" w:rsidRPr="00201A9A">
        <w:rPr>
          <w:noProof/>
        </w:rPr>
        <w:t xml:space="preserve"> w szc</w:t>
      </w:r>
      <w:r w:rsidR="00C63D0B" w:rsidRPr="00201A9A">
        <w:rPr>
          <w:noProof/>
        </w:rPr>
        <w:t>zególności poprzez uwzględnienie reform, inwestycji</w:t>
      </w:r>
      <w:r w:rsidR="00201A9A" w:rsidRPr="00201A9A">
        <w:rPr>
          <w:noProof/>
        </w:rPr>
        <w:t xml:space="preserve"> i inn</w:t>
      </w:r>
      <w:r w:rsidR="00C63D0B" w:rsidRPr="00201A9A">
        <w:rPr>
          <w:noProof/>
        </w:rPr>
        <w:t>ych interwencji</w:t>
      </w:r>
      <w:r w:rsidR="00201A9A" w:rsidRPr="00201A9A">
        <w:rPr>
          <w:noProof/>
        </w:rPr>
        <w:t xml:space="preserve"> o wym</w:t>
      </w:r>
      <w:r w:rsidR="00C63D0B" w:rsidRPr="00201A9A">
        <w:rPr>
          <w:noProof/>
        </w:rPr>
        <w:t>iarze transgranicznym, transnarodowym lub wielokrajowym. Aby wzmocnić konkurencyjność Unii</w:t>
      </w:r>
      <w:r w:rsidR="00201A9A" w:rsidRPr="00201A9A">
        <w:rPr>
          <w:noProof/>
        </w:rPr>
        <w:t xml:space="preserve"> w sek</w:t>
      </w:r>
      <w:r w:rsidR="00C63D0B" w:rsidRPr="00201A9A">
        <w:rPr>
          <w:noProof/>
        </w:rPr>
        <w:t>torach</w:t>
      </w:r>
      <w:r w:rsidR="00201A9A" w:rsidRPr="00201A9A">
        <w:rPr>
          <w:noProof/>
        </w:rPr>
        <w:t xml:space="preserve"> o zna</w:t>
      </w:r>
      <w:r w:rsidR="00C63D0B" w:rsidRPr="00201A9A">
        <w:rPr>
          <w:noProof/>
        </w:rPr>
        <w:t>czeniu strategicznym przy jednoczesnym utrzymaniu niezagrożonych równych warunków działania, plany PKR powinny obejmować projekty transgraniczne</w:t>
      </w:r>
      <w:r w:rsidR="00201A9A" w:rsidRPr="00201A9A">
        <w:rPr>
          <w:noProof/>
        </w:rPr>
        <w:t xml:space="preserve"> i wie</w:t>
      </w:r>
      <w:r w:rsidR="00C63D0B" w:rsidRPr="00201A9A">
        <w:rPr>
          <w:noProof/>
        </w:rPr>
        <w:t>lokrajowe,</w:t>
      </w:r>
      <w:r w:rsidR="00201A9A" w:rsidRPr="00201A9A">
        <w:rPr>
          <w:noProof/>
        </w:rPr>
        <w:t xml:space="preserve"> w szc</w:t>
      </w:r>
      <w:r w:rsidR="00C63D0B" w:rsidRPr="00201A9A">
        <w:rPr>
          <w:noProof/>
        </w:rPr>
        <w:t>zególności ważne projekty stanowiące przedmiot wspólnego europejskiego zainteresowania (projekty IPCEI) koncentrujące się na badaniach, rozwoju, innowacjach lub pierwszym wdrożeniu</w:t>
      </w:r>
      <w:r w:rsidR="00201A9A" w:rsidRPr="00201A9A">
        <w:rPr>
          <w:noProof/>
        </w:rPr>
        <w:t xml:space="preserve"> w prz</w:t>
      </w:r>
      <w:r w:rsidR="00C63D0B" w:rsidRPr="00201A9A">
        <w:rPr>
          <w:noProof/>
        </w:rPr>
        <w:t>emyśle lub na budowie ważnej infrastruktury dostępnej do użytku przez strony trzecie,</w:t>
      </w:r>
      <w:r w:rsidR="00201A9A" w:rsidRPr="00201A9A">
        <w:rPr>
          <w:noProof/>
        </w:rPr>
        <w:t xml:space="preserve"> w szc</w:t>
      </w:r>
      <w:r w:rsidR="00C63D0B" w:rsidRPr="00201A9A">
        <w:rPr>
          <w:noProof/>
        </w:rPr>
        <w:t>zególności</w:t>
      </w:r>
      <w:r w:rsidR="00201A9A" w:rsidRPr="00201A9A">
        <w:rPr>
          <w:noProof/>
        </w:rPr>
        <w:t xml:space="preserve"> z uwz</w:t>
      </w:r>
      <w:r w:rsidR="00C63D0B" w:rsidRPr="00201A9A">
        <w:rPr>
          <w:noProof/>
        </w:rPr>
        <w:t>ględnieniem analiz przedstawionych</w:t>
      </w:r>
      <w:r w:rsidR="00201A9A" w:rsidRPr="00201A9A">
        <w:rPr>
          <w:noProof/>
        </w:rPr>
        <w:t xml:space="preserve"> w naj</w:t>
      </w:r>
      <w:r w:rsidR="00C63D0B" w:rsidRPr="00201A9A">
        <w:rPr>
          <w:noProof/>
        </w:rPr>
        <w:t>nowszym rocznym sprawozdaniu na temat jednolitego rynku</w:t>
      </w:r>
      <w:r w:rsidR="00201A9A" w:rsidRPr="00201A9A">
        <w:rPr>
          <w:noProof/>
        </w:rPr>
        <w:t xml:space="preserve"> i kon</w:t>
      </w:r>
      <w:r w:rsidR="00C63D0B" w:rsidRPr="00201A9A">
        <w:rPr>
          <w:noProof/>
        </w:rPr>
        <w:t>kurencyjności</w:t>
      </w:r>
      <w:r w:rsidR="00201A9A" w:rsidRPr="00201A9A">
        <w:rPr>
          <w:noProof/>
        </w:rPr>
        <w:t>. W ram</w:t>
      </w:r>
      <w:r w:rsidR="00C63D0B" w:rsidRPr="00201A9A">
        <w:rPr>
          <w:noProof/>
        </w:rPr>
        <w:t>ach swoich planów państwa członkowskie powinny skoncentrować zasoby na zmniejszaniu dysproporcji gospodarczych, społecznych</w:t>
      </w:r>
      <w:r w:rsidR="00201A9A" w:rsidRPr="00201A9A">
        <w:rPr>
          <w:noProof/>
        </w:rPr>
        <w:t xml:space="preserve"> i ter</w:t>
      </w:r>
      <w:r w:rsidR="00C63D0B" w:rsidRPr="00201A9A">
        <w:rPr>
          <w:noProof/>
        </w:rPr>
        <w:t>ytorialnych,</w:t>
      </w:r>
      <w:r w:rsidR="00201A9A" w:rsidRPr="00201A9A">
        <w:rPr>
          <w:noProof/>
        </w:rPr>
        <w:t xml:space="preserve"> w szc</w:t>
      </w:r>
      <w:r w:rsidR="00C63D0B" w:rsidRPr="00201A9A">
        <w:rPr>
          <w:noProof/>
        </w:rPr>
        <w:t>zególności</w:t>
      </w:r>
      <w:r w:rsidR="00201A9A" w:rsidRPr="00201A9A">
        <w:rPr>
          <w:noProof/>
        </w:rPr>
        <w:t xml:space="preserve"> w reg</w:t>
      </w:r>
      <w:r w:rsidR="00C63D0B" w:rsidRPr="00201A9A">
        <w:rPr>
          <w:noProof/>
        </w:rPr>
        <w:t>ionach słabiej rozwiniętych. Powinny one również wspierać wymianę pokoleń</w:t>
      </w:r>
      <w:r w:rsidR="00201A9A" w:rsidRPr="00201A9A">
        <w:rPr>
          <w:noProof/>
        </w:rPr>
        <w:t xml:space="preserve"> i śro</w:t>
      </w:r>
      <w:r w:rsidR="00C63D0B" w:rsidRPr="00201A9A">
        <w:rPr>
          <w:noProof/>
        </w:rPr>
        <w:t>dki społeczne oraz prosperującą produkcję rybołówstwa</w:t>
      </w:r>
      <w:r w:rsidR="00201A9A" w:rsidRPr="00201A9A">
        <w:rPr>
          <w:noProof/>
        </w:rPr>
        <w:t xml:space="preserve"> i akw</w:t>
      </w:r>
      <w:r w:rsidR="00C63D0B" w:rsidRPr="00201A9A">
        <w:rPr>
          <w:noProof/>
        </w:rPr>
        <w:t xml:space="preserve">akultury. </w:t>
      </w:r>
    </w:p>
    <w:p w14:paraId="084113A0" w14:textId="68F0D0C1" w:rsidR="00C63D0B" w:rsidRPr="00201A9A" w:rsidRDefault="00875961" w:rsidP="00875961">
      <w:pPr>
        <w:pStyle w:val="ManualConsidrant"/>
        <w:rPr>
          <w:noProof/>
        </w:rPr>
      </w:pPr>
      <w:r w:rsidRPr="00875961">
        <w:rPr>
          <w:noProof/>
        </w:rPr>
        <w:t>(31)</w:t>
      </w:r>
      <w:r w:rsidRPr="00875961">
        <w:rPr>
          <w:noProof/>
        </w:rPr>
        <w:tab/>
      </w:r>
      <w:r w:rsidR="0010626C" w:rsidRPr="00201A9A">
        <w:rPr>
          <w:noProof/>
        </w:rPr>
        <w:t>Plan powinien zapewniać komplementarność</w:t>
      </w:r>
      <w:r w:rsidR="00201A9A" w:rsidRPr="00201A9A">
        <w:rPr>
          <w:noProof/>
        </w:rPr>
        <w:t xml:space="preserve"> i syn</w:t>
      </w:r>
      <w:r w:rsidR="0010626C" w:rsidRPr="00201A9A">
        <w:rPr>
          <w:noProof/>
        </w:rPr>
        <w:t>ergię między różnymi środkami wspierającymi różne obszary polityki</w:t>
      </w:r>
      <w:r w:rsidR="00201A9A" w:rsidRPr="00201A9A">
        <w:rPr>
          <w:noProof/>
        </w:rPr>
        <w:t xml:space="preserve"> i uki</w:t>
      </w:r>
      <w:r w:rsidR="0010626C" w:rsidRPr="00201A9A">
        <w:rPr>
          <w:noProof/>
        </w:rPr>
        <w:t>erunkowanymi na różne grupy beneficjentów. Jest to szczególnie ważne dla opracowania kompleksowej polityki na rzecz rozwoju prosperujących obszarów wiejskich</w:t>
      </w:r>
      <w:r w:rsidR="00201A9A" w:rsidRPr="00201A9A">
        <w:rPr>
          <w:noProof/>
        </w:rPr>
        <w:t xml:space="preserve"> i prz</w:t>
      </w:r>
      <w:r w:rsidR="0010626C" w:rsidRPr="00201A9A">
        <w:rPr>
          <w:noProof/>
        </w:rPr>
        <w:t>ybrzeżnych oraz zapewnienia dynamiki sektora rolnego</w:t>
      </w:r>
      <w:r w:rsidR="00201A9A" w:rsidRPr="00201A9A">
        <w:rPr>
          <w:noProof/>
        </w:rPr>
        <w:t xml:space="preserve"> i gos</w:t>
      </w:r>
      <w:r w:rsidR="0010626C" w:rsidRPr="00201A9A">
        <w:rPr>
          <w:noProof/>
        </w:rPr>
        <w:t>podarki rybnej</w:t>
      </w:r>
      <w:r w:rsidR="00201A9A" w:rsidRPr="00201A9A">
        <w:rPr>
          <w:noProof/>
        </w:rPr>
        <w:t>. W szc</w:t>
      </w:r>
      <w:r w:rsidR="0010626C" w:rsidRPr="00201A9A">
        <w:rPr>
          <w:noProof/>
        </w:rPr>
        <w:t>zególności zachęca się państwa członkowskie do promowania takich synergii przy opracowywaniu środków</w:t>
      </w:r>
      <w:r w:rsidR="00201A9A" w:rsidRPr="00201A9A">
        <w:rPr>
          <w:noProof/>
        </w:rPr>
        <w:t xml:space="preserve"> i roz</w:t>
      </w:r>
      <w:r w:rsidR="0010626C" w:rsidRPr="00201A9A">
        <w:rPr>
          <w:noProof/>
        </w:rPr>
        <w:t>działów oraz przy stosowaniu stóp współfinansowania</w:t>
      </w:r>
      <w:r w:rsidR="00201A9A" w:rsidRPr="00201A9A">
        <w:rPr>
          <w:noProof/>
        </w:rPr>
        <w:t>. W odn</w:t>
      </w:r>
      <w:r w:rsidR="0010626C" w:rsidRPr="00201A9A">
        <w:rPr>
          <w:noProof/>
        </w:rPr>
        <w:t>iesieniu do środków wspierających podstawowe usługi</w:t>
      </w:r>
      <w:r w:rsidR="00201A9A" w:rsidRPr="00201A9A">
        <w:rPr>
          <w:noProof/>
        </w:rPr>
        <w:t xml:space="preserve"> i inf</w:t>
      </w:r>
      <w:r w:rsidR="0010626C" w:rsidRPr="00201A9A">
        <w:rPr>
          <w:noProof/>
        </w:rPr>
        <w:t>rastrukturę na obszarach wiejskich</w:t>
      </w:r>
      <w:r w:rsidR="00201A9A" w:rsidRPr="00201A9A">
        <w:rPr>
          <w:noProof/>
        </w:rPr>
        <w:t xml:space="preserve"> i prz</w:t>
      </w:r>
      <w:r w:rsidR="0010626C" w:rsidRPr="00201A9A">
        <w:rPr>
          <w:noProof/>
        </w:rPr>
        <w:t>ybrzeżnych,</w:t>
      </w:r>
      <w:r w:rsidR="00201A9A" w:rsidRPr="00201A9A">
        <w:rPr>
          <w:noProof/>
        </w:rPr>
        <w:t xml:space="preserve"> a tak</w:t>
      </w:r>
      <w:r w:rsidR="0010626C" w:rsidRPr="00201A9A">
        <w:rPr>
          <w:noProof/>
        </w:rPr>
        <w:t>że przedsiębiorstw wiejskich</w:t>
      </w:r>
      <w:r w:rsidR="00201A9A" w:rsidRPr="00201A9A">
        <w:rPr>
          <w:noProof/>
        </w:rPr>
        <w:t xml:space="preserve"> i nad</w:t>
      </w:r>
      <w:r w:rsidR="0010626C" w:rsidRPr="00201A9A">
        <w:rPr>
          <w:noProof/>
        </w:rPr>
        <w:t>brzeżnych, państwa członkowskie powinny opracować zintegrowane planowanie</w:t>
      </w:r>
      <w:r w:rsidR="00201A9A" w:rsidRPr="00201A9A">
        <w:rPr>
          <w:noProof/>
        </w:rPr>
        <w:t xml:space="preserve"> w cel</w:t>
      </w:r>
      <w:r w:rsidR="0010626C" w:rsidRPr="00201A9A">
        <w:rPr>
          <w:noProof/>
        </w:rPr>
        <w:t>u zapewnienia społecznościom wiejskim</w:t>
      </w:r>
      <w:r w:rsidR="00201A9A" w:rsidRPr="00201A9A">
        <w:rPr>
          <w:noProof/>
        </w:rPr>
        <w:t xml:space="preserve"> i nad</w:t>
      </w:r>
      <w:r w:rsidR="0010626C" w:rsidRPr="00201A9A">
        <w:rPr>
          <w:noProof/>
        </w:rPr>
        <w:t>brzeżnym dostępu do finansowania za pomocą odpowiednich mechanizmów,</w:t>
      </w:r>
      <w:r w:rsidR="00201A9A" w:rsidRPr="00201A9A">
        <w:rPr>
          <w:noProof/>
        </w:rPr>
        <w:t xml:space="preserve"> w tym</w:t>
      </w:r>
      <w:r w:rsidR="0010626C" w:rsidRPr="00201A9A">
        <w:rPr>
          <w:noProof/>
        </w:rPr>
        <w:t xml:space="preserve"> konkretnych działań</w:t>
      </w:r>
      <w:r w:rsidR="00201A9A" w:rsidRPr="00201A9A">
        <w:rPr>
          <w:noProof/>
        </w:rPr>
        <w:t xml:space="preserve"> w ram</w:t>
      </w:r>
      <w:r w:rsidR="0010626C" w:rsidRPr="00201A9A">
        <w:rPr>
          <w:noProof/>
        </w:rPr>
        <w:t>ach polityki; mechanizmy</w:t>
      </w:r>
      <w:r w:rsidR="00201A9A" w:rsidRPr="00201A9A">
        <w:rPr>
          <w:noProof/>
        </w:rPr>
        <w:t xml:space="preserve"> i str</w:t>
      </w:r>
      <w:r w:rsidR="0010626C" w:rsidRPr="00201A9A">
        <w:rPr>
          <w:noProof/>
        </w:rPr>
        <w:t>uktury zarządzania służące koordynacji programowania</w:t>
      </w:r>
      <w:r w:rsidR="00201A9A" w:rsidRPr="00201A9A">
        <w:rPr>
          <w:noProof/>
        </w:rPr>
        <w:t xml:space="preserve"> i wdr</w:t>
      </w:r>
      <w:r w:rsidR="0010626C" w:rsidRPr="00201A9A">
        <w:rPr>
          <w:noProof/>
        </w:rPr>
        <w:t>ażania polityk unijnych, krajowych, regionalnych</w:t>
      </w:r>
      <w:r w:rsidR="00201A9A" w:rsidRPr="00201A9A">
        <w:rPr>
          <w:noProof/>
        </w:rPr>
        <w:t xml:space="preserve"> i lok</w:t>
      </w:r>
      <w:r w:rsidR="0010626C" w:rsidRPr="00201A9A">
        <w:rPr>
          <w:noProof/>
        </w:rPr>
        <w:t>alnych, programowania podejść do finansowania zintegrowanego na szczeblu lokalnym</w:t>
      </w:r>
      <w:r w:rsidR="00201A9A" w:rsidRPr="00201A9A">
        <w:rPr>
          <w:noProof/>
        </w:rPr>
        <w:t xml:space="preserve"> i reg</w:t>
      </w:r>
      <w:r w:rsidR="0010626C" w:rsidRPr="00201A9A">
        <w:rPr>
          <w:noProof/>
        </w:rPr>
        <w:t>ionalnym,</w:t>
      </w:r>
      <w:r w:rsidR="00201A9A" w:rsidRPr="00201A9A">
        <w:rPr>
          <w:noProof/>
        </w:rPr>
        <w:t xml:space="preserve"> z uwz</w:t>
      </w:r>
      <w:r w:rsidR="0010626C" w:rsidRPr="00201A9A">
        <w:rPr>
          <w:noProof/>
        </w:rPr>
        <w:t>ględnieniem szczególnego kontekstu</w:t>
      </w:r>
      <w:r w:rsidR="00201A9A" w:rsidRPr="00201A9A">
        <w:rPr>
          <w:noProof/>
        </w:rPr>
        <w:t xml:space="preserve"> i zdo</w:t>
      </w:r>
      <w:r w:rsidR="0010626C" w:rsidRPr="00201A9A">
        <w:rPr>
          <w:noProof/>
        </w:rPr>
        <w:t>lności beneficjentów docelowych, tworzenia budowania zdolności zarówno dla administracji, jak</w:t>
      </w:r>
      <w:r w:rsidR="00201A9A" w:rsidRPr="00201A9A">
        <w:rPr>
          <w:noProof/>
        </w:rPr>
        <w:t xml:space="preserve"> i ben</w:t>
      </w:r>
      <w:r w:rsidR="0010626C" w:rsidRPr="00201A9A">
        <w:rPr>
          <w:noProof/>
        </w:rPr>
        <w:t>eficjentów</w:t>
      </w:r>
      <w:r w:rsidR="00201A9A" w:rsidRPr="00201A9A">
        <w:rPr>
          <w:noProof/>
        </w:rPr>
        <w:t>. W pla</w:t>
      </w:r>
      <w:r w:rsidR="0010626C" w:rsidRPr="00201A9A">
        <w:rPr>
          <w:noProof/>
        </w:rPr>
        <w:t>nie PKR należy określić szczegółowy zestaw środków</w:t>
      </w:r>
      <w:r w:rsidR="00201A9A" w:rsidRPr="00201A9A">
        <w:rPr>
          <w:noProof/>
        </w:rPr>
        <w:t xml:space="preserve"> i ust</w:t>
      </w:r>
      <w:r w:rsidR="0010626C" w:rsidRPr="00201A9A">
        <w:rPr>
          <w:noProof/>
        </w:rPr>
        <w:t>aleń dotyczących jego monitorowania</w:t>
      </w:r>
      <w:r w:rsidR="00201A9A" w:rsidRPr="00201A9A">
        <w:rPr>
          <w:noProof/>
        </w:rPr>
        <w:t xml:space="preserve"> i rea</w:t>
      </w:r>
      <w:r w:rsidR="0010626C" w:rsidRPr="00201A9A">
        <w:rPr>
          <w:noProof/>
        </w:rPr>
        <w:t>lizacji,</w:t>
      </w:r>
      <w:r w:rsidR="00201A9A" w:rsidRPr="00201A9A">
        <w:rPr>
          <w:noProof/>
        </w:rPr>
        <w:t xml:space="preserve"> w tym</w:t>
      </w:r>
      <w:r w:rsidR="0010626C" w:rsidRPr="00201A9A">
        <w:rPr>
          <w:noProof/>
        </w:rPr>
        <w:t xml:space="preserve"> ustanowienie organów odpowiedzialnych za plan PKR, komitetu monitorującego</w:t>
      </w:r>
      <w:r w:rsidR="00201A9A" w:rsidRPr="00201A9A">
        <w:rPr>
          <w:noProof/>
        </w:rPr>
        <w:t xml:space="preserve"> i koo</w:t>
      </w:r>
      <w:r w:rsidR="0010626C" w:rsidRPr="00201A9A">
        <w:rPr>
          <w:noProof/>
        </w:rPr>
        <w:t>rdynującego, szacowane koszty tych działań oraz wkład krajowy</w:t>
      </w:r>
      <w:r w:rsidR="00201A9A" w:rsidRPr="00201A9A">
        <w:rPr>
          <w:noProof/>
        </w:rPr>
        <w:t xml:space="preserve"> i śro</w:t>
      </w:r>
      <w:r w:rsidR="0010626C" w:rsidRPr="00201A9A">
        <w:rPr>
          <w:noProof/>
        </w:rPr>
        <w:t>dki mające na celu poprawę jakości zarządzania</w:t>
      </w:r>
      <w:r w:rsidR="00201A9A" w:rsidRPr="00201A9A">
        <w:rPr>
          <w:noProof/>
        </w:rPr>
        <w:t xml:space="preserve"> i wzm</w:t>
      </w:r>
      <w:r w:rsidR="0010626C" w:rsidRPr="00201A9A">
        <w:rPr>
          <w:noProof/>
        </w:rPr>
        <w:t>ocnienie zdolności administracyjnych administracji publicznej</w:t>
      </w:r>
      <w:r w:rsidR="00201A9A" w:rsidRPr="00201A9A">
        <w:rPr>
          <w:noProof/>
        </w:rPr>
        <w:t>. W tra</w:t>
      </w:r>
      <w:r w:rsidR="0010626C" w:rsidRPr="00201A9A">
        <w:rPr>
          <w:noProof/>
        </w:rPr>
        <w:t>kcie całego procesu należy dążyć do ścisłej współpracy między Komisją, państwami członkowskimi</w:t>
      </w:r>
      <w:r w:rsidR="00201A9A" w:rsidRPr="00201A9A">
        <w:rPr>
          <w:noProof/>
        </w:rPr>
        <w:t xml:space="preserve"> i ich</w:t>
      </w:r>
      <w:r w:rsidR="0010626C" w:rsidRPr="00201A9A">
        <w:rPr>
          <w:noProof/>
        </w:rPr>
        <w:t xml:space="preserve"> regionami oraz ją urzeczywistniać. należy zachęcać do uczenia się</w:t>
      </w:r>
      <w:r w:rsidR="00201A9A" w:rsidRPr="00201A9A">
        <w:rPr>
          <w:noProof/>
        </w:rPr>
        <w:t xml:space="preserve"> i eks</w:t>
      </w:r>
      <w:r w:rsidR="0010626C" w:rsidRPr="00201A9A">
        <w:rPr>
          <w:noProof/>
        </w:rPr>
        <w:t>perymentów</w:t>
      </w:r>
      <w:r w:rsidR="00201A9A" w:rsidRPr="00201A9A">
        <w:rPr>
          <w:noProof/>
        </w:rPr>
        <w:t xml:space="preserve"> w zak</w:t>
      </w:r>
      <w:r w:rsidR="0010626C" w:rsidRPr="00201A9A">
        <w:rPr>
          <w:noProof/>
        </w:rPr>
        <w:t>resie polityki.</w:t>
      </w:r>
    </w:p>
    <w:p w14:paraId="439A8517" w14:textId="427A4D35" w:rsidR="00C63D0B" w:rsidRPr="00201A9A" w:rsidRDefault="00875961" w:rsidP="00875961">
      <w:pPr>
        <w:pStyle w:val="ManualConsidrant"/>
        <w:rPr>
          <w:noProof/>
        </w:rPr>
      </w:pPr>
      <w:r w:rsidRPr="00875961">
        <w:rPr>
          <w:noProof/>
        </w:rPr>
        <w:t>(32)</w:t>
      </w:r>
      <w:r w:rsidRPr="00875961">
        <w:rPr>
          <w:noProof/>
        </w:rPr>
        <w:tab/>
      </w:r>
      <w:r w:rsidR="00C63D0B" w:rsidRPr="00201A9A">
        <w:rPr>
          <w:noProof/>
        </w:rPr>
        <w:t>Wsparcie finansowe dla planu PKR powinno być możliwe</w:t>
      </w:r>
      <w:r w:rsidR="00201A9A" w:rsidRPr="00201A9A">
        <w:rPr>
          <w:noProof/>
        </w:rPr>
        <w:t xml:space="preserve"> w for</w:t>
      </w:r>
      <w:r w:rsidR="00C63D0B" w:rsidRPr="00201A9A">
        <w:rPr>
          <w:noProof/>
        </w:rPr>
        <w:t>mie pożyczki,</w:t>
      </w:r>
      <w:r w:rsidR="00201A9A" w:rsidRPr="00201A9A">
        <w:rPr>
          <w:noProof/>
        </w:rPr>
        <w:t xml:space="preserve"> z zas</w:t>
      </w:r>
      <w:r w:rsidR="00C63D0B" w:rsidRPr="00201A9A">
        <w:rPr>
          <w:noProof/>
        </w:rPr>
        <w:t>trzeżeniem zawarcia</w:t>
      </w:r>
      <w:r w:rsidR="00201A9A" w:rsidRPr="00201A9A">
        <w:rPr>
          <w:noProof/>
        </w:rPr>
        <w:t xml:space="preserve"> z Kom</w:t>
      </w:r>
      <w:r w:rsidR="00C63D0B" w:rsidRPr="00201A9A">
        <w:rPr>
          <w:noProof/>
        </w:rPr>
        <w:t>isją umowy pożyczki, na podstawie należycie uzasadnionego wniosku danego państwa członkowskiego przedstawionego wraz</w:t>
      </w:r>
      <w:r w:rsidR="00201A9A" w:rsidRPr="00201A9A">
        <w:rPr>
          <w:noProof/>
        </w:rPr>
        <w:t xml:space="preserve"> z prz</w:t>
      </w:r>
      <w:r w:rsidR="00C63D0B" w:rsidRPr="00201A9A">
        <w:rPr>
          <w:noProof/>
        </w:rPr>
        <w:t>edłożeniem planu PKR. Wniosek</w:t>
      </w:r>
      <w:r w:rsidR="00201A9A" w:rsidRPr="00201A9A">
        <w:rPr>
          <w:noProof/>
        </w:rPr>
        <w:t xml:space="preserve"> o wsp</w:t>
      </w:r>
      <w:r w:rsidR="00C63D0B" w:rsidRPr="00201A9A">
        <w:rPr>
          <w:noProof/>
        </w:rPr>
        <w:t>arcie</w:t>
      </w:r>
      <w:r w:rsidR="00201A9A" w:rsidRPr="00201A9A">
        <w:rPr>
          <w:noProof/>
        </w:rPr>
        <w:t xml:space="preserve"> w for</w:t>
      </w:r>
      <w:r w:rsidR="00C63D0B" w:rsidRPr="00201A9A">
        <w:rPr>
          <w:noProof/>
        </w:rPr>
        <w:t>mie pożyczki powinien być uzasadniony wyższymi potrzebami finansowymi związanymi</w:t>
      </w:r>
      <w:r w:rsidR="00201A9A" w:rsidRPr="00201A9A">
        <w:rPr>
          <w:noProof/>
        </w:rPr>
        <w:t xml:space="preserve"> z dod</w:t>
      </w:r>
      <w:r w:rsidR="00C63D0B" w:rsidRPr="00201A9A">
        <w:rPr>
          <w:noProof/>
        </w:rPr>
        <w:t>atkowymi reformami</w:t>
      </w:r>
      <w:r w:rsidR="00201A9A" w:rsidRPr="00201A9A">
        <w:rPr>
          <w:noProof/>
        </w:rPr>
        <w:t xml:space="preserve"> i inw</w:t>
      </w:r>
      <w:r w:rsidR="00C63D0B" w:rsidRPr="00201A9A">
        <w:rPr>
          <w:noProof/>
        </w:rPr>
        <w:t>estycjami zawartymi</w:t>
      </w:r>
      <w:r w:rsidR="00201A9A" w:rsidRPr="00201A9A">
        <w:rPr>
          <w:noProof/>
        </w:rPr>
        <w:t xml:space="preserve"> w pla</w:t>
      </w:r>
      <w:r w:rsidR="00C63D0B" w:rsidRPr="00201A9A">
        <w:rPr>
          <w:noProof/>
        </w:rPr>
        <w:t>nie PKR oraz wyższymi kosztami planu PKR niż suma unijnego wkładu finansowego</w:t>
      </w:r>
      <w:r w:rsidR="00201A9A" w:rsidRPr="00201A9A">
        <w:rPr>
          <w:noProof/>
        </w:rPr>
        <w:t xml:space="preserve"> i wkł</w:t>
      </w:r>
      <w:r w:rsidR="00C63D0B" w:rsidRPr="00201A9A">
        <w:rPr>
          <w:noProof/>
        </w:rPr>
        <w:t>adu krajowego.</w:t>
      </w:r>
      <w:r w:rsidR="00201A9A" w:rsidRPr="00201A9A">
        <w:rPr>
          <w:noProof/>
        </w:rPr>
        <w:t xml:space="preserve"> </w:t>
      </w:r>
    </w:p>
    <w:p w14:paraId="19F0A464" w14:textId="4781327A" w:rsidR="000C199B" w:rsidRPr="00201A9A" w:rsidRDefault="00875961" w:rsidP="00875961">
      <w:pPr>
        <w:pStyle w:val="ManualConsidrant"/>
        <w:rPr>
          <w:noProof/>
        </w:rPr>
      </w:pPr>
      <w:r w:rsidRPr="00875961">
        <w:rPr>
          <w:noProof/>
        </w:rPr>
        <w:t>(33)</w:t>
      </w:r>
      <w:r w:rsidRPr="00875961">
        <w:rPr>
          <w:noProof/>
        </w:rPr>
        <w:tab/>
      </w:r>
      <w:r w:rsidR="00C63D0B" w:rsidRPr="00201A9A">
        <w:rPr>
          <w:noProof/>
        </w:rPr>
        <w:t>Aby zmaksymalizować wpływ</w:t>
      </w:r>
      <w:r w:rsidR="00201A9A" w:rsidRPr="00201A9A">
        <w:rPr>
          <w:noProof/>
        </w:rPr>
        <w:t xml:space="preserve"> i odp</w:t>
      </w:r>
      <w:r w:rsidR="00C63D0B" w:rsidRPr="00201A9A">
        <w:rPr>
          <w:noProof/>
        </w:rPr>
        <w:t>owiedzialność krajową za finansowanie unijne, przy jednoczesnym utrzymaniu zasad sprawiedliwości</w:t>
      </w:r>
      <w:r w:rsidR="00201A9A" w:rsidRPr="00201A9A">
        <w:rPr>
          <w:noProof/>
        </w:rPr>
        <w:t xml:space="preserve"> i sol</w:t>
      </w:r>
      <w:r w:rsidR="00C63D0B" w:rsidRPr="00201A9A">
        <w:rPr>
          <w:noProof/>
        </w:rPr>
        <w:t>idarności, wkład krajowy</w:t>
      </w:r>
      <w:r w:rsidR="00201A9A" w:rsidRPr="00201A9A">
        <w:rPr>
          <w:noProof/>
        </w:rPr>
        <w:t xml:space="preserve"> w sza</w:t>
      </w:r>
      <w:r w:rsidR="00C63D0B" w:rsidRPr="00201A9A">
        <w:rPr>
          <w:noProof/>
        </w:rPr>
        <w:t>cowane koszty poszczególnych środków przewidzianych</w:t>
      </w:r>
      <w:r w:rsidR="00201A9A" w:rsidRPr="00201A9A">
        <w:rPr>
          <w:noProof/>
        </w:rPr>
        <w:t xml:space="preserve"> w pla</w:t>
      </w:r>
      <w:r w:rsidR="00C63D0B" w:rsidRPr="00201A9A">
        <w:rPr>
          <w:noProof/>
        </w:rPr>
        <w:t>nie PKR powinien odzwierciedlać różny poziom rozwoju gospodarczego regionów</w:t>
      </w:r>
      <w:r w:rsidR="00201A9A" w:rsidRPr="00201A9A">
        <w:rPr>
          <w:noProof/>
        </w:rPr>
        <w:t xml:space="preserve"> w prz</w:t>
      </w:r>
      <w:r w:rsidR="00C63D0B" w:rsidRPr="00201A9A">
        <w:rPr>
          <w:noProof/>
        </w:rPr>
        <w:t>eliczeniu na mieszkańca</w:t>
      </w:r>
      <w:r w:rsidR="00201A9A" w:rsidRPr="00201A9A">
        <w:rPr>
          <w:noProof/>
        </w:rPr>
        <w:t xml:space="preserve"> w sto</w:t>
      </w:r>
      <w:r w:rsidR="00C63D0B" w:rsidRPr="00201A9A">
        <w:rPr>
          <w:noProof/>
        </w:rPr>
        <w:t xml:space="preserve">sunku do średniej dla UE-27. Spełnienie tego wymogu współfinansowania należy oceniać </w:t>
      </w:r>
      <w:r w:rsidR="00C63D0B" w:rsidRPr="00201A9A">
        <w:rPr>
          <w:i/>
          <w:noProof/>
        </w:rPr>
        <w:t>ex ante</w:t>
      </w:r>
      <w:r w:rsidR="00201A9A" w:rsidRPr="00201A9A">
        <w:rPr>
          <w:noProof/>
        </w:rPr>
        <w:t xml:space="preserve"> w ram</w:t>
      </w:r>
      <w:r w:rsidR="00C63D0B" w:rsidRPr="00201A9A">
        <w:rPr>
          <w:noProof/>
        </w:rPr>
        <w:t>ach procedury zatwierdzania planu.</w:t>
      </w:r>
      <w:r w:rsidR="00C63D0B" w:rsidRPr="00201A9A">
        <w:rPr>
          <w:noProof/>
          <w:sz w:val="20"/>
        </w:rPr>
        <w:t xml:space="preserve"> </w:t>
      </w:r>
      <w:r w:rsidR="00C63D0B" w:rsidRPr="00201A9A">
        <w:rPr>
          <w:noProof/>
        </w:rPr>
        <w:t>Dodatkowość wkładu UE będzie monitorowana przez Komisję przez cały okres trwania programu.</w:t>
      </w:r>
    </w:p>
    <w:p w14:paraId="3FDF4C6C" w14:textId="21474DD2" w:rsidR="000C199B" w:rsidRPr="00201A9A" w:rsidRDefault="00875961" w:rsidP="00875961">
      <w:pPr>
        <w:pStyle w:val="ManualConsidrant"/>
        <w:rPr>
          <w:noProof/>
        </w:rPr>
      </w:pPr>
      <w:r w:rsidRPr="00875961">
        <w:rPr>
          <w:noProof/>
        </w:rPr>
        <w:t>(34)</w:t>
      </w:r>
      <w:r w:rsidRPr="00875961">
        <w:rPr>
          <w:noProof/>
        </w:rPr>
        <w:tab/>
      </w:r>
      <w:r w:rsidR="000C199B" w:rsidRPr="00201A9A">
        <w:rPr>
          <w:noProof/>
        </w:rPr>
        <w:t>W niniejszym rozporządzeniu należy określić orientacyjną pulę środków finansowych dla Funduszu. Do celów niniejszego rozporządzenia ceny bieżące należy obliczać</w:t>
      </w:r>
      <w:r w:rsidR="00201A9A" w:rsidRPr="00201A9A">
        <w:rPr>
          <w:noProof/>
        </w:rPr>
        <w:t xml:space="preserve"> z zas</w:t>
      </w:r>
      <w:r w:rsidR="000C199B" w:rsidRPr="00201A9A">
        <w:rPr>
          <w:noProof/>
        </w:rPr>
        <w:t>tosowaniem stałego deflatora wynoszącego 2</w:t>
      </w:r>
      <w:r w:rsidR="00201A9A" w:rsidRPr="00201A9A">
        <w:rPr>
          <w:noProof/>
        </w:rPr>
        <w:t> </w:t>
      </w:r>
      <w:r w:rsidR="000C199B" w:rsidRPr="00201A9A">
        <w:rPr>
          <w:noProof/>
        </w:rPr>
        <w:t>%.</w:t>
      </w:r>
    </w:p>
    <w:p w14:paraId="748398A2" w14:textId="04A0A0D9" w:rsidR="00FB4676" w:rsidRPr="00201A9A" w:rsidRDefault="00875961" w:rsidP="00875961">
      <w:pPr>
        <w:pStyle w:val="ManualConsidrant"/>
        <w:rPr>
          <w:noProof/>
          <w:sz w:val="22"/>
        </w:rPr>
      </w:pPr>
      <w:bookmarkStart w:id="2" w:name="_Hlk202805168"/>
      <w:r w:rsidRPr="00875961">
        <w:rPr>
          <w:noProof/>
        </w:rPr>
        <w:t>(35)</w:t>
      </w:r>
      <w:r w:rsidRPr="00875961">
        <w:rPr>
          <w:noProof/>
        </w:rPr>
        <w:tab/>
      </w:r>
      <w:r w:rsidR="00FB4676" w:rsidRPr="00201A9A">
        <w:rPr>
          <w:noProof/>
        </w:rPr>
        <w:t>W celu wspierania synergii między planami PKR</w:t>
      </w:r>
      <w:r w:rsidR="00201A9A" w:rsidRPr="00201A9A">
        <w:rPr>
          <w:noProof/>
        </w:rPr>
        <w:t xml:space="preserve"> a inn</w:t>
      </w:r>
      <w:r w:rsidR="00FB4676" w:rsidRPr="00201A9A">
        <w:rPr>
          <w:noProof/>
        </w:rPr>
        <w:t>ymi instrumentami unijnymi powinna istnieć możliwość uwzględnienia</w:t>
      </w:r>
      <w:r w:rsidR="00201A9A" w:rsidRPr="00201A9A">
        <w:rPr>
          <w:noProof/>
        </w:rPr>
        <w:t xml:space="preserve"> w pla</w:t>
      </w:r>
      <w:r w:rsidR="00FB4676" w:rsidRPr="00201A9A">
        <w:rPr>
          <w:noProof/>
        </w:rPr>
        <w:t>nach środków wdrażanych poprzez wkłady finansowe wniesione przez państwo członkowskie na rzecz [instrumentu EFK InvestEU] lub innych instrumentów unijnych wdrażających polityki dostosowane do celów planu PKR,</w:t>
      </w:r>
      <w:r w:rsidR="00201A9A" w:rsidRPr="00201A9A">
        <w:rPr>
          <w:noProof/>
        </w:rPr>
        <w:t xml:space="preserve"> w tym</w:t>
      </w:r>
      <w:r w:rsidR="00FB4676" w:rsidRPr="00201A9A">
        <w:rPr>
          <w:noProof/>
        </w:rPr>
        <w:t xml:space="preserve"> wkładów niezbędnych do wsparcia wdrażania za pośrednictwem tych instrumentów, pod warunkiem że środki te są zgodne</w:t>
      </w:r>
      <w:r w:rsidR="00201A9A" w:rsidRPr="00201A9A">
        <w:rPr>
          <w:noProof/>
        </w:rPr>
        <w:t xml:space="preserve"> z nin</w:t>
      </w:r>
      <w:r w:rsidR="00FB4676" w:rsidRPr="00201A9A">
        <w:rPr>
          <w:noProof/>
        </w:rPr>
        <w:t xml:space="preserve">iejszym rozporządzeniem. </w:t>
      </w:r>
    </w:p>
    <w:bookmarkEnd w:id="2"/>
    <w:p w14:paraId="7783710A" w14:textId="79B8128A" w:rsidR="00FA5F27" w:rsidRPr="00201A9A" w:rsidRDefault="00875961" w:rsidP="00875961">
      <w:pPr>
        <w:pStyle w:val="ManualConsidrant"/>
        <w:rPr>
          <w:noProof/>
        </w:rPr>
      </w:pPr>
      <w:r w:rsidRPr="00875961">
        <w:rPr>
          <w:noProof/>
        </w:rPr>
        <w:t>(36)</w:t>
      </w:r>
      <w:r w:rsidRPr="00875961">
        <w:rPr>
          <w:noProof/>
        </w:rPr>
        <w:tab/>
      </w:r>
      <w:r w:rsidR="00FA5F27" w:rsidRPr="00201A9A">
        <w:rPr>
          <w:noProof/>
        </w:rPr>
        <w:t>W należycie uzasadnionych przypadkach, takich jak sytuacje kryzysowe lub inne nadrzędne względy interesu publicznego, Komisja powinna mieć możliwość zaproponowania Radzie przyjęcia decyzji wykonawczej zatwierdzającej plan PKR</w:t>
      </w:r>
      <w:r w:rsidR="00201A9A" w:rsidRPr="00201A9A">
        <w:rPr>
          <w:noProof/>
        </w:rPr>
        <w:t xml:space="preserve"> w ter</w:t>
      </w:r>
      <w:r w:rsidR="00FA5F27" w:rsidRPr="00201A9A">
        <w:rPr>
          <w:noProof/>
        </w:rPr>
        <w:t>minie umożliwiającym podjęcie niezbędnych działań na podstawie niniejszego rozporządzenia, przy jednoczesnym zidentyfikowaniu niedociągnięć, którymi należy się zająć, oraz odpowiednich środków, na które takie niedociągnięcia mają wpływ,</w:t>
      </w:r>
      <w:r w:rsidR="00201A9A" w:rsidRPr="00201A9A">
        <w:rPr>
          <w:noProof/>
        </w:rPr>
        <w:t xml:space="preserve"> w odn</w:t>
      </w:r>
      <w:r w:rsidR="00FA5F27" w:rsidRPr="00201A9A">
        <w:rPr>
          <w:noProof/>
        </w:rPr>
        <w:t>iesieniu do których nie należy dokonywać żadnych płatności, dopóki sytuacja nie zostanie naprawiona.</w:t>
      </w:r>
    </w:p>
    <w:p w14:paraId="089485F2" w14:textId="22E3015D" w:rsidR="00C63D0B" w:rsidRPr="00201A9A" w:rsidRDefault="00875961" w:rsidP="00875961">
      <w:pPr>
        <w:pStyle w:val="ManualConsidrant"/>
        <w:rPr>
          <w:noProof/>
        </w:rPr>
      </w:pPr>
      <w:r w:rsidRPr="00875961">
        <w:rPr>
          <w:noProof/>
        </w:rPr>
        <w:t>(37)</w:t>
      </w:r>
      <w:r w:rsidRPr="00875961">
        <w:rPr>
          <w:noProof/>
        </w:rPr>
        <w:tab/>
      </w:r>
      <w:r w:rsidR="00C63D0B" w:rsidRPr="00201A9A">
        <w:rPr>
          <w:noProof/>
        </w:rPr>
        <w:t>Państwa członkowskie powinny mieć możliwość złożenia uzasadnionego wniosku</w:t>
      </w:r>
      <w:r w:rsidR="00201A9A" w:rsidRPr="00201A9A">
        <w:rPr>
          <w:noProof/>
        </w:rPr>
        <w:t xml:space="preserve"> o zmi</w:t>
      </w:r>
      <w:r w:rsidR="00C63D0B" w:rsidRPr="00201A9A">
        <w:rPr>
          <w:noProof/>
        </w:rPr>
        <w:t>anę planu PKR</w:t>
      </w:r>
      <w:r w:rsidR="00201A9A" w:rsidRPr="00201A9A">
        <w:rPr>
          <w:noProof/>
        </w:rPr>
        <w:t xml:space="preserve"> w okr</w:t>
      </w:r>
      <w:r w:rsidR="00C63D0B" w:rsidRPr="00201A9A">
        <w:rPr>
          <w:noProof/>
        </w:rPr>
        <w:t>esie wdrażania Funduszu. Komisja powinna ocenić zgodność zmienionego planu PKR</w:t>
      </w:r>
      <w:r w:rsidR="00201A9A" w:rsidRPr="00201A9A">
        <w:rPr>
          <w:noProof/>
        </w:rPr>
        <w:t xml:space="preserve"> z nin</w:t>
      </w:r>
      <w:r w:rsidR="00C63D0B" w:rsidRPr="00201A9A">
        <w:rPr>
          <w:noProof/>
        </w:rPr>
        <w:t>iejszym rozporządzeniem</w:t>
      </w:r>
      <w:r w:rsidR="00201A9A" w:rsidRPr="00201A9A">
        <w:rPr>
          <w:noProof/>
        </w:rPr>
        <w:t xml:space="preserve"> w spo</w:t>
      </w:r>
      <w:r w:rsidR="00C63D0B" w:rsidRPr="00201A9A">
        <w:rPr>
          <w:noProof/>
        </w:rPr>
        <w:t>sób proporcjonalny do proponowanych zmian. Aby uniknąć nadmiernego obciążenia administracyjnego, państwa członkowskie powinny mieć możliwość dokonywania drobnych korekt lub korygowania błędów pisarskich</w:t>
      </w:r>
      <w:r w:rsidR="00201A9A" w:rsidRPr="00201A9A">
        <w:rPr>
          <w:noProof/>
        </w:rPr>
        <w:t xml:space="preserve"> w pla</w:t>
      </w:r>
      <w:r w:rsidR="00C63D0B" w:rsidRPr="00201A9A">
        <w:rPr>
          <w:noProof/>
        </w:rPr>
        <w:t>nach PKR poprzez zwykłe powiadomienie Komisji</w:t>
      </w:r>
      <w:r w:rsidR="00201A9A" w:rsidRPr="00201A9A">
        <w:rPr>
          <w:noProof/>
        </w:rPr>
        <w:t xml:space="preserve"> o tyc</w:t>
      </w:r>
      <w:r w:rsidR="00C63D0B" w:rsidRPr="00201A9A">
        <w:rPr>
          <w:noProof/>
        </w:rPr>
        <w:t>h zmianach, pod warunkiem że są one zgodne</w:t>
      </w:r>
      <w:r w:rsidR="00201A9A" w:rsidRPr="00201A9A">
        <w:rPr>
          <w:noProof/>
        </w:rPr>
        <w:t xml:space="preserve"> z wym</w:t>
      </w:r>
      <w:r w:rsidR="00C63D0B" w:rsidRPr="00201A9A">
        <w:rPr>
          <w:noProof/>
        </w:rPr>
        <w:t>ogami planu krajowego programu reform.</w:t>
      </w:r>
      <w:r w:rsidR="00201A9A" w:rsidRPr="00201A9A">
        <w:rPr>
          <w:noProof/>
        </w:rPr>
        <w:t xml:space="preserve"> </w:t>
      </w:r>
    </w:p>
    <w:p w14:paraId="44E34B63" w14:textId="7177FAF2" w:rsidR="008B0EF4" w:rsidRPr="00201A9A" w:rsidRDefault="00875961" w:rsidP="00875961">
      <w:pPr>
        <w:pStyle w:val="ManualConsidrant"/>
        <w:rPr>
          <w:noProof/>
        </w:rPr>
      </w:pPr>
      <w:r w:rsidRPr="00875961">
        <w:rPr>
          <w:noProof/>
        </w:rPr>
        <w:t>(38)</w:t>
      </w:r>
      <w:r w:rsidRPr="00875961">
        <w:rPr>
          <w:noProof/>
        </w:rPr>
        <w:tab/>
      </w:r>
      <w:r w:rsidR="00A60EA0" w:rsidRPr="00201A9A">
        <w:rPr>
          <w:noProof/>
        </w:rPr>
        <w:t>Każde państwo członkowskie powinno przeprowadzić przegląd śródokresowy swojego planu PKR. Takie przegląd powinien skutkować opracowaniem propozycji kompleksowej zmiany planu PKR</w:t>
      </w:r>
      <w:r w:rsidR="00201A9A" w:rsidRPr="00201A9A">
        <w:rPr>
          <w:noProof/>
        </w:rPr>
        <w:t xml:space="preserve"> w opa</w:t>
      </w:r>
      <w:r w:rsidR="00A60EA0" w:rsidRPr="00201A9A">
        <w:rPr>
          <w:noProof/>
        </w:rPr>
        <w:t>rciu</w:t>
      </w:r>
      <w:r w:rsidR="00201A9A" w:rsidRPr="00201A9A">
        <w:rPr>
          <w:noProof/>
        </w:rPr>
        <w:t xml:space="preserve"> o pos</w:t>
      </w:r>
      <w:r w:rsidR="00A60EA0" w:rsidRPr="00201A9A">
        <w:rPr>
          <w:noProof/>
        </w:rPr>
        <w:t>tępy we wdrażaniu środków, główne wyniki odpowiednich ocen</w:t>
      </w:r>
      <w:r w:rsidR="00201A9A" w:rsidRPr="00201A9A">
        <w:rPr>
          <w:noProof/>
        </w:rPr>
        <w:t xml:space="preserve"> i prz</w:t>
      </w:r>
      <w:r w:rsidR="00A60EA0" w:rsidRPr="00201A9A">
        <w:rPr>
          <w:noProof/>
        </w:rPr>
        <w:t>egląd szacunkowych łącznych kosztów działań objętych planem PKR,</w:t>
      </w:r>
      <w:r w:rsidR="00201A9A" w:rsidRPr="00201A9A">
        <w:rPr>
          <w:noProof/>
        </w:rPr>
        <w:t xml:space="preserve"> a tak</w:t>
      </w:r>
      <w:r w:rsidR="00A60EA0" w:rsidRPr="00201A9A">
        <w:rPr>
          <w:noProof/>
        </w:rPr>
        <w:t>że możliwość uwzględnienia nowych wyzwań,</w:t>
      </w:r>
      <w:r w:rsidR="00201A9A" w:rsidRPr="00201A9A">
        <w:rPr>
          <w:noProof/>
        </w:rPr>
        <w:t xml:space="preserve"> a tak</w:t>
      </w:r>
      <w:r w:rsidR="00A60EA0" w:rsidRPr="00201A9A">
        <w:rPr>
          <w:noProof/>
        </w:rPr>
        <w:t>że wystąpienia wszelkich kryzysów. Do celów przeglądu śródokresowego należy również uwzględnić sytuację społeczno-gospodarczą danego państwa członkowskiego lub regionu,</w:t>
      </w:r>
      <w:r w:rsidR="00201A9A" w:rsidRPr="00201A9A">
        <w:rPr>
          <w:noProof/>
        </w:rPr>
        <w:t xml:space="preserve"> w tym</w:t>
      </w:r>
      <w:r w:rsidR="00A60EA0" w:rsidRPr="00201A9A">
        <w:rPr>
          <w:noProof/>
        </w:rPr>
        <w:t xml:space="preserve"> wszelkie poważne negatywne zmiany finansowe, gospodarcze lub społeczne. Zmieniony plan PKR przedłożony przez państwo członkowskie po przeglądzie śródokresowym powinien zawierać propozycję programowania kwoty elastyczności ze zmienionymi lub nowymi środkami wraz</w:t>
      </w:r>
      <w:r w:rsidR="00201A9A" w:rsidRPr="00201A9A">
        <w:rPr>
          <w:noProof/>
        </w:rPr>
        <w:t xml:space="preserve"> z ich</w:t>
      </w:r>
      <w:r w:rsidR="00A60EA0" w:rsidRPr="00201A9A">
        <w:rPr>
          <w:noProof/>
        </w:rPr>
        <w:t xml:space="preserve"> szacunkowymi kosztami oraz odpowiadającymi im kamieniami milowymi</w:t>
      </w:r>
      <w:r w:rsidR="00201A9A" w:rsidRPr="00201A9A">
        <w:rPr>
          <w:noProof/>
        </w:rPr>
        <w:t xml:space="preserve"> i war</w:t>
      </w:r>
      <w:r w:rsidR="00A60EA0" w:rsidRPr="00201A9A">
        <w:rPr>
          <w:noProof/>
        </w:rPr>
        <w:t>tościami docelowymi. </w:t>
      </w:r>
    </w:p>
    <w:p w14:paraId="5ECFF0D3" w14:textId="4A31BEF8" w:rsidR="004D4001" w:rsidRPr="00201A9A" w:rsidRDefault="00875961" w:rsidP="00875961">
      <w:pPr>
        <w:pStyle w:val="ManualConsidrant"/>
        <w:rPr>
          <w:noProof/>
        </w:rPr>
      </w:pPr>
      <w:r w:rsidRPr="00875961">
        <w:rPr>
          <w:noProof/>
        </w:rPr>
        <w:t>(39)</w:t>
      </w:r>
      <w:r w:rsidRPr="00875961">
        <w:rPr>
          <w:noProof/>
        </w:rPr>
        <w:tab/>
      </w:r>
      <w:r w:rsidR="004D4001" w:rsidRPr="00201A9A">
        <w:rPr>
          <w:noProof/>
        </w:rPr>
        <w:t>Należy ustanowić Instrument UE uzupełniający wdrażanie na szczeblu krajowym</w:t>
      </w:r>
      <w:r w:rsidR="00201A9A" w:rsidRPr="00201A9A">
        <w:rPr>
          <w:noProof/>
        </w:rPr>
        <w:t xml:space="preserve"> i reg</w:t>
      </w:r>
      <w:r w:rsidR="004D4001" w:rsidRPr="00201A9A">
        <w:rPr>
          <w:noProof/>
        </w:rPr>
        <w:t>ionalnym. Instrument UE powinien wspierać projekty</w:t>
      </w:r>
      <w:r w:rsidR="00201A9A" w:rsidRPr="00201A9A">
        <w:rPr>
          <w:noProof/>
        </w:rPr>
        <w:t xml:space="preserve"> o wym</w:t>
      </w:r>
      <w:r w:rsidR="004D4001" w:rsidRPr="00201A9A">
        <w:rPr>
          <w:noProof/>
        </w:rPr>
        <w:t>iarze transgranicznym,</w:t>
      </w:r>
      <w:r w:rsidR="00201A9A" w:rsidRPr="00201A9A">
        <w:rPr>
          <w:noProof/>
        </w:rPr>
        <w:t xml:space="preserve"> o wys</w:t>
      </w:r>
      <w:r w:rsidR="004D4001" w:rsidRPr="00201A9A">
        <w:rPr>
          <w:noProof/>
        </w:rPr>
        <w:t>okiej unijnej wartości dodanej, które wymagają dodatkowych wysiłków koordynacyjnych na szczeblu Unii,</w:t>
      </w:r>
      <w:r w:rsidR="00201A9A" w:rsidRPr="00201A9A">
        <w:rPr>
          <w:noProof/>
        </w:rPr>
        <w:t xml:space="preserve"> a tak</w:t>
      </w:r>
      <w:r w:rsidR="004D4001" w:rsidRPr="00201A9A">
        <w:rPr>
          <w:noProof/>
        </w:rPr>
        <w:t>że oparte na dowodach wsparcie polityczne</w:t>
      </w:r>
      <w:r w:rsidR="00201A9A" w:rsidRPr="00201A9A">
        <w:rPr>
          <w:noProof/>
        </w:rPr>
        <w:t xml:space="preserve"> i któ</w:t>
      </w:r>
      <w:r w:rsidR="004D4001" w:rsidRPr="00201A9A">
        <w:rPr>
          <w:noProof/>
        </w:rPr>
        <w:t>re przyczyniają się do osiągnięcia celów określonych</w:t>
      </w:r>
      <w:r w:rsidR="00201A9A" w:rsidRPr="00201A9A">
        <w:rPr>
          <w:noProof/>
        </w:rPr>
        <w:t xml:space="preserve"> w nin</w:t>
      </w:r>
      <w:r w:rsidR="004D4001" w:rsidRPr="00201A9A">
        <w:rPr>
          <w:noProof/>
        </w:rPr>
        <w:t>iejszym rozporządzeniu. Powinien on również pomóc państwom członkowskim</w:t>
      </w:r>
      <w:r w:rsidR="00201A9A" w:rsidRPr="00201A9A">
        <w:rPr>
          <w:noProof/>
        </w:rPr>
        <w:t xml:space="preserve"> w szy</w:t>
      </w:r>
      <w:r w:rsidR="004D4001" w:rsidRPr="00201A9A">
        <w:rPr>
          <w:noProof/>
        </w:rPr>
        <w:t>bkim zaspokojeniu pilnych</w:t>
      </w:r>
      <w:r w:rsidR="00201A9A" w:rsidRPr="00201A9A">
        <w:rPr>
          <w:noProof/>
        </w:rPr>
        <w:t xml:space="preserve"> i szc</w:t>
      </w:r>
      <w:r w:rsidR="004D4001" w:rsidRPr="00201A9A">
        <w:rPr>
          <w:noProof/>
        </w:rPr>
        <w:t>zególnych potrzeb</w:t>
      </w:r>
      <w:r w:rsidR="00201A9A" w:rsidRPr="00201A9A">
        <w:rPr>
          <w:noProof/>
        </w:rPr>
        <w:t xml:space="preserve"> w odp</w:t>
      </w:r>
      <w:r w:rsidR="004D4001" w:rsidRPr="00201A9A">
        <w:rPr>
          <w:noProof/>
        </w:rPr>
        <w:t>owiedzi na sytuację kryzysową, taką jak poważna krajowa lub regionalna klęska żywiołowa, oraz wspierać naprawę</w:t>
      </w:r>
      <w:r w:rsidR="00201A9A" w:rsidRPr="00201A9A">
        <w:rPr>
          <w:noProof/>
        </w:rPr>
        <w:t xml:space="preserve"> i odb</w:t>
      </w:r>
      <w:r w:rsidR="004D4001" w:rsidRPr="00201A9A">
        <w:rPr>
          <w:noProof/>
        </w:rPr>
        <w:t>udowę</w:t>
      </w:r>
      <w:r w:rsidR="00201A9A" w:rsidRPr="00201A9A">
        <w:rPr>
          <w:noProof/>
        </w:rPr>
        <w:t xml:space="preserve"> z myś</w:t>
      </w:r>
      <w:r w:rsidR="004D4001" w:rsidRPr="00201A9A">
        <w:rPr>
          <w:noProof/>
        </w:rPr>
        <w:t>lą</w:t>
      </w:r>
      <w:r w:rsidR="00201A9A" w:rsidRPr="00201A9A">
        <w:rPr>
          <w:noProof/>
        </w:rPr>
        <w:t xml:space="preserve"> o zwi</w:t>
      </w:r>
      <w:r w:rsidR="004D4001" w:rsidRPr="00201A9A">
        <w:rPr>
          <w:noProof/>
        </w:rPr>
        <w:t>ększeniu odporności po kryzysie. Powinien także uwzględniać niepewność, zapewniając Unii dodatkowe pole manewru</w:t>
      </w:r>
      <w:r w:rsidR="00201A9A" w:rsidRPr="00201A9A">
        <w:rPr>
          <w:noProof/>
        </w:rPr>
        <w:t xml:space="preserve"> w asp</w:t>
      </w:r>
      <w:r w:rsidR="004D4001" w:rsidRPr="00201A9A">
        <w:rPr>
          <w:noProof/>
        </w:rPr>
        <w:t>ekcie dostosowania do pojawiających się priorytetów na poziomie Unii, które wymagają skoordynowanej reakcji. Powinien on również zapewniać państwom członkowskim wsparcie techniczne</w:t>
      </w:r>
      <w:r w:rsidR="00201A9A" w:rsidRPr="00201A9A">
        <w:rPr>
          <w:noProof/>
        </w:rPr>
        <w:t xml:space="preserve"> w cel</w:t>
      </w:r>
      <w:r w:rsidR="004D4001" w:rsidRPr="00201A9A">
        <w:rPr>
          <w:noProof/>
        </w:rPr>
        <w:t>u skutecznego wdrażania polityk objętych niniejszym rozporządzeniem</w:t>
      </w:r>
      <w:r w:rsidR="00201A9A" w:rsidRPr="00201A9A">
        <w:rPr>
          <w:noProof/>
        </w:rPr>
        <w:t>. W kon</w:t>
      </w:r>
      <w:r w:rsidR="004D4001" w:rsidRPr="00201A9A">
        <w:rPr>
          <w:noProof/>
        </w:rPr>
        <w:t>tekście przyszłych rozszerzeń konieczne jest zapewnienie, aby ramy legislacyjne</w:t>
      </w:r>
      <w:r w:rsidR="00201A9A" w:rsidRPr="00201A9A">
        <w:rPr>
          <w:noProof/>
        </w:rPr>
        <w:t xml:space="preserve"> i bud</w:t>
      </w:r>
      <w:r w:rsidR="004D4001" w:rsidRPr="00201A9A">
        <w:rPr>
          <w:noProof/>
        </w:rPr>
        <w:t>żetowe Unii mogły również skutecznie uwzględniać wsparcie dla przystąpienia nowych państw członkowskich</w:t>
      </w:r>
      <w:r w:rsidR="00201A9A" w:rsidRPr="00201A9A">
        <w:rPr>
          <w:noProof/>
        </w:rPr>
        <w:t>. W tym</w:t>
      </w:r>
      <w:r w:rsidR="004D4001" w:rsidRPr="00201A9A">
        <w:rPr>
          <w:noProof/>
        </w:rPr>
        <w:t xml:space="preserve"> celu</w:t>
      </w:r>
      <w:r w:rsidR="00201A9A" w:rsidRPr="00201A9A">
        <w:rPr>
          <w:noProof/>
        </w:rPr>
        <w:t xml:space="preserve"> w ram</w:t>
      </w:r>
      <w:r w:rsidR="004D4001" w:rsidRPr="00201A9A">
        <w:rPr>
          <w:noProof/>
        </w:rPr>
        <w:t>ach instrumentu należy zapewnić możliwość stosowania zarządzania dzielonego, bezpośredniego lub pośredniego</w:t>
      </w:r>
      <w:r w:rsidR="00201A9A" w:rsidRPr="00201A9A">
        <w:rPr>
          <w:noProof/>
        </w:rPr>
        <w:t xml:space="preserve"> w zal</w:t>
      </w:r>
      <w:r w:rsidR="004D4001" w:rsidRPr="00201A9A">
        <w:rPr>
          <w:noProof/>
        </w:rPr>
        <w:t>eżności od rodzaju środka</w:t>
      </w:r>
      <w:r w:rsidR="00201A9A" w:rsidRPr="00201A9A">
        <w:rPr>
          <w:noProof/>
        </w:rPr>
        <w:t xml:space="preserve"> i naj</w:t>
      </w:r>
      <w:r w:rsidR="004D4001" w:rsidRPr="00201A9A">
        <w:rPr>
          <w:noProof/>
        </w:rPr>
        <w:t>skuteczniejszego kierunku działania.</w:t>
      </w:r>
      <w:r w:rsidR="00201A9A" w:rsidRPr="00201A9A">
        <w:rPr>
          <w:noProof/>
        </w:rPr>
        <w:t xml:space="preserve"> </w:t>
      </w:r>
    </w:p>
    <w:p w14:paraId="6A56C304" w14:textId="0D3520A3" w:rsidR="004D4001" w:rsidRPr="00201A9A" w:rsidRDefault="00875961" w:rsidP="00875961">
      <w:pPr>
        <w:pStyle w:val="ManualConsidrant"/>
        <w:rPr>
          <w:noProof/>
        </w:rPr>
      </w:pPr>
      <w:r w:rsidRPr="00875961">
        <w:rPr>
          <w:noProof/>
        </w:rPr>
        <w:t>(40)</w:t>
      </w:r>
      <w:r w:rsidRPr="00875961">
        <w:rPr>
          <w:noProof/>
        </w:rPr>
        <w:tab/>
      </w:r>
      <w:r w:rsidR="004D4001" w:rsidRPr="00201A9A">
        <w:rPr>
          <w:noProof/>
        </w:rPr>
        <w:t>W przypadkach kryzysów spowodowanych klęskami żywiołowymi oraz</w:t>
      </w:r>
      <w:r w:rsidR="00201A9A" w:rsidRPr="00201A9A">
        <w:rPr>
          <w:noProof/>
        </w:rPr>
        <w:t xml:space="preserve"> w cel</w:t>
      </w:r>
      <w:r w:rsidR="004D4001" w:rsidRPr="00201A9A">
        <w:rPr>
          <w:noProof/>
        </w:rPr>
        <w:t>u zapewnienia dostępności zasobów przez cały okres funkcjonowania Funduszu wsparcie unijne powinno uzupełniać wysiłki zainteresowanych państw członkowskich</w:t>
      </w:r>
      <w:r w:rsidR="00201A9A" w:rsidRPr="00201A9A">
        <w:rPr>
          <w:noProof/>
        </w:rPr>
        <w:t xml:space="preserve"> i być</w:t>
      </w:r>
      <w:r w:rsidR="004D4001" w:rsidRPr="00201A9A">
        <w:rPr>
          <w:noProof/>
        </w:rPr>
        <w:t xml:space="preserve"> wykorzystywane na pokrycie części środków wdrożonych</w:t>
      </w:r>
      <w:r w:rsidR="00201A9A" w:rsidRPr="00201A9A">
        <w:rPr>
          <w:noProof/>
        </w:rPr>
        <w:t xml:space="preserve"> w cel</w:t>
      </w:r>
      <w:r w:rsidR="004D4001" w:rsidRPr="00201A9A">
        <w:rPr>
          <w:noProof/>
        </w:rPr>
        <w:t>u zaradzenia szkodom spowodowanym kryzysem. Aby sfinansować te interwencje</w:t>
      </w:r>
      <w:r w:rsidR="00201A9A" w:rsidRPr="00201A9A">
        <w:rPr>
          <w:noProof/>
        </w:rPr>
        <w:t xml:space="preserve"> i upr</w:t>
      </w:r>
      <w:r w:rsidR="004D4001" w:rsidRPr="00201A9A">
        <w:rPr>
          <w:noProof/>
        </w:rPr>
        <w:t>ościć procedury, część krajowej puli środków finansowych każdego państwa członkowskiego powinna stanowić kwotę elastyczności („środki kryzysowe</w:t>
      </w:r>
      <w:r w:rsidR="00201A9A" w:rsidRPr="00201A9A">
        <w:rPr>
          <w:noProof/>
        </w:rPr>
        <w:t xml:space="preserve"> i śro</w:t>
      </w:r>
      <w:r w:rsidR="004D4001" w:rsidRPr="00201A9A">
        <w:rPr>
          <w:noProof/>
        </w:rPr>
        <w:t>dki przeglądu śródokresowego”). Zapewni to państwom członkowskim wystarczające środki finansowe na reagowanie na kryzysy do czasu zakończenia wdrażania planów PKR. Oszacowanie rodzaju</w:t>
      </w:r>
      <w:r w:rsidR="00201A9A" w:rsidRPr="00201A9A">
        <w:rPr>
          <w:noProof/>
        </w:rPr>
        <w:t xml:space="preserve"> i kwo</w:t>
      </w:r>
      <w:r w:rsidR="004D4001" w:rsidRPr="00201A9A">
        <w:rPr>
          <w:noProof/>
        </w:rPr>
        <w:t>ty wsparcia, które ma zostać udzielone danemu państwu członkowskiemu, powinno opierać się na wieloetapowym podejściu, zgodnie</w:t>
      </w:r>
      <w:r w:rsidR="00201A9A" w:rsidRPr="00201A9A">
        <w:rPr>
          <w:noProof/>
        </w:rPr>
        <w:t xml:space="preserve"> z któ</w:t>
      </w:r>
      <w:r w:rsidR="004D4001" w:rsidRPr="00201A9A">
        <w:rPr>
          <w:noProof/>
        </w:rPr>
        <w:t>rym państwo członkowskie powinno najpierw przystąpić do zmiany swojego planu PKR przed złożeniem wniosku</w:t>
      </w:r>
      <w:r w:rsidR="00201A9A" w:rsidRPr="00201A9A">
        <w:rPr>
          <w:noProof/>
        </w:rPr>
        <w:t xml:space="preserve"> o zap</w:t>
      </w:r>
      <w:r w:rsidR="004D4001" w:rsidRPr="00201A9A">
        <w:rPr>
          <w:noProof/>
        </w:rPr>
        <w:t>rogramowanie części nieprzydzielonej kwoty elastyczności oraz,</w:t>
      </w:r>
      <w:r w:rsidR="00201A9A" w:rsidRPr="00201A9A">
        <w:rPr>
          <w:noProof/>
        </w:rPr>
        <w:t xml:space="preserve"> w prz</w:t>
      </w:r>
      <w:r w:rsidR="004D4001" w:rsidRPr="00201A9A">
        <w:rPr>
          <w:noProof/>
        </w:rPr>
        <w:t>ypadku gdy wnioskowana</w:t>
      </w:r>
      <w:r w:rsidR="00201A9A" w:rsidRPr="00201A9A">
        <w:rPr>
          <w:noProof/>
        </w:rPr>
        <w:t xml:space="preserve"> i dos</w:t>
      </w:r>
      <w:r w:rsidR="004D4001" w:rsidRPr="00201A9A">
        <w:rPr>
          <w:noProof/>
        </w:rPr>
        <w:t>tępna kwota elastyczności nie jest wystarczająca do pokrycia potrzeb, zwrócić się</w:t>
      </w:r>
      <w:r w:rsidR="00201A9A" w:rsidRPr="00201A9A">
        <w:rPr>
          <w:noProof/>
        </w:rPr>
        <w:t xml:space="preserve"> o dod</w:t>
      </w:r>
      <w:r w:rsidR="004D4001" w:rsidRPr="00201A9A">
        <w:rPr>
          <w:noProof/>
        </w:rPr>
        <w:t>atkowe wsparcie</w:t>
      </w:r>
      <w:r w:rsidR="00201A9A" w:rsidRPr="00201A9A">
        <w:rPr>
          <w:noProof/>
        </w:rPr>
        <w:t xml:space="preserve"> w ram</w:t>
      </w:r>
      <w:r w:rsidR="004D4001" w:rsidRPr="00201A9A">
        <w:rPr>
          <w:noProof/>
        </w:rPr>
        <w:t>ach działań Unii.</w:t>
      </w:r>
      <w:r w:rsidR="00201A9A" w:rsidRPr="00201A9A">
        <w:rPr>
          <w:noProof/>
        </w:rPr>
        <w:t xml:space="preserve"> </w:t>
      </w:r>
      <w:r w:rsidR="004D4001" w:rsidRPr="00201A9A">
        <w:rPr>
          <w:noProof/>
        </w:rPr>
        <w:t>Komisja powinna mieć możliwość wykorzystania rezerwy budżetowej jako ostatecznego środka wsparcia, jeżeli inne środki</w:t>
      </w:r>
      <w:r w:rsidR="00201A9A" w:rsidRPr="00201A9A">
        <w:rPr>
          <w:noProof/>
        </w:rPr>
        <w:t xml:space="preserve"> w ram</w:t>
      </w:r>
      <w:r w:rsidR="004D4001" w:rsidRPr="00201A9A">
        <w:rPr>
          <w:noProof/>
        </w:rPr>
        <w:t>ach instrumentu okażą się niewystarczające do pokrycia potrzeb.</w:t>
      </w:r>
    </w:p>
    <w:p w14:paraId="1D844DAB" w14:textId="5F2AEF8F" w:rsidR="004D4001" w:rsidRPr="00201A9A" w:rsidRDefault="00875961" w:rsidP="00875961">
      <w:pPr>
        <w:pStyle w:val="ManualConsidrant"/>
        <w:rPr>
          <w:noProof/>
          <w:sz w:val="22"/>
        </w:rPr>
      </w:pPr>
      <w:r w:rsidRPr="00875961">
        <w:rPr>
          <w:noProof/>
        </w:rPr>
        <w:t>(41)</w:t>
      </w:r>
      <w:r w:rsidRPr="00875961">
        <w:rPr>
          <w:noProof/>
        </w:rPr>
        <w:tab/>
      </w:r>
      <w:r w:rsidR="00092CC4" w:rsidRPr="00201A9A">
        <w:rPr>
          <w:noProof/>
        </w:rPr>
        <w:t>Należy ustanowić sieć bezpieczeństwa opartą na jedności</w:t>
      </w:r>
      <w:r w:rsidR="00201A9A" w:rsidRPr="00201A9A">
        <w:rPr>
          <w:noProof/>
        </w:rPr>
        <w:t xml:space="preserve"> w cel</w:t>
      </w:r>
      <w:r w:rsidR="00092CC4" w:rsidRPr="00201A9A">
        <w:rPr>
          <w:noProof/>
        </w:rPr>
        <w:t>u stabilizacji rynków rolnych</w:t>
      </w:r>
      <w:r w:rsidR="00201A9A" w:rsidRPr="00201A9A">
        <w:rPr>
          <w:noProof/>
        </w:rPr>
        <w:t xml:space="preserve"> w cza</w:t>
      </w:r>
      <w:r w:rsidR="00092CC4" w:rsidRPr="00201A9A">
        <w:rPr>
          <w:noProof/>
        </w:rPr>
        <w:t>sach zakłóceń na rynku. Powinna być stosowana</w:t>
      </w:r>
      <w:r w:rsidR="00201A9A" w:rsidRPr="00201A9A">
        <w:rPr>
          <w:noProof/>
        </w:rPr>
        <w:t xml:space="preserve"> w cel</w:t>
      </w:r>
      <w:r w:rsidR="00092CC4" w:rsidRPr="00201A9A">
        <w:rPr>
          <w:noProof/>
        </w:rPr>
        <w:t>u przeciwdziałania okresom oraz groźbom nierównowagi rynkowej,</w:t>
      </w:r>
      <w:r w:rsidR="00201A9A" w:rsidRPr="00201A9A">
        <w:rPr>
          <w:noProof/>
        </w:rPr>
        <w:t xml:space="preserve"> w tym</w:t>
      </w:r>
      <w:r w:rsidR="00092CC4" w:rsidRPr="00201A9A">
        <w:rPr>
          <w:noProof/>
        </w:rPr>
        <w:t xml:space="preserve"> powodowanym problemami związanymi ze zdrowiem zwierząt lub roślin, które mają wpływ na ceny produktów rolnych</w:t>
      </w:r>
      <w:r w:rsidR="00201A9A" w:rsidRPr="00201A9A">
        <w:rPr>
          <w:noProof/>
        </w:rPr>
        <w:t xml:space="preserve"> i kos</w:t>
      </w:r>
      <w:r w:rsidR="00092CC4" w:rsidRPr="00201A9A">
        <w:rPr>
          <w:noProof/>
        </w:rPr>
        <w:t>zty środków produkcji na całym rynku wewnętrznym lub jego części. Aby chronić autonomię strategiczną Unii</w:t>
      </w:r>
      <w:r w:rsidR="00201A9A" w:rsidRPr="00201A9A">
        <w:rPr>
          <w:noProof/>
        </w:rPr>
        <w:t xml:space="preserve"> w zak</w:t>
      </w:r>
      <w:r w:rsidR="00092CC4" w:rsidRPr="00201A9A">
        <w:rPr>
          <w:noProof/>
        </w:rPr>
        <w:t>resie dostaw żywności oraz zapewnić bezpieczeństwo żywnościowe, środki finansowe przeznaczone na wsparcie rynku za pośrednictwem sieci bezpieczeństwa opartej na jedności powinny uwzględniać rosnącą niepewność na rynkach rolnych</w:t>
      </w:r>
      <w:r w:rsidR="00201A9A" w:rsidRPr="00201A9A">
        <w:rPr>
          <w:noProof/>
        </w:rPr>
        <w:t xml:space="preserve"> i zwi</w:t>
      </w:r>
      <w:r w:rsidR="00092CC4" w:rsidRPr="00201A9A">
        <w:rPr>
          <w:noProof/>
        </w:rPr>
        <w:t>ększony pośredni wpływ problemów związanych ze zdrowiem zwierząt na równowagę rynkową. Celem sieci bezpieczeństwa opartej na jedności nie jest rekompensowanie bezpośrednich strat poniesionych przez rolników</w:t>
      </w:r>
      <w:r w:rsidR="00201A9A" w:rsidRPr="00201A9A">
        <w:rPr>
          <w:noProof/>
        </w:rPr>
        <w:t xml:space="preserve"> w wyn</w:t>
      </w:r>
      <w:r w:rsidR="00092CC4" w:rsidRPr="00201A9A">
        <w:rPr>
          <w:noProof/>
        </w:rPr>
        <w:t>iku klęsk żywiołowych. Zgodnie</w:t>
      </w:r>
      <w:r w:rsidR="00201A9A" w:rsidRPr="00201A9A">
        <w:rPr>
          <w:noProof/>
        </w:rPr>
        <w:t xml:space="preserve"> z cel</w:t>
      </w:r>
      <w:r w:rsidR="00092CC4" w:rsidRPr="00201A9A">
        <w:rPr>
          <w:noProof/>
        </w:rPr>
        <w:t>em stabilizacji unijnych rynków rolnych należy kontynuować zasoby przeznaczone na kampanie promocyjne dotyczące unijnych produktów rolnych, aby otworzyć nowe możliwości rynkowe dla unijnego sektora rolnego oraz zwiększyć widoczność</w:t>
      </w:r>
      <w:r w:rsidR="00201A9A" w:rsidRPr="00201A9A">
        <w:rPr>
          <w:noProof/>
        </w:rPr>
        <w:t xml:space="preserve"> i udz</w:t>
      </w:r>
      <w:r w:rsidR="00092CC4" w:rsidRPr="00201A9A">
        <w:rPr>
          <w:noProof/>
        </w:rPr>
        <w:t>iał</w:t>
      </w:r>
      <w:r w:rsidR="00201A9A" w:rsidRPr="00201A9A">
        <w:rPr>
          <w:noProof/>
        </w:rPr>
        <w:t xml:space="preserve"> w ryn</w:t>
      </w:r>
      <w:r w:rsidR="00092CC4" w:rsidRPr="00201A9A">
        <w:rPr>
          <w:noProof/>
        </w:rPr>
        <w:t>ku jego produktów zarówno</w:t>
      </w:r>
      <w:r w:rsidR="00201A9A" w:rsidRPr="00201A9A">
        <w:rPr>
          <w:noProof/>
        </w:rPr>
        <w:t xml:space="preserve"> w Uni</w:t>
      </w:r>
      <w:r w:rsidR="00092CC4" w:rsidRPr="00201A9A">
        <w:rPr>
          <w:noProof/>
        </w:rPr>
        <w:t>i, jak i na arenie międzynarodowej.</w:t>
      </w:r>
      <w:r w:rsidR="00201A9A" w:rsidRPr="00201A9A">
        <w:rPr>
          <w:noProof/>
        </w:rPr>
        <w:t xml:space="preserve"> </w:t>
      </w:r>
    </w:p>
    <w:p w14:paraId="77A44B18" w14:textId="74BBAEB9" w:rsidR="004D4001" w:rsidRPr="00201A9A" w:rsidRDefault="00875961" w:rsidP="00875961">
      <w:pPr>
        <w:pStyle w:val="ManualConsidrant"/>
        <w:rPr>
          <w:noProof/>
          <w:sz w:val="22"/>
        </w:rPr>
      </w:pPr>
      <w:r w:rsidRPr="00875961">
        <w:rPr>
          <w:noProof/>
        </w:rPr>
        <w:t>(42)</w:t>
      </w:r>
      <w:r w:rsidRPr="00875961">
        <w:rPr>
          <w:noProof/>
        </w:rPr>
        <w:tab/>
      </w:r>
      <w:r w:rsidR="006D1387" w:rsidRPr="00201A9A">
        <w:rPr>
          <w:noProof/>
        </w:rPr>
        <w:t>W celu zapewnienia spójności gwarancje budżetowe</w:t>
      </w:r>
      <w:r w:rsidR="00201A9A" w:rsidRPr="00201A9A">
        <w:rPr>
          <w:noProof/>
        </w:rPr>
        <w:t xml:space="preserve"> i ins</w:t>
      </w:r>
      <w:r w:rsidR="006D1387" w:rsidRPr="00201A9A">
        <w:rPr>
          <w:noProof/>
        </w:rPr>
        <w:t>trumenty finansowe,</w:t>
      </w:r>
      <w:r w:rsidR="00201A9A" w:rsidRPr="00201A9A">
        <w:rPr>
          <w:noProof/>
        </w:rPr>
        <w:t xml:space="preserve"> w tym w poł</w:t>
      </w:r>
      <w:r w:rsidR="006D1387" w:rsidRPr="00201A9A">
        <w:rPr>
          <w:noProof/>
        </w:rPr>
        <w:t>ączeniu</w:t>
      </w:r>
      <w:r w:rsidR="00201A9A" w:rsidRPr="00201A9A">
        <w:rPr>
          <w:noProof/>
        </w:rPr>
        <w:t xml:space="preserve"> z bez</w:t>
      </w:r>
      <w:r w:rsidR="006D1387" w:rsidRPr="00201A9A">
        <w:rPr>
          <w:noProof/>
        </w:rPr>
        <w:t>zwrotnym wsparciem</w:t>
      </w:r>
      <w:r w:rsidR="00201A9A" w:rsidRPr="00201A9A">
        <w:rPr>
          <w:noProof/>
        </w:rPr>
        <w:t xml:space="preserve"> w ram</w:t>
      </w:r>
      <w:r w:rsidR="006D1387" w:rsidRPr="00201A9A">
        <w:rPr>
          <w:noProof/>
        </w:rPr>
        <w:t>ach działań łączonych</w:t>
      </w:r>
      <w:r w:rsidR="00201A9A" w:rsidRPr="00201A9A">
        <w:rPr>
          <w:noProof/>
        </w:rPr>
        <w:t xml:space="preserve"> w ram</w:t>
      </w:r>
      <w:r w:rsidR="006D1387" w:rsidRPr="00201A9A">
        <w:rPr>
          <w:noProof/>
        </w:rPr>
        <w:t>ach Instrumentu UE, powinny być wdrażane zgodnie</w:t>
      </w:r>
      <w:r w:rsidR="00201A9A" w:rsidRPr="00201A9A">
        <w:rPr>
          <w:noProof/>
        </w:rPr>
        <w:t xml:space="preserve"> z tyt</w:t>
      </w:r>
      <w:r w:rsidR="006D1387" w:rsidRPr="00201A9A">
        <w:rPr>
          <w:noProof/>
        </w:rPr>
        <w:t>ułem X rozporządzenia Parlamentu Europejskiego</w:t>
      </w:r>
      <w:r w:rsidR="00201A9A" w:rsidRPr="00201A9A">
        <w:rPr>
          <w:noProof/>
        </w:rPr>
        <w:t xml:space="preserve"> i Rad</w:t>
      </w:r>
      <w:r w:rsidR="006D1387" w:rsidRPr="00201A9A">
        <w:rPr>
          <w:noProof/>
        </w:rPr>
        <w:t>y (UE, Euratom) 2024/2509</w:t>
      </w:r>
      <w:r w:rsidR="006D1387" w:rsidRPr="00201A9A">
        <w:rPr>
          <w:rStyle w:val="FootnoteReference"/>
          <w:noProof/>
        </w:rPr>
        <w:footnoteReference w:id="12"/>
      </w:r>
      <w:r w:rsidR="006D1387" w:rsidRPr="00201A9A">
        <w:rPr>
          <w:noProof/>
        </w:rPr>
        <w:t xml:space="preserve"> i [rozporządzeniem</w:t>
      </w:r>
      <w:r w:rsidR="00201A9A" w:rsidRPr="00201A9A">
        <w:rPr>
          <w:noProof/>
        </w:rPr>
        <w:t xml:space="preserve"> w spr</w:t>
      </w:r>
      <w:r w:rsidR="006D1387" w:rsidRPr="00201A9A">
        <w:rPr>
          <w:noProof/>
        </w:rPr>
        <w:t>awie Europejski Fundusz Konkurencyjności (EFK)] oraz</w:t>
      </w:r>
      <w:r w:rsidR="00201A9A" w:rsidRPr="00201A9A">
        <w:rPr>
          <w:noProof/>
        </w:rPr>
        <w:t xml:space="preserve"> z tec</w:t>
      </w:r>
      <w:r w:rsidR="006D1387" w:rsidRPr="00201A9A">
        <w:rPr>
          <w:noProof/>
        </w:rPr>
        <w:t>hnicznymi ustaleniami</w:t>
      </w:r>
      <w:r w:rsidR="00201A9A" w:rsidRPr="00201A9A">
        <w:rPr>
          <w:noProof/>
        </w:rPr>
        <w:t xml:space="preserve"> i war</w:t>
      </w:r>
      <w:r w:rsidR="006D1387" w:rsidRPr="00201A9A">
        <w:rPr>
          <w:noProof/>
        </w:rPr>
        <w:t>unkami ustanowionymi przez Komisję do celów jego stosowania. Wsparcie</w:t>
      </w:r>
      <w:r w:rsidR="00201A9A" w:rsidRPr="00201A9A">
        <w:rPr>
          <w:noProof/>
        </w:rPr>
        <w:t xml:space="preserve"> w ram</w:t>
      </w:r>
      <w:r w:rsidR="006D1387" w:rsidRPr="00201A9A">
        <w:rPr>
          <w:noProof/>
        </w:rPr>
        <w:t>ach Instrumentu UE</w:t>
      </w:r>
      <w:r w:rsidR="00201A9A" w:rsidRPr="00201A9A">
        <w:rPr>
          <w:noProof/>
        </w:rPr>
        <w:t xml:space="preserve"> w for</w:t>
      </w:r>
      <w:r w:rsidR="006D1387" w:rsidRPr="00201A9A">
        <w:rPr>
          <w:noProof/>
        </w:rPr>
        <w:t>mie gwarancji budżetowej lub instrumentów finansowych,</w:t>
      </w:r>
      <w:r w:rsidR="00201A9A" w:rsidRPr="00201A9A">
        <w:rPr>
          <w:noProof/>
        </w:rPr>
        <w:t xml:space="preserve"> w tym w poł</w:t>
      </w:r>
      <w:r w:rsidR="006D1387" w:rsidRPr="00201A9A">
        <w:rPr>
          <w:noProof/>
        </w:rPr>
        <w:t>ączeniu</w:t>
      </w:r>
      <w:r w:rsidR="00201A9A" w:rsidRPr="00201A9A">
        <w:rPr>
          <w:noProof/>
        </w:rPr>
        <w:t xml:space="preserve"> z bez</w:t>
      </w:r>
      <w:r w:rsidR="006D1387" w:rsidRPr="00201A9A">
        <w:rPr>
          <w:noProof/>
        </w:rPr>
        <w:t>zwrotnym wsparciem</w:t>
      </w:r>
      <w:r w:rsidR="00201A9A" w:rsidRPr="00201A9A">
        <w:rPr>
          <w:noProof/>
        </w:rPr>
        <w:t xml:space="preserve"> w ram</w:t>
      </w:r>
      <w:r w:rsidR="006D1387" w:rsidRPr="00201A9A">
        <w:rPr>
          <w:noProof/>
        </w:rPr>
        <w:t>ach działania łączonego, powinno być udzielane wyłącznie za pośrednictwem [Instrumentu EFK InvestEU]. Aby zapewnić partnerom wykonawczym szerszy dostęp do gwarancji budżetowych</w:t>
      </w:r>
      <w:r w:rsidR="00201A9A" w:rsidRPr="00201A9A">
        <w:rPr>
          <w:noProof/>
        </w:rPr>
        <w:t xml:space="preserve"> i ins</w:t>
      </w:r>
      <w:r w:rsidR="006D1387" w:rsidRPr="00201A9A">
        <w:rPr>
          <w:noProof/>
        </w:rPr>
        <w:t>trumentów finansowych, Komisja powinna mieć możliwość zawierania umów</w:t>
      </w:r>
      <w:r w:rsidR="00201A9A" w:rsidRPr="00201A9A">
        <w:rPr>
          <w:noProof/>
        </w:rPr>
        <w:t xml:space="preserve"> w ram</w:t>
      </w:r>
      <w:r w:rsidR="006D1387" w:rsidRPr="00201A9A">
        <w:rPr>
          <w:noProof/>
        </w:rPr>
        <w:t>ach zarządzania pośredniego ze wszystkimi kategoriami podmiotów wymienionymi</w:t>
      </w:r>
      <w:r w:rsidR="00201A9A" w:rsidRPr="00201A9A">
        <w:rPr>
          <w:noProof/>
        </w:rPr>
        <w:t xml:space="preserve"> w art</w:t>
      </w:r>
      <w:r w:rsidR="006D1387" w:rsidRPr="00201A9A">
        <w:rPr>
          <w:noProof/>
        </w:rPr>
        <w:t>.</w:t>
      </w:r>
      <w:r w:rsidR="00201A9A" w:rsidRPr="00201A9A">
        <w:rPr>
          <w:noProof/>
        </w:rPr>
        <w:t> </w:t>
      </w:r>
      <w:r w:rsidR="006D1387" w:rsidRPr="00201A9A">
        <w:rPr>
          <w:noProof/>
        </w:rPr>
        <w:t>62 ust.</w:t>
      </w:r>
      <w:r w:rsidR="00201A9A" w:rsidRPr="00201A9A">
        <w:rPr>
          <w:noProof/>
        </w:rPr>
        <w:t> </w:t>
      </w:r>
      <w:r w:rsidR="006D1387" w:rsidRPr="00201A9A">
        <w:rPr>
          <w:noProof/>
        </w:rPr>
        <w:t>1 akapit pierwszy lit.</w:t>
      </w:r>
      <w:r w:rsidR="00201A9A" w:rsidRPr="00201A9A">
        <w:rPr>
          <w:noProof/>
        </w:rPr>
        <w:t> </w:t>
      </w:r>
      <w:r w:rsidR="006D1387" w:rsidRPr="00201A9A">
        <w:rPr>
          <w:noProof/>
        </w:rPr>
        <w:t>c) rozporządzenia (UE, Euratom) 2024/2509. Aby zapewnić należyte zarządzanie finansami</w:t>
      </w:r>
      <w:r w:rsidR="00201A9A" w:rsidRPr="00201A9A">
        <w:rPr>
          <w:noProof/>
        </w:rPr>
        <w:t xml:space="preserve"> i dys</w:t>
      </w:r>
      <w:r w:rsidR="006D1387" w:rsidRPr="00201A9A">
        <w:rPr>
          <w:noProof/>
        </w:rPr>
        <w:t>cyplinę budżetową oraz ograniczyć nieuregulowane płatności, rezerw na gwarancję budżetową wdrażaną</w:t>
      </w:r>
      <w:r w:rsidR="00201A9A" w:rsidRPr="00201A9A">
        <w:rPr>
          <w:noProof/>
        </w:rPr>
        <w:t xml:space="preserve"> w ram</w:t>
      </w:r>
      <w:r w:rsidR="006D1387" w:rsidRPr="00201A9A">
        <w:rPr>
          <w:noProof/>
        </w:rPr>
        <w:t>ach Instrumentu UE nie należy zaciągać po zakończeniu ostatniego roku obowiązywania wieloletnich ram finansowych (WRF)</w:t>
      </w:r>
      <w:r w:rsidR="00201A9A" w:rsidRPr="00201A9A">
        <w:rPr>
          <w:noProof/>
        </w:rPr>
        <w:t xml:space="preserve"> i nal</w:t>
      </w:r>
      <w:r w:rsidR="006D1387" w:rsidRPr="00201A9A">
        <w:rPr>
          <w:noProof/>
        </w:rPr>
        <w:t>eży je utworzyć do końca trzeciego roku po zakończeniu WRF. Zobowiązania budżetowe związane</w:t>
      </w:r>
      <w:r w:rsidR="00201A9A" w:rsidRPr="00201A9A">
        <w:rPr>
          <w:noProof/>
        </w:rPr>
        <w:t xml:space="preserve"> z tak</w:t>
      </w:r>
      <w:r w:rsidR="006D1387" w:rsidRPr="00201A9A">
        <w:rPr>
          <w:noProof/>
        </w:rPr>
        <w:t>im tworzeniem rezerw powinny uwzględniać postępy</w:t>
      </w:r>
      <w:r w:rsidR="00201A9A" w:rsidRPr="00201A9A">
        <w:rPr>
          <w:noProof/>
        </w:rPr>
        <w:t xml:space="preserve"> w udz</w:t>
      </w:r>
      <w:r w:rsidR="006D1387" w:rsidRPr="00201A9A">
        <w:rPr>
          <w:noProof/>
        </w:rPr>
        <w:t>ielaniu gwarancji budżetowej. Przy tworzeniu rezerw należy uwzględniać postępy</w:t>
      </w:r>
      <w:r w:rsidR="00201A9A" w:rsidRPr="00201A9A">
        <w:rPr>
          <w:noProof/>
        </w:rPr>
        <w:t xml:space="preserve"> w zat</w:t>
      </w:r>
      <w:r w:rsidR="006D1387" w:rsidRPr="00201A9A">
        <w:rPr>
          <w:noProof/>
        </w:rPr>
        <w:t>wierdzaniu</w:t>
      </w:r>
      <w:r w:rsidR="00201A9A" w:rsidRPr="00201A9A">
        <w:rPr>
          <w:noProof/>
        </w:rPr>
        <w:t xml:space="preserve"> i pod</w:t>
      </w:r>
      <w:r w:rsidR="006D1387" w:rsidRPr="00201A9A">
        <w:rPr>
          <w:noProof/>
        </w:rPr>
        <w:t>pisywaniu operacji</w:t>
      </w:r>
      <w:r w:rsidR="00201A9A" w:rsidRPr="00201A9A">
        <w:rPr>
          <w:noProof/>
        </w:rPr>
        <w:t xml:space="preserve"> z zak</w:t>
      </w:r>
      <w:r w:rsidR="006D1387" w:rsidRPr="00201A9A">
        <w:rPr>
          <w:noProof/>
        </w:rPr>
        <w:t>resu finansowania</w:t>
      </w:r>
      <w:r w:rsidR="00201A9A" w:rsidRPr="00201A9A">
        <w:rPr>
          <w:noProof/>
        </w:rPr>
        <w:t xml:space="preserve"> i inw</w:t>
      </w:r>
      <w:r w:rsidR="006D1387" w:rsidRPr="00201A9A">
        <w:rPr>
          <w:noProof/>
        </w:rPr>
        <w:t>estycji wspierających cele Instrumentu UE.</w:t>
      </w:r>
    </w:p>
    <w:p w14:paraId="74E1DDD6" w14:textId="35CC2BDE" w:rsidR="001145B7" w:rsidRPr="00201A9A" w:rsidRDefault="00875961" w:rsidP="00875961">
      <w:pPr>
        <w:pStyle w:val="ManualConsidrant"/>
        <w:rPr>
          <w:noProof/>
        </w:rPr>
      </w:pPr>
      <w:r w:rsidRPr="00875961">
        <w:rPr>
          <w:noProof/>
        </w:rPr>
        <w:t>(43)</w:t>
      </w:r>
      <w:r w:rsidRPr="00875961">
        <w:rPr>
          <w:noProof/>
        </w:rPr>
        <w:tab/>
      </w:r>
      <w:r w:rsidR="00CA3471" w:rsidRPr="00201A9A">
        <w:rPr>
          <w:noProof/>
        </w:rPr>
        <w:t>Aby polityka była bardziej skuteczna</w:t>
      </w:r>
      <w:r w:rsidR="00201A9A" w:rsidRPr="00201A9A">
        <w:rPr>
          <w:noProof/>
        </w:rPr>
        <w:t xml:space="preserve"> i sku</w:t>
      </w:r>
      <w:r w:rsidR="00CA3471" w:rsidRPr="00201A9A">
        <w:rPr>
          <w:noProof/>
        </w:rPr>
        <w:t>teczna, nowa WPR została uproszczona dzięki usprawnionemu zestawowi interwencji</w:t>
      </w:r>
      <w:r w:rsidR="00201A9A" w:rsidRPr="00201A9A">
        <w:rPr>
          <w:noProof/>
        </w:rPr>
        <w:t xml:space="preserve"> i opi</w:t>
      </w:r>
      <w:r w:rsidR="00CA3471" w:rsidRPr="00201A9A">
        <w:rPr>
          <w:noProof/>
        </w:rPr>
        <w:t>era się na doświadczeniach</w:t>
      </w:r>
      <w:r w:rsidR="00201A9A" w:rsidRPr="00201A9A">
        <w:rPr>
          <w:noProof/>
        </w:rPr>
        <w:t xml:space="preserve"> z pop</w:t>
      </w:r>
      <w:r w:rsidR="00CA3471" w:rsidRPr="00201A9A">
        <w:rPr>
          <w:noProof/>
        </w:rPr>
        <w:t>rzedniego okresu programowania. Uproszczono narzędzia, unikając fragmentacji</w:t>
      </w:r>
      <w:r w:rsidR="00201A9A" w:rsidRPr="00201A9A">
        <w:rPr>
          <w:noProof/>
        </w:rPr>
        <w:t xml:space="preserve"> i wzm</w:t>
      </w:r>
      <w:r w:rsidR="00CA3471" w:rsidRPr="00201A9A">
        <w:rPr>
          <w:noProof/>
        </w:rPr>
        <w:t>acniając strategiczne podejście państw członkowskich. Dzięki wykorzystaniu synergii</w:t>
      </w:r>
      <w:r w:rsidR="00201A9A" w:rsidRPr="00201A9A">
        <w:rPr>
          <w:noProof/>
        </w:rPr>
        <w:t xml:space="preserve"> z inn</w:t>
      </w:r>
      <w:r w:rsidR="00CA3471" w:rsidRPr="00201A9A">
        <w:rPr>
          <w:noProof/>
        </w:rPr>
        <w:t>ymi politykami zawartymi</w:t>
      </w:r>
      <w:r w:rsidR="00201A9A" w:rsidRPr="00201A9A">
        <w:rPr>
          <w:noProof/>
        </w:rPr>
        <w:t xml:space="preserve"> w pla</w:t>
      </w:r>
      <w:r w:rsidR="00CA3471" w:rsidRPr="00201A9A">
        <w:rPr>
          <w:noProof/>
        </w:rPr>
        <w:t>nie PKR należy udostępnić dodatkowe narzędzia WPR, aby skutecznie przyczynić się do rozwoju odpornego, innowacyjnego</w:t>
      </w:r>
      <w:r w:rsidR="00201A9A" w:rsidRPr="00201A9A">
        <w:rPr>
          <w:noProof/>
        </w:rPr>
        <w:t xml:space="preserve"> i prz</w:t>
      </w:r>
      <w:r w:rsidR="00CA3471" w:rsidRPr="00201A9A">
        <w:rPr>
          <w:noProof/>
        </w:rPr>
        <w:t>yjaznego dla środowiska sektora rolnego</w:t>
      </w:r>
      <w:r w:rsidR="00201A9A" w:rsidRPr="00201A9A">
        <w:rPr>
          <w:noProof/>
        </w:rPr>
        <w:t xml:space="preserve"> w cał</w:t>
      </w:r>
      <w:r w:rsidR="00CA3471" w:rsidRPr="00201A9A">
        <w:rPr>
          <w:noProof/>
        </w:rPr>
        <w:t xml:space="preserve">ej Europie. </w:t>
      </w:r>
    </w:p>
    <w:p w14:paraId="18086058" w14:textId="09A5B98E" w:rsidR="001145B7" w:rsidRPr="00201A9A" w:rsidRDefault="00875961" w:rsidP="00875961">
      <w:pPr>
        <w:pStyle w:val="ManualConsidrant"/>
        <w:rPr>
          <w:noProof/>
        </w:rPr>
      </w:pPr>
      <w:r w:rsidRPr="00875961">
        <w:rPr>
          <w:noProof/>
        </w:rPr>
        <w:t>(44)</w:t>
      </w:r>
      <w:r w:rsidRPr="00875961">
        <w:rPr>
          <w:noProof/>
        </w:rPr>
        <w:tab/>
      </w:r>
      <w:r w:rsidR="004B42CF" w:rsidRPr="00201A9A">
        <w:rPr>
          <w:noProof/>
        </w:rPr>
        <w:t>Wsparcie dochodów dla rolników powinno nadal być podstawowym instrumentem polityki gwarantującym rolnikom godziwe dochody. Przyczynia się on do wspierania konkurencyjnego, odpornego</w:t>
      </w:r>
      <w:r w:rsidR="00201A9A" w:rsidRPr="00201A9A">
        <w:rPr>
          <w:noProof/>
        </w:rPr>
        <w:t xml:space="preserve"> i zró</w:t>
      </w:r>
      <w:r w:rsidR="004B42CF" w:rsidRPr="00201A9A">
        <w:rPr>
          <w:noProof/>
        </w:rPr>
        <w:t>wnoważonego sektora rolnego, dążącego do czerpania korzyści</w:t>
      </w:r>
      <w:r w:rsidR="00201A9A" w:rsidRPr="00201A9A">
        <w:rPr>
          <w:noProof/>
        </w:rPr>
        <w:t xml:space="preserve"> z wys</w:t>
      </w:r>
      <w:r w:rsidR="004B42CF" w:rsidRPr="00201A9A">
        <w:rPr>
          <w:noProof/>
        </w:rPr>
        <w:t>okiej jakości produkcji</w:t>
      </w:r>
      <w:r w:rsidR="00201A9A" w:rsidRPr="00201A9A">
        <w:rPr>
          <w:noProof/>
        </w:rPr>
        <w:t xml:space="preserve"> i zas</w:t>
      </w:r>
      <w:r w:rsidR="004B42CF" w:rsidRPr="00201A9A">
        <w:rPr>
          <w:noProof/>
        </w:rPr>
        <w:t>obooszczędności, co zapewnia wymianę pokoleń,</w:t>
      </w:r>
      <w:r w:rsidR="00201A9A" w:rsidRPr="00201A9A">
        <w:rPr>
          <w:noProof/>
        </w:rPr>
        <w:t xml:space="preserve"> a tym</w:t>
      </w:r>
      <w:r w:rsidR="004B42CF" w:rsidRPr="00201A9A">
        <w:rPr>
          <w:noProof/>
        </w:rPr>
        <w:t xml:space="preserve"> samym długoterminowe bezpieczeństwo żywnościowe. Wsparcie</w:t>
      </w:r>
      <w:r w:rsidR="00201A9A" w:rsidRPr="00201A9A">
        <w:rPr>
          <w:noProof/>
        </w:rPr>
        <w:t xml:space="preserve"> w ram</w:t>
      </w:r>
      <w:r w:rsidR="004B42CF" w:rsidRPr="00201A9A">
        <w:rPr>
          <w:noProof/>
        </w:rPr>
        <w:t>ach WPR powinno koncentrować się na rolnikach aktywnych zawodowo określonych zgodnie</w:t>
      </w:r>
      <w:r w:rsidR="00201A9A" w:rsidRPr="00201A9A">
        <w:rPr>
          <w:noProof/>
        </w:rPr>
        <w:t xml:space="preserve"> z zas</w:t>
      </w:r>
      <w:r w:rsidR="004B42CF" w:rsidRPr="00201A9A">
        <w:rPr>
          <w:noProof/>
        </w:rPr>
        <w:t>adami WTO</w:t>
      </w:r>
      <w:r w:rsidR="00201A9A" w:rsidRPr="00201A9A">
        <w:rPr>
          <w:noProof/>
        </w:rPr>
        <w:t>. W cel</w:t>
      </w:r>
      <w:r w:rsidR="004B42CF" w:rsidRPr="00201A9A">
        <w:rPr>
          <w:noProof/>
        </w:rPr>
        <w:t>u dalszej poprawy wyników WPR obszarowe wsparcie dochodów powinno być ukierunkowane na rolników, którzy trudnią się rolnictwem jako podstawową działalnością. Wsparcie dochodów powinno być ukierunkowane na rolników, którzy najbardziej tego potrzebują, ze szczególnym uwzględnieniem rolników na obszarach</w:t>
      </w:r>
      <w:r w:rsidR="00201A9A" w:rsidRPr="00201A9A">
        <w:rPr>
          <w:noProof/>
        </w:rPr>
        <w:t xml:space="preserve"> o ogr</w:t>
      </w:r>
      <w:r w:rsidR="004B42CF" w:rsidRPr="00201A9A">
        <w:rPr>
          <w:noProof/>
        </w:rPr>
        <w:t>aniczeniach naturalnych, kobiet, młodych rolników</w:t>
      </w:r>
      <w:r w:rsidR="00201A9A" w:rsidRPr="00201A9A">
        <w:rPr>
          <w:noProof/>
        </w:rPr>
        <w:t xml:space="preserve"> i now</w:t>
      </w:r>
      <w:r w:rsidR="004B42CF" w:rsidRPr="00201A9A">
        <w:rPr>
          <w:noProof/>
        </w:rPr>
        <w:t>ych rolników. Jednocześnie rozwój gospodarczy obszarów wiejskich, zapewnienie poprawy infrastruktury</w:t>
      </w:r>
      <w:r w:rsidR="00201A9A" w:rsidRPr="00201A9A">
        <w:rPr>
          <w:noProof/>
        </w:rPr>
        <w:t xml:space="preserve"> i tra</w:t>
      </w:r>
      <w:r w:rsidR="004B42CF" w:rsidRPr="00201A9A">
        <w:rPr>
          <w:noProof/>
        </w:rPr>
        <w:t>nsformacji cyfrowej, która eliminuje dysproporcje regionalne, przynosi korzyści atrakcyjności obszarów wiejskich, włączeniu społecznemu</w:t>
      </w:r>
      <w:r w:rsidR="00201A9A" w:rsidRPr="00201A9A">
        <w:rPr>
          <w:noProof/>
        </w:rPr>
        <w:t xml:space="preserve"> i zwi</w:t>
      </w:r>
      <w:r w:rsidR="004B42CF" w:rsidRPr="00201A9A">
        <w:rPr>
          <w:noProof/>
        </w:rPr>
        <w:t>ększonym możliwościom zatrudnienia na obszarach wiejskich.</w:t>
      </w:r>
    </w:p>
    <w:p w14:paraId="1464BE5A" w14:textId="73BF36C9" w:rsidR="00CB0DA2" w:rsidRPr="00201A9A" w:rsidRDefault="00875961" w:rsidP="00875961">
      <w:pPr>
        <w:pStyle w:val="ManualConsidrant"/>
        <w:rPr>
          <w:noProof/>
        </w:rPr>
      </w:pPr>
      <w:r w:rsidRPr="00875961">
        <w:rPr>
          <w:noProof/>
        </w:rPr>
        <w:t>(45)</w:t>
      </w:r>
      <w:r w:rsidRPr="00875961">
        <w:rPr>
          <w:noProof/>
        </w:rPr>
        <w:tab/>
      </w:r>
      <w:r w:rsidR="00CB0DA2" w:rsidRPr="00201A9A">
        <w:rPr>
          <w:noProof/>
        </w:rPr>
        <w:t>W celu rozróżnienia beneficjentów</w:t>
      </w:r>
      <w:r w:rsidR="00201A9A" w:rsidRPr="00201A9A">
        <w:rPr>
          <w:noProof/>
        </w:rPr>
        <w:t xml:space="preserve"> w kon</w:t>
      </w:r>
      <w:r w:rsidR="00CB0DA2" w:rsidRPr="00201A9A">
        <w:rPr>
          <w:noProof/>
        </w:rPr>
        <w:t>tekście WPR kryteria definiujące pojęcie podstawowej działalności powinny obejmować udział dochodu</w:t>
      </w:r>
      <w:r w:rsidR="00201A9A" w:rsidRPr="00201A9A">
        <w:rPr>
          <w:noProof/>
        </w:rPr>
        <w:t xml:space="preserve"> z dzi</w:t>
      </w:r>
      <w:r w:rsidR="00CB0DA2" w:rsidRPr="00201A9A">
        <w:rPr>
          <w:noProof/>
        </w:rPr>
        <w:t>ałalności rolniczej</w:t>
      </w:r>
      <w:r w:rsidR="00201A9A" w:rsidRPr="00201A9A">
        <w:rPr>
          <w:noProof/>
        </w:rPr>
        <w:t xml:space="preserve"> w cał</w:t>
      </w:r>
      <w:r w:rsidR="00CB0DA2" w:rsidRPr="00201A9A">
        <w:rPr>
          <w:noProof/>
        </w:rPr>
        <w:t>kowitym dochodzie, nakłady pracy</w:t>
      </w:r>
      <w:r w:rsidR="00201A9A" w:rsidRPr="00201A9A">
        <w:rPr>
          <w:noProof/>
        </w:rPr>
        <w:t xml:space="preserve"> w gos</w:t>
      </w:r>
      <w:r w:rsidR="00CB0DA2" w:rsidRPr="00201A9A">
        <w:rPr>
          <w:noProof/>
        </w:rPr>
        <w:t>podarstwie, przedmiot działalności przedsiębiorstwa oraz włączenie ich działalności rolniczej do rejestrów krajowych lub regionalnych. Państwa członkowskie powinny mieć również możliwość stosowania wykazów negatywnych</w:t>
      </w:r>
      <w:r w:rsidR="00201A9A" w:rsidRPr="00201A9A">
        <w:rPr>
          <w:noProof/>
        </w:rPr>
        <w:t xml:space="preserve"> w cel</w:t>
      </w:r>
      <w:r w:rsidR="00CB0DA2" w:rsidRPr="00201A9A">
        <w:rPr>
          <w:noProof/>
        </w:rPr>
        <w:t>u identyfikacji wnioskodawców, którzy nie odpowiadają definicji „rolnika”.</w:t>
      </w:r>
    </w:p>
    <w:p w14:paraId="77E746E1" w14:textId="15583392" w:rsidR="0058035C" w:rsidRPr="00201A9A" w:rsidRDefault="00875961" w:rsidP="00875961">
      <w:pPr>
        <w:pStyle w:val="ManualConsidrant"/>
        <w:rPr>
          <w:noProof/>
        </w:rPr>
      </w:pPr>
      <w:r w:rsidRPr="00875961">
        <w:rPr>
          <w:noProof/>
        </w:rPr>
        <w:t>(46)</w:t>
      </w:r>
      <w:r w:rsidRPr="00875961">
        <w:rPr>
          <w:noProof/>
        </w:rPr>
        <w:tab/>
      </w:r>
      <w:r w:rsidR="00C01A28" w:rsidRPr="00201A9A">
        <w:rPr>
          <w:noProof/>
        </w:rPr>
        <w:t>Wspólna polityka rybołówstwa</w:t>
      </w:r>
      <w:r w:rsidR="00201A9A" w:rsidRPr="00201A9A">
        <w:rPr>
          <w:noProof/>
        </w:rPr>
        <w:t xml:space="preserve"> i uni</w:t>
      </w:r>
      <w:r w:rsidR="00C01A28" w:rsidRPr="00201A9A">
        <w:rPr>
          <w:noProof/>
        </w:rPr>
        <w:t>jna polityka morska powinny przyczyniać się do zrównoważonego rybołówstwa</w:t>
      </w:r>
      <w:r w:rsidR="00201A9A" w:rsidRPr="00201A9A">
        <w:rPr>
          <w:noProof/>
        </w:rPr>
        <w:t xml:space="preserve"> i och</w:t>
      </w:r>
      <w:r w:rsidR="00C01A28" w:rsidRPr="00201A9A">
        <w:rPr>
          <w:noProof/>
        </w:rPr>
        <w:t>rony żywych zasobów morza, wymiany pokoleń</w:t>
      </w:r>
      <w:r w:rsidR="00201A9A" w:rsidRPr="00201A9A">
        <w:rPr>
          <w:noProof/>
        </w:rPr>
        <w:t xml:space="preserve"> i tra</w:t>
      </w:r>
      <w:r w:rsidR="00C01A28" w:rsidRPr="00201A9A">
        <w:rPr>
          <w:noProof/>
        </w:rPr>
        <w:t>nsformacji energetycznej zrównoważonej działalności</w:t>
      </w:r>
      <w:r w:rsidR="00201A9A" w:rsidRPr="00201A9A">
        <w:rPr>
          <w:noProof/>
        </w:rPr>
        <w:t xml:space="preserve"> w zak</w:t>
      </w:r>
      <w:r w:rsidR="00C01A28" w:rsidRPr="00201A9A">
        <w:rPr>
          <w:noProof/>
        </w:rPr>
        <w:t>resie rybołówstwa</w:t>
      </w:r>
      <w:r w:rsidR="00201A9A" w:rsidRPr="00201A9A">
        <w:rPr>
          <w:noProof/>
        </w:rPr>
        <w:t xml:space="preserve"> w zak</w:t>
      </w:r>
      <w:r w:rsidR="00C01A28" w:rsidRPr="00201A9A">
        <w:rPr>
          <w:noProof/>
        </w:rPr>
        <w:t>resie akwakultury oraz przetwarzania</w:t>
      </w:r>
      <w:r w:rsidR="00201A9A" w:rsidRPr="00201A9A">
        <w:rPr>
          <w:noProof/>
        </w:rPr>
        <w:t xml:space="preserve"> i wpr</w:t>
      </w:r>
      <w:r w:rsidR="00C01A28" w:rsidRPr="00201A9A">
        <w:rPr>
          <w:noProof/>
        </w:rPr>
        <w:t>owadzania do obrotu produktów rybołówstwa</w:t>
      </w:r>
      <w:r w:rsidR="00201A9A" w:rsidRPr="00201A9A">
        <w:rPr>
          <w:noProof/>
        </w:rPr>
        <w:t xml:space="preserve"> i akw</w:t>
      </w:r>
      <w:r w:rsidR="00C01A28" w:rsidRPr="00201A9A">
        <w:rPr>
          <w:noProof/>
        </w:rPr>
        <w:t>akultury, zrównoważonej niebieskiej gospodarki na obszarach przybrzeżnych, wyspiarskich</w:t>
      </w:r>
      <w:r w:rsidR="00201A9A" w:rsidRPr="00201A9A">
        <w:rPr>
          <w:noProof/>
        </w:rPr>
        <w:t xml:space="preserve"> i śró</w:t>
      </w:r>
      <w:r w:rsidR="00C01A28" w:rsidRPr="00201A9A">
        <w:rPr>
          <w:noProof/>
        </w:rPr>
        <w:t>dlądowych, wiedzy</w:t>
      </w:r>
      <w:r w:rsidR="00201A9A" w:rsidRPr="00201A9A">
        <w:rPr>
          <w:noProof/>
        </w:rPr>
        <w:t xml:space="preserve"> o mor</w:t>
      </w:r>
      <w:r w:rsidR="00C01A28" w:rsidRPr="00201A9A">
        <w:rPr>
          <w:noProof/>
        </w:rPr>
        <w:t>zu, umiejętności</w:t>
      </w:r>
      <w:r w:rsidR="00201A9A" w:rsidRPr="00201A9A">
        <w:rPr>
          <w:noProof/>
        </w:rPr>
        <w:t xml:space="preserve"> w zak</w:t>
      </w:r>
      <w:r w:rsidR="00C01A28" w:rsidRPr="00201A9A">
        <w:rPr>
          <w:noProof/>
        </w:rPr>
        <w:t>resie działalności związanej</w:t>
      </w:r>
      <w:r w:rsidR="00201A9A" w:rsidRPr="00201A9A">
        <w:rPr>
          <w:noProof/>
        </w:rPr>
        <w:t xml:space="preserve"> z nie</w:t>
      </w:r>
      <w:r w:rsidR="00C01A28" w:rsidRPr="00201A9A">
        <w:rPr>
          <w:noProof/>
        </w:rPr>
        <w:t>bieską gospodarką, odporności społeczności nadbrzeżnych,</w:t>
      </w:r>
      <w:r w:rsidR="00201A9A" w:rsidRPr="00201A9A">
        <w:rPr>
          <w:noProof/>
        </w:rPr>
        <w:t xml:space="preserve"> a w szc</w:t>
      </w:r>
      <w:r w:rsidR="00C01A28" w:rsidRPr="00201A9A">
        <w:rPr>
          <w:noProof/>
        </w:rPr>
        <w:t>zególności łodziowego rybołówstwa przybrzeżnego, wzmocnienia międzynarodowego zarządzania oceanami</w:t>
      </w:r>
      <w:r w:rsidR="00201A9A" w:rsidRPr="00201A9A">
        <w:rPr>
          <w:noProof/>
        </w:rPr>
        <w:t xml:space="preserve"> i ich</w:t>
      </w:r>
      <w:r w:rsidR="00C01A28" w:rsidRPr="00201A9A">
        <w:rPr>
          <w:noProof/>
        </w:rPr>
        <w:t xml:space="preserve"> obserwacji oraz umożliwienia bezpieczeństwa, ochrony</w:t>
      </w:r>
      <w:r w:rsidR="00201A9A" w:rsidRPr="00201A9A">
        <w:rPr>
          <w:noProof/>
        </w:rPr>
        <w:t xml:space="preserve"> i czy</w:t>
      </w:r>
      <w:r w:rsidR="00C01A28" w:rsidRPr="00201A9A">
        <w:rPr>
          <w:noProof/>
        </w:rPr>
        <w:t>stości mórz</w:t>
      </w:r>
      <w:r w:rsidR="00201A9A" w:rsidRPr="00201A9A">
        <w:rPr>
          <w:noProof/>
        </w:rPr>
        <w:t xml:space="preserve"> i oce</w:t>
      </w:r>
      <w:r w:rsidR="00C01A28" w:rsidRPr="00201A9A">
        <w:rPr>
          <w:noProof/>
        </w:rPr>
        <w:t>anów oraz zrównoważonego zarządzania nimi.</w:t>
      </w:r>
    </w:p>
    <w:p w14:paraId="7E970AD0" w14:textId="398A9A8F" w:rsidR="00676916" w:rsidRPr="00201A9A" w:rsidRDefault="00875961" w:rsidP="00875961">
      <w:pPr>
        <w:pStyle w:val="ManualConsidrant"/>
        <w:rPr>
          <w:noProof/>
        </w:rPr>
      </w:pPr>
      <w:r w:rsidRPr="00875961">
        <w:rPr>
          <w:noProof/>
        </w:rPr>
        <w:t>(47)</w:t>
      </w:r>
      <w:r w:rsidRPr="00875961">
        <w:rPr>
          <w:noProof/>
        </w:rPr>
        <w:tab/>
      </w:r>
      <w:r w:rsidR="00882662" w:rsidRPr="00201A9A">
        <w:rPr>
          <w:noProof/>
        </w:rPr>
        <w:t>Regiony najbardziej oddalone borykają się ze szczególnymi problemami związanymi</w:t>
      </w:r>
      <w:r w:rsidR="00201A9A" w:rsidRPr="00201A9A">
        <w:rPr>
          <w:noProof/>
        </w:rPr>
        <w:t xml:space="preserve"> z odd</w:t>
      </w:r>
      <w:r w:rsidR="00882662" w:rsidRPr="00201A9A">
        <w:rPr>
          <w:noProof/>
        </w:rPr>
        <w:t>aleniem geograficznym, topografią</w:t>
      </w:r>
      <w:r w:rsidR="00201A9A" w:rsidRPr="00201A9A">
        <w:rPr>
          <w:noProof/>
        </w:rPr>
        <w:t xml:space="preserve"> i kli</w:t>
      </w:r>
      <w:r w:rsidR="00882662" w:rsidRPr="00201A9A">
        <w:rPr>
          <w:noProof/>
        </w:rPr>
        <w:t>matem,</w:t>
      </w:r>
      <w:r w:rsidR="00201A9A" w:rsidRPr="00201A9A">
        <w:rPr>
          <w:noProof/>
        </w:rPr>
        <w:t xml:space="preserve"> o czy</w:t>
      </w:r>
      <w:r w:rsidR="00882662" w:rsidRPr="00201A9A">
        <w:rPr>
          <w:noProof/>
        </w:rPr>
        <w:t>m mowa</w:t>
      </w:r>
      <w:r w:rsidR="00201A9A" w:rsidRPr="00201A9A">
        <w:rPr>
          <w:noProof/>
        </w:rPr>
        <w:t xml:space="preserve"> w art</w:t>
      </w:r>
      <w:r w:rsidR="00882662" w:rsidRPr="00201A9A">
        <w:rPr>
          <w:noProof/>
        </w:rPr>
        <w:t>.</w:t>
      </w:r>
      <w:r w:rsidR="00201A9A" w:rsidRPr="00201A9A">
        <w:rPr>
          <w:noProof/>
        </w:rPr>
        <w:t> </w:t>
      </w:r>
      <w:r w:rsidR="00882662" w:rsidRPr="00201A9A">
        <w:rPr>
          <w:noProof/>
        </w:rPr>
        <w:t>349 TFUE, oraz posiadają pewne zasoby, dzięki którym mogą</w:t>
      </w:r>
      <w:r w:rsidR="00201A9A" w:rsidRPr="00201A9A">
        <w:rPr>
          <w:noProof/>
        </w:rPr>
        <w:t xml:space="preserve"> w szc</w:t>
      </w:r>
      <w:r w:rsidR="00882662" w:rsidRPr="00201A9A">
        <w:rPr>
          <w:noProof/>
        </w:rPr>
        <w:t>zególności rozwijać zrównoważoną niebieską gospodarkę</w:t>
      </w:r>
      <w:r w:rsidR="00201A9A" w:rsidRPr="00201A9A">
        <w:rPr>
          <w:noProof/>
        </w:rPr>
        <w:t>. W zwi</w:t>
      </w:r>
      <w:r w:rsidR="00882662" w:rsidRPr="00201A9A">
        <w:rPr>
          <w:noProof/>
        </w:rPr>
        <w:t>ązku</w:t>
      </w:r>
      <w:r w:rsidR="00201A9A" w:rsidRPr="00201A9A">
        <w:rPr>
          <w:noProof/>
        </w:rPr>
        <w:t xml:space="preserve"> z tym</w:t>
      </w:r>
      <w:r w:rsidR="00882662" w:rsidRPr="00201A9A">
        <w:rPr>
          <w:noProof/>
        </w:rPr>
        <w:t xml:space="preserve"> zainteresowane państwa członkowskie powinny uwzględnić</w:t>
      </w:r>
      <w:r w:rsidR="00201A9A" w:rsidRPr="00201A9A">
        <w:rPr>
          <w:noProof/>
        </w:rPr>
        <w:t xml:space="preserve"> w pla</w:t>
      </w:r>
      <w:r w:rsidR="00882662" w:rsidRPr="00201A9A">
        <w:rPr>
          <w:noProof/>
        </w:rPr>
        <w:t>nie PKR środki mające na celu wsparcie każdego regionu najbardziej oddalonego</w:t>
      </w:r>
      <w:r w:rsidR="00201A9A" w:rsidRPr="00201A9A">
        <w:rPr>
          <w:noProof/>
        </w:rPr>
        <w:t xml:space="preserve"> w cel</w:t>
      </w:r>
      <w:r w:rsidR="00882662" w:rsidRPr="00201A9A">
        <w:rPr>
          <w:noProof/>
        </w:rPr>
        <w:t>u uwzględnienia jego szczególnych potrzeb</w:t>
      </w:r>
      <w:r w:rsidR="00201A9A" w:rsidRPr="00201A9A">
        <w:rPr>
          <w:noProof/>
        </w:rPr>
        <w:t xml:space="preserve"> i wyz</w:t>
      </w:r>
      <w:r w:rsidR="00882662" w:rsidRPr="00201A9A">
        <w:rPr>
          <w:noProof/>
        </w:rPr>
        <w:t>wań, takich jak bezpieczeństwo żywnościowe, mieszkalnictwo, transport, gospodarka wodna</w:t>
      </w:r>
      <w:r w:rsidR="00201A9A" w:rsidRPr="00201A9A">
        <w:rPr>
          <w:noProof/>
        </w:rPr>
        <w:t xml:space="preserve"> i gos</w:t>
      </w:r>
      <w:r w:rsidR="00882662" w:rsidRPr="00201A9A">
        <w:rPr>
          <w:noProof/>
        </w:rPr>
        <w:t>podarowanie odpadami, energia, edukacja</w:t>
      </w:r>
      <w:r w:rsidR="00201A9A" w:rsidRPr="00201A9A">
        <w:rPr>
          <w:noProof/>
        </w:rPr>
        <w:t xml:space="preserve"> i umi</w:t>
      </w:r>
      <w:r w:rsidR="00882662" w:rsidRPr="00201A9A">
        <w:rPr>
          <w:noProof/>
        </w:rPr>
        <w:t>ejętności, migracja, odporność na zmianę klimatu</w:t>
      </w:r>
      <w:r w:rsidR="00201A9A" w:rsidRPr="00201A9A">
        <w:rPr>
          <w:noProof/>
        </w:rPr>
        <w:t xml:space="preserve"> i prz</w:t>
      </w:r>
      <w:r w:rsidR="00882662" w:rsidRPr="00201A9A">
        <w:rPr>
          <w:noProof/>
        </w:rPr>
        <w:t>ystosowanie się do niej, ochrona środowiska, dostęp do opieki zdrowotnej, energia, transport</w:t>
      </w:r>
      <w:r w:rsidR="00201A9A" w:rsidRPr="00201A9A">
        <w:rPr>
          <w:noProof/>
        </w:rPr>
        <w:t xml:space="preserve"> i łąc</w:t>
      </w:r>
      <w:r w:rsidR="00882662" w:rsidRPr="00201A9A">
        <w:rPr>
          <w:noProof/>
        </w:rPr>
        <w:t>zność cyfrowa oraz rozwój gospodarczy,</w:t>
      </w:r>
      <w:r w:rsidR="00201A9A" w:rsidRPr="00201A9A">
        <w:rPr>
          <w:noProof/>
        </w:rPr>
        <w:t xml:space="preserve"> w tym</w:t>
      </w:r>
      <w:r w:rsidR="00882662" w:rsidRPr="00201A9A">
        <w:rPr>
          <w:noProof/>
        </w:rPr>
        <w:t xml:space="preserve"> zrównoważona</w:t>
      </w:r>
      <w:r w:rsidR="00201A9A" w:rsidRPr="00201A9A">
        <w:rPr>
          <w:noProof/>
        </w:rPr>
        <w:t xml:space="preserve"> i zdy</w:t>
      </w:r>
      <w:r w:rsidR="00882662" w:rsidRPr="00201A9A">
        <w:rPr>
          <w:noProof/>
        </w:rPr>
        <w:t xml:space="preserve">wersyfikowana niebieska gospodarka. </w:t>
      </w:r>
    </w:p>
    <w:p w14:paraId="0386CF1E" w14:textId="59B2C05D" w:rsidR="00DF726F" w:rsidRPr="00201A9A" w:rsidRDefault="00875961" w:rsidP="00875961">
      <w:pPr>
        <w:pStyle w:val="ManualConsidrant"/>
        <w:rPr>
          <w:noProof/>
          <w:sz w:val="22"/>
        </w:rPr>
      </w:pPr>
      <w:r w:rsidRPr="00875961">
        <w:rPr>
          <w:noProof/>
        </w:rPr>
        <w:t>(48)</w:t>
      </w:r>
      <w:r w:rsidRPr="00875961">
        <w:rPr>
          <w:noProof/>
        </w:rPr>
        <w:tab/>
      </w:r>
      <w:r w:rsidR="00DF726F" w:rsidRPr="00201A9A">
        <w:rPr>
          <w:noProof/>
        </w:rPr>
        <w:t>Środki powinny obejmować wsparcie</w:t>
      </w:r>
      <w:r w:rsidR="00201A9A" w:rsidRPr="00201A9A">
        <w:rPr>
          <w:noProof/>
        </w:rPr>
        <w:t xml:space="preserve"> w cel</w:t>
      </w:r>
      <w:r w:rsidR="00DF726F" w:rsidRPr="00201A9A">
        <w:rPr>
          <w:noProof/>
        </w:rPr>
        <w:t>u zagwarantowania zaopatrzenia regionów najbardziej oddalonych</w:t>
      </w:r>
      <w:r w:rsidR="00201A9A" w:rsidRPr="00201A9A">
        <w:rPr>
          <w:noProof/>
        </w:rPr>
        <w:t xml:space="preserve"> w pod</w:t>
      </w:r>
      <w:r w:rsidR="00DF726F" w:rsidRPr="00201A9A">
        <w:rPr>
          <w:noProof/>
        </w:rPr>
        <w:t>stawowe produkty przeznaczone do spożycia przez ludzi lub do przetwórstwa</w:t>
      </w:r>
      <w:r w:rsidR="00201A9A" w:rsidRPr="00201A9A">
        <w:rPr>
          <w:noProof/>
        </w:rPr>
        <w:t xml:space="preserve"> i sta</w:t>
      </w:r>
      <w:r w:rsidR="00DF726F" w:rsidRPr="00201A9A">
        <w:rPr>
          <w:noProof/>
        </w:rPr>
        <w:t>nowiących środki produkcji rolnej przez łagodzenie dodatkowych kosztów poniesionych</w:t>
      </w:r>
      <w:r w:rsidR="00201A9A" w:rsidRPr="00201A9A">
        <w:rPr>
          <w:noProof/>
        </w:rPr>
        <w:t xml:space="preserve"> w zwi</w:t>
      </w:r>
      <w:r w:rsidR="00DF726F" w:rsidRPr="00201A9A">
        <w:rPr>
          <w:noProof/>
        </w:rPr>
        <w:t>ązku</w:t>
      </w:r>
      <w:r w:rsidR="00201A9A" w:rsidRPr="00201A9A">
        <w:rPr>
          <w:noProof/>
        </w:rPr>
        <w:t xml:space="preserve"> z ich</w:t>
      </w:r>
      <w:r w:rsidR="00DF726F" w:rsidRPr="00201A9A">
        <w:rPr>
          <w:noProof/>
        </w:rPr>
        <w:t xml:space="preserve"> skrajnie oddalonym lub wyspiarskim położeniem, bez szkody dla produkcji lokalnej</w:t>
      </w:r>
      <w:r w:rsidR="00201A9A" w:rsidRPr="00201A9A">
        <w:rPr>
          <w:noProof/>
        </w:rPr>
        <w:t xml:space="preserve"> i jej</w:t>
      </w:r>
      <w:r w:rsidR="00DF726F" w:rsidRPr="00201A9A">
        <w:rPr>
          <w:noProof/>
        </w:rPr>
        <w:t xml:space="preserve"> rozwoju; Środki te powinny również obejmować wsparcie</w:t>
      </w:r>
      <w:r w:rsidR="00201A9A" w:rsidRPr="00201A9A">
        <w:rPr>
          <w:noProof/>
        </w:rPr>
        <w:t xml:space="preserve"> w cel</w:t>
      </w:r>
      <w:r w:rsidR="00DF726F" w:rsidRPr="00201A9A">
        <w:rPr>
          <w:noProof/>
        </w:rPr>
        <w:t>u zapewnienia długoterminowej przyszłości</w:t>
      </w:r>
      <w:r w:rsidR="00201A9A" w:rsidRPr="00201A9A">
        <w:rPr>
          <w:noProof/>
        </w:rPr>
        <w:t xml:space="preserve"> i roz</w:t>
      </w:r>
      <w:r w:rsidR="00DF726F" w:rsidRPr="00201A9A">
        <w:rPr>
          <w:noProof/>
        </w:rPr>
        <w:t>woju rolnictwa, rybołówstwa</w:t>
      </w:r>
      <w:r w:rsidR="00201A9A" w:rsidRPr="00201A9A">
        <w:rPr>
          <w:noProof/>
        </w:rPr>
        <w:t xml:space="preserve"> i akw</w:t>
      </w:r>
      <w:r w:rsidR="00DF726F" w:rsidRPr="00201A9A">
        <w:rPr>
          <w:noProof/>
        </w:rPr>
        <w:t>akultury,</w:t>
      </w:r>
      <w:r w:rsidR="00201A9A" w:rsidRPr="00201A9A">
        <w:rPr>
          <w:noProof/>
        </w:rPr>
        <w:t xml:space="preserve"> w tym</w:t>
      </w:r>
      <w:r w:rsidR="00DF726F" w:rsidRPr="00201A9A">
        <w:rPr>
          <w:noProof/>
        </w:rPr>
        <w:t xml:space="preserve"> produkcji, przetwarzania, wprowadzania do obrotu</w:t>
      </w:r>
      <w:r w:rsidR="00201A9A" w:rsidRPr="00201A9A">
        <w:rPr>
          <w:noProof/>
        </w:rPr>
        <w:t xml:space="preserve"> i spr</w:t>
      </w:r>
      <w:r w:rsidR="00DF726F" w:rsidRPr="00201A9A">
        <w:rPr>
          <w:noProof/>
        </w:rPr>
        <w:t>zedaży lokalnych upraw</w:t>
      </w:r>
      <w:r w:rsidR="00201A9A" w:rsidRPr="00201A9A">
        <w:rPr>
          <w:noProof/>
        </w:rPr>
        <w:t xml:space="preserve"> i pro</w:t>
      </w:r>
      <w:r w:rsidR="00DF726F" w:rsidRPr="00201A9A">
        <w:rPr>
          <w:noProof/>
        </w:rPr>
        <w:t>duktów,</w:t>
      </w:r>
      <w:r w:rsidR="00201A9A" w:rsidRPr="00201A9A">
        <w:rPr>
          <w:noProof/>
        </w:rPr>
        <w:t xml:space="preserve"> a tak</w:t>
      </w:r>
      <w:r w:rsidR="00DF726F" w:rsidRPr="00201A9A">
        <w:rPr>
          <w:noProof/>
        </w:rPr>
        <w:t>że na rzecz dywersyfikacji produkcji żywności, ze szczególnym uwzględnieniem bezpieczeństwa żywnościowego</w:t>
      </w:r>
      <w:r w:rsidR="00201A9A" w:rsidRPr="00201A9A">
        <w:rPr>
          <w:noProof/>
        </w:rPr>
        <w:t xml:space="preserve"> i sam</w:t>
      </w:r>
      <w:r w:rsidR="00DF726F" w:rsidRPr="00201A9A">
        <w:rPr>
          <w:noProof/>
        </w:rPr>
        <w:t>owystarczalności, oraz utrzymania</w:t>
      </w:r>
      <w:r w:rsidR="00201A9A" w:rsidRPr="00201A9A">
        <w:rPr>
          <w:noProof/>
        </w:rPr>
        <w:t xml:space="preserve"> i wzm</w:t>
      </w:r>
      <w:r w:rsidR="00DF726F" w:rsidRPr="00201A9A">
        <w:rPr>
          <w:noProof/>
        </w:rPr>
        <w:t>ocnienia ich konkurencyjności. Ponadto środki te powinny obejmować wsparcie,</w:t>
      </w:r>
      <w:r w:rsidR="00201A9A" w:rsidRPr="00201A9A">
        <w:rPr>
          <w:noProof/>
        </w:rPr>
        <w:t xml:space="preserve"> w tym</w:t>
      </w:r>
      <w:r w:rsidR="00DF726F" w:rsidRPr="00201A9A">
        <w:rPr>
          <w:noProof/>
        </w:rPr>
        <w:t xml:space="preserve"> rekompensaty, szczególnych systemów dostaw dla rolnictwa, wsparcie na rzecz lokalnej produkcji rolnej</w:t>
      </w:r>
      <w:r w:rsidR="00201A9A" w:rsidRPr="00201A9A">
        <w:rPr>
          <w:noProof/>
        </w:rPr>
        <w:t xml:space="preserve"> i prz</w:t>
      </w:r>
      <w:r w:rsidR="00DF726F" w:rsidRPr="00201A9A">
        <w:rPr>
          <w:noProof/>
        </w:rPr>
        <w:t>etwórstwa rolnego oraz wsparcie na rzecz lokalnej produkcji, przetwórstwa</w:t>
      </w:r>
      <w:r w:rsidR="00201A9A" w:rsidRPr="00201A9A">
        <w:rPr>
          <w:noProof/>
        </w:rPr>
        <w:t xml:space="preserve"> i wpr</w:t>
      </w:r>
      <w:r w:rsidR="00DF726F" w:rsidRPr="00201A9A">
        <w:rPr>
          <w:noProof/>
        </w:rPr>
        <w:t>owadzania do obrotu</w:t>
      </w:r>
      <w:r w:rsidR="00201A9A" w:rsidRPr="00201A9A">
        <w:rPr>
          <w:noProof/>
        </w:rPr>
        <w:t xml:space="preserve"> w sek</w:t>
      </w:r>
      <w:r w:rsidR="00DF726F" w:rsidRPr="00201A9A">
        <w:rPr>
          <w:noProof/>
        </w:rPr>
        <w:t>torze rybołówstwa</w:t>
      </w:r>
      <w:r w:rsidR="00201A9A" w:rsidRPr="00201A9A">
        <w:rPr>
          <w:noProof/>
        </w:rPr>
        <w:t xml:space="preserve"> i akw</w:t>
      </w:r>
      <w:r w:rsidR="00DF726F" w:rsidRPr="00201A9A">
        <w:rPr>
          <w:noProof/>
        </w:rPr>
        <w:t>akultury,</w:t>
      </w:r>
      <w:r w:rsidR="00201A9A" w:rsidRPr="00201A9A">
        <w:rPr>
          <w:noProof/>
        </w:rPr>
        <w:t xml:space="preserve"> a tak</w:t>
      </w:r>
      <w:r w:rsidR="00DF726F" w:rsidRPr="00201A9A">
        <w:rPr>
          <w:noProof/>
        </w:rPr>
        <w:t>że wsparcie na rzecz poprawy łączności transportowej, energetycznej</w:t>
      </w:r>
      <w:r w:rsidR="00201A9A" w:rsidRPr="00201A9A">
        <w:rPr>
          <w:noProof/>
        </w:rPr>
        <w:t xml:space="preserve"> i cyf</w:t>
      </w:r>
      <w:r w:rsidR="00DF726F" w:rsidRPr="00201A9A">
        <w:rPr>
          <w:noProof/>
        </w:rPr>
        <w:t>rowej. Państwa członkowskie powinny mieć możliwość przyznania dodatkowego finansowania na wdrażanie tego wsparcia. Jako pomoc państwa takie finansowanie należy zgłosić Komisji, która może zatwierdzić je na mocy niniejszego rozporządzenia jako część tego wsparcia.</w:t>
      </w:r>
    </w:p>
    <w:p w14:paraId="65C4679F" w14:textId="3E6F94F8" w:rsidR="00DF726F" w:rsidRPr="00201A9A" w:rsidRDefault="00875961" w:rsidP="00875961">
      <w:pPr>
        <w:pStyle w:val="ManualConsidrant"/>
        <w:rPr>
          <w:noProof/>
          <w:sz w:val="22"/>
        </w:rPr>
      </w:pPr>
      <w:r w:rsidRPr="00875961">
        <w:rPr>
          <w:noProof/>
        </w:rPr>
        <w:t>(49)</w:t>
      </w:r>
      <w:r w:rsidRPr="00875961">
        <w:rPr>
          <w:noProof/>
        </w:rPr>
        <w:tab/>
      </w:r>
      <w:r w:rsidR="00DF726F" w:rsidRPr="00201A9A">
        <w:rPr>
          <w:noProof/>
        </w:rPr>
        <w:t>Aby uwzględnić szczególne warunki wspólnej polityki rybołówstwa,</w:t>
      </w:r>
      <w:r w:rsidR="00201A9A" w:rsidRPr="00201A9A">
        <w:rPr>
          <w:noProof/>
        </w:rPr>
        <w:t xml:space="preserve"> o któ</w:t>
      </w:r>
      <w:r w:rsidR="00DF726F" w:rsidRPr="00201A9A">
        <w:rPr>
          <w:noProof/>
        </w:rPr>
        <w:t>rych mowa</w:t>
      </w:r>
      <w:r w:rsidR="00201A9A" w:rsidRPr="00201A9A">
        <w:rPr>
          <w:noProof/>
        </w:rPr>
        <w:t xml:space="preserve"> w roz</w:t>
      </w:r>
      <w:r w:rsidR="00DF726F" w:rsidRPr="00201A9A">
        <w:rPr>
          <w:noProof/>
        </w:rPr>
        <w:t>porządzeniu (UE) nr</w:t>
      </w:r>
      <w:r w:rsidR="00201A9A" w:rsidRPr="00201A9A">
        <w:rPr>
          <w:noProof/>
        </w:rPr>
        <w:t> </w:t>
      </w:r>
      <w:r w:rsidR="00DF726F" w:rsidRPr="00201A9A">
        <w:rPr>
          <w:noProof/>
        </w:rPr>
        <w:t>1380/2013, oraz przyczynić się do przestrzegania przepisów wspólnej polityki rybołówstwa, należy ustanowić przepisy szczegółowe dotyczące przepisów dotyczących wstrzymania, zawieszenia</w:t>
      </w:r>
      <w:r w:rsidR="00201A9A" w:rsidRPr="00201A9A">
        <w:rPr>
          <w:noProof/>
        </w:rPr>
        <w:t xml:space="preserve"> i kor</w:t>
      </w:r>
      <w:r w:rsidR="00DF726F" w:rsidRPr="00201A9A">
        <w:rPr>
          <w:noProof/>
        </w:rPr>
        <w:t>ekt finansowych</w:t>
      </w:r>
      <w:r w:rsidR="00201A9A" w:rsidRPr="00201A9A">
        <w:rPr>
          <w:noProof/>
        </w:rPr>
        <w:t>. W prz</w:t>
      </w:r>
      <w:r w:rsidR="00DF726F" w:rsidRPr="00201A9A">
        <w:rPr>
          <w:noProof/>
        </w:rPr>
        <w:t>ypadku gdy państwo członkowskie nie dopełnia swoich obowiązków wynikających</w:t>
      </w:r>
      <w:r w:rsidR="00201A9A" w:rsidRPr="00201A9A">
        <w:rPr>
          <w:noProof/>
        </w:rPr>
        <w:t xml:space="preserve"> z wsp</w:t>
      </w:r>
      <w:r w:rsidR="00DF726F" w:rsidRPr="00201A9A">
        <w:rPr>
          <w:noProof/>
        </w:rPr>
        <w:t>ólnej polityki rybołówstwa lub</w:t>
      </w:r>
      <w:r w:rsidR="00201A9A" w:rsidRPr="00201A9A">
        <w:rPr>
          <w:noProof/>
        </w:rPr>
        <w:t xml:space="preserve"> w prz</w:t>
      </w:r>
      <w:r w:rsidR="00DF726F" w:rsidRPr="00201A9A">
        <w:rPr>
          <w:noProof/>
        </w:rPr>
        <w:t>ypadku gdy Komisja ma dowody wskazujące na takie niedopełnienie, Komisja,</w:t>
      </w:r>
      <w:r w:rsidR="00201A9A" w:rsidRPr="00201A9A">
        <w:rPr>
          <w:noProof/>
        </w:rPr>
        <w:t xml:space="preserve"> w ram</w:t>
      </w:r>
      <w:r w:rsidR="00DF726F" w:rsidRPr="00201A9A">
        <w:rPr>
          <w:noProof/>
        </w:rPr>
        <w:t>ach środka zapobiegawczego, powinna mieć możliwość wstrzymania biegu terminów płatności. Oprócz możliwości wstrzymania biegu terminów płatności,</w:t>
      </w:r>
      <w:r w:rsidR="00201A9A" w:rsidRPr="00201A9A">
        <w:rPr>
          <w:noProof/>
        </w:rPr>
        <w:t xml:space="preserve"> w cel</w:t>
      </w:r>
      <w:r w:rsidR="00DF726F" w:rsidRPr="00201A9A">
        <w:rPr>
          <w:noProof/>
        </w:rPr>
        <w:t>u uniknięcia realnego ryzyka dokonania płatności</w:t>
      </w:r>
      <w:r w:rsidR="00201A9A" w:rsidRPr="00201A9A">
        <w:rPr>
          <w:noProof/>
        </w:rPr>
        <w:t xml:space="preserve"> w zwi</w:t>
      </w:r>
      <w:r w:rsidR="00DF726F" w:rsidRPr="00201A9A">
        <w:rPr>
          <w:noProof/>
        </w:rPr>
        <w:t>ązku</w:t>
      </w:r>
      <w:r w:rsidR="00201A9A" w:rsidRPr="00201A9A">
        <w:rPr>
          <w:noProof/>
        </w:rPr>
        <w:t xml:space="preserve"> z wyd</w:t>
      </w:r>
      <w:r w:rsidR="00DF726F" w:rsidRPr="00201A9A">
        <w:rPr>
          <w:noProof/>
        </w:rPr>
        <w:t>atkiem niekwalifikowalnym, Komisja powinna mieć możliwość zawieszenia płatności</w:t>
      </w:r>
      <w:r w:rsidR="00201A9A" w:rsidRPr="00201A9A">
        <w:rPr>
          <w:noProof/>
        </w:rPr>
        <w:t xml:space="preserve"> i dok</w:t>
      </w:r>
      <w:r w:rsidR="00DF726F" w:rsidRPr="00201A9A">
        <w:rPr>
          <w:noProof/>
        </w:rPr>
        <w:t>onania korekt finansowych</w:t>
      </w:r>
      <w:r w:rsidR="00201A9A" w:rsidRPr="00201A9A">
        <w:rPr>
          <w:noProof/>
        </w:rPr>
        <w:t xml:space="preserve"> w prz</w:t>
      </w:r>
      <w:r w:rsidR="00DF726F" w:rsidRPr="00201A9A">
        <w:rPr>
          <w:noProof/>
        </w:rPr>
        <w:t>ypadkach poważnego naruszenia przepisów wspólnej polityki rybołówstwa przez państwo członkowskie.</w:t>
      </w:r>
    </w:p>
    <w:p w14:paraId="3AC821AB" w14:textId="0E52B81C" w:rsidR="00C63D0B" w:rsidRPr="00201A9A" w:rsidRDefault="00875961" w:rsidP="00875961">
      <w:pPr>
        <w:pStyle w:val="ManualConsidrant"/>
        <w:rPr>
          <w:noProof/>
        </w:rPr>
      </w:pPr>
      <w:r w:rsidRPr="00875961">
        <w:rPr>
          <w:noProof/>
        </w:rPr>
        <w:t>(50)</w:t>
      </w:r>
      <w:r w:rsidRPr="00875961">
        <w:rPr>
          <w:noProof/>
        </w:rPr>
        <w:tab/>
      </w:r>
      <w:r w:rsidR="00C63D0B" w:rsidRPr="00201A9A">
        <w:rPr>
          <w:noProof/>
        </w:rPr>
        <w:t>Do niniejszego rozporządzenia stosuje się horyzontalne przepisy finansowe przyjęte przez Parlament Europejski</w:t>
      </w:r>
      <w:r w:rsidR="00201A9A" w:rsidRPr="00201A9A">
        <w:rPr>
          <w:noProof/>
        </w:rPr>
        <w:t xml:space="preserve"> i Rad</w:t>
      </w:r>
      <w:r w:rsidR="00C63D0B" w:rsidRPr="00201A9A">
        <w:rPr>
          <w:noProof/>
        </w:rPr>
        <w:t>ę na podstawie art.</w:t>
      </w:r>
      <w:r w:rsidR="00201A9A" w:rsidRPr="00201A9A">
        <w:rPr>
          <w:noProof/>
        </w:rPr>
        <w:t> </w:t>
      </w:r>
      <w:r w:rsidR="00C63D0B" w:rsidRPr="00201A9A">
        <w:rPr>
          <w:noProof/>
        </w:rPr>
        <w:t>322 TFUE. Przepisy te zostały ustanowione</w:t>
      </w:r>
      <w:r w:rsidR="00201A9A" w:rsidRPr="00201A9A">
        <w:rPr>
          <w:noProof/>
        </w:rPr>
        <w:t xml:space="preserve"> w roz</w:t>
      </w:r>
      <w:r w:rsidR="00C63D0B" w:rsidRPr="00201A9A">
        <w:rPr>
          <w:noProof/>
        </w:rPr>
        <w:t>porządzeniu (UE, Euratom) 2024/2509</w:t>
      </w:r>
      <w:r w:rsidR="00201A9A" w:rsidRPr="00201A9A">
        <w:rPr>
          <w:noProof/>
        </w:rPr>
        <w:t xml:space="preserve"> i okr</w:t>
      </w:r>
      <w:r w:rsidR="00C63D0B" w:rsidRPr="00201A9A">
        <w:rPr>
          <w:noProof/>
        </w:rPr>
        <w:t>eślają</w:t>
      </w:r>
      <w:r w:rsidR="00201A9A" w:rsidRPr="00201A9A">
        <w:rPr>
          <w:noProof/>
        </w:rPr>
        <w:t xml:space="preserve"> w szc</w:t>
      </w:r>
      <w:r w:rsidR="00C63D0B" w:rsidRPr="00201A9A">
        <w:rPr>
          <w:noProof/>
        </w:rPr>
        <w:t>zególności procedurę uchwalania</w:t>
      </w:r>
      <w:r w:rsidR="00201A9A" w:rsidRPr="00201A9A">
        <w:rPr>
          <w:noProof/>
        </w:rPr>
        <w:t xml:space="preserve"> i wyk</w:t>
      </w:r>
      <w:r w:rsidR="00C63D0B" w:rsidRPr="00201A9A">
        <w:rPr>
          <w:noProof/>
        </w:rPr>
        <w:t>onywania budżetu ogólnego Unii. Przepisy przyjęte na podstawie art.</w:t>
      </w:r>
      <w:r w:rsidR="00201A9A" w:rsidRPr="00201A9A">
        <w:rPr>
          <w:noProof/>
        </w:rPr>
        <w:t> </w:t>
      </w:r>
      <w:r w:rsidR="00C63D0B" w:rsidRPr="00201A9A">
        <w:rPr>
          <w:noProof/>
        </w:rPr>
        <w:t>322 TFUE obejmują również ogólny system warunkowości służący ochronie budżetu Unii</w:t>
      </w:r>
      <w:r w:rsidR="00201A9A" w:rsidRPr="00201A9A">
        <w:rPr>
          <w:noProof/>
        </w:rPr>
        <w:t xml:space="preserve"> w prz</w:t>
      </w:r>
      <w:r w:rsidR="00C63D0B" w:rsidRPr="00201A9A">
        <w:rPr>
          <w:noProof/>
        </w:rPr>
        <w:t>ypadku naruszeń zasad państwa prawnego</w:t>
      </w:r>
      <w:r w:rsidR="00201A9A" w:rsidRPr="00201A9A">
        <w:rPr>
          <w:noProof/>
        </w:rPr>
        <w:t xml:space="preserve"> w pań</w:t>
      </w:r>
      <w:r w:rsidR="00C63D0B" w:rsidRPr="00201A9A">
        <w:rPr>
          <w:noProof/>
        </w:rPr>
        <w:t>stwach członkowskich, ustanowiony rozporządzeniem (UE, Euratom) 2020/2092. </w:t>
      </w:r>
    </w:p>
    <w:p w14:paraId="2AC06DF8" w14:textId="7A0AE07B" w:rsidR="004C3B62" w:rsidRPr="00201A9A" w:rsidRDefault="00875961" w:rsidP="00875961">
      <w:pPr>
        <w:pStyle w:val="ManualConsidrant"/>
        <w:rPr>
          <w:noProof/>
        </w:rPr>
      </w:pPr>
      <w:r w:rsidRPr="00875961">
        <w:rPr>
          <w:noProof/>
        </w:rPr>
        <w:t>(51)</w:t>
      </w:r>
      <w:r w:rsidRPr="00875961">
        <w:rPr>
          <w:noProof/>
        </w:rPr>
        <w:tab/>
      </w:r>
      <w:r w:rsidR="46DE90B3" w:rsidRPr="00201A9A">
        <w:rPr>
          <w:noProof/>
        </w:rPr>
        <w:t>Działania związane</w:t>
      </w:r>
      <w:r w:rsidR="00201A9A" w:rsidRPr="00201A9A">
        <w:rPr>
          <w:noProof/>
        </w:rPr>
        <w:t xml:space="preserve"> z prz</w:t>
      </w:r>
      <w:r w:rsidR="46DE90B3" w:rsidRPr="00201A9A">
        <w:rPr>
          <w:noProof/>
        </w:rPr>
        <w:t>ejrzystością, informacjami, komunikacją</w:t>
      </w:r>
      <w:r w:rsidR="00201A9A" w:rsidRPr="00201A9A">
        <w:rPr>
          <w:noProof/>
        </w:rPr>
        <w:t xml:space="preserve"> i wid</w:t>
      </w:r>
      <w:r w:rsidR="46DE90B3" w:rsidRPr="00201A9A">
        <w:rPr>
          <w:noProof/>
        </w:rPr>
        <w:t>ocznością mają podstawowe znaczenie dla uwidocznienia działań Unii</w:t>
      </w:r>
      <w:r w:rsidR="00201A9A" w:rsidRPr="00201A9A">
        <w:rPr>
          <w:noProof/>
        </w:rPr>
        <w:t xml:space="preserve"> w ter</w:t>
      </w:r>
      <w:r w:rsidR="46DE90B3" w:rsidRPr="00201A9A">
        <w:rPr>
          <w:noProof/>
        </w:rPr>
        <w:t>enie oraz zapewnienia identyfikowalności środków finansowych</w:t>
      </w:r>
      <w:r w:rsidR="00201A9A" w:rsidRPr="00201A9A">
        <w:rPr>
          <w:noProof/>
        </w:rPr>
        <w:t xml:space="preserve"> i pow</w:t>
      </w:r>
      <w:r w:rsidR="46DE90B3" w:rsidRPr="00201A9A">
        <w:rPr>
          <w:noProof/>
        </w:rPr>
        <w:t>inny opierać się na prawdziwych, rzetelnych</w:t>
      </w:r>
      <w:r w:rsidR="00201A9A" w:rsidRPr="00201A9A">
        <w:rPr>
          <w:noProof/>
        </w:rPr>
        <w:t xml:space="preserve"> i akt</w:t>
      </w:r>
      <w:r w:rsidR="46DE90B3" w:rsidRPr="00201A9A">
        <w:rPr>
          <w:noProof/>
        </w:rPr>
        <w:t>ualnych informacjach. Aby osiągnąć te cele, należy przewidzieć odpowiednie ustalenia dotyczące gromadzenia</w:t>
      </w:r>
      <w:r w:rsidR="00201A9A" w:rsidRPr="00201A9A">
        <w:rPr>
          <w:noProof/>
        </w:rPr>
        <w:t xml:space="preserve"> i zgł</w:t>
      </w:r>
      <w:r w:rsidR="46DE90B3" w:rsidRPr="00201A9A">
        <w:rPr>
          <w:noProof/>
        </w:rPr>
        <w:t>aszania danych potrzebnych do wielu celów tylko raz</w:t>
      </w:r>
      <w:r w:rsidR="00201A9A" w:rsidRPr="00201A9A">
        <w:rPr>
          <w:noProof/>
        </w:rPr>
        <w:t>. W cel</w:t>
      </w:r>
      <w:r w:rsidR="46DE90B3" w:rsidRPr="00201A9A">
        <w:rPr>
          <w:noProof/>
        </w:rPr>
        <w:t>u uniknięcia powielania wysiłków</w:t>
      </w:r>
      <w:r w:rsidR="00201A9A" w:rsidRPr="00201A9A">
        <w:rPr>
          <w:noProof/>
        </w:rPr>
        <w:t xml:space="preserve"> i zmn</w:t>
      </w:r>
      <w:r w:rsidR="46DE90B3" w:rsidRPr="00201A9A">
        <w:rPr>
          <w:noProof/>
        </w:rPr>
        <w:t>iejszenia obciążenia administracyjnego państw członkowskich należy usprawnić gromadzenie</w:t>
      </w:r>
      <w:r w:rsidR="00201A9A" w:rsidRPr="00201A9A">
        <w:rPr>
          <w:noProof/>
        </w:rPr>
        <w:t xml:space="preserve"> i udo</w:t>
      </w:r>
      <w:r w:rsidR="46DE90B3" w:rsidRPr="00201A9A">
        <w:rPr>
          <w:noProof/>
        </w:rPr>
        <w:t>stępnianie danych do celów audytu</w:t>
      </w:r>
      <w:r w:rsidR="00201A9A" w:rsidRPr="00201A9A">
        <w:rPr>
          <w:noProof/>
        </w:rPr>
        <w:t xml:space="preserve"> i kon</w:t>
      </w:r>
      <w:r w:rsidR="46DE90B3" w:rsidRPr="00201A9A">
        <w:rPr>
          <w:noProof/>
        </w:rPr>
        <w:t>troli, przejrzystości, monitorowania wyników</w:t>
      </w:r>
      <w:r w:rsidR="00201A9A" w:rsidRPr="00201A9A">
        <w:rPr>
          <w:noProof/>
        </w:rPr>
        <w:t xml:space="preserve"> i oce</w:t>
      </w:r>
      <w:r w:rsidR="46DE90B3" w:rsidRPr="00201A9A">
        <w:rPr>
          <w:noProof/>
        </w:rPr>
        <w:t>ny oraz ustanowić wymogi dotyczące publikacji</w:t>
      </w:r>
      <w:r w:rsidR="00201A9A" w:rsidRPr="00201A9A">
        <w:rPr>
          <w:noProof/>
        </w:rPr>
        <w:t xml:space="preserve"> w cel</w:t>
      </w:r>
      <w:r w:rsidR="46DE90B3" w:rsidRPr="00201A9A">
        <w:rPr>
          <w:noProof/>
        </w:rPr>
        <w:t>u zapewnienia maksymalnej przejrzystości.</w:t>
      </w:r>
    </w:p>
    <w:p w14:paraId="33479C8F" w14:textId="7B976501" w:rsidR="00474283" w:rsidRPr="00201A9A" w:rsidRDefault="00875961" w:rsidP="00875961">
      <w:pPr>
        <w:pStyle w:val="ManualConsidrant"/>
        <w:rPr>
          <w:noProof/>
        </w:rPr>
      </w:pPr>
      <w:r w:rsidRPr="00875961">
        <w:rPr>
          <w:noProof/>
        </w:rPr>
        <w:t>(52)</w:t>
      </w:r>
      <w:r w:rsidRPr="00875961">
        <w:rPr>
          <w:noProof/>
        </w:rPr>
        <w:tab/>
      </w:r>
      <w:r w:rsidR="00C63D0B" w:rsidRPr="00201A9A">
        <w:rPr>
          <w:noProof/>
        </w:rPr>
        <w:t>W celu ochrony interesów finansowych</w:t>
      </w:r>
      <w:r w:rsidR="00201A9A" w:rsidRPr="00201A9A">
        <w:rPr>
          <w:noProof/>
        </w:rPr>
        <w:t xml:space="preserve"> i bud</w:t>
      </w:r>
      <w:r w:rsidR="00C63D0B" w:rsidRPr="00201A9A">
        <w:rPr>
          <w:noProof/>
        </w:rPr>
        <w:t>żetu Unii należy ustanowić</w:t>
      </w:r>
      <w:r w:rsidR="00201A9A" w:rsidRPr="00201A9A">
        <w:rPr>
          <w:noProof/>
        </w:rPr>
        <w:t xml:space="preserve"> i wdr</w:t>
      </w:r>
      <w:r w:rsidR="00C63D0B" w:rsidRPr="00201A9A">
        <w:rPr>
          <w:noProof/>
        </w:rPr>
        <w:t>ożyć proporcjonalne środki na szczeblu państw członkowskich</w:t>
      </w:r>
      <w:r w:rsidR="00201A9A" w:rsidRPr="00201A9A">
        <w:rPr>
          <w:noProof/>
        </w:rPr>
        <w:t xml:space="preserve"> i Kom</w:t>
      </w:r>
      <w:r w:rsidR="00C63D0B" w:rsidRPr="00201A9A">
        <w:rPr>
          <w:noProof/>
        </w:rPr>
        <w:t>isji. Komisja powinna mieć możliwość wstrzymania biegu terminów płatności, zawieszenia płatności</w:t>
      </w:r>
      <w:r w:rsidR="00201A9A" w:rsidRPr="00201A9A">
        <w:rPr>
          <w:noProof/>
        </w:rPr>
        <w:t xml:space="preserve"> i sto</w:t>
      </w:r>
      <w:r w:rsidR="00C63D0B" w:rsidRPr="00201A9A">
        <w:rPr>
          <w:noProof/>
        </w:rPr>
        <w:t>sowania korekt finansowych,</w:t>
      </w:r>
      <w:r w:rsidR="00201A9A" w:rsidRPr="00201A9A">
        <w:rPr>
          <w:noProof/>
        </w:rPr>
        <w:t xml:space="preserve"> w prz</w:t>
      </w:r>
      <w:r w:rsidR="00C63D0B" w:rsidRPr="00201A9A">
        <w:rPr>
          <w:noProof/>
        </w:rPr>
        <w:t>ypadku gdy spełnione są odpowiednie warunki. Komisja powinna przestrzegać zasady proporcjonalności, uwzględniając charakter, wagę</w:t>
      </w:r>
      <w:r w:rsidR="00201A9A" w:rsidRPr="00201A9A">
        <w:rPr>
          <w:noProof/>
        </w:rPr>
        <w:t xml:space="preserve"> i czę</w:t>
      </w:r>
      <w:r w:rsidR="00C63D0B" w:rsidRPr="00201A9A">
        <w:rPr>
          <w:noProof/>
        </w:rPr>
        <w:t>stotliwość występowania nieprawidłowości oraz ich skutki finansowe dla budżetu Unii.</w:t>
      </w:r>
      <w:r w:rsidR="00201A9A" w:rsidRPr="00201A9A">
        <w:rPr>
          <w:noProof/>
        </w:rPr>
        <w:t xml:space="preserve"> </w:t>
      </w:r>
      <w:r w:rsidR="00C63D0B" w:rsidRPr="00201A9A">
        <w:rPr>
          <w:noProof/>
        </w:rPr>
        <w:t>Zgodnie</w:t>
      </w:r>
      <w:r w:rsidR="00201A9A" w:rsidRPr="00201A9A">
        <w:rPr>
          <w:noProof/>
        </w:rPr>
        <w:t xml:space="preserve"> z roz</w:t>
      </w:r>
      <w:r w:rsidR="00C63D0B" w:rsidRPr="00201A9A">
        <w:rPr>
          <w:noProof/>
        </w:rPr>
        <w:t>porządzeniem (UE, Euratom) 2024/2509, rozporządzeniem Parlamentu Europejskiego</w:t>
      </w:r>
      <w:r w:rsidR="00201A9A" w:rsidRPr="00201A9A">
        <w:rPr>
          <w:noProof/>
        </w:rPr>
        <w:t xml:space="preserve"> i Rad</w:t>
      </w:r>
      <w:r w:rsidR="00C63D0B" w:rsidRPr="00201A9A">
        <w:rPr>
          <w:noProof/>
        </w:rPr>
        <w:t>y (UE, Euratom) nr</w:t>
      </w:r>
      <w:r w:rsidR="00201A9A" w:rsidRPr="00201A9A">
        <w:rPr>
          <w:noProof/>
        </w:rPr>
        <w:t> </w:t>
      </w:r>
      <w:r w:rsidR="00C63D0B" w:rsidRPr="00201A9A">
        <w:rPr>
          <w:noProof/>
        </w:rPr>
        <w:t>883/2013(6)</w:t>
      </w:r>
      <w:r w:rsidR="00201A9A" w:rsidRPr="00201A9A">
        <w:rPr>
          <w:noProof/>
        </w:rPr>
        <w:t xml:space="preserve"> i roz</w:t>
      </w:r>
      <w:r w:rsidR="00C63D0B" w:rsidRPr="00201A9A">
        <w:rPr>
          <w:noProof/>
        </w:rPr>
        <w:t>porządzeniami Rady (WE, Euratom) nr</w:t>
      </w:r>
      <w:r w:rsidR="00201A9A" w:rsidRPr="00201A9A">
        <w:rPr>
          <w:noProof/>
        </w:rPr>
        <w:t> </w:t>
      </w:r>
      <w:r w:rsidR="00C63D0B" w:rsidRPr="00201A9A">
        <w:rPr>
          <w:noProof/>
        </w:rPr>
        <w:t>2988/95</w:t>
      </w:r>
      <w:r w:rsidR="00C63D0B" w:rsidRPr="00201A9A">
        <w:rPr>
          <w:noProof/>
          <w:vertAlign w:val="superscript"/>
        </w:rPr>
        <w:t>(7)</w:t>
      </w:r>
      <w:r w:rsidR="00C63D0B" w:rsidRPr="00201A9A">
        <w:rPr>
          <w:noProof/>
        </w:rPr>
        <w:t>, (WE, Euratom) nr</w:t>
      </w:r>
      <w:r w:rsidR="00201A9A" w:rsidRPr="00201A9A">
        <w:rPr>
          <w:noProof/>
        </w:rPr>
        <w:t> </w:t>
      </w:r>
      <w:r w:rsidR="00C63D0B" w:rsidRPr="00201A9A">
        <w:rPr>
          <w:noProof/>
        </w:rPr>
        <w:t>2185/96</w:t>
      </w:r>
      <w:r w:rsidR="00C63D0B" w:rsidRPr="00201A9A">
        <w:rPr>
          <w:noProof/>
          <w:vertAlign w:val="superscript"/>
        </w:rPr>
        <w:t>(8)</w:t>
      </w:r>
      <w:r w:rsidR="00C63D0B" w:rsidRPr="00201A9A">
        <w:rPr>
          <w:noProof/>
        </w:rPr>
        <w:t xml:space="preserve"> i (UE) 2017/1939</w:t>
      </w:r>
      <w:r w:rsidR="00C63D0B" w:rsidRPr="00201A9A">
        <w:rPr>
          <w:noProof/>
          <w:vertAlign w:val="superscript"/>
        </w:rPr>
        <w:t>(9)</w:t>
      </w:r>
      <w:r w:rsidR="00C63D0B" w:rsidRPr="00201A9A">
        <w:rPr>
          <w:noProof/>
        </w:rPr>
        <w:t xml:space="preserve"> interesy finansowe Unii należy chronić za pomocą proporcjonalnych środków,</w:t>
      </w:r>
      <w:r w:rsidR="00201A9A" w:rsidRPr="00201A9A">
        <w:rPr>
          <w:noProof/>
        </w:rPr>
        <w:t xml:space="preserve"> w tym</w:t>
      </w:r>
      <w:r w:rsidR="00C63D0B" w:rsidRPr="00201A9A">
        <w:rPr>
          <w:noProof/>
        </w:rPr>
        <w:t xml:space="preserve"> środków</w:t>
      </w:r>
      <w:r w:rsidR="00201A9A" w:rsidRPr="00201A9A">
        <w:rPr>
          <w:noProof/>
        </w:rPr>
        <w:t xml:space="preserve"> w zak</w:t>
      </w:r>
      <w:r w:rsidR="00C63D0B" w:rsidRPr="00201A9A">
        <w:rPr>
          <w:noProof/>
        </w:rPr>
        <w:t>resie zapobiegania nadużyciom finansowym, korupcji</w:t>
      </w:r>
      <w:r w:rsidR="00201A9A" w:rsidRPr="00201A9A">
        <w:rPr>
          <w:noProof/>
        </w:rPr>
        <w:t xml:space="preserve"> i kon</w:t>
      </w:r>
      <w:r w:rsidR="00C63D0B" w:rsidRPr="00201A9A">
        <w:rPr>
          <w:noProof/>
        </w:rPr>
        <w:t>fliktom interesów, ich wykrywania, korygowania</w:t>
      </w:r>
      <w:r w:rsidR="00201A9A" w:rsidRPr="00201A9A">
        <w:rPr>
          <w:noProof/>
        </w:rPr>
        <w:t xml:space="preserve"> i pro</w:t>
      </w:r>
      <w:r w:rsidR="00C63D0B" w:rsidRPr="00201A9A">
        <w:rPr>
          <w:noProof/>
        </w:rPr>
        <w:t>wadzenia</w:t>
      </w:r>
      <w:r w:rsidR="00201A9A" w:rsidRPr="00201A9A">
        <w:rPr>
          <w:noProof/>
        </w:rPr>
        <w:t xml:space="preserve"> w ich</w:t>
      </w:r>
      <w:r w:rsidR="00C63D0B" w:rsidRPr="00201A9A">
        <w:rPr>
          <w:noProof/>
        </w:rPr>
        <w:t xml:space="preserve"> sprawie postępowań oraz,</w:t>
      </w:r>
      <w:r w:rsidR="00201A9A" w:rsidRPr="00201A9A">
        <w:rPr>
          <w:noProof/>
        </w:rPr>
        <w:t xml:space="preserve"> w sto</w:t>
      </w:r>
      <w:r w:rsidR="00C63D0B" w:rsidRPr="00201A9A">
        <w:rPr>
          <w:noProof/>
        </w:rPr>
        <w:t>sownych przypadkach, nakładania kar administracyjnych</w:t>
      </w:r>
      <w:r w:rsidR="00201A9A" w:rsidRPr="00201A9A">
        <w:rPr>
          <w:noProof/>
        </w:rPr>
        <w:t>. W szc</w:t>
      </w:r>
      <w:r w:rsidR="00C63D0B" w:rsidRPr="00201A9A">
        <w:rPr>
          <w:noProof/>
        </w:rPr>
        <w:t>zególności, zgodnie</w:t>
      </w:r>
      <w:r w:rsidR="00201A9A" w:rsidRPr="00201A9A">
        <w:rPr>
          <w:noProof/>
        </w:rPr>
        <w:t xml:space="preserve"> z roz</w:t>
      </w:r>
      <w:r w:rsidR="00C63D0B" w:rsidRPr="00201A9A">
        <w:rPr>
          <w:noProof/>
        </w:rPr>
        <w:t>porządzeniami (Euratom, WE) nr</w:t>
      </w:r>
      <w:r w:rsidR="00201A9A" w:rsidRPr="00201A9A">
        <w:rPr>
          <w:noProof/>
        </w:rPr>
        <w:t> </w:t>
      </w:r>
      <w:r w:rsidR="00C63D0B" w:rsidRPr="00201A9A">
        <w:rPr>
          <w:noProof/>
        </w:rPr>
        <w:t>2185/96 i (UE, Euratom) nr</w:t>
      </w:r>
      <w:r w:rsidR="00201A9A" w:rsidRPr="00201A9A">
        <w:rPr>
          <w:noProof/>
        </w:rPr>
        <w:t> </w:t>
      </w:r>
      <w:r w:rsidR="00C63D0B" w:rsidRPr="00201A9A">
        <w:rPr>
          <w:noProof/>
        </w:rPr>
        <w:t>883/2013, Europejski Urząd ds. Zwalczania Nadużyć Finansowych (OLAF) jest uprawniony do prowadzenia dochodzeń administracyjnych,</w:t>
      </w:r>
      <w:r w:rsidR="00201A9A" w:rsidRPr="00201A9A">
        <w:rPr>
          <w:noProof/>
        </w:rPr>
        <w:t xml:space="preserve"> w tym</w:t>
      </w:r>
      <w:r w:rsidR="00C63D0B" w:rsidRPr="00201A9A">
        <w:rPr>
          <w:noProof/>
        </w:rPr>
        <w:t xml:space="preserve"> kontroli na miejscu</w:t>
      </w:r>
      <w:r w:rsidR="00201A9A" w:rsidRPr="00201A9A">
        <w:rPr>
          <w:noProof/>
        </w:rPr>
        <w:t xml:space="preserve"> i ins</w:t>
      </w:r>
      <w:r w:rsidR="00C63D0B" w:rsidRPr="00201A9A">
        <w:rPr>
          <w:noProof/>
        </w:rPr>
        <w:t>pekcji,</w:t>
      </w:r>
      <w:r w:rsidR="00201A9A" w:rsidRPr="00201A9A">
        <w:rPr>
          <w:noProof/>
        </w:rPr>
        <w:t xml:space="preserve"> w cel</w:t>
      </w:r>
      <w:r w:rsidR="00C63D0B" w:rsidRPr="00201A9A">
        <w:rPr>
          <w:noProof/>
        </w:rPr>
        <w:t>u ustalenia, czy miały miejsce nadużycia finansowe, korupcja lub wszelka inna nielegalna działalność na szkodę interesów finansowych Unii. Zgodnie</w:t>
      </w:r>
      <w:r w:rsidR="00201A9A" w:rsidRPr="00201A9A">
        <w:rPr>
          <w:noProof/>
        </w:rPr>
        <w:t xml:space="preserve"> z roz</w:t>
      </w:r>
      <w:r w:rsidR="00C63D0B" w:rsidRPr="00201A9A">
        <w:rPr>
          <w:noProof/>
        </w:rPr>
        <w:t>porządzeniem (UE) 2017/1939 Prokuratura Europejska (EPPO) jest uprawniona do prowadzenia dochodzeń</w:t>
      </w:r>
      <w:r w:rsidR="00201A9A" w:rsidRPr="00201A9A">
        <w:rPr>
          <w:noProof/>
        </w:rPr>
        <w:t xml:space="preserve"> i ści</w:t>
      </w:r>
      <w:r w:rsidR="00C63D0B" w:rsidRPr="00201A9A">
        <w:rPr>
          <w:noProof/>
        </w:rPr>
        <w:t>gania nadużyć finansowych oraz innych przestępstw naruszających interesy finansowe Unii, jak przewidziano</w:t>
      </w:r>
      <w:r w:rsidR="00201A9A" w:rsidRPr="00201A9A">
        <w:rPr>
          <w:noProof/>
        </w:rPr>
        <w:t xml:space="preserve"> w dyr</w:t>
      </w:r>
      <w:r w:rsidR="00C63D0B" w:rsidRPr="00201A9A">
        <w:rPr>
          <w:noProof/>
        </w:rPr>
        <w:t>ektywie Parlamentu Europejskiego</w:t>
      </w:r>
      <w:r w:rsidR="00201A9A" w:rsidRPr="00201A9A">
        <w:rPr>
          <w:noProof/>
        </w:rPr>
        <w:t xml:space="preserve"> i Rad</w:t>
      </w:r>
      <w:r w:rsidR="00C63D0B" w:rsidRPr="00201A9A">
        <w:rPr>
          <w:noProof/>
        </w:rPr>
        <w:t>y (UE) 2017/1371. Zgodnie</w:t>
      </w:r>
      <w:r w:rsidR="00201A9A" w:rsidRPr="00201A9A">
        <w:rPr>
          <w:noProof/>
        </w:rPr>
        <w:t xml:space="preserve"> z roz</w:t>
      </w:r>
      <w:r w:rsidR="00C63D0B" w:rsidRPr="00201A9A">
        <w:rPr>
          <w:noProof/>
        </w:rPr>
        <w:t>porządzeniem (UE, Euratom) 2024/2509 każda osoba lub podmiot, które otrzymują środki finansowe Unii,</w:t>
      </w:r>
      <w:r w:rsidR="00201A9A" w:rsidRPr="00201A9A">
        <w:rPr>
          <w:noProof/>
        </w:rPr>
        <w:t xml:space="preserve"> w peł</w:t>
      </w:r>
      <w:r w:rsidR="00C63D0B" w:rsidRPr="00201A9A">
        <w:rPr>
          <w:noProof/>
        </w:rPr>
        <w:t>ni współpracują</w:t>
      </w:r>
      <w:r w:rsidR="00201A9A" w:rsidRPr="00201A9A">
        <w:rPr>
          <w:noProof/>
        </w:rPr>
        <w:t xml:space="preserve"> w cel</w:t>
      </w:r>
      <w:r w:rsidR="00C63D0B" w:rsidRPr="00201A9A">
        <w:rPr>
          <w:noProof/>
        </w:rPr>
        <w:t>u ochrony interesów finansowych Unii, przyznają konieczne prawa</w:t>
      </w:r>
      <w:r w:rsidR="00201A9A" w:rsidRPr="00201A9A">
        <w:rPr>
          <w:noProof/>
        </w:rPr>
        <w:t xml:space="preserve"> i dos</w:t>
      </w:r>
      <w:r w:rsidR="00C63D0B" w:rsidRPr="00201A9A">
        <w:rPr>
          <w:noProof/>
        </w:rPr>
        <w:t>tęp Komisji, OLAF-owi, EPPO</w:t>
      </w:r>
      <w:r w:rsidR="00201A9A" w:rsidRPr="00201A9A">
        <w:rPr>
          <w:noProof/>
        </w:rPr>
        <w:t xml:space="preserve"> i Try</w:t>
      </w:r>
      <w:r w:rsidR="00C63D0B" w:rsidRPr="00201A9A">
        <w:rPr>
          <w:noProof/>
        </w:rPr>
        <w:t>bunałowi Obrachunkowemu oraz zapewniają, aby wszelkie osoby trzecie uczestniczące</w:t>
      </w:r>
      <w:r w:rsidR="00201A9A" w:rsidRPr="00201A9A">
        <w:rPr>
          <w:noProof/>
        </w:rPr>
        <w:t xml:space="preserve"> w wyk</w:t>
      </w:r>
      <w:r w:rsidR="00C63D0B" w:rsidRPr="00201A9A">
        <w:rPr>
          <w:noProof/>
        </w:rPr>
        <w:t>orzystaniu środków finansowych Unii przyznały tym organom równoważne prawa. Państwa członkowskie powinny niezwłocznie zgłaszać Komisji wykryte nieprawidłowości,</w:t>
      </w:r>
      <w:r w:rsidR="00201A9A" w:rsidRPr="00201A9A">
        <w:rPr>
          <w:noProof/>
        </w:rPr>
        <w:t xml:space="preserve"> a tak</w:t>
      </w:r>
      <w:r w:rsidR="00C63D0B" w:rsidRPr="00201A9A">
        <w:rPr>
          <w:noProof/>
        </w:rPr>
        <w:t>że działania następcze podjęte</w:t>
      </w:r>
      <w:r w:rsidR="00201A9A" w:rsidRPr="00201A9A">
        <w:rPr>
          <w:noProof/>
        </w:rPr>
        <w:t xml:space="preserve"> w zwi</w:t>
      </w:r>
      <w:r w:rsidR="00C63D0B" w:rsidRPr="00201A9A">
        <w:rPr>
          <w:noProof/>
        </w:rPr>
        <w:t>ązku</w:t>
      </w:r>
      <w:r w:rsidR="00201A9A" w:rsidRPr="00201A9A">
        <w:rPr>
          <w:noProof/>
        </w:rPr>
        <w:t xml:space="preserve"> z tak</w:t>
      </w:r>
      <w:r w:rsidR="00C63D0B" w:rsidRPr="00201A9A">
        <w:rPr>
          <w:noProof/>
        </w:rPr>
        <w:t>imi nieprawidłowościami oraz dochodzeniami prowadzonymi przez OLAF. Właściwe organy państw członkowskich uczestniczących we wzmocnionej współpracy</w:t>
      </w:r>
      <w:r w:rsidR="00201A9A" w:rsidRPr="00201A9A">
        <w:rPr>
          <w:noProof/>
        </w:rPr>
        <w:t xml:space="preserve"> w zak</w:t>
      </w:r>
      <w:r w:rsidR="00C63D0B" w:rsidRPr="00201A9A">
        <w:rPr>
          <w:noProof/>
        </w:rPr>
        <w:t>resie ustanowienia Prokuratury Europejskiej na podstawie rozporządzenia (UE) 2017/1939 powinny również bez zbędnej zwłoki zgłaszać Prokuraturze Europejskiej wszelkie czyny zabronione,</w:t>
      </w:r>
      <w:r w:rsidR="00201A9A" w:rsidRPr="00201A9A">
        <w:rPr>
          <w:noProof/>
        </w:rPr>
        <w:t xml:space="preserve"> w odn</w:t>
      </w:r>
      <w:r w:rsidR="00C63D0B" w:rsidRPr="00201A9A">
        <w:rPr>
          <w:noProof/>
        </w:rPr>
        <w:t>iesieniu do których mogłaby ona wykonywać swoją właściwość, zgodnie</w:t>
      </w:r>
      <w:r w:rsidR="00201A9A" w:rsidRPr="00201A9A">
        <w:rPr>
          <w:noProof/>
        </w:rPr>
        <w:t xml:space="preserve"> z roz</w:t>
      </w:r>
      <w:r w:rsidR="00C63D0B" w:rsidRPr="00201A9A">
        <w:rPr>
          <w:noProof/>
        </w:rPr>
        <w:t>porządzeniem (UE) 2017/1939. </w:t>
      </w:r>
    </w:p>
    <w:p w14:paraId="5D4DEF24" w14:textId="11E0E3FF" w:rsidR="00C63D0B" w:rsidRPr="00201A9A" w:rsidRDefault="00875961" w:rsidP="00875961">
      <w:pPr>
        <w:pStyle w:val="ManualConsidrant"/>
        <w:rPr>
          <w:noProof/>
        </w:rPr>
      </w:pPr>
      <w:r w:rsidRPr="00875961">
        <w:rPr>
          <w:noProof/>
        </w:rPr>
        <w:t>(53)</w:t>
      </w:r>
      <w:r w:rsidRPr="00875961">
        <w:rPr>
          <w:noProof/>
        </w:rPr>
        <w:tab/>
      </w:r>
      <w:r w:rsidR="00C63D0B" w:rsidRPr="00201A9A">
        <w:rPr>
          <w:noProof/>
        </w:rPr>
        <w:t>Aby zmniejszyć obciążenia administracyjne oraz koszty dla odbiorców unijnego finansowania,</w:t>
      </w:r>
      <w:r w:rsidR="00201A9A" w:rsidRPr="00201A9A">
        <w:rPr>
          <w:noProof/>
        </w:rPr>
        <w:t xml:space="preserve"> a tak</w:t>
      </w:r>
      <w:r w:rsidR="00C63D0B" w:rsidRPr="00201A9A">
        <w:rPr>
          <w:noProof/>
        </w:rPr>
        <w:t>że aby uniknąć powielania audytów</w:t>
      </w:r>
      <w:r w:rsidR="00201A9A" w:rsidRPr="00201A9A">
        <w:rPr>
          <w:noProof/>
        </w:rPr>
        <w:t xml:space="preserve"> i wer</w:t>
      </w:r>
      <w:r w:rsidR="00C63D0B" w:rsidRPr="00201A9A">
        <w:rPr>
          <w:noProof/>
        </w:rPr>
        <w:t>yfikacji zarządczych</w:t>
      </w:r>
      <w:r w:rsidR="00201A9A" w:rsidRPr="00201A9A">
        <w:rPr>
          <w:noProof/>
        </w:rPr>
        <w:t xml:space="preserve"> w odn</w:t>
      </w:r>
      <w:r w:rsidR="00C63D0B" w:rsidRPr="00201A9A">
        <w:rPr>
          <w:noProof/>
        </w:rPr>
        <w:t>iesieniu do tych samych środków, należy –</w:t>
      </w:r>
      <w:r w:rsidR="00201A9A" w:rsidRPr="00201A9A">
        <w:rPr>
          <w:noProof/>
        </w:rPr>
        <w:t xml:space="preserve"> w odn</w:t>
      </w:r>
      <w:r w:rsidR="00C63D0B" w:rsidRPr="00201A9A">
        <w:rPr>
          <w:noProof/>
        </w:rPr>
        <w:t>iesieniu do Funduszu – określić konkretne stosowanie zasady „jednego audytu”. Instytucja audytowa powinna przeprowadzać audyty</w:t>
      </w:r>
      <w:r w:rsidR="00201A9A" w:rsidRPr="00201A9A">
        <w:rPr>
          <w:noProof/>
        </w:rPr>
        <w:t xml:space="preserve"> i zap</w:t>
      </w:r>
      <w:r w:rsidR="00C63D0B" w:rsidRPr="00201A9A">
        <w:rPr>
          <w:noProof/>
        </w:rPr>
        <w:t>ewniać, aby opinie audytowe przedstawiane Komisji były wiarygodne. Opinia ta powinna dostarczyć Komisji pewności, że systemy zarządzania</w:t>
      </w:r>
      <w:r w:rsidR="00201A9A" w:rsidRPr="00201A9A">
        <w:rPr>
          <w:noProof/>
        </w:rPr>
        <w:t xml:space="preserve"> i kon</w:t>
      </w:r>
      <w:r w:rsidR="00C63D0B" w:rsidRPr="00201A9A">
        <w:rPr>
          <w:noProof/>
        </w:rPr>
        <w:t>troli państwa członkowskiego funkcjonują prawidłowo oraz że twierdzenia zawarte</w:t>
      </w:r>
      <w:r w:rsidR="00201A9A" w:rsidRPr="00201A9A">
        <w:rPr>
          <w:noProof/>
        </w:rPr>
        <w:t xml:space="preserve"> w dek</w:t>
      </w:r>
      <w:r w:rsidR="00C63D0B" w:rsidRPr="00201A9A">
        <w:rPr>
          <w:noProof/>
        </w:rPr>
        <w:t>laracji zarządczej przedłożonej przez jednostkę koordynującą są prawidłowe. </w:t>
      </w:r>
    </w:p>
    <w:p w14:paraId="11DC2613" w14:textId="7458E89E" w:rsidR="00C63D0B" w:rsidRPr="00201A9A" w:rsidRDefault="00875961" w:rsidP="00875961">
      <w:pPr>
        <w:pStyle w:val="ManualConsidrant"/>
        <w:rPr>
          <w:noProof/>
        </w:rPr>
      </w:pPr>
      <w:r w:rsidRPr="00875961">
        <w:rPr>
          <w:noProof/>
        </w:rPr>
        <w:t>(54)</w:t>
      </w:r>
      <w:r w:rsidRPr="00875961">
        <w:rPr>
          <w:noProof/>
        </w:rPr>
        <w:tab/>
      </w:r>
      <w:r w:rsidR="00C63D0B" w:rsidRPr="00201A9A">
        <w:rPr>
          <w:noProof/>
        </w:rPr>
        <w:t>Zgodnie</w:t>
      </w:r>
      <w:r w:rsidR="00201A9A" w:rsidRPr="00201A9A">
        <w:rPr>
          <w:noProof/>
        </w:rPr>
        <w:t xml:space="preserve"> z zas</w:t>
      </w:r>
      <w:r w:rsidR="00C63D0B" w:rsidRPr="00201A9A">
        <w:rPr>
          <w:noProof/>
        </w:rPr>
        <w:t>adą zarządzania dzielonego</w:t>
      </w:r>
      <w:r w:rsidR="00201A9A" w:rsidRPr="00201A9A">
        <w:rPr>
          <w:noProof/>
        </w:rPr>
        <w:t xml:space="preserve"> i reg</w:t>
      </w:r>
      <w:r w:rsidR="00C63D0B" w:rsidRPr="00201A9A">
        <w:rPr>
          <w:noProof/>
        </w:rPr>
        <w:t>ulującymi je przepisami państwa członkowskie</w:t>
      </w:r>
      <w:r w:rsidR="00201A9A" w:rsidRPr="00201A9A">
        <w:rPr>
          <w:noProof/>
        </w:rPr>
        <w:t xml:space="preserve"> i Kom</w:t>
      </w:r>
      <w:r w:rsidR="00C63D0B" w:rsidRPr="00201A9A">
        <w:rPr>
          <w:noProof/>
        </w:rPr>
        <w:t>isja powinny być odpowiedzialne za zarządzanie planami</w:t>
      </w:r>
      <w:r w:rsidR="00201A9A" w:rsidRPr="00201A9A">
        <w:rPr>
          <w:noProof/>
        </w:rPr>
        <w:t xml:space="preserve"> i ich</w:t>
      </w:r>
      <w:r w:rsidR="00C63D0B" w:rsidRPr="00201A9A">
        <w:rPr>
          <w:noProof/>
        </w:rPr>
        <w:t xml:space="preserve"> kontrolę oraz ręczyć za zgodne</w:t>
      </w:r>
      <w:r w:rsidR="00201A9A" w:rsidRPr="00201A9A">
        <w:rPr>
          <w:noProof/>
        </w:rPr>
        <w:t xml:space="preserve"> z pra</w:t>
      </w:r>
      <w:r w:rsidR="00C63D0B" w:rsidRPr="00201A9A">
        <w:rPr>
          <w:noProof/>
        </w:rPr>
        <w:t>wem</w:t>
      </w:r>
      <w:r w:rsidR="00201A9A" w:rsidRPr="00201A9A">
        <w:rPr>
          <w:noProof/>
        </w:rPr>
        <w:t xml:space="preserve"> i pra</w:t>
      </w:r>
      <w:r w:rsidR="00C63D0B" w:rsidRPr="00201A9A">
        <w:rPr>
          <w:noProof/>
        </w:rPr>
        <w:t>widłowe wykorzystanie środków finansowych Unii. Jako że na państwach członkowskich spoczywa główna odpowiedzialność za takie zarządzanie</w:t>
      </w:r>
      <w:r w:rsidR="00201A9A" w:rsidRPr="00201A9A">
        <w:rPr>
          <w:noProof/>
        </w:rPr>
        <w:t xml:space="preserve"> i kon</w:t>
      </w:r>
      <w:r w:rsidR="00C63D0B" w:rsidRPr="00201A9A">
        <w:rPr>
          <w:noProof/>
        </w:rPr>
        <w:t>trolę, powinny one dopilnować, by operacje wspierane</w:t>
      </w:r>
      <w:r w:rsidR="00201A9A" w:rsidRPr="00201A9A">
        <w:rPr>
          <w:noProof/>
        </w:rPr>
        <w:t xml:space="preserve"> z Fun</w:t>
      </w:r>
      <w:r w:rsidR="00C63D0B" w:rsidRPr="00201A9A">
        <w:rPr>
          <w:noProof/>
        </w:rPr>
        <w:t>duszy były zgodne</w:t>
      </w:r>
      <w:r w:rsidR="00201A9A" w:rsidRPr="00201A9A">
        <w:rPr>
          <w:noProof/>
        </w:rPr>
        <w:t xml:space="preserve"> z maj</w:t>
      </w:r>
      <w:r w:rsidR="00C63D0B" w:rsidRPr="00201A9A">
        <w:rPr>
          <w:noProof/>
        </w:rPr>
        <w:t>ącym zastosowanie prawem,</w:t>
      </w:r>
      <w:r w:rsidR="00201A9A" w:rsidRPr="00201A9A">
        <w:rPr>
          <w:noProof/>
        </w:rPr>
        <w:t xml:space="preserve"> w tym</w:t>
      </w:r>
      <w:r w:rsidR="00C63D0B" w:rsidRPr="00201A9A">
        <w:rPr>
          <w:noProof/>
        </w:rPr>
        <w:t xml:space="preserve"> znajdującymi zastosowanie przepisami</w:t>
      </w:r>
      <w:r w:rsidR="00201A9A" w:rsidRPr="00201A9A">
        <w:rPr>
          <w:noProof/>
        </w:rPr>
        <w:t xml:space="preserve"> w spr</w:t>
      </w:r>
      <w:r w:rsidR="00C63D0B" w:rsidRPr="00201A9A">
        <w:rPr>
          <w:noProof/>
        </w:rPr>
        <w:t>awie zamówień publicznych</w:t>
      </w:r>
      <w:r w:rsidR="00201A9A" w:rsidRPr="00201A9A">
        <w:rPr>
          <w:noProof/>
        </w:rPr>
        <w:t xml:space="preserve"> i zas</w:t>
      </w:r>
      <w:r w:rsidR="00C63D0B" w:rsidRPr="00201A9A">
        <w:rPr>
          <w:noProof/>
        </w:rPr>
        <w:t xml:space="preserve">adami pomocy państwa. </w:t>
      </w:r>
    </w:p>
    <w:p w14:paraId="45AD7341" w14:textId="25B037C9" w:rsidR="00C63D0B" w:rsidRPr="00201A9A" w:rsidRDefault="00875961" w:rsidP="00875961">
      <w:pPr>
        <w:pStyle w:val="ManualConsidrant"/>
        <w:rPr>
          <w:noProof/>
        </w:rPr>
      </w:pPr>
      <w:r w:rsidRPr="00875961">
        <w:rPr>
          <w:noProof/>
        </w:rPr>
        <w:t>(55)</w:t>
      </w:r>
      <w:r w:rsidRPr="00875961">
        <w:rPr>
          <w:noProof/>
        </w:rPr>
        <w:tab/>
      </w:r>
      <w:r w:rsidR="5BAD2D04" w:rsidRPr="00201A9A">
        <w:rPr>
          <w:noProof/>
        </w:rPr>
        <w:t>Procedury wyboru operacji stosowane przez państwa członkowskie mogą być konkurencyjne lub niekonkurencyjne, pod warunkiem że stosowane kryteria</w:t>
      </w:r>
      <w:r w:rsidR="00201A9A" w:rsidRPr="00201A9A">
        <w:rPr>
          <w:noProof/>
        </w:rPr>
        <w:t xml:space="preserve"> i pro</w:t>
      </w:r>
      <w:r w:rsidR="5BAD2D04" w:rsidRPr="00201A9A">
        <w:rPr>
          <w:noProof/>
        </w:rPr>
        <w:t>cedury są niedyskryminacyjne, inkluzywne, dostępne</w:t>
      </w:r>
      <w:r w:rsidR="00201A9A" w:rsidRPr="00201A9A">
        <w:rPr>
          <w:noProof/>
        </w:rPr>
        <w:t xml:space="preserve"> w sto</w:t>
      </w:r>
      <w:r w:rsidR="5BAD2D04" w:rsidRPr="00201A9A">
        <w:rPr>
          <w:noProof/>
        </w:rPr>
        <w:t>sownych przypadkach dla osób</w:t>
      </w:r>
      <w:r w:rsidR="00201A9A" w:rsidRPr="00201A9A">
        <w:rPr>
          <w:noProof/>
        </w:rPr>
        <w:t xml:space="preserve"> z nie</w:t>
      </w:r>
      <w:r w:rsidR="5BAD2D04" w:rsidRPr="00201A9A">
        <w:rPr>
          <w:noProof/>
        </w:rPr>
        <w:t>pełnosprawnościami</w:t>
      </w:r>
      <w:r w:rsidR="00201A9A" w:rsidRPr="00201A9A">
        <w:rPr>
          <w:noProof/>
        </w:rPr>
        <w:t xml:space="preserve"> i prz</w:t>
      </w:r>
      <w:r w:rsidR="5BAD2D04" w:rsidRPr="00201A9A">
        <w:rPr>
          <w:noProof/>
        </w:rPr>
        <w:t>ejrzyste,</w:t>
      </w:r>
      <w:r w:rsidR="00201A9A" w:rsidRPr="00201A9A">
        <w:rPr>
          <w:noProof/>
        </w:rPr>
        <w:t xml:space="preserve"> z uwz</w:t>
      </w:r>
      <w:r w:rsidR="5BAD2D04" w:rsidRPr="00201A9A">
        <w:rPr>
          <w:noProof/>
        </w:rPr>
        <w:t>ględnieniem Karty praw podstawowych Unii Europejskiej, oraz że wybrane operacje maksymalizują wkład finansowy Unii i są zgodne</w:t>
      </w:r>
      <w:r w:rsidR="00201A9A" w:rsidRPr="00201A9A">
        <w:rPr>
          <w:noProof/>
        </w:rPr>
        <w:t xml:space="preserve"> z zas</w:t>
      </w:r>
      <w:r w:rsidR="5BAD2D04" w:rsidRPr="00201A9A">
        <w:rPr>
          <w:noProof/>
        </w:rPr>
        <w:t>adami horyzontalnymi określonymi</w:t>
      </w:r>
      <w:r w:rsidR="00201A9A" w:rsidRPr="00201A9A">
        <w:rPr>
          <w:noProof/>
        </w:rPr>
        <w:t xml:space="preserve"> w nin</w:t>
      </w:r>
      <w:r w:rsidR="5BAD2D04" w:rsidRPr="00201A9A">
        <w:rPr>
          <w:noProof/>
        </w:rPr>
        <w:t xml:space="preserve">iejszym rozporządzeniu. </w:t>
      </w:r>
    </w:p>
    <w:p w14:paraId="2A2B61FA" w14:textId="1C6D3C55" w:rsidR="00C63D0B" w:rsidRPr="00201A9A" w:rsidRDefault="00875961" w:rsidP="00875961">
      <w:pPr>
        <w:pStyle w:val="ManualConsidrant"/>
        <w:rPr>
          <w:noProof/>
        </w:rPr>
      </w:pPr>
      <w:r w:rsidRPr="00875961">
        <w:rPr>
          <w:noProof/>
        </w:rPr>
        <w:t>(56)</w:t>
      </w:r>
      <w:r w:rsidRPr="00875961">
        <w:rPr>
          <w:noProof/>
        </w:rPr>
        <w:tab/>
      </w:r>
      <w:r w:rsidR="00C63D0B" w:rsidRPr="00201A9A">
        <w:rPr>
          <w:noProof/>
        </w:rPr>
        <w:t>W celu zapewnienia poszanowania zasady należytego zarządzania finansami państwa członkowskie powinny dopilnować, aby kwota szacunkowych łącznych kosztów ich planów PKR pozostawała racjonalna</w:t>
      </w:r>
      <w:r w:rsidR="00201A9A" w:rsidRPr="00201A9A">
        <w:rPr>
          <w:noProof/>
        </w:rPr>
        <w:t xml:space="preserve"> i wia</w:t>
      </w:r>
      <w:r w:rsidR="00C63D0B" w:rsidRPr="00201A9A">
        <w:rPr>
          <w:noProof/>
        </w:rPr>
        <w:t>rygodna przez cały okres jego realizacji, oraz</w:t>
      </w:r>
      <w:r w:rsidR="00201A9A" w:rsidRPr="00201A9A">
        <w:rPr>
          <w:noProof/>
        </w:rPr>
        <w:t xml:space="preserve"> w raz</w:t>
      </w:r>
      <w:r w:rsidR="00C63D0B" w:rsidRPr="00201A9A">
        <w:rPr>
          <w:noProof/>
        </w:rPr>
        <w:t>ie potrzeby wystąpić</w:t>
      </w:r>
      <w:r w:rsidR="00201A9A" w:rsidRPr="00201A9A">
        <w:rPr>
          <w:noProof/>
        </w:rPr>
        <w:t xml:space="preserve"> o zmi</w:t>
      </w:r>
      <w:r w:rsidR="00C63D0B" w:rsidRPr="00201A9A">
        <w:rPr>
          <w:noProof/>
        </w:rPr>
        <w:t>anę swoich planów PKR. Model realizacji Funduszu powinien mieć na celu zapewnienie przewidywalności</w:t>
      </w:r>
      <w:r w:rsidR="00201A9A" w:rsidRPr="00201A9A">
        <w:rPr>
          <w:noProof/>
        </w:rPr>
        <w:t xml:space="preserve"> i spó</w:t>
      </w:r>
      <w:r w:rsidR="00C63D0B" w:rsidRPr="00201A9A">
        <w:rPr>
          <w:noProof/>
        </w:rPr>
        <w:t>jności między poziomami płatności</w:t>
      </w:r>
      <w:r w:rsidR="00201A9A" w:rsidRPr="00201A9A">
        <w:rPr>
          <w:noProof/>
        </w:rPr>
        <w:t xml:space="preserve"> a ind</w:t>
      </w:r>
      <w:r w:rsidR="00C63D0B" w:rsidRPr="00201A9A">
        <w:rPr>
          <w:noProof/>
        </w:rPr>
        <w:t xml:space="preserve">ywidualnym tempem wdrażania każdego środka poprzez przypisanie wartości wypłat </w:t>
      </w:r>
      <w:r w:rsidR="00C63D0B" w:rsidRPr="00201A9A">
        <w:rPr>
          <w:i/>
          <w:noProof/>
        </w:rPr>
        <w:t>ex ante</w:t>
      </w:r>
      <w:r w:rsidR="00C63D0B" w:rsidRPr="00201A9A">
        <w:rPr>
          <w:noProof/>
        </w:rPr>
        <w:t xml:space="preserve"> do każdego kamienia milowego</w:t>
      </w:r>
      <w:r w:rsidR="00201A9A" w:rsidRPr="00201A9A">
        <w:rPr>
          <w:noProof/>
        </w:rPr>
        <w:t xml:space="preserve"> i każ</w:t>
      </w:r>
      <w:r w:rsidR="00C63D0B" w:rsidRPr="00201A9A">
        <w:rPr>
          <w:noProof/>
        </w:rPr>
        <w:t>dej wartości docelowej. Ponadto</w:t>
      </w:r>
      <w:r w:rsidR="00201A9A" w:rsidRPr="00201A9A">
        <w:rPr>
          <w:noProof/>
        </w:rPr>
        <w:t xml:space="preserve"> w ram</w:t>
      </w:r>
      <w:r w:rsidR="00C63D0B" w:rsidRPr="00201A9A">
        <w:rPr>
          <w:noProof/>
        </w:rPr>
        <w:t>ach przeglądu śródokresowego państwo członkowskie powinno przeprowadzić przegląd szacunkowych łącznych kosztów reform</w:t>
      </w:r>
      <w:r w:rsidR="00201A9A" w:rsidRPr="00201A9A">
        <w:rPr>
          <w:noProof/>
        </w:rPr>
        <w:t xml:space="preserve"> i inw</w:t>
      </w:r>
      <w:r w:rsidR="00C63D0B" w:rsidRPr="00201A9A">
        <w:rPr>
          <w:noProof/>
        </w:rPr>
        <w:t>estycji oraz innych interwencji objętych planem PKR, wraz</w:t>
      </w:r>
      <w:r w:rsidR="00201A9A" w:rsidRPr="00201A9A">
        <w:rPr>
          <w:noProof/>
        </w:rPr>
        <w:t xml:space="preserve"> z odp</w:t>
      </w:r>
      <w:r w:rsidR="00C63D0B" w:rsidRPr="00201A9A">
        <w:rPr>
          <w:noProof/>
        </w:rPr>
        <w:t>owiednimi dostosowaniami</w:t>
      </w:r>
      <w:r w:rsidR="00201A9A" w:rsidRPr="00201A9A">
        <w:rPr>
          <w:noProof/>
        </w:rPr>
        <w:t xml:space="preserve"> w uza</w:t>
      </w:r>
      <w:r w:rsidR="00C63D0B" w:rsidRPr="00201A9A">
        <w:rPr>
          <w:noProof/>
        </w:rPr>
        <w:t>sadnionych przypadkach. Ponadto, przedkładając ostateczny roczny pakiet dokumentów dotyczących poświadczenia wiarygodności za ostatni rok budżetowy, państwo członkowskie powinno potwierdzić, że łączna kwota płatności od Komisji nie przekracza całkowitej kwoty wypłaconej przez państwo członkowskie beneficjentom</w:t>
      </w:r>
      <w:r w:rsidR="00201A9A" w:rsidRPr="00201A9A">
        <w:rPr>
          <w:noProof/>
        </w:rPr>
        <w:t xml:space="preserve"> w ram</w:t>
      </w:r>
      <w:r w:rsidR="00C63D0B" w:rsidRPr="00201A9A">
        <w:rPr>
          <w:noProof/>
        </w:rPr>
        <w:t>ach realizacji planu,</w:t>
      </w:r>
      <w:r w:rsidR="00201A9A" w:rsidRPr="00201A9A">
        <w:rPr>
          <w:noProof/>
        </w:rPr>
        <w:t xml:space="preserve"> z uwz</w:t>
      </w:r>
      <w:r w:rsidR="00C63D0B" w:rsidRPr="00201A9A">
        <w:rPr>
          <w:noProof/>
        </w:rPr>
        <w:t>ględnieniem wkładu krajowego</w:t>
      </w:r>
      <w:r w:rsidR="00201A9A" w:rsidRPr="00201A9A">
        <w:rPr>
          <w:noProof/>
        </w:rPr>
        <w:t>. Z tyc</w:t>
      </w:r>
      <w:r w:rsidR="00C63D0B" w:rsidRPr="00201A9A">
        <w:rPr>
          <w:noProof/>
        </w:rPr>
        <w:t>h samych względów należytego zarządzania finansami Komisja powinna mieć możliwość odzyskania kwot uprzednio wypłaconych</w:t>
      </w:r>
      <w:r w:rsidR="00201A9A" w:rsidRPr="00201A9A">
        <w:rPr>
          <w:noProof/>
        </w:rPr>
        <w:t xml:space="preserve"> w zwi</w:t>
      </w:r>
      <w:r w:rsidR="00C63D0B" w:rsidRPr="00201A9A">
        <w:rPr>
          <w:noProof/>
        </w:rPr>
        <w:t>ązku</w:t>
      </w:r>
      <w:r w:rsidR="00201A9A" w:rsidRPr="00201A9A">
        <w:rPr>
          <w:noProof/>
        </w:rPr>
        <w:t xml:space="preserve"> z eta</w:t>
      </w:r>
      <w:r w:rsidR="00C63D0B" w:rsidRPr="00201A9A">
        <w:rPr>
          <w:noProof/>
        </w:rPr>
        <w:t>pami przejściowymi środka, jeżeli nie osiągnięto ostatecznego kamienia milowego lub wartości docelowej danego środka, oraz podjęcia działań</w:t>
      </w:r>
      <w:r w:rsidR="00201A9A" w:rsidRPr="00201A9A">
        <w:rPr>
          <w:noProof/>
        </w:rPr>
        <w:t xml:space="preserve"> w prz</w:t>
      </w:r>
      <w:r w:rsidR="00C63D0B" w:rsidRPr="00201A9A">
        <w:rPr>
          <w:noProof/>
        </w:rPr>
        <w:t>ypadku odwrócenia kamienia milowego lub wartości docelowej mających miejsce</w:t>
      </w:r>
      <w:r w:rsidR="00201A9A" w:rsidRPr="00201A9A">
        <w:rPr>
          <w:noProof/>
        </w:rPr>
        <w:t xml:space="preserve"> w okr</w:t>
      </w:r>
      <w:r w:rsidR="00C63D0B" w:rsidRPr="00201A9A">
        <w:rPr>
          <w:noProof/>
        </w:rPr>
        <w:t xml:space="preserve">esie do pięciu lat od daty odpowiedniej płatności Komisji. </w:t>
      </w:r>
    </w:p>
    <w:p w14:paraId="5D5A73BC" w14:textId="34FE5770" w:rsidR="00C63D0B" w:rsidRPr="00201A9A" w:rsidRDefault="00875961" w:rsidP="00875961">
      <w:pPr>
        <w:pStyle w:val="ManualConsidrant"/>
        <w:rPr>
          <w:noProof/>
        </w:rPr>
      </w:pPr>
      <w:r w:rsidRPr="00875961">
        <w:rPr>
          <w:noProof/>
        </w:rPr>
        <w:t>(57)</w:t>
      </w:r>
      <w:r w:rsidRPr="00875961">
        <w:rPr>
          <w:noProof/>
        </w:rPr>
        <w:tab/>
      </w:r>
      <w:r w:rsidR="0037160D" w:rsidRPr="00201A9A">
        <w:rPr>
          <w:noProof/>
        </w:rPr>
        <w:t>W celu znacznego uproszczenia procedur</w:t>
      </w:r>
      <w:r w:rsidR="00201A9A" w:rsidRPr="00201A9A">
        <w:rPr>
          <w:noProof/>
        </w:rPr>
        <w:t xml:space="preserve"> i zmn</w:t>
      </w:r>
      <w:r w:rsidR="0037160D" w:rsidRPr="00201A9A">
        <w:rPr>
          <w:noProof/>
        </w:rPr>
        <w:t>iejszenia obciążeń administracyjnych dla odbiorców, państw członkowskich</w:t>
      </w:r>
      <w:r w:rsidR="00201A9A" w:rsidRPr="00201A9A">
        <w:rPr>
          <w:noProof/>
        </w:rPr>
        <w:t xml:space="preserve"> i Kom</w:t>
      </w:r>
      <w:r w:rsidR="0037160D" w:rsidRPr="00201A9A">
        <w:rPr>
          <w:noProof/>
        </w:rPr>
        <w:t>isji, przy jednoczesnym zapewnieniu solidnych zabezpieczeń</w:t>
      </w:r>
      <w:r w:rsidR="00201A9A" w:rsidRPr="00201A9A">
        <w:rPr>
          <w:noProof/>
        </w:rPr>
        <w:t xml:space="preserve"> w zak</w:t>
      </w:r>
      <w:r w:rsidR="0037160D" w:rsidRPr="00201A9A">
        <w:rPr>
          <w:noProof/>
        </w:rPr>
        <w:t>resie regularnego</w:t>
      </w:r>
      <w:r w:rsidR="00201A9A" w:rsidRPr="00201A9A">
        <w:rPr>
          <w:noProof/>
        </w:rPr>
        <w:t xml:space="preserve"> i sku</w:t>
      </w:r>
      <w:r w:rsidR="0037160D" w:rsidRPr="00201A9A">
        <w:rPr>
          <w:noProof/>
        </w:rPr>
        <w:t>tecznego wykorzystania środków finansowych Unii,</w:t>
      </w:r>
      <w:r w:rsidR="00201A9A" w:rsidRPr="00201A9A">
        <w:rPr>
          <w:noProof/>
        </w:rPr>
        <w:t xml:space="preserve"> w pla</w:t>
      </w:r>
      <w:r w:rsidR="0037160D" w:rsidRPr="00201A9A">
        <w:rPr>
          <w:noProof/>
        </w:rPr>
        <w:t>nach PKR należy uwzględnić środki ułatwiające wdrażanie, zarówno podczas opracowywania, jak</w:t>
      </w:r>
      <w:r w:rsidR="00201A9A" w:rsidRPr="00201A9A">
        <w:rPr>
          <w:noProof/>
        </w:rPr>
        <w:t xml:space="preserve"> i wyk</w:t>
      </w:r>
      <w:r w:rsidR="0037160D" w:rsidRPr="00201A9A">
        <w:rPr>
          <w:noProof/>
        </w:rPr>
        <w:t>onania przepisów dotyczących monitorowania. Takie elementy powinny obejmować na przykład zapewnienie pomocy technicznej oraz wsparcia państwom członkowskim, ograniczenie powielania kontroli poprzez stosowanie podejścia opartego na zasadzie jednego audytu oraz odejście od kontroli faktur</w:t>
      </w:r>
      <w:r w:rsidR="00201A9A" w:rsidRPr="00201A9A">
        <w:rPr>
          <w:noProof/>
        </w:rPr>
        <w:t xml:space="preserve"> w cel</w:t>
      </w:r>
      <w:r w:rsidR="0037160D" w:rsidRPr="00201A9A">
        <w:rPr>
          <w:noProof/>
        </w:rPr>
        <w:t>u skoncentrowania się na rzeczywistych wynikach. Nie należy</w:t>
      </w:r>
      <w:r w:rsidR="00201A9A" w:rsidRPr="00201A9A">
        <w:rPr>
          <w:noProof/>
        </w:rPr>
        <w:t xml:space="preserve"> w zwi</w:t>
      </w:r>
      <w:r w:rsidR="0037160D" w:rsidRPr="00201A9A">
        <w:rPr>
          <w:noProof/>
        </w:rPr>
        <w:t>ązku</w:t>
      </w:r>
      <w:r w:rsidR="00201A9A" w:rsidRPr="00201A9A">
        <w:rPr>
          <w:noProof/>
        </w:rPr>
        <w:t xml:space="preserve"> z tym</w:t>
      </w:r>
      <w:r w:rsidR="0037160D" w:rsidRPr="00201A9A">
        <w:rPr>
          <w:noProof/>
        </w:rPr>
        <w:t xml:space="preserve"> oczekiwać od krajowych instytucji audytowych ani od Komisji weryfikacji podstawowych kosztów operacji do celów ich działań audytowych</w:t>
      </w:r>
      <w:r w:rsidR="00201A9A" w:rsidRPr="00201A9A">
        <w:rPr>
          <w:noProof/>
        </w:rPr>
        <w:t>. W cel</w:t>
      </w:r>
      <w:r w:rsidR="0037160D" w:rsidRPr="00201A9A">
        <w:rPr>
          <w:noProof/>
        </w:rPr>
        <w:t>u uproszczenia, pomoc techniczna powinna być udzielana przez cały okres realizacji</w:t>
      </w:r>
      <w:r w:rsidR="00201A9A" w:rsidRPr="00201A9A">
        <w:rPr>
          <w:noProof/>
        </w:rPr>
        <w:t xml:space="preserve"> w for</w:t>
      </w:r>
      <w:r w:rsidR="0037160D" w:rsidRPr="00201A9A">
        <w:rPr>
          <w:noProof/>
        </w:rPr>
        <w:t>mie stawki ryczałtowej mającej zastosowanie do wszystkich płatności. Fundusz powinien również zapewniać wystarczającą elastyczność, czy to dzięki usprawnionym procedurom zmiany planów, czy też dzięki lepszej reakcji na nieprzewidziane kryzysy za pomocą wielu mechanizmów umożliwiających mobilizację zasobów na takie wydarzenia, takich jak przegląd planu, kwota elastyczności lub dostęp do instrumentu. Fundusz powinien również umożliwiać państwom członkowskim samodzielne decydowanie</w:t>
      </w:r>
      <w:r w:rsidR="00201A9A" w:rsidRPr="00201A9A">
        <w:rPr>
          <w:noProof/>
        </w:rPr>
        <w:t xml:space="preserve"> o tym</w:t>
      </w:r>
      <w:r w:rsidR="0037160D" w:rsidRPr="00201A9A">
        <w:rPr>
          <w:noProof/>
        </w:rPr>
        <w:t xml:space="preserve"> które kamienie milowe</w:t>
      </w:r>
      <w:r w:rsidR="00201A9A" w:rsidRPr="00201A9A">
        <w:rPr>
          <w:noProof/>
        </w:rPr>
        <w:t xml:space="preserve"> i war</w:t>
      </w:r>
      <w:r w:rsidR="0037160D" w:rsidRPr="00201A9A">
        <w:rPr>
          <w:noProof/>
        </w:rPr>
        <w:t>tości docelowe należy wskazywać</w:t>
      </w:r>
      <w:r w:rsidR="00201A9A" w:rsidRPr="00201A9A">
        <w:rPr>
          <w:noProof/>
        </w:rPr>
        <w:t xml:space="preserve"> w każ</w:t>
      </w:r>
      <w:r w:rsidR="0037160D" w:rsidRPr="00201A9A">
        <w:rPr>
          <w:noProof/>
        </w:rPr>
        <w:t>dym wniosku</w:t>
      </w:r>
      <w:r w:rsidR="00201A9A" w:rsidRPr="00201A9A">
        <w:rPr>
          <w:noProof/>
        </w:rPr>
        <w:t xml:space="preserve"> o pła</w:t>
      </w:r>
      <w:r w:rsidR="0037160D" w:rsidRPr="00201A9A">
        <w:rPr>
          <w:noProof/>
        </w:rPr>
        <w:t>tność,</w:t>
      </w:r>
      <w:r w:rsidR="00201A9A" w:rsidRPr="00201A9A">
        <w:rPr>
          <w:noProof/>
        </w:rPr>
        <w:t xml:space="preserve"> w zal</w:t>
      </w:r>
      <w:r w:rsidR="0037160D" w:rsidRPr="00201A9A">
        <w:rPr>
          <w:noProof/>
        </w:rPr>
        <w:t>eżności od tempa ich realizacji. Aby zapewnić regularne wypłaty</w:t>
      </w:r>
      <w:r w:rsidR="00201A9A" w:rsidRPr="00201A9A">
        <w:rPr>
          <w:noProof/>
        </w:rPr>
        <w:t xml:space="preserve"> i ter</w:t>
      </w:r>
      <w:r w:rsidR="0037160D" w:rsidRPr="00201A9A">
        <w:rPr>
          <w:noProof/>
        </w:rPr>
        <w:t>minową realizację celów Unii</w:t>
      </w:r>
      <w:r w:rsidR="00201A9A" w:rsidRPr="00201A9A">
        <w:rPr>
          <w:noProof/>
        </w:rPr>
        <w:t xml:space="preserve"> w ter</w:t>
      </w:r>
      <w:r w:rsidR="0037160D" w:rsidRPr="00201A9A">
        <w:rPr>
          <w:noProof/>
        </w:rPr>
        <w:t>enie, zgodnie</w:t>
      </w:r>
      <w:r w:rsidR="00201A9A" w:rsidRPr="00201A9A">
        <w:rPr>
          <w:noProof/>
        </w:rPr>
        <w:t xml:space="preserve"> z zas</w:t>
      </w:r>
      <w:r w:rsidR="0037160D" w:rsidRPr="00201A9A">
        <w:rPr>
          <w:noProof/>
        </w:rPr>
        <w:t>adą corocznego umorzenia państwa członkowskie powinny przedkładać regularne wnioski</w:t>
      </w:r>
      <w:r w:rsidR="00201A9A" w:rsidRPr="00201A9A">
        <w:rPr>
          <w:noProof/>
        </w:rPr>
        <w:t xml:space="preserve"> o pła</w:t>
      </w:r>
      <w:r w:rsidR="0037160D" w:rsidRPr="00201A9A">
        <w:rPr>
          <w:noProof/>
        </w:rPr>
        <w:t>tności na wystarczająco duże kwoty.</w:t>
      </w:r>
    </w:p>
    <w:p w14:paraId="7216CACF" w14:textId="6F15DE4E" w:rsidR="004A203C" w:rsidRPr="00201A9A" w:rsidRDefault="00875961" w:rsidP="00875961">
      <w:pPr>
        <w:pStyle w:val="ManualConsidrant"/>
        <w:rPr>
          <w:noProof/>
        </w:rPr>
      </w:pPr>
      <w:r w:rsidRPr="00875961">
        <w:rPr>
          <w:noProof/>
        </w:rPr>
        <w:t>(58)</w:t>
      </w:r>
      <w:r w:rsidRPr="00875961">
        <w:rPr>
          <w:noProof/>
        </w:rPr>
        <w:tab/>
      </w:r>
      <w:r w:rsidR="004A203C" w:rsidRPr="00201A9A">
        <w:rPr>
          <w:noProof/>
        </w:rPr>
        <w:t>Społeczny Fundusz Klimatyczny ustanowiony rozporządzeniem Parlamentu Europejskiego</w:t>
      </w:r>
      <w:r w:rsidR="00201A9A" w:rsidRPr="00201A9A">
        <w:rPr>
          <w:noProof/>
        </w:rPr>
        <w:t xml:space="preserve"> i Rad</w:t>
      </w:r>
      <w:r w:rsidR="004A203C" w:rsidRPr="00201A9A">
        <w:rPr>
          <w:noProof/>
        </w:rPr>
        <w:t>y (UE) 2023/955</w:t>
      </w:r>
      <w:r w:rsidR="00201A9A" w:rsidRPr="00201A9A">
        <w:rPr>
          <w:noProof/>
        </w:rPr>
        <w:t xml:space="preserve"> z dni</w:t>
      </w:r>
      <w:r w:rsidR="004A203C" w:rsidRPr="00201A9A">
        <w:rPr>
          <w:noProof/>
        </w:rPr>
        <w:t>a 10 maja 2023</w:t>
      </w:r>
      <w:r w:rsidR="00201A9A" w:rsidRPr="00201A9A">
        <w:rPr>
          <w:noProof/>
        </w:rPr>
        <w:t> </w:t>
      </w:r>
      <w:r w:rsidR="004A203C" w:rsidRPr="00201A9A">
        <w:rPr>
          <w:noProof/>
        </w:rPr>
        <w:t>r.</w:t>
      </w:r>
      <w:r w:rsidR="004A203C" w:rsidRPr="00201A9A">
        <w:rPr>
          <w:rStyle w:val="FootnoteReference"/>
          <w:noProof/>
        </w:rPr>
        <w:footnoteReference w:id="13"/>
      </w:r>
      <w:r w:rsidR="004A203C" w:rsidRPr="00201A9A">
        <w:rPr>
          <w:noProof/>
        </w:rPr>
        <w:t xml:space="preserve"> realizuje podobne cele</w:t>
      </w:r>
      <w:r w:rsidR="00201A9A" w:rsidRPr="00201A9A">
        <w:rPr>
          <w:noProof/>
        </w:rPr>
        <w:t xml:space="preserve"> i wsp</w:t>
      </w:r>
      <w:r w:rsidR="004A203C" w:rsidRPr="00201A9A">
        <w:rPr>
          <w:noProof/>
        </w:rPr>
        <w:t>iera podobne działania</w:t>
      </w:r>
      <w:r w:rsidR="00201A9A" w:rsidRPr="00201A9A">
        <w:rPr>
          <w:noProof/>
        </w:rPr>
        <w:t xml:space="preserve"> o por</w:t>
      </w:r>
      <w:r w:rsidR="004A203C" w:rsidRPr="00201A9A">
        <w:rPr>
          <w:noProof/>
        </w:rPr>
        <w:t>ównywalnym harmonogramie wdrażania</w:t>
      </w:r>
      <w:r w:rsidR="00201A9A" w:rsidRPr="00201A9A">
        <w:rPr>
          <w:noProof/>
        </w:rPr>
        <w:t>. W zwi</w:t>
      </w:r>
      <w:r w:rsidR="004A203C" w:rsidRPr="00201A9A">
        <w:rPr>
          <w:noProof/>
        </w:rPr>
        <w:t>ązku</w:t>
      </w:r>
      <w:r w:rsidR="00201A9A" w:rsidRPr="00201A9A">
        <w:rPr>
          <w:noProof/>
        </w:rPr>
        <w:t xml:space="preserve"> z tym</w:t>
      </w:r>
      <w:r w:rsidR="004A203C" w:rsidRPr="00201A9A">
        <w:rPr>
          <w:noProof/>
        </w:rPr>
        <w:t xml:space="preserve"> plany społeczno-klimatyczne należy włączać do krajowych planów PKR począwszy od</w:t>
      </w:r>
      <w:r w:rsidR="00201A9A" w:rsidRPr="00201A9A">
        <w:rPr>
          <w:noProof/>
        </w:rPr>
        <w:t> </w:t>
      </w:r>
      <w:r w:rsidR="004A203C" w:rsidRPr="00201A9A">
        <w:rPr>
          <w:noProof/>
        </w:rPr>
        <w:t>2028</w:t>
      </w:r>
      <w:r w:rsidR="00201A9A" w:rsidRPr="00201A9A">
        <w:rPr>
          <w:noProof/>
        </w:rPr>
        <w:t> </w:t>
      </w:r>
      <w:r w:rsidR="004A203C" w:rsidRPr="00201A9A">
        <w:rPr>
          <w:noProof/>
        </w:rPr>
        <w:t>r. Powinno to umożliwić bardziej efektywne wykorzystanie środków finansowych Unii oraz przyczynić się do skuteczniejszej</w:t>
      </w:r>
      <w:r w:rsidR="00201A9A" w:rsidRPr="00201A9A">
        <w:rPr>
          <w:noProof/>
        </w:rPr>
        <w:t xml:space="preserve"> i spó</w:t>
      </w:r>
      <w:r w:rsidR="004A203C" w:rsidRPr="00201A9A">
        <w:rPr>
          <w:noProof/>
        </w:rPr>
        <w:t>jniejszej realizacji celów Funduszu. Pozwoliłoby to uniknąć równoległego prowadzenia podobnych systemów</w:t>
      </w:r>
      <w:r w:rsidR="00201A9A" w:rsidRPr="00201A9A">
        <w:rPr>
          <w:noProof/>
        </w:rPr>
        <w:t xml:space="preserve"> i pro</w:t>
      </w:r>
      <w:r w:rsidR="004A203C" w:rsidRPr="00201A9A">
        <w:rPr>
          <w:noProof/>
        </w:rPr>
        <w:t>cesów,</w:t>
      </w:r>
      <w:r w:rsidR="00201A9A" w:rsidRPr="00201A9A">
        <w:rPr>
          <w:noProof/>
        </w:rPr>
        <w:t xml:space="preserve"> a tym</w:t>
      </w:r>
      <w:r w:rsidR="004A203C" w:rsidRPr="00201A9A">
        <w:rPr>
          <w:noProof/>
        </w:rPr>
        <w:t xml:space="preserve"> samy przyniosłoby wyraźne korzyści pod względem lepszego planowania polityki, spójności polityki</w:t>
      </w:r>
      <w:r w:rsidR="00201A9A" w:rsidRPr="00201A9A">
        <w:rPr>
          <w:noProof/>
        </w:rPr>
        <w:t xml:space="preserve"> i wys</w:t>
      </w:r>
      <w:r w:rsidR="004A203C" w:rsidRPr="00201A9A">
        <w:rPr>
          <w:noProof/>
        </w:rPr>
        <w:t>iłków na rzecz uproszczenia. Powinno to również zagwarantować stosowanie wspólnych zasad,</w:t>
      </w:r>
      <w:r w:rsidR="00201A9A" w:rsidRPr="00201A9A">
        <w:rPr>
          <w:noProof/>
        </w:rPr>
        <w:t xml:space="preserve"> w szc</w:t>
      </w:r>
      <w:r w:rsidR="004A203C" w:rsidRPr="00201A9A">
        <w:rPr>
          <w:noProof/>
        </w:rPr>
        <w:t>zególności</w:t>
      </w:r>
      <w:r w:rsidR="00201A9A" w:rsidRPr="00201A9A">
        <w:rPr>
          <w:noProof/>
        </w:rPr>
        <w:t xml:space="preserve"> w odn</w:t>
      </w:r>
      <w:r w:rsidR="004A203C" w:rsidRPr="00201A9A">
        <w:rPr>
          <w:noProof/>
        </w:rPr>
        <w:t>iesieniu do poszanowania państwa prawnego</w:t>
      </w:r>
      <w:r w:rsidR="00201A9A" w:rsidRPr="00201A9A">
        <w:rPr>
          <w:noProof/>
        </w:rPr>
        <w:t xml:space="preserve"> i zgo</w:t>
      </w:r>
      <w:r w:rsidR="004A203C" w:rsidRPr="00201A9A">
        <w:rPr>
          <w:noProof/>
        </w:rPr>
        <w:t>dności</w:t>
      </w:r>
      <w:r w:rsidR="00201A9A" w:rsidRPr="00201A9A">
        <w:rPr>
          <w:noProof/>
        </w:rPr>
        <w:t xml:space="preserve"> z Kar</w:t>
      </w:r>
      <w:r w:rsidR="004A203C" w:rsidRPr="00201A9A">
        <w:rPr>
          <w:noProof/>
        </w:rPr>
        <w:t>tą praw podstawowych Unii Europejskiej, podczas gdy obecne alokacje państw członkowskich</w:t>
      </w:r>
      <w:r w:rsidR="00201A9A" w:rsidRPr="00201A9A">
        <w:rPr>
          <w:noProof/>
        </w:rPr>
        <w:t xml:space="preserve"> w ram</w:t>
      </w:r>
      <w:r w:rsidR="004A203C" w:rsidRPr="00201A9A">
        <w:rPr>
          <w:noProof/>
        </w:rPr>
        <w:t>ach Społecznego Funduszu Klimatycznego nadal miałyby zastosowanie. Należy również zachęcać do wytwarzania synergii między istniejącymi</w:t>
      </w:r>
      <w:r w:rsidR="00201A9A" w:rsidRPr="00201A9A">
        <w:rPr>
          <w:noProof/>
        </w:rPr>
        <w:t xml:space="preserve"> i prz</w:t>
      </w:r>
      <w:r w:rsidR="004A203C" w:rsidRPr="00201A9A">
        <w:rPr>
          <w:noProof/>
        </w:rPr>
        <w:t>yszłymi inwestycjami</w:t>
      </w:r>
      <w:r w:rsidR="00201A9A" w:rsidRPr="00201A9A">
        <w:rPr>
          <w:noProof/>
        </w:rPr>
        <w:t xml:space="preserve"> w ram</w:t>
      </w:r>
      <w:r w:rsidR="004A203C" w:rsidRPr="00201A9A">
        <w:rPr>
          <w:noProof/>
        </w:rPr>
        <w:t>ach funduszu modernizacyjnego</w:t>
      </w:r>
      <w:r w:rsidR="00201A9A" w:rsidRPr="00201A9A">
        <w:rPr>
          <w:noProof/>
        </w:rPr>
        <w:t xml:space="preserve"> a śro</w:t>
      </w:r>
      <w:r w:rsidR="004A203C" w:rsidRPr="00201A9A">
        <w:rPr>
          <w:noProof/>
        </w:rPr>
        <w:t>dkami przewidzianymi</w:t>
      </w:r>
      <w:r w:rsidR="00201A9A" w:rsidRPr="00201A9A">
        <w:rPr>
          <w:noProof/>
        </w:rPr>
        <w:t xml:space="preserve"> w pla</w:t>
      </w:r>
      <w:r w:rsidR="004A203C" w:rsidRPr="00201A9A">
        <w:rPr>
          <w:noProof/>
        </w:rPr>
        <w:t>nach poprzez skoordynowane programowanie</w:t>
      </w:r>
      <w:r w:rsidR="00201A9A" w:rsidRPr="00201A9A">
        <w:rPr>
          <w:noProof/>
        </w:rPr>
        <w:t xml:space="preserve"> w cel</w:t>
      </w:r>
      <w:r w:rsidR="004A203C" w:rsidRPr="00201A9A">
        <w:rPr>
          <w:noProof/>
        </w:rPr>
        <w:t>u zapewnienia większej komplementarności</w:t>
      </w:r>
      <w:r w:rsidR="00201A9A" w:rsidRPr="00201A9A">
        <w:rPr>
          <w:noProof/>
        </w:rPr>
        <w:t xml:space="preserve"> i spó</w:t>
      </w:r>
      <w:r w:rsidR="004A203C" w:rsidRPr="00201A9A">
        <w:rPr>
          <w:noProof/>
        </w:rPr>
        <w:t>jności polityki między budżetem Unii</w:t>
      </w:r>
      <w:r w:rsidR="00201A9A" w:rsidRPr="00201A9A">
        <w:rPr>
          <w:noProof/>
        </w:rPr>
        <w:t xml:space="preserve"> a zas</w:t>
      </w:r>
      <w:r w:rsidR="004A203C" w:rsidRPr="00201A9A">
        <w:rPr>
          <w:noProof/>
        </w:rPr>
        <w:t>obami przydzielonymi na fundusz modernizacyjny.</w:t>
      </w:r>
    </w:p>
    <w:p w14:paraId="6F6F6D65" w14:textId="29C7BFCD" w:rsidR="0091293D" w:rsidRPr="00201A9A" w:rsidRDefault="00875961" w:rsidP="00875961">
      <w:pPr>
        <w:pStyle w:val="ManualConsidrant"/>
        <w:rPr>
          <w:rStyle w:val="normaltextrun"/>
          <w:noProof/>
        </w:rPr>
      </w:pPr>
      <w:r w:rsidRPr="00875961">
        <w:rPr>
          <w:rStyle w:val="normaltextrun"/>
          <w:noProof/>
        </w:rPr>
        <w:t>(59)</w:t>
      </w:r>
      <w:r w:rsidRPr="00875961">
        <w:rPr>
          <w:rStyle w:val="normaltextrun"/>
          <w:noProof/>
        </w:rPr>
        <w:tab/>
      </w:r>
      <w:r w:rsidR="005538BE" w:rsidRPr="00201A9A">
        <w:rPr>
          <w:rStyle w:val="normaltextrun"/>
          <w:noProof/>
          <w:color w:val="000000"/>
          <w:shd w:val="clear" w:color="auto" w:fill="FFFFFF"/>
        </w:rPr>
        <w:t>Do wsparcia udzielanego na podstawie niniejszego rozporządzenia powinny mieć zastosowanie art.</w:t>
      </w:r>
      <w:r w:rsidR="00201A9A" w:rsidRPr="00201A9A">
        <w:rPr>
          <w:rStyle w:val="normaltextrun"/>
          <w:noProof/>
          <w:color w:val="000000"/>
          <w:shd w:val="clear" w:color="auto" w:fill="FFFFFF"/>
        </w:rPr>
        <w:t> </w:t>
      </w:r>
      <w:r w:rsidR="005538BE" w:rsidRPr="00201A9A">
        <w:rPr>
          <w:rStyle w:val="normaltextrun"/>
          <w:noProof/>
          <w:color w:val="000000"/>
          <w:shd w:val="clear" w:color="auto" w:fill="FFFFFF"/>
        </w:rPr>
        <w:t>107, 108</w:t>
      </w:r>
      <w:r w:rsidR="00201A9A" w:rsidRPr="00201A9A">
        <w:rPr>
          <w:rStyle w:val="normaltextrun"/>
          <w:noProof/>
          <w:color w:val="000000"/>
          <w:shd w:val="clear" w:color="auto" w:fill="FFFFFF"/>
        </w:rPr>
        <w:t xml:space="preserve"> i 1</w:t>
      </w:r>
      <w:r w:rsidR="005538BE" w:rsidRPr="00201A9A">
        <w:rPr>
          <w:rStyle w:val="normaltextrun"/>
          <w:noProof/>
          <w:color w:val="000000"/>
          <w:shd w:val="clear" w:color="auto" w:fill="FFFFFF"/>
        </w:rPr>
        <w:t>09 TFUE.</w:t>
      </w:r>
      <w:r w:rsidR="00201A9A" w:rsidRPr="00201A9A">
        <w:rPr>
          <w:rStyle w:val="normaltextrun"/>
          <w:noProof/>
          <w:color w:val="000000"/>
          <w:shd w:val="clear" w:color="auto" w:fill="FFFFFF"/>
        </w:rPr>
        <w:t xml:space="preserve"> </w:t>
      </w:r>
      <w:r w:rsidR="005538BE" w:rsidRPr="00201A9A">
        <w:rPr>
          <w:rStyle w:val="normaltextrun"/>
          <w:noProof/>
          <w:color w:val="000000"/>
          <w:shd w:val="clear" w:color="auto" w:fill="FFFFFF"/>
        </w:rPr>
        <w:t>Niemniej jednak, zgodnie</w:t>
      </w:r>
      <w:r w:rsidR="00201A9A" w:rsidRPr="00201A9A">
        <w:rPr>
          <w:rStyle w:val="normaltextrun"/>
          <w:noProof/>
          <w:color w:val="000000"/>
          <w:shd w:val="clear" w:color="auto" w:fill="FFFFFF"/>
        </w:rPr>
        <w:t xml:space="preserve"> z art</w:t>
      </w:r>
      <w:r w:rsidR="005538BE" w:rsidRPr="00201A9A">
        <w:rPr>
          <w:rStyle w:val="normaltextrun"/>
          <w:noProof/>
          <w:color w:val="000000"/>
          <w:shd w:val="clear" w:color="auto" w:fill="FFFFFF"/>
        </w:rPr>
        <w:t>.</w:t>
      </w:r>
      <w:r w:rsidR="00201A9A" w:rsidRPr="00201A9A">
        <w:rPr>
          <w:rStyle w:val="normaltextrun"/>
          <w:noProof/>
          <w:color w:val="000000"/>
          <w:shd w:val="clear" w:color="auto" w:fill="FFFFFF"/>
        </w:rPr>
        <w:t> </w:t>
      </w:r>
      <w:r w:rsidR="005538BE" w:rsidRPr="00201A9A">
        <w:rPr>
          <w:rStyle w:val="normaltextrun"/>
          <w:noProof/>
          <w:color w:val="000000"/>
          <w:shd w:val="clear" w:color="auto" w:fill="FFFFFF"/>
        </w:rPr>
        <w:t>42 TFUE, ze względu na specyfikę sektora rolnego przepisy te nie powinny mieć zastosowania do wsparcia wchodzącego</w:t>
      </w:r>
      <w:r w:rsidR="00201A9A" w:rsidRPr="00201A9A">
        <w:rPr>
          <w:rStyle w:val="normaltextrun"/>
          <w:noProof/>
          <w:color w:val="000000"/>
          <w:shd w:val="clear" w:color="auto" w:fill="FFFFFF"/>
        </w:rPr>
        <w:t xml:space="preserve"> w zak</w:t>
      </w:r>
      <w:r w:rsidR="005538BE" w:rsidRPr="00201A9A">
        <w:rPr>
          <w:rStyle w:val="normaltextrun"/>
          <w:noProof/>
          <w:color w:val="000000"/>
          <w:shd w:val="clear" w:color="auto" w:fill="FFFFFF"/>
        </w:rPr>
        <w:t>res art.</w:t>
      </w:r>
      <w:r w:rsidR="00201A9A" w:rsidRPr="00201A9A">
        <w:rPr>
          <w:rStyle w:val="normaltextrun"/>
          <w:noProof/>
          <w:color w:val="000000"/>
          <w:shd w:val="clear" w:color="auto" w:fill="FFFFFF"/>
        </w:rPr>
        <w:t> </w:t>
      </w:r>
      <w:r w:rsidR="005538BE" w:rsidRPr="00201A9A">
        <w:rPr>
          <w:rStyle w:val="normaltextrun"/>
          <w:noProof/>
          <w:color w:val="000000"/>
          <w:shd w:val="clear" w:color="auto" w:fill="FFFFFF"/>
        </w:rPr>
        <w:t>42 TFUE, udzielanego na podstawie niniejszego rozporządzenia, rozporządzenia (UE) 202X/XXXX [rozporządzenie</w:t>
      </w:r>
      <w:r w:rsidR="00201A9A" w:rsidRPr="00201A9A">
        <w:rPr>
          <w:rStyle w:val="normaltextrun"/>
          <w:noProof/>
          <w:color w:val="000000"/>
          <w:shd w:val="clear" w:color="auto" w:fill="FFFFFF"/>
        </w:rPr>
        <w:t xml:space="preserve"> w spr</w:t>
      </w:r>
      <w:r w:rsidR="005538BE" w:rsidRPr="00201A9A">
        <w:rPr>
          <w:rStyle w:val="normaltextrun"/>
          <w:noProof/>
          <w:color w:val="000000"/>
          <w:shd w:val="clear" w:color="auto" w:fill="FFFFFF"/>
        </w:rPr>
        <w:t>awie WPR] lub rozporządzenia (UE) nr</w:t>
      </w:r>
      <w:r w:rsidR="00201A9A" w:rsidRPr="00201A9A">
        <w:rPr>
          <w:rStyle w:val="normaltextrun"/>
          <w:noProof/>
          <w:color w:val="000000"/>
          <w:shd w:val="clear" w:color="auto" w:fill="FFFFFF"/>
        </w:rPr>
        <w:t> </w:t>
      </w:r>
      <w:r w:rsidR="005538BE" w:rsidRPr="00201A9A">
        <w:rPr>
          <w:rStyle w:val="normaltextrun"/>
          <w:noProof/>
          <w:color w:val="000000"/>
          <w:shd w:val="clear" w:color="auto" w:fill="FFFFFF"/>
        </w:rPr>
        <w:t>1308/2012 oraz zgodnie</w:t>
      </w:r>
      <w:r w:rsidR="00201A9A" w:rsidRPr="00201A9A">
        <w:rPr>
          <w:rStyle w:val="normaltextrun"/>
          <w:noProof/>
          <w:color w:val="000000"/>
          <w:shd w:val="clear" w:color="auto" w:fill="FFFFFF"/>
        </w:rPr>
        <w:t xml:space="preserve"> z nim</w:t>
      </w:r>
      <w:r w:rsidR="005538BE" w:rsidRPr="00201A9A">
        <w:rPr>
          <w:rStyle w:val="normaltextrun"/>
          <w:noProof/>
          <w:color w:val="000000"/>
          <w:shd w:val="clear" w:color="auto" w:fill="FFFFFF"/>
        </w:rPr>
        <w:t>i, ani do dodatkowego finansowania krajowego tych interwencji,</w:t>
      </w:r>
      <w:r w:rsidR="00201A9A" w:rsidRPr="00201A9A">
        <w:rPr>
          <w:rStyle w:val="normaltextrun"/>
          <w:noProof/>
          <w:color w:val="000000"/>
          <w:shd w:val="clear" w:color="auto" w:fill="FFFFFF"/>
        </w:rPr>
        <w:t xml:space="preserve"> w prz</w:t>
      </w:r>
      <w:r w:rsidR="005538BE" w:rsidRPr="00201A9A">
        <w:rPr>
          <w:rStyle w:val="normaltextrun"/>
          <w:noProof/>
          <w:color w:val="000000"/>
          <w:shd w:val="clear" w:color="auto" w:fill="FFFFFF"/>
        </w:rPr>
        <w:t>ypadku gdy wsparcie unijne wchodzi</w:t>
      </w:r>
      <w:r w:rsidR="00201A9A" w:rsidRPr="00201A9A">
        <w:rPr>
          <w:rStyle w:val="normaltextrun"/>
          <w:noProof/>
          <w:color w:val="000000"/>
          <w:shd w:val="clear" w:color="auto" w:fill="FFFFFF"/>
        </w:rPr>
        <w:t xml:space="preserve"> w zak</w:t>
      </w:r>
      <w:r w:rsidR="005538BE" w:rsidRPr="00201A9A">
        <w:rPr>
          <w:rStyle w:val="normaltextrun"/>
          <w:noProof/>
          <w:color w:val="000000"/>
          <w:shd w:val="clear" w:color="auto" w:fill="FFFFFF"/>
        </w:rPr>
        <w:t>res art.</w:t>
      </w:r>
      <w:r w:rsidR="00201A9A" w:rsidRPr="00201A9A">
        <w:rPr>
          <w:rStyle w:val="normaltextrun"/>
          <w:noProof/>
          <w:color w:val="000000"/>
          <w:shd w:val="clear" w:color="auto" w:fill="FFFFFF"/>
        </w:rPr>
        <w:t> </w:t>
      </w:r>
      <w:r w:rsidR="005538BE" w:rsidRPr="00201A9A">
        <w:rPr>
          <w:rStyle w:val="normaltextrun"/>
          <w:noProof/>
          <w:color w:val="000000"/>
          <w:shd w:val="clear" w:color="auto" w:fill="FFFFFF"/>
        </w:rPr>
        <w:t>42 TFUE</w:t>
      </w:r>
      <w:r w:rsidR="00201A9A" w:rsidRPr="00201A9A">
        <w:rPr>
          <w:rStyle w:val="normaltextrun"/>
          <w:noProof/>
          <w:color w:val="000000"/>
          <w:shd w:val="clear" w:color="auto" w:fill="FFFFFF"/>
        </w:rPr>
        <w:t xml:space="preserve">. </w:t>
      </w:r>
      <w:r w:rsidR="00201A9A" w:rsidRPr="00201A9A">
        <w:rPr>
          <w:noProof/>
          <w:shd w:val="clear" w:color="auto" w:fill="FFFFFF"/>
        </w:rPr>
        <w:t>W</w:t>
      </w:r>
      <w:r w:rsidR="00201A9A" w:rsidRPr="00201A9A">
        <w:rPr>
          <w:rStyle w:val="normaltextrun"/>
          <w:noProof/>
          <w:color w:val="000000"/>
          <w:shd w:val="clear" w:color="auto" w:fill="FFFFFF"/>
        </w:rPr>
        <w:t> </w:t>
      </w:r>
      <w:r w:rsidR="00201A9A" w:rsidRPr="00201A9A">
        <w:rPr>
          <w:noProof/>
          <w:shd w:val="clear" w:color="auto" w:fill="FFFFFF"/>
        </w:rPr>
        <w:t>odn</w:t>
      </w:r>
      <w:r w:rsidR="005538BE" w:rsidRPr="00201A9A">
        <w:rPr>
          <w:noProof/>
          <w:shd w:val="clear" w:color="auto" w:fill="FFFFFF"/>
        </w:rPr>
        <w:t>iesieniu do produktów rybołówstwa</w:t>
      </w:r>
      <w:r w:rsidR="00201A9A" w:rsidRPr="00201A9A">
        <w:rPr>
          <w:noProof/>
          <w:shd w:val="clear" w:color="auto" w:fill="FFFFFF"/>
        </w:rPr>
        <w:t xml:space="preserve"> i akw</w:t>
      </w:r>
      <w:r w:rsidR="005538BE" w:rsidRPr="00201A9A">
        <w:rPr>
          <w:noProof/>
          <w:shd w:val="clear" w:color="auto" w:fill="FFFFFF"/>
        </w:rPr>
        <w:t>akultury wymienionych</w:t>
      </w:r>
      <w:r w:rsidR="00201A9A" w:rsidRPr="00201A9A">
        <w:rPr>
          <w:noProof/>
          <w:shd w:val="clear" w:color="auto" w:fill="FFFFFF"/>
        </w:rPr>
        <w:t xml:space="preserve"> w zał</w:t>
      </w:r>
      <w:r w:rsidR="005538BE" w:rsidRPr="00201A9A">
        <w:rPr>
          <w:noProof/>
          <w:shd w:val="clear" w:color="auto" w:fill="FFFFFF"/>
        </w:rPr>
        <w:t>ączniku I do TFUE, do których stosuje się jego art.</w:t>
      </w:r>
      <w:r w:rsidR="00201A9A" w:rsidRPr="00201A9A">
        <w:rPr>
          <w:noProof/>
          <w:shd w:val="clear" w:color="auto" w:fill="FFFFFF"/>
        </w:rPr>
        <w:t> </w:t>
      </w:r>
      <w:r w:rsidR="005538BE" w:rsidRPr="00201A9A">
        <w:rPr>
          <w:noProof/>
          <w:shd w:val="clear" w:color="auto" w:fill="FFFFFF"/>
        </w:rPr>
        <w:t>107, 108</w:t>
      </w:r>
      <w:r w:rsidR="00201A9A" w:rsidRPr="00201A9A">
        <w:rPr>
          <w:noProof/>
          <w:shd w:val="clear" w:color="auto" w:fill="FFFFFF"/>
        </w:rPr>
        <w:t xml:space="preserve"> i 1</w:t>
      </w:r>
      <w:r w:rsidR="005538BE" w:rsidRPr="00201A9A">
        <w:rPr>
          <w:noProof/>
          <w:shd w:val="clear" w:color="auto" w:fill="FFFFFF"/>
        </w:rPr>
        <w:t>09, Komisja może zgodnie</w:t>
      </w:r>
      <w:r w:rsidR="00201A9A" w:rsidRPr="00201A9A">
        <w:rPr>
          <w:noProof/>
          <w:shd w:val="clear" w:color="auto" w:fill="FFFFFF"/>
        </w:rPr>
        <w:t xml:space="preserve"> z art</w:t>
      </w:r>
      <w:r w:rsidR="005538BE" w:rsidRPr="00201A9A">
        <w:rPr>
          <w:noProof/>
          <w:shd w:val="clear" w:color="auto" w:fill="FFFFFF"/>
        </w:rPr>
        <w:t>.</w:t>
      </w:r>
      <w:r w:rsidR="00201A9A" w:rsidRPr="00201A9A">
        <w:rPr>
          <w:noProof/>
          <w:shd w:val="clear" w:color="auto" w:fill="FFFFFF"/>
        </w:rPr>
        <w:t> </w:t>
      </w:r>
      <w:r w:rsidR="005538BE" w:rsidRPr="00201A9A">
        <w:rPr>
          <w:noProof/>
          <w:shd w:val="clear" w:color="auto" w:fill="FFFFFF"/>
        </w:rPr>
        <w:t>108 TFUE zezwolić na udzielanie pomocy operacyjnej</w:t>
      </w:r>
      <w:r w:rsidR="00201A9A" w:rsidRPr="00201A9A">
        <w:rPr>
          <w:noProof/>
          <w:shd w:val="clear" w:color="auto" w:fill="FFFFFF"/>
        </w:rPr>
        <w:t xml:space="preserve"> w reg</w:t>
      </w:r>
      <w:r w:rsidR="005538BE" w:rsidRPr="00201A9A">
        <w:rPr>
          <w:noProof/>
          <w:shd w:val="clear" w:color="auto" w:fill="FFFFFF"/>
        </w:rPr>
        <w:t>ionach najbardziej oddalonych,</w:t>
      </w:r>
      <w:r w:rsidR="00201A9A" w:rsidRPr="00201A9A">
        <w:rPr>
          <w:noProof/>
          <w:shd w:val="clear" w:color="auto" w:fill="FFFFFF"/>
        </w:rPr>
        <w:t xml:space="preserve"> o któ</w:t>
      </w:r>
      <w:r w:rsidR="005538BE" w:rsidRPr="00201A9A">
        <w:rPr>
          <w:noProof/>
          <w:shd w:val="clear" w:color="auto" w:fill="FFFFFF"/>
        </w:rPr>
        <w:t>rych mowa</w:t>
      </w:r>
      <w:r w:rsidR="00201A9A" w:rsidRPr="00201A9A">
        <w:rPr>
          <w:noProof/>
          <w:shd w:val="clear" w:color="auto" w:fill="FFFFFF"/>
        </w:rPr>
        <w:t xml:space="preserve"> w art</w:t>
      </w:r>
      <w:r w:rsidR="005538BE" w:rsidRPr="00201A9A">
        <w:rPr>
          <w:noProof/>
          <w:shd w:val="clear" w:color="auto" w:fill="FFFFFF"/>
        </w:rPr>
        <w:t>.</w:t>
      </w:r>
      <w:r w:rsidR="00201A9A" w:rsidRPr="00201A9A">
        <w:rPr>
          <w:noProof/>
          <w:shd w:val="clear" w:color="auto" w:fill="FFFFFF"/>
        </w:rPr>
        <w:t> </w:t>
      </w:r>
      <w:r w:rsidR="005538BE" w:rsidRPr="00201A9A">
        <w:rPr>
          <w:noProof/>
          <w:shd w:val="clear" w:color="auto" w:fill="FFFFFF"/>
        </w:rPr>
        <w:t>349 TFUE,</w:t>
      </w:r>
      <w:r w:rsidR="00201A9A" w:rsidRPr="00201A9A">
        <w:rPr>
          <w:noProof/>
          <w:shd w:val="clear" w:color="auto" w:fill="FFFFFF"/>
        </w:rPr>
        <w:t xml:space="preserve"> w odn</w:t>
      </w:r>
      <w:r w:rsidR="005538BE" w:rsidRPr="00201A9A">
        <w:rPr>
          <w:noProof/>
          <w:shd w:val="clear" w:color="auto" w:fill="FFFFFF"/>
        </w:rPr>
        <w:t>iesieniu do sektorów produkcji</w:t>
      </w:r>
      <w:r w:rsidR="00201A9A" w:rsidRPr="00201A9A">
        <w:rPr>
          <w:noProof/>
          <w:shd w:val="clear" w:color="auto" w:fill="FFFFFF"/>
        </w:rPr>
        <w:t xml:space="preserve"> i prz</w:t>
      </w:r>
      <w:r w:rsidR="005538BE" w:rsidRPr="00201A9A">
        <w:rPr>
          <w:noProof/>
          <w:shd w:val="clear" w:color="auto" w:fill="FFFFFF"/>
        </w:rPr>
        <w:t>etwarzania wspomnianych produktów rybołówstwa</w:t>
      </w:r>
      <w:r w:rsidR="00201A9A" w:rsidRPr="00201A9A">
        <w:rPr>
          <w:noProof/>
          <w:shd w:val="clear" w:color="auto" w:fill="FFFFFF"/>
        </w:rPr>
        <w:t xml:space="preserve"> i akw</w:t>
      </w:r>
      <w:r w:rsidR="005538BE" w:rsidRPr="00201A9A">
        <w:rPr>
          <w:noProof/>
          <w:shd w:val="clear" w:color="auto" w:fill="FFFFFF"/>
        </w:rPr>
        <w:t>akultury,</w:t>
      </w:r>
      <w:r w:rsidR="00201A9A" w:rsidRPr="00201A9A">
        <w:rPr>
          <w:noProof/>
          <w:shd w:val="clear" w:color="auto" w:fill="FFFFFF"/>
        </w:rPr>
        <w:t xml:space="preserve"> a tak</w:t>
      </w:r>
      <w:r w:rsidR="005538BE" w:rsidRPr="00201A9A">
        <w:rPr>
          <w:noProof/>
          <w:shd w:val="clear" w:color="auto" w:fill="FFFFFF"/>
        </w:rPr>
        <w:t>że obrotu nimi,</w:t>
      </w:r>
      <w:r w:rsidR="00201A9A" w:rsidRPr="00201A9A">
        <w:rPr>
          <w:noProof/>
          <w:shd w:val="clear" w:color="auto" w:fill="FFFFFF"/>
        </w:rPr>
        <w:t xml:space="preserve"> w cel</w:t>
      </w:r>
      <w:r w:rsidR="005538BE" w:rsidRPr="00201A9A">
        <w:rPr>
          <w:noProof/>
          <w:shd w:val="clear" w:color="auto" w:fill="FFFFFF"/>
        </w:rPr>
        <w:t>u zaradzenia konkretnym ograniczeniom</w:t>
      </w:r>
      <w:r w:rsidR="00201A9A" w:rsidRPr="00201A9A">
        <w:rPr>
          <w:noProof/>
          <w:shd w:val="clear" w:color="auto" w:fill="FFFFFF"/>
        </w:rPr>
        <w:t xml:space="preserve"> w tyc</w:t>
      </w:r>
      <w:r w:rsidR="005538BE" w:rsidRPr="00201A9A">
        <w:rPr>
          <w:noProof/>
          <w:shd w:val="clear" w:color="auto" w:fill="FFFFFF"/>
        </w:rPr>
        <w:t>h regionach, wynikającym</w:t>
      </w:r>
      <w:r w:rsidR="00201A9A" w:rsidRPr="00201A9A">
        <w:rPr>
          <w:noProof/>
          <w:shd w:val="clear" w:color="auto" w:fill="FFFFFF"/>
        </w:rPr>
        <w:t xml:space="preserve"> z ich</w:t>
      </w:r>
      <w:r w:rsidR="005538BE" w:rsidRPr="00201A9A">
        <w:rPr>
          <w:noProof/>
          <w:shd w:val="clear" w:color="auto" w:fill="FFFFFF"/>
        </w:rPr>
        <w:t xml:space="preserve"> izolacji, wyspiarskiego charakteru lub oddalonego położenia.</w:t>
      </w:r>
    </w:p>
    <w:p w14:paraId="20C4A1D2" w14:textId="1E291999" w:rsidR="00186A9E" w:rsidRPr="00201A9A" w:rsidRDefault="00875961" w:rsidP="00875961">
      <w:pPr>
        <w:pStyle w:val="ManualConsidrant"/>
        <w:rPr>
          <w:rStyle w:val="normaltextrun"/>
          <w:rFonts w:eastAsia="Times New Roman"/>
          <w:noProof/>
          <w:color w:val="000000"/>
          <w:shd w:val="clear" w:color="auto" w:fill="FFFFFF"/>
        </w:rPr>
      </w:pPr>
      <w:r w:rsidRPr="00875961">
        <w:rPr>
          <w:rStyle w:val="normaltextrun"/>
          <w:noProof/>
        </w:rPr>
        <w:t>(60)</w:t>
      </w:r>
      <w:r w:rsidRPr="00875961">
        <w:rPr>
          <w:rStyle w:val="normaltextrun"/>
          <w:noProof/>
        </w:rPr>
        <w:tab/>
      </w:r>
      <w:r w:rsidR="00C63D0B" w:rsidRPr="00201A9A">
        <w:rPr>
          <w:rStyle w:val="normaltextrun"/>
          <w:noProof/>
          <w:color w:val="000000"/>
          <w:shd w:val="clear" w:color="auto" w:fill="FFFFFF"/>
        </w:rPr>
        <w:t>Przepisy rozporządzenia (UE, Euratom) 2024/2509</w:t>
      </w:r>
      <w:r w:rsidR="00201A9A" w:rsidRPr="00201A9A">
        <w:rPr>
          <w:rStyle w:val="normaltextrun"/>
          <w:noProof/>
          <w:color w:val="000000"/>
          <w:shd w:val="clear" w:color="auto" w:fill="FFFFFF"/>
        </w:rPr>
        <w:t xml:space="preserve"> w spr</w:t>
      </w:r>
      <w:r w:rsidR="00C63D0B" w:rsidRPr="00201A9A">
        <w:rPr>
          <w:rStyle w:val="normaltextrun"/>
          <w:noProof/>
          <w:color w:val="000000"/>
          <w:shd w:val="clear" w:color="auto" w:fill="FFFFFF"/>
        </w:rPr>
        <w:t>awie zarządzania dzielonego należy dostosować do modelu realizacji niniejszego rozporządzenia. Konieczne jest zatem umożliwienie przedkładania informacji dotyczących postępów we wdrażaniu oraz odpowiednie dostosowanie treści deklaracji zarządczej</w:t>
      </w:r>
      <w:r w:rsidR="00201A9A" w:rsidRPr="00201A9A">
        <w:rPr>
          <w:rStyle w:val="normaltextrun"/>
          <w:noProof/>
          <w:color w:val="000000"/>
          <w:shd w:val="clear" w:color="auto" w:fill="FFFFFF"/>
        </w:rPr>
        <w:t xml:space="preserve"> i opi</w:t>
      </w:r>
      <w:r w:rsidR="00C63D0B" w:rsidRPr="00201A9A">
        <w:rPr>
          <w:rStyle w:val="normaltextrun"/>
          <w:noProof/>
          <w:color w:val="000000"/>
          <w:shd w:val="clear" w:color="auto" w:fill="FFFFFF"/>
        </w:rPr>
        <w:t>nii audytowej.</w:t>
      </w:r>
    </w:p>
    <w:p w14:paraId="3280BEF2" w14:textId="4CDB8FD1" w:rsidR="00611F80" w:rsidRPr="00201A9A" w:rsidRDefault="00875961" w:rsidP="00875961">
      <w:pPr>
        <w:pStyle w:val="ManualConsidrant"/>
        <w:rPr>
          <w:noProof/>
        </w:rPr>
      </w:pPr>
      <w:r w:rsidRPr="00875961">
        <w:rPr>
          <w:noProof/>
        </w:rPr>
        <w:t>(61)</w:t>
      </w:r>
      <w:r w:rsidRPr="00875961">
        <w:rPr>
          <w:noProof/>
        </w:rPr>
        <w:tab/>
      </w:r>
      <w:r w:rsidR="00611F80" w:rsidRPr="00201A9A">
        <w:rPr>
          <w:noProof/>
        </w:rPr>
        <w:t>W celu uzupełnienia lub zmiany niektórych, innych niż istotne, elementów niniejszego rozporządzenia należy przekazać Komisji uprawnienia do przyjęcia aktów zgodnie</w:t>
      </w:r>
      <w:r w:rsidR="00201A9A" w:rsidRPr="00201A9A">
        <w:rPr>
          <w:noProof/>
        </w:rPr>
        <w:t xml:space="preserve"> z art</w:t>
      </w:r>
      <w:r w:rsidR="00611F80" w:rsidRPr="00201A9A">
        <w:rPr>
          <w:noProof/>
        </w:rPr>
        <w:t>.</w:t>
      </w:r>
      <w:r w:rsidR="00201A9A" w:rsidRPr="00201A9A">
        <w:rPr>
          <w:noProof/>
        </w:rPr>
        <w:t> </w:t>
      </w:r>
      <w:r w:rsidR="00611F80" w:rsidRPr="00201A9A">
        <w:rPr>
          <w:noProof/>
        </w:rPr>
        <w:t>290 TFUE</w:t>
      </w:r>
      <w:r w:rsidR="00201A9A" w:rsidRPr="00201A9A">
        <w:rPr>
          <w:noProof/>
        </w:rPr>
        <w:t xml:space="preserve"> w odn</w:t>
      </w:r>
      <w:r w:rsidR="00611F80" w:rsidRPr="00201A9A">
        <w:rPr>
          <w:noProof/>
        </w:rPr>
        <w:t>iesieniu do artykułów dotyczących wsparcia na rzecz lokalnych produktów rolnych, produktów rybołówstwa</w:t>
      </w:r>
      <w:r w:rsidR="00201A9A" w:rsidRPr="00201A9A">
        <w:rPr>
          <w:noProof/>
        </w:rPr>
        <w:t xml:space="preserve"> i akw</w:t>
      </w:r>
      <w:r w:rsidR="00611F80" w:rsidRPr="00201A9A">
        <w:rPr>
          <w:noProof/>
        </w:rPr>
        <w:t>akultury, zgłaszania nieprawidłowości, obliczania kar za odpowiedzialne prowadzenie gospodarstwa, gromadzenie</w:t>
      </w:r>
      <w:r w:rsidR="00201A9A" w:rsidRPr="00201A9A">
        <w:rPr>
          <w:noProof/>
        </w:rPr>
        <w:t xml:space="preserve"> i rej</w:t>
      </w:r>
      <w:r w:rsidR="00611F80" w:rsidRPr="00201A9A">
        <w:rPr>
          <w:noProof/>
        </w:rPr>
        <w:t>estrowanie danych, ZSZiK,</w:t>
      </w:r>
      <w:r w:rsidR="00201A9A" w:rsidRPr="00201A9A">
        <w:rPr>
          <w:noProof/>
        </w:rPr>
        <w:t xml:space="preserve"> a tak</w:t>
      </w:r>
      <w:r w:rsidR="00611F80" w:rsidRPr="00201A9A">
        <w:rPr>
          <w:noProof/>
        </w:rPr>
        <w:t>że załączników dotyczących osiągania kamieni milowych</w:t>
      </w:r>
      <w:r w:rsidR="00201A9A" w:rsidRPr="00201A9A">
        <w:rPr>
          <w:noProof/>
        </w:rPr>
        <w:t xml:space="preserve"> i war</w:t>
      </w:r>
      <w:r w:rsidR="00611F80" w:rsidRPr="00201A9A">
        <w:rPr>
          <w:noProof/>
        </w:rPr>
        <w:t>tości docelowych, postępów</w:t>
      </w:r>
      <w:r w:rsidR="00201A9A" w:rsidRPr="00201A9A">
        <w:rPr>
          <w:noProof/>
        </w:rPr>
        <w:t xml:space="preserve"> w rea</w:t>
      </w:r>
      <w:r w:rsidR="00611F80" w:rsidRPr="00201A9A">
        <w:rPr>
          <w:noProof/>
        </w:rPr>
        <w:t>lizacji, działań Unii, korekt finansowych, unijnego programu dla szkół, interwencji</w:t>
      </w:r>
      <w:r w:rsidR="00201A9A" w:rsidRPr="00201A9A">
        <w:rPr>
          <w:noProof/>
        </w:rPr>
        <w:t xml:space="preserve"> w ram</w:t>
      </w:r>
      <w:r w:rsidR="00611F80" w:rsidRPr="00201A9A">
        <w:rPr>
          <w:noProof/>
        </w:rPr>
        <w:t>ach WPR, współpracy</w:t>
      </w:r>
      <w:r w:rsidR="00201A9A" w:rsidRPr="00201A9A">
        <w:rPr>
          <w:noProof/>
        </w:rPr>
        <w:t xml:space="preserve"> w ram</w:t>
      </w:r>
      <w:r w:rsidR="00611F80" w:rsidRPr="00201A9A">
        <w:rPr>
          <w:noProof/>
        </w:rPr>
        <w:t>ach WPR. Szczególnie ważne jest, aby</w:t>
      </w:r>
      <w:r w:rsidR="00201A9A" w:rsidRPr="00201A9A">
        <w:rPr>
          <w:noProof/>
        </w:rPr>
        <w:t xml:space="preserve"> w cza</w:t>
      </w:r>
      <w:r w:rsidR="00611F80" w:rsidRPr="00201A9A">
        <w:rPr>
          <w:noProof/>
        </w:rPr>
        <w:t>sie prac przygotowawczych Komisja prowadziła stosowne konsultacje,</w:t>
      </w:r>
      <w:r w:rsidR="00201A9A" w:rsidRPr="00201A9A">
        <w:rPr>
          <w:noProof/>
        </w:rPr>
        <w:t xml:space="preserve"> w tym</w:t>
      </w:r>
      <w:r w:rsidR="00611F80" w:rsidRPr="00201A9A">
        <w:rPr>
          <w:noProof/>
        </w:rPr>
        <w:t xml:space="preserve"> na poziomie ekspertów, oraz aby konsultacje te prowadzone były zgodnie</w:t>
      </w:r>
      <w:r w:rsidR="00201A9A" w:rsidRPr="00201A9A">
        <w:rPr>
          <w:noProof/>
        </w:rPr>
        <w:t xml:space="preserve"> z zas</w:t>
      </w:r>
      <w:r w:rsidR="00611F80" w:rsidRPr="00201A9A">
        <w:rPr>
          <w:noProof/>
        </w:rPr>
        <w:t>adami określonymi</w:t>
      </w:r>
      <w:r w:rsidR="00201A9A" w:rsidRPr="00201A9A">
        <w:rPr>
          <w:noProof/>
        </w:rPr>
        <w:t xml:space="preserve"> w Por</w:t>
      </w:r>
      <w:r w:rsidR="00611F80" w:rsidRPr="00201A9A">
        <w:rPr>
          <w:noProof/>
        </w:rPr>
        <w:t>ozumieniu międzyinstytucjonalnym</w:t>
      </w:r>
      <w:r w:rsidR="00201A9A" w:rsidRPr="00201A9A">
        <w:rPr>
          <w:noProof/>
        </w:rPr>
        <w:t xml:space="preserve"> z dni</w:t>
      </w:r>
      <w:r w:rsidR="00611F80" w:rsidRPr="00201A9A">
        <w:rPr>
          <w:noProof/>
        </w:rPr>
        <w:t>a 13 kwietnia 2016</w:t>
      </w:r>
      <w:r w:rsidR="00201A9A" w:rsidRPr="00201A9A">
        <w:rPr>
          <w:noProof/>
        </w:rPr>
        <w:t> </w:t>
      </w:r>
      <w:r w:rsidR="00611F80" w:rsidRPr="00201A9A">
        <w:rPr>
          <w:noProof/>
        </w:rPr>
        <w:t>r.</w:t>
      </w:r>
      <w:r w:rsidR="00201A9A" w:rsidRPr="00201A9A">
        <w:rPr>
          <w:noProof/>
        </w:rPr>
        <w:t xml:space="preserve"> w spr</w:t>
      </w:r>
      <w:r w:rsidR="00611F80" w:rsidRPr="00201A9A">
        <w:rPr>
          <w:noProof/>
        </w:rPr>
        <w:t>awie lepszego stanowienia prawa</w:t>
      </w:r>
      <w:r w:rsidR="00611F80" w:rsidRPr="00201A9A">
        <w:rPr>
          <w:rStyle w:val="FootnoteReference"/>
          <w:noProof/>
        </w:rPr>
        <w:footnoteReference w:id="14"/>
      </w:r>
      <w:r w:rsidR="00201A9A" w:rsidRPr="00201A9A">
        <w:rPr>
          <w:noProof/>
        </w:rPr>
        <w:t>. W szc</w:t>
      </w:r>
      <w:r w:rsidR="00611F80" w:rsidRPr="00201A9A">
        <w:rPr>
          <w:noProof/>
        </w:rPr>
        <w:t>zególności, aby zapewnić Parlamentowi Europejskiemu</w:t>
      </w:r>
      <w:r w:rsidR="00201A9A" w:rsidRPr="00201A9A">
        <w:rPr>
          <w:noProof/>
        </w:rPr>
        <w:t xml:space="preserve"> i Rad</w:t>
      </w:r>
      <w:r w:rsidR="00611F80" w:rsidRPr="00201A9A">
        <w:rPr>
          <w:noProof/>
        </w:rPr>
        <w:t>zie udział na równych zasadach</w:t>
      </w:r>
      <w:r w:rsidR="00201A9A" w:rsidRPr="00201A9A">
        <w:rPr>
          <w:noProof/>
        </w:rPr>
        <w:t xml:space="preserve"> w prz</w:t>
      </w:r>
      <w:r w:rsidR="00611F80" w:rsidRPr="00201A9A">
        <w:rPr>
          <w:noProof/>
        </w:rPr>
        <w:t>ygotowaniu aktów delegowanych, instytucje te otrzymują wszelkie dokumenty</w:t>
      </w:r>
      <w:r w:rsidR="00201A9A" w:rsidRPr="00201A9A">
        <w:rPr>
          <w:noProof/>
        </w:rPr>
        <w:t xml:space="preserve"> w tym</w:t>
      </w:r>
      <w:r w:rsidR="00611F80" w:rsidRPr="00201A9A">
        <w:rPr>
          <w:noProof/>
        </w:rPr>
        <w:t xml:space="preserve"> samym czasie co eksperci państw członkowskich,</w:t>
      </w:r>
      <w:r w:rsidR="00201A9A" w:rsidRPr="00201A9A">
        <w:rPr>
          <w:noProof/>
        </w:rPr>
        <w:t xml:space="preserve"> a eks</w:t>
      </w:r>
      <w:r w:rsidR="00611F80" w:rsidRPr="00201A9A">
        <w:rPr>
          <w:noProof/>
        </w:rPr>
        <w:t>perci tych instytucji mogą systematycznie brać udział</w:t>
      </w:r>
      <w:r w:rsidR="00201A9A" w:rsidRPr="00201A9A">
        <w:rPr>
          <w:noProof/>
        </w:rPr>
        <w:t xml:space="preserve"> w pos</w:t>
      </w:r>
      <w:r w:rsidR="00611F80" w:rsidRPr="00201A9A">
        <w:rPr>
          <w:noProof/>
        </w:rPr>
        <w:t>iedzeniach grup ekspertów Komisji zajmujących się przygotowaniem aktów delegowanych.</w:t>
      </w:r>
    </w:p>
    <w:p w14:paraId="102A1299" w14:textId="1B349F9A" w:rsidR="004A3954" w:rsidRPr="00201A9A" w:rsidRDefault="00875961" w:rsidP="00875961">
      <w:pPr>
        <w:pStyle w:val="ManualConsidrant"/>
        <w:rPr>
          <w:noProof/>
        </w:rPr>
      </w:pPr>
      <w:r w:rsidRPr="00875961">
        <w:rPr>
          <w:noProof/>
        </w:rPr>
        <w:t>(62)</w:t>
      </w:r>
      <w:r w:rsidRPr="00875961">
        <w:rPr>
          <w:noProof/>
        </w:rPr>
        <w:tab/>
      </w:r>
      <w:r w:rsidR="008F03A9" w:rsidRPr="00201A9A">
        <w:rPr>
          <w:noProof/>
        </w:rPr>
        <w:t>W celu zapewnienia jednolitych warunków realizacji planu PKR dotyczącego [wykazu działań Unii, praktyk rolniczych, współczynników redukcji dla nasion oleistych] należy powierzyć Komisji uprawnienia wykonawcze. Te uprawnienia wykonawcze powinny być wykonywane zgodnie</w:t>
      </w:r>
      <w:r w:rsidR="00201A9A" w:rsidRPr="00201A9A">
        <w:rPr>
          <w:noProof/>
        </w:rPr>
        <w:t xml:space="preserve"> z roz</w:t>
      </w:r>
      <w:r w:rsidR="008F03A9" w:rsidRPr="00201A9A">
        <w:rPr>
          <w:noProof/>
        </w:rPr>
        <w:t>porządzeniem Parlamentu Europejskiego</w:t>
      </w:r>
      <w:r w:rsidR="00201A9A" w:rsidRPr="00201A9A">
        <w:rPr>
          <w:noProof/>
        </w:rPr>
        <w:t xml:space="preserve"> i Rad</w:t>
      </w:r>
      <w:r w:rsidR="008F03A9" w:rsidRPr="00201A9A">
        <w:rPr>
          <w:noProof/>
        </w:rPr>
        <w:t>y (UE) nr</w:t>
      </w:r>
      <w:r w:rsidR="00201A9A" w:rsidRPr="00201A9A">
        <w:rPr>
          <w:noProof/>
        </w:rPr>
        <w:t> </w:t>
      </w:r>
      <w:r w:rsidR="008F03A9" w:rsidRPr="00201A9A">
        <w:rPr>
          <w:noProof/>
        </w:rPr>
        <w:t>182/2011.</w:t>
      </w:r>
      <w:r w:rsidR="008F03A9" w:rsidRPr="00201A9A">
        <w:rPr>
          <w:rStyle w:val="FootnoteReference"/>
          <w:noProof/>
        </w:rPr>
        <w:footnoteReference w:id="15"/>
      </w:r>
    </w:p>
    <w:p w14:paraId="39183267" w14:textId="6AC824B2" w:rsidR="008F03A9" w:rsidRPr="00201A9A" w:rsidRDefault="00875961" w:rsidP="00875961">
      <w:pPr>
        <w:pStyle w:val="ManualConsidrant"/>
        <w:rPr>
          <w:noProof/>
        </w:rPr>
      </w:pPr>
      <w:r w:rsidRPr="00875961">
        <w:rPr>
          <w:noProof/>
        </w:rPr>
        <w:t>(63)</w:t>
      </w:r>
      <w:r w:rsidRPr="00875961">
        <w:rPr>
          <w:noProof/>
        </w:rPr>
        <w:tab/>
      </w:r>
      <w:r w:rsidR="004A3954" w:rsidRPr="00201A9A">
        <w:rPr>
          <w:noProof/>
        </w:rPr>
        <w:t xml:space="preserve">W przypadku przyjmowania </w:t>
      </w:r>
      <w:r w:rsidR="00A47BEA" w:rsidRPr="00201A9A">
        <w:rPr>
          <w:noProof/>
        </w:rPr>
        <w:t>P</w:t>
      </w:r>
      <w:r w:rsidR="004A3954" w:rsidRPr="00201A9A">
        <w:rPr>
          <w:noProof/>
        </w:rPr>
        <w:t>lanu Interreg należy stosować procedurę doradczą</w:t>
      </w:r>
      <w:r w:rsidR="00201A9A" w:rsidRPr="00201A9A">
        <w:rPr>
          <w:noProof/>
        </w:rPr>
        <w:t>. W prz</w:t>
      </w:r>
      <w:r w:rsidR="004A3954" w:rsidRPr="00201A9A">
        <w:rPr>
          <w:noProof/>
        </w:rPr>
        <w:t>ypadku przyjmowania aktów wykonawczych dotyczących ustalania orientacyjnego obszaru odniesienia objętego wsparciem dla każdego państwa członkowskiego</w:t>
      </w:r>
      <w:r w:rsidR="00201A9A" w:rsidRPr="00201A9A">
        <w:rPr>
          <w:noProof/>
        </w:rPr>
        <w:t xml:space="preserve"> w odn</w:t>
      </w:r>
      <w:r w:rsidR="004A3954" w:rsidRPr="00201A9A">
        <w:rPr>
          <w:noProof/>
        </w:rPr>
        <w:t>iesieniu do nasion oleistych oraz zintegrowanego systemu zarządzania</w:t>
      </w:r>
      <w:r w:rsidR="00201A9A" w:rsidRPr="00201A9A">
        <w:rPr>
          <w:noProof/>
        </w:rPr>
        <w:t xml:space="preserve"> i kon</w:t>
      </w:r>
      <w:r w:rsidR="004A3954" w:rsidRPr="00201A9A">
        <w:rPr>
          <w:noProof/>
        </w:rPr>
        <w:t>troli należy stosować procedurę sprawdzającą.</w:t>
      </w:r>
    </w:p>
    <w:p w14:paraId="70526372" w14:textId="762E56E2" w:rsidR="0091293D" w:rsidRPr="00201A9A" w:rsidRDefault="00875961" w:rsidP="00875961">
      <w:pPr>
        <w:pStyle w:val="ManualConsidrant"/>
        <w:rPr>
          <w:noProof/>
        </w:rPr>
      </w:pPr>
      <w:r w:rsidRPr="00875961">
        <w:rPr>
          <w:noProof/>
        </w:rPr>
        <w:t>(64)</w:t>
      </w:r>
      <w:r w:rsidRPr="00875961">
        <w:rPr>
          <w:noProof/>
        </w:rPr>
        <w:tab/>
      </w:r>
      <w:r w:rsidR="003B0AD1" w:rsidRPr="00201A9A">
        <w:rPr>
          <w:noProof/>
        </w:rPr>
        <w:t>Ponieważ akty prawne mające zastosowanie do okresu programowania 2021–2027 powinny mieć nadal zastosowanie</w:t>
      </w:r>
      <w:r w:rsidR="00201A9A" w:rsidRPr="00201A9A">
        <w:rPr>
          <w:noProof/>
        </w:rPr>
        <w:t xml:space="preserve"> w odn</w:t>
      </w:r>
      <w:r w:rsidR="003B0AD1" w:rsidRPr="00201A9A">
        <w:rPr>
          <w:noProof/>
        </w:rPr>
        <w:t>iesieniu do programów</w:t>
      </w:r>
      <w:r w:rsidR="00201A9A" w:rsidRPr="00201A9A">
        <w:rPr>
          <w:noProof/>
        </w:rPr>
        <w:t xml:space="preserve"> i ope</w:t>
      </w:r>
      <w:r w:rsidR="003B0AD1" w:rsidRPr="00201A9A">
        <w:rPr>
          <w:noProof/>
        </w:rPr>
        <w:t>racji wspieranych</w:t>
      </w:r>
      <w:r w:rsidR="00201A9A" w:rsidRPr="00201A9A">
        <w:rPr>
          <w:noProof/>
        </w:rPr>
        <w:t xml:space="preserve"> z Fun</w:t>
      </w:r>
      <w:r w:rsidR="003B0AD1" w:rsidRPr="00201A9A">
        <w:rPr>
          <w:noProof/>
        </w:rPr>
        <w:t>duszy</w:t>
      </w:r>
      <w:r w:rsidR="00201A9A" w:rsidRPr="00201A9A">
        <w:rPr>
          <w:noProof/>
        </w:rPr>
        <w:t xml:space="preserve"> w ram</w:t>
      </w:r>
      <w:r w:rsidR="003B0AD1" w:rsidRPr="00201A9A">
        <w:rPr>
          <w:noProof/>
        </w:rPr>
        <w:t>ach okresu programowania 2021–2027</w:t>
      </w:r>
      <w:r w:rsidR="00201A9A" w:rsidRPr="00201A9A">
        <w:rPr>
          <w:noProof/>
        </w:rPr>
        <w:t xml:space="preserve"> i pon</w:t>
      </w:r>
      <w:r w:rsidR="003B0AD1" w:rsidRPr="00201A9A">
        <w:rPr>
          <w:noProof/>
        </w:rPr>
        <w:t>ieważ można oczekiwać, że okres wdrażania tego rozporządzenia rozciągnie się na okres programowania objęty niniejszym rozporządzeniem,</w:t>
      </w:r>
      <w:r w:rsidR="00201A9A" w:rsidRPr="00201A9A">
        <w:rPr>
          <w:noProof/>
        </w:rPr>
        <w:t xml:space="preserve"> a tak</w:t>
      </w:r>
      <w:r w:rsidR="003B0AD1" w:rsidRPr="00201A9A">
        <w:rPr>
          <w:noProof/>
        </w:rPr>
        <w:t>że</w:t>
      </w:r>
      <w:r w:rsidR="00201A9A" w:rsidRPr="00201A9A">
        <w:rPr>
          <w:noProof/>
        </w:rPr>
        <w:t xml:space="preserve"> w zam</w:t>
      </w:r>
      <w:r w:rsidR="003B0AD1" w:rsidRPr="00201A9A">
        <w:rPr>
          <w:noProof/>
        </w:rPr>
        <w:t>iarze zapewnienia ciągłości wdrażania niektórych operacji zatwierdzonych tym rozporządzeniem, należy ustanowić przepisy dotyczące fazowania operacji. Każda poszczególna faza operacji wdrażanej</w:t>
      </w:r>
      <w:r w:rsidR="00201A9A" w:rsidRPr="00201A9A">
        <w:rPr>
          <w:noProof/>
        </w:rPr>
        <w:t xml:space="preserve"> w kil</w:t>
      </w:r>
      <w:r w:rsidR="003B0AD1" w:rsidRPr="00201A9A">
        <w:rPr>
          <w:noProof/>
        </w:rPr>
        <w:t>ku fazach, która służy temu samemu celowi ogólnemu, powinna być realizowana zgodnie</w:t>
      </w:r>
      <w:r w:rsidR="00201A9A" w:rsidRPr="00201A9A">
        <w:rPr>
          <w:noProof/>
        </w:rPr>
        <w:t xml:space="preserve"> z zas</w:t>
      </w:r>
      <w:r w:rsidR="003B0AD1" w:rsidRPr="00201A9A">
        <w:rPr>
          <w:noProof/>
        </w:rPr>
        <w:t>adami odpowiedniego okresu programowania,</w:t>
      </w:r>
      <w:r w:rsidR="00201A9A" w:rsidRPr="00201A9A">
        <w:rPr>
          <w:noProof/>
        </w:rPr>
        <w:t xml:space="preserve"> w ram</w:t>
      </w:r>
      <w:r w:rsidR="003B0AD1" w:rsidRPr="00201A9A">
        <w:rPr>
          <w:noProof/>
        </w:rPr>
        <w:t>ach którego otrzymuje finansowanie, przy czym instytucja zarządzająca może przystąpić do wybrania drugiej fazy na podstawie procedury wyboru przeprowadzonej</w:t>
      </w:r>
      <w:r w:rsidR="00201A9A" w:rsidRPr="00201A9A">
        <w:rPr>
          <w:noProof/>
        </w:rPr>
        <w:t xml:space="preserve"> w okr</w:t>
      </w:r>
      <w:r w:rsidR="003B0AD1" w:rsidRPr="00201A9A">
        <w:rPr>
          <w:noProof/>
        </w:rPr>
        <w:t>esie programowania 2021–2027</w:t>
      </w:r>
      <w:r w:rsidR="00201A9A" w:rsidRPr="00201A9A">
        <w:rPr>
          <w:noProof/>
        </w:rPr>
        <w:t xml:space="preserve"> w odn</w:t>
      </w:r>
      <w:r w:rsidR="003B0AD1" w:rsidRPr="00201A9A">
        <w:rPr>
          <w:noProof/>
        </w:rPr>
        <w:t>iesieniu do danej operacji, pod warunkiem że upewni się, że spełnione są określone</w:t>
      </w:r>
      <w:r w:rsidR="00201A9A" w:rsidRPr="00201A9A">
        <w:rPr>
          <w:noProof/>
        </w:rPr>
        <w:t xml:space="preserve"> w nin</w:t>
      </w:r>
      <w:r w:rsidR="003B0AD1" w:rsidRPr="00201A9A">
        <w:rPr>
          <w:noProof/>
        </w:rPr>
        <w:t>iejszym rozporządzeniu warunki dotyczące operacji wdrażanych</w:t>
      </w:r>
      <w:r w:rsidR="00201A9A" w:rsidRPr="00201A9A">
        <w:rPr>
          <w:noProof/>
        </w:rPr>
        <w:t xml:space="preserve"> w faz</w:t>
      </w:r>
      <w:r w:rsidR="003B0AD1" w:rsidRPr="00201A9A">
        <w:rPr>
          <w:noProof/>
        </w:rPr>
        <w:t>ach.</w:t>
      </w:r>
    </w:p>
    <w:p w14:paraId="23BDF7F0" w14:textId="784B2744" w:rsidR="001E5EAE" w:rsidRPr="00201A9A" w:rsidRDefault="00875961" w:rsidP="00875961">
      <w:pPr>
        <w:pStyle w:val="ManualConsidrant"/>
        <w:rPr>
          <w:noProof/>
        </w:rPr>
      </w:pPr>
      <w:r w:rsidRPr="00875961">
        <w:rPr>
          <w:noProof/>
        </w:rPr>
        <w:t>(65)</w:t>
      </w:r>
      <w:r w:rsidRPr="00875961">
        <w:rPr>
          <w:noProof/>
        </w:rPr>
        <w:tab/>
      </w:r>
      <w:r w:rsidR="00D72E1F" w:rsidRPr="00201A9A">
        <w:rPr>
          <w:noProof/>
        </w:rPr>
        <w:t>Uwzględniając potrzebę wdrażania Funduszy unijnych objętych niniejszym rozporządzeniem</w:t>
      </w:r>
      <w:r w:rsidR="00201A9A" w:rsidRPr="00201A9A">
        <w:rPr>
          <w:noProof/>
        </w:rPr>
        <w:t xml:space="preserve"> w spo</w:t>
      </w:r>
      <w:r w:rsidR="00D72E1F" w:rsidRPr="00201A9A">
        <w:rPr>
          <w:noProof/>
        </w:rPr>
        <w:t>sób skoordynowany</w:t>
      </w:r>
      <w:r w:rsidR="00201A9A" w:rsidRPr="00201A9A">
        <w:rPr>
          <w:noProof/>
        </w:rPr>
        <w:t xml:space="preserve"> i zha</w:t>
      </w:r>
      <w:r w:rsidR="00D72E1F" w:rsidRPr="00201A9A">
        <w:rPr>
          <w:noProof/>
        </w:rPr>
        <w:t>rmonizowany oraz</w:t>
      </w:r>
      <w:r w:rsidR="00201A9A" w:rsidRPr="00201A9A">
        <w:rPr>
          <w:noProof/>
        </w:rPr>
        <w:t xml:space="preserve"> w cel</w:t>
      </w:r>
      <w:r w:rsidR="00D72E1F" w:rsidRPr="00201A9A">
        <w:rPr>
          <w:noProof/>
        </w:rPr>
        <w:t>u umożliwienia szybkiego wdrożenia niniejszego rozporządzenia, powinno ono wejść</w:t>
      </w:r>
      <w:r w:rsidR="00201A9A" w:rsidRPr="00201A9A">
        <w:rPr>
          <w:noProof/>
        </w:rPr>
        <w:t xml:space="preserve"> w życ</w:t>
      </w:r>
      <w:r w:rsidR="00D72E1F" w:rsidRPr="00201A9A">
        <w:rPr>
          <w:noProof/>
        </w:rPr>
        <w:t>ie następnego dnia po jego opublikowaniu</w:t>
      </w:r>
      <w:r w:rsidR="00201A9A" w:rsidRPr="00201A9A">
        <w:rPr>
          <w:noProof/>
        </w:rPr>
        <w:t xml:space="preserve"> w </w:t>
      </w:r>
      <w:r w:rsidR="00201A9A" w:rsidRPr="00201A9A">
        <w:rPr>
          <w:i/>
          <w:noProof/>
        </w:rPr>
        <w:t>Dzi</w:t>
      </w:r>
      <w:r w:rsidR="00D72E1F" w:rsidRPr="00201A9A">
        <w:rPr>
          <w:i/>
          <w:noProof/>
        </w:rPr>
        <w:t>enniku Urzędowym Unii Europejskiej</w:t>
      </w:r>
      <w:r w:rsidR="00D72E1F" w:rsidRPr="00201A9A">
        <w:rPr>
          <w:noProof/>
        </w:rPr>
        <w:t>,</w:t>
      </w:r>
    </w:p>
    <w:p w14:paraId="49DD7ED7" w14:textId="77777777" w:rsidR="00186A9E" w:rsidRPr="00201A9A" w:rsidRDefault="00186A9E">
      <w:pPr>
        <w:pStyle w:val="Formuledadoption"/>
        <w:rPr>
          <w:noProof/>
        </w:rPr>
      </w:pPr>
      <w:r w:rsidRPr="00201A9A">
        <w:rPr>
          <w:noProof/>
        </w:rPr>
        <w:t>PRZYJMUJĄ NINIEJSZE ROZPORZĄDZENIE:</w:t>
      </w:r>
    </w:p>
    <w:p w14:paraId="5157D0FA" w14:textId="77777777" w:rsidR="00C63D0B" w:rsidRPr="00201A9A" w:rsidRDefault="00EA62B1" w:rsidP="000A7C53">
      <w:pPr>
        <w:pStyle w:val="SectionTitle"/>
        <w:spacing w:after="120"/>
        <w:rPr>
          <w:noProof/>
        </w:rPr>
      </w:pPr>
      <w:r w:rsidRPr="00201A9A">
        <w:rPr>
          <w:noProof/>
        </w:rPr>
        <w:t xml:space="preserve">TYTUŁ I </w:t>
      </w:r>
      <w:r w:rsidRPr="00201A9A">
        <w:rPr>
          <w:noProof/>
        </w:rPr>
        <w:br/>
        <w:t>POSTANOWIENIA OGÓLNE</w:t>
      </w:r>
    </w:p>
    <w:p w14:paraId="30F8DC9D" w14:textId="77777777" w:rsidR="002C22F4" w:rsidRPr="00201A9A" w:rsidRDefault="002C22F4" w:rsidP="002C22F4">
      <w:pPr>
        <w:pStyle w:val="Titrearticle"/>
        <w:rPr>
          <w:b/>
          <w:bCs/>
          <w:noProof/>
        </w:rPr>
      </w:pPr>
      <w:r w:rsidRPr="00201A9A">
        <w:rPr>
          <w:noProof/>
        </w:rPr>
        <w:t xml:space="preserve">Artykuł 1 </w:t>
      </w:r>
      <w:r w:rsidRPr="00201A9A">
        <w:rPr>
          <w:noProof/>
        </w:rPr>
        <w:br/>
      </w:r>
      <w:r w:rsidRPr="00201A9A">
        <w:rPr>
          <w:b/>
          <w:noProof/>
        </w:rPr>
        <w:t>Przedmiot</w:t>
      </w:r>
    </w:p>
    <w:p w14:paraId="56344C0D" w14:textId="0207977C" w:rsidR="00A50362" w:rsidRPr="00201A9A" w:rsidRDefault="00875961" w:rsidP="00875961">
      <w:pPr>
        <w:pStyle w:val="ManualNumPar1"/>
        <w:rPr>
          <w:noProof/>
        </w:rPr>
      </w:pPr>
      <w:r w:rsidRPr="00875961">
        <w:rPr>
          <w:noProof/>
        </w:rPr>
        <w:t>1.</w:t>
      </w:r>
      <w:r w:rsidRPr="00875961">
        <w:rPr>
          <w:noProof/>
        </w:rPr>
        <w:tab/>
      </w:r>
      <w:r w:rsidR="00A50362" w:rsidRPr="00201A9A">
        <w:rPr>
          <w:noProof/>
        </w:rPr>
        <w:t>Niniejsze rozporządzenie ustanawia Europejski Fundusz Spójności Gospodarczej, Społecznej</w:t>
      </w:r>
      <w:r w:rsidR="00201A9A" w:rsidRPr="00201A9A">
        <w:rPr>
          <w:noProof/>
        </w:rPr>
        <w:t xml:space="preserve"> i Ter</w:t>
      </w:r>
      <w:r w:rsidR="00A50362" w:rsidRPr="00201A9A">
        <w:rPr>
          <w:noProof/>
        </w:rPr>
        <w:t>ytorialnej, Rolnictwa</w:t>
      </w:r>
      <w:r w:rsidR="00201A9A" w:rsidRPr="00201A9A">
        <w:rPr>
          <w:noProof/>
        </w:rPr>
        <w:t xml:space="preserve"> i Obs</w:t>
      </w:r>
      <w:r w:rsidR="00A50362" w:rsidRPr="00201A9A">
        <w:rPr>
          <w:noProof/>
        </w:rPr>
        <w:t>zarów Wiejskich, Rybołówstwa</w:t>
      </w:r>
      <w:r w:rsidR="00201A9A" w:rsidRPr="00201A9A">
        <w:rPr>
          <w:noProof/>
        </w:rPr>
        <w:t xml:space="preserve"> i Pol</w:t>
      </w:r>
      <w:r w:rsidR="00A50362" w:rsidRPr="00201A9A">
        <w:rPr>
          <w:noProof/>
        </w:rPr>
        <w:t>ityki Morskiej, Dobrobytu</w:t>
      </w:r>
      <w:r w:rsidR="00201A9A" w:rsidRPr="00201A9A">
        <w:rPr>
          <w:noProof/>
        </w:rPr>
        <w:t xml:space="preserve"> i Bez</w:t>
      </w:r>
      <w:r w:rsidR="00A50362" w:rsidRPr="00201A9A">
        <w:rPr>
          <w:noProof/>
        </w:rPr>
        <w:t>pieczeństwa (zwany dalej „Funduszem”)</w:t>
      </w:r>
      <w:r w:rsidR="00201A9A" w:rsidRPr="00201A9A">
        <w:rPr>
          <w:noProof/>
        </w:rPr>
        <w:t>. W roz</w:t>
      </w:r>
      <w:r w:rsidR="00A50362" w:rsidRPr="00201A9A">
        <w:rPr>
          <w:noProof/>
        </w:rPr>
        <w:t>porządzeniu tym ustanowiono przepisy dotyczące:</w:t>
      </w:r>
    </w:p>
    <w:p w14:paraId="2F566079" w14:textId="0CD73B2B" w:rsidR="00A50362" w:rsidRPr="00201A9A" w:rsidRDefault="00201A9A" w:rsidP="00201A9A">
      <w:pPr>
        <w:pStyle w:val="Point1"/>
        <w:rPr>
          <w:noProof/>
        </w:rPr>
      </w:pPr>
      <w:r w:rsidRPr="00201A9A">
        <w:rPr>
          <w:noProof/>
        </w:rPr>
        <w:t>a)</w:t>
      </w:r>
      <w:r w:rsidRPr="00201A9A">
        <w:rPr>
          <w:noProof/>
        </w:rPr>
        <w:tab/>
      </w:r>
      <w:r w:rsidR="000D0314" w:rsidRPr="00201A9A">
        <w:rPr>
          <w:noProof/>
        </w:rPr>
        <w:t>zadań, celów priorytetowych, organizacji</w:t>
      </w:r>
      <w:r w:rsidRPr="00201A9A">
        <w:rPr>
          <w:noProof/>
        </w:rPr>
        <w:t xml:space="preserve"> i gru</w:t>
      </w:r>
      <w:r w:rsidR="000D0314" w:rsidRPr="00201A9A">
        <w:rPr>
          <w:noProof/>
        </w:rPr>
        <w:t>powania</w:t>
      </w:r>
      <w:r w:rsidRPr="00201A9A">
        <w:rPr>
          <w:noProof/>
        </w:rPr>
        <w:t xml:space="preserve"> w ram</w:t>
      </w:r>
      <w:r w:rsidR="000D0314" w:rsidRPr="00201A9A">
        <w:rPr>
          <w:noProof/>
        </w:rPr>
        <w:t xml:space="preserve">ach Funduszu: </w:t>
      </w:r>
    </w:p>
    <w:p w14:paraId="1FBFBBF4" w14:textId="03606842" w:rsidR="00FE5DBB" w:rsidRPr="00201A9A" w:rsidRDefault="00A50362" w:rsidP="00AF7FE3">
      <w:pPr>
        <w:pStyle w:val="Point2n"/>
        <w:ind w:hanging="219"/>
        <w:jc w:val="both"/>
        <w:rPr>
          <w:noProof/>
        </w:rPr>
      </w:pPr>
      <w:r w:rsidRPr="00201A9A">
        <w:rPr>
          <w:noProof/>
        </w:rPr>
        <w:t>funduszy strukturalnych</w:t>
      </w:r>
      <w:r w:rsidR="00201A9A" w:rsidRPr="00201A9A">
        <w:rPr>
          <w:noProof/>
        </w:rPr>
        <w:t xml:space="preserve"> i Fun</w:t>
      </w:r>
      <w:r w:rsidRPr="00201A9A">
        <w:rPr>
          <w:noProof/>
        </w:rPr>
        <w:t>duszu Spójności</w:t>
      </w:r>
    </w:p>
    <w:p w14:paraId="199A49BF" w14:textId="77777777" w:rsidR="000E759A" w:rsidRPr="00201A9A" w:rsidRDefault="00A50362" w:rsidP="00AF7FE3">
      <w:pPr>
        <w:pStyle w:val="Point2n"/>
        <w:ind w:hanging="219"/>
        <w:jc w:val="both"/>
        <w:rPr>
          <w:noProof/>
        </w:rPr>
      </w:pPr>
      <w:r w:rsidRPr="00201A9A">
        <w:rPr>
          <w:noProof/>
        </w:rPr>
        <w:t>instrumentów wspólnej polityki rolnej (WPR);</w:t>
      </w:r>
    </w:p>
    <w:p w14:paraId="4F0BF083" w14:textId="77777777" w:rsidR="00E00324" w:rsidRPr="00201A9A" w:rsidRDefault="000E759A" w:rsidP="00AF7FE3">
      <w:pPr>
        <w:pStyle w:val="Point2n"/>
        <w:ind w:hanging="219"/>
        <w:jc w:val="both"/>
        <w:rPr>
          <w:noProof/>
        </w:rPr>
      </w:pPr>
      <w:r w:rsidRPr="00201A9A">
        <w:rPr>
          <w:noProof/>
        </w:rPr>
        <w:t>instrumentów wspólnej polityki rybołówstwa;</w:t>
      </w:r>
    </w:p>
    <w:p w14:paraId="1816C069" w14:textId="2A08079F" w:rsidR="00E00324" w:rsidRPr="00201A9A" w:rsidRDefault="00DB605F" w:rsidP="00AF7FE3">
      <w:pPr>
        <w:pStyle w:val="Point2n"/>
        <w:ind w:hanging="219"/>
        <w:jc w:val="both"/>
        <w:rPr>
          <w:noProof/>
        </w:rPr>
      </w:pPr>
      <w:r w:rsidRPr="00201A9A">
        <w:rPr>
          <w:noProof/>
        </w:rPr>
        <w:t>instrumentów finansowanych ze sprzedaży na aukcji uprawnień do emisji</w:t>
      </w:r>
      <w:r w:rsidR="00201A9A" w:rsidRPr="00201A9A">
        <w:rPr>
          <w:noProof/>
        </w:rPr>
        <w:t xml:space="preserve"> w ram</w:t>
      </w:r>
      <w:r w:rsidRPr="00201A9A">
        <w:rPr>
          <w:noProof/>
        </w:rPr>
        <w:t>ach systemów handlu uprawnieniami do emisji ustanowionych na mocy dyrektywy 2003/87/WE</w:t>
      </w:r>
      <w:r w:rsidR="00201A9A" w:rsidRPr="00201A9A">
        <w:rPr>
          <w:noProof/>
        </w:rPr>
        <w:t xml:space="preserve"> w cel</w:t>
      </w:r>
      <w:r w:rsidRPr="00201A9A">
        <w:rPr>
          <w:noProof/>
        </w:rPr>
        <w:t>u przeciwdziałania skutkom społecznym wprowadzenia systemu handlu uprawnieniami do emisji</w:t>
      </w:r>
      <w:r w:rsidR="00201A9A" w:rsidRPr="00201A9A">
        <w:rPr>
          <w:noProof/>
        </w:rPr>
        <w:t xml:space="preserve"> w odn</w:t>
      </w:r>
      <w:r w:rsidRPr="00201A9A">
        <w:rPr>
          <w:noProof/>
        </w:rPr>
        <w:t>iesieniu do sektora budowlanego</w:t>
      </w:r>
      <w:r w:rsidR="00201A9A" w:rsidRPr="00201A9A">
        <w:rPr>
          <w:noProof/>
        </w:rPr>
        <w:t xml:space="preserve"> i sek</w:t>
      </w:r>
      <w:r w:rsidRPr="00201A9A">
        <w:rPr>
          <w:noProof/>
        </w:rPr>
        <w:t>tora transportu drogowego dla znajdujących się</w:t>
      </w:r>
      <w:r w:rsidR="00201A9A" w:rsidRPr="00201A9A">
        <w:rPr>
          <w:noProof/>
        </w:rPr>
        <w:t xml:space="preserve"> w tru</w:t>
      </w:r>
      <w:r w:rsidRPr="00201A9A">
        <w:rPr>
          <w:noProof/>
        </w:rPr>
        <w:t>dnej sytuacji gospodarstw domowych, mikroprzedsiębiorstw</w:t>
      </w:r>
      <w:r w:rsidR="00201A9A" w:rsidRPr="00201A9A">
        <w:rPr>
          <w:noProof/>
        </w:rPr>
        <w:t xml:space="preserve"> i uży</w:t>
      </w:r>
      <w:r w:rsidRPr="00201A9A">
        <w:rPr>
          <w:noProof/>
        </w:rPr>
        <w:t>tkowników transportu;</w:t>
      </w:r>
    </w:p>
    <w:p w14:paraId="3BE0486C" w14:textId="7CECB793" w:rsidR="00A50362" w:rsidRPr="00201A9A" w:rsidRDefault="00A50362" w:rsidP="00BF4E25">
      <w:pPr>
        <w:pStyle w:val="Point2n"/>
        <w:ind w:hanging="219"/>
        <w:rPr>
          <w:noProof/>
        </w:rPr>
      </w:pPr>
      <w:r w:rsidRPr="00201A9A">
        <w:rPr>
          <w:noProof/>
        </w:rPr>
        <w:t>wspierania zdolności</w:t>
      </w:r>
      <w:r w:rsidR="00201A9A" w:rsidRPr="00201A9A">
        <w:rPr>
          <w:noProof/>
        </w:rPr>
        <w:t xml:space="preserve"> w zak</w:t>
      </w:r>
      <w:r w:rsidRPr="00201A9A">
        <w:rPr>
          <w:noProof/>
        </w:rPr>
        <w:t>resie bezpieczeństwa</w:t>
      </w:r>
      <w:r w:rsidR="00201A9A" w:rsidRPr="00201A9A">
        <w:rPr>
          <w:noProof/>
        </w:rPr>
        <w:t xml:space="preserve"> i obr</w:t>
      </w:r>
      <w:r w:rsidRPr="00201A9A">
        <w:rPr>
          <w:noProof/>
        </w:rPr>
        <w:t>ony;</w:t>
      </w:r>
    </w:p>
    <w:p w14:paraId="26472DA1" w14:textId="6CF47C49" w:rsidR="00A50362" w:rsidRPr="00201A9A" w:rsidRDefault="00201A9A" w:rsidP="00201A9A">
      <w:pPr>
        <w:pStyle w:val="Point1"/>
        <w:rPr>
          <w:noProof/>
        </w:rPr>
      </w:pPr>
      <w:r w:rsidRPr="00201A9A">
        <w:rPr>
          <w:noProof/>
        </w:rPr>
        <w:t>b)</w:t>
      </w:r>
      <w:r w:rsidRPr="00201A9A">
        <w:rPr>
          <w:noProof/>
        </w:rPr>
        <w:tab/>
      </w:r>
      <w:r w:rsidR="00A50362" w:rsidRPr="00201A9A">
        <w:rPr>
          <w:noProof/>
        </w:rPr>
        <w:t>zasad finansowych mających zastosowanie do wsparcia unijnego wdrażanego za pomocą planów partnerstwa krajowego</w:t>
      </w:r>
      <w:r w:rsidRPr="00201A9A">
        <w:rPr>
          <w:noProof/>
        </w:rPr>
        <w:t xml:space="preserve"> i reg</w:t>
      </w:r>
      <w:r w:rsidR="00A50362" w:rsidRPr="00201A9A">
        <w:rPr>
          <w:noProof/>
        </w:rPr>
        <w:t xml:space="preserve">ionalnego („plany PKR”), </w:t>
      </w:r>
      <w:r w:rsidR="00A47BEA" w:rsidRPr="00201A9A">
        <w:rPr>
          <w:noProof/>
        </w:rPr>
        <w:t>P</w:t>
      </w:r>
      <w:r w:rsidR="00A50362" w:rsidRPr="00201A9A">
        <w:rPr>
          <w:noProof/>
        </w:rPr>
        <w:t>lanu Interreg określonego</w:t>
      </w:r>
      <w:r w:rsidRPr="00201A9A">
        <w:rPr>
          <w:noProof/>
        </w:rPr>
        <w:t xml:space="preserve"> w roz</w:t>
      </w:r>
      <w:r w:rsidR="00A50362" w:rsidRPr="00201A9A">
        <w:rPr>
          <w:noProof/>
        </w:rPr>
        <w:t>porządzeniu XX [rozwój regionalny, rozdział II</w:t>
      </w:r>
      <w:r w:rsidRPr="00201A9A">
        <w:rPr>
          <w:noProof/>
        </w:rPr>
        <w:t xml:space="preserve"> w spr</w:t>
      </w:r>
      <w:r w:rsidR="00A50362" w:rsidRPr="00201A9A">
        <w:rPr>
          <w:noProof/>
        </w:rPr>
        <w:t xml:space="preserve">awie </w:t>
      </w:r>
      <w:r w:rsidR="00A47BEA" w:rsidRPr="00201A9A">
        <w:rPr>
          <w:noProof/>
        </w:rPr>
        <w:t>P</w:t>
      </w:r>
      <w:r w:rsidR="00A50362" w:rsidRPr="00201A9A">
        <w:rPr>
          <w:noProof/>
        </w:rPr>
        <w:t>lanu Interreg] („</w:t>
      </w:r>
      <w:r w:rsidR="00A47BEA" w:rsidRPr="00201A9A">
        <w:rPr>
          <w:noProof/>
        </w:rPr>
        <w:t>P</w:t>
      </w:r>
      <w:r w:rsidR="00A50362" w:rsidRPr="00201A9A">
        <w:rPr>
          <w:noProof/>
        </w:rPr>
        <w:t>lan Interreg”) oraz Instrumentu UE („Instrument”);</w:t>
      </w:r>
    </w:p>
    <w:p w14:paraId="13AE3D87" w14:textId="2CF5CE5F" w:rsidR="00A50362" w:rsidRPr="00201A9A" w:rsidRDefault="00201A9A" w:rsidP="00201A9A">
      <w:pPr>
        <w:pStyle w:val="Point1"/>
        <w:rPr>
          <w:noProof/>
        </w:rPr>
      </w:pPr>
      <w:r w:rsidRPr="00201A9A">
        <w:rPr>
          <w:noProof/>
        </w:rPr>
        <w:t>c)</w:t>
      </w:r>
      <w:r w:rsidRPr="00201A9A">
        <w:rPr>
          <w:noProof/>
        </w:rPr>
        <w:tab/>
      </w:r>
      <w:r w:rsidR="00CB6E65" w:rsidRPr="00201A9A">
        <w:rPr>
          <w:noProof/>
        </w:rPr>
        <w:t>zasobów finansowych na okres od dnia 1 stycznia 2028</w:t>
      </w:r>
      <w:r w:rsidRPr="00201A9A">
        <w:rPr>
          <w:noProof/>
        </w:rPr>
        <w:t> </w:t>
      </w:r>
      <w:r w:rsidR="00CB6E65" w:rsidRPr="00201A9A">
        <w:rPr>
          <w:noProof/>
        </w:rPr>
        <w:t>r. do dnia 31 grudnia 2034</w:t>
      </w:r>
      <w:r w:rsidRPr="00201A9A">
        <w:rPr>
          <w:noProof/>
        </w:rPr>
        <w:t> </w:t>
      </w:r>
      <w:r w:rsidR="00CB6E65" w:rsidRPr="00201A9A">
        <w:rPr>
          <w:noProof/>
        </w:rPr>
        <w:t>r.</w:t>
      </w:r>
    </w:p>
    <w:p w14:paraId="1E7B14D3" w14:textId="33DEB662" w:rsidR="499C6D4C" w:rsidRPr="00201A9A" w:rsidRDefault="00875961" w:rsidP="00875961">
      <w:pPr>
        <w:pStyle w:val="ManualNumPar1"/>
        <w:rPr>
          <w:noProof/>
        </w:rPr>
      </w:pPr>
      <w:r w:rsidRPr="00875961">
        <w:rPr>
          <w:noProof/>
        </w:rPr>
        <w:t>2.</w:t>
      </w:r>
      <w:r w:rsidRPr="00875961">
        <w:rPr>
          <w:noProof/>
        </w:rPr>
        <w:tab/>
      </w:r>
      <w:r w:rsidR="4FE46E22" w:rsidRPr="00201A9A">
        <w:rPr>
          <w:noProof/>
        </w:rPr>
        <w:t>Wymienione poniżej rozporządzenia mogą określać szczególne warunki uzupełniające niniejsze rozporządzenie, które nie mogą być sprzeczne</w:t>
      </w:r>
      <w:r w:rsidR="00201A9A" w:rsidRPr="00201A9A">
        <w:rPr>
          <w:noProof/>
        </w:rPr>
        <w:t xml:space="preserve"> z nin</w:t>
      </w:r>
      <w:r w:rsidR="4FE46E22" w:rsidRPr="00201A9A">
        <w:rPr>
          <w:noProof/>
        </w:rPr>
        <w:t xml:space="preserve">iejszym rozporządzeniem: </w:t>
      </w:r>
    </w:p>
    <w:p w14:paraId="72DA9FA4" w14:textId="352A6356" w:rsidR="00CC0586" w:rsidRPr="00201A9A" w:rsidRDefault="00201A9A" w:rsidP="00201A9A">
      <w:pPr>
        <w:pStyle w:val="Point2"/>
        <w:rPr>
          <w:noProof/>
        </w:rPr>
      </w:pPr>
      <w:r w:rsidRPr="00201A9A">
        <w:rPr>
          <w:noProof/>
        </w:rPr>
        <w:t>a)</w:t>
      </w:r>
      <w:r w:rsidRPr="00201A9A">
        <w:rPr>
          <w:noProof/>
        </w:rPr>
        <w:tab/>
      </w:r>
      <w:r w:rsidR="00CC0586" w:rsidRPr="00201A9A">
        <w:rPr>
          <w:noProof/>
        </w:rPr>
        <w:t>rozporządzenie XX [ustanawiające Europejski Fundusz Rozwoju Regionalnego,</w:t>
      </w:r>
      <w:r w:rsidRPr="00201A9A">
        <w:rPr>
          <w:noProof/>
        </w:rPr>
        <w:t xml:space="preserve"> w tym</w:t>
      </w:r>
      <w:r w:rsidR="00CC0586" w:rsidRPr="00201A9A">
        <w:rPr>
          <w:noProof/>
        </w:rPr>
        <w:t xml:space="preserve"> Europejską współpracę terytorialną (Interreg)</w:t>
      </w:r>
      <w:r w:rsidRPr="00201A9A">
        <w:rPr>
          <w:noProof/>
        </w:rPr>
        <w:t xml:space="preserve"> i Fun</w:t>
      </w:r>
      <w:r w:rsidR="00CC0586" w:rsidRPr="00201A9A">
        <w:rPr>
          <w:noProof/>
        </w:rPr>
        <w:t>dusz Spójności,</w:t>
      </w:r>
      <w:r w:rsidRPr="00201A9A">
        <w:rPr>
          <w:noProof/>
        </w:rPr>
        <w:t xml:space="preserve"> w ram</w:t>
      </w:r>
      <w:r w:rsidR="00CC0586" w:rsidRPr="00201A9A">
        <w:rPr>
          <w:noProof/>
        </w:rPr>
        <w:t>ach Funduszu określonego</w:t>
      </w:r>
      <w:r w:rsidRPr="00201A9A">
        <w:rPr>
          <w:noProof/>
        </w:rPr>
        <w:t xml:space="preserve"> w roz</w:t>
      </w:r>
      <w:r w:rsidR="00CC0586" w:rsidRPr="00201A9A">
        <w:rPr>
          <w:noProof/>
        </w:rPr>
        <w:t>porządzeniu (UE) [...] [PKR] oraz ustanawiające warunki wdrażania unijnego wsparcia na rzecz rozwoju regionalnego</w:t>
      </w:r>
      <w:r w:rsidRPr="00201A9A">
        <w:rPr>
          <w:noProof/>
        </w:rPr>
        <w:t xml:space="preserve"> w lat</w:t>
      </w:r>
      <w:r w:rsidR="00CC0586" w:rsidRPr="00201A9A">
        <w:rPr>
          <w:noProof/>
        </w:rPr>
        <w:t>ach 2028–2034];</w:t>
      </w:r>
    </w:p>
    <w:p w14:paraId="482B513C" w14:textId="4DA5F39F" w:rsidR="00CC0586" w:rsidRPr="00201A9A" w:rsidRDefault="00201A9A" w:rsidP="00201A9A">
      <w:pPr>
        <w:pStyle w:val="Point2"/>
        <w:rPr>
          <w:noProof/>
        </w:rPr>
      </w:pPr>
      <w:r w:rsidRPr="00201A9A">
        <w:rPr>
          <w:noProof/>
        </w:rPr>
        <w:t>b)</w:t>
      </w:r>
      <w:r w:rsidRPr="00201A9A">
        <w:rPr>
          <w:noProof/>
        </w:rPr>
        <w:tab/>
      </w:r>
      <w:r w:rsidR="00CC0586" w:rsidRPr="00201A9A">
        <w:rPr>
          <w:noProof/>
        </w:rPr>
        <w:t>rozporządzenie XX [ustanawiające Europejski Fundusz Społeczny</w:t>
      </w:r>
      <w:r w:rsidRPr="00201A9A">
        <w:rPr>
          <w:noProof/>
        </w:rPr>
        <w:t xml:space="preserve"> w ram</w:t>
      </w:r>
      <w:r w:rsidR="00CC0586" w:rsidRPr="00201A9A">
        <w:rPr>
          <w:noProof/>
        </w:rPr>
        <w:t>ach funduszu określonego</w:t>
      </w:r>
      <w:r w:rsidRPr="00201A9A">
        <w:rPr>
          <w:noProof/>
        </w:rPr>
        <w:t xml:space="preserve"> w roz</w:t>
      </w:r>
      <w:r w:rsidR="00CC0586" w:rsidRPr="00201A9A">
        <w:rPr>
          <w:noProof/>
        </w:rPr>
        <w:t>porządzeniu (UE) [...] [rozporządzenie PPKR] oraz ustanawiające warunki wdrażania unijnego wsparcia na rzecz wysokiej jakości zatrudnienia, umiejętności</w:t>
      </w:r>
      <w:r w:rsidRPr="00201A9A">
        <w:rPr>
          <w:noProof/>
        </w:rPr>
        <w:t xml:space="preserve"> i włą</w:t>
      </w:r>
      <w:r w:rsidR="00CC0586" w:rsidRPr="00201A9A">
        <w:rPr>
          <w:noProof/>
        </w:rPr>
        <w:t>czenia społecznego na okres 2028–2034];</w:t>
      </w:r>
    </w:p>
    <w:p w14:paraId="40D851F9" w14:textId="5BB2C0A7" w:rsidR="00CC0586" w:rsidRPr="00201A9A" w:rsidRDefault="00201A9A" w:rsidP="00201A9A">
      <w:pPr>
        <w:pStyle w:val="Point2"/>
        <w:rPr>
          <w:noProof/>
        </w:rPr>
      </w:pPr>
      <w:r w:rsidRPr="00201A9A">
        <w:rPr>
          <w:noProof/>
        </w:rPr>
        <w:t>c)</w:t>
      </w:r>
      <w:r w:rsidRPr="00201A9A">
        <w:rPr>
          <w:noProof/>
        </w:rPr>
        <w:tab/>
      </w:r>
      <w:r w:rsidR="00CC0586" w:rsidRPr="00201A9A">
        <w:rPr>
          <w:noProof/>
        </w:rPr>
        <w:t>rozporządzenie XX [ustanawiające wspólną politykę rolną jako część funduszu określonego</w:t>
      </w:r>
      <w:r w:rsidRPr="00201A9A">
        <w:rPr>
          <w:noProof/>
        </w:rPr>
        <w:t xml:space="preserve"> w roz</w:t>
      </w:r>
      <w:r w:rsidR="00CC0586" w:rsidRPr="00201A9A">
        <w:rPr>
          <w:noProof/>
        </w:rPr>
        <w:t>porządzeniu (UE) [...] [rozporządzenie PPKR]</w:t>
      </w:r>
      <w:r w:rsidRPr="00201A9A">
        <w:rPr>
          <w:noProof/>
        </w:rPr>
        <w:t xml:space="preserve"> i ust</w:t>
      </w:r>
      <w:r w:rsidR="00CC0586" w:rsidRPr="00201A9A">
        <w:rPr>
          <w:noProof/>
        </w:rPr>
        <w:t>anawiające warunki wdrażania wsparcia Unii</w:t>
      </w:r>
      <w:r w:rsidRPr="00201A9A">
        <w:rPr>
          <w:noProof/>
        </w:rPr>
        <w:t xml:space="preserve"> w cel</w:t>
      </w:r>
      <w:r w:rsidR="00CC0586" w:rsidRPr="00201A9A">
        <w:rPr>
          <w:noProof/>
        </w:rPr>
        <w:t>u wsparcia realizacji wspólnej polityki rolnej (WPR) Unii zgodnie</w:t>
      </w:r>
      <w:r w:rsidRPr="00201A9A">
        <w:rPr>
          <w:noProof/>
        </w:rPr>
        <w:t xml:space="preserve"> z czę</w:t>
      </w:r>
      <w:r w:rsidR="00CC0586" w:rsidRPr="00201A9A">
        <w:rPr>
          <w:noProof/>
        </w:rPr>
        <w:t>ścią III tytuł III TFUE, zapewniające odpowiedni poziom życia ludności wiejskiej</w:t>
      </w:r>
      <w:r w:rsidRPr="00201A9A">
        <w:rPr>
          <w:noProof/>
        </w:rPr>
        <w:t xml:space="preserve"> i dos</w:t>
      </w:r>
      <w:r w:rsidR="00CC0586" w:rsidRPr="00201A9A">
        <w:rPr>
          <w:noProof/>
        </w:rPr>
        <w:t>tępność żywności, zwiększające wydajność rolnictwa, stabilizujące rynki oraz wspierające długoterminowe bezpieczeństwo żywnościowe na okres 2028–2034];</w:t>
      </w:r>
    </w:p>
    <w:p w14:paraId="45CD9BDE" w14:textId="303EBCB5" w:rsidR="00CC0586" w:rsidRPr="00201A9A" w:rsidRDefault="00201A9A" w:rsidP="00201A9A">
      <w:pPr>
        <w:pStyle w:val="Point2"/>
        <w:rPr>
          <w:noProof/>
        </w:rPr>
      </w:pPr>
      <w:r w:rsidRPr="00201A9A">
        <w:rPr>
          <w:noProof/>
        </w:rPr>
        <w:t>d)</w:t>
      </w:r>
      <w:r w:rsidRPr="00201A9A">
        <w:rPr>
          <w:noProof/>
        </w:rPr>
        <w:tab/>
      </w:r>
      <w:r w:rsidR="00CC0586" w:rsidRPr="00201A9A">
        <w:rPr>
          <w:noProof/>
        </w:rPr>
        <w:t>rozporządzenie XX [ustanawiające wspólną politykę rybołówstwa</w:t>
      </w:r>
      <w:r w:rsidRPr="00201A9A">
        <w:rPr>
          <w:noProof/>
        </w:rPr>
        <w:t xml:space="preserve"> i uni</w:t>
      </w:r>
      <w:r w:rsidR="00CC0586" w:rsidRPr="00201A9A">
        <w:rPr>
          <w:noProof/>
        </w:rPr>
        <w:t>jną politykę morską jako część funduszu określonego</w:t>
      </w:r>
      <w:r w:rsidRPr="00201A9A">
        <w:rPr>
          <w:noProof/>
        </w:rPr>
        <w:t xml:space="preserve"> w roz</w:t>
      </w:r>
      <w:r w:rsidR="00CC0586" w:rsidRPr="00201A9A">
        <w:rPr>
          <w:noProof/>
        </w:rPr>
        <w:t>porządzeniu (UE) [...] [rozporządzenie PPKR] oraz ustanawiające warunki wdrażania......</w:t>
      </w:r>
      <w:r w:rsidRPr="00201A9A">
        <w:rPr>
          <w:noProof/>
        </w:rPr>
        <w:t xml:space="preserve"> w lat</w:t>
      </w:r>
      <w:r w:rsidR="00CC0586" w:rsidRPr="00201A9A">
        <w:rPr>
          <w:noProof/>
        </w:rPr>
        <w:t>ach 2028–2034];</w:t>
      </w:r>
    </w:p>
    <w:p w14:paraId="7BE16864" w14:textId="0EC05CFB" w:rsidR="00B45298" w:rsidRPr="00201A9A" w:rsidRDefault="00201A9A" w:rsidP="00201A9A">
      <w:pPr>
        <w:pStyle w:val="Point2"/>
        <w:rPr>
          <w:noProof/>
        </w:rPr>
      </w:pPr>
      <w:r w:rsidRPr="00201A9A">
        <w:rPr>
          <w:noProof/>
        </w:rPr>
        <w:t>e)</w:t>
      </w:r>
      <w:r w:rsidRPr="00201A9A">
        <w:rPr>
          <w:noProof/>
        </w:rPr>
        <w:tab/>
      </w:r>
      <w:r w:rsidR="00B45298" w:rsidRPr="00201A9A">
        <w:rPr>
          <w:noProof/>
        </w:rPr>
        <w:t>rozporządzenie (UE) [...] ustanawiające unijne wsparcie na rzecz azylu, migracji</w:t>
      </w:r>
      <w:r w:rsidRPr="00201A9A">
        <w:rPr>
          <w:noProof/>
        </w:rPr>
        <w:t xml:space="preserve"> i int</w:t>
      </w:r>
      <w:r w:rsidR="00B45298" w:rsidRPr="00201A9A">
        <w:rPr>
          <w:noProof/>
        </w:rPr>
        <w:t>egracji na lata 2028–2034;</w:t>
      </w:r>
    </w:p>
    <w:p w14:paraId="116EAEE1" w14:textId="55383F4F" w:rsidR="00B45298" w:rsidRPr="00201A9A" w:rsidRDefault="00201A9A" w:rsidP="00201A9A">
      <w:pPr>
        <w:pStyle w:val="Point2"/>
        <w:rPr>
          <w:noProof/>
        </w:rPr>
      </w:pPr>
      <w:r w:rsidRPr="00201A9A">
        <w:rPr>
          <w:noProof/>
        </w:rPr>
        <w:t>f)</w:t>
      </w:r>
      <w:r w:rsidRPr="00201A9A">
        <w:rPr>
          <w:noProof/>
        </w:rPr>
        <w:tab/>
      </w:r>
      <w:r w:rsidR="00B45298" w:rsidRPr="00201A9A">
        <w:rPr>
          <w:noProof/>
        </w:rPr>
        <w:t>rozporządzenie (UE) [...] ustanawiające unijne wsparcie na rzecz europejskiego zintegrowanego zarządzania granicami</w:t>
      </w:r>
      <w:r w:rsidRPr="00201A9A">
        <w:rPr>
          <w:noProof/>
        </w:rPr>
        <w:t xml:space="preserve"> i eur</w:t>
      </w:r>
      <w:r w:rsidR="00B45298" w:rsidRPr="00201A9A">
        <w:rPr>
          <w:noProof/>
        </w:rPr>
        <w:t>opejskiej polityki wizowej na lata 2028–2034;</w:t>
      </w:r>
    </w:p>
    <w:p w14:paraId="5E37AC9A" w14:textId="08B85028" w:rsidR="001A25D8" w:rsidRPr="00201A9A" w:rsidRDefault="00201A9A" w:rsidP="00201A9A">
      <w:pPr>
        <w:pStyle w:val="Point2"/>
        <w:rPr>
          <w:noProof/>
        </w:rPr>
      </w:pPr>
      <w:r w:rsidRPr="00201A9A">
        <w:rPr>
          <w:noProof/>
        </w:rPr>
        <w:t>g)</w:t>
      </w:r>
      <w:r w:rsidRPr="00201A9A">
        <w:rPr>
          <w:noProof/>
        </w:rPr>
        <w:tab/>
      </w:r>
      <w:r w:rsidR="00B45298" w:rsidRPr="00201A9A">
        <w:rPr>
          <w:noProof/>
        </w:rPr>
        <w:t>rozporządzenie (UE) [...] ustanawiające unijne wsparcie na rzecz bezpieczeństwa wewnętrznego na lata 2028–2034;</w:t>
      </w:r>
    </w:p>
    <w:p w14:paraId="18E578FF" w14:textId="4B9A9ABF" w:rsidR="001A25D8" w:rsidRPr="00201A9A" w:rsidRDefault="00201A9A" w:rsidP="00201A9A">
      <w:pPr>
        <w:pStyle w:val="Point2"/>
        <w:rPr>
          <w:noProof/>
        </w:rPr>
      </w:pPr>
      <w:r w:rsidRPr="00201A9A">
        <w:rPr>
          <w:noProof/>
        </w:rPr>
        <w:t>h)</w:t>
      </w:r>
      <w:r w:rsidRPr="00201A9A">
        <w:rPr>
          <w:noProof/>
        </w:rPr>
        <w:tab/>
      </w:r>
      <w:r w:rsidR="001A25D8" w:rsidRPr="00201A9A">
        <w:rPr>
          <w:noProof/>
        </w:rPr>
        <w:t>rozporządzenie (UE) 202X/XXXX zmieniające rozporządzenie Parlamentu Europejskiego</w:t>
      </w:r>
      <w:r w:rsidRPr="00201A9A">
        <w:rPr>
          <w:noProof/>
        </w:rPr>
        <w:t xml:space="preserve"> i Rad</w:t>
      </w:r>
      <w:r w:rsidR="001A25D8" w:rsidRPr="00201A9A">
        <w:rPr>
          <w:noProof/>
        </w:rPr>
        <w:t>y (UE) nr</w:t>
      </w:r>
      <w:r w:rsidRPr="00201A9A">
        <w:rPr>
          <w:noProof/>
        </w:rPr>
        <w:t> </w:t>
      </w:r>
      <w:r w:rsidR="001A25D8" w:rsidRPr="00201A9A">
        <w:rPr>
          <w:noProof/>
        </w:rPr>
        <w:t>1308/2013</w:t>
      </w:r>
      <w:r w:rsidR="001A25D8" w:rsidRPr="00201A9A">
        <w:rPr>
          <w:rStyle w:val="FootnoteReference"/>
          <w:noProof/>
        </w:rPr>
        <w:footnoteReference w:id="16"/>
      </w:r>
      <w:r w:rsidRPr="00201A9A">
        <w:rPr>
          <w:noProof/>
        </w:rPr>
        <w:t xml:space="preserve"> w odn</w:t>
      </w:r>
      <w:r w:rsidR="001A25D8" w:rsidRPr="00201A9A">
        <w:rPr>
          <w:noProof/>
        </w:rPr>
        <w:t>iesieniu do programu „Owoce, warzywa</w:t>
      </w:r>
      <w:r w:rsidRPr="00201A9A">
        <w:rPr>
          <w:noProof/>
        </w:rPr>
        <w:t xml:space="preserve"> i mle</w:t>
      </w:r>
      <w:r w:rsidR="001A25D8" w:rsidRPr="00201A9A">
        <w:rPr>
          <w:noProof/>
        </w:rPr>
        <w:t>ko</w:t>
      </w:r>
      <w:r w:rsidRPr="00201A9A">
        <w:rPr>
          <w:noProof/>
        </w:rPr>
        <w:t xml:space="preserve"> w szk</w:t>
      </w:r>
      <w:r w:rsidR="001A25D8" w:rsidRPr="00201A9A">
        <w:rPr>
          <w:noProof/>
        </w:rPr>
        <w:t>ole” („unijny program dla szkół”), interwencji</w:t>
      </w:r>
      <w:r w:rsidRPr="00201A9A">
        <w:rPr>
          <w:noProof/>
        </w:rPr>
        <w:t xml:space="preserve"> w nie</w:t>
      </w:r>
      <w:r w:rsidR="001A25D8" w:rsidRPr="00201A9A">
        <w:rPr>
          <w:noProof/>
        </w:rPr>
        <w:t>których sektorach, utworzenia sektora roślin wysokobiałkowych, wymogów dotyczących konopi, możliwości ustanowienia norm handlowych dotyczących sera, roślin wysokobiałkowych</w:t>
      </w:r>
      <w:r w:rsidRPr="00201A9A">
        <w:rPr>
          <w:noProof/>
        </w:rPr>
        <w:t xml:space="preserve"> i mię</w:t>
      </w:r>
      <w:r w:rsidR="001A25D8" w:rsidRPr="00201A9A">
        <w:rPr>
          <w:noProof/>
        </w:rPr>
        <w:t>sa, stosowania dodatkowych należności celnych przywozowych, przepisów dotyczących dostępności dostaw</w:t>
      </w:r>
      <w:r w:rsidRPr="00201A9A">
        <w:rPr>
          <w:noProof/>
        </w:rPr>
        <w:t xml:space="preserve"> w cza</w:t>
      </w:r>
      <w:r w:rsidR="001A25D8" w:rsidRPr="00201A9A">
        <w:rPr>
          <w:noProof/>
        </w:rPr>
        <w:t>sie sytuacji nadzwyczajnych</w:t>
      </w:r>
      <w:r w:rsidRPr="00201A9A">
        <w:rPr>
          <w:noProof/>
        </w:rPr>
        <w:t xml:space="preserve"> i pow</w:t>
      </w:r>
      <w:r w:rsidR="001A25D8" w:rsidRPr="00201A9A">
        <w:rPr>
          <w:noProof/>
        </w:rPr>
        <w:t>ażnych kryzysów,</w:t>
      </w:r>
      <w:r w:rsidRPr="00201A9A">
        <w:rPr>
          <w:noProof/>
        </w:rPr>
        <w:t xml:space="preserve"> w zak</w:t>
      </w:r>
      <w:r w:rsidR="001A25D8" w:rsidRPr="00201A9A">
        <w:rPr>
          <w:noProof/>
        </w:rPr>
        <w:t>resie istotnym dla wsparcia na podstawie niniejszego rozporządzenia.</w:t>
      </w:r>
    </w:p>
    <w:p w14:paraId="365F9B70" w14:textId="2E522EF8" w:rsidR="499C6D4C" w:rsidRPr="00201A9A" w:rsidRDefault="499C6D4C" w:rsidP="006125B0">
      <w:pPr>
        <w:pStyle w:val="Text1"/>
        <w:rPr>
          <w:noProof/>
        </w:rPr>
      </w:pPr>
      <w:r w:rsidRPr="00201A9A">
        <w:rPr>
          <w:noProof/>
        </w:rPr>
        <w:t>W przypadku wątpliwości dotyczących stosowania niniejszego rozporządzenia oraz szczegółowych przepisów dotyczących danej polityki,</w:t>
      </w:r>
      <w:r w:rsidR="00201A9A" w:rsidRPr="00201A9A">
        <w:rPr>
          <w:noProof/>
        </w:rPr>
        <w:t xml:space="preserve"> o któ</w:t>
      </w:r>
      <w:r w:rsidRPr="00201A9A">
        <w:rPr>
          <w:noProof/>
        </w:rPr>
        <w:t>rych mowa</w:t>
      </w:r>
      <w:r w:rsidR="00201A9A" w:rsidRPr="00201A9A">
        <w:rPr>
          <w:noProof/>
        </w:rPr>
        <w:t xml:space="preserve"> w aka</w:t>
      </w:r>
      <w:r w:rsidRPr="00201A9A">
        <w:rPr>
          <w:noProof/>
        </w:rPr>
        <w:t>picie pierwszym, niniejsze rozporządzenie ma charakter nadrzędny.</w:t>
      </w:r>
    </w:p>
    <w:p w14:paraId="0CDAF880" w14:textId="77777777" w:rsidR="009418A6" w:rsidRPr="00201A9A" w:rsidRDefault="009418A6" w:rsidP="009418A6">
      <w:pPr>
        <w:pStyle w:val="Titrearticle"/>
        <w:rPr>
          <w:noProof/>
        </w:rPr>
      </w:pPr>
      <w:r w:rsidRPr="00201A9A">
        <w:rPr>
          <w:noProof/>
        </w:rPr>
        <w:t xml:space="preserve">Artykuł 2 </w:t>
      </w:r>
      <w:r w:rsidRPr="00201A9A">
        <w:rPr>
          <w:noProof/>
        </w:rPr>
        <w:br/>
      </w:r>
      <w:r w:rsidRPr="00201A9A">
        <w:rPr>
          <w:b/>
          <w:noProof/>
        </w:rPr>
        <w:t>Cele ogólne Funduszu</w:t>
      </w:r>
    </w:p>
    <w:p w14:paraId="477BEDB0" w14:textId="63DBF9D5" w:rsidR="009418A6" w:rsidRPr="00201A9A" w:rsidRDefault="009418A6" w:rsidP="003E2902">
      <w:pPr>
        <w:pStyle w:val="NumPar10000000"/>
        <w:numPr>
          <w:ilvl w:val="0"/>
          <w:numId w:val="38"/>
        </w:numPr>
        <w:rPr>
          <w:noProof/>
        </w:rPr>
      </w:pPr>
      <w:r w:rsidRPr="00201A9A">
        <w:rPr>
          <w:noProof/>
        </w:rPr>
        <w:t>Mając na uwadze ogólny cel, jakim jest promowanie spójności gospodarczej, społecznej</w:t>
      </w:r>
      <w:r w:rsidR="00201A9A" w:rsidRPr="00201A9A">
        <w:rPr>
          <w:noProof/>
        </w:rPr>
        <w:t xml:space="preserve"> i ter</w:t>
      </w:r>
      <w:r w:rsidRPr="00201A9A">
        <w:rPr>
          <w:noProof/>
        </w:rPr>
        <w:t>ytorialnej, zrównoważonego rozwoju</w:t>
      </w:r>
      <w:r w:rsidR="00201A9A" w:rsidRPr="00201A9A">
        <w:rPr>
          <w:noProof/>
        </w:rPr>
        <w:t xml:space="preserve"> i kon</w:t>
      </w:r>
      <w:r w:rsidRPr="00201A9A">
        <w:rPr>
          <w:noProof/>
        </w:rPr>
        <w:t>kurencyjności Unii, jej bezpieczeństwa</w:t>
      </w:r>
      <w:r w:rsidR="00201A9A" w:rsidRPr="00201A9A">
        <w:rPr>
          <w:noProof/>
        </w:rPr>
        <w:t xml:space="preserve"> i got</w:t>
      </w:r>
      <w:r w:rsidRPr="00201A9A">
        <w:rPr>
          <w:noProof/>
        </w:rPr>
        <w:t>owości, Fundusz wspiera następujące cele ogólne:</w:t>
      </w:r>
    </w:p>
    <w:p w14:paraId="785A52B3" w14:textId="096ED4E2" w:rsidR="009418A6" w:rsidRPr="00201A9A" w:rsidRDefault="00201A9A" w:rsidP="00201A9A">
      <w:pPr>
        <w:pStyle w:val="Point1"/>
        <w:rPr>
          <w:noProof/>
        </w:rPr>
      </w:pPr>
      <w:r w:rsidRPr="00201A9A">
        <w:rPr>
          <w:noProof/>
        </w:rPr>
        <w:t>a)</w:t>
      </w:r>
      <w:r w:rsidRPr="00201A9A">
        <w:rPr>
          <w:noProof/>
        </w:rPr>
        <w:tab/>
      </w:r>
      <w:r w:rsidR="00D72E1F" w:rsidRPr="00201A9A">
        <w:rPr>
          <w:noProof/>
        </w:rPr>
        <w:t>zmniejszenie dysproporcji regionalnych</w:t>
      </w:r>
      <w:r w:rsidRPr="00201A9A">
        <w:rPr>
          <w:noProof/>
        </w:rPr>
        <w:t xml:space="preserve"> w Uni</w:t>
      </w:r>
      <w:r w:rsidR="00D72E1F" w:rsidRPr="00201A9A">
        <w:rPr>
          <w:noProof/>
        </w:rPr>
        <w:t>i</w:t>
      </w:r>
      <w:r w:rsidRPr="00201A9A">
        <w:rPr>
          <w:noProof/>
        </w:rPr>
        <w:t xml:space="preserve"> i zac</w:t>
      </w:r>
      <w:r w:rsidR="00D72E1F" w:rsidRPr="00201A9A">
        <w:rPr>
          <w:noProof/>
        </w:rPr>
        <w:t>ofania regionów najmniej uprzywilejowanych oraz promowanie europejskiej współpracy terytorialnej zgodnie</w:t>
      </w:r>
      <w:r w:rsidRPr="00201A9A">
        <w:rPr>
          <w:noProof/>
        </w:rPr>
        <w:t xml:space="preserve"> z czę</w:t>
      </w:r>
      <w:r w:rsidR="00D72E1F" w:rsidRPr="00201A9A">
        <w:rPr>
          <w:noProof/>
        </w:rPr>
        <w:t>ścią trzecią tytuł XVIII TFUE,</w:t>
      </w:r>
      <w:r w:rsidRPr="00201A9A">
        <w:rPr>
          <w:noProof/>
        </w:rPr>
        <w:t xml:space="preserve"> w tym</w:t>
      </w:r>
      <w:r w:rsidR="00D72E1F" w:rsidRPr="00201A9A">
        <w:rPr>
          <w:noProof/>
        </w:rPr>
        <w:t xml:space="preserve"> wspieranie projektów</w:t>
      </w:r>
      <w:r w:rsidRPr="00201A9A">
        <w:rPr>
          <w:noProof/>
        </w:rPr>
        <w:t xml:space="preserve"> w dzi</w:t>
      </w:r>
      <w:r w:rsidR="00D72E1F" w:rsidRPr="00201A9A">
        <w:rPr>
          <w:noProof/>
        </w:rPr>
        <w:t>edzinach środowiska</w:t>
      </w:r>
      <w:r w:rsidRPr="00201A9A">
        <w:rPr>
          <w:noProof/>
        </w:rPr>
        <w:t xml:space="preserve"> i sie</w:t>
      </w:r>
      <w:r w:rsidR="00D72E1F" w:rsidRPr="00201A9A">
        <w:rPr>
          <w:noProof/>
        </w:rPr>
        <w:t>ci transeuropejskich</w:t>
      </w:r>
      <w:r w:rsidRPr="00201A9A">
        <w:rPr>
          <w:noProof/>
        </w:rPr>
        <w:t xml:space="preserve"> w zak</w:t>
      </w:r>
      <w:r w:rsidR="00D72E1F" w:rsidRPr="00201A9A">
        <w:rPr>
          <w:noProof/>
        </w:rPr>
        <w:t>resie infrastruktury transportowej zgodnie</w:t>
      </w:r>
      <w:r w:rsidRPr="00201A9A">
        <w:rPr>
          <w:noProof/>
        </w:rPr>
        <w:t xml:space="preserve"> z art</w:t>
      </w:r>
      <w:r w:rsidR="00D72E1F" w:rsidRPr="00201A9A">
        <w:rPr>
          <w:noProof/>
        </w:rPr>
        <w:t>.</w:t>
      </w:r>
      <w:r w:rsidRPr="00201A9A">
        <w:rPr>
          <w:noProof/>
        </w:rPr>
        <w:t> </w:t>
      </w:r>
      <w:r w:rsidR="00D72E1F" w:rsidRPr="00201A9A">
        <w:rPr>
          <w:noProof/>
        </w:rPr>
        <w:t>177 ust.</w:t>
      </w:r>
      <w:r w:rsidRPr="00201A9A">
        <w:rPr>
          <w:noProof/>
        </w:rPr>
        <w:t> </w:t>
      </w:r>
      <w:r w:rsidR="00D72E1F" w:rsidRPr="00201A9A">
        <w:rPr>
          <w:noProof/>
        </w:rPr>
        <w:t>2 TFUE („Europejski Fundusz Rozwoju Regionalnego</w:t>
      </w:r>
      <w:r w:rsidRPr="00201A9A">
        <w:rPr>
          <w:noProof/>
        </w:rPr>
        <w:t xml:space="preserve"> i Fun</w:t>
      </w:r>
      <w:r w:rsidR="00D72E1F" w:rsidRPr="00201A9A">
        <w:rPr>
          <w:noProof/>
        </w:rPr>
        <w:t>dusz Spójności”);</w:t>
      </w:r>
    </w:p>
    <w:p w14:paraId="3C238E18" w14:textId="2AC9EB62" w:rsidR="009418A6" w:rsidRPr="00201A9A" w:rsidRDefault="00201A9A" w:rsidP="00201A9A">
      <w:pPr>
        <w:pStyle w:val="Point1"/>
        <w:rPr>
          <w:noProof/>
        </w:rPr>
      </w:pPr>
      <w:r w:rsidRPr="00201A9A">
        <w:rPr>
          <w:noProof/>
        </w:rPr>
        <w:t>b)</w:t>
      </w:r>
      <w:r w:rsidRPr="00201A9A">
        <w:rPr>
          <w:noProof/>
        </w:rPr>
        <w:tab/>
      </w:r>
      <w:r w:rsidR="00D72E1F" w:rsidRPr="00201A9A">
        <w:rPr>
          <w:noProof/>
        </w:rPr>
        <w:t>wspieranie wysokiej jakości zatrudnienia, edukacji</w:t>
      </w:r>
      <w:r w:rsidRPr="00201A9A">
        <w:rPr>
          <w:noProof/>
        </w:rPr>
        <w:t xml:space="preserve"> i umi</w:t>
      </w:r>
      <w:r w:rsidR="00D72E1F" w:rsidRPr="00201A9A">
        <w:rPr>
          <w:noProof/>
        </w:rPr>
        <w:t>ejętności oraz włączenia społecznego zgodnie</w:t>
      </w:r>
      <w:r w:rsidRPr="00201A9A">
        <w:rPr>
          <w:noProof/>
        </w:rPr>
        <w:t xml:space="preserve"> z czę</w:t>
      </w:r>
      <w:r w:rsidR="00D72E1F" w:rsidRPr="00201A9A">
        <w:rPr>
          <w:noProof/>
        </w:rPr>
        <w:t>ścią trzecią tytuł XI</w:t>
      </w:r>
      <w:r w:rsidRPr="00201A9A">
        <w:rPr>
          <w:noProof/>
        </w:rPr>
        <w:t xml:space="preserve"> i tyt</w:t>
      </w:r>
      <w:r w:rsidR="00D72E1F" w:rsidRPr="00201A9A">
        <w:rPr>
          <w:noProof/>
        </w:rPr>
        <w:t>uł XVIII TFUE („Europejski Fundusz Społeczny”) oraz przyczynianie się do sprawiedliwej społecznie transformacji</w:t>
      </w:r>
      <w:r w:rsidRPr="00201A9A">
        <w:rPr>
          <w:noProof/>
        </w:rPr>
        <w:t xml:space="preserve"> w kie</w:t>
      </w:r>
      <w:r w:rsidR="00D72E1F" w:rsidRPr="00201A9A">
        <w:rPr>
          <w:noProof/>
        </w:rPr>
        <w:t>runku neutralności klimatycznej zgodnie</w:t>
      </w:r>
      <w:r w:rsidRPr="00201A9A">
        <w:rPr>
          <w:noProof/>
        </w:rPr>
        <w:t xml:space="preserve"> z art</w:t>
      </w:r>
      <w:r w:rsidR="00D72E1F" w:rsidRPr="00201A9A">
        <w:rPr>
          <w:noProof/>
        </w:rPr>
        <w:t>.</w:t>
      </w:r>
      <w:r w:rsidRPr="00201A9A">
        <w:rPr>
          <w:noProof/>
        </w:rPr>
        <w:t> </w:t>
      </w:r>
      <w:r w:rsidR="00D72E1F" w:rsidRPr="00201A9A">
        <w:rPr>
          <w:noProof/>
        </w:rPr>
        <w:t>91 ust.</w:t>
      </w:r>
      <w:r w:rsidRPr="00201A9A">
        <w:rPr>
          <w:noProof/>
        </w:rPr>
        <w:t> </w:t>
      </w:r>
      <w:r w:rsidR="00D72E1F" w:rsidRPr="00201A9A">
        <w:rPr>
          <w:noProof/>
        </w:rPr>
        <w:t>1 lit.</w:t>
      </w:r>
      <w:r w:rsidRPr="00201A9A">
        <w:rPr>
          <w:noProof/>
        </w:rPr>
        <w:t> </w:t>
      </w:r>
      <w:r w:rsidR="00D72E1F" w:rsidRPr="00201A9A">
        <w:rPr>
          <w:noProof/>
        </w:rPr>
        <w:t>d), art.</w:t>
      </w:r>
      <w:r w:rsidRPr="00201A9A">
        <w:rPr>
          <w:noProof/>
        </w:rPr>
        <w:t> </w:t>
      </w:r>
      <w:r w:rsidR="00D72E1F" w:rsidRPr="00201A9A">
        <w:rPr>
          <w:noProof/>
        </w:rPr>
        <w:t>192 ust.</w:t>
      </w:r>
      <w:r w:rsidRPr="00201A9A">
        <w:rPr>
          <w:noProof/>
        </w:rPr>
        <w:t> </w:t>
      </w:r>
      <w:r w:rsidR="00D72E1F" w:rsidRPr="00201A9A">
        <w:rPr>
          <w:noProof/>
        </w:rPr>
        <w:t>1</w:t>
      </w:r>
      <w:r w:rsidRPr="00201A9A">
        <w:rPr>
          <w:noProof/>
        </w:rPr>
        <w:t xml:space="preserve"> i art</w:t>
      </w:r>
      <w:r w:rsidR="00D72E1F" w:rsidRPr="00201A9A">
        <w:rPr>
          <w:noProof/>
        </w:rPr>
        <w:t>.</w:t>
      </w:r>
      <w:r w:rsidRPr="00201A9A">
        <w:rPr>
          <w:noProof/>
        </w:rPr>
        <w:t> </w:t>
      </w:r>
      <w:r w:rsidR="00D72E1F" w:rsidRPr="00201A9A">
        <w:rPr>
          <w:noProof/>
        </w:rPr>
        <w:t>194 ust.</w:t>
      </w:r>
      <w:r w:rsidRPr="00201A9A">
        <w:rPr>
          <w:noProof/>
        </w:rPr>
        <w:t> </w:t>
      </w:r>
      <w:r w:rsidR="00D72E1F" w:rsidRPr="00201A9A">
        <w:rPr>
          <w:noProof/>
        </w:rPr>
        <w:t>2 TFUE;</w:t>
      </w:r>
    </w:p>
    <w:p w14:paraId="3B0F0C4E" w14:textId="5206389E" w:rsidR="009418A6" w:rsidRPr="00201A9A" w:rsidRDefault="00201A9A" w:rsidP="00201A9A">
      <w:pPr>
        <w:pStyle w:val="Point1"/>
        <w:rPr>
          <w:noProof/>
        </w:rPr>
      </w:pPr>
      <w:r w:rsidRPr="00201A9A">
        <w:rPr>
          <w:noProof/>
        </w:rPr>
        <w:t>c)</w:t>
      </w:r>
      <w:r w:rsidRPr="00201A9A">
        <w:rPr>
          <w:noProof/>
        </w:rPr>
        <w:tab/>
      </w:r>
      <w:r w:rsidR="001620E7" w:rsidRPr="00201A9A">
        <w:rPr>
          <w:noProof/>
        </w:rPr>
        <w:t>wspieranie wdrażania WPR Unii zgodnie</w:t>
      </w:r>
      <w:r w:rsidRPr="00201A9A">
        <w:rPr>
          <w:noProof/>
        </w:rPr>
        <w:t xml:space="preserve"> z czę</w:t>
      </w:r>
      <w:r w:rsidR="001620E7" w:rsidRPr="00201A9A">
        <w:rPr>
          <w:noProof/>
        </w:rPr>
        <w:t>ścią trzecią tytuł III TFUE;</w:t>
      </w:r>
      <w:r w:rsidRPr="00201A9A">
        <w:rPr>
          <w:noProof/>
        </w:rPr>
        <w:t xml:space="preserve"> </w:t>
      </w:r>
    </w:p>
    <w:p w14:paraId="4B57E128" w14:textId="4DD1736D" w:rsidR="46ABF315" w:rsidRPr="00201A9A" w:rsidRDefault="00201A9A" w:rsidP="00201A9A">
      <w:pPr>
        <w:pStyle w:val="Point1"/>
        <w:rPr>
          <w:noProof/>
        </w:rPr>
      </w:pPr>
      <w:r w:rsidRPr="00201A9A">
        <w:rPr>
          <w:noProof/>
        </w:rPr>
        <w:t>d)</w:t>
      </w:r>
      <w:r w:rsidRPr="00201A9A">
        <w:rPr>
          <w:noProof/>
        </w:rPr>
        <w:tab/>
      </w:r>
      <w:r w:rsidR="739DC2F4" w:rsidRPr="00201A9A">
        <w:rPr>
          <w:noProof/>
        </w:rPr>
        <w:t>wspieranie wdrażania wspólnej polityki rybołówstwa Unii zgodnie</w:t>
      </w:r>
      <w:r w:rsidRPr="00201A9A">
        <w:rPr>
          <w:noProof/>
        </w:rPr>
        <w:t xml:space="preserve"> z czę</w:t>
      </w:r>
      <w:r w:rsidR="739DC2F4" w:rsidRPr="00201A9A">
        <w:rPr>
          <w:noProof/>
        </w:rPr>
        <w:t>ścią trzecią tytuł III TFUE;</w:t>
      </w:r>
      <w:r w:rsidRPr="00201A9A">
        <w:rPr>
          <w:noProof/>
        </w:rPr>
        <w:t xml:space="preserve"> </w:t>
      </w:r>
    </w:p>
    <w:p w14:paraId="056586B0" w14:textId="5B80F2D8" w:rsidR="009418A6" w:rsidRPr="00201A9A" w:rsidRDefault="00201A9A" w:rsidP="00201A9A">
      <w:pPr>
        <w:pStyle w:val="Point1"/>
        <w:rPr>
          <w:noProof/>
        </w:rPr>
      </w:pPr>
      <w:r w:rsidRPr="00201A9A">
        <w:rPr>
          <w:noProof/>
        </w:rPr>
        <w:t>e)</w:t>
      </w:r>
      <w:r w:rsidRPr="00201A9A">
        <w:rPr>
          <w:noProof/>
        </w:rPr>
        <w:tab/>
      </w:r>
      <w:r w:rsidR="001620E7" w:rsidRPr="00201A9A">
        <w:rPr>
          <w:noProof/>
        </w:rPr>
        <w:t>ochrona</w:t>
      </w:r>
      <w:r w:rsidRPr="00201A9A">
        <w:rPr>
          <w:noProof/>
        </w:rPr>
        <w:t xml:space="preserve"> i uma</w:t>
      </w:r>
      <w:r w:rsidR="001620E7" w:rsidRPr="00201A9A">
        <w:rPr>
          <w:noProof/>
        </w:rPr>
        <w:t>cnianie demokracji</w:t>
      </w:r>
      <w:r w:rsidRPr="00201A9A">
        <w:rPr>
          <w:noProof/>
        </w:rPr>
        <w:t xml:space="preserve"> w Uni</w:t>
      </w:r>
      <w:r w:rsidR="001620E7" w:rsidRPr="00201A9A">
        <w:rPr>
          <w:noProof/>
        </w:rPr>
        <w:t>i oraz umacnianie wartości Unii zgodnie</w:t>
      </w:r>
      <w:r w:rsidRPr="00201A9A">
        <w:rPr>
          <w:noProof/>
        </w:rPr>
        <w:t xml:space="preserve"> z art</w:t>
      </w:r>
      <w:r w:rsidR="001620E7" w:rsidRPr="00201A9A">
        <w:rPr>
          <w:noProof/>
        </w:rPr>
        <w:t>.</w:t>
      </w:r>
      <w:r w:rsidRPr="00201A9A">
        <w:rPr>
          <w:noProof/>
        </w:rPr>
        <w:t> </w:t>
      </w:r>
      <w:r w:rsidR="001620E7" w:rsidRPr="00201A9A">
        <w:rPr>
          <w:noProof/>
        </w:rPr>
        <w:t>2 TUE.</w:t>
      </w:r>
    </w:p>
    <w:p w14:paraId="22ECC889" w14:textId="77777777" w:rsidR="009418A6" w:rsidRPr="00201A9A" w:rsidRDefault="009418A6" w:rsidP="009418A6">
      <w:pPr>
        <w:pStyle w:val="Titrearticle"/>
        <w:rPr>
          <w:b/>
          <w:bCs/>
          <w:noProof/>
        </w:rPr>
      </w:pPr>
      <w:r w:rsidRPr="00201A9A">
        <w:rPr>
          <w:noProof/>
        </w:rPr>
        <w:t xml:space="preserve">Artykuł 3 </w:t>
      </w:r>
      <w:r w:rsidRPr="00201A9A">
        <w:rPr>
          <w:noProof/>
        </w:rPr>
        <w:br/>
      </w:r>
      <w:r w:rsidRPr="00201A9A">
        <w:rPr>
          <w:b/>
          <w:noProof/>
        </w:rPr>
        <w:t>Cele szczegółowe Funduszu</w:t>
      </w:r>
    </w:p>
    <w:p w14:paraId="70D5E4E4" w14:textId="701F1FBF" w:rsidR="004E1B83" w:rsidRPr="00201A9A" w:rsidRDefault="004E1B83" w:rsidP="003E2902">
      <w:pPr>
        <w:pStyle w:val="NumPar10000000"/>
        <w:numPr>
          <w:ilvl w:val="0"/>
          <w:numId w:val="74"/>
        </w:numPr>
        <w:rPr>
          <w:noProof/>
        </w:rPr>
      </w:pPr>
      <w:r w:rsidRPr="00201A9A">
        <w:rPr>
          <w:noProof/>
        </w:rPr>
        <w:t>Cele ogólne,</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2, są realizowane we wszystkich regionach</w:t>
      </w:r>
      <w:r w:rsidR="00201A9A" w:rsidRPr="00201A9A">
        <w:rPr>
          <w:noProof/>
        </w:rPr>
        <w:t xml:space="preserve"> w ram</w:t>
      </w:r>
      <w:r w:rsidRPr="00201A9A">
        <w:rPr>
          <w:noProof/>
        </w:rPr>
        <w:t>ach następujących celów szczegółowych:</w:t>
      </w:r>
    </w:p>
    <w:p w14:paraId="58BAF6B6" w14:textId="75F31E86" w:rsidR="004E1B83" w:rsidRPr="00201A9A" w:rsidRDefault="00201A9A" w:rsidP="00201A9A">
      <w:pPr>
        <w:pStyle w:val="Point1"/>
        <w:rPr>
          <w:noProof/>
        </w:rPr>
      </w:pPr>
      <w:r w:rsidRPr="00201A9A">
        <w:rPr>
          <w:noProof/>
        </w:rPr>
        <w:t>a)</w:t>
      </w:r>
      <w:r w:rsidRPr="00201A9A">
        <w:rPr>
          <w:noProof/>
        </w:rPr>
        <w:tab/>
      </w:r>
      <w:r w:rsidR="008548B8" w:rsidRPr="00201A9A">
        <w:rPr>
          <w:noProof/>
        </w:rPr>
        <w:t>wspieranie trwałego dobrobytu Unii we wszystkich regionach poprzez:</w:t>
      </w:r>
    </w:p>
    <w:p w14:paraId="179795F0" w14:textId="487F8D96" w:rsidR="004E1B83" w:rsidRPr="00201A9A" w:rsidRDefault="004E1B83" w:rsidP="003E2902">
      <w:pPr>
        <w:pStyle w:val="Point2n"/>
        <w:numPr>
          <w:ilvl w:val="0"/>
          <w:numId w:val="20"/>
        </w:numPr>
        <w:spacing w:line="240" w:lineRule="auto"/>
        <w:jc w:val="both"/>
        <w:rPr>
          <w:noProof/>
        </w:rPr>
      </w:pPr>
      <w:r w:rsidRPr="00201A9A">
        <w:rPr>
          <w:noProof/>
        </w:rPr>
        <w:t>zwiększenie atrakcyjności terytoriów</w:t>
      </w:r>
      <w:r w:rsidR="00201A9A" w:rsidRPr="00201A9A">
        <w:rPr>
          <w:noProof/>
        </w:rPr>
        <w:t xml:space="preserve"> w cel</w:t>
      </w:r>
      <w:r w:rsidRPr="00201A9A">
        <w:rPr>
          <w:noProof/>
        </w:rPr>
        <w:t>u wspierania prawa do pozostania,</w:t>
      </w:r>
      <w:r w:rsidR="00201A9A" w:rsidRPr="00201A9A">
        <w:rPr>
          <w:noProof/>
        </w:rPr>
        <w:t xml:space="preserve"> w tym</w:t>
      </w:r>
      <w:r w:rsidRPr="00201A9A">
        <w:rPr>
          <w:noProof/>
        </w:rPr>
        <w:t xml:space="preserve"> przez wspieranie strategii na rzecz zintegrowanego rozwoju obszarów miejskich</w:t>
      </w:r>
      <w:r w:rsidR="00201A9A" w:rsidRPr="00201A9A">
        <w:rPr>
          <w:noProof/>
        </w:rPr>
        <w:t xml:space="preserve"> i wie</w:t>
      </w:r>
      <w:r w:rsidRPr="00201A9A">
        <w:rPr>
          <w:noProof/>
        </w:rPr>
        <w:t>jskich,</w:t>
      </w:r>
      <w:r w:rsidR="00201A9A" w:rsidRPr="00201A9A">
        <w:rPr>
          <w:noProof/>
        </w:rPr>
        <w:t xml:space="preserve"> w tym</w:t>
      </w:r>
      <w:r w:rsidRPr="00201A9A">
        <w:rPr>
          <w:noProof/>
        </w:rPr>
        <w:t xml:space="preserve"> wspieranie usług terytorialnych</w:t>
      </w:r>
      <w:r w:rsidR="00201A9A" w:rsidRPr="00201A9A">
        <w:rPr>
          <w:noProof/>
        </w:rPr>
        <w:t xml:space="preserve"> i inf</w:t>
      </w:r>
      <w:r w:rsidRPr="00201A9A">
        <w:rPr>
          <w:noProof/>
        </w:rPr>
        <w:t>rastruktury;</w:t>
      </w:r>
    </w:p>
    <w:p w14:paraId="2D5FC84B" w14:textId="5B865F3A" w:rsidR="004E1B83" w:rsidRPr="00201A9A" w:rsidRDefault="004E1B83" w:rsidP="00BD329E">
      <w:pPr>
        <w:pStyle w:val="Point2n"/>
        <w:spacing w:line="240" w:lineRule="auto"/>
        <w:jc w:val="both"/>
        <w:rPr>
          <w:noProof/>
        </w:rPr>
      </w:pPr>
      <w:r w:rsidRPr="00201A9A">
        <w:rPr>
          <w:noProof/>
        </w:rPr>
        <w:t>wzmocnienie bazy przemysłowej Unii, odpornych łańcuchów dostaw oraz pobudzenie zrównoważonej</w:t>
      </w:r>
      <w:r w:rsidR="00201A9A" w:rsidRPr="00201A9A">
        <w:rPr>
          <w:noProof/>
        </w:rPr>
        <w:t xml:space="preserve"> i kon</w:t>
      </w:r>
      <w:r w:rsidRPr="00201A9A">
        <w:rPr>
          <w:noProof/>
        </w:rPr>
        <w:t>kurencyjnej produkcji,</w:t>
      </w:r>
      <w:r w:rsidR="00201A9A" w:rsidRPr="00201A9A">
        <w:rPr>
          <w:noProof/>
        </w:rPr>
        <w:t xml:space="preserve"> w szc</w:t>
      </w:r>
      <w:r w:rsidRPr="00201A9A">
        <w:rPr>
          <w:noProof/>
        </w:rPr>
        <w:t>zególności</w:t>
      </w:r>
      <w:r w:rsidR="00201A9A" w:rsidRPr="00201A9A">
        <w:rPr>
          <w:noProof/>
        </w:rPr>
        <w:t xml:space="preserve"> w obs</w:t>
      </w:r>
      <w:r w:rsidRPr="00201A9A">
        <w:rPr>
          <w:noProof/>
        </w:rPr>
        <w:t>zarze technologii neutralnych emisyjnie</w:t>
      </w:r>
      <w:r w:rsidR="00201A9A" w:rsidRPr="00201A9A">
        <w:rPr>
          <w:noProof/>
        </w:rPr>
        <w:t xml:space="preserve"> i tec</w:t>
      </w:r>
      <w:r w:rsidRPr="00201A9A">
        <w:rPr>
          <w:noProof/>
        </w:rPr>
        <w:t>hnologii surowców krytycznych, ze szczególnym uwzględnieniem konkurencyjności małych</w:t>
      </w:r>
      <w:r w:rsidR="00201A9A" w:rsidRPr="00201A9A">
        <w:rPr>
          <w:noProof/>
        </w:rPr>
        <w:t xml:space="preserve"> i śre</w:t>
      </w:r>
      <w:r w:rsidRPr="00201A9A">
        <w:rPr>
          <w:noProof/>
        </w:rPr>
        <w:t xml:space="preserve">dnich przedsiębiorstw, </w:t>
      </w:r>
      <w:r w:rsidRPr="00201A9A">
        <w:rPr>
          <w:noProof/>
          <w:u w:val="single"/>
        </w:rPr>
        <w:t>biorąc</w:t>
      </w:r>
      <w:r w:rsidR="00201A9A" w:rsidRPr="00201A9A">
        <w:rPr>
          <w:noProof/>
          <w:u w:val="single"/>
        </w:rPr>
        <w:t xml:space="preserve"> w peł</w:t>
      </w:r>
      <w:r w:rsidRPr="00201A9A">
        <w:rPr>
          <w:noProof/>
          <w:u w:val="single"/>
        </w:rPr>
        <w:t>ni pod uwagę ambicje środowiskowe</w:t>
      </w:r>
      <w:r w:rsidR="00201A9A" w:rsidRPr="00201A9A">
        <w:rPr>
          <w:noProof/>
          <w:u w:val="single"/>
        </w:rPr>
        <w:t xml:space="preserve"> i kli</w:t>
      </w:r>
      <w:r w:rsidRPr="00201A9A">
        <w:rPr>
          <w:noProof/>
          <w:u w:val="single"/>
        </w:rPr>
        <w:t>matyczne</w:t>
      </w:r>
      <w:r w:rsidR="00201A9A" w:rsidRPr="00201A9A">
        <w:rPr>
          <w:noProof/>
          <w:u w:val="single"/>
        </w:rPr>
        <w:t xml:space="preserve"> z myś</w:t>
      </w:r>
      <w:r w:rsidRPr="00201A9A">
        <w:rPr>
          <w:noProof/>
          <w:u w:val="single"/>
        </w:rPr>
        <w:t>lą</w:t>
      </w:r>
      <w:r w:rsidR="00201A9A" w:rsidRPr="00201A9A">
        <w:rPr>
          <w:noProof/>
          <w:u w:val="single"/>
        </w:rPr>
        <w:t xml:space="preserve"> o prz</w:t>
      </w:r>
      <w:r w:rsidRPr="00201A9A">
        <w:rPr>
          <w:noProof/>
          <w:u w:val="single"/>
        </w:rPr>
        <w:t>yspieszeniu czystej transformacji przemysłowej;</w:t>
      </w:r>
      <w:r w:rsidRPr="00201A9A">
        <w:rPr>
          <w:noProof/>
        </w:rPr>
        <w:t xml:space="preserve"> </w:t>
      </w:r>
    </w:p>
    <w:p w14:paraId="4E93B040" w14:textId="6636239C" w:rsidR="004E1B83" w:rsidRPr="00201A9A" w:rsidRDefault="004E1B83" w:rsidP="00BD329E">
      <w:pPr>
        <w:pStyle w:val="Point2n"/>
        <w:spacing w:line="240" w:lineRule="auto"/>
        <w:jc w:val="both"/>
        <w:rPr>
          <w:noProof/>
        </w:rPr>
      </w:pPr>
      <w:r w:rsidRPr="00201A9A">
        <w:rPr>
          <w:noProof/>
        </w:rPr>
        <w:t>wspieranie sprawiedliwej transformacji</w:t>
      </w:r>
      <w:r w:rsidR="00201A9A" w:rsidRPr="00201A9A">
        <w:rPr>
          <w:noProof/>
        </w:rPr>
        <w:t xml:space="preserve"> w rea</w:t>
      </w:r>
      <w:r w:rsidRPr="00201A9A">
        <w:rPr>
          <w:noProof/>
        </w:rPr>
        <w:t>lizacji celów Unii</w:t>
      </w:r>
      <w:r w:rsidR="00201A9A" w:rsidRPr="00201A9A">
        <w:rPr>
          <w:noProof/>
        </w:rPr>
        <w:t xml:space="preserve"> w dzi</w:t>
      </w:r>
      <w:r w:rsidRPr="00201A9A">
        <w:rPr>
          <w:noProof/>
        </w:rPr>
        <w:t>edzinie energii</w:t>
      </w:r>
      <w:r w:rsidR="00201A9A" w:rsidRPr="00201A9A">
        <w:rPr>
          <w:noProof/>
        </w:rPr>
        <w:t xml:space="preserve"> i kli</w:t>
      </w:r>
      <w:r w:rsidRPr="00201A9A">
        <w:rPr>
          <w:noProof/>
        </w:rPr>
        <w:t>matu na lata 2030, 2040</w:t>
      </w:r>
      <w:r w:rsidR="00201A9A" w:rsidRPr="00201A9A">
        <w:rPr>
          <w:noProof/>
        </w:rPr>
        <w:t xml:space="preserve"> i 2</w:t>
      </w:r>
      <w:r w:rsidRPr="00201A9A">
        <w:rPr>
          <w:noProof/>
        </w:rPr>
        <w:t>050,</w:t>
      </w:r>
      <w:r w:rsidR="00201A9A" w:rsidRPr="00201A9A">
        <w:rPr>
          <w:noProof/>
        </w:rPr>
        <w:t xml:space="preserve"> w szc</w:t>
      </w:r>
      <w:r w:rsidRPr="00201A9A">
        <w:rPr>
          <w:noProof/>
        </w:rPr>
        <w:t>zególności nadając priorytet wspieraniu wytwarzania czystej energii oraz budowy infrastruktury czystej energii,</w:t>
      </w:r>
      <w:r w:rsidR="00201A9A" w:rsidRPr="00201A9A">
        <w:rPr>
          <w:noProof/>
        </w:rPr>
        <w:t xml:space="preserve"> a tak</w:t>
      </w:r>
      <w:r w:rsidRPr="00201A9A">
        <w:rPr>
          <w:noProof/>
        </w:rPr>
        <w:t>że przez promowanie efektywności energetycznej</w:t>
      </w:r>
      <w:r w:rsidR="00201A9A" w:rsidRPr="00201A9A">
        <w:rPr>
          <w:noProof/>
        </w:rPr>
        <w:t xml:space="preserve"> i dek</w:t>
      </w:r>
      <w:r w:rsidRPr="00201A9A">
        <w:rPr>
          <w:noProof/>
        </w:rPr>
        <w:t>arbonizacji, magazynowania</w:t>
      </w:r>
      <w:r w:rsidR="00201A9A" w:rsidRPr="00201A9A">
        <w:rPr>
          <w:noProof/>
        </w:rPr>
        <w:t xml:space="preserve"> i tec</w:t>
      </w:r>
      <w:r w:rsidRPr="00201A9A">
        <w:rPr>
          <w:noProof/>
        </w:rPr>
        <w:t>hnologii, rozwój inteligentnych systemów energetycznych oraz krajowych sieci przesyłowych</w:t>
      </w:r>
      <w:r w:rsidR="00201A9A" w:rsidRPr="00201A9A">
        <w:rPr>
          <w:noProof/>
        </w:rPr>
        <w:t xml:space="preserve"> i dys</w:t>
      </w:r>
      <w:r w:rsidRPr="00201A9A">
        <w:rPr>
          <w:noProof/>
        </w:rPr>
        <w:t>trybucyjnych</w:t>
      </w:r>
      <w:r w:rsidR="00201A9A" w:rsidRPr="00201A9A">
        <w:rPr>
          <w:noProof/>
        </w:rPr>
        <w:t xml:space="preserve"> z uwz</w:t>
      </w:r>
      <w:r w:rsidRPr="00201A9A">
        <w:rPr>
          <w:noProof/>
        </w:rPr>
        <w:t>ględnieniem sieci transeuropejskiej (TEN-E)</w:t>
      </w:r>
      <w:r w:rsidR="00201A9A" w:rsidRPr="00201A9A">
        <w:rPr>
          <w:noProof/>
        </w:rPr>
        <w:t xml:space="preserve"> i tec</w:t>
      </w:r>
      <w:r w:rsidRPr="00201A9A">
        <w:rPr>
          <w:noProof/>
        </w:rPr>
        <w:t>hnologii oraz promowanie gospodarki</w:t>
      </w:r>
      <w:r w:rsidR="00201A9A" w:rsidRPr="00201A9A">
        <w:rPr>
          <w:noProof/>
        </w:rPr>
        <w:t xml:space="preserve"> o obi</w:t>
      </w:r>
      <w:r w:rsidRPr="00201A9A">
        <w:rPr>
          <w:noProof/>
        </w:rPr>
        <w:t>egu zamkniętym, zapewniając przy tym, aby wszystkie terytoria</w:t>
      </w:r>
      <w:r w:rsidR="00201A9A" w:rsidRPr="00201A9A">
        <w:rPr>
          <w:noProof/>
        </w:rPr>
        <w:t xml:space="preserve"> i pod</w:t>
      </w:r>
      <w:r w:rsidRPr="00201A9A">
        <w:rPr>
          <w:noProof/>
        </w:rPr>
        <w:t>mioty mogły wnosić swój wkład</w:t>
      </w:r>
      <w:r w:rsidR="00201A9A" w:rsidRPr="00201A9A">
        <w:rPr>
          <w:noProof/>
        </w:rPr>
        <w:t xml:space="preserve"> w czy</w:t>
      </w:r>
      <w:r w:rsidRPr="00201A9A">
        <w:rPr>
          <w:noProof/>
        </w:rPr>
        <w:t>stą transformację</w:t>
      </w:r>
      <w:r w:rsidR="00201A9A" w:rsidRPr="00201A9A">
        <w:rPr>
          <w:noProof/>
        </w:rPr>
        <w:t xml:space="preserve"> i cze</w:t>
      </w:r>
      <w:r w:rsidRPr="00201A9A">
        <w:rPr>
          <w:noProof/>
        </w:rPr>
        <w:t>rpać</w:t>
      </w:r>
      <w:r w:rsidR="00201A9A" w:rsidRPr="00201A9A">
        <w:rPr>
          <w:noProof/>
        </w:rPr>
        <w:t xml:space="preserve"> z nie</w:t>
      </w:r>
      <w:r w:rsidRPr="00201A9A">
        <w:rPr>
          <w:noProof/>
        </w:rPr>
        <w:t>j korzyści;</w:t>
      </w:r>
    </w:p>
    <w:p w14:paraId="12DD5A46" w14:textId="1B2AFFA7" w:rsidR="004E1B83" w:rsidRPr="00201A9A" w:rsidRDefault="008548B8" w:rsidP="00BD329E">
      <w:pPr>
        <w:pStyle w:val="Point2n"/>
        <w:spacing w:line="240" w:lineRule="auto"/>
        <w:jc w:val="both"/>
        <w:rPr>
          <w:noProof/>
        </w:rPr>
      </w:pPr>
      <w:r w:rsidRPr="00201A9A">
        <w:rPr>
          <w:noProof/>
        </w:rPr>
        <w:t>wspieranie transformacji cyfrowej</w:t>
      </w:r>
      <w:r w:rsidR="00201A9A" w:rsidRPr="00201A9A">
        <w:rPr>
          <w:noProof/>
        </w:rPr>
        <w:t xml:space="preserve"> w rea</w:t>
      </w:r>
      <w:r w:rsidRPr="00201A9A">
        <w:rPr>
          <w:noProof/>
        </w:rPr>
        <w:t>lizacji celów cyfrowej dekady określonych</w:t>
      </w:r>
      <w:r w:rsidR="00201A9A" w:rsidRPr="00201A9A">
        <w:rPr>
          <w:noProof/>
        </w:rPr>
        <w:t xml:space="preserve"> w pro</w:t>
      </w:r>
      <w:r w:rsidRPr="00201A9A">
        <w:rPr>
          <w:noProof/>
        </w:rPr>
        <w:t>gramie polityki „Droga ku cyfrowej dekadzie” do</w:t>
      </w:r>
      <w:r w:rsidR="00201A9A" w:rsidRPr="00201A9A">
        <w:rPr>
          <w:noProof/>
        </w:rPr>
        <w:t> </w:t>
      </w:r>
      <w:r w:rsidRPr="00201A9A">
        <w:rPr>
          <w:noProof/>
        </w:rPr>
        <w:t>2030</w:t>
      </w:r>
      <w:r w:rsidR="00201A9A" w:rsidRPr="00201A9A">
        <w:rPr>
          <w:noProof/>
        </w:rPr>
        <w:t> </w:t>
      </w:r>
      <w:r w:rsidRPr="00201A9A">
        <w:rPr>
          <w:noProof/>
        </w:rPr>
        <w:t>r.,</w:t>
      </w:r>
      <w:r w:rsidR="00201A9A" w:rsidRPr="00201A9A">
        <w:rPr>
          <w:noProof/>
        </w:rPr>
        <w:t xml:space="preserve"> a tym</w:t>
      </w:r>
      <w:r w:rsidRPr="00201A9A">
        <w:rPr>
          <w:noProof/>
        </w:rPr>
        <w:t xml:space="preserve"> samym przyczynianie się do osiągnięcia suwerennej, bezpiecznej</w:t>
      </w:r>
      <w:r w:rsidR="00201A9A" w:rsidRPr="00201A9A">
        <w:rPr>
          <w:noProof/>
        </w:rPr>
        <w:t xml:space="preserve"> i spr</w:t>
      </w:r>
      <w:r w:rsidRPr="00201A9A">
        <w:rPr>
          <w:noProof/>
        </w:rPr>
        <w:t>zyjającej włączeniu społecznemu Unii oraz promowanie rozwoju</w:t>
      </w:r>
      <w:r w:rsidR="00201A9A" w:rsidRPr="00201A9A">
        <w:rPr>
          <w:noProof/>
        </w:rPr>
        <w:t xml:space="preserve"> i wyk</w:t>
      </w:r>
      <w:r w:rsidRPr="00201A9A">
        <w:rPr>
          <w:noProof/>
        </w:rPr>
        <w:t>orzystania zaawansowanych technologii,</w:t>
      </w:r>
      <w:r w:rsidR="00201A9A" w:rsidRPr="00201A9A">
        <w:rPr>
          <w:noProof/>
        </w:rPr>
        <w:t xml:space="preserve"> w tym</w:t>
      </w:r>
      <w:r w:rsidRPr="00201A9A">
        <w:rPr>
          <w:noProof/>
        </w:rPr>
        <w:t xml:space="preserve"> sztucznej inteligencji, bezpiecznej</w:t>
      </w:r>
      <w:r w:rsidR="00201A9A" w:rsidRPr="00201A9A">
        <w:rPr>
          <w:noProof/>
        </w:rPr>
        <w:t xml:space="preserve"> i pew</w:t>
      </w:r>
      <w:r w:rsidRPr="00201A9A">
        <w:rPr>
          <w:noProof/>
        </w:rPr>
        <w:t>nej infrastruktury</w:t>
      </w:r>
      <w:r w:rsidR="00201A9A" w:rsidRPr="00201A9A">
        <w:rPr>
          <w:noProof/>
        </w:rPr>
        <w:t xml:space="preserve"> i usł</w:t>
      </w:r>
      <w:r w:rsidRPr="00201A9A">
        <w:rPr>
          <w:noProof/>
        </w:rPr>
        <w:t>ug cyfrowych, podstawowych</w:t>
      </w:r>
      <w:r w:rsidR="00201A9A" w:rsidRPr="00201A9A">
        <w:rPr>
          <w:noProof/>
        </w:rPr>
        <w:t xml:space="preserve"> i zaa</w:t>
      </w:r>
      <w:r w:rsidRPr="00201A9A">
        <w:rPr>
          <w:noProof/>
        </w:rPr>
        <w:t>wansowanych umiejętności cyfrowych, cyfrowych usług publicznych</w:t>
      </w:r>
      <w:r w:rsidR="00201A9A" w:rsidRPr="00201A9A">
        <w:rPr>
          <w:noProof/>
        </w:rPr>
        <w:t xml:space="preserve"> i łąc</w:t>
      </w:r>
      <w:r w:rsidRPr="00201A9A">
        <w:rPr>
          <w:noProof/>
        </w:rPr>
        <w:t>zności ICT, przy jednoczesnym eliminowaniu przepaści cyfrowej;</w:t>
      </w:r>
    </w:p>
    <w:p w14:paraId="50DCECCC" w14:textId="30E59F8D" w:rsidR="007E0723" w:rsidRPr="00201A9A" w:rsidRDefault="004E1B83" w:rsidP="00BD329E">
      <w:pPr>
        <w:pStyle w:val="Point2n"/>
        <w:spacing w:line="240" w:lineRule="auto"/>
        <w:jc w:val="both"/>
        <w:rPr>
          <w:noProof/>
        </w:rPr>
      </w:pPr>
      <w:r w:rsidRPr="00201A9A">
        <w:rPr>
          <w:noProof/>
        </w:rPr>
        <w:t>wspieranie badań, rozwoju</w:t>
      </w:r>
      <w:r w:rsidR="00201A9A" w:rsidRPr="00201A9A">
        <w:rPr>
          <w:noProof/>
        </w:rPr>
        <w:t xml:space="preserve"> i inn</w:t>
      </w:r>
      <w:r w:rsidRPr="00201A9A">
        <w:rPr>
          <w:noProof/>
        </w:rPr>
        <w:t>owacji,</w:t>
      </w:r>
      <w:r w:rsidR="00201A9A" w:rsidRPr="00201A9A">
        <w:rPr>
          <w:noProof/>
        </w:rPr>
        <w:t xml:space="preserve"> w tym</w:t>
      </w:r>
      <w:r w:rsidRPr="00201A9A">
        <w:rPr>
          <w:noProof/>
        </w:rPr>
        <w:t xml:space="preserve"> rozpowszechnianie innowacji we wszystkich regionach;</w:t>
      </w:r>
    </w:p>
    <w:p w14:paraId="46751EE2" w14:textId="48D431F6" w:rsidR="008548B8" w:rsidRPr="00201A9A" w:rsidRDefault="008548B8" w:rsidP="00BD329E">
      <w:pPr>
        <w:pStyle w:val="Point2n"/>
        <w:spacing w:line="240" w:lineRule="auto"/>
        <w:jc w:val="both"/>
        <w:rPr>
          <w:noProof/>
        </w:rPr>
      </w:pPr>
      <w:r w:rsidRPr="00201A9A">
        <w:rPr>
          <w:noProof/>
        </w:rPr>
        <w:t>wspieranie środków,</w:t>
      </w:r>
      <w:r w:rsidR="00201A9A" w:rsidRPr="00201A9A">
        <w:rPr>
          <w:noProof/>
        </w:rPr>
        <w:t xml:space="preserve"> w tym</w:t>
      </w:r>
      <w:r w:rsidRPr="00201A9A">
        <w:rPr>
          <w:noProof/>
        </w:rPr>
        <w:t xml:space="preserve"> reform, mających na celu dalszy rozwój unii oszczędności</w:t>
      </w:r>
      <w:r w:rsidR="00201A9A" w:rsidRPr="00201A9A">
        <w:rPr>
          <w:noProof/>
        </w:rPr>
        <w:t xml:space="preserve"> i inw</w:t>
      </w:r>
      <w:r w:rsidRPr="00201A9A">
        <w:rPr>
          <w:noProof/>
        </w:rPr>
        <w:t>estycji oraz wspomaganie rozwoju możliwości finansowania rynkowego;</w:t>
      </w:r>
    </w:p>
    <w:p w14:paraId="162E969A" w14:textId="4CB6AF03" w:rsidR="007E0723" w:rsidRPr="00201A9A" w:rsidDel="00C52FD0" w:rsidRDefault="007E0723" w:rsidP="00BD329E">
      <w:pPr>
        <w:pStyle w:val="Point2n"/>
        <w:spacing w:line="240" w:lineRule="auto"/>
        <w:jc w:val="both"/>
        <w:rPr>
          <w:noProof/>
        </w:rPr>
      </w:pPr>
      <w:r w:rsidRPr="00201A9A">
        <w:rPr>
          <w:noProof/>
        </w:rPr>
        <w:t>wspieranie mieszkalnictwa socjalnego</w:t>
      </w:r>
      <w:r w:rsidR="00201A9A" w:rsidRPr="00201A9A">
        <w:rPr>
          <w:noProof/>
        </w:rPr>
        <w:t xml:space="preserve"> i zas</w:t>
      </w:r>
      <w:r w:rsidRPr="00201A9A">
        <w:rPr>
          <w:noProof/>
        </w:rPr>
        <w:t xml:space="preserve">obu mieszkaniowego po przystępnych cenach; </w:t>
      </w:r>
    </w:p>
    <w:p w14:paraId="145444E6" w14:textId="6AB35D21" w:rsidR="004E1B83" w:rsidRPr="00201A9A" w:rsidRDefault="00C10C5E" w:rsidP="00BD329E">
      <w:pPr>
        <w:pStyle w:val="Point2n"/>
        <w:spacing w:line="240" w:lineRule="auto"/>
        <w:jc w:val="both"/>
        <w:rPr>
          <w:noProof/>
        </w:rPr>
      </w:pPr>
      <w:r w:rsidRPr="00201A9A">
        <w:rPr>
          <w:noProof/>
        </w:rPr>
        <w:t>wzmocnienie unijnej infrastruktury transportowej</w:t>
      </w:r>
      <w:r w:rsidR="00201A9A" w:rsidRPr="00201A9A">
        <w:rPr>
          <w:noProof/>
        </w:rPr>
        <w:t xml:space="preserve"> i prz</w:t>
      </w:r>
      <w:r w:rsidRPr="00201A9A">
        <w:rPr>
          <w:noProof/>
        </w:rPr>
        <w:t>yczynienie się do ukończenia transeuropejskiej sieci transportowej,</w:t>
      </w:r>
      <w:r w:rsidR="00201A9A" w:rsidRPr="00201A9A">
        <w:rPr>
          <w:noProof/>
        </w:rPr>
        <w:t xml:space="preserve"> w szc</w:t>
      </w:r>
      <w:r w:rsidRPr="00201A9A">
        <w:rPr>
          <w:noProof/>
        </w:rPr>
        <w:t>zególności sieci bazowej</w:t>
      </w:r>
      <w:r w:rsidR="00201A9A" w:rsidRPr="00201A9A">
        <w:rPr>
          <w:noProof/>
        </w:rPr>
        <w:t xml:space="preserve"> i roz</w:t>
      </w:r>
      <w:r w:rsidRPr="00201A9A">
        <w:rPr>
          <w:noProof/>
        </w:rPr>
        <w:t>szerzonej sieci bazowej, przy jednoczesnej dekarbonizacji</w:t>
      </w:r>
      <w:r w:rsidR="00201A9A" w:rsidRPr="00201A9A">
        <w:rPr>
          <w:noProof/>
        </w:rPr>
        <w:t xml:space="preserve"> i pop</w:t>
      </w:r>
      <w:r w:rsidRPr="00201A9A">
        <w:rPr>
          <w:noProof/>
        </w:rPr>
        <w:t>rawie łączności, bezpieczeństwa</w:t>
      </w:r>
      <w:r w:rsidR="00201A9A" w:rsidRPr="00201A9A">
        <w:rPr>
          <w:noProof/>
        </w:rPr>
        <w:t xml:space="preserve"> i dos</w:t>
      </w:r>
      <w:r w:rsidRPr="00201A9A">
        <w:rPr>
          <w:noProof/>
        </w:rPr>
        <w:t>tępności obszarów oddalonych, peryferyjnych</w:t>
      </w:r>
      <w:r w:rsidR="00201A9A" w:rsidRPr="00201A9A">
        <w:rPr>
          <w:noProof/>
        </w:rPr>
        <w:t xml:space="preserve"> i sła</w:t>
      </w:r>
      <w:r w:rsidRPr="00201A9A">
        <w:rPr>
          <w:noProof/>
        </w:rPr>
        <w:t>biej połączonych; wspieranie zielonej</w:t>
      </w:r>
      <w:r w:rsidR="00201A9A" w:rsidRPr="00201A9A">
        <w:rPr>
          <w:noProof/>
        </w:rPr>
        <w:t xml:space="preserve"> i cyf</w:t>
      </w:r>
      <w:r w:rsidRPr="00201A9A">
        <w:rPr>
          <w:noProof/>
        </w:rPr>
        <w:t>rowej transformacji transportu;</w:t>
      </w:r>
    </w:p>
    <w:p w14:paraId="7FE3F2CF" w14:textId="5801C774" w:rsidR="003308B5" w:rsidRPr="00201A9A" w:rsidRDefault="008548B8" w:rsidP="00BD329E">
      <w:pPr>
        <w:pStyle w:val="Point2n"/>
        <w:spacing w:line="240" w:lineRule="auto"/>
        <w:jc w:val="both"/>
        <w:rPr>
          <w:noProof/>
        </w:rPr>
      </w:pPr>
      <w:r w:rsidRPr="00201A9A">
        <w:rPr>
          <w:noProof/>
        </w:rPr>
        <w:t>wspieranie turystyki,</w:t>
      </w:r>
      <w:r w:rsidR="00201A9A" w:rsidRPr="00201A9A">
        <w:rPr>
          <w:noProof/>
        </w:rPr>
        <w:t xml:space="preserve"> w tym</w:t>
      </w:r>
      <w:r w:rsidRPr="00201A9A">
        <w:rPr>
          <w:noProof/>
        </w:rPr>
        <w:t xml:space="preserve"> zrównoważonego rozwoju;</w:t>
      </w:r>
    </w:p>
    <w:p w14:paraId="66E6E56F" w14:textId="5092153B" w:rsidR="00DE480F" w:rsidRPr="00201A9A" w:rsidRDefault="00DE480F" w:rsidP="00BD329E">
      <w:pPr>
        <w:pStyle w:val="Point2n"/>
        <w:spacing w:line="240" w:lineRule="auto"/>
        <w:jc w:val="both"/>
        <w:rPr>
          <w:noProof/>
        </w:rPr>
      </w:pPr>
      <w:r w:rsidRPr="00201A9A">
        <w:rPr>
          <w:noProof/>
        </w:rPr>
        <w:t>wspieranie wydajności, jakości</w:t>
      </w:r>
      <w:r w:rsidR="00201A9A" w:rsidRPr="00201A9A">
        <w:rPr>
          <w:noProof/>
        </w:rPr>
        <w:t xml:space="preserve"> i odp</w:t>
      </w:r>
      <w:r w:rsidRPr="00201A9A">
        <w:rPr>
          <w:noProof/>
        </w:rPr>
        <w:t>orności gospodarki wodnej, ochrony środowiska, przystosowania się do zmiany klimatu, odporności na zmianę klimatu</w:t>
      </w:r>
      <w:r w:rsidR="00201A9A" w:rsidRPr="00201A9A">
        <w:rPr>
          <w:noProof/>
        </w:rPr>
        <w:t xml:space="preserve"> i zwi</w:t>
      </w:r>
      <w:r w:rsidRPr="00201A9A">
        <w:rPr>
          <w:noProof/>
        </w:rPr>
        <w:t>ększania różnorodności biologicznej, jakości gleby</w:t>
      </w:r>
      <w:r w:rsidR="00201A9A" w:rsidRPr="00201A9A">
        <w:rPr>
          <w:noProof/>
        </w:rPr>
        <w:t xml:space="preserve"> i zas</w:t>
      </w:r>
      <w:r w:rsidRPr="00201A9A">
        <w:rPr>
          <w:noProof/>
        </w:rPr>
        <w:t>obów naturalnych, promowanie obiegu zamkniętego, biogospodarki</w:t>
      </w:r>
      <w:r w:rsidR="00201A9A" w:rsidRPr="00201A9A">
        <w:rPr>
          <w:noProof/>
        </w:rPr>
        <w:t xml:space="preserve"> i upo</w:t>
      </w:r>
      <w:r w:rsidRPr="00201A9A">
        <w:rPr>
          <w:noProof/>
        </w:rPr>
        <w:t>wszechniania zasobooszczędności, skuteczniejsze zapobieganie zanieczyszczeniom, ich kontrola</w:t>
      </w:r>
      <w:r w:rsidR="00201A9A" w:rsidRPr="00201A9A">
        <w:rPr>
          <w:noProof/>
        </w:rPr>
        <w:t xml:space="preserve"> i usu</w:t>
      </w:r>
      <w:r w:rsidRPr="00201A9A">
        <w:rPr>
          <w:noProof/>
        </w:rPr>
        <w:t>wanie, ochrona</w:t>
      </w:r>
      <w:r w:rsidR="00201A9A" w:rsidRPr="00201A9A">
        <w:rPr>
          <w:noProof/>
        </w:rPr>
        <w:t xml:space="preserve"> i odb</w:t>
      </w:r>
      <w:r w:rsidRPr="00201A9A">
        <w:rPr>
          <w:noProof/>
        </w:rPr>
        <w:t>udowa przyrody oraz zwiększanie różnorodności biologicznej</w:t>
      </w:r>
      <w:r w:rsidR="00201A9A" w:rsidRPr="00201A9A">
        <w:rPr>
          <w:noProof/>
        </w:rPr>
        <w:t xml:space="preserve"> i zas</w:t>
      </w:r>
      <w:r w:rsidRPr="00201A9A">
        <w:rPr>
          <w:noProof/>
        </w:rPr>
        <w:t>obów naturalnych,</w:t>
      </w:r>
      <w:r w:rsidR="00201A9A" w:rsidRPr="00201A9A">
        <w:rPr>
          <w:noProof/>
        </w:rPr>
        <w:t xml:space="preserve"> a tak</w:t>
      </w:r>
      <w:r w:rsidRPr="00201A9A">
        <w:rPr>
          <w:noProof/>
        </w:rPr>
        <w:t>że promowanie rozwiązań nowego europejskiego Bauhausu</w:t>
      </w:r>
      <w:r w:rsidR="00201A9A" w:rsidRPr="00201A9A">
        <w:rPr>
          <w:noProof/>
        </w:rPr>
        <w:t xml:space="preserve"> w śro</w:t>
      </w:r>
      <w:r w:rsidRPr="00201A9A">
        <w:rPr>
          <w:noProof/>
        </w:rPr>
        <w:t>dowisku zbudowanym.</w:t>
      </w:r>
    </w:p>
    <w:p w14:paraId="42FCC571" w14:textId="6B5A1CC4" w:rsidR="004E1B83" w:rsidRPr="00201A9A" w:rsidRDefault="00201A9A" w:rsidP="00201A9A">
      <w:pPr>
        <w:pStyle w:val="Point1"/>
        <w:rPr>
          <w:noProof/>
        </w:rPr>
      </w:pPr>
      <w:r w:rsidRPr="00201A9A">
        <w:rPr>
          <w:noProof/>
        </w:rPr>
        <w:t>b)</w:t>
      </w:r>
      <w:r w:rsidRPr="00201A9A">
        <w:rPr>
          <w:noProof/>
        </w:rPr>
        <w:tab/>
      </w:r>
      <w:r w:rsidR="00952512" w:rsidRPr="00201A9A">
        <w:rPr>
          <w:noProof/>
        </w:rPr>
        <w:t>wspieranie zdolności obronnych</w:t>
      </w:r>
      <w:r w:rsidRPr="00201A9A">
        <w:rPr>
          <w:noProof/>
        </w:rPr>
        <w:t xml:space="preserve"> i bez</w:t>
      </w:r>
      <w:r w:rsidR="00952512" w:rsidRPr="00201A9A">
        <w:rPr>
          <w:noProof/>
        </w:rPr>
        <w:t>pieczeństwa Unii we wszystkich regionach przez:</w:t>
      </w:r>
    </w:p>
    <w:p w14:paraId="762F4C06" w14:textId="64C9CFF3" w:rsidR="004E1B83" w:rsidRPr="00201A9A" w:rsidRDefault="004E1B83" w:rsidP="003E2902">
      <w:pPr>
        <w:pStyle w:val="Point2n"/>
        <w:numPr>
          <w:ilvl w:val="0"/>
          <w:numId w:val="21"/>
        </w:numPr>
        <w:spacing w:line="240" w:lineRule="auto"/>
        <w:jc w:val="both"/>
        <w:rPr>
          <w:noProof/>
        </w:rPr>
      </w:pPr>
      <w:r w:rsidRPr="00201A9A">
        <w:rPr>
          <w:noProof/>
        </w:rPr>
        <w:t>wzmocnienie unijnej bazy technologiczno-przemysłowej sektora obronnego</w:t>
      </w:r>
      <w:r w:rsidR="00201A9A" w:rsidRPr="00201A9A">
        <w:rPr>
          <w:noProof/>
        </w:rPr>
        <w:t xml:space="preserve"> i mob</w:t>
      </w:r>
      <w:r w:rsidRPr="00201A9A">
        <w:rPr>
          <w:noProof/>
        </w:rPr>
        <w:t>ilności wojskowej,</w:t>
      </w:r>
      <w:r w:rsidR="00201A9A" w:rsidRPr="00201A9A">
        <w:rPr>
          <w:noProof/>
        </w:rPr>
        <w:t xml:space="preserve"> w szc</w:t>
      </w:r>
      <w:r w:rsidRPr="00201A9A">
        <w:rPr>
          <w:noProof/>
        </w:rPr>
        <w:t>zególności przez rozwój infrastruktury TEN-T podwójnego zastosowania;</w:t>
      </w:r>
    </w:p>
    <w:p w14:paraId="0F84896E" w14:textId="6E66A366" w:rsidR="009228C2" w:rsidRPr="00201A9A" w:rsidRDefault="009228C2" w:rsidP="003E2902">
      <w:pPr>
        <w:pStyle w:val="Point2n"/>
        <w:numPr>
          <w:ilvl w:val="0"/>
          <w:numId w:val="21"/>
        </w:numPr>
        <w:spacing w:line="240" w:lineRule="auto"/>
        <w:jc w:val="both"/>
        <w:rPr>
          <w:noProof/>
        </w:rPr>
      </w:pPr>
      <w:r w:rsidRPr="00201A9A">
        <w:rPr>
          <w:noProof/>
        </w:rPr>
        <w:t>wzmocnienie gotowości Unii na sytuacje kryzysowe</w:t>
      </w:r>
      <w:r w:rsidR="00201A9A" w:rsidRPr="00201A9A">
        <w:rPr>
          <w:noProof/>
        </w:rPr>
        <w:t xml:space="preserve"> i kat</w:t>
      </w:r>
      <w:r w:rsidRPr="00201A9A">
        <w:rPr>
          <w:noProof/>
        </w:rPr>
        <w:t>astrofy przez włączenie zasady gotowości na etapie projektowania do głównego nurtu polityki;</w:t>
      </w:r>
    </w:p>
    <w:p w14:paraId="6A98EF30" w14:textId="2740976F" w:rsidR="00254E38" w:rsidRPr="00201A9A" w:rsidRDefault="00EC7175" w:rsidP="003E2902">
      <w:pPr>
        <w:pStyle w:val="Point2n"/>
        <w:numPr>
          <w:ilvl w:val="0"/>
          <w:numId w:val="21"/>
        </w:numPr>
        <w:spacing w:line="240" w:lineRule="auto"/>
        <w:jc w:val="both"/>
        <w:rPr>
          <w:noProof/>
        </w:rPr>
      </w:pPr>
      <w:r w:rsidRPr="00201A9A">
        <w:rPr>
          <w:rStyle w:val="eop"/>
          <w:noProof/>
        </w:rPr>
        <w:t>zwiększenie bezpieczeństwa Unii przez poprawę zdolności wykrywania zagrożeń, zapobiegania im</w:t>
      </w:r>
      <w:r w:rsidR="00201A9A" w:rsidRPr="00201A9A">
        <w:rPr>
          <w:rStyle w:val="eop"/>
          <w:noProof/>
        </w:rPr>
        <w:t xml:space="preserve"> i rea</w:t>
      </w:r>
      <w:r w:rsidRPr="00201A9A">
        <w:rPr>
          <w:rStyle w:val="eop"/>
          <w:noProof/>
        </w:rPr>
        <w:t>gowania na nie,</w:t>
      </w:r>
      <w:r w:rsidR="00201A9A" w:rsidRPr="00201A9A">
        <w:rPr>
          <w:rStyle w:val="eop"/>
          <w:noProof/>
        </w:rPr>
        <w:t xml:space="preserve"> w tym</w:t>
      </w:r>
      <w:r w:rsidRPr="00201A9A">
        <w:rPr>
          <w:rStyle w:val="eop"/>
          <w:noProof/>
        </w:rPr>
        <w:t xml:space="preserve"> przez wzmocnienie krytycznej infrastruktury energetycznej</w:t>
      </w:r>
      <w:r w:rsidR="00201A9A" w:rsidRPr="00201A9A">
        <w:rPr>
          <w:rStyle w:val="eop"/>
          <w:noProof/>
        </w:rPr>
        <w:t xml:space="preserve"> i tra</w:t>
      </w:r>
      <w:r w:rsidRPr="00201A9A">
        <w:rPr>
          <w:rStyle w:val="eop"/>
          <w:noProof/>
        </w:rPr>
        <w:t>nsportowej oraz cyberbezpieczeństwa;</w:t>
      </w:r>
    </w:p>
    <w:p w14:paraId="081D076A" w14:textId="6290B6B4" w:rsidR="004E1B83" w:rsidRPr="00201A9A" w:rsidRDefault="004E1B83" w:rsidP="0062308A">
      <w:pPr>
        <w:pStyle w:val="Text2"/>
        <w:rPr>
          <w:noProof/>
        </w:rPr>
      </w:pPr>
      <w:r w:rsidRPr="00201A9A">
        <w:rPr>
          <w:noProof/>
        </w:rPr>
        <w:t>w sposób</w:t>
      </w:r>
      <w:r w:rsidR="00201A9A" w:rsidRPr="00201A9A">
        <w:rPr>
          <w:noProof/>
        </w:rPr>
        <w:t xml:space="preserve"> w peł</w:t>
      </w:r>
      <w:r w:rsidRPr="00201A9A">
        <w:rPr>
          <w:noProof/>
        </w:rPr>
        <w:t>ni zgodny</w:t>
      </w:r>
      <w:r w:rsidR="00201A9A" w:rsidRPr="00201A9A">
        <w:rPr>
          <w:noProof/>
        </w:rPr>
        <w:t xml:space="preserve"> z cel</w:t>
      </w:r>
      <w:r w:rsidRPr="00201A9A">
        <w:rPr>
          <w:noProof/>
        </w:rPr>
        <w:t xml:space="preserve">ami określonymi w: </w:t>
      </w:r>
    </w:p>
    <w:p w14:paraId="5CB23477" w14:textId="41AED033" w:rsidR="004E1B83" w:rsidRPr="00201A9A" w:rsidRDefault="004E1B83" w:rsidP="003E2902">
      <w:pPr>
        <w:pStyle w:val="Bullet3"/>
        <w:numPr>
          <w:ilvl w:val="0"/>
          <w:numId w:val="131"/>
        </w:numPr>
        <w:rPr>
          <w:noProof/>
        </w:rPr>
      </w:pPr>
      <w:r w:rsidRPr="00201A9A">
        <w:rPr>
          <w:noProof/>
        </w:rPr>
        <w:t>rozporządzeniu (UE) [...] ustanawiającym unijne wsparcie na rzecz azylu, migracji</w:t>
      </w:r>
      <w:r w:rsidR="00201A9A" w:rsidRPr="00201A9A">
        <w:rPr>
          <w:noProof/>
        </w:rPr>
        <w:t xml:space="preserve"> i int</w:t>
      </w:r>
      <w:r w:rsidRPr="00201A9A">
        <w:rPr>
          <w:noProof/>
        </w:rPr>
        <w:t>egracji na okres od dnia 1 stycznia 2028</w:t>
      </w:r>
      <w:r w:rsidR="00201A9A" w:rsidRPr="00201A9A">
        <w:rPr>
          <w:noProof/>
        </w:rPr>
        <w:t> </w:t>
      </w:r>
      <w:r w:rsidRPr="00201A9A">
        <w:rPr>
          <w:noProof/>
        </w:rPr>
        <w:t>r. do dnia 31 grudnia 2034</w:t>
      </w:r>
      <w:r w:rsidR="00201A9A" w:rsidRPr="00201A9A">
        <w:rPr>
          <w:noProof/>
        </w:rPr>
        <w:t> </w:t>
      </w:r>
      <w:r w:rsidRPr="00201A9A">
        <w:rPr>
          <w:noProof/>
        </w:rPr>
        <w:t>r.;</w:t>
      </w:r>
    </w:p>
    <w:p w14:paraId="3B939398" w14:textId="43042F76" w:rsidR="004E1B83" w:rsidRPr="00201A9A" w:rsidRDefault="004E1B83" w:rsidP="0054409B">
      <w:pPr>
        <w:pStyle w:val="Bullet3"/>
        <w:rPr>
          <w:noProof/>
        </w:rPr>
      </w:pPr>
      <w:r w:rsidRPr="00201A9A">
        <w:rPr>
          <w:noProof/>
        </w:rPr>
        <w:t>rozporządzeniu (UE) [...] ustanawiającym unijne wsparcie na rzecz europejskiego zintegrowanego zarządzania granicami</w:t>
      </w:r>
      <w:r w:rsidR="00201A9A" w:rsidRPr="00201A9A">
        <w:rPr>
          <w:noProof/>
        </w:rPr>
        <w:t xml:space="preserve"> i eur</w:t>
      </w:r>
      <w:r w:rsidRPr="00201A9A">
        <w:rPr>
          <w:noProof/>
        </w:rPr>
        <w:t>opejskiej polityki wizowej na okres od dnia 1 stycznia 2028</w:t>
      </w:r>
      <w:r w:rsidR="00201A9A" w:rsidRPr="00201A9A">
        <w:rPr>
          <w:noProof/>
        </w:rPr>
        <w:t> </w:t>
      </w:r>
      <w:r w:rsidRPr="00201A9A">
        <w:rPr>
          <w:noProof/>
        </w:rPr>
        <w:t>r. do dnia 31 grudnia 2034</w:t>
      </w:r>
      <w:r w:rsidR="00201A9A" w:rsidRPr="00201A9A">
        <w:rPr>
          <w:noProof/>
        </w:rPr>
        <w:t> </w:t>
      </w:r>
      <w:r w:rsidRPr="00201A9A">
        <w:rPr>
          <w:noProof/>
        </w:rPr>
        <w:t>r.;</w:t>
      </w:r>
    </w:p>
    <w:p w14:paraId="27920A4F" w14:textId="4618F0B2" w:rsidR="004E1B83" w:rsidRPr="00201A9A" w:rsidRDefault="004E1B83" w:rsidP="0054409B">
      <w:pPr>
        <w:pStyle w:val="Bullet3"/>
        <w:rPr>
          <w:noProof/>
        </w:rPr>
      </w:pPr>
      <w:r w:rsidRPr="00201A9A">
        <w:rPr>
          <w:noProof/>
        </w:rPr>
        <w:t>rozporządzeniu (UE) [...] ustanawiającym unijne wsparcie na rzecz bezpieczeństwa wewnętrznego na okres od dnia 1 stycznia 2028</w:t>
      </w:r>
      <w:r w:rsidR="00201A9A" w:rsidRPr="00201A9A">
        <w:rPr>
          <w:noProof/>
        </w:rPr>
        <w:t> </w:t>
      </w:r>
      <w:r w:rsidRPr="00201A9A">
        <w:rPr>
          <w:noProof/>
        </w:rPr>
        <w:t>r. do dnia 31 grudnia 2034</w:t>
      </w:r>
      <w:r w:rsidR="00201A9A" w:rsidRPr="00201A9A">
        <w:rPr>
          <w:noProof/>
        </w:rPr>
        <w:t> </w:t>
      </w:r>
      <w:r w:rsidRPr="00201A9A">
        <w:rPr>
          <w:noProof/>
        </w:rPr>
        <w:t>r.</w:t>
      </w:r>
    </w:p>
    <w:p w14:paraId="28A2353E" w14:textId="6E359A72" w:rsidR="004E1B83" w:rsidRPr="00201A9A" w:rsidRDefault="00201A9A" w:rsidP="00201A9A">
      <w:pPr>
        <w:pStyle w:val="Point1"/>
        <w:rPr>
          <w:noProof/>
        </w:rPr>
      </w:pPr>
      <w:r w:rsidRPr="00201A9A">
        <w:rPr>
          <w:noProof/>
        </w:rPr>
        <w:t>c)</w:t>
      </w:r>
      <w:r w:rsidRPr="00201A9A">
        <w:rPr>
          <w:noProof/>
        </w:rPr>
        <w:tab/>
      </w:r>
      <w:r w:rsidR="00BC7087" w:rsidRPr="00201A9A">
        <w:rPr>
          <w:noProof/>
        </w:rPr>
        <w:t>wzmocnienie spójności społecznej przez wspieranie ludzi</w:t>
      </w:r>
      <w:r w:rsidRPr="00201A9A">
        <w:rPr>
          <w:noProof/>
        </w:rPr>
        <w:t xml:space="preserve"> i wzm</w:t>
      </w:r>
      <w:r w:rsidR="00BC7087" w:rsidRPr="00201A9A">
        <w:rPr>
          <w:noProof/>
        </w:rPr>
        <w:t>acnianie społeczeństw Unii</w:t>
      </w:r>
      <w:r w:rsidRPr="00201A9A">
        <w:rPr>
          <w:noProof/>
        </w:rPr>
        <w:t xml:space="preserve"> i uni</w:t>
      </w:r>
      <w:r w:rsidR="00BC7087" w:rsidRPr="00201A9A">
        <w:rPr>
          <w:noProof/>
        </w:rPr>
        <w:t>jnego modelu społecznego</w:t>
      </w:r>
      <w:r w:rsidRPr="00201A9A">
        <w:rPr>
          <w:noProof/>
        </w:rPr>
        <w:t xml:space="preserve"> w dro</w:t>
      </w:r>
      <w:r w:rsidR="00BC7087" w:rsidRPr="00201A9A">
        <w:rPr>
          <w:noProof/>
        </w:rPr>
        <w:t>dze:</w:t>
      </w:r>
    </w:p>
    <w:p w14:paraId="71E15C5E" w14:textId="0CB56BFA" w:rsidR="004E1B83" w:rsidRPr="00201A9A" w:rsidRDefault="004E1B83" w:rsidP="003E2902">
      <w:pPr>
        <w:pStyle w:val="Point2n"/>
        <w:numPr>
          <w:ilvl w:val="0"/>
          <w:numId w:val="22"/>
        </w:numPr>
        <w:spacing w:line="240" w:lineRule="auto"/>
        <w:jc w:val="both"/>
        <w:rPr>
          <w:noProof/>
        </w:rPr>
      </w:pPr>
      <w:r w:rsidRPr="00201A9A">
        <w:rPr>
          <w:noProof/>
        </w:rPr>
        <w:t>wspierania zatrudnienia, równego dostępu do rynku pracy, sprawiedliwych</w:t>
      </w:r>
      <w:r w:rsidR="00201A9A" w:rsidRPr="00201A9A">
        <w:rPr>
          <w:noProof/>
        </w:rPr>
        <w:t xml:space="preserve"> i wys</w:t>
      </w:r>
      <w:r w:rsidRPr="00201A9A">
        <w:rPr>
          <w:noProof/>
        </w:rPr>
        <w:t>okiej jakości warunków pracy oraz mobilności pracowników;</w:t>
      </w:r>
    </w:p>
    <w:p w14:paraId="6DA181F9" w14:textId="1F66887F" w:rsidR="004E1B83" w:rsidRPr="00201A9A" w:rsidRDefault="0039743F" w:rsidP="00BD329E">
      <w:pPr>
        <w:pStyle w:val="Point2n"/>
        <w:spacing w:line="240" w:lineRule="auto"/>
        <w:jc w:val="both"/>
        <w:rPr>
          <w:noProof/>
        </w:rPr>
      </w:pPr>
      <w:r w:rsidRPr="00201A9A">
        <w:rPr>
          <w:noProof/>
        </w:rPr>
        <w:t>zwiększania podaży pracy oraz poprawa kształcenia</w:t>
      </w:r>
      <w:r w:rsidR="00201A9A" w:rsidRPr="00201A9A">
        <w:rPr>
          <w:noProof/>
        </w:rPr>
        <w:t xml:space="preserve"> i nab</w:t>
      </w:r>
      <w:r w:rsidRPr="00201A9A">
        <w:rPr>
          <w:noProof/>
        </w:rPr>
        <w:t>ywania umiejętności przez całe życie,</w:t>
      </w:r>
      <w:r w:rsidR="00201A9A" w:rsidRPr="00201A9A">
        <w:rPr>
          <w:noProof/>
        </w:rPr>
        <w:t xml:space="preserve"> w szc</w:t>
      </w:r>
      <w:r w:rsidRPr="00201A9A">
        <w:rPr>
          <w:noProof/>
        </w:rPr>
        <w:t>zególności przez promowanie podnoszenia</w:t>
      </w:r>
      <w:r w:rsidR="00201A9A" w:rsidRPr="00201A9A">
        <w:rPr>
          <w:noProof/>
        </w:rPr>
        <w:t xml:space="preserve"> i zmi</w:t>
      </w:r>
      <w:r w:rsidRPr="00201A9A">
        <w:rPr>
          <w:noProof/>
        </w:rPr>
        <w:t>any kwalifikacji;</w:t>
      </w:r>
    </w:p>
    <w:p w14:paraId="68042929" w14:textId="0D500CE7" w:rsidR="004E1B83" w:rsidRPr="00201A9A" w:rsidRDefault="00740BE7" w:rsidP="00BD329E">
      <w:pPr>
        <w:pStyle w:val="Point2n"/>
        <w:spacing w:line="240" w:lineRule="auto"/>
        <w:jc w:val="both"/>
        <w:rPr>
          <w:noProof/>
        </w:rPr>
      </w:pPr>
      <w:r w:rsidRPr="00201A9A">
        <w:rPr>
          <w:noProof/>
        </w:rPr>
        <w:t>propagowania równych szans dla wszystkich, wspieranie silnych siatek bezpieczeństwa socjalnego, wspieranie włączenia społecznego oraz zwalczanie ubóstwa</w:t>
      </w:r>
      <w:r w:rsidR="00201A9A" w:rsidRPr="00201A9A">
        <w:rPr>
          <w:noProof/>
        </w:rPr>
        <w:t xml:space="preserve"> i bez</w:t>
      </w:r>
      <w:r w:rsidRPr="00201A9A">
        <w:rPr>
          <w:noProof/>
        </w:rPr>
        <w:t>domności,</w:t>
      </w:r>
      <w:r w:rsidR="00201A9A" w:rsidRPr="00201A9A">
        <w:rPr>
          <w:noProof/>
        </w:rPr>
        <w:t xml:space="preserve"> a tak</w:t>
      </w:r>
      <w:r w:rsidRPr="00201A9A">
        <w:rPr>
          <w:noProof/>
        </w:rPr>
        <w:t>że wspieranie inwestycji</w:t>
      </w:r>
      <w:r w:rsidR="00201A9A" w:rsidRPr="00201A9A">
        <w:rPr>
          <w:noProof/>
        </w:rPr>
        <w:t xml:space="preserve"> w inf</w:t>
      </w:r>
      <w:r w:rsidRPr="00201A9A">
        <w:rPr>
          <w:noProof/>
        </w:rPr>
        <w:t>rastrukturę społeczną;</w:t>
      </w:r>
    </w:p>
    <w:p w14:paraId="02AC05E8" w14:textId="2346E5D3" w:rsidR="00C52FD0" w:rsidRPr="00201A9A" w:rsidRDefault="00C52FD0" w:rsidP="00BD329E">
      <w:pPr>
        <w:pStyle w:val="Point2n"/>
        <w:spacing w:line="240" w:lineRule="auto"/>
        <w:jc w:val="both"/>
        <w:rPr>
          <w:noProof/>
        </w:rPr>
      </w:pPr>
      <w:r w:rsidRPr="00201A9A">
        <w:rPr>
          <w:noProof/>
        </w:rPr>
        <w:t>ułatwiania dostępu do usług</w:t>
      </w:r>
      <w:r w:rsidR="00201A9A" w:rsidRPr="00201A9A">
        <w:rPr>
          <w:noProof/>
        </w:rPr>
        <w:t xml:space="preserve"> i pow</w:t>
      </w:r>
      <w:r w:rsidRPr="00201A9A">
        <w:rPr>
          <w:noProof/>
        </w:rPr>
        <w:t>iązanej infrastruktury,</w:t>
      </w:r>
      <w:r w:rsidR="00201A9A" w:rsidRPr="00201A9A">
        <w:rPr>
          <w:noProof/>
        </w:rPr>
        <w:t xml:space="preserve"> w tym</w:t>
      </w:r>
      <w:r w:rsidRPr="00201A9A">
        <w:rPr>
          <w:noProof/>
        </w:rPr>
        <w:t xml:space="preserve"> modernizacji, cyfryzacji oraz poprawy jakości</w:t>
      </w:r>
      <w:r w:rsidR="00201A9A" w:rsidRPr="00201A9A">
        <w:rPr>
          <w:noProof/>
        </w:rPr>
        <w:t xml:space="preserve"> i odp</w:t>
      </w:r>
      <w:r w:rsidRPr="00201A9A">
        <w:rPr>
          <w:noProof/>
        </w:rPr>
        <w:t>orności systemów opieki zdrowotnej, usług opieki nad dziećmi</w:t>
      </w:r>
      <w:r w:rsidR="00201A9A" w:rsidRPr="00201A9A">
        <w:rPr>
          <w:noProof/>
        </w:rPr>
        <w:t xml:space="preserve"> i opi</w:t>
      </w:r>
      <w:r w:rsidRPr="00201A9A">
        <w:rPr>
          <w:noProof/>
        </w:rPr>
        <w:t>eki długoterminowej;</w:t>
      </w:r>
    </w:p>
    <w:p w14:paraId="1C6B3A00" w14:textId="160CDB9D" w:rsidR="00ED5964" w:rsidRPr="00201A9A" w:rsidRDefault="00ED5964" w:rsidP="00BD329E">
      <w:pPr>
        <w:pStyle w:val="Point2n"/>
        <w:spacing w:line="240" w:lineRule="auto"/>
        <w:jc w:val="both"/>
        <w:rPr>
          <w:noProof/>
        </w:rPr>
      </w:pPr>
      <w:r w:rsidRPr="00201A9A">
        <w:rPr>
          <w:noProof/>
        </w:rPr>
        <w:t>sprostania wyzwaniom związanym ze zmianami demograficznymi</w:t>
      </w:r>
      <w:r w:rsidR="00201A9A" w:rsidRPr="00201A9A">
        <w:rPr>
          <w:noProof/>
        </w:rPr>
        <w:t xml:space="preserve"> w cał</w:t>
      </w:r>
      <w:r w:rsidRPr="00201A9A">
        <w:rPr>
          <w:noProof/>
        </w:rPr>
        <w:t>ej UE, które obejmują niedobory siły roboczej</w:t>
      </w:r>
      <w:r w:rsidR="00201A9A" w:rsidRPr="00201A9A">
        <w:rPr>
          <w:noProof/>
        </w:rPr>
        <w:t xml:space="preserve"> i dys</w:t>
      </w:r>
      <w:r w:rsidRPr="00201A9A">
        <w:rPr>
          <w:noProof/>
        </w:rPr>
        <w:t>proporcje między pokoleniami</w:t>
      </w:r>
      <w:r w:rsidR="00201A9A" w:rsidRPr="00201A9A">
        <w:rPr>
          <w:noProof/>
        </w:rPr>
        <w:t xml:space="preserve"> i reg</w:t>
      </w:r>
      <w:r w:rsidRPr="00201A9A">
        <w:rPr>
          <w:noProof/>
        </w:rPr>
        <w:t>ionami;</w:t>
      </w:r>
    </w:p>
    <w:p w14:paraId="589CC5A0" w14:textId="5E21C2C8" w:rsidR="004E1B83" w:rsidRPr="00201A9A" w:rsidRDefault="0039743F" w:rsidP="0054409B">
      <w:pPr>
        <w:pStyle w:val="Point2n"/>
        <w:jc w:val="both"/>
        <w:rPr>
          <w:noProof/>
        </w:rPr>
      </w:pPr>
      <w:r w:rsidRPr="00201A9A">
        <w:rPr>
          <w:noProof/>
        </w:rPr>
        <w:t>zajęcia się społecznymi skutkami włączenia emisji gazów cieplarnianych</w:t>
      </w:r>
      <w:r w:rsidR="00201A9A" w:rsidRPr="00201A9A">
        <w:rPr>
          <w:noProof/>
        </w:rPr>
        <w:t xml:space="preserve"> z sek</w:t>
      </w:r>
      <w:r w:rsidRPr="00201A9A">
        <w:rPr>
          <w:noProof/>
        </w:rPr>
        <w:t>tora budynków</w:t>
      </w:r>
      <w:r w:rsidR="00201A9A" w:rsidRPr="00201A9A">
        <w:rPr>
          <w:noProof/>
        </w:rPr>
        <w:t xml:space="preserve"> i sek</w:t>
      </w:r>
      <w:r w:rsidRPr="00201A9A">
        <w:rPr>
          <w:noProof/>
        </w:rPr>
        <w:t>tora transportu drogowego</w:t>
      </w:r>
      <w:r w:rsidR="00201A9A" w:rsidRPr="00201A9A">
        <w:rPr>
          <w:noProof/>
        </w:rPr>
        <w:t xml:space="preserve"> w zak</w:t>
      </w:r>
      <w:r w:rsidRPr="00201A9A">
        <w:rPr>
          <w:noProof/>
        </w:rPr>
        <w:t>res stosowania dyrektywy 2003/87/WE.</w:t>
      </w:r>
    </w:p>
    <w:p w14:paraId="115681BD" w14:textId="30980290" w:rsidR="004E1B83" w:rsidRPr="00201A9A" w:rsidRDefault="00201A9A" w:rsidP="00201A9A">
      <w:pPr>
        <w:pStyle w:val="Point1"/>
        <w:rPr>
          <w:noProof/>
        </w:rPr>
      </w:pPr>
      <w:r w:rsidRPr="00201A9A">
        <w:rPr>
          <w:noProof/>
        </w:rPr>
        <w:t>d)</w:t>
      </w:r>
      <w:r w:rsidRPr="00201A9A">
        <w:rPr>
          <w:noProof/>
        </w:rPr>
        <w:tab/>
      </w:r>
      <w:r w:rsidR="00E53C11" w:rsidRPr="00201A9A">
        <w:rPr>
          <w:noProof/>
        </w:rPr>
        <w:t>utrzymanie jakości życia</w:t>
      </w:r>
      <w:r w:rsidRPr="00201A9A">
        <w:rPr>
          <w:noProof/>
        </w:rPr>
        <w:t xml:space="preserve"> w Uni</w:t>
      </w:r>
      <w:r w:rsidR="00E53C11" w:rsidRPr="00201A9A">
        <w:rPr>
          <w:noProof/>
        </w:rPr>
        <w:t>i przez:</w:t>
      </w:r>
    </w:p>
    <w:p w14:paraId="3EBBF7BE" w14:textId="410D0CAA" w:rsidR="004E1B83" w:rsidRPr="00201A9A" w:rsidRDefault="004E1B83" w:rsidP="003E2902">
      <w:pPr>
        <w:pStyle w:val="Point2n"/>
        <w:numPr>
          <w:ilvl w:val="0"/>
          <w:numId w:val="23"/>
        </w:numPr>
        <w:spacing w:line="240" w:lineRule="auto"/>
        <w:jc w:val="both"/>
        <w:rPr>
          <w:noProof/>
        </w:rPr>
      </w:pPr>
      <w:r w:rsidRPr="00201A9A">
        <w:rPr>
          <w:noProof/>
        </w:rPr>
        <w:t>wspieranie bardziej sprawiedliwych</w:t>
      </w:r>
      <w:r w:rsidR="00201A9A" w:rsidRPr="00201A9A">
        <w:rPr>
          <w:noProof/>
        </w:rPr>
        <w:t xml:space="preserve"> i wys</w:t>
      </w:r>
      <w:r w:rsidRPr="00201A9A">
        <w:rPr>
          <w:noProof/>
        </w:rPr>
        <w:t>tarczających dochodów rolników oraz ich długoterminowej konkurencyjności,</w:t>
      </w:r>
      <w:r w:rsidR="00201A9A" w:rsidRPr="00201A9A">
        <w:rPr>
          <w:noProof/>
        </w:rPr>
        <w:t xml:space="preserve"> w tym</w:t>
      </w:r>
      <w:r w:rsidRPr="00201A9A">
        <w:rPr>
          <w:noProof/>
        </w:rPr>
        <w:t xml:space="preserve"> pozycji rolników</w:t>
      </w:r>
      <w:r w:rsidR="00201A9A" w:rsidRPr="00201A9A">
        <w:rPr>
          <w:noProof/>
        </w:rPr>
        <w:t xml:space="preserve"> w łań</w:t>
      </w:r>
      <w:r w:rsidRPr="00201A9A">
        <w:rPr>
          <w:noProof/>
        </w:rPr>
        <w:t>cuchu wartości;</w:t>
      </w:r>
    </w:p>
    <w:p w14:paraId="4C1C03D2" w14:textId="77777777" w:rsidR="004E1B83" w:rsidRPr="00201A9A" w:rsidRDefault="004E1B83" w:rsidP="00BD329E">
      <w:pPr>
        <w:pStyle w:val="Point2n"/>
        <w:spacing w:line="240" w:lineRule="auto"/>
        <w:jc w:val="both"/>
        <w:rPr>
          <w:noProof/>
        </w:rPr>
      </w:pPr>
      <w:r w:rsidRPr="00201A9A">
        <w:rPr>
          <w:noProof/>
        </w:rPr>
        <w:t>budowanie długoterminowego bezpieczeństwa żywnościowego;</w:t>
      </w:r>
    </w:p>
    <w:p w14:paraId="69CB7A49" w14:textId="3411347F" w:rsidR="004E1B83" w:rsidRPr="00201A9A" w:rsidRDefault="004E1B83" w:rsidP="00BD329E">
      <w:pPr>
        <w:pStyle w:val="Point2n"/>
        <w:spacing w:line="240" w:lineRule="auto"/>
        <w:jc w:val="both"/>
        <w:rPr>
          <w:noProof/>
        </w:rPr>
      </w:pPr>
      <w:r w:rsidRPr="00201A9A">
        <w:rPr>
          <w:noProof/>
        </w:rPr>
        <w:t>poprawa atrakcyjności</w:t>
      </w:r>
      <w:r w:rsidR="00201A9A" w:rsidRPr="00201A9A">
        <w:rPr>
          <w:noProof/>
        </w:rPr>
        <w:t xml:space="preserve"> i poz</w:t>
      </w:r>
      <w:r w:rsidRPr="00201A9A">
        <w:rPr>
          <w:noProof/>
        </w:rPr>
        <w:t>iomu życia,</w:t>
      </w:r>
      <w:r w:rsidR="00201A9A" w:rsidRPr="00201A9A">
        <w:rPr>
          <w:noProof/>
        </w:rPr>
        <w:t xml:space="preserve"> w tym</w:t>
      </w:r>
      <w:r w:rsidRPr="00201A9A">
        <w:rPr>
          <w:noProof/>
        </w:rPr>
        <w:t xml:space="preserve"> dostępu do opieki zdrowotnej, na obszarach wiejskich oraz sprawiedliwe warunki pracy oraz wspieranie wymiany pokoleń; zwiększenie gotowości</w:t>
      </w:r>
      <w:r w:rsidR="00201A9A" w:rsidRPr="00201A9A">
        <w:rPr>
          <w:noProof/>
        </w:rPr>
        <w:t xml:space="preserve"> i zdo</w:t>
      </w:r>
      <w:r w:rsidRPr="00201A9A">
        <w:rPr>
          <w:noProof/>
        </w:rPr>
        <w:t>lności rolników do radzenia sobie</w:t>
      </w:r>
      <w:r w:rsidR="00201A9A" w:rsidRPr="00201A9A">
        <w:rPr>
          <w:noProof/>
        </w:rPr>
        <w:t xml:space="preserve"> z kry</w:t>
      </w:r>
      <w:r w:rsidRPr="00201A9A">
        <w:rPr>
          <w:noProof/>
        </w:rPr>
        <w:t>zysami</w:t>
      </w:r>
      <w:r w:rsidR="00201A9A" w:rsidRPr="00201A9A">
        <w:rPr>
          <w:noProof/>
        </w:rPr>
        <w:t xml:space="preserve"> i zag</w:t>
      </w:r>
      <w:r w:rsidRPr="00201A9A">
        <w:rPr>
          <w:noProof/>
        </w:rPr>
        <w:t>rożeniami; zwiększenie dostępu do wiedzy</w:t>
      </w:r>
      <w:r w:rsidR="00201A9A" w:rsidRPr="00201A9A">
        <w:rPr>
          <w:noProof/>
        </w:rPr>
        <w:t xml:space="preserve"> i inn</w:t>
      </w:r>
      <w:r w:rsidRPr="00201A9A">
        <w:rPr>
          <w:noProof/>
        </w:rPr>
        <w:t>owacji oraz przyspieszenie dwojakiej transformacji – zielonej</w:t>
      </w:r>
      <w:r w:rsidR="00201A9A" w:rsidRPr="00201A9A">
        <w:rPr>
          <w:noProof/>
        </w:rPr>
        <w:t xml:space="preserve"> i cyf</w:t>
      </w:r>
      <w:r w:rsidRPr="00201A9A">
        <w:rPr>
          <w:noProof/>
        </w:rPr>
        <w:t>rowej na rzecz dobrze prosperującego sektora rolno-spożywczego;</w:t>
      </w:r>
    </w:p>
    <w:p w14:paraId="3E1F2B0C" w14:textId="34577345" w:rsidR="004E1B83" w:rsidRPr="00201A9A" w:rsidRDefault="004E1B83" w:rsidP="00BD329E">
      <w:pPr>
        <w:pStyle w:val="Point2n"/>
        <w:spacing w:line="240" w:lineRule="auto"/>
        <w:jc w:val="both"/>
        <w:rPr>
          <w:noProof/>
        </w:rPr>
      </w:pPr>
      <w:r w:rsidRPr="00201A9A">
        <w:rPr>
          <w:noProof/>
        </w:rPr>
        <w:t>zapewnienie zrównoważonego rozwoju, konkurencyjności</w:t>
      </w:r>
      <w:r w:rsidR="00201A9A" w:rsidRPr="00201A9A">
        <w:rPr>
          <w:noProof/>
        </w:rPr>
        <w:t xml:space="preserve"> i odp</w:t>
      </w:r>
      <w:r w:rsidRPr="00201A9A">
        <w:rPr>
          <w:noProof/>
        </w:rPr>
        <w:t>orności unijnego sektora rybołówstwa</w:t>
      </w:r>
      <w:r w:rsidR="00201A9A" w:rsidRPr="00201A9A">
        <w:rPr>
          <w:noProof/>
        </w:rPr>
        <w:t xml:space="preserve"> i akw</w:t>
      </w:r>
      <w:r w:rsidRPr="00201A9A">
        <w:rPr>
          <w:noProof/>
        </w:rPr>
        <w:t>akultury, pobudzenie zrównoważonej</w:t>
      </w:r>
      <w:r w:rsidR="00201A9A" w:rsidRPr="00201A9A">
        <w:rPr>
          <w:noProof/>
        </w:rPr>
        <w:t xml:space="preserve"> i kon</w:t>
      </w:r>
      <w:r w:rsidRPr="00201A9A">
        <w:rPr>
          <w:noProof/>
        </w:rPr>
        <w:t>kurencyjnej niebieskiej gospodarki na obszarach przybrzeżnych, wyspiarskich</w:t>
      </w:r>
      <w:r w:rsidR="00201A9A" w:rsidRPr="00201A9A">
        <w:rPr>
          <w:noProof/>
        </w:rPr>
        <w:t xml:space="preserve"> i śró</w:t>
      </w:r>
      <w:r w:rsidRPr="00201A9A">
        <w:rPr>
          <w:noProof/>
        </w:rPr>
        <w:t>dlądowych, zwiększenie możliwości społeczno-gospodarczych</w:t>
      </w:r>
      <w:r w:rsidR="00201A9A" w:rsidRPr="00201A9A">
        <w:rPr>
          <w:noProof/>
        </w:rPr>
        <w:t xml:space="preserve"> i odp</w:t>
      </w:r>
      <w:r w:rsidRPr="00201A9A">
        <w:rPr>
          <w:noProof/>
        </w:rPr>
        <w:t>orności społeczności lokalnych oraz zapewnienie sprawnego zarządzania oceanami we wszystkich wymiarach,</w:t>
      </w:r>
      <w:r w:rsidR="00201A9A" w:rsidRPr="00201A9A">
        <w:rPr>
          <w:noProof/>
        </w:rPr>
        <w:t xml:space="preserve"> w tro</w:t>
      </w:r>
      <w:r w:rsidRPr="00201A9A">
        <w:rPr>
          <w:noProof/>
        </w:rPr>
        <w:t>sce</w:t>
      </w:r>
      <w:r w:rsidR="00201A9A" w:rsidRPr="00201A9A">
        <w:rPr>
          <w:noProof/>
        </w:rPr>
        <w:t xml:space="preserve"> o bez</w:t>
      </w:r>
      <w:r w:rsidRPr="00201A9A">
        <w:rPr>
          <w:noProof/>
        </w:rPr>
        <w:t>pieczne, chronione, czyste</w:t>
      </w:r>
      <w:r w:rsidR="00201A9A" w:rsidRPr="00201A9A">
        <w:rPr>
          <w:noProof/>
        </w:rPr>
        <w:t xml:space="preserve"> i zar</w:t>
      </w:r>
      <w:r w:rsidRPr="00201A9A">
        <w:rPr>
          <w:noProof/>
        </w:rPr>
        <w:t>ządzane</w:t>
      </w:r>
      <w:r w:rsidR="00201A9A" w:rsidRPr="00201A9A">
        <w:rPr>
          <w:noProof/>
        </w:rPr>
        <w:t xml:space="preserve"> w zró</w:t>
      </w:r>
      <w:r w:rsidRPr="00201A9A">
        <w:rPr>
          <w:noProof/>
        </w:rPr>
        <w:t>wnoważony sposób oceany;</w:t>
      </w:r>
    </w:p>
    <w:p w14:paraId="4CC32DBF" w14:textId="18935554" w:rsidR="004E1B83" w:rsidRPr="00201A9A" w:rsidRDefault="00D63878" w:rsidP="00BD329E">
      <w:pPr>
        <w:pStyle w:val="Point2n"/>
        <w:spacing w:line="240" w:lineRule="auto"/>
        <w:jc w:val="both"/>
        <w:rPr>
          <w:noProof/>
        </w:rPr>
      </w:pPr>
      <w:r w:rsidRPr="00201A9A">
        <w:rPr>
          <w:noProof/>
        </w:rPr>
        <w:t>rozszerzenie praktyk zrównoważonego rolnictwa</w:t>
      </w:r>
      <w:r w:rsidR="00201A9A" w:rsidRPr="00201A9A">
        <w:rPr>
          <w:noProof/>
        </w:rPr>
        <w:t xml:space="preserve"> i gos</w:t>
      </w:r>
      <w:r w:rsidRPr="00201A9A">
        <w:rPr>
          <w:noProof/>
        </w:rPr>
        <w:t>podarki leśnej</w:t>
      </w:r>
      <w:r w:rsidR="00201A9A" w:rsidRPr="00201A9A">
        <w:rPr>
          <w:noProof/>
        </w:rPr>
        <w:t xml:space="preserve"> w cel</w:t>
      </w:r>
      <w:r w:rsidRPr="00201A9A">
        <w:rPr>
          <w:noProof/>
        </w:rPr>
        <w:t>u promowania odpornych działań</w:t>
      </w:r>
      <w:r w:rsidR="00201A9A" w:rsidRPr="00201A9A">
        <w:rPr>
          <w:noProof/>
        </w:rPr>
        <w:t xml:space="preserve"> w dzi</w:t>
      </w:r>
      <w:r w:rsidRPr="00201A9A">
        <w:rPr>
          <w:noProof/>
        </w:rPr>
        <w:t>edzinie klimatu, świadczenie wielorakich usług ekosystemowych, wspieranie wydajnej gospodarki wodnej oraz jej jakości</w:t>
      </w:r>
      <w:r w:rsidR="00201A9A" w:rsidRPr="00201A9A">
        <w:rPr>
          <w:noProof/>
        </w:rPr>
        <w:t xml:space="preserve"> i odp</w:t>
      </w:r>
      <w:r w:rsidRPr="00201A9A">
        <w:rPr>
          <w:noProof/>
        </w:rPr>
        <w:t>orności, wdrażanie rozwiązań opartych na zasobach przyrody, wzmacnianie zrównoważonego rozwoju, ochrony środowiska, poprawa ochrony</w:t>
      </w:r>
      <w:r w:rsidR="00201A9A" w:rsidRPr="00201A9A">
        <w:rPr>
          <w:noProof/>
        </w:rPr>
        <w:t xml:space="preserve"> i odb</w:t>
      </w:r>
      <w:r w:rsidRPr="00201A9A">
        <w:rPr>
          <w:noProof/>
        </w:rPr>
        <w:t>udowy różnorodności biologicznej, gleby</w:t>
      </w:r>
      <w:r w:rsidR="00201A9A" w:rsidRPr="00201A9A">
        <w:rPr>
          <w:noProof/>
        </w:rPr>
        <w:t xml:space="preserve"> i zas</w:t>
      </w:r>
      <w:r w:rsidRPr="00201A9A">
        <w:rPr>
          <w:noProof/>
        </w:rPr>
        <w:t>obów naturalnych oraz poprawa dobrostanu zwierząt;</w:t>
      </w:r>
    </w:p>
    <w:p w14:paraId="76BECFAD" w14:textId="34EC03C0" w:rsidR="004E1B83" w:rsidRPr="00201A9A" w:rsidRDefault="00201A9A" w:rsidP="00201A9A">
      <w:pPr>
        <w:pStyle w:val="Point1"/>
        <w:rPr>
          <w:noProof/>
        </w:rPr>
      </w:pPr>
      <w:r w:rsidRPr="00201A9A">
        <w:rPr>
          <w:noProof/>
        </w:rPr>
        <w:t>e)</w:t>
      </w:r>
      <w:r w:rsidRPr="00201A9A">
        <w:rPr>
          <w:noProof/>
        </w:rPr>
        <w:tab/>
      </w:r>
      <w:r w:rsidR="00134921" w:rsidRPr="00201A9A">
        <w:rPr>
          <w:noProof/>
        </w:rPr>
        <w:t>ochrona</w:t>
      </w:r>
      <w:r w:rsidRPr="00201A9A">
        <w:rPr>
          <w:noProof/>
        </w:rPr>
        <w:t xml:space="preserve"> i wzm</w:t>
      </w:r>
      <w:r w:rsidR="00134921" w:rsidRPr="00201A9A">
        <w:rPr>
          <w:noProof/>
        </w:rPr>
        <w:t>acnianie praw podstawowych, demokracji, równości</w:t>
      </w:r>
      <w:r w:rsidRPr="00201A9A">
        <w:rPr>
          <w:noProof/>
        </w:rPr>
        <w:t xml:space="preserve"> i pra</w:t>
      </w:r>
      <w:r w:rsidR="00134921" w:rsidRPr="00201A9A">
        <w:rPr>
          <w:noProof/>
        </w:rPr>
        <w:t>worządności oraz przestrzeganie wartości Unii przez:</w:t>
      </w:r>
    </w:p>
    <w:p w14:paraId="11321124" w14:textId="64B4FA30" w:rsidR="001327F3" w:rsidRPr="00201A9A" w:rsidRDefault="001327F3" w:rsidP="003E2902">
      <w:pPr>
        <w:pStyle w:val="Point2n"/>
        <w:numPr>
          <w:ilvl w:val="0"/>
          <w:numId w:val="24"/>
        </w:numPr>
        <w:spacing w:line="240" w:lineRule="auto"/>
        <w:jc w:val="both"/>
        <w:rPr>
          <w:noProof/>
        </w:rPr>
      </w:pPr>
      <w:r w:rsidRPr="00201A9A">
        <w:rPr>
          <w:noProof/>
        </w:rPr>
        <w:t>utrzymanie</w:t>
      </w:r>
      <w:r w:rsidR="00201A9A" w:rsidRPr="00201A9A">
        <w:rPr>
          <w:noProof/>
        </w:rPr>
        <w:t xml:space="preserve"> i dal</w:t>
      </w:r>
      <w:r w:rsidRPr="00201A9A">
        <w:rPr>
          <w:noProof/>
        </w:rPr>
        <w:t>szy rozwój otwartych, opartych na prawach, demokratycznych, równych</w:t>
      </w:r>
      <w:r w:rsidR="00201A9A" w:rsidRPr="00201A9A">
        <w:rPr>
          <w:noProof/>
        </w:rPr>
        <w:t xml:space="preserve"> i int</w:t>
      </w:r>
      <w:r w:rsidRPr="00201A9A">
        <w:rPr>
          <w:noProof/>
        </w:rPr>
        <w:t>egracyjnych społeczeństw,</w:t>
      </w:r>
      <w:r w:rsidR="00201A9A" w:rsidRPr="00201A9A">
        <w:rPr>
          <w:noProof/>
        </w:rPr>
        <w:t xml:space="preserve"> w tym</w:t>
      </w:r>
      <w:r w:rsidRPr="00201A9A">
        <w:rPr>
          <w:noProof/>
        </w:rPr>
        <w:t xml:space="preserve"> dzięki budowaniu zdolności społeczeństwa obywatelskiego</w:t>
      </w:r>
      <w:r w:rsidR="00201A9A" w:rsidRPr="00201A9A">
        <w:rPr>
          <w:noProof/>
        </w:rPr>
        <w:t xml:space="preserve"> i par</w:t>
      </w:r>
      <w:r w:rsidRPr="00201A9A">
        <w:rPr>
          <w:noProof/>
        </w:rPr>
        <w:t>tnerów społecznych do przestrzegania wartości Unii, edukacji obywatelskiej</w:t>
      </w:r>
      <w:r w:rsidR="00201A9A" w:rsidRPr="00201A9A">
        <w:rPr>
          <w:noProof/>
        </w:rPr>
        <w:t xml:space="preserve"> i ucz</w:t>
      </w:r>
      <w:r w:rsidRPr="00201A9A">
        <w:rPr>
          <w:noProof/>
        </w:rPr>
        <w:t>estnictwa młodzieży;</w:t>
      </w:r>
    </w:p>
    <w:p w14:paraId="48C85E21" w14:textId="75C591D0" w:rsidR="001327F3" w:rsidRPr="00201A9A" w:rsidRDefault="001327F3" w:rsidP="003E2902">
      <w:pPr>
        <w:pStyle w:val="Point2n"/>
        <w:numPr>
          <w:ilvl w:val="0"/>
          <w:numId w:val="24"/>
        </w:numPr>
        <w:spacing w:line="240" w:lineRule="auto"/>
        <w:jc w:val="both"/>
        <w:rPr>
          <w:noProof/>
        </w:rPr>
      </w:pPr>
      <w:r w:rsidRPr="00201A9A">
        <w:rPr>
          <w:noProof/>
        </w:rPr>
        <w:t>promowanie</w:t>
      </w:r>
      <w:r w:rsidR="00201A9A" w:rsidRPr="00201A9A">
        <w:rPr>
          <w:noProof/>
        </w:rPr>
        <w:t xml:space="preserve"> i utr</w:t>
      </w:r>
      <w:r w:rsidRPr="00201A9A">
        <w:rPr>
          <w:noProof/>
        </w:rPr>
        <w:t>zymanie praworządności przez wzmocnienie systemów wymiaru sprawiedliwości, ram antykorupcyjnych, pluralizmu mediów, integralności informacji, umiejętności korzystania</w:t>
      </w:r>
      <w:r w:rsidR="00201A9A" w:rsidRPr="00201A9A">
        <w:rPr>
          <w:noProof/>
        </w:rPr>
        <w:t xml:space="preserve"> z med</w:t>
      </w:r>
      <w:r w:rsidRPr="00201A9A">
        <w:rPr>
          <w:noProof/>
        </w:rPr>
        <w:t>iów oraz skutecznych mechanizmów kontroli</w:t>
      </w:r>
      <w:r w:rsidR="00201A9A" w:rsidRPr="00201A9A">
        <w:rPr>
          <w:noProof/>
        </w:rPr>
        <w:t xml:space="preserve"> i rów</w:t>
      </w:r>
      <w:r w:rsidRPr="00201A9A">
        <w:rPr>
          <w:noProof/>
        </w:rPr>
        <w:t>nowagi;</w:t>
      </w:r>
    </w:p>
    <w:p w14:paraId="49CFFFD7" w14:textId="62FCE532" w:rsidR="001327F3" w:rsidRPr="00201A9A" w:rsidRDefault="001327F3" w:rsidP="003E2902">
      <w:pPr>
        <w:pStyle w:val="Point2n"/>
        <w:numPr>
          <w:ilvl w:val="0"/>
          <w:numId w:val="24"/>
        </w:numPr>
        <w:spacing w:line="240" w:lineRule="auto"/>
        <w:jc w:val="both"/>
        <w:rPr>
          <w:noProof/>
        </w:rPr>
      </w:pPr>
      <w:r w:rsidRPr="00201A9A">
        <w:rPr>
          <w:noProof/>
        </w:rPr>
        <w:t>zwiększenie efektywności administracji publicznej oraz zdolności instytucjonalnych organów publicznych</w:t>
      </w:r>
      <w:r w:rsidR="00201A9A" w:rsidRPr="00201A9A">
        <w:rPr>
          <w:noProof/>
        </w:rPr>
        <w:t xml:space="preserve"> i zai</w:t>
      </w:r>
      <w:r w:rsidRPr="00201A9A">
        <w:rPr>
          <w:noProof/>
        </w:rPr>
        <w:t>nteresowanych stron na szczeblu krajowym, regionalnym</w:t>
      </w:r>
      <w:r w:rsidR="00201A9A" w:rsidRPr="00201A9A">
        <w:rPr>
          <w:noProof/>
        </w:rPr>
        <w:t xml:space="preserve"> i lok</w:t>
      </w:r>
      <w:r w:rsidRPr="00201A9A">
        <w:rPr>
          <w:noProof/>
        </w:rPr>
        <w:t>alnym;</w:t>
      </w:r>
    </w:p>
    <w:p w14:paraId="4B96AB81" w14:textId="599A6F03" w:rsidR="00894932" w:rsidRPr="00201A9A" w:rsidRDefault="00894932" w:rsidP="003E2902">
      <w:pPr>
        <w:pStyle w:val="Point2n"/>
        <w:numPr>
          <w:ilvl w:val="0"/>
          <w:numId w:val="24"/>
        </w:numPr>
        <w:spacing w:line="240" w:lineRule="auto"/>
        <w:jc w:val="both"/>
        <w:rPr>
          <w:noProof/>
        </w:rPr>
      </w:pPr>
      <w:r w:rsidRPr="00201A9A">
        <w:rPr>
          <w:noProof/>
        </w:rPr>
        <w:t>promowanie kultury jako katalizatora wartości europejskich oraz wspieranie dynamicznego</w:t>
      </w:r>
      <w:r w:rsidR="00201A9A" w:rsidRPr="00201A9A">
        <w:rPr>
          <w:noProof/>
        </w:rPr>
        <w:t xml:space="preserve"> i zró</w:t>
      </w:r>
      <w:r w:rsidRPr="00201A9A">
        <w:rPr>
          <w:noProof/>
        </w:rPr>
        <w:t>żnicowanego sektora kultury.</w:t>
      </w:r>
    </w:p>
    <w:p w14:paraId="6E3E49E1" w14:textId="77777777" w:rsidR="009418A6" w:rsidRPr="00201A9A" w:rsidRDefault="009418A6" w:rsidP="009418A6">
      <w:pPr>
        <w:pStyle w:val="Titrearticle"/>
        <w:rPr>
          <w:noProof/>
        </w:rPr>
      </w:pPr>
      <w:r w:rsidRPr="00201A9A">
        <w:rPr>
          <w:noProof/>
        </w:rPr>
        <w:t xml:space="preserve">Artykuł 4 </w:t>
      </w:r>
      <w:r w:rsidRPr="00201A9A">
        <w:rPr>
          <w:noProof/>
        </w:rPr>
        <w:br/>
      </w:r>
      <w:r w:rsidRPr="00201A9A">
        <w:rPr>
          <w:b/>
          <w:noProof/>
        </w:rPr>
        <w:t>Definicje</w:t>
      </w:r>
    </w:p>
    <w:p w14:paraId="66A52AA8" w14:textId="77777777" w:rsidR="00CE6EC9" w:rsidRPr="00201A9A" w:rsidRDefault="00CE6EC9" w:rsidP="00CE6EC9">
      <w:pPr>
        <w:spacing w:line="360" w:lineRule="auto"/>
        <w:rPr>
          <w:noProof/>
        </w:rPr>
      </w:pPr>
      <w:r w:rsidRPr="00201A9A">
        <w:rPr>
          <w:noProof/>
        </w:rPr>
        <w:t>Do celów niniejszego rozporządzenia stosuje się następujące definicje:</w:t>
      </w:r>
    </w:p>
    <w:p w14:paraId="69625ADA" w14:textId="3C5076E2" w:rsidR="00CE6EC9" w:rsidRPr="00201A9A" w:rsidRDefault="00201A9A" w:rsidP="00201A9A">
      <w:pPr>
        <w:pStyle w:val="Point0"/>
        <w:rPr>
          <w:noProof/>
        </w:rPr>
      </w:pPr>
      <w:r w:rsidRPr="00201A9A">
        <w:rPr>
          <w:noProof/>
        </w:rPr>
        <w:t>2)</w:t>
      </w:r>
      <w:r w:rsidRPr="00201A9A">
        <w:rPr>
          <w:noProof/>
        </w:rPr>
        <w:tab/>
      </w:r>
      <w:r w:rsidR="00CE6EC9" w:rsidRPr="00201A9A">
        <w:rPr>
          <w:noProof/>
        </w:rPr>
        <w:t>„mające zastosowanie prawo” oznacza prawo Unii oraz przepisy prawa krajowego bezpośrednio odnoszące się do jego stosowania;</w:t>
      </w:r>
    </w:p>
    <w:p w14:paraId="7D4445A4" w14:textId="600DA8CA" w:rsidR="00CE6EC9" w:rsidRPr="00201A9A" w:rsidRDefault="00201A9A" w:rsidP="00201A9A">
      <w:pPr>
        <w:pStyle w:val="Point0"/>
        <w:rPr>
          <w:rFonts w:eastAsia="Aptos"/>
          <w:noProof/>
        </w:rPr>
      </w:pPr>
      <w:r w:rsidRPr="00201A9A">
        <w:rPr>
          <w:noProof/>
        </w:rPr>
        <w:t>3)</w:t>
      </w:r>
      <w:r w:rsidRPr="00201A9A">
        <w:rPr>
          <w:noProof/>
        </w:rPr>
        <w:tab/>
      </w:r>
      <w:r w:rsidR="00CE6EC9" w:rsidRPr="00201A9A">
        <w:rPr>
          <w:noProof/>
        </w:rPr>
        <w:t xml:space="preserve">„beneficjent” oznacza: </w:t>
      </w:r>
    </w:p>
    <w:p w14:paraId="3F30ACB9" w14:textId="3498C863" w:rsidR="00CE6EC9" w:rsidRPr="00201A9A" w:rsidRDefault="00201A9A" w:rsidP="00201A9A">
      <w:pPr>
        <w:pStyle w:val="Point1"/>
        <w:rPr>
          <w:noProof/>
        </w:rPr>
      </w:pPr>
      <w:r w:rsidRPr="00201A9A">
        <w:rPr>
          <w:noProof/>
        </w:rPr>
        <w:t>a)</w:t>
      </w:r>
      <w:r w:rsidRPr="00201A9A">
        <w:rPr>
          <w:noProof/>
        </w:rPr>
        <w:tab/>
      </w:r>
      <w:r w:rsidR="08379DE7" w:rsidRPr="00201A9A">
        <w:rPr>
          <w:noProof/>
        </w:rPr>
        <w:t>podmiot prawa publicznego lub prywatnego, podmiot posiadający osobowość prawną lub jej nieposiadający, albo osobę fizyczną niebędącą uczestnikiem, odpowiedzialną za inicjowanie lub zarówno inicjowanie, jak</w:t>
      </w:r>
      <w:r w:rsidRPr="00201A9A">
        <w:rPr>
          <w:noProof/>
        </w:rPr>
        <w:t xml:space="preserve"> i rea</w:t>
      </w:r>
      <w:r w:rsidR="08379DE7" w:rsidRPr="00201A9A">
        <w:rPr>
          <w:noProof/>
        </w:rPr>
        <w:t>lizację operacji</w:t>
      </w:r>
      <w:r w:rsidRPr="00201A9A">
        <w:rPr>
          <w:noProof/>
        </w:rPr>
        <w:t xml:space="preserve"> w ram</w:t>
      </w:r>
      <w:r w:rsidR="08379DE7" w:rsidRPr="00201A9A">
        <w:rPr>
          <w:noProof/>
        </w:rPr>
        <w:t>ach planu PKR</w:t>
      </w:r>
      <w:r w:rsidRPr="00201A9A">
        <w:rPr>
          <w:noProof/>
        </w:rPr>
        <w:t xml:space="preserve"> i Pla</w:t>
      </w:r>
      <w:r w:rsidR="08379DE7" w:rsidRPr="00201A9A">
        <w:rPr>
          <w:noProof/>
        </w:rPr>
        <w:t>nu Interreg</w:t>
      </w:r>
      <w:r w:rsidRPr="00201A9A">
        <w:rPr>
          <w:noProof/>
        </w:rPr>
        <w:t xml:space="preserve"> i któ</w:t>
      </w:r>
      <w:r w:rsidR="08379DE7" w:rsidRPr="00201A9A">
        <w:rPr>
          <w:noProof/>
        </w:rPr>
        <w:t xml:space="preserve">rej przedstawiono dokument określający warunki wsparcia; </w:t>
      </w:r>
    </w:p>
    <w:p w14:paraId="495F10B2" w14:textId="565C2634" w:rsidR="00CE6EC9" w:rsidRPr="00201A9A" w:rsidRDefault="00201A9A" w:rsidP="00201A9A">
      <w:pPr>
        <w:pStyle w:val="Point1"/>
        <w:rPr>
          <w:noProof/>
        </w:rPr>
      </w:pPr>
      <w:r w:rsidRPr="00201A9A">
        <w:rPr>
          <w:noProof/>
        </w:rPr>
        <w:t>b)</w:t>
      </w:r>
      <w:r w:rsidRPr="00201A9A">
        <w:rPr>
          <w:noProof/>
        </w:rPr>
        <w:tab/>
      </w:r>
      <w:r w:rsidR="00CE6EC9" w:rsidRPr="00201A9A">
        <w:rPr>
          <w:noProof/>
        </w:rPr>
        <w:t>w kontekście instrumentów finansowych – podmiot, który wdraża fundusz powierniczy, lub, jeśli nie istnieje struktura funduszu powierniczego, podmiot wrażający fundusz szczegółowy, lub, jeśli instytucja zarządzająca zarządza instrumentem finansowym, instytucję zarządzającą;</w:t>
      </w:r>
    </w:p>
    <w:p w14:paraId="5F104E2F" w14:textId="2EA01FCB" w:rsidR="00CE6EC9" w:rsidRPr="00201A9A" w:rsidRDefault="00201A9A" w:rsidP="00201A9A">
      <w:pPr>
        <w:pStyle w:val="Point1"/>
        <w:rPr>
          <w:noProof/>
        </w:rPr>
      </w:pPr>
      <w:r w:rsidRPr="00201A9A">
        <w:rPr>
          <w:noProof/>
        </w:rPr>
        <w:t>c)</w:t>
      </w:r>
      <w:r w:rsidRPr="00201A9A">
        <w:rPr>
          <w:noProof/>
        </w:rPr>
        <w:tab/>
      </w:r>
      <w:r w:rsidR="6C3DBD9E" w:rsidRPr="00201A9A">
        <w:rPr>
          <w:noProof/>
        </w:rPr>
        <w:t>w kontekście WPR – rolnik, który jest:</w:t>
      </w:r>
    </w:p>
    <w:p w14:paraId="0F9452E5" w14:textId="5975D084" w:rsidR="00990B66" w:rsidRPr="00201A9A" w:rsidRDefault="00813BB7" w:rsidP="003E2902">
      <w:pPr>
        <w:pStyle w:val="Point2n"/>
        <w:numPr>
          <w:ilvl w:val="0"/>
          <w:numId w:val="122"/>
        </w:numPr>
        <w:jc w:val="both"/>
        <w:rPr>
          <w:noProof/>
        </w:rPr>
      </w:pPr>
      <w:r w:rsidRPr="00201A9A">
        <w:rPr>
          <w:noProof/>
        </w:rPr>
        <w:t>osobą fizyczną lub prawną, której gospodarstwo rolne znajduje się</w:t>
      </w:r>
      <w:r w:rsidR="00201A9A" w:rsidRPr="00201A9A">
        <w:rPr>
          <w:noProof/>
        </w:rPr>
        <w:t xml:space="preserve"> w Uni</w:t>
      </w:r>
      <w:r w:rsidRPr="00201A9A">
        <w:rPr>
          <w:noProof/>
        </w:rPr>
        <w:t>i</w:t>
      </w:r>
      <w:r w:rsidR="00201A9A" w:rsidRPr="00201A9A">
        <w:rPr>
          <w:noProof/>
        </w:rPr>
        <w:t xml:space="preserve"> i któ</w:t>
      </w:r>
      <w:r w:rsidRPr="00201A9A">
        <w:rPr>
          <w:noProof/>
        </w:rPr>
        <w:t>rej podstawową działalnością jest działalność rolnicza zgodnie</w:t>
      </w:r>
      <w:r w:rsidR="00201A9A" w:rsidRPr="00201A9A">
        <w:rPr>
          <w:noProof/>
        </w:rPr>
        <w:t xml:space="preserve"> z kry</w:t>
      </w:r>
      <w:r w:rsidRPr="00201A9A">
        <w:rPr>
          <w:noProof/>
        </w:rPr>
        <w:t>teriami określonymi przez państwa członkowskie zgodnie</w:t>
      </w:r>
      <w:r w:rsidR="00201A9A" w:rsidRPr="00201A9A">
        <w:rPr>
          <w:noProof/>
        </w:rPr>
        <w:t xml:space="preserve"> z nin</w:t>
      </w:r>
      <w:r w:rsidRPr="00201A9A">
        <w:rPr>
          <w:noProof/>
        </w:rPr>
        <w:t>iejszym rozporządzeniem; lub</w:t>
      </w:r>
    </w:p>
    <w:p w14:paraId="483CCB4C" w14:textId="77777777" w:rsidR="00CE6EC9" w:rsidRPr="00201A9A" w:rsidRDefault="004A3659" w:rsidP="07DC7BA7">
      <w:pPr>
        <w:pStyle w:val="Point2n"/>
        <w:jc w:val="both"/>
        <w:rPr>
          <w:noProof/>
        </w:rPr>
      </w:pPr>
      <w:r w:rsidRPr="00201A9A">
        <w:rPr>
          <w:noProof/>
        </w:rPr>
        <w:t>osobą fizyczną lub małą osobą prawną, której podstawową działalnością nie jest rolnictwo, ale która prowadzi co najmniej minimalny poziom działalności rolniczej określony przez państwa członkowskie.</w:t>
      </w:r>
    </w:p>
    <w:p w14:paraId="5F4FED9C" w14:textId="1CEB1008" w:rsidR="00CE6EC9" w:rsidRPr="00201A9A" w:rsidRDefault="00201A9A" w:rsidP="00201A9A">
      <w:pPr>
        <w:pStyle w:val="Point0"/>
        <w:rPr>
          <w:rFonts w:eastAsia="Aptos"/>
          <w:noProof/>
        </w:rPr>
      </w:pPr>
      <w:r w:rsidRPr="00201A9A">
        <w:rPr>
          <w:noProof/>
        </w:rPr>
        <w:t>4)</w:t>
      </w:r>
      <w:r w:rsidRPr="00201A9A">
        <w:rPr>
          <w:noProof/>
        </w:rPr>
        <w:tab/>
      </w:r>
      <w:r w:rsidR="00CE6EC9" w:rsidRPr="00201A9A">
        <w:rPr>
          <w:noProof/>
        </w:rPr>
        <w:t xml:space="preserve">„rozdział planu PKR” oznacza część planu PKR skupiającą się na konkretnym wyzwaniu, sektorze, polityce lub obszarze geograficznym; </w:t>
      </w:r>
    </w:p>
    <w:p w14:paraId="185B730F" w14:textId="603A622C" w:rsidR="00CE6EC9" w:rsidRPr="00201A9A" w:rsidRDefault="00201A9A" w:rsidP="00201A9A">
      <w:pPr>
        <w:pStyle w:val="Point0"/>
        <w:rPr>
          <w:noProof/>
        </w:rPr>
      </w:pPr>
      <w:r w:rsidRPr="00201A9A">
        <w:rPr>
          <w:noProof/>
        </w:rPr>
        <w:t>5)</w:t>
      </w:r>
      <w:r w:rsidRPr="00201A9A">
        <w:rPr>
          <w:noProof/>
        </w:rPr>
        <w:tab/>
      </w:r>
      <w:r w:rsidR="00CE6EC9" w:rsidRPr="00201A9A">
        <w:rPr>
          <w:noProof/>
        </w:rPr>
        <w:t>„wykonawca” oznacza podmiot lub osobę fizyczną,</w:t>
      </w:r>
      <w:r w:rsidRPr="00201A9A">
        <w:rPr>
          <w:noProof/>
        </w:rPr>
        <w:t xml:space="preserve"> z któ</w:t>
      </w:r>
      <w:r w:rsidR="00CE6EC9" w:rsidRPr="00201A9A">
        <w:rPr>
          <w:noProof/>
        </w:rPr>
        <w:t>rymi beneficjent lub odbiorca zawiera umowę</w:t>
      </w:r>
      <w:r w:rsidRPr="00201A9A">
        <w:rPr>
          <w:noProof/>
        </w:rPr>
        <w:t xml:space="preserve"> w kon</w:t>
      </w:r>
      <w:r w:rsidR="00CE6EC9" w:rsidRPr="00201A9A">
        <w:rPr>
          <w:noProof/>
        </w:rPr>
        <w:t>kretnym celu realizacji jednej lub większej liczby operacji lub ich części;</w:t>
      </w:r>
    </w:p>
    <w:p w14:paraId="0759C3D2" w14:textId="427AB3D1" w:rsidR="00CE6EC9" w:rsidRPr="00201A9A" w:rsidRDefault="00201A9A" w:rsidP="00201A9A">
      <w:pPr>
        <w:pStyle w:val="Point0"/>
        <w:rPr>
          <w:noProof/>
        </w:rPr>
      </w:pPr>
      <w:r w:rsidRPr="00201A9A">
        <w:rPr>
          <w:noProof/>
        </w:rPr>
        <w:t>6)</w:t>
      </w:r>
      <w:r w:rsidRPr="00201A9A">
        <w:rPr>
          <w:noProof/>
        </w:rPr>
        <w:tab/>
      </w:r>
      <w:r w:rsidR="00CE6EC9" w:rsidRPr="00201A9A">
        <w:rPr>
          <w:noProof/>
        </w:rPr>
        <w:t>„odbiorca” oznacza podmiot posiadający osobowość prawną lub jej nieposiadający albo osobę fizyczną, która nie jest uczestnikiem, otrzymujące środki</w:t>
      </w:r>
      <w:r w:rsidRPr="00201A9A">
        <w:rPr>
          <w:noProof/>
        </w:rPr>
        <w:t xml:space="preserve"> z bud</w:t>
      </w:r>
      <w:r w:rsidR="00CE6EC9" w:rsidRPr="00201A9A">
        <w:rPr>
          <w:noProof/>
        </w:rPr>
        <w:t>żetu Unii za pośrednictwem beneficjenta;</w:t>
      </w:r>
    </w:p>
    <w:p w14:paraId="19B9F9B3" w14:textId="4875C5B7" w:rsidR="00CE6EC9" w:rsidRPr="00201A9A" w:rsidRDefault="00201A9A" w:rsidP="00201A9A">
      <w:pPr>
        <w:pStyle w:val="Point0"/>
        <w:rPr>
          <w:noProof/>
        </w:rPr>
      </w:pPr>
      <w:r w:rsidRPr="00201A9A">
        <w:rPr>
          <w:noProof/>
        </w:rPr>
        <w:t>7)</w:t>
      </w:r>
      <w:r w:rsidRPr="00201A9A">
        <w:rPr>
          <w:noProof/>
        </w:rPr>
        <w:tab/>
      </w:r>
      <w:r w:rsidR="00CE6EC9" w:rsidRPr="00201A9A">
        <w:rPr>
          <w:noProof/>
        </w:rPr>
        <w:t>„odbiorca końcowy” oznacza podmiot posiadający osobowość prawną lub jej nieposiadający albo osobę fizyczną, która nie jest uczestnikiem, otrzymujące wsparcie</w:t>
      </w:r>
      <w:r w:rsidRPr="00201A9A">
        <w:rPr>
          <w:noProof/>
        </w:rPr>
        <w:t xml:space="preserve"> w ram</w:t>
      </w:r>
      <w:r w:rsidR="00CE6EC9" w:rsidRPr="00201A9A">
        <w:rPr>
          <w:noProof/>
        </w:rPr>
        <w:t>ach instrumentu finansowego</w:t>
      </w:r>
      <w:r w:rsidRPr="00201A9A">
        <w:rPr>
          <w:noProof/>
        </w:rPr>
        <w:t xml:space="preserve"> i któ</w:t>
      </w:r>
      <w:r w:rsidR="00CE6EC9" w:rsidRPr="00201A9A">
        <w:rPr>
          <w:noProof/>
        </w:rPr>
        <w:t>re stanowią odbiorcę do celów art.</w:t>
      </w:r>
      <w:r w:rsidRPr="00201A9A">
        <w:rPr>
          <w:noProof/>
        </w:rPr>
        <w:t> </w:t>
      </w:r>
      <w:r w:rsidR="00CE6EC9" w:rsidRPr="00201A9A">
        <w:rPr>
          <w:noProof/>
        </w:rPr>
        <w:t>38 ust.</w:t>
      </w:r>
      <w:r w:rsidRPr="00201A9A">
        <w:rPr>
          <w:noProof/>
        </w:rPr>
        <w:t> </w:t>
      </w:r>
      <w:r w:rsidR="00CE6EC9" w:rsidRPr="00201A9A">
        <w:rPr>
          <w:noProof/>
        </w:rPr>
        <w:t>1 rozporządzenia (UE, Euratom) 2024/2509;</w:t>
      </w:r>
    </w:p>
    <w:p w14:paraId="0EAD1A87" w14:textId="5970485D" w:rsidR="00CE6EC9" w:rsidRPr="00201A9A" w:rsidRDefault="00201A9A" w:rsidP="00201A9A">
      <w:pPr>
        <w:pStyle w:val="Point0"/>
        <w:rPr>
          <w:rFonts w:eastAsia="Times New Roman"/>
          <w:noProof/>
        </w:rPr>
      </w:pPr>
      <w:r w:rsidRPr="00201A9A">
        <w:rPr>
          <w:noProof/>
        </w:rPr>
        <w:t>8)</w:t>
      </w:r>
      <w:r w:rsidRPr="00201A9A">
        <w:rPr>
          <w:noProof/>
        </w:rPr>
        <w:tab/>
      </w:r>
      <w:r w:rsidR="00567AC6" w:rsidRPr="00201A9A">
        <w:rPr>
          <w:noProof/>
        </w:rPr>
        <w:t>„uczestnik” oznacza osobę fizyczną czerpiącą bezpośrednie korzyści</w:t>
      </w:r>
      <w:r w:rsidRPr="00201A9A">
        <w:rPr>
          <w:noProof/>
        </w:rPr>
        <w:t xml:space="preserve"> z ope</w:t>
      </w:r>
      <w:r w:rsidR="00567AC6" w:rsidRPr="00201A9A">
        <w:rPr>
          <w:noProof/>
        </w:rPr>
        <w:t>racji, która nie rozpoczyna ani nie realizuje operacji;</w:t>
      </w:r>
    </w:p>
    <w:p w14:paraId="21DF5FFF" w14:textId="6106C61A" w:rsidR="00CE6EC9" w:rsidRPr="00201A9A" w:rsidRDefault="00201A9A" w:rsidP="00201A9A">
      <w:pPr>
        <w:pStyle w:val="Point0"/>
        <w:rPr>
          <w:noProof/>
        </w:rPr>
      </w:pPr>
      <w:r w:rsidRPr="00201A9A">
        <w:rPr>
          <w:noProof/>
        </w:rPr>
        <w:t>9)</w:t>
      </w:r>
      <w:r w:rsidRPr="00201A9A">
        <w:rPr>
          <w:noProof/>
        </w:rPr>
        <w:tab/>
      </w:r>
      <w:r w:rsidR="00CE6EC9" w:rsidRPr="00201A9A">
        <w:rPr>
          <w:noProof/>
        </w:rPr>
        <w:t xml:space="preserve">„operacja” oznacza: </w:t>
      </w:r>
    </w:p>
    <w:p w14:paraId="117280E6" w14:textId="327D5584" w:rsidR="00CE6EC9" w:rsidRPr="00201A9A" w:rsidRDefault="00201A9A" w:rsidP="00201A9A">
      <w:pPr>
        <w:pStyle w:val="Point1"/>
        <w:rPr>
          <w:noProof/>
        </w:rPr>
      </w:pPr>
      <w:r w:rsidRPr="00201A9A">
        <w:rPr>
          <w:noProof/>
        </w:rPr>
        <w:t>a)</w:t>
      </w:r>
      <w:r w:rsidRPr="00201A9A">
        <w:rPr>
          <w:noProof/>
        </w:rPr>
        <w:tab/>
      </w:r>
      <w:r w:rsidR="00CE6EC9" w:rsidRPr="00201A9A">
        <w:rPr>
          <w:noProof/>
        </w:rPr>
        <w:t>projekt, umowę, działanie lub grupę projektów albo grupę działań wybranych</w:t>
      </w:r>
      <w:r w:rsidRPr="00201A9A">
        <w:rPr>
          <w:noProof/>
        </w:rPr>
        <w:t xml:space="preserve"> w kon</w:t>
      </w:r>
      <w:r w:rsidR="00CE6EC9" w:rsidRPr="00201A9A">
        <w:rPr>
          <w:noProof/>
        </w:rPr>
        <w:t>tekście wdrażania środka przewidzianego</w:t>
      </w:r>
      <w:r w:rsidRPr="00201A9A">
        <w:rPr>
          <w:noProof/>
        </w:rPr>
        <w:t xml:space="preserve"> w pla</w:t>
      </w:r>
      <w:r w:rsidR="00CE6EC9" w:rsidRPr="00201A9A">
        <w:rPr>
          <w:noProof/>
        </w:rPr>
        <w:t xml:space="preserve">nie; </w:t>
      </w:r>
    </w:p>
    <w:p w14:paraId="70C7A110" w14:textId="7E203F6F" w:rsidR="00CE6EC9" w:rsidRPr="00201A9A" w:rsidRDefault="00201A9A" w:rsidP="00201A9A">
      <w:pPr>
        <w:pStyle w:val="Point1"/>
        <w:rPr>
          <w:noProof/>
        </w:rPr>
      </w:pPr>
      <w:r w:rsidRPr="00201A9A">
        <w:rPr>
          <w:noProof/>
        </w:rPr>
        <w:t>b)</w:t>
      </w:r>
      <w:r w:rsidRPr="00201A9A">
        <w:rPr>
          <w:noProof/>
        </w:rPr>
        <w:tab/>
      </w:r>
      <w:r w:rsidR="00CE6EC9" w:rsidRPr="00201A9A">
        <w:rPr>
          <w:noProof/>
        </w:rPr>
        <w:t>w kontekście instrumentów finansowych – wkład</w:t>
      </w:r>
      <w:r w:rsidRPr="00201A9A">
        <w:rPr>
          <w:noProof/>
        </w:rPr>
        <w:t xml:space="preserve"> z pla</w:t>
      </w:r>
      <w:r w:rsidR="00CE6EC9" w:rsidRPr="00201A9A">
        <w:rPr>
          <w:noProof/>
        </w:rPr>
        <w:t xml:space="preserve">nu PKR lub </w:t>
      </w:r>
      <w:r w:rsidR="00A47BEA" w:rsidRPr="00201A9A">
        <w:rPr>
          <w:noProof/>
        </w:rPr>
        <w:t>P</w:t>
      </w:r>
      <w:r w:rsidR="00CE6EC9" w:rsidRPr="00201A9A">
        <w:rPr>
          <w:noProof/>
        </w:rPr>
        <w:t>lanu Interreg na rzecz instrumentu finansowego oraz późniejsze wsparcie finansowe świadczone</w:t>
      </w:r>
      <w:r w:rsidRPr="00201A9A">
        <w:rPr>
          <w:noProof/>
        </w:rPr>
        <w:t xml:space="preserve"> z teg</w:t>
      </w:r>
      <w:r w:rsidR="00CE6EC9" w:rsidRPr="00201A9A">
        <w:rPr>
          <w:noProof/>
        </w:rPr>
        <w:t>o instrumentu finansowego na rzecz odbiorców końcowych;</w:t>
      </w:r>
    </w:p>
    <w:p w14:paraId="357AD4C8" w14:textId="442E2A36" w:rsidR="00550885" w:rsidRPr="00201A9A" w:rsidRDefault="00201A9A" w:rsidP="00201A9A">
      <w:pPr>
        <w:pStyle w:val="Point1"/>
        <w:rPr>
          <w:noProof/>
        </w:rPr>
      </w:pPr>
      <w:r w:rsidRPr="00201A9A">
        <w:rPr>
          <w:noProof/>
        </w:rPr>
        <w:t>c)</w:t>
      </w:r>
      <w:r w:rsidRPr="00201A9A">
        <w:rPr>
          <w:noProof/>
        </w:rPr>
        <w:tab/>
      </w:r>
      <w:r w:rsidR="4DFC2515" w:rsidRPr="00201A9A">
        <w:rPr>
          <w:noProof/>
        </w:rPr>
        <w:t>w kontekście WPR – płatność przyznawaną rolnikom</w:t>
      </w:r>
      <w:r w:rsidRPr="00201A9A">
        <w:rPr>
          <w:noProof/>
        </w:rPr>
        <w:t xml:space="preserve"> w ram</w:t>
      </w:r>
      <w:r w:rsidR="4DFC2515" w:rsidRPr="00201A9A">
        <w:rPr>
          <w:noProof/>
        </w:rPr>
        <w:t>ach obszarowych</w:t>
      </w:r>
      <w:r w:rsidRPr="00201A9A">
        <w:rPr>
          <w:noProof/>
        </w:rPr>
        <w:t xml:space="preserve"> i zwi</w:t>
      </w:r>
      <w:r w:rsidR="4DFC2515" w:rsidRPr="00201A9A">
        <w:rPr>
          <w:noProof/>
        </w:rPr>
        <w:t>ązanych</w:t>
      </w:r>
      <w:r w:rsidRPr="00201A9A">
        <w:rPr>
          <w:noProof/>
        </w:rPr>
        <w:t xml:space="preserve"> z pro</w:t>
      </w:r>
      <w:r w:rsidR="4DFC2515" w:rsidRPr="00201A9A">
        <w:rPr>
          <w:noProof/>
        </w:rPr>
        <w:t>dukcją zwierzęcą interwencji</w:t>
      </w:r>
      <w:r w:rsidRPr="00201A9A">
        <w:rPr>
          <w:noProof/>
        </w:rPr>
        <w:t xml:space="preserve"> z zak</w:t>
      </w:r>
      <w:r w:rsidR="4DFC2515" w:rsidRPr="00201A9A">
        <w:rPr>
          <w:noProof/>
        </w:rPr>
        <w:t>resu wsparcia dochodów</w:t>
      </w:r>
      <w:r w:rsidRPr="00201A9A">
        <w:rPr>
          <w:noProof/>
        </w:rPr>
        <w:t xml:space="preserve"> w ram</w:t>
      </w:r>
      <w:r w:rsidR="4DFC2515" w:rsidRPr="00201A9A">
        <w:rPr>
          <w:noProof/>
        </w:rPr>
        <w:t>ach WPR,</w:t>
      </w:r>
      <w:r w:rsidRPr="00201A9A">
        <w:rPr>
          <w:noProof/>
        </w:rPr>
        <w:t xml:space="preserve"> o któ</w:t>
      </w:r>
      <w:r w:rsidR="4DFC2515" w:rsidRPr="00201A9A">
        <w:rPr>
          <w:noProof/>
        </w:rPr>
        <w:t>rych mowa</w:t>
      </w:r>
      <w:r w:rsidRPr="00201A9A">
        <w:rPr>
          <w:noProof/>
        </w:rPr>
        <w:t xml:space="preserve"> w art</w:t>
      </w:r>
      <w:r w:rsidR="4DFC2515" w:rsidRPr="00201A9A">
        <w:rPr>
          <w:noProof/>
        </w:rPr>
        <w:t>.</w:t>
      </w:r>
      <w:r w:rsidRPr="00201A9A">
        <w:rPr>
          <w:noProof/>
        </w:rPr>
        <w:t> </w:t>
      </w:r>
      <w:r w:rsidR="4DFC2515" w:rsidRPr="00201A9A">
        <w:rPr>
          <w:noProof/>
        </w:rPr>
        <w:t>35 ust.</w:t>
      </w:r>
      <w:r w:rsidRPr="00201A9A">
        <w:rPr>
          <w:noProof/>
        </w:rPr>
        <w:t> </w:t>
      </w:r>
      <w:r w:rsidR="4DFC2515" w:rsidRPr="00201A9A">
        <w:rPr>
          <w:noProof/>
        </w:rPr>
        <w:t>1 [Rodzaje interwencji], lit.</w:t>
      </w:r>
      <w:r w:rsidRPr="00201A9A">
        <w:rPr>
          <w:noProof/>
        </w:rPr>
        <w:t> </w:t>
      </w:r>
      <w:r w:rsidR="4DFC2515" w:rsidRPr="00201A9A">
        <w:rPr>
          <w:noProof/>
        </w:rPr>
        <w:t>a)–g), o) i p).</w:t>
      </w:r>
    </w:p>
    <w:p w14:paraId="4441BAC6" w14:textId="1369FE2A" w:rsidR="00CE6EC9" w:rsidRPr="00201A9A" w:rsidRDefault="00201A9A" w:rsidP="00201A9A">
      <w:pPr>
        <w:pStyle w:val="Point0"/>
        <w:rPr>
          <w:noProof/>
        </w:rPr>
      </w:pPr>
      <w:r w:rsidRPr="00201A9A">
        <w:rPr>
          <w:noProof/>
        </w:rPr>
        <w:t>10)</w:t>
      </w:r>
      <w:r w:rsidRPr="00201A9A">
        <w:rPr>
          <w:noProof/>
        </w:rPr>
        <w:tab/>
      </w:r>
      <w:r w:rsidR="6C3DBD9E" w:rsidRPr="00201A9A">
        <w:rPr>
          <w:noProof/>
        </w:rPr>
        <w:t>„środek” oznacza reformę, inwestycję lub inną interwencję na szczeblu krajowym lub niższym niż krajowy, wspieraną</w:t>
      </w:r>
      <w:r w:rsidRPr="00201A9A">
        <w:rPr>
          <w:noProof/>
        </w:rPr>
        <w:t xml:space="preserve"> w ram</w:t>
      </w:r>
      <w:r w:rsidR="6C3DBD9E" w:rsidRPr="00201A9A">
        <w:rPr>
          <w:noProof/>
        </w:rPr>
        <w:t xml:space="preserve">ach planu PKR lub </w:t>
      </w:r>
      <w:r w:rsidR="00A47BEA" w:rsidRPr="00201A9A">
        <w:rPr>
          <w:noProof/>
        </w:rPr>
        <w:t>P</w:t>
      </w:r>
      <w:r w:rsidR="6C3DBD9E" w:rsidRPr="00201A9A">
        <w:rPr>
          <w:noProof/>
        </w:rPr>
        <w:t>lanu Interreg;</w:t>
      </w:r>
    </w:p>
    <w:p w14:paraId="28A707A9" w14:textId="1C17A5CE" w:rsidR="00CE6EC9" w:rsidRPr="00201A9A" w:rsidRDefault="00201A9A" w:rsidP="00201A9A">
      <w:pPr>
        <w:pStyle w:val="Point0"/>
        <w:rPr>
          <w:noProof/>
        </w:rPr>
      </w:pPr>
      <w:r w:rsidRPr="00201A9A">
        <w:rPr>
          <w:noProof/>
        </w:rPr>
        <w:t>11)</w:t>
      </w:r>
      <w:r w:rsidRPr="00201A9A">
        <w:rPr>
          <w:noProof/>
        </w:rPr>
        <w:tab/>
      </w:r>
      <w:r w:rsidR="00CE6EC9" w:rsidRPr="00201A9A">
        <w:rPr>
          <w:noProof/>
        </w:rPr>
        <w:t>„kamień milowy” oznacza osiągnięcie jakościowe, wykorzystywane do pomiaru postępów</w:t>
      </w:r>
      <w:r w:rsidRPr="00201A9A">
        <w:rPr>
          <w:noProof/>
        </w:rPr>
        <w:t xml:space="preserve"> w rea</w:t>
      </w:r>
      <w:r w:rsidR="00CE6EC9" w:rsidRPr="00201A9A">
        <w:rPr>
          <w:noProof/>
        </w:rPr>
        <w:t>lizacji środka;</w:t>
      </w:r>
    </w:p>
    <w:p w14:paraId="2ADDAE0C" w14:textId="3F0901F0" w:rsidR="00CE6EC9" w:rsidRPr="00201A9A" w:rsidRDefault="00201A9A" w:rsidP="00201A9A">
      <w:pPr>
        <w:pStyle w:val="Point0"/>
        <w:rPr>
          <w:noProof/>
        </w:rPr>
      </w:pPr>
      <w:r w:rsidRPr="00201A9A">
        <w:rPr>
          <w:noProof/>
        </w:rPr>
        <w:t>12)</w:t>
      </w:r>
      <w:r w:rsidRPr="00201A9A">
        <w:rPr>
          <w:noProof/>
        </w:rPr>
        <w:tab/>
      </w:r>
      <w:r w:rsidR="00CE6EC9" w:rsidRPr="00201A9A">
        <w:rPr>
          <w:noProof/>
        </w:rPr>
        <w:t>„wartość docelowa” oznacza osiągnięcie ilościowe, wykorzystywane do pomiaru postępów</w:t>
      </w:r>
      <w:r w:rsidRPr="00201A9A">
        <w:rPr>
          <w:noProof/>
        </w:rPr>
        <w:t xml:space="preserve"> w rea</w:t>
      </w:r>
      <w:r w:rsidR="00CE6EC9" w:rsidRPr="00201A9A">
        <w:rPr>
          <w:noProof/>
        </w:rPr>
        <w:t xml:space="preserve">lizacji środka; </w:t>
      </w:r>
    </w:p>
    <w:p w14:paraId="156AB90F" w14:textId="38B99456" w:rsidR="00CE6EC9" w:rsidRPr="00201A9A" w:rsidRDefault="00201A9A" w:rsidP="00201A9A">
      <w:pPr>
        <w:pStyle w:val="Point0"/>
        <w:rPr>
          <w:noProof/>
        </w:rPr>
      </w:pPr>
      <w:r w:rsidRPr="00201A9A">
        <w:rPr>
          <w:noProof/>
        </w:rPr>
        <w:t>13)</w:t>
      </w:r>
      <w:r w:rsidRPr="00201A9A">
        <w:rPr>
          <w:noProof/>
        </w:rPr>
        <w:tab/>
      </w:r>
      <w:r w:rsidR="6C3DBD9E" w:rsidRPr="00201A9A">
        <w:rPr>
          <w:noProof/>
        </w:rPr>
        <w:t>„wartość wypłaty” oznacza kwotę, która ma zostać wypłacona przez Komisję państwu członkowskiemu</w:t>
      </w:r>
      <w:r w:rsidRPr="00201A9A">
        <w:rPr>
          <w:noProof/>
        </w:rPr>
        <w:t xml:space="preserve"> z tyt</w:t>
      </w:r>
      <w:r w:rsidR="6C3DBD9E" w:rsidRPr="00201A9A">
        <w:rPr>
          <w:noProof/>
        </w:rPr>
        <w:t>ułu postępów osiągniętych we wdrażaniu środków przewidzianych</w:t>
      </w:r>
      <w:r w:rsidRPr="00201A9A">
        <w:rPr>
          <w:noProof/>
        </w:rPr>
        <w:t xml:space="preserve"> w pla</w:t>
      </w:r>
      <w:r w:rsidR="6C3DBD9E" w:rsidRPr="00201A9A">
        <w:rPr>
          <w:noProof/>
        </w:rPr>
        <w:t>nie,</w:t>
      </w:r>
      <w:r w:rsidRPr="00201A9A">
        <w:rPr>
          <w:noProof/>
        </w:rPr>
        <w:t xml:space="preserve"> z uwz</w:t>
      </w:r>
      <w:r w:rsidR="6C3DBD9E" w:rsidRPr="00201A9A">
        <w:rPr>
          <w:noProof/>
        </w:rPr>
        <w:t>ględnieniem kwot zarezerwowanych na reformy;</w:t>
      </w:r>
    </w:p>
    <w:p w14:paraId="3A4A3EDB" w14:textId="1038DF7D" w:rsidR="00CE6EC9" w:rsidRPr="00201A9A" w:rsidRDefault="00201A9A" w:rsidP="00201A9A">
      <w:pPr>
        <w:pStyle w:val="Point0"/>
        <w:rPr>
          <w:noProof/>
        </w:rPr>
      </w:pPr>
      <w:r w:rsidRPr="00201A9A">
        <w:rPr>
          <w:noProof/>
        </w:rPr>
        <w:t>14)</w:t>
      </w:r>
      <w:r w:rsidRPr="00201A9A">
        <w:rPr>
          <w:noProof/>
        </w:rPr>
        <w:tab/>
      </w:r>
      <w:r w:rsidR="6C3DBD9E" w:rsidRPr="00201A9A">
        <w:rPr>
          <w:noProof/>
        </w:rPr>
        <w:t>„system wiedzy</w:t>
      </w:r>
      <w:r w:rsidRPr="00201A9A">
        <w:rPr>
          <w:noProof/>
        </w:rPr>
        <w:t xml:space="preserve"> i inf</w:t>
      </w:r>
      <w:r w:rsidR="6C3DBD9E" w:rsidRPr="00201A9A">
        <w:rPr>
          <w:noProof/>
        </w:rPr>
        <w:t>ormacji</w:t>
      </w:r>
      <w:r w:rsidRPr="00201A9A">
        <w:rPr>
          <w:noProof/>
        </w:rPr>
        <w:t xml:space="preserve"> w rol</w:t>
      </w:r>
      <w:r w:rsidR="6C3DBD9E" w:rsidRPr="00201A9A">
        <w:rPr>
          <w:noProof/>
        </w:rPr>
        <w:t>nictwie” lub „AKIS” oznacza przepływ informacji</w:t>
      </w:r>
      <w:r w:rsidRPr="00201A9A">
        <w:rPr>
          <w:noProof/>
        </w:rPr>
        <w:t xml:space="preserve"> o pra</w:t>
      </w:r>
      <w:r w:rsidR="6C3DBD9E" w:rsidRPr="00201A9A">
        <w:rPr>
          <w:noProof/>
        </w:rPr>
        <w:t>ktykach organizacyjnych oraz wiedzy, zachodzący między osobami, organizacjami</w:t>
      </w:r>
      <w:r w:rsidRPr="00201A9A">
        <w:rPr>
          <w:noProof/>
        </w:rPr>
        <w:t xml:space="preserve"> i ins</w:t>
      </w:r>
      <w:r w:rsidR="6C3DBD9E" w:rsidRPr="00201A9A">
        <w:rPr>
          <w:noProof/>
        </w:rPr>
        <w:t>tytucjami, które wykorzystują</w:t>
      </w:r>
      <w:r w:rsidRPr="00201A9A">
        <w:rPr>
          <w:noProof/>
        </w:rPr>
        <w:t xml:space="preserve"> i roz</w:t>
      </w:r>
      <w:r w:rsidR="6C3DBD9E" w:rsidRPr="00201A9A">
        <w:rPr>
          <w:noProof/>
        </w:rPr>
        <w:t>wijają wiedzę na potrzeby rolnictwa oraz powiązanych dziedzin,</w:t>
      </w:r>
      <w:r w:rsidRPr="00201A9A">
        <w:rPr>
          <w:noProof/>
        </w:rPr>
        <w:t xml:space="preserve"> o któ</w:t>
      </w:r>
      <w:r w:rsidR="6C3DBD9E" w:rsidRPr="00201A9A">
        <w:rPr>
          <w:noProof/>
        </w:rPr>
        <w:t>rych mowa</w:t>
      </w:r>
      <w:r w:rsidRPr="00201A9A">
        <w:rPr>
          <w:noProof/>
        </w:rPr>
        <w:t xml:space="preserve"> w art</w:t>
      </w:r>
      <w:r w:rsidR="6C3DBD9E" w:rsidRPr="00201A9A">
        <w:rPr>
          <w:noProof/>
        </w:rPr>
        <w:t>.</w:t>
      </w:r>
      <w:r w:rsidRPr="00201A9A">
        <w:rPr>
          <w:noProof/>
        </w:rPr>
        <w:t> </w:t>
      </w:r>
      <w:r w:rsidR="6C3DBD9E" w:rsidRPr="00201A9A">
        <w:rPr>
          <w:noProof/>
        </w:rPr>
        <w:t>20 rozporządzenia (UE) 202X/XXXX [rozporządzenie</w:t>
      </w:r>
      <w:r w:rsidRPr="00201A9A">
        <w:rPr>
          <w:noProof/>
        </w:rPr>
        <w:t xml:space="preserve"> w spr</w:t>
      </w:r>
      <w:r w:rsidR="6C3DBD9E" w:rsidRPr="00201A9A">
        <w:rPr>
          <w:noProof/>
        </w:rPr>
        <w:t xml:space="preserve">awie WPR]. </w:t>
      </w:r>
    </w:p>
    <w:p w14:paraId="4D5A1932" w14:textId="55F903E5" w:rsidR="00CE6EC9" w:rsidRPr="00201A9A" w:rsidRDefault="00201A9A" w:rsidP="00201A9A">
      <w:pPr>
        <w:pStyle w:val="Point0"/>
        <w:rPr>
          <w:noProof/>
        </w:rPr>
      </w:pPr>
      <w:r w:rsidRPr="00201A9A">
        <w:rPr>
          <w:noProof/>
        </w:rPr>
        <w:t>15)</w:t>
      </w:r>
      <w:r w:rsidRPr="00201A9A">
        <w:rPr>
          <w:noProof/>
        </w:rPr>
        <w:tab/>
      </w:r>
      <w:r w:rsidR="6C3DBD9E" w:rsidRPr="00201A9A">
        <w:rPr>
          <w:noProof/>
        </w:rPr>
        <w:t>„rolnictwo ekologiczne” oznacza system produkcji ekologicznej certyfikowany zgodnie</w:t>
      </w:r>
      <w:r w:rsidRPr="00201A9A">
        <w:rPr>
          <w:noProof/>
        </w:rPr>
        <w:t xml:space="preserve"> z roz</w:t>
      </w:r>
      <w:r w:rsidR="6C3DBD9E" w:rsidRPr="00201A9A">
        <w:rPr>
          <w:noProof/>
        </w:rPr>
        <w:t>porządzeniem Parlamentu Europejskiego</w:t>
      </w:r>
      <w:r w:rsidRPr="00201A9A">
        <w:rPr>
          <w:noProof/>
        </w:rPr>
        <w:t xml:space="preserve"> i Rad</w:t>
      </w:r>
      <w:r w:rsidR="6C3DBD9E" w:rsidRPr="00201A9A">
        <w:rPr>
          <w:noProof/>
        </w:rPr>
        <w:t>y (UE) 2018/848</w:t>
      </w:r>
      <w:r w:rsidR="6C3DBD9E" w:rsidRPr="00201A9A">
        <w:rPr>
          <w:rStyle w:val="FootnoteReference"/>
          <w:noProof/>
        </w:rPr>
        <w:footnoteReference w:id="17"/>
      </w:r>
      <w:r w:rsidR="6C3DBD9E" w:rsidRPr="00201A9A">
        <w:rPr>
          <w:noProof/>
        </w:rPr>
        <w:t>;</w:t>
      </w:r>
    </w:p>
    <w:p w14:paraId="14857180" w14:textId="02A200EE" w:rsidR="00CE6EC9" w:rsidRPr="00201A9A" w:rsidRDefault="00201A9A" w:rsidP="00201A9A">
      <w:pPr>
        <w:pStyle w:val="Point0"/>
        <w:rPr>
          <w:noProof/>
        </w:rPr>
      </w:pPr>
      <w:r w:rsidRPr="00201A9A">
        <w:rPr>
          <w:noProof/>
        </w:rPr>
        <w:t>16)</w:t>
      </w:r>
      <w:r w:rsidRPr="00201A9A">
        <w:rPr>
          <w:noProof/>
        </w:rPr>
        <w:tab/>
      </w:r>
      <w:r w:rsidR="6C3DBD9E" w:rsidRPr="00201A9A">
        <w:rPr>
          <w:noProof/>
        </w:rPr>
        <w:t>„gospodarstwo” oznacza wszystkie jednostki wykorzystywane do działalności rolniczej</w:t>
      </w:r>
      <w:r w:rsidRPr="00201A9A">
        <w:rPr>
          <w:noProof/>
        </w:rPr>
        <w:t xml:space="preserve"> i zar</w:t>
      </w:r>
      <w:r w:rsidR="6C3DBD9E" w:rsidRPr="00201A9A">
        <w:rPr>
          <w:noProof/>
        </w:rPr>
        <w:t>ządzane przez rolnika, znajdujące się na obszarze tego samego państwa członkowskiego, objętym terytorialnym zakresem stosowania Traktatów, jak określono</w:t>
      </w:r>
      <w:r w:rsidRPr="00201A9A">
        <w:rPr>
          <w:noProof/>
        </w:rPr>
        <w:t xml:space="preserve"> w art</w:t>
      </w:r>
      <w:r w:rsidR="6C3DBD9E" w:rsidRPr="00201A9A">
        <w:rPr>
          <w:noProof/>
        </w:rPr>
        <w:t>.</w:t>
      </w:r>
      <w:r w:rsidRPr="00201A9A">
        <w:rPr>
          <w:noProof/>
        </w:rPr>
        <w:t> </w:t>
      </w:r>
      <w:r w:rsidR="6C3DBD9E" w:rsidRPr="00201A9A">
        <w:rPr>
          <w:noProof/>
        </w:rPr>
        <w:t>52 TUE</w:t>
      </w:r>
      <w:r w:rsidRPr="00201A9A">
        <w:rPr>
          <w:noProof/>
        </w:rPr>
        <w:t xml:space="preserve"> w zwi</w:t>
      </w:r>
      <w:r w:rsidR="6C3DBD9E" w:rsidRPr="00201A9A">
        <w:rPr>
          <w:noProof/>
        </w:rPr>
        <w:t>ązku</w:t>
      </w:r>
      <w:r w:rsidRPr="00201A9A">
        <w:rPr>
          <w:noProof/>
        </w:rPr>
        <w:t xml:space="preserve"> z art</w:t>
      </w:r>
      <w:r w:rsidR="6C3DBD9E" w:rsidRPr="00201A9A">
        <w:rPr>
          <w:noProof/>
        </w:rPr>
        <w:t>.</w:t>
      </w:r>
      <w:r w:rsidRPr="00201A9A">
        <w:rPr>
          <w:noProof/>
        </w:rPr>
        <w:t> </w:t>
      </w:r>
      <w:r w:rsidR="6C3DBD9E" w:rsidRPr="00201A9A">
        <w:rPr>
          <w:noProof/>
        </w:rPr>
        <w:t>349</w:t>
      </w:r>
      <w:r w:rsidRPr="00201A9A">
        <w:rPr>
          <w:noProof/>
        </w:rPr>
        <w:t xml:space="preserve"> i 3</w:t>
      </w:r>
      <w:r w:rsidR="6C3DBD9E" w:rsidRPr="00201A9A">
        <w:rPr>
          <w:noProof/>
        </w:rPr>
        <w:t>55 TFUE;</w:t>
      </w:r>
    </w:p>
    <w:p w14:paraId="5E600946" w14:textId="06B02A9E" w:rsidR="00CE6EC9" w:rsidRPr="00201A9A" w:rsidRDefault="00201A9A" w:rsidP="00201A9A">
      <w:pPr>
        <w:pStyle w:val="Point0"/>
        <w:rPr>
          <w:noProof/>
        </w:rPr>
      </w:pPr>
      <w:r w:rsidRPr="00201A9A">
        <w:rPr>
          <w:noProof/>
        </w:rPr>
        <w:t>17)</w:t>
      </w:r>
      <w:r w:rsidRPr="00201A9A">
        <w:rPr>
          <w:noProof/>
        </w:rPr>
        <w:tab/>
      </w:r>
      <w:r w:rsidR="6C3DBD9E" w:rsidRPr="00201A9A">
        <w:rPr>
          <w:noProof/>
        </w:rPr>
        <w:t>„mniejsze wyspy Morza Egejskiego” oznaczają dowolną</w:t>
      </w:r>
      <w:r w:rsidRPr="00201A9A">
        <w:rPr>
          <w:noProof/>
        </w:rPr>
        <w:t xml:space="preserve"> z wys</w:t>
      </w:r>
      <w:r w:rsidR="6C3DBD9E" w:rsidRPr="00201A9A">
        <w:rPr>
          <w:noProof/>
        </w:rPr>
        <w:t>p Morza Egejskiego,</w:t>
      </w:r>
      <w:r w:rsidRPr="00201A9A">
        <w:rPr>
          <w:noProof/>
        </w:rPr>
        <w:t xml:space="preserve"> z wyj</w:t>
      </w:r>
      <w:r w:rsidR="6C3DBD9E" w:rsidRPr="00201A9A">
        <w:rPr>
          <w:noProof/>
        </w:rPr>
        <w:t>ątkiem wysp Kreta</w:t>
      </w:r>
      <w:r w:rsidRPr="00201A9A">
        <w:rPr>
          <w:noProof/>
        </w:rPr>
        <w:t xml:space="preserve"> i Eub</w:t>
      </w:r>
      <w:r w:rsidR="6C3DBD9E" w:rsidRPr="00201A9A">
        <w:rPr>
          <w:noProof/>
        </w:rPr>
        <w:t>ea;</w:t>
      </w:r>
    </w:p>
    <w:p w14:paraId="2550B11A" w14:textId="6605DD10" w:rsidR="00CE6EC9" w:rsidRPr="00201A9A" w:rsidRDefault="00201A9A" w:rsidP="00201A9A">
      <w:pPr>
        <w:pStyle w:val="Point0"/>
        <w:rPr>
          <w:noProof/>
        </w:rPr>
      </w:pPr>
      <w:r w:rsidRPr="00201A9A">
        <w:rPr>
          <w:noProof/>
        </w:rPr>
        <w:t>18)</w:t>
      </w:r>
      <w:r w:rsidRPr="00201A9A">
        <w:rPr>
          <w:noProof/>
        </w:rPr>
        <w:tab/>
      </w:r>
      <w:r w:rsidR="00CE6EC9" w:rsidRPr="00201A9A">
        <w:rPr>
          <w:noProof/>
        </w:rPr>
        <w:t>„pieczęć” oznacza pieczęć doskonałości</w:t>
      </w:r>
      <w:r w:rsidRPr="00201A9A">
        <w:rPr>
          <w:noProof/>
        </w:rPr>
        <w:t xml:space="preserve"> i pie</w:t>
      </w:r>
      <w:r w:rsidR="00CE6EC9" w:rsidRPr="00201A9A">
        <w:rPr>
          <w:noProof/>
        </w:rPr>
        <w:t>częć suwerenności przyznane</w:t>
      </w:r>
      <w:r w:rsidRPr="00201A9A">
        <w:rPr>
          <w:noProof/>
        </w:rPr>
        <w:t xml:space="preserve"> w ram</w:t>
      </w:r>
      <w:r w:rsidR="00CE6EC9" w:rsidRPr="00201A9A">
        <w:rPr>
          <w:noProof/>
        </w:rPr>
        <w:t>ach realizacji programów unijnych</w:t>
      </w:r>
      <w:r w:rsidRPr="00201A9A">
        <w:rPr>
          <w:noProof/>
        </w:rPr>
        <w:t xml:space="preserve"> w okr</w:t>
      </w:r>
      <w:r w:rsidR="00CE6EC9" w:rsidRPr="00201A9A">
        <w:rPr>
          <w:noProof/>
        </w:rPr>
        <w:t>esie programowania 2021–2027 oraz pieczęcie przyznane</w:t>
      </w:r>
      <w:r w:rsidRPr="00201A9A">
        <w:rPr>
          <w:noProof/>
        </w:rPr>
        <w:t xml:space="preserve"> w ram</w:t>
      </w:r>
      <w:r w:rsidR="00CE6EC9" w:rsidRPr="00201A9A">
        <w:rPr>
          <w:noProof/>
        </w:rPr>
        <w:t>ach programów unijnych wdrażanych</w:t>
      </w:r>
      <w:r w:rsidRPr="00201A9A">
        <w:rPr>
          <w:noProof/>
        </w:rPr>
        <w:t xml:space="preserve"> w ram</w:t>
      </w:r>
      <w:r w:rsidR="00CE6EC9" w:rsidRPr="00201A9A">
        <w:rPr>
          <w:noProof/>
        </w:rPr>
        <w:t>ach zarządzania bezpośredniego</w:t>
      </w:r>
      <w:r w:rsidRPr="00201A9A">
        <w:rPr>
          <w:noProof/>
        </w:rPr>
        <w:t xml:space="preserve"> w lat</w:t>
      </w:r>
      <w:r w:rsidR="00CE6EC9" w:rsidRPr="00201A9A">
        <w:rPr>
          <w:noProof/>
        </w:rPr>
        <w:t>ach 2028–2034, takie jak pieczęć na rzecz konkurencyjności;</w:t>
      </w:r>
    </w:p>
    <w:p w14:paraId="23A6F0CA" w14:textId="78FF3389" w:rsidR="00CE6EC9" w:rsidRPr="00201A9A" w:rsidRDefault="00201A9A" w:rsidP="00201A9A">
      <w:pPr>
        <w:pStyle w:val="Point0"/>
        <w:rPr>
          <w:noProof/>
        </w:rPr>
      </w:pPr>
      <w:r w:rsidRPr="00201A9A">
        <w:rPr>
          <w:noProof/>
        </w:rPr>
        <w:t>19)</w:t>
      </w:r>
      <w:r w:rsidRPr="00201A9A">
        <w:rPr>
          <w:noProof/>
        </w:rPr>
        <w:tab/>
      </w:r>
      <w:r w:rsidR="00CE6EC9" w:rsidRPr="00201A9A">
        <w:rPr>
          <w:noProof/>
        </w:rPr>
        <w:t>„podwykonawca” oznacza osobę lub podmiot,</w:t>
      </w:r>
      <w:r w:rsidRPr="00201A9A">
        <w:rPr>
          <w:noProof/>
        </w:rPr>
        <w:t xml:space="preserve"> z któ</w:t>
      </w:r>
      <w:r w:rsidR="00CE6EC9" w:rsidRPr="00201A9A">
        <w:rPr>
          <w:noProof/>
        </w:rPr>
        <w:t>rymi wykonawca zawarł umowę na wykonanie części umowy</w:t>
      </w:r>
      <w:r w:rsidRPr="00201A9A">
        <w:rPr>
          <w:noProof/>
        </w:rPr>
        <w:t xml:space="preserve"> w kon</w:t>
      </w:r>
      <w:r w:rsidR="00CE6EC9" w:rsidRPr="00201A9A">
        <w:rPr>
          <w:noProof/>
        </w:rPr>
        <w:t>kretnym celu realizacji jednej lub większej liczby operacji lub ich części;</w:t>
      </w:r>
    </w:p>
    <w:p w14:paraId="56702DA7" w14:textId="02920E10" w:rsidR="00CE6EC9" w:rsidRPr="00201A9A" w:rsidRDefault="00201A9A" w:rsidP="00201A9A">
      <w:pPr>
        <w:pStyle w:val="Point0"/>
        <w:rPr>
          <w:noProof/>
        </w:rPr>
      </w:pPr>
      <w:r w:rsidRPr="00201A9A">
        <w:rPr>
          <w:noProof/>
        </w:rPr>
        <w:t>20)</w:t>
      </w:r>
      <w:r w:rsidRPr="00201A9A">
        <w:rPr>
          <w:noProof/>
        </w:rPr>
        <w:tab/>
      </w:r>
      <w:r w:rsidR="00CE6EC9" w:rsidRPr="00201A9A">
        <w:rPr>
          <w:noProof/>
        </w:rPr>
        <w:t>„kryzys” oznacza kryzys zgodnie</w:t>
      </w:r>
      <w:r w:rsidRPr="00201A9A">
        <w:rPr>
          <w:noProof/>
        </w:rPr>
        <w:t xml:space="preserve"> z def</w:t>
      </w:r>
      <w:r w:rsidR="00CE6EC9" w:rsidRPr="00201A9A">
        <w:rPr>
          <w:noProof/>
        </w:rPr>
        <w:t>inicją</w:t>
      </w:r>
      <w:r w:rsidRPr="00201A9A">
        <w:rPr>
          <w:noProof/>
        </w:rPr>
        <w:t xml:space="preserve"> w art</w:t>
      </w:r>
      <w:r w:rsidR="00CE6EC9" w:rsidRPr="00201A9A">
        <w:rPr>
          <w:noProof/>
        </w:rPr>
        <w:t>. 2 pkt</w:t>
      </w:r>
      <w:r w:rsidRPr="00201A9A">
        <w:rPr>
          <w:noProof/>
        </w:rPr>
        <w:t> </w:t>
      </w:r>
      <w:r w:rsidR="00CE6EC9" w:rsidRPr="00201A9A">
        <w:rPr>
          <w:noProof/>
        </w:rPr>
        <w:t xml:space="preserve">22 rozporządzenia (UE) 2024/2509; </w:t>
      </w:r>
    </w:p>
    <w:p w14:paraId="28944952" w14:textId="7144CE0A" w:rsidR="00CE6EC9" w:rsidRPr="00201A9A" w:rsidRDefault="00201A9A" w:rsidP="00201A9A">
      <w:pPr>
        <w:pStyle w:val="Point0"/>
        <w:rPr>
          <w:noProof/>
        </w:rPr>
      </w:pPr>
      <w:r w:rsidRPr="00201A9A">
        <w:rPr>
          <w:noProof/>
        </w:rPr>
        <w:t>21)</w:t>
      </w:r>
      <w:r w:rsidRPr="00201A9A">
        <w:rPr>
          <w:noProof/>
        </w:rPr>
        <w:tab/>
      </w:r>
      <w:r w:rsidR="00CE6EC9" w:rsidRPr="00201A9A">
        <w:rPr>
          <w:noProof/>
        </w:rPr>
        <w:t>„ocena spełnienia wymogów dotyczących filarów,” oznacza ocenę,</w:t>
      </w:r>
      <w:r w:rsidRPr="00201A9A">
        <w:rPr>
          <w:noProof/>
        </w:rPr>
        <w:t xml:space="preserve"> o któ</w:t>
      </w:r>
      <w:r w:rsidR="00CE6EC9" w:rsidRPr="00201A9A">
        <w:rPr>
          <w:noProof/>
        </w:rPr>
        <w:t>rej mowa</w:t>
      </w:r>
      <w:r w:rsidRPr="00201A9A">
        <w:rPr>
          <w:noProof/>
        </w:rPr>
        <w:t xml:space="preserve"> w art</w:t>
      </w:r>
      <w:r w:rsidR="00CE6EC9" w:rsidRPr="00201A9A">
        <w:rPr>
          <w:noProof/>
        </w:rPr>
        <w:t>.</w:t>
      </w:r>
      <w:r w:rsidRPr="00201A9A">
        <w:rPr>
          <w:noProof/>
        </w:rPr>
        <w:t> </w:t>
      </w:r>
      <w:r w:rsidR="00CE6EC9" w:rsidRPr="00201A9A">
        <w:rPr>
          <w:noProof/>
        </w:rPr>
        <w:t>157 ust.</w:t>
      </w:r>
      <w:r w:rsidRPr="00201A9A">
        <w:rPr>
          <w:noProof/>
        </w:rPr>
        <w:t> </w:t>
      </w:r>
      <w:r w:rsidR="00CE6EC9" w:rsidRPr="00201A9A">
        <w:rPr>
          <w:noProof/>
        </w:rPr>
        <w:t>3</w:t>
      </w:r>
      <w:r w:rsidRPr="00201A9A">
        <w:rPr>
          <w:noProof/>
        </w:rPr>
        <w:t xml:space="preserve"> i 4</w:t>
      </w:r>
      <w:r w:rsidR="00CE6EC9" w:rsidRPr="00201A9A">
        <w:rPr>
          <w:noProof/>
        </w:rPr>
        <w:t xml:space="preserve"> rozporządzenia (UE, Euratom) 2024/2509; </w:t>
      </w:r>
    </w:p>
    <w:p w14:paraId="5BCD869C" w14:textId="370033BC" w:rsidR="00CE6EC9" w:rsidRPr="00201A9A" w:rsidRDefault="00201A9A" w:rsidP="00201A9A">
      <w:pPr>
        <w:pStyle w:val="Point0"/>
        <w:rPr>
          <w:noProof/>
        </w:rPr>
      </w:pPr>
      <w:r w:rsidRPr="00201A9A">
        <w:rPr>
          <w:noProof/>
        </w:rPr>
        <w:t>22)</w:t>
      </w:r>
      <w:r w:rsidRPr="00201A9A">
        <w:rPr>
          <w:noProof/>
        </w:rPr>
        <w:tab/>
      </w:r>
      <w:r w:rsidR="6C3DBD9E" w:rsidRPr="00201A9A">
        <w:rPr>
          <w:noProof/>
        </w:rPr>
        <w:t>państwa członkowskie ustanawiają ponadto</w:t>
      </w:r>
      <w:r w:rsidRPr="00201A9A">
        <w:rPr>
          <w:noProof/>
        </w:rPr>
        <w:t xml:space="preserve"> w swo</w:t>
      </w:r>
      <w:r w:rsidR="6C3DBD9E" w:rsidRPr="00201A9A">
        <w:rPr>
          <w:noProof/>
        </w:rPr>
        <w:t>ich planach PKR definicje „działalności rolniczej”, „użytku rolnego”, „kwalifikującego się hektara” i „młodego rolnika” zgodnie</w:t>
      </w:r>
      <w:r w:rsidRPr="00201A9A">
        <w:rPr>
          <w:noProof/>
        </w:rPr>
        <w:t xml:space="preserve"> z obi</w:t>
      </w:r>
      <w:r w:rsidR="6C3DBD9E" w:rsidRPr="00201A9A">
        <w:rPr>
          <w:noProof/>
        </w:rPr>
        <w:t>ektywnymi</w:t>
      </w:r>
      <w:r w:rsidRPr="00201A9A">
        <w:rPr>
          <w:noProof/>
        </w:rPr>
        <w:t xml:space="preserve"> i nie</w:t>
      </w:r>
      <w:r w:rsidR="6C3DBD9E" w:rsidRPr="00201A9A">
        <w:rPr>
          <w:noProof/>
        </w:rPr>
        <w:t>dyskryminacyjnymi kryteriami oraz zasadą proporcjonalności.</w:t>
      </w:r>
    </w:p>
    <w:p w14:paraId="76B1F4DF" w14:textId="5FAFE27B" w:rsidR="00CE6EC9" w:rsidRPr="00201A9A" w:rsidRDefault="00201A9A" w:rsidP="00201A9A">
      <w:pPr>
        <w:pStyle w:val="Point1"/>
        <w:rPr>
          <w:noProof/>
        </w:rPr>
      </w:pPr>
      <w:r w:rsidRPr="00201A9A">
        <w:rPr>
          <w:noProof/>
        </w:rPr>
        <w:t>a)</w:t>
      </w:r>
      <w:r w:rsidRPr="00201A9A">
        <w:rPr>
          <w:noProof/>
        </w:rPr>
        <w:tab/>
      </w:r>
      <w:r w:rsidR="6C3DBD9E" w:rsidRPr="00201A9A">
        <w:rPr>
          <w:noProof/>
        </w:rPr>
        <w:t>„działalność rolniczą” określa się za pomocą jednego lub obu następujących rodzajów działalności:</w:t>
      </w:r>
    </w:p>
    <w:p w14:paraId="240C05ED" w14:textId="46056E1F" w:rsidR="00CE6EC9" w:rsidRPr="00201A9A" w:rsidRDefault="59FA962E" w:rsidP="003E2902">
      <w:pPr>
        <w:pStyle w:val="Point2n"/>
        <w:numPr>
          <w:ilvl w:val="0"/>
          <w:numId w:val="123"/>
        </w:numPr>
        <w:spacing w:line="240" w:lineRule="auto"/>
        <w:jc w:val="both"/>
        <w:rPr>
          <w:noProof/>
        </w:rPr>
      </w:pPr>
      <w:r w:rsidRPr="00201A9A">
        <w:rPr>
          <w:noProof/>
        </w:rPr>
        <w:t>wytwarzanie produktów rolnych, na które składają się wszystkie działania mające na celu uzyskanie tych produktów; gdzie produkty rolne oznaczają produkty wymienione</w:t>
      </w:r>
      <w:r w:rsidR="00201A9A" w:rsidRPr="00201A9A">
        <w:rPr>
          <w:noProof/>
        </w:rPr>
        <w:t xml:space="preserve"> w zał</w:t>
      </w:r>
      <w:r w:rsidRPr="00201A9A">
        <w:rPr>
          <w:noProof/>
        </w:rPr>
        <w:t>ączniku I do TFUE,</w:t>
      </w:r>
      <w:r w:rsidR="00201A9A" w:rsidRPr="00201A9A">
        <w:rPr>
          <w:noProof/>
        </w:rPr>
        <w:t xml:space="preserve"> z wyj</w:t>
      </w:r>
      <w:r w:rsidRPr="00201A9A">
        <w:rPr>
          <w:noProof/>
        </w:rPr>
        <w:t>ątkiem produktów rybołówstwa,</w:t>
      </w:r>
      <w:r w:rsidR="00201A9A" w:rsidRPr="00201A9A">
        <w:rPr>
          <w:noProof/>
        </w:rPr>
        <w:t xml:space="preserve"> a tak</w:t>
      </w:r>
      <w:r w:rsidRPr="00201A9A">
        <w:rPr>
          <w:noProof/>
        </w:rPr>
        <w:t>że bawełnę</w:t>
      </w:r>
      <w:r w:rsidR="00201A9A" w:rsidRPr="00201A9A">
        <w:rPr>
          <w:noProof/>
        </w:rPr>
        <w:t xml:space="preserve"> i zag</w:t>
      </w:r>
      <w:r w:rsidRPr="00201A9A">
        <w:rPr>
          <w:noProof/>
        </w:rPr>
        <w:t>ajniki</w:t>
      </w:r>
      <w:r w:rsidR="00201A9A" w:rsidRPr="00201A9A">
        <w:rPr>
          <w:noProof/>
        </w:rPr>
        <w:t xml:space="preserve"> o kró</w:t>
      </w:r>
      <w:r w:rsidRPr="00201A9A">
        <w:rPr>
          <w:noProof/>
        </w:rPr>
        <w:t>tkiej rotacji;</w:t>
      </w:r>
    </w:p>
    <w:p w14:paraId="7C4C12C3" w14:textId="1C3FD8C1" w:rsidR="00CE6EC9" w:rsidRPr="00201A9A" w:rsidRDefault="59FA962E" w:rsidP="00BD329E">
      <w:pPr>
        <w:pStyle w:val="Point2n"/>
        <w:spacing w:line="240" w:lineRule="auto"/>
        <w:jc w:val="both"/>
        <w:rPr>
          <w:noProof/>
        </w:rPr>
      </w:pPr>
      <w:r w:rsidRPr="00201A9A">
        <w:rPr>
          <w:noProof/>
        </w:rPr>
        <w:t>utrzymywanie użytków rolnych, które polega na działaniach mających na celu utrzymanie gruntów</w:t>
      </w:r>
      <w:r w:rsidR="00201A9A" w:rsidRPr="00201A9A">
        <w:rPr>
          <w:noProof/>
        </w:rPr>
        <w:t xml:space="preserve"> w sta</w:t>
      </w:r>
      <w:r w:rsidRPr="00201A9A">
        <w:rPr>
          <w:noProof/>
        </w:rPr>
        <w:t xml:space="preserve">nie nadającym się do wypasu lub uprawy; jeżeli jest to należycie uzasadnione względami dobrostanu zwierząt lub ochrony środowiska, ekstensywny wypas na użytkach rolnych, który nie prowadzi do zwiększenia produkcji rolnej dla danych rolników, można również uznać za „utrzymywanie”; </w:t>
      </w:r>
    </w:p>
    <w:p w14:paraId="0D78AF7D" w14:textId="2CC4A531" w:rsidR="00CE6EC9" w:rsidRPr="00201A9A" w:rsidRDefault="00201A9A" w:rsidP="00201A9A">
      <w:pPr>
        <w:pStyle w:val="Point1"/>
        <w:rPr>
          <w:noProof/>
        </w:rPr>
      </w:pPr>
      <w:r w:rsidRPr="00201A9A">
        <w:rPr>
          <w:noProof/>
        </w:rPr>
        <w:t>b)</w:t>
      </w:r>
      <w:r w:rsidRPr="00201A9A">
        <w:rPr>
          <w:noProof/>
        </w:rPr>
        <w:tab/>
      </w:r>
      <w:r w:rsidR="00110B42" w:rsidRPr="00201A9A">
        <w:rPr>
          <w:noProof/>
        </w:rPr>
        <w:t>„użytki rolne” definiuje się</w:t>
      </w:r>
      <w:r w:rsidRPr="00201A9A">
        <w:rPr>
          <w:noProof/>
        </w:rPr>
        <w:t xml:space="preserve"> w tak</w:t>
      </w:r>
      <w:r w:rsidR="00110B42" w:rsidRPr="00201A9A">
        <w:rPr>
          <w:noProof/>
        </w:rPr>
        <w:t>i sposób, aby obejmowały wyłącznie grunty, które są wykorzystywane do prowadzenia działalności rolniczej,</w:t>
      </w:r>
      <w:r w:rsidRPr="00201A9A">
        <w:rPr>
          <w:noProof/>
        </w:rPr>
        <w:t xml:space="preserve"> w tym</w:t>
      </w:r>
      <w:r w:rsidR="00110B42" w:rsidRPr="00201A9A">
        <w:rPr>
          <w:noProof/>
        </w:rPr>
        <w:t xml:space="preserve"> gdy tworzą systemy rolno-leśne;</w:t>
      </w:r>
    </w:p>
    <w:p w14:paraId="69F11092" w14:textId="3FAE0054" w:rsidR="00CE6EC9" w:rsidRPr="00201A9A" w:rsidRDefault="00201A9A" w:rsidP="00201A9A">
      <w:pPr>
        <w:pStyle w:val="Point1"/>
        <w:rPr>
          <w:noProof/>
        </w:rPr>
      </w:pPr>
      <w:r w:rsidRPr="00201A9A">
        <w:rPr>
          <w:noProof/>
        </w:rPr>
        <w:t>c)</w:t>
      </w:r>
      <w:r w:rsidRPr="00201A9A">
        <w:rPr>
          <w:noProof/>
        </w:rPr>
        <w:tab/>
      </w:r>
      <w:r w:rsidR="6C3DBD9E" w:rsidRPr="00201A9A">
        <w:rPr>
          <w:noProof/>
        </w:rPr>
        <w:t>„kwalifikujący się hektar” definiuje się</w:t>
      </w:r>
      <w:r w:rsidRPr="00201A9A">
        <w:rPr>
          <w:noProof/>
        </w:rPr>
        <w:t xml:space="preserve"> w tak</w:t>
      </w:r>
      <w:r w:rsidR="6C3DBD9E" w:rsidRPr="00201A9A">
        <w:rPr>
          <w:noProof/>
        </w:rPr>
        <w:t>i sposób, aby obejmował wyłącznie obszary, którymi dysponują rolnicy</w:t>
      </w:r>
      <w:r w:rsidRPr="00201A9A">
        <w:rPr>
          <w:noProof/>
        </w:rPr>
        <w:t xml:space="preserve"> i któ</w:t>
      </w:r>
      <w:r w:rsidR="6C3DBD9E" w:rsidRPr="00201A9A">
        <w:rPr>
          <w:noProof/>
        </w:rPr>
        <w:t>re obejmują:</w:t>
      </w:r>
    </w:p>
    <w:p w14:paraId="601599CA" w14:textId="55B14E41" w:rsidR="00CE6EC9" w:rsidRPr="00201A9A" w:rsidRDefault="59FA962E" w:rsidP="003E2902">
      <w:pPr>
        <w:pStyle w:val="Point2n"/>
        <w:numPr>
          <w:ilvl w:val="0"/>
          <w:numId w:val="124"/>
        </w:numPr>
        <w:spacing w:line="240" w:lineRule="auto"/>
        <w:jc w:val="both"/>
        <w:rPr>
          <w:noProof/>
        </w:rPr>
      </w:pPr>
      <w:r w:rsidRPr="00201A9A">
        <w:rPr>
          <w:noProof/>
        </w:rPr>
        <w:t>użytki rolne, na których prowadzona jest działalność rolnicza pod kontrolą rolnika pod względem zarządzania, korzyści</w:t>
      </w:r>
      <w:r w:rsidR="00201A9A" w:rsidRPr="00201A9A">
        <w:rPr>
          <w:noProof/>
        </w:rPr>
        <w:t xml:space="preserve"> i ryz</w:t>
      </w:r>
      <w:r w:rsidRPr="00201A9A">
        <w:rPr>
          <w:noProof/>
        </w:rPr>
        <w:t>yka finansowego. Jeżeli na tych obszarach prowadzona jest również działalność pozarolnicza, działalność rolnicza ma charakter dominujący;</w:t>
      </w:r>
    </w:p>
    <w:p w14:paraId="37B9B1AD" w14:textId="46632F82" w:rsidR="00CE6EC9" w:rsidRPr="00201A9A" w:rsidRDefault="59FA962E" w:rsidP="00BD329E">
      <w:pPr>
        <w:pStyle w:val="Point2n"/>
        <w:spacing w:line="240" w:lineRule="auto"/>
        <w:jc w:val="both"/>
        <w:rPr>
          <w:noProof/>
        </w:rPr>
      </w:pPr>
      <w:r w:rsidRPr="00201A9A">
        <w:rPr>
          <w:noProof/>
        </w:rPr>
        <w:t>obszary,</w:t>
      </w:r>
      <w:r w:rsidR="00201A9A" w:rsidRPr="00201A9A">
        <w:rPr>
          <w:noProof/>
        </w:rPr>
        <w:t xml:space="preserve"> w odn</w:t>
      </w:r>
      <w:r w:rsidRPr="00201A9A">
        <w:rPr>
          <w:noProof/>
        </w:rPr>
        <w:t>iesieniu do których udziela się wsparcia na podstawie art.</w:t>
      </w:r>
      <w:r w:rsidR="00201A9A" w:rsidRPr="00201A9A">
        <w:rPr>
          <w:noProof/>
        </w:rPr>
        <w:t> </w:t>
      </w:r>
      <w:r w:rsidRPr="00201A9A">
        <w:rPr>
          <w:noProof/>
        </w:rPr>
        <w:t>35 ust.</w:t>
      </w:r>
      <w:r w:rsidR="00201A9A" w:rsidRPr="00201A9A">
        <w:rPr>
          <w:noProof/>
        </w:rPr>
        <w:t> </w:t>
      </w:r>
      <w:r w:rsidRPr="00201A9A">
        <w:rPr>
          <w:noProof/>
        </w:rPr>
        <w:t>1 lit.</w:t>
      </w:r>
      <w:r w:rsidR="00201A9A" w:rsidRPr="00201A9A">
        <w:rPr>
          <w:noProof/>
        </w:rPr>
        <w:t> </w:t>
      </w:r>
      <w:r w:rsidRPr="00201A9A">
        <w:rPr>
          <w:noProof/>
        </w:rPr>
        <w:t>a) i g) [</w:t>
      </w:r>
      <w:r w:rsidRPr="00201A9A">
        <w:rPr>
          <w:i/>
          <w:noProof/>
        </w:rPr>
        <w:t>degresywne wsparcie dochodów, małe gospodarstwa</w:t>
      </w:r>
      <w:r w:rsidRPr="00201A9A">
        <w:rPr>
          <w:noProof/>
        </w:rPr>
        <w:t>] niniejszego rozporządzenia lub</w:t>
      </w:r>
      <w:r w:rsidR="00201A9A" w:rsidRPr="00201A9A">
        <w:rPr>
          <w:noProof/>
        </w:rPr>
        <w:t xml:space="preserve"> w ram</w:t>
      </w:r>
      <w:r w:rsidRPr="00201A9A">
        <w:rPr>
          <w:noProof/>
        </w:rPr>
        <w:t>ach podstawowego wsparcia dochodów do celów zrównoważoności na podstawie tytułu III rozdział II sekcja 2 podsekcja 2 [</w:t>
      </w:r>
      <w:r w:rsidRPr="00201A9A">
        <w:rPr>
          <w:i/>
          <w:noProof/>
        </w:rPr>
        <w:t>podstawowe wsparcie dochodów do celów zrównoważoności [w tym uprawnienia], program dla małych gospodarstw</w:t>
      </w:r>
      <w:r w:rsidRPr="00201A9A">
        <w:rPr>
          <w:noProof/>
        </w:rPr>
        <w:t>] rozporządzenia (UE) 2021/2115,</w:t>
      </w:r>
      <w:r w:rsidR="00201A9A" w:rsidRPr="00201A9A">
        <w:rPr>
          <w:noProof/>
        </w:rPr>
        <w:t xml:space="preserve"> w prz</w:t>
      </w:r>
      <w:r w:rsidRPr="00201A9A">
        <w:rPr>
          <w:noProof/>
        </w:rPr>
        <w:t>ypadku gdy działalność rolnicza nie jest prowadzona ze względu na zobowiązania</w:t>
      </w:r>
      <w:r w:rsidR="00201A9A" w:rsidRPr="00201A9A">
        <w:rPr>
          <w:noProof/>
        </w:rPr>
        <w:t xml:space="preserve"> i obo</w:t>
      </w:r>
      <w:r w:rsidRPr="00201A9A">
        <w:rPr>
          <w:noProof/>
        </w:rPr>
        <w:t>wiązki wynikające</w:t>
      </w:r>
      <w:r w:rsidR="00201A9A" w:rsidRPr="00201A9A">
        <w:rPr>
          <w:noProof/>
        </w:rPr>
        <w:t xml:space="preserve"> z int</w:t>
      </w:r>
      <w:r w:rsidRPr="00201A9A">
        <w:rPr>
          <w:noProof/>
        </w:rPr>
        <w:t>erwencji unijnych lub krajowych lub</w:t>
      </w:r>
      <w:r w:rsidR="00201A9A" w:rsidRPr="00201A9A">
        <w:rPr>
          <w:noProof/>
        </w:rPr>
        <w:t xml:space="preserve"> z inn</w:t>
      </w:r>
      <w:r w:rsidRPr="00201A9A">
        <w:rPr>
          <w:noProof/>
        </w:rPr>
        <w:t>ych programów, które przyczyniają się do realizacji celów szczegółowych WPR związanych ze środowiskiem</w:t>
      </w:r>
      <w:r w:rsidR="00201A9A" w:rsidRPr="00201A9A">
        <w:rPr>
          <w:noProof/>
        </w:rPr>
        <w:t xml:space="preserve"> i kli</w:t>
      </w:r>
      <w:r w:rsidRPr="00201A9A">
        <w:rPr>
          <w:noProof/>
        </w:rPr>
        <w:t>matem;</w:t>
      </w:r>
    </w:p>
    <w:p w14:paraId="69E204C6" w14:textId="546B4D09" w:rsidR="00492ADD" w:rsidRPr="00201A9A" w:rsidRDefault="59FA962E" w:rsidP="00BD329E">
      <w:pPr>
        <w:pStyle w:val="Point2n"/>
        <w:spacing w:line="240" w:lineRule="auto"/>
        <w:jc w:val="both"/>
        <w:rPr>
          <w:noProof/>
        </w:rPr>
      </w:pPr>
      <w:r w:rsidRPr="00201A9A">
        <w:rPr>
          <w:noProof/>
        </w:rPr>
        <w:t>państwa członkowskie mogą podjąć decyzję</w:t>
      </w:r>
      <w:r w:rsidR="00201A9A" w:rsidRPr="00201A9A">
        <w:rPr>
          <w:noProof/>
        </w:rPr>
        <w:t xml:space="preserve"> o włą</w:t>
      </w:r>
      <w:r w:rsidRPr="00201A9A">
        <w:rPr>
          <w:noProof/>
        </w:rPr>
        <w:t>czeniu do definicji pojęcia „kwalifikującego się hektara” elementów krajobrazu nieobjętych zobowiązaniami</w:t>
      </w:r>
      <w:r w:rsidR="00201A9A" w:rsidRPr="00201A9A">
        <w:rPr>
          <w:noProof/>
        </w:rPr>
        <w:t xml:space="preserve"> i sys</w:t>
      </w:r>
      <w:r w:rsidRPr="00201A9A">
        <w:rPr>
          <w:noProof/>
        </w:rPr>
        <w:t>temami,</w:t>
      </w:r>
      <w:r w:rsidR="00201A9A" w:rsidRPr="00201A9A">
        <w:rPr>
          <w:noProof/>
        </w:rPr>
        <w:t xml:space="preserve"> o któ</w:t>
      </w:r>
      <w:r w:rsidRPr="00201A9A">
        <w:rPr>
          <w:noProof/>
        </w:rPr>
        <w:t>rych mowa</w:t>
      </w:r>
      <w:r w:rsidR="00201A9A" w:rsidRPr="00201A9A">
        <w:rPr>
          <w:noProof/>
        </w:rPr>
        <w:t xml:space="preserve"> w ppk</w:t>
      </w:r>
      <w:r w:rsidRPr="00201A9A">
        <w:rPr>
          <w:noProof/>
        </w:rPr>
        <w:t>t (ii), pod warunkiem że te elementy krajobrazu nie utrudniają znacząco prowadzenia działalności rolniczej</w:t>
      </w:r>
      <w:r w:rsidR="00201A9A" w:rsidRPr="00201A9A">
        <w:rPr>
          <w:noProof/>
        </w:rPr>
        <w:t xml:space="preserve"> i nie</w:t>
      </w:r>
      <w:r w:rsidRPr="00201A9A">
        <w:rPr>
          <w:noProof/>
        </w:rPr>
        <w:t xml:space="preserve"> przeważają na działce rolnej;</w:t>
      </w:r>
    </w:p>
    <w:p w14:paraId="1EDE1259" w14:textId="3EA9757D" w:rsidR="00CE6EC9" w:rsidRPr="00201A9A" w:rsidDel="008160AB" w:rsidRDefault="00201A9A" w:rsidP="00201A9A">
      <w:pPr>
        <w:pStyle w:val="Point1"/>
        <w:rPr>
          <w:noProof/>
        </w:rPr>
      </w:pPr>
      <w:r w:rsidRPr="00201A9A">
        <w:rPr>
          <w:noProof/>
        </w:rPr>
        <w:t>d)</w:t>
      </w:r>
      <w:r w:rsidRPr="00201A9A">
        <w:rPr>
          <w:noProof/>
        </w:rPr>
        <w:tab/>
      </w:r>
      <w:r w:rsidR="6C3DBD9E" w:rsidRPr="00201A9A">
        <w:rPr>
          <w:noProof/>
        </w:rPr>
        <w:t>pojęcie „młody rolnik” definiuje się</w:t>
      </w:r>
      <w:r w:rsidRPr="00201A9A">
        <w:rPr>
          <w:noProof/>
        </w:rPr>
        <w:t xml:space="preserve"> w tak</w:t>
      </w:r>
      <w:r w:rsidR="6C3DBD9E" w:rsidRPr="00201A9A">
        <w:rPr>
          <w:noProof/>
        </w:rPr>
        <w:t>i sposób, aby obejmowało co najmniej następujące warunki:</w:t>
      </w:r>
    </w:p>
    <w:p w14:paraId="4872A1D2" w14:textId="7A55F601" w:rsidR="00CE6EC9" w:rsidRPr="00201A9A" w:rsidDel="008160AB" w:rsidRDefault="6C3DBD9E" w:rsidP="003E2902">
      <w:pPr>
        <w:pStyle w:val="Point2n"/>
        <w:numPr>
          <w:ilvl w:val="0"/>
          <w:numId w:val="114"/>
        </w:numPr>
        <w:spacing w:line="240" w:lineRule="auto"/>
        <w:rPr>
          <w:noProof/>
        </w:rPr>
      </w:pPr>
      <w:r w:rsidRPr="00201A9A">
        <w:rPr>
          <w:noProof/>
        </w:rPr>
        <w:t>górna granica wieku</w:t>
      </w:r>
      <w:r w:rsidR="00201A9A" w:rsidRPr="00201A9A">
        <w:rPr>
          <w:noProof/>
        </w:rPr>
        <w:t xml:space="preserve"> w prz</w:t>
      </w:r>
      <w:r w:rsidRPr="00201A9A">
        <w:rPr>
          <w:noProof/>
        </w:rPr>
        <w:t>edziale 35–40 lat;</w:t>
      </w:r>
    </w:p>
    <w:p w14:paraId="70B6C5AF" w14:textId="77777777" w:rsidR="00CE6EC9" w:rsidRPr="00201A9A" w:rsidDel="008160AB" w:rsidRDefault="6C3DBD9E" w:rsidP="00BD329E">
      <w:pPr>
        <w:pStyle w:val="Point2n"/>
        <w:spacing w:line="240" w:lineRule="auto"/>
        <w:rPr>
          <w:noProof/>
        </w:rPr>
      </w:pPr>
      <w:r w:rsidRPr="00201A9A">
        <w:rPr>
          <w:noProof/>
        </w:rPr>
        <w:t>bycie „kierującym gospodarstwem”.</w:t>
      </w:r>
    </w:p>
    <w:p w14:paraId="2ECAC6F5" w14:textId="3E8FE875" w:rsidR="00CE6EC9" w:rsidRPr="00201A9A" w:rsidRDefault="59FA962E" w:rsidP="00BD329E">
      <w:pPr>
        <w:pStyle w:val="Text1"/>
        <w:rPr>
          <w:noProof/>
        </w:rPr>
      </w:pPr>
      <w:r w:rsidRPr="00201A9A">
        <w:rPr>
          <w:noProof/>
        </w:rPr>
        <w:t xml:space="preserve">W przypadku </w:t>
      </w:r>
      <w:bookmarkStart w:id="3" w:name="_Int_VnnjyE3j"/>
      <w:r w:rsidRPr="00201A9A">
        <w:rPr>
          <w:noProof/>
        </w:rPr>
        <w:t>uznania</w:t>
      </w:r>
      <w:bookmarkEnd w:id="3"/>
      <w:r w:rsidRPr="00201A9A">
        <w:rPr>
          <w:noProof/>
        </w:rPr>
        <w:t>, że rolnik mieści się</w:t>
      </w:r>
      <w:r w:rsidR="00201A9A" w:rsidRPr="00201A9A">
        <w:rPr>
          <w:noProof/>
        </w:rPr>
        <w:t xml:space="preserve"> w zak</w:t>
      </w:r>
      <w:r w:rsidRPr="00201A9A">
        <w:rPr>
          <w:noProof/>
        </w:rPr>
        <w:t>resie definicji „młodego rolnika”</w:t>
      </w:r>
      <w:r w:rsidR="00201A9A" w:rsidRPr="00201A9A">
        <w:rPr>
          <w:noProof/>
        </w:rPr>
        <w:t xml:space="preserve"> w mom</w:t>
      </w:r>
      <w:r w:rsidRPr="00201A9A">
        <w:rPr>
          <w:noProof/>
        </w:rPr>
        <w:t>encie pierwszego dostępu do wsparcia, zachowuje on ten status przez cały okres kwalifikowalności ustanowiony</w:t>
      </w:r>
      <w:r w:rsidR="00201A9A" w:rsidRPr="00201A9A">
        <w:rPr>
          <w:noProof/>
        </w:rPr>
        <w:t xml:space="preserve"> w ram</w:t>
      </w:r>
      <w:r w:rsidRPr="00201A9A">
        <w:rPr>
          <w:noProof/>
        </w:rPr>
        <w:t>ach odpowiedniego systemu wsparcia, niezależnie od tego, czy rolnik przekroczy</w:t>
      </w:r>
      <w:r w:rsidR="00201A9A" w:rsidRPr="00201A9A">
        <w:rPr>
          <w:noProof/>
        </w:rPr>
        <w:t xml:space="preserve"> w tym</w:t>
      </w:r>
      <w:r w:rsidRPr="00201A9A">
        <w:rPr>
          <w:noProof/>
        </w:rPr>
        <w:t xml:space="preserve"> okresie górną granicę wieku; </w:t>
      </w:r>
    </w:p>
    <w:p w14:paraId="343F6C90" w14:textId="7AF6926A" w:rsidR="00492ADD" w:rsidRPr="00201A9A" w:rsidRDefault="00201A9A" w:rsidP="00201A9A">
      <w:pPr>
        <w:pStyle w:val="Point0"/>
        <w:rPr>
          <w:noProof/>
        </w:rPr>
      </w:pPr>
      <w:r w:rsidRPr="00201A9A">
        <w:rPr>
          <w:noProof/>
        </w:rPr>
        <w:t>23)</w:t>
      </w:r>
      <w:r w:rsidRPr="00201A9A">
        <w:rPr>
          <w:noProof/>
        </w:rPr>
        <w:tab/>
      </w:r>
      <w:r w:rsidR="59FA962E" w:rsidRPr="00201A9A">
        <w:rPr>
          <w:noProof/>
        </w:rPr>
        <w:t>pojęcie „nowy rolnik” definiuje się</w:t>
      </w:r>
      <w:r w:rsidRPr="00201A9A">
        <w:rPr>
          <w:noProof/>
        </w:rPr>
        <w:t xml:space="preserve"> w tak</w:t>
      </w:r>
      <w:r w:rsidR="59FA962E" w:rsidRPr="00201A9A">
        <w:rPr>
          <w:noProof/>
        </w:rPr>
        <w:t>i sposób, aby odnosiło się do rolnika innego niż młody rolnik</w:t>
      </w:r>
      <w:r w:rsidRPr="00201A9A">
        <w:rPr>
          <w:noProof/>
        </w:rPr>
        <w:t xml:space="preserve"> i niż</w:t>
      </w:r>
      <w:r w:rsidR="59FA962E" w:rsidRPr="00201A9A">
        <w:rPr>
          <w:noProof/>
        </w:rPr>
        <w:t xml:space="preserve"> kierujący gospodarstwem po raz pierwszy;</w:t>
      </w:r>
    </w:p>
    <w:p w14:paraId="003495B3" w14:textId="0679BD35" w:rsidR="00D43872" w:rsidRPr="00201A9A" w:rsidRDefault="00201A9A" w:rsidP="00201A9A">
      <w:pPr>
        <w:pStyle w:val="Point0"/>
        <w:rPr>
          <w:noProof/>
        </w:rPr>
      </w:pPr>
      <w:r w:rsidRPr="00201A9A">
        <w:rPr>
          <w:noProof/>
        </w:rPr>
        <w:t>24)</w:t>
      </w:r>
      <w:r w:rsidRPr="00201A9A">
        <w:rPr>
          <w:noProof/>
        </w:rPr>
        <w:tab/>
      </w:r>
      <w:r w:rsidR="000D3DB6" w:rsidRPr="00201A9A">
        <w:rPr>
          <w:noProof/>
        </w:rPr>
        <w:t>„wydatki publiczne” co celów WPR oznaczają każdy wkład</w:t>
      </w:r>
      <w:r w:rsidRPr="00201A9A">
        <w:rPr>
          <w:noProof/>
        </w:rPr>
        <w:t xml:space="preserve"> w fin</w:t>
      </w:r>
      <w:r w:rsidR="000D3DB6" w:rsidRPr="00201A9A">
        <w:rPr>
          <w:noProof/>
        </w:rPr>
        <w:t>ansowanie operacji, którego źródłem jest budżet krajowych, regionalnych lub lokalnych organów publicznych, budżet Unii udostępniony Funduszowi, budżet podmiotów prawa publicznego lub budżet związków organów publicznych lub podmiotów prawa publicznego;</w:t>
      </w:r>
    </w:p>
    <w:p w14:paraId="7C5FAF24" w14:textId="69FE31D3" w:rsidR="00681BD9" w:rsidRPr="00201A9A" w:rsidRDefault="00201A9A" w:rsidP="00201A9A">
      <w:pPr>
        <w:pStyle w:val="Point0"/>
        <w:rPr>
          <w:noProof/>
        </w:rPr>
      </w:pPr>
      <w:r w:rsidRPr="00201A9A">
        <w:rPr>
          <w:noProof/>
        </w:rPr>
        <w:t>25)</w:t>
      </w:r>
      <w:r w:rsidRPr="00201A9A">
        <w:rPr>
          <w:noProof/>
        </w:rPr>
        <w:tab/>
      </w:r>
      <w:r w:rsidR="000D3DB6" w:rsidRPr="00201A9A">
        <w:rPr>
          <w:noProof/>
        </w:rPr>
        <w:t>„poziom dofinansowania” do celów WPR oznacza stawkę wydatków publicznych na daną operację;</w:t>
      </w:r>
      <w:r w:rsidRPr="00201A9A">
        <w:rPr>
          <w:noProof/>
        </w:rPr>
        <w:t xml:space="preserve"> w kon</w:t>
      </w:r>
      <w:r w:rsidR="000D3DB6" w:rsidRPr="00201A9A">
        <w:rPr>
          <w:noProof/>
        </w:rPr>
        <w:t>tekście instrumentów finansowych odnosi się ona do ekwiwalentu dotacji brutto wsparcia zgodnie</w:t>
      </w:r>
      <w:r w:rsidRPr="00201A9A">
        <w:rPr>
          <w:noProof/>
        </w:rPr>
        <w:t xml:space="preserve"> z def</w:t>
      </w:r>
      <w:r w:rsidR="000D3DB6" w:rsidRPr="00201A9A">
        <w:rPr>
          <w:noProof/>
        </w:rPr>
        <w:t>inicją zawartą</w:t>
      </w:r>
      <w:r w:rsidRPr="00201A9A">
        <w:rPr>
          <w:noProof/>
        </w:rPr>
        <w:t xml:space="preserve"> w art</w:t>
      </w:r>
      <w:r w:rsidR="000D3DB6" w:rsidRPr="00201A9A">
        <w:rPr>
          <w:noProof/>
        </w:rPr>
        <w:t>.</w:t>
      </w:r>
      <w:r w:rsidRPr="00201A9A">
        <w:rPr>
          <w:noProof/>
        </w:rPr>
        <w:t> </w:t>
      </w:r>
      <w:r w:rsidR="000D3DB6" w:rsidRPr="00201A9A">
        <w:rPr>
          <w:noProof/>
        </w:rPr>
        <w:t>2 pkt</w:t>
      </w:r>
      <w:r w:rsidRPr="00201A9A">
        <w:rPr>
          <w:noProof/>
        </w:rPr>
        <w:t> </w:t>
      </w:r>
      <w:r w:rsidR="000D3DB6" w:rsidRPr="00201A9A">
        <w:rPr>
          <w:noProof/>
        </w:rPr>
        <w:t>20 rozporządzenia Komisji (UE) nr</w:t>
      </w:r>
      <w:r w:rsidRPr="00201A9A">
        <w:rPr>
          <w:noProof/>
        </w:rPr>
        <w:t> </w:t>
      </w:r>
      <w:r w:rsidR="000D3DB6" w:rsidRPr="00201A9A">
        <w:rPr>
          <w:noProof/>
        </w:rPr>
        <w:t>702/2014;</w:t>
      </w:r>
    </w:p>
    <w:p w14:paraId="7DCF0458" w14:textId="2B7A934F" w:rsidR="00CE6EC9" w:rsidRPr="00201A9A" w:rsidRDefault="00201A9A" w:rsidP="00201A9A">
      <w:pPr>
        <w:pStyle w:val="Point0"/>
        <w:rPr>
          <w:noProof/>
        </w:rPr>
      </w:pPr>
      <w:r w:rsidRPr="00201A9A">
        <w:rPr>
          <w:noProof/>
        </w:rPr>
        <w:t>26)</w:t>
      </w:r>
      <w:r w:rsidRPr="00201A9A">
        <w:rPr>
          <w:noProof/>
        </w:rPr>
        <w:tab/>
      </w:r>
      <w:r w:rsidR="6C3DBD9E" w:rsidRPr="00201A9A">
        <w:rPr>
          <w:noProof/>
        </w:rPr>
        <w:t>„łodziowe rybołówstwo przybrzeżne” oznacza działalność połowową prowadzoną przez:</w:t>
      </w:r>
    </w:p>
    <w:p w14:paraId="09E68D66" w14:textId="1D6FBA42" w:rsidR="00CE6EC9" w:rsidRPr="00201A9A" w:rsidRDefault="00201A9A" w:rsidP="00201A9A">
      <w:pPr>
        <w:pStyle w:val="Point1"/>
        <w:rPr>
          <w:noProof/>
        </w:rPr>
      </w:pPr>
      <w:r w:rsidRPr="00201A9A">
        <w:rPr>
          <w:noProof/>
        </w:rPr>
        <w:t>a)</w:t>
      </w:r>
      <w:r w:rsidRPr="00201A9A">
        <w:rPr>
          <w:noProof/>
        </w:rPr>
        <w:tab/>
      </w:r>
      <w:r w:rsidR="6C3DBD9E" w:rsidRPr="00201A9A">
        <w:rPr>
          <w:noProof/>
        </w:rPr>
        <w:t>morskie</w:t>
      </w:r>
      <w:r w:rsidRPr="00201A9A">
        <w:rPr>
          <w:noProof/>
        </w:rPr>
        <w:t xml:space="preserve"> i śró</w:t>
      </w:r>
      <w:r w:rsidR="6C3DBD9E" w:rsidRPr="00201A9A">
        <w:rPr>
          <w:noProof/>
        </w:rPr>
        <w:t>dlądowe statki rybackie</w:t>
      </w:r>
      <w:r w:rsidRPr="00201A9A">
        <w:rPr>
          <w:noProof/>
        </w:rPr>
        <w:t xml:space="preserve"> o dłu</w:t>
      </w:r>
      <w:r w:rsidR="6C3DBD9E" w:rsidRPr="00201A9A">
        <w:rPr>
          <w:noProof/>
        </w:rPr>
        <w:t>gości całkowitej poniżej 12 metrów</w:t>
      </w:r>
      <w:r w:rsidRPr="00201A9A">
        <w:rPr>
          <w:noProof/>
        </w:rPr>
        <w:t xml:space="preserve"> i nie</w:t>
      </w:r>
      <w:r w:rsidR="6C3DBD9E" w:rsidRPr="00201A9A">
        <w:rPr>
          <w:noProof/>
        </w:rPr>
        <w:t>korzystające</w:t>
      </w:r>
      <w:r w:rsidRPr="00201A9A">
        <w:rPr>
          <w:noProof/>
        </w:rPr>
        <w:t xml:space="preserve"> z nar</w:t>
      </w:r>
      <w:r w:rsidR="6C3DBD9E" w:rsidRPr="00201A9A">
        <w:rPr>
          <w:noProof/>
        </w:rPr>
        <w:t>zędzi ciągnionych zdefiniowanych</w:t>
      </w:r>
      <w:r w:rsidRPr="00201A9A">
        <w:rPr>
          <w:noProof/>
        </w:rPr>
        <w:t xml:space="preserve"> w art</w:t>
      </w:r>
      <w:r w:rsidR="6C3DBD9E" w:rsidRPr="00201A9A">
        <w:rPr>
          <w:noProof/>
        </w:rPr>
        <w:t>.</w:t>
      </w:r>
      <w:r w:rsidRPr="00201A9A">
        <w:rPr>
          <w:noProof/>
        </w:rPr>
        <w:t> </w:t>
      </w:r>
      <w:r w:rsidR="6C3DBD9E" w:rsidRPr="00201A9A">
        <w:rPr>
          <w:noProof/>
        </w:rPr>
        <w:t>2 pkt</w:t>
      </w:r>
      <w:r w:rsidRPr="00201A9A">
        <w:rPr>
          <w:noProof/>
        </w:rPr>
        <w:t> </w:t>
      </w:r>
      <w:r w:rsidR="6C3DBD9E" w:rsidRPr="00201A9A">
        <w:rPr>
          <w:noProof/>
        </w:rPr>
        <w:t>1 rozporządzenia Rady (WE) nr</w:t>
      </w:r>
      <w:r w:rsidRPr="00201A9A">
        <w:rPr>
          <w:noProof/>
        </w:rPr>
        <w:t> </w:t>
      </w:r>
      <w:r w:rsidR="6C3DBD9E" w:rsidRPr="00201A9A">
        <w:rPr>
          <w:noProof/>
        </w:rPr>
        <w:t>1967/2006</w:t>
      </w:r>
      <w:r w:rsidR="6C3DBD9E" w:rsidRPr="00201A9A">
        <w:rPr>
          <w:noProof/>
          <w:vertAlign w:val="superscript"/>
        </w:rPr>
        <w:t>(28)</w:t>
      </w:r>
      <w:r w:rsidR="6C3DBD9E" w:rsidRPr="00201A9A">
        <w:rPr>
          <w:noProof/>
        </w:rPr>
        <w:t>; lub</w:t>
      </w:r>
    </w:p>
    <w:p w14:paraId="6CCB250B" w14:textId="77A4A907" w:rsidR="008823CD" w:rsidRPr="00201A9A" w:rsidRDefault="00201A9A" w:rsidP="00201A9A">
      <w:pPr>
        <w:pStyle w:val="Point1"/>
        <w:rPr>
          <w:noProof/>
        </w:rPr>
      </w:pPr>
      <w:r w:rsidRPr="00201A9A">
        <w:rPr>
          <w:noProof/>
        </w:rPr>
        <w:t>b)</w:t>
      </w:r>
      <w:r w:rsidRPr="00201A9A">
        <w:rPr>
          <w:noProof/>
        </w:rPr>
        <w:tab/>
      </w:r>
      <w:r w:rsidR="6C3DBD9E" w:rsidRPr="00201A9A">
        <w:rPr>
          <w:noProof/>
        </w:rPr>
        <w:t>rybaków łowiących</w:t>
      </w:r>
      <w:r w:rsidRPr="00201A9A">
        <w:rPr>
          <w:noProof/>
        </w:rPr>
        <w:t xml:space="preserve"> z brz</w:t>
      </w:r>
      <w:r w:rsidR="6C3DBD9E" w:rsidRPr="00201A9A">
        <w:rPr>
          <w:noProof/>
        </w:rPr>
        <w:t>egu,</w:t>
      </w:r>
      <w:r w:rsidRPr="00201A9A">
        <w:rPr>
          <w:noProof/>
        </w:rPr>
        <w:t xml:space="preserve"> w tym</w:t>
      </w:r>
      <w:r w:rsidR="6C3DBD9E" w:rsidRPr="00201A9A">
        <w:rPr>
          <w:noProof/>
        </w:rPr>
        <w:t xml:space="preserve"> zbieraczy skorupiaków;</w:t>
      </w:r>
    </w:p>
    <w:p w14:paraId="48591088" w14:textId="69536959" w:rsidR="0057550C" w:rsidRPr="00201A9A" w:rsidRDefault="00201A9A" w:rsidP="00201A9A">
      <w:pPr>
        <w:pStyle w:val="Point0"/>
        <w:rPr>
          <w:noProof/>
        </w:rPr>
      </w:pPr>
      <w:r w:rsidRPr="00201A9A">
        <w:rPr>
          <w:noProof/>
        </w:rPr>
        <w:t>27)</w:t>
      </w:r>
      <w:r w:rsidRPr="00201A9A">
        <w:rPr>
          <w:noProof/>
        </w:rPr>
        <w:tab/>
      </w:r>
      <w:r w:rsidR="08AF1BD8" w:rsidRPr="00201A9A">
        <w:rPr>
          <w:noProof/>
        </w:rPr>
        <w:t>„rybak” oznacza każdą osobę fizyczną zajmującą się zarobkową działalnością połowową, uznaną przez dane państwo członkowskie;</w:t>
      </w:r>
    </w:p>
    <w:p w14:paraId="1BDBFCDD" w14:textId="26E213DD" w:rsidR="00F86EB6" w:rsidRPr="00201A9A" w:rsidRDefault="00201A9A" w:rsidP="00201A9A">
      <w:pPr>
        <w:pStyle w:val="Point0"/>
        <w:rPr>
          <w:noProof/>
        </w:rPr>
      </w:pPr>
      <w:r w:rsidRPr="00201A9A">
        <w:rPr>
          <w:noProof/>
        </w:rPr>
        <w:t>28)</w:t>
      </w:r>
      <w:r w:rsidRPr="00201A9A">
        <w:rPr>
          <w:noProof/>
        </w:rPr>
        <w:tab/>
      </w:r>
      <w:r w:rsidR="000D3DB6" w:rsidRPr="00201A9A">
        <w:rPr>
          <w:noProof/>
        </w:rPr>
        <w:t>„połowy” oznaczają każdą osobę fizyczną zajmującą się zarobkową działalnością połowową, uznaną przez dane państwo członkowskie;</w:t>
      </w:r>
    </w:p>
    <w:p w14:paraId="61805A63" w14:textId="419601D7" w:rsidR="003D3413" w:rsidRPr="00201A9A" w:rsidRDefault="00201A9A" w:rsidP="00201A9A">
      <w:pPr>
        <w:pStyle w:val="Point0"/>
        <w:rPr>
          <w:noProof/>
        </w:rPr>
      </w:pPr>
      <w:r w:rsidRPr="00201A9A">
        <w:rPr>
          <w:noProof/>
        </w:rPr>
        <w:t>29)</w:t>
      </w:r>
      <w:r w:rsidRPr="00201A9A">
        <w:rPr>
          <w:noProof/>
        </w:rPr>
        <w:tab/>
      </w:r>
      <w:r w:rsidR="000D3DB6" w:rsidRPr="00201A9A">
        <w:rPr>
          <w:noProof/>
        </w:rPr>
        <w:t>„zrównoważona niebieska gospodarka” oznacza wszystkie sektorowe</w:t>
      </w:r>
      <w:r w:rsidRPr="00201A9A">
        <w:rPr>
          <w:noProof/>
        </w:rPr>
        <w:t xml:space="preserve"> i mię</w:t>
      </w:r>
      <w:r w:rsidR="000D3DB6" w:rsidRPr="00201A9A">
        <w:rPr>
          <w:noProof/>
        </w:rPr>
        <w:t>dzysektorowe działania gospodarcze prowadzone na całym jednolitym rynku, związane</w:t>
      </w:r>
      <w:r w:rsidRPr="00201A9A">
        <w:rPr>
          <w:noProof/>
        </w:rPr>
        <w:t xml:space="preserve"> z oce</w:t>
      </w:r>
      <w:r w:rsidR="000D3DB6" w:rsidRPr="00201A9A">
        <w:rPr>
          <w:noProof/>
        </w:rPr>
        <w:t>anem, morzami, wybrzeżami</w:t>
      </w:r>
      <w:r w:rsidRPr="00201A9A">
        <w:rPr>
          <w:noProof/>
        </w:rPr>
        <w:t xml:space="preserve"> i wod</w:t>
      </w:r>
      <w:r w:rsidR="000D3DB6" w:rsidRPr="00201A9A">
        <w:rPr>
          <w:noProof/>
        </w:rPr>
        <w:t>ami śródlądowymi,</w:t>
      </w:r>
      <w:r w:rsidRPr="00201A9A">
        <w:rPr>
          <w:noProof/>
        </w:rPr>
        <w:t xml:space="preserve"> w tym w reg</w:t>
      </w:r>
      <w:r w:rsidR="000D3DB6" w:rsidRPr="00201A9A">
        <w:rPr>
          <w:noProof/>
        </w:rPr>
        <w:t>ionach wyspiarskich</w:t>
      </w:r>
      <w:r w:rsidRPr="00201A9A">
        <w:rPr>
          <w:noProof/>
        </w:rPr>
        <w:t xml:space="preserve"> i naj</w:t>
      </w:r>
      <w:r w:rsidR="000D3DB6" w:rsidRPr="00201A9A">
        <w:rPr>
          <w:noProof/>
        </w:rPr>
        <w:t>bardziej oddalonych oraz państwach śródlądowych Unii, obejmujące sektory wschodzące</w:t>
      </w:r>
      <w:r w:rsidRPr="00201A9A">
        <w:rPr>
          <w:noProof/>
        </w:rPr>
        <w:t xml:space="preserve"> i nie</w:t>
      </w:r>
      <w:r w:rsidR="000D3DB6" w:rsidRPr="00201A9A">
        <w:rPr>
          <w:noProof/>
        </w:rPr>
        <w:t>rynkowe towary</w:t>
      </w:r>
      <w:r w:rsidRPr="00201A9A">
        <w:rPr>
          <w:noProof/>
        </w:rPr>
        <w:t xml:space="preserve"> i usł</w:t>
      </w:r>
      <w:r w:rsidR="000D3DB6" w:rsidRPr="00201A9A">
        <w:rPr>
          <w:noProof/>
        </w:rPr>
        <w:t>ugi oraz mające na celu zapewnienie środowiskowej, społecznej</w:t>
      </w:r>
      <w:r w:rsidRPr="00201A9A">
        <w:rPr>
          <w:noProof/>
        </w:rPr>
        <w:t xml:space="preserve"> i gos</w:t>
      </w:r>
      <w:r w:rsidR="000D3DB6" w:rsidRPr="00201A9A">
        <w:rPr>
          <w:noProof/>
        </w:rPr>
        <w:t>podarczej zrównoważoności</w:t>
      </w:r>
      <w:r w:rsidRPr="00201A9A">
        <w:rPr>
          <w:noProof/>
        </w:rPr>
        <w:t xml:space="preserve"> w dłu</w:t>
      </w:r>
      <w:r w:rsidR="000D3DB6" w:rsidRPr="00201A9A">
        <w:rPr>
          <w:noProof/>
        </w:rPr>
        <w:t>giej perspektywie, które to działania są spójne</w:t>
      </w:r>
      <w:r w:rsidRPr="00201A9A">
        <w:rPr>
          <w:noProof/>
        </w:rPr>
        <w:t xml:space="preserve"> z cel</w:t>
      </w:r>
      <w:r w:rsidR="000D3DB6" w:rsidRPr="00201A9A">
        <w:rPr>
          <w:noProof/>
        </w:rPr>
        <w:t>ami zrównoważonego rozwoju,</w:t>
      </w:r>
      <w:r w:rsidRPr="00201A9A">
        <w:rPr>
          <w:noProof/>
        </w:rPr>
        <w:t xml:space="preserve"> w szc</w:t>
      </w:r>
      <w:r w:rsidR="000D3DB6" w:rsidRPr="00201A9A">
        <w:rPr>
          <w:noProof/>
        </w:rPr>
        <w:t>zególności</w:t>
      </w:r>
      <w:r w:rsidRPr="00201A9A">
        <w:rPr>
          <w:noProof/>
        </w:rPr>
        <w:t xml:space="preserve"> z cel</w:t>
      </w:r>
      <w:r w:rsidR="000D3DB6" w:rsidRPr="00201A9A">
        <w:rPr>
          <w:noProof/>
        </w:rPr>
        <w:t>em nr 14, oraz</w:t>
      </w:r>
      <w:r w:rsidRPr="00201A9A">
        <w:rPr>
          <w:noProof/>
        </w:rPr>
        <w:t xml:space="preserve"> z prz</w:t>
      </w:r>
      <w:r w:rsidR="000D3DB6" w:rsidRPr="00201A9A">
        <w:rPr>
          <w:noProof/>
        </w:rPr>
        <w:t>episami Unii</w:t>
      </w:r>
      <w:r w:rsidRPr="00201A9A">
        <w:rPr>
          <w:noProof/>
        </w:rPr>
        <w:t xml:space="preserve"> w zak</w:t>
      </w:r>
      <w:r w:rsidR="000D3DB6" w:rsidRPr="00201A9A">
        <w:rPr>
          <w:noProof/>
        </w:rPr>
        <w:t>resie środowiska.</w:t>
      </w:r>
    </w:p>
    <w:p w14:paraId="14187956" w14:textId="7505D671" w:rsidR="006D23FB" w:rsidRPr="00201A9A" w:rsidRDefault="00201A9A" w:rsidP="00201A9A">
      <w:pPr>
        <w:pStyle w:val="Point0"/>
        <w:rPr>
          <w:noProof/>
        </w:rPr>
      </w:pPr>
      <w:r w:rsidRPr="00201A9A">
        <w:rPr>
          <w:noProof/>
        </w:rPr>
        <w:t>30)</w:t>
      </w:r>
      <w:r w:rsidRPr="00201A9A">
        <w:rPr>
          <w:noProof/>
        </w:rPr>
        <w:tab/>
      </w:r>
      <w:r w:rsidR="000D3DB6" w:rsidRPr="00201A9A">
        <w:rPr>
          <w:noProof/>
        </w:rPr>
        <w:t>„polityka morska” oznacza politykę unijną, której celem jest wspieranie zintegrowanego</w:t>
      </w:r>
      <w:r w:rsidRPr="00201A9A">
        <w:rPr>
          <w:noProof/>
        </w:rPr>
        <w:t xml:space="preserve"> i spó</w:t>
      </w:r>
      <w:r w:rsidR="000D3DB6" w:rsidRPr="00201A9A">
        <w:rPr>
          <w:noProof/>
        </w:rPr>
        <w:t>jnego procesu decyzyjnego, by zmaksymalizować zrównoważony rozwój, wzrost gospodarczy</w:t>
      </w:r>
      <w:r w:rsidRPr="00201A9A">
        <w:rPr>
          <w:noProof/>
        </w:rPr>
        <w:t xml:space="preserve"> i spó</w:t>
      </w:r>
      <w:r w:rsidR="000D3DB6" w:rsidRPr="00201A9A">
        <w:rPr>
          <w:noProof/>
        </w:rPr>
        <w:t>jność społeczną</w:t>
      </w:r>
      <w:r w:rsidRPr="00201A9A">
        <w:rPr>
          <w:noProof/>
        </w:rPr>
        <w:t xml:space="preserve"> w Uni</w:t>
      </w:r>
      <w:r w:rsidR="000D3DB6" w:rsidRPr="00201A9A">
        <w:rPr>
          <w:noProof/>
        </w:rPr>
        <w:t>i,</w:t>
      </w:r>
      <w:r w:rsidRPr="00201A9A">
        <w:rPr>
          <w:noProof/>
        </w:rPr>
        <w:t xml:space="preserve"> w szc</w:t>
      </w:r>
      <w:r w:rsidR="000D3DB6" w:rsidRPr="00201A9A">
        <w:rPr>
          <w:noProof/>
        </w:rPr>
        <w:t>zególności na obszarach przybrzeżnych</w:t>
      </w:r>
      <w:r w:rsidRPr="00201A9A">
        <w:rPr>
          <w:noProof/>
        </w:rPr>
        <w:t xml:space="preserve"> i wys</w:t>
      </w:r>
      <w:r w:rsidR="000D3DB6" w:rsidRPr="00201A9A">
        <w:rPr>
          <w:noProof/>
        </w:rPr>
        <w:t>piarskich oraz</w:t>
      </w:r>
      <w:r w:rsidRPr="00201A9A">
        <w:rPr>
          <w:noProof/>
        </w:rPr>
        <w:t xml:space="preserve"> w reg</w:t>
      </w:r>
      <w:r w:rsidR="000D3DB6" w:rsidRPr="00201A9A">
        <w:rPr>
          <w:noProof/>
        </w:rPr>
        <w:t>ionach najbardziej oddalonych, jak również</w:t>
      </w:r>
      <w:r w:rsidRPr="00201A9A">
        <w:rPr>
          <w:noProof/>
        </w:rPr>
        <w:t xml:space="preserve"> w sek</w:t>
      </w:r>
      <w:r w:rsidR="000D3DB6" w:rsidRPr="00201A9A">
        <w:rPr>
          <w:noProof/>
        </w:rPr>
        <w:t>torach zrównoważonej niebieskiej gospodarki, za pomocą spójnej polityki dotyczącej spraw morskich oraz odpowiedniej współpracy międzynarodowej;</w:t>
      </w:r>
    </w:p>
    <w:p w14:paraId="09F384E7" w14:textId="450E3326" w:rsidR="009E65E4" w:rsidRPr="00201A9A" w:rsidRDefault="00201A9A" w:rsidP="00201A9A">
      <w:pPr>
        <w:pStyle w:val="Point0"/>
        <w:rPr>
          <w:noProof/>
        </w:rPr>
      </w:pPr>
      <w:r w:rsidRPr="00201A9A">
        <w:rPr>
          <w:noProof/>
        </w:rPr>
        <w:t>31)</w:t>
      </w:r>
      <w:r w:rsidRPr="00201A9A">
        <w:rPr>
          <w:noProof/>
        </w:rPr>
        <w:tab/>
      </w:r>
      <w:r w:rsidR="000D3DB6" w:rsidRPr="00201A9A">
        <w:rPr>
          <w:noProof/>
        </w:rPr>
        <w:t>„ochrona na morzu</w:t>
      </w:r>
      <w:r w:rsidRPr="00201A9A">
        <w:rPr>
          <w:noProof/>
        </w:rPr>
        <w:t xml:space="preserve"> i nad</w:t>
      </w:r>
      <w:r w:rsidR="000D3DB6" w:rsidRPr="00201A9A">
        <w:rPr>
          <w:noProof/>
        </w:rPr>
        <w:t>zór morski” oznaczają działania prowadzone</w:t>
      </w:r>
      <w:r w:rsidRPr="00201A9A">
        <w:rPr>
          <w:noProof/>
        </w:rPr>
        <w:t xml:space="preserve"> w cel</w:t>
      </w:r>
      <w:r w:rsidR="000D3DB6" w:rsidRPr="00201A9A">
        <w:rPr>
          <w:noProof/>
        </w:rPr>
        <w:t>u zrozumienia,</w:t>
      </w:r>
      <w:r w:rsidRPr="00201A9A">
        <w:rPr>
          <w:noProof/>
        </w:rPr>
        <w:t xml:space="preserve"> w sto</w:t>
      </w:r>
      <w:r w:rsidR="000D3DB6" w:rsidRPr="00201A9A">
        <w:rPr>
          <w:noProof/>
        </w:rPr>
        <w:t>sownych przypadkach zapobiegania oraz zarządzania</w:t>
      </w:r>
      <w:r w:rsidRPr="00201A9A">
        <w:rPr>
          <w:noProof/>
        </w:rPr>
        <w:t xml:space="preserve"> w spo</w:t>
      </w:r>
      <w:r w:rsidR="000D3DB6" w:rsidRPr="00201A9A">
        <w:rPr>
          <w:noProof/>
        </w:rPr>
        <w:t>sób kompleksowy</w:t>
      </w:r>
      <w:r w:rsidRPr="00201A9A">
        <w:rPr>
          <w:noProof/>
        </w:rPr>
        <w:t xml:space="preserve"> w odn</w:t>
      </w:r>
      <w:r w:rsidR="000D3DB6" w:rsidRPr="00201A9A">
        <w:rPr>
          <w:noProof/>
        </w:rPr>
        <w:t>iesieniu do wszystkich zdarzeń</w:t>
      </w:r>
      <w:r w:rsidRPr="00201A9A">
        <w:rPr>
          <w:noProof/>
        </w:rPr>
        <w:t xml:space="preserve"> i dzi</w:t>
      </w:r>
      <w:r w:rsidR="000D3DB6" w:rsidRPr="00201A9A">
        <w:rPr>
          <w:noProof/>
        </w:rPr>
        <w:t>ałań związanych</w:t>
      </w:r>
      <w:r w:rsidRPr="00201A9A">
        <w:rPr>
          <w:noProof/>
        </w:rPr>
        <w:t xml:space="preserve"> z obs</w:t>
      </w:r>
      <w:r w:rsidR="000D3DB6" w:rsidRPr="00201A9A">
        <w:rPr>
          <w:noProof/>
        </w:rPr>
        <w:t>zarem morskim, które mogłyby mieć wpływ na bezpieczeństwo morskie</w:t>
      </w:r>
      <w:r w:rsidRPr="00201A9A">
        <w:rPr>
          <w:noProof/>
        </w:rPr>
        <w:t xml:space="preserve"> i och</w:t>
      </w:r>
      <w:r w:rsidR="000D3DB6" w:rsidRPr="00201A9A">
        <w:rPr>
          <w:noProof/>
        </w:rPr>
        <w:t>ronę na morzu, egzekwowanie prawa, obronność, kontrolę granic, ochronę środowiska morskiego, kontrolę rybołówstwa, handel</w:t>
      </w:r>
      <w:r w:rsidRPr="00201A9A">
        <w:rPr>
          <w:noProof/>
        </w:rPr>
        <w:t xml:space="preserve"> i int</w:t>
      </w:r>
      <w:r w:rsidR="000D3DB6" w:rsidRPr="00201A9A">
        <w:rPr>
          <w:noProof/>
        </w:rPr>
        <w:t>eres gospodarczy Unii;</w:t>
      </w:r>
    </w:p>
    <w:p w14:paraId="5E3E4F48" w14:textId="3EA2F1FB" w:rsidR="00E13CB9" w:rsidRPr="00201A9A" w:rsidRDefault="00201A9A" w:rsidP="00201A9A">
      <w:pPr>
        <w:pStyle w:val="Point0"/>
        <w:rPr>
          <w:noProof/>
        </w:rPr>
      </w:pPr>
      <w:r w:rsidRPr="00201A9A">
        <w:rPr>
          <w:noProof/>
        </w:rPr>
        <w:t>32)</w:t>
      </w:r>
      <w:r w:rsidRPr="00201A9A">
        <w:rPr>
          <w:noProof/>
        </w:rPr>
        <w:tab/>
      </w:r>
      <w:r w:rsidR="007D7FAD" w:rsidRPr="00201A9A">
        <w:rPr>
          <w:noProof/>
        </w:rPr>
        <w:t>„europejska sieć informacji</w:t>
      </w:r>
      <w:r w:rsidRPr="00201A9A">
        <w:rPr>
          <w:noProof/>
        </w:rPr>
        <w:t xml:space="preserve"> i obs</w:t>
      </w:r>
      <w:r w:rsidR="007D7FAD" w:rsidRPr="00201A9A">
        <w:rPr>
          <w:noProof/>
        </w:rPr>
        <w:t>erwacji środowiska morskiego” lub „EMODnet” oznacza partnerstwo,</w:t>
      </w:r>
      <w:r w:rsidRPr="00201A9A">
        <w:rPr>
          <w:noProof/>
        </w:rPr>
        <w:t xml:space="preserve"> w ram</w:t>
      </w:r>
      <w:r w:rsidR="007D7FAD" w:rsidRPr="00201A9A">
        <w:rPr>
          <w:noProof/>
        </w:rPr>
        <w:t>ach którego gromadzi się dane</w:t>
      </w:r>
      <w:r w:rsidRPr="00201A9A">
        <w:rPr>
          <w:noProof/>
        </w:rPr>
        <w:t xml:space="preserve"> i met</w:t>
      </w:r>
      <w:r w:rsidR="007D7FAD" w:rsidRPr="00201A9A">
        <w:rPr>
          <w:noProof/>
        </w:rPr>
        <w:t>adane morskie, aby te rozproszone zasoby były bardziej dostępne</w:t>
      </w:r>
      <w:r w:rsidRPr="00201A9A">
        <w:rPr>
          <w:noProof/>
        </w:rPr>
        <w:t xml:space="preserve"> i fun</w:t>
      </w:r>
      <w:r w:rsidR="007D7FAD" w:rsidRPr="00201A9A">
        <w:rPr>
          <w:noProof/>
        </w:rPr>
        <w:t>kcjonalne</w:t>
      </w:r>
      <w:r w:rsidRPr="00201A9A">
        <w:rPr>
          <w:noProof/>
        </w:rPr>
        <w:t xml:space="preserve"> z pun</w:t>
      </w:r>
      <w:r w:rsidR="007D7FAD" w:rsidRPr="00201A9A">
        <w:rPr>
          <w:noProof/>
        </w:rPr>
        <w:t>ktu widzenia użytkowników publicznych</w:t>
      </w:r>
      <w:r w:rsidRPr="00201A9A">
        <w:rPr>
          <w:noProof/>
        </w:rPr>
        <w:t xml:space="preserve"> i pry</w:t>
      </w:r>
      <w:r w:rsidR="007D7FAD" w:rsidRPr="00201A9A">
        <w:rPr>
          <w:noProof/>
        </w:rPr>
        <w:t>watnych dzięki zapewnieniu zweryfikowanych pod kątem jakości, interoperacyjnych</w:t>
      </w:r>
      <w:r w:rsidRPr="00201A9A">
        <w:rPr>
          <w:noProof/>
        </w:rPr>
        <w:t xml:space="preserve"> i zha</w:t>
      </w:r>
      <w:r w:rsidR="007D7FAD" w:rsidRPr="00201A9A">
        <w:rPr>
          <w:noProof/>
        </w:rPr>
        <w:t>rmonizowanych danych morskich;</w:t>
      </w:r>
    </w:p>
    <w:p w14:paraId="1774744C" w14:textId="070DDF92" w:rsidR="007D7FAD" w:rsidRPr="00201A9A" w:rsidRDefault="00201A9A" w:rsidP="00201A9A">
      <w:pPr>
        <w:pStyle w:val="Point0"/>
        <w:rPr>
          <w:noProof/>
        </w:rPr>
      </w:pPr>
      <w:r w:rsidRPr="00201A9A">
        <w:rPr>
          <w:noProof/>
        </w:rPr>
        <w:t>33)</w:t>
      </w:r>
      <w:r w:rsidRPr="00201A9A">
        <w:rPr>
          <w:noProof/>
        </w:rPr>
        <w:tab/>
      </w:r>
      <w:r w:rsidR="00C62F7E" w:rsidRPr="00201A9A">
        <w:rPr>
          <w:noProof/>
        </w:rPr>
        <w:t>„planowanie przestrzenne obszarów morskich” oznacza proces,</w:t>
      </w:r>
      <w:r w:rsidRPr="00201A9A">
        <w:rPr>
          <w:noProof/>
        </w:rPr>
        <w:t xml:space="preserve"> w ram</w:t>
      </w:r>
      <w:r w:rsidR="00C62F7E" w:rsidRPr="00201A9A">
        <w:rPr>
          <w:noProof/>
        </w:rPr>
        <w:t>ach którego właściwe organy państw członkowskich analizują</w:t>
      </w:r>
      <w:r w:rsidRPr="00201A9A">
        <w:rPr>
          <w:noProof/>
        </w:rPr>
        <w:t xml:space="preserve"> i org</w:t>
      </w:r>
      <w:r w:rsidR="00C62F7E" w:rsidRPr="00201A9A">
        <w:rPr>
          <w:noProof/>
        </w:rPr>
        <w:t>anizują działalność ludzką na obszarach morskich, aby osiągnąć cele ekologiczne, gospodarcze</w:t>
      </w:r>
      <w:r w:rsidRPr="00201A9A">
        <w:rPr>
          <w:noProof/>
        </w:rPr>
        <w:t xml:space="preserve"> i spo</w:t>
      </w:r>
      <w:r w:rsidR="00C62F7E" w:rsidRPr="00201A9A">
        <w:rPr>
          <w:noProof/>
        </w:rPr>
        <w:t>łeczne;</w:t>
      </w:r>
    </w:p>
    <w:p w14:paraId="699E33BD" w14:textId="3D4D7868" w:rsidR="00C62F7E" w:rsidRPr="00201A9A" w:rsidRDefault="00201A9A" w:rsidP="00201A9A">
      <w:pPr>
        <w:pStyle w:val="Point0"/>
        <w:rPr>
          <w:noProof/>
        </w:rPr>
      </w:pPr>
      <w:r w:rsidRPr="00201A9A">
        <w:rPr>
          <w:noProof/>
        </w:rPr>
        <w:t>34)</w:t>
      </w:r>
      <w:r w:rsidRPr="00201A9A">
        <w:rPr>
          <w:noProof/>
        </w:rPr>
        <w:tab/>
      </w:r>
      <w:r w:rsidR="007A5FA4" w:rsidRPr="00201A9A">
        <w:rPr>
          <w:noProof/>
        </w:rPr>
        <w:t>„obserwacja oceanu” oznacza fundament całej wiedzy</w:t>
      </w:r>
      <w:r w:rsidRPr="00201A9A">
        <w:rPr>
          <w:noProof/>
        </w:rPr>
        <w:t xml:space="preserve"> o mor</w:t>
      </w:r>
      <w:r w:rsidR="007A5FA4" w:rsidRPr="00201A9A">
        <w:rPr>
          <w:noProof/>
        </w:rPr>
        <w:t>zu. Stanowi podstawę zrozumienia ekosystemów morskich</w:t>
      </w:r>
      <w:r w:rsidRPr="00201A9A">
        <w:rPr>
          <w:noProof/>
        </w:rPr>
        <w:t xml:space="preserve"> i czy</w:t>
      </w:r>
      <w:r w:rsidR="007A5FA4" w:rsidRPr="00201A9A">
        <w:rPr>
          <w:noProof/>
        </w:rPr>
        <w:t>nników, które na nie wpływają. Dostarcza kluczowych danych na potrzeby prognozowania pogody, strategii łagodzenia zmiany klimatu</w:t>
      </w:r>
      <w:r w:rsidRPr="00201A9A">
        <w:rPr>
          <w:noProof/>
        </w:rPr>
        <w:t xml:space="preserve"> i prz</w:t>
      </w:r>
      <w:r w:rsidR="007A5FA4" w:rsidRPr="00201A9A">
        <w:rPr>
          <w:noProof/>
        </w:rPr>
        <w:t>ystosowania się do niej, monitorowania ekstremalnych zdarzeń, bezpieczeństwa cywilnego (stan morza, powodzie), żeglugi morskiej, energii morskiej, rybołówstwa</w:t>
      </w:r>
      <w:r w:rsidRPr="00201A9A">
        <w:rPr>
          <w:noProof/>
        </w:rPr>
        <w:t xml:space="preserve"> i akw</w:t>
      </w:r>
      <w:r w:rsidR="007A5FA4" w:rsidRPr="00201A9A">
        <w:rPr>
          <w:noProof/>
        </w:rPr>
        <w:t>akultury oraz –</w:t>
      </w:r>
      <w:r w:rsidRPr="00201A9A">
        <w:rPr>
          <w:noProof/>
        </w:rPr>
        <w:t xml:space="preserve"> w cor</w:t>
      </w:r>
      <w:r w:rsidR="007A5FA4" w:rsidRPr="00201A9A">
        <w:rPr>
          <w:noProof/>
        </w:rPr>
        <w:t>az większym stopniu – bezpieczeństwa</w:t>
      </w:r>
      <w:r w:rsidRPr="00201A9A">
        <w:rPr>
          <w:noProof/>
        </w:rPr>
        <w:t xml:space="preserve"> i obr</w:t>
      </w:r>
      <w:r w:rsidR="007A5FA4" w:rsidRPr="00201A9A">
        <w:rPr>
          <w:noProof/>
        </w:rPr>
        <w:t>ony. Stanowi ona podstawę podejmowania decyzji</w:t>
      </w:r>
      <w:r w:rsidRPr="00201A9A">
        <w:rPr>
          <w:noProof/>
        </w:rPr>
        <w:t xml:space="preserve"> w opa</w:t>
      </w:r>
      <w:r w:rsidR="007A5FA4" w:rsidRPr="00201A9A">
        <w:rPr>
          <w:noProof/>
        </w:rPr>
        <w:t>rciu</w:t>
      </w:r>
      <w:r w:rsidRPr="00201A9A">
        <w:rPr>
          <w:noProof/>
        </w:rPr>
        <w:t xml:space="preserve"> o dow</w:t>
      </w:r>
      <w:r w:rsidR="007A5FA4" w:rsidRPr="00201A9A">
        <w:rPr>
          <w:noProof/>
        </w:rPr>
        <w:t>ody</w:t>
      </w:r>
      <w:r w:rsidRPr="00201A9A">
        <w:rPr>
          <w:noProof/>
        </w:rPr>
        <w:t xml:space="preserve"> i dos</w:t>
      </w:r>
      <w:r w:rsidR="007A5FA4" w:rsidRPr="00201A9A">
        <w:rPr>
          <w:noProof/>
        </w:rPr>
        <w:t>tarcza kluczowych informacji na temat tego,</w:t>
      </w:r>
      <w:r w:rsidRPr="00201A9A">
        <w:rPr>
          <w:noProof/>
        </w:rPr>
        <w:t xml:space="preserve"> w jak</w:t>
      </w:r>
      <w:r w:rsidR="007A5FA4" w:rsidRPr="00201A9A">
        <w:rPr>
          <w:noProof/>
        </w:rPr>
        <w:t>i sposób działalność człowieka wpływa na zdrowie oceanu</w:t>
      </w:r>
      <w:r w:rsidRPr="00201A9A">
        <w:rPr>
          <w:noProof/>
        </w:rPr>
        <w:t xml:space="preserve"> i jak</w:t>
      </w:r>
      <w:r w:rsidR="007A5FA4" w:rsidRPr="00201A9A">
        <w:rPr>
          <w:noProof/>
        </w:rPr>
        <w:t>ie znaczenie ma ocean dla społeczeństw.</w:t>
      </w:r>
    </w:p>
    <w:p w14:paraId="7533D956" w14:textId="23DFB2D5" w:rsidR="006903D8" w:rsidRPr="00201A9A" w:rsidRDefault="00201A9A" w:rsidP="00201A9A">
      <w:pPr>
        <w:pStyle w:val="Point0"/>
        <w:rPr>
          <w:noProof/>
        </w:rPr>
      </w:pPr>
      <w:r w:rsidRPr="00201A9A">
        <w:rPr>
          <w:noProof/>
        </w:rPr>
        <w:t>35)</w:t>
      </w:r>
      <w:r w:rsidRPr="00201A9A">
        <w:rPr>
          <w:noProof/>
        </w:rPr>
        <w:tab/>
      </w:r>
      <w:r w:rsidR="00615C38" w:rsidRPr="00201A9A">
        <w:rPr>
          <w:noProof/>
        </w:rPr>
        <w:t>„nieprawidłowość” oznacza każde naruszenie mającego zastosowanie prawa, które ma lub może mieć szkodliwy wpływ na budżet Unii ze względu na otrzymanie</w:t>
      </w:r>
      <w:r w:rsidRPr="00201A9A">
        <w:rPr>
          <w:noProof/>
        </w:rPr>
        <w:t xml:space="preserve"> z teg</w:t>
      </w:r>
      <w:r w:rsidR="00615C38" w:rsidRPr="00201A9A">
        <w:rPr>
          <w:noProof/>
        </w:rPr>
        <w:t>o budżetu nieuzasadnionej refundacji na podstawie kamieni milowych, wartości docelowych</w:t>
      </w:r>
      <w:r w:rsidRPr="00201A9A">
        <w:rPr>
          <w:noProof/>
        </w:rPr>
        <w:t xml:space="preserve"> i pro</w:t>
      </w:r>
      <w:r w:rsidR="00615C38" w:rsidRPr="00201A9A">
        <w:rPr>
          <w:noProof/>
        </w:rPr>
        <w:t>duktów;</w:t>
      </w:r>
    </w:p>
    <w:p w14:paraId="6125A5DC" w14:textId="6624B16D" w:rsidR="00466B4C" w:rsidRPr="00201A9A" w:rsidRDefault="00201A9A" w:rsidP="00201A9A">
      <w:pPr>
        <w:pStyle w:val="Point0"/>
        <w:rPr>
          <w:noProof/>
        </w:rPr>
      </w:pPr>
      <w:r w:rsidRPr="00201A9A">
        <w:rPr>
          <w:noProof/>
        </w:rPr>
        <w:t>36)</w:t>
      </w:r>
      <w:r w:rsidRPr="00201A9A">
        <w:rPr>
          <w:noProof/>
        </w:rPr>
        <w:tab/>
      </w:r>
      <w:r w:rsidR="00466B4C" w:rsidRPr="00201A9A">
        <w:rPr>
          <w:noProof/>
        </w:rPr>
        <w:t>„fundusz powierniczy” oznacza fundusz utworzony na odpowiedzialność instytucji zarządzającej</w:t>
      </w:r>
      <w:r w:rsidRPr="00201A9A">
        <w:rPr>
          <w:noProof/>
        </w:rPr>
        <w:t xml:space="preserve"> w ram</w:t>
      </w:r>
      <w:r w:rsidR="00466B4C" w:rsidRPr="00201A9A">
        <w:rPr>
          <w:noProof/>
        </w:rPr>
        <w:t>ach co najmniej jednego rozdziału planu;</w:t>
      </w:r>
    </w:p>
    <w:p w14:paraId="7C58DF3B" w14:textId="0FE459FA" w:rsidR="00466B4C" w:rsidRPr="00201A9A" w:rsidRDefault="00201A9A" w:rsidP="00201A9A">
      <w:pPr>
        <w:pStyle w:val="Point0"/>
        <w:rPr>
          <w:noProof/>
        </w:rPr>
      </w:pPr>
      <w:r w:rsidRPr="00201A9A">
        <w:rPr>
          <w:noProof/>
        </w:rPr>
        <w:t>37)</w:t>
      </w:r>
      <w:r w:rsidRPr="00201A9A">
        <w:rPr>
          <w:noProof/>
        </w:rPr>
        <w:tab/>
      </w:r>
      <w:r w:rsidR="00466B4C" w:rsidRPr="00201A9A">
        <w:rPr>
          <w:noProof/>
        </w:rPr>
        <w:t>„fundusz szczegółowy” oznacza fundusz, za pomocą którego instytucja zarządzająca lub fundusz powierniczy dostarczają produkty finansowe odbiorcom końcowym;</w:t>
      </w:r>
    </w:p>
    <w:p w14:paraId="7878D35D" w14:textId="73CDFBF2" w:rsidR="00615C38" w:rsidRPr="00201A9A" w:rsidRDefault="00201A9A" w:rsidP="00201A9A">
      <w:pPr>
        <w:pStyle w:val="Point0"/>
        <w:rPr>
          <w:noProof/>
        </w:rPr>
      </w:pPr>
      <w:r w:rsidRPr="00201A9A">
        <w:rPr>
          <w:noProof/>
        </w:rPr>
        <w:t>38)</w:t>
      </w:r>
      <w:r w:rsidRPr="00201A9A">
        <w:rPr>
          <w:noProof/>
        </w:rPr>
        <w:tab/>
      </w:r>
      <w:r w:rsidR="00466B4C" w:rsidRPr="00201A9A">
        <w:rPr>
          <w:noProof/>
        </w:rPr>
        <w:t>„podmiot wdrażający instrument finansowy” oznacza podmiot prawa publicznego lub prywatnego realizujący zadania funduszu powierniczego lub funduszu szczegółowego;</w:t>
      </w:r>
    </w:p>
    <w:p w14:paraId="4E519D95" w14:textId="377FB841" w:rsidR="00BB3F16" w:rsidRPr="00201A9A" w:rsidRDefault="00201A9A" w:rsidP="00201A9A">
      <w:pPr>
        <w:pStyle w:val="Point0"/>
        <w:rPr>
          <w:noProof/>
        </w:rPr>
      </w:pPr>
      <w:r w:rsidRPr="00201A9A">
        <w:rPr>
          <w:noProof/>
        </w:rPr>
        <w:t>39)</w:t>
      </w:r>
      <w:r w:rsidRPr="00201A9A">
        <w:rPr>
          <w:noProof/>
        </w:rPr>
        <w:tab/>
      </w:r>
      <w:r w:rsidR="00BB3F16" w:rsidRPr="00201A9A">
        <w:rPr>
          <w:noProof/>
        </w:rPr>
        <w:t>„regiony słabiej rozwinięte” oznaczają regiony,</w:t>
      </w:r>
      <w:r w:rsidRPr="00201A9A">
        <w:rPr>
          <w:noProof/>
        </w:rPr>
        <w:t xml:space="preserve"> w któ</w:t>
      </w:r>
      <w:r w:rsidR="00BB3F16" w:rsidRPr="00201A9A">
        <w:rPr>
          <w:noProof/>
        </w:rPr>
        <w:t>rych PKB na mieszkańca jest niższy niż 75 % średniego PKB UE-27 („regiony słabiej rozwinięte”);</w:t>
      </w:r>
    </w:p>
    <w:p w14:paraId="2C172E47" w14:textId="58E8E34E" w:rsidR="00BB3F16" w:rsidRPr="00201A9A" w:rsidRDefault="00201A9A" w:rsidP="00201A9A">
      <w:pPr>
        <w:pStyle w:val="Point0"/>
        <w:rPr>
          <w:noProof/>
        </w:rPr>
      </w:pPr>
      <w:r w:rsidRPr="00201A9A">
        <w:rPr>
          <w:noProof/>
        </w:rPr>
        <w:t>40)</w:t>
      </w:r>
      <w:r w:rsidRPr="00201A9A">
        <w:rPr>
          <w:noProof/>
        </w:rPr>
        <w:tab/>
      </w:r>
      <w:r w:rsidR="00BB3F16" w:rsidRPr="00201A9A">
        <w:rPr>
          <w:noProof/>
        </w:rPr>
        <w:t>„regiony</w:t>
      </w:r>
      <w:r w:rsidRPr="00201A9A">
        <w:rPr>
          <w:noProof/>
        </w:rPr>
        <w:t xml:space="preserve"> w okr</w:t>
      </w:r>
      <w:r w:rsidR="00BB3F16" w:rsidRPr="00201A9A">
        <w:rPr>
          <w:noProof/>
        </w:rPr>
        <w:t>esie przejściowym” oznaczają regiony,</w:t>
      </w:r>
      <w:r w:rsidRPr="00201A9A">
        <w:rPr>
          <w:noProof/>
        </w:rPr>
        <w:t xml:space="preserve"> w któ</w:t>
      </w:r>
      <w:r w:rsidR="00BB3F16" w:rsidRPr="00201A9A">
        <w:rPr>
          <w:noProof/>
        </w:rPr>
        <w:t>rych PKB na mieszkańca wynosi między 75 %</w:t>
      </w:r>
      <w:r w:rsidRPr="00201A9A">
        <w:rPr>
          <w:noProof/>
        </w:rPr>
        <w:t xml:space="preserve"> a 1</w:t>
      </w:r>
      <w:r w:rsidR="00BB3F16" w:rsidRPr="00201A9A">
        <w:rPr>
          <w:noProof/>
        </w:rPr>
        <w:t>00 % średniego PKB UE-27 („regiony</w:t>
      </w:r>
      <w:r w:rsidRPr="00201A9A">
        <w:rPr>
          <w:noProof/>
        </w:rPr>
        <w:t xml:space="preserve"> w okr</w:t>
      </w:r>
      <w:r w:rsidR="00BB3F16" w:rsidRPr="00201A9A">
        <w:rPr>
          <w:noProof/>
        </w:rPr>
        <w:t>esie przejściowym”);</w:t>
      </w:r>
    </w:p>
    <w:p w14:paraId="105728C5" w14:textId="0802CF90" w:rsidR="00DE73AC" w:rsidRPr="00201A9A" w:rsidRDefault="00201A9A" w:rsidP="00201A9A">
      <w:pPr>
        <w:pStyle w:val="Point0"/>
        <w:rPr>
          <w:noProof/>
        </w:rPr>
      </w:pPr>
      <w:r w:rsidRPr="00201A9A">
        <w:rPr>
          <w:noProof/>
        </w:rPr>
        <w:t>41)</w:t>
      </w:r>
      <w:r w:rsidRPr="00201A9A">
        <w:rPr>
          <w:noProof/>
        </w:rPr>
        <w:tab/>
      </w:r>
      <w:r w:rsidR="00BB3F16" w:rsidRPr="00201A9A">
        <w:rPr>
          <w:noProof/>
        </w:rPr>
        <w:t>„regiony lepiej rozwinięte” oznaczają regiony,</w:t>
      </w:r>
      <w:r w:rsidRPr="00201A9A">
        <w:rPr>
          <w:noProof/>
        </w:rPr>
        <w:t xml:space="preserve"> w któ</w:t>
      </w:r>
      <w:r w:rsidR="00BB3F16" w:rsidRPr="00201A9A">
        <w:rPr>
          <w:noProof/>
        </w:rPr>
        <w:t>rych PKB na mieszkańca jest wyższy niż 100 % średniego PKB UE-27 („regiony lepiej rozwinięte”).</w:t>
      </w:r>
    </w:p>
    <w:p w14:paraId="7AC3D246" w14:textId="008346EC" w:rsidR="0057550C" w:rsidRPr="00201A9A" w:rsidRDefault="007F3A98" w:rsidP="00BD329E">
      <w:pPr>
        <w:pStyle w:val="Text1"/>
        <w:rPr>
          <w:noProof/>
        </w:rPr>
      </w:pPr>
      <w:r w:rsidRPr="00201A9A">
        <w:rPr>
          <w:noProof/>
        </w:rPr>
        <w:t>Klasyfikację regionów do jednej</w:t>
      </w:r>
      <w:r w:rsidR="00201A9A" w:rsidRPr="00201A9A">
        <w:rPr>
          <w:noProof/>
        </w:rPr>
        <w:t xml:space="preserve"> z tyc</w:t>
      </w:r>
      <w:r w:rsidRPr="00201A9A">
        <w:rPr>
          <w:noProof/>
        </w:rPr>
        <w:t>h trzech kategorii określa się</w:t>
      </w:r>
      <w:r w:rsidR="00201A9A" w:rsidRPr="00201A9A">
        <w:rPr>
          <w:noProof/>
        </w:rPr>
        <w:t xml:space="preserve"> w opa</w:t>
      </w:r>
      <w:r w:rsidRPr="00201A9A">
        <w:rPr>
          <w:noProof/>
        </w:rPr>
        <w:t>rciu o to, jak PKB na mieszkańca każdego regionu, mierzony według standardów siły nabywczej (SSN)</w:t>
      </w:r>
      <w:r w:rsidR="00201A9A" w:rsidRPr="00201A9A">
        <w:rPr>
          <w:noProof/>
        </w:rPr>
        <w:t xml:space="preserve"> i obl</w:t>
      </w:r>
      <w:r w:rsidRPr="00201A9A">
        <w:rPr>
          <w:noProof/>
        </w:rPr>
        <w:t>iczony na podstawie danych liczbowych dla Unii za lata 2021–2023, odnosi się do średniego PKB UE-27</w:t>
      </w:r>
      <w:r w:rsidR="00201A9A" w:rsidRPr="00201A9A">
        <w:rPr>
          <w:noProof/>
        </w:rPr>
        <w:t xml:space="preserve"> w tym</w:t>
      </w:r>
      <w:r w:rsidRPr="00201A9A">
        <w:rPr>
          <w:noProof/>
        </w:rPr>
        <w:t xml:space="preserve"> samym okresie odniesienia.</w:t>
      </w:r>
    </w:p>
    <w:p w14:paraId="4566B6EC" w14:textId="5898AE07" w:rsidR="000D3DB6" w:rsidRPr="00201A9A" w:rsidRDefault="000D3DB6" w:rsidP="00BD329E">
      <w:pPr>
        <w:pStyle w:val="Text1"/>
        <w:rPr>
          <w:noProof/>
        </w:rPr>
      </w:pPr>
      <w:r w:rsidRPr="00201A9A">
        <w:rPr>
          <w:noProof/>
        </w:rPr>
        <w:t>Komisja,</w:t>
      </w:r>
      <w:r w:rsidR="00201A9A" w:rsidRPr="00201A9A">
        <w:rPr>
          <w:noProof/>
        </w:rPr>
        <w:t xml:space="preserve"> w dro</w:t>
      </w:r>
      <w:r w:rsidRPr="00201A9A">
        <w:rPr>
          <w:noProof/>
        </w:rPr>
        <w:t>dze aktu wykonawczego, przyjmuje decyzję ustanawiającą wykaz regionów spełniających kryteria jednej</w:t>
      </w:r>
      <w:r w:rsidR="00201A9A" w:rsidRPr="00201A9A">
        <w:rPr>
          <w:noProof/>
        </w:rPr>
        <w:t xml:space="preserve"> z tyc</w:t>
      </w:r>
      <w:r w:rsidRPr="00201A9A">
        <w:rPr>
          <w:noProof/>
        </w:rPr>
        <w:t>h trzech kategorii regionu określonych</w:t>
      </w:r>
      <w:r w:rsidR="00201A9A" w:rsidRPr="00201A9A">
        <w:rPr>
          <w:noProof/>
        </w:rPr>
        <w:t xml:space="preserve"> w pkt </w:t>
      </w:r>
      <w:r w:rsidRPr="00201A9A">
        <w:rPr>
          <w:noProof/>
        </w:rPr>
        <w:t>38–40 oraz państw członkowskich spełniających kryteria,</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22 ust.</w:t>
      </w:r>
      <w:r w:rsidR="00201A9A" w:rsidRPr="00201A9A">
        <w:rPr>
          <w:noProof/>
        </w:rPr>
        <w:t> </w:t>
      </w:r>
      <w:r w:rsidRPr="00201A9A">
        <w:rPr>
          <w:noProof/>
        </w:rPr>
        <w:t>2 lit.</w:t>
      </w:r>
      <w:r w:rsidR="00201A9A" w:rsidRPr="00201A9A">
        <w:rPr>
          <w:noProof/>
        </w:rPr>
        <w:t> </w:t>
      </w:r>
      <w:r w:rsidRPr="00201A9A">
        <w:rPr>
          <w:noProof/>
        </w:rPr>
        <w:t>a). Wykaz ten obowiązuje od dnia 1 stycznia 2028</w:t>
      </w:r>
      <w:r w:rsidR="00201A9A" w:rsidRPr="00201A9A">
        <w:rPr>
          <w:noProof/>
        </w:rPr>
        <w:t> </w:t>
      </w:r>
      <w:r w:rsidRPr="00201A9A">
        <w:rPr>
          <w:noProof/>
        </w:rPr>
        <w:t>r. do dnia 31 grudnia 2034</w:t>
      </w:r>
      <w:r w:rsidR="00201A9A" w:rsidRPr="00201A9A">
        <w:rPr>
          <w:noProof/>
        </w:rPr>
        <w:t> </w:t>
      </w:r>
      <w:r w:rsidRPr="00201A9A">
        <w:rPr>
          <w:noProof/>
        </w:rPr>
        <w:t>r.</w:t>
      </w:r>
    </w:p>
    <w:p w14:paraId="1084605E" w14:textId="77777777" w:rsidR="009418A6" w:rsidRPr="00201A9A" w:rsidRDefault="009418A6" w:rsidP="009418A6">
      <w:pPr>
        <w:pStyle w:val="Titrearticle"/>
        <w:rPr>
          <w:b/>
          <w:bCs/>
          <w:noProof/>
        </w:rPr>
      </w:pPr>
      <w:r w:rsidRPr="00201A9A">
        <w:rPr>
          <w:noProof/>
        </w:rPr>
        <w:t xml:space="preserve">Artykuł 5 </w:t>
      </w:r>
      <w:r w:rsidRPr="00201A9A">
        <w:rPr>
          <w:noProof/>
        </w:rPr>
        <w:br/>
      </w:r>
      <w:r w:rsidRPr="00201A9A">
        <w:rPr>
          <w:b/>
          <w:noProof/>
        </w:rPr>
        <w:t>Zarządzanie Funduszem</w:t>
      </w:r>
    </w:p>
    <w:p w14:paraId="4171A774" w14:textId="549E5015" w:rsidR="008A624B" w:rsidRPr="00201A9A" w:rsidRDefault="7F83ED7A" w:rsidP="003E2902">
      <w:pPr>
        <w:pStyle w:val="NumPar10000000"/>
        <w:numPr>
          <w:ilvl w:val="0"/>
          <w:numId w:val="88"/>
        </w:numPr>
        <w:tabs>
          <w:tab w:val="clear" w:pos="850"/>
        </w:tabs>
        <w:rPr>
          <w:noProof/>
        </w:rPr>
      </w:pPr>
      <w:r w:rsidRPr="00201A9A">
        <w:rPr>
          <w:noProof/>
        </w:rPr>
        <w:t>Państwa członkowskie</w:t>
      </w:r>
      <w:r w:rsidR="00201A9A" w:rsidRPr="00201A9A">
        <w:rPr>
          <w:noProof/>
        </w:rPr>
        <w:t xml:space="preserve"> i Kom</w:t>
      </w:r>
      <w:r w:rsidRPr="00201A9A">
        <w:rPr>
          <w:noProof/>
        </w:rPr>
        <w:t>isja wdrażają pulę środków finansowych finansowaną</w:t>
      </w:r>
      <w:r w:rsidR="00201A9A" w:rsidRPr="00201A9A">
        <w:rPr>
          <w:noProof/>
        </w:rPr>
        <w:t xml:space="preserve"> z bud</w:t>
      </w:r>
      <w:r w:rsidRPr="00201A9A">
        <w:rPr>
          <w:noProof/>
        </w:rPr>
        <w:t>żetu Unii oraz wszelkie dodatkowe zasoby przydzielone na plany PKR</w:t>
      </w:r>
      <w:r w:rsidR="00201A9A" w:rsidRPr="00201A9A">
        <w:rPr>
          <w:noProof/>
        </w:rPr>
        <w:t xml:space="preserve"> i Pla</w:t>
      </w:r>
      <w:r w:rsidRPr="00201A9A">
        <w:rPr>
          <w:noProof/>
        </w:rPr>
        <w:t>n Interreg</w:t>
      </w:r>
      <w:r w:rsidR="00201A9A" w:rsidRPr="00201A9A">
        <w:rPr>
          <w:noProof/>
        </w:rPr>
        <w:t xml:space="preserve"> w ram</w:t>
      </w:r>
      <w:r w:rsidRPr="00201A9A">
        <w:rPr>
          <w:noProof/>
        </w:rPr>
        <w:t>ach zarządzania dzielonego zgodnie</w:t>
      </w:r>
      <w:r w:rsidR="00201A9A" w:rsidRPr="00201A9A">
        <w:rPr>
          <w:noProof/>
        </w:rPr>
        <w:t xml:space="preserve"> z art</w:t>
      </w:r>
      <w:r w:rsidRPr="00201A9A">
        <w:rPr>
          <w:noProof/>
        </w:rPr>
        <w:t>.</w:t>
      </w:r>
      <w:r w:rsidR="00201A9A" w:rsidRPr="00201A9A">
        <w:rPr>
          <w:noProof/>
        </w:rPr>
        <w:t> </w:t>
      </w:r>
      <w:r w:rsidRPr="00201A9A">
        <w:rPr>
          <w:noProof/>
        </w:rPr>
        <w:t>62 ust.</w:t>
      </w:r>
      <w:r w:rsidR="00201A9A" w:rsidRPr="00201A9A">
        <w:rPr>
          <w:noProof/>
        </w:rPr>
        <w:t> </w:t>
      </w:r>
      <w:r w:rsidRPr="00201A9A">
        <w:rPr>
          <w:noProof/>
        </w:rPr>
        <w:t>1 akapit pierwszy lit.</w:t>
      </w:r>
      <w:r w:rsidR="00201A9A" w:rsidRPr="00201A9A">
        <w:rPr>
          <w:noProof/>
        </w:rPr>
        <w:t> </w:t>
      </w:r>
      <w:r w:rsidRPr="00201A9A">
        <w:rPr>
          <w:noProof/>
        </w:rPr>
        <w:t>b) rozporządzenia (UE, Euratom) 2024/2509, bez uszczerbku dla ust.</w:t>
      </w:r>
      <w:r w:rsidR="00201A9A" w:rsidRPr="00201A9A">
        <w:rPr>
          <w:noProof/>
        </w:rPr>
        <w:t> </w:t>
      </w:r>
      <w:r w:rsidRPr="00201A9A">
        <w:rPr>
          <w:noProof/>
        </w:rPr>
        <w:t>2 niniejszego artykułu</w:t>
      </w:r>
      <w:r w:rsidR="00201A9A" w:rsidRPr="00201A9A">
        <w:rPr>
          <w:noProof/>
        </w:rPr>
        <w:t xml:space="preserve"> i art</w:t>
      </w:r>
      <w:r w:rsidRPr="00201A9A">
        <w:rPr>
          <w:noProof/>
        </w:rPr>
        <w:t>.</w:t>
      </w:r>
      <w:r w:rsidR="00201A9A" w:rsidRPr="00201A9A">
        <w:rPr>
          <w:noProof/>
        </w:rPr>
        <w:t> </w:t>
      </w:r>
      <w:r w:rsidRPr="00201A9A">
        <w:rPr>
          <w:noProof/>
        </w:rPr>
        <w:t>6 ust.</w:t>
      </w:r>
      <w:r w:rsidR="00201A9A" w:rsidRPr="00201A9A">
        <w:rPr>
          <w:noProof/>
        </w:rPr>
        <w:t> </w:t>
      </w:r>
      <w:r w:rsidRPr="00201A9A">
        <w:rPr>
          <w:noProof/>
        </w:rPr>
        <w:t xml:space="preserve">3 rozporządzenia XX [rozwój regionalny, </w:t>
      </w:r>
      <w:r w:rsidR="00A47BEA" w:rsidRPr="00201A9A">
        <w:rPr>
          <w:noProof/>
        </w:rPr>
        <w:t>P</w:t>
      </w:r>
      <w:r w:rsidRPr="00201A9A">
        <w:rPr>
          <w:noProof/>
        </w:rPr>
        <w:t>lan Interreg] [przepisy przewidujące stosowanie zarządzania pośredniego</w:t>
      </w:r>
      <w:r w:rsidR="00201A9A" w:rsidRPr="00201A9A">
        <w:rPr>
          <w:noProof/>
        </w:rPr>
        <w:t xml:space="preserve"> w prz</w:t>
      </w:r>
      <w:r w:rsidRPr="00201A9A">
        <w:rPr>
          <w:noProof/>
        </w:rPr>
        <w:t>ypadku niektórych rodzajów współpracy Interreg].</w:t>
      </w:r>
    </w:p>
    <w:p w14:paraId="4031D48C" w14:textId="36EB4CD2" w:rsidR="008A624B" w:rsidRPr="00201A9A" w:rsidRDefault="008A624B" w:rsidP="003E2902">
      <w:pPr>
        <w:pStyle w:val="NumPar10000000"/>
        <w:numPr>
          <w:ilvl w:val="0"/>
          <w:numId w:val="88"/>
        </w:numPr>
        <w:tabs>
          <w:tab w:val="clear" w:pos="850"/>
        </w:tabs>
        <w:rPr>
          <w:noProof/>
        </w:rPr>
      </w:pPr>
      <w:r w:rsidRPr="00201A9A">
        <w:rPr>
          <w:noProof/>
        </w:rPr>
        <w:t>Komisja wdraża tytuł IV dotyczący instrumentu</w:t>
      </w:r>
      <w:r w:rsidR="00201A9A" w:rsidRPr="00201A9A">
        <w:rPr>
          <w:noProof/>
        </w:rPr>
        <w:t xml:space="preserve"> w ram</w:t>
      </w:r>
      <w:r w:rsidRPr="00201A9A">
        <w:rPr>
          <w:noProof/>
        </w:rPr>
        <w:t>ach zarządzania bezpośredniego, dzielonego lub pośredniego zgodnie</w:t>
      </w:r>
      <w:r w:rsidR="00201A9A" w:rsidRPr="00201A9A">
        <w:rPr>
          <w:noProof/>
        </w:rPr>
        <w:t xml:space="preserve"> z art</w:t>
      </w:r>
      <w:r w:rsidRPr="00201A9A">
        <w:rPr>
          <w:noProof/>
        </w:rPr>
        <w:t>.</w:t>
      </w:r>
      <w:r w:rsidR="00201A9A" w:rsidRPr="00201A9A">
        <w:rPr>
          <w:noProof/>
        </w:rPr>
        <w:t> </w:t>
      </w:r>
      <w:r w:rsidRPr="00201A9A">
        <w:rPr>
          <w:noProof/>
        </w:rPr>
        <w:t>62 ust.</w:t>
      </w:r>
      <w:r w:rsidR="00201A9A" w:rsidRPr="00201A9A">
        <w:rPr>
          <w:noProof/>
        </w:rPr>
        <w:t> </w:t>
      </w:r>
      <w:r w:rsidRPr="00201A9A">
        <w:rPr>
          <w:noProof/>
        </w:rPr>
        <w:t>1 akapit pierwszy lit.</w:t>
      </w:r>
      <w:r w:rsidR="00201A9A" w:rsidRPr="00201A9A">
        <w:rPr>
          <w:noProof/>
        </w:rPr>
        <w:t> </w:t>
      </w:r>
      <w:r w:rsidRPr="00201A9A">
        <w:rPr>
          <w:noProof/>
        </w:rPr>
        <w:t>a), b) i c) rozporządzenia (UE, Euratom) 2024/2509.</w:t>
      </w:r>
    </w:p>
    <w:p w14:paraId="52B3DCAB" w14:textId="0E3E5062" w:rsidR="00664290" w:rsidRPr="00201A9A" w:rsidRDefault="008A624B" w:rsidP="003E2902">
      <w:pPr>
        <w:pStyle w:val="NumPar10000000"/>
        <w:numPr>
          <w:ilvl w:val="0"/>
          <w:numId w:val="88"/>
        </w:numPr>
        <w:tabs>
          <w:tab w:val="clear" w:pos="850"/>
        </w:tabs>
        <w:rPr>
          <w:noProof/>
        </w:rPr>
      </w:pPr>
      <w:r w:rsidRPr="00201A9A">
        <w:rPr>
          <w:noProof/>
        </w:rPr>
        <w:t>Pomoc techniczna</w:t>
      </w:r>
      <w:r w:rsidR="00201A9A" w:rsidRPr="00201A9A">
        <w:rPr>
          <w:noProof/>
        </w:rPr>
        <w:t xml:space="preserve"> z ini</w:t>
      </w:r>
      <w:r w:rsidRPr="00201A9A">
        <w:rPr>
          <w:noProof/>
        </w:rPr>
        <w:t>cjatywy Komisji,</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10, jest wdrażana</w:t>
      </w:r>
      <w:r w:rsidR="00201A9A" w:rsidRPr="00201A9A">
        <w:rPr>
          <w:noProof/>
        </w:rPr>
        <w:t xml:space="preserve"> w ram</w:t>
      </w:r>
      <w:r w:rsidRPr="00201A9A">
        <w:rPr>
          <w:noProof/>
        </w:rPr>
        <w:t>ach zarządzania bezpośredniego lub pośredniego, zgodnie</w:t>
      </w:r>
      <w:r w:rsidR="00201A9A" w:rsidRPr="00201A9A">
        <w:rPr>
          <w:noProof/>
        </w:rPr>
        <w:t xml:space="preserve"> z art</w:t>
      </w:r>
      <w:r w:rsidRPr="00201A9A">
        <w:rPr>
          <w:noProof/>
        </w:rPr>
        <w:t>.</w:t>
      </w:r>
      <w:r w:rsidR="00201A9A" w:rsidRPr="00201A9A">
        <w:rPr>
          <w:noProof/>
        </w:rPr>
        <w:t> </w:t>
      </w:r>
      <w:r w:rsidRPr="00201A9A">
        <w:rPr>
          <w:noProof/>
        </w:rPr>
        <w:t>62 ust.</w:t>
      </w:r>
      <w:r w:rsidR="00201A9A" w:rsidRPr="00201A9A">
        <w:rPr>
          <w:noProof/>
        </w:rPr>
        <w:t> </w:t>
      </w:r>
      <w:r w:rsidRPr="00201A9A">
        <w:rPr>
          <w:noProof/>
        </w:rPr>
        <w:t>1 akapit pierwszy lit.</w:t>
      </w:r>
      <w:r w:rsidR="00201A9A" w:rsidRPr="00201A9A">
        <w:rPr>
          <w:noProof/>
        </w:rPr>
        <w:t> </w:t>
      </w:r>
      <w:r w:rsidRPr="00201A9A">
        <w:rPr>
          <w:noProof/>
        </w:rPr>
        <w:t>a) i c) rozporządzenia (UE, Euratom) 2024/2509.</w:t>
      </w:r>
    </w:p>
    <w:p w14:paraId="592575D8" w14:textId="24AF96EC" w:rsidR="00053CB3" w:rsidRPr="00201A9A" w:rsidRDefault="009418A6" w:rsidP="00BD329E">
      <w:pPr>
        <w:pStyle w:val="Titrearticle"/>
        <w:rPr>
          <w:i w:val="0"/>
          <w:iCs/>
          <w:noProof/>
        </w:rPr>
      </w:pPr>
      <w:r w:rsidRPr="00201A9A">
        <w:rPr>
          <w:noProof/>
        </w:rPr>
        <w:t xml:space="preserve">Artykuł 6 </w:t>
      </w:r>
      <w:r w:rsidRPr="00201A9A">
        <w:rPr>
          <w:noProof/>
        </w:rPr>
        <w:br/>
      </w:r>
      <w:r w:rsidRPr="00201A9A">
        <w:rPr>
          <w:b/>
          <w:noProof/>
        </w:rPr>
        <w:t>Partnerstwo</w:t>
      </w:r>
      <w:r w:rsidR="00201A9A" w:rsidRPr="00201A9A">
        <w:rPr>
          <w:b/>
          <w:noProof/>
        </w:rPr>
        <w:t xml:space="preserve"> i wie</w:t>
      </w:r>
      <w:r w:rsidRPr="00201A9A">
        <w:rPr>
          <w:b/>
          <w:noProof/>
        </w:rPr>
        <w:t>lopoziomowe zarządzanie</w:t>
      </w:r>
    </w:p>
    <w:p w14:paraId="0D26C4A0" w14:textId="49BA73D6" w:rsidR="00053CB3" w:rsidRPr="00201A9A" w:rsidRDefault="00053CB3" w:rsidP="003E2902">
      <w:pPr>
        <w:pStyle w:val="NumPar10000000"/>
        <w:numPr>
          <w:ilvl w:val="0"/>
          <w:numId w:val="87"/>
        </w:numPr>
        <w:rPr>
          <w:noProof/>
        </w:rPr>
      </w:pPr>
      <w:r w:rsidRPr="00201A9A">
        <w:rPr>
          <w:noProof/>
        </w:rPr>
        <w:t>W odniesieniu do planu PKR</w:t>
      </w:r>
      <w:r w:rsidR="00201A9A" w:rsidRPr="00201A9A">
        <w:rPr>
          <w:noProof/>
        </w:rPr>
        <w:t xml:space="preserve"> i każ</w:t>
      </w:r>
      <w:r w:rsidRPr="00201A9A">
        <w:rPr>
          <w:noProof/>
        </w:rPr>
        <w:t xml:space="preserve">dego rozdziału oraz rozdziału </w:t>
      </w:r>
      <w:r w:rsidR="00A47BEA" w:rsidRPr="00201A9A">
        <w:rPr>
          <w:noProof/>
        </w:rPr>
        <w:t>P</w:t>
      </w:r>
      <w:r w:rsidRPr="00201A9A">
        <w:rPr>
          <w:noProof/>
        </w:rPr>
        <w:t>lanu Interreg,</w:t>
      </w:r>
      <w:r w:rsidR="00201A9A" w:rsidRPr="00201A9A">
        <w:rPr>
          <w:noProof/>
        </w:rPr>
        <w:t xml:space="preserve"> o któ</w:t>
      </w:r>
      <w:r w:rsidRPr="00201A9A">
        <w:rPr>
          <w:noProof/>
        </w:rPr>
        <w:t>rym mowa</w:t>
      </w:r>
      <w:r w:rsidR="00201A9A" w:rsidRPr="00201A9A">
        <w:rPr>
          <w:noProof/>
        </w:rPr>
        <w:t xml:space="preserve"> w roz</w:t>
      </w:r>
      <w:r w:rsidRPr="00201A9A">
        <w:rPr>
          <w:noProof/>
        </w:rPr>
        <w:t xml:space="preserve">dziale II rozporządzenia XX [rozwój regionalny, </w:t>
      </w:r>
      <w:r w:rsidR="00A47BEA" w:rsidRPr="00201A9A">
        <w:rPr>
          <w:noProof/>
        </w:rPr>
        <w:t>P</w:t>
      </w:r>
      <w:r w:rsidRPr="00201A9A">
        <w:rPr>
          <w:noProof/>
        </w:rPr>
        <w:t>lan Interreg], każde państwo członkowskie organizuje</w:t>
      </w:r>
      <w:r w:rsidR="00201A9A" w:rsidRPr="00201A9A">
        <w:rPr>
          <w:noProof/>
        </w:rPr>
        <w:t xml:space="preserve"> i wdr</w:t>
      </w:r>
      <w:r w:rsidRPr="00201A9A">
        <w:rPr>
          <w:noProof/>
        </w:rPr>
        <w:t>aża kompleksowe partnerstwo zgodnie ze swoimi ramami instytucjonalnymi</w:t>
      </w:r>
      <w:r w:rsidR="00201A9A" w:rsidRPr="00201A9A">
        <w:rPr>
          <w:noProof/>
        </w:rPr>
        <w:t xml:space="preserve"> i pra</w:t>
      </w:r>
      <w:r w:rsidRPr="00201A9A">
        <w:rPr>
          <w:noProof/>
        </w:rPr>
        <w:t>wnymi oraz</w:t>
      </w:r>
      <w:r w:rsidR="00201A9A" w:rsidRPr="00201A9A">
        <w:rPr>
          <w:noProof/>
        </w:rPr>
        <w:t xml:space="preserve"> z uwz</w:t>
      </w:r>
      <w:r w:rsidRPr="00201A9A">
        <w:rPr>
          <w:noProof/>
        </w:rPr>
        <w:t xml:space="preserve">ględnieniem specyfiki odnośnych rozdziałów. Partnerstwo takie obejmuje zrównoważoną reprezentację następujących partnerów: </w:t>
      </w:r>
    </w:p>
    <w:p w14:paraId="2351E9D8" w14:textId="7648619C" w:rsidR="00053CB3" w:rsidRPr="00201A9A" w:rsidRDefault="00201A9A" w:rsidP="00201A9A">
      <w:pPr>
        <w:pStyle w:val="Point1"/>
        <w:rPr>
          <w:noProof/>
        </w:rPr>
      </w:pPr>
      <w:r w:rsidRPr="00201A9A">
        <w:rPr>
          <w:noProof/>
        </w:rPr>
        <w:t>a)</w:t>
      </w:r>
      <w:r w:rsidRPr="00201A9A">
        <w:rPr>
          <w:noProof/>
        </w:rPr>
        <w:tab/>
      </w:r>
      <w:r w:rsidR="00053CB3" w:rsidRPr="00201A9A">
        <w:rPr>
          <w:noProof/>
        </w:rPr>
        <w:t>władze regionalne, lokalne, miejskie, wiejskie</w:t>
      </w:r>
      <w:r w:rsidRPr="00201A9A">
        <w:rPr>
          <w:noProof/>
        </w:rPr>
        <w:t xml:space="preserve"> i inn</w:t>
      </w:r>
      <w:r w:rsidR="00053CB3" w:rsidRPr="00201A9A">
        <w:rPr>
          <w:noProof/>
        </w:rPr>
        <w:t xml:space="preserve">e organy publiczne lub stowarzyszenia reprezentujące takie organy; </w:t>
      </w:r>
    </w:p>
    <w:p w14:paraId="1884D465" w14:textId="4EC9075F" w:rsidR="00053CB3" w:rsidRPr="00201A9A" w:rsidRDefault="00201A9A" w:rsidP="00201A9A">
      <w:pPr>
        <w:pStyle w:val="Point1"/>
        <w:rPr>
          <w:noProof/>
        </w:rPr>
      </w:pPr>
      <w:r w:rsidRPr="00201A9A">
        <w:rPr>
          <w:noProof/>
        </w:rPr>
        <w:t>b)</w:t>
      </w:r>
      <w:r w:rsidRPr="00201A9A">
        <w:rPr>
          <w:noProof/>
        </w:rPr>
        <w:tab/>
      </w:r>
      <w:r w:rsidR="00053CB3" w:rsidRPr="00201A9A">
        <w:rPr>
          <w:noProof/>
        </w:rPr>
        <w:t>partnerów gospodarczych</w:t>
      </w:r>
      <w:r w:rsidRPr="00201A9A">
        <w:rPr>
          <w:noProof/>
        </w:rPr>
        <w:t xml:space="preserve"> i spo</w:t>
      </w:r>
      <w:r w:rsidR="00053CB3" w:rsidRPr="00201A9A">
        <w:rPr>
          <w:noProof/>
        </w:rPr>
        <w:t>łecznych,</w:t>
      </w:r>
      <w:r w:rsidRPr="00201A9A">
        <w:rPr>
          <w:noProof/>
        </w:rPr>
        <w:t xml:space="preserve"> w tym</w:t>
      </w:r>
      <w:r w:rsidR="00053CB3" w:rsidRPr="00201A9A">
        <w:rPr>
          <w:noProof/>
        </w:rPr>
        <w:t xml:space="preserve"> rolników, rybaków</w:t>
      </w:r>
      <w:r w:rsidRPr="00201A9A">
        <w:rPr>
          <w:noProof/>
        </w:rPr>
        <w:t xml:space="preserve"> i ich</w:t>
      </w:r>
      <w:r w:rsidR="00053CB3" w:rsidRPr="00201A9A">
        <w:rPr>
          <w:noProof/>
        </w:rPr>
        <w:t xml:space="preserve"> organizacje</w:t>
      </w:r>
      <w:r w:rsidR="00053CB3" w:rsidRPr="00201A9A">
        <w:rPr>
          <w:noProof/>
          <w:u w:val="single"/>
        </w:rPr>
        <w:t>;</w:t>
      </w:r>
      <w:r w:rsidR="00053CB3" w:rsidRPr="00201A9A">
        <w:rPr>
          <w:noProof/>
        </w:rPr>
        <w:t xml:space="preserve"> </w:t>
      </w:r>
    </w:p>
    <w:p w14:paraId="3AD4E0C3" w14:textId="17C4952D" w:rsidR="00053CB3" w:rsidRPr="00201A9A" w:rsidRDefault="00201A9A" w:rsidP="00201A9A">
      <w:pPr>
        <w:pStyle w:val="Point1"/>
        <w:rPr>
          <w:noProof/>
        </w:rPr>
      </w:pPr>
      <w:r w:rsidRPr="00201A9A">
        <w:rPr>
          <w:noProof/>
        </w:rPr>
        <w:t>c)</w:t>
      </w:r>
      <w:r w:rsidRPr="00201A9A">
        <w:rPr>
          <w:noProof/>
        </w:rPr>
        <w:tab/>
      </w:r>
      <w:r w:rsidR="00053CB3" w:rsidRPr="00201A9A">
        <w:rPr>
          <w:noProof/>
        </w:rPr>
        <w:t>właściwe podmioty reprezentujące społeczeństwo obywatelskie, takie jak partnerzy działający na rzecz środowiska, organizacje pozarządowe, organizacje młodzieżowe oraz podmioty odpowiedzialne za promowanie włączenia społecznego, praw podstawowych, praw osób</w:t>
      </w:r>
      <w:r w:rsidRPr="00201A9A">
        <w:rPr>
          <w:noProof/>
        </w:rPr>
        <w:t xml:space="preserve"> z nie</w:t>
      </w:r>
      <w:r w:rsidR="00053CB3" w:rsidRPr="00201A9A">
        <w:rPr>
          <w:noProof/>
        </w:rPr>
        <w:t>pełnosprawnościami, równouprawnienia płci</w:t>
      </w:r>
      <w:r w:rsidRPr="00201A9A">
        <w:rPr>
          <w:noProof/>
        </w:rPr>
        <w:t xml:space="preserve"> i nie</w:t>
      </w:r>
      <w:r w:rsidR="00053CB3" w:rsidRPr="00201A9A">
        <w:rPr>
          <w:noProof/>
        </w:rPr>
        <w:t>dyskryminacji, krajowe instytucje</w:t>
      </w:r>
      <w:r w:rsidRPr="00201A9A">
        <w:rPr>
          <w:noProof/>
        </w:rPr>
        <w:t xml:space="preserve"> i org</w:t>
      </w:r>
      <w:r w:rsidR="00053CB3" w:rsidRPr="00201A9A">
        <w:rPr>
          <w:noProof/>
        </w:rPr>
        <w:t xml:space="preserve">anizacje praw człowieka; </w:t>
      </w:r>
    </w:p>
    <w:p w14:paraId="13BF69EA" w14:textId="2B505A7C" w:rsidR="00053CB3" w:rsidRPr="00201A9A" w:rsidRDefault="00201A9A" w:rsidP="00201A9A">
      <w:pPr>
        <w:pStyle w:val="Point1"/>
        <w:rPr>
          <w:noProof/>
        </w:rPr>
      </w:pPr>
      <w:r w:rsidRPr="00201A9A">
        <w:rPr>
          <w:noProof/>
        </w:rPr>
        <w:t>d)</w:t>
      </w:r>
      <w:r w:rsidRPr="00201A9A">
        <w:rPr>
          <w:noProof/>
        </w:rPr>
        <w:tab/>
      </w:r>
      <w:r w:rsidR="00053CB3" w:rsidRPr="00201A9A">
        <w:rPr>
          <w:noProof/>
        </w:rPr>
        <w:t>w stosownych przypadkach, organizacje badawcze</w:t>
      </w:r>
      <w:r w:rsidRPr="00201A9A">
        <w:rPr>
          <w:noProof/>
        </w:rPr>
        <w:t xml:space="preserve"> i uni</w:t>
      </w:r>
      <w:r w:rsidR="00053CB3" w:rsidRPr="00201A9A">
        <w:rPr>
          <w:noProof/>
        </w:rPr>
        <w:t xml:space="preserve">wersytety. </w:t>
      </w:r>
    </w:p>
    <w:p w14:paraId="314EFE04" w14:textId="0038B9F9" w:rsidR="00053CB3" w:rsidRPr="00201A9A" w:rsidRDefault="00053CB3" w:rsidP="003E2902">
      <w:pPr>
        <w:pStyle w:val="NumPar10000000"/>
        <w:numPr>
          <w:ilvl w:val="0"/>
          <w:numId w:val="87"/>
        </w:numPr>
        <w:rPr>
          <w:noProof/>
        </w:rPr>
      </w:pPr>
      <w:r w:rsidRPr="00201A9A">
        <w:rPr>
          <w:noProof/>
        </w:rPr>
        <w:t>Partnerstwo ustanowione na podstawie ust.</w:t>
      </w:r>
      <w:r w:rsidR="00201A9A" w:rsidRPr="00201A9A">
        <w:rPr>
          <w:noProof/>
        </w:rPr>
        <w:t> </w:t>
      </w:r>
      <w:r w:rsidRPr="00201A9A">
        <w:rPr>
          <w:noProof/>
        </w:rPr>
        <w:t>1 niniejszego artykułu działa zgodnie</w:t>
      </w:r>
      <w:r w:rsidR="00201A9A" w:rsidRPr="00201A9A">
        <w:rPr>
          <w:noProof/>
        </w:rPr>
        <w:t xml:space="preserve"> z zas</w:t>
      </w:r>
      <w:r w:rsidRPr="00201A9A">
        <w:rPr>
          <w:noProof/>
        </w:rPr>
        <w:t>adą wielopoziomowego zarządzania</w:t>
      </w:r>
      <w:r w:rsidR="00201A9A" w:rsidRPr="00201A9A">
        <w:rPr>
          <w:noProof/>
        </w:rPr>
        <w:t xml:space="preserve"> i pod</w:t>
      </w:r>
      <w:r w:rsidRPr="00201A9A">
        <w:rPr>
          <w:noProof/>
        </w:rPr>
        <w:t>ejściem oddolnym. Państwo członkowskie angażuje partnerów,</w:t>
      </w:r>
      <w:r w:rsidR="00201A9A" w:rsidRPr="00201A9A">
        <w:rPr>
          <w:noProof/>
        </w:rPr>
        <w:t xml:space="preserve"> o któ</w:t>
      </w:r>
      <w:r w:rsidRPr="00201A9A">
        <w:rPr>
          <w:noProof/>
        </w:rPr>
        <w:t>rych mowa</w:t>
      </w:r>
      <w:r w:rsidR="00201A9A" w:rsidRPr="00201A9A">
        <w:rPr>
          <w:noProof/>
        </w:rPr>
        <w:t xml:space="preserve"> w pos</w:t>
      </w:r>
      <w:r w:rsidRPr="00201A9A">
        <w:rPr>
          <w:noProof/>
        </w:rPr>
        <w:t>zczególnych akapitach ust.</w:t>
      </w:r>
      <w:r w:rsidR="00201A9A" w:rsidRPr="00201A9A">
        <w:rPr>
          <w:noProof/>
        </w:rPr>
        <w:t> </w:t>
      </w:r>
      <w:r w:rsidRPr="00201A9A">
        <w:rPr>
          <w:noProof/>
        </w:rPr>
        <w:t>1,</w:t>
      </w:r>
      <w:r w:rsidR="00201A9A" w:rsidRPr="00201A9A">
        <w:rPr>
          <w:noProof/>
        </w:rPr>
        <w:t xml:space="preserve"> w prz</w:t>
      </w:r>
      <w:r w:rsidRPr="00201A9A">
        <w:rPr>
          <w:noProof/>
        </w:rPr>
        <w:t>ygotowanie planu,</w:t>
      </w:r>
      <w:r w:rsidR="00201A9A" w:rsidRPr="00201A9A">
        <w:rPr>
          <w:noProof/>
        </w:rPr>
        <w:t xml:space="preserve"> a tak</w:t>
      </w:r>
      <w:r w:rsidRPr="00201A9A">
        <w:rPr>
          <w:noProof/>
        </w:rPr>
        <w:t>że</w:t>
      </w:r>
      <w:r w:rsidR="00201A9A" w:rsidRPr="00201A9A">
        <w:rPr>
          <w:noProof/>
        </w:rPr>
        <w:t xml:space="preserve"> w cał</w:t>
      </w:r>
      <w:r w:rsidRPr="00201A9A">
        <w:rPr>
          <w:noProof/>
        </w:rPr>
        <w:t>y proces przygotowywania, wdrażania</w:t>
      </w:r>
      <w:r w:rsidR="00201A9A" w:rsidRPr="00201A9A">
        <w:rPr>
          <w:noProof/>
        </w:rPr>
        <w:t xml:space="preserve"> i oce</w:t>
      </w:r>
      <w:r w:rsidRPr="00201A9A">
        <w:rPr>
          <w:noProof/>
        </w:rPr>
        <w:t>ny rozdziałów, między innymi poprzez udział</w:t>
      </w:r>
      <w:r w:rsidR="00201A9A" w:rsidRPr="00201A9A">
        <w:rPr>
          <w:noProof/>
        </w:rPr>
        <w:t xml:space="preserve"> w kom</w:t>
      </w:r>
      <w:r w:rsidRPr="00201A9A">
        <w:rPr>
          <w:noProof/>
        </w:rPr>
        <w:t>itetach monitorujących zgodnie</w:t>
      </w:r>
      <w:r w:rsidR="00201A9A" w:rsidRPr="00201A9A">
        <w:rPr>
          <w:noProof/>
        </w:rPr>
        <w:t xml:space="preserve"> z art</w:t>
      </w:r>
      <w:r w:rsidRPr="00201A9A">
        <w:rPr>
          <w:noProof/>
        </w:rPr>
        <w:t>.</w:t>
      </w:r>
      <w:r w:rsidR="00201A9A" w:rsidRPr="00201A9A">
        <w:rPr>
          <w:noProof/>
        </w:rPr>
        <w:t> </w:t>
      </w:r>
      <w:r w:rsidRPr="00201A9A">
        <w:rPr>
          <w:noProof/>
        </w:rPr>
        <w:t>55.</w:t>
      </w:r>
    </w:p>
    <w:p w14:paraId="3E73A849" w14:textId="12905A48" w:rsidR="00053CB3" w:rsidRPr="00201A9A" w:rsidRDefault="00053CB3" w:rsidP="003E2902">
      <w:pPr>
        <w:pStyle w:val="NumPar10000000"/>
        <w:numPr>
          <w:ilvl w:val="0"/>
          <w:numId w:val="87"/>
        </w:numPr>
        <w:rPr>
          <w:noProof/>
        </w:rPr>
      </w:pPr>
      <w:r w:rsidRPr="00201A9A">
        <w:rPr>
          <w:noProof/>
        </w:rPr>
        <w:t>Organizacja</w:t>
      </w:r>
      <w:r w:rsidR="00201A9A" w:rsidRPr="00201A9A">
        <w:rPr>
          <w:noProof/>
        </w:rPr>
        <w:t xml:space="preserve"> i wdr</w:t>
      </w:r>
      <w:r w:rsidRPr="00201A9A">
        <w:rPr>
          <w:noProof/>
        </w:rPr>
        <w:t>ażanie partnerstwa przebiegają zgodnie</w:t>
      </w:r>
      <w:r w:rsidR="00201A9A" w:rsidRPr="00201A9A">
        <w:rPr>
          <w:noProof/>
        </w:rPr>
        <w:t xml:space="preserve"> z eur</w:t>
      </w:r>
      <w:r w:rsidRPr="00201A9A">
        <w:rPr>
          <w:noProof/>
        </w:rPr>
        <w:t>opejskim kodeksem postępowania</w:t>
      </w:r>
      <w:r w:rsidR="00201A9A" w:rsidRPr="00201A9A">
        <w:rPr>
          <w:noProof/>
        </w:rPr>
        <w:t xml:space="preserve"> w zak</w:t>
      </w:r>
      <w:r w:rsidRPr="00201A9A">
        <w:rPr>
          <w:noProof/>
        </w:rPr>
        <w:t>resie partnerstwa ustanowionym rozporządzeniem delegowanym Komisji (UE) nr</w:t>
      </w:r>
      <w:r w:rsidR="00201A9A" w:rsidRPr="00201A9A">
        <w:rPr>
          <w:noProof/>
        </w:rPr>
        <w:t> </w:t>
      </w:r>
      <w:r w:rsidRPr="00201A9A">
        <w:rPr>
          <w:noProof/>
        </w:rPr>
        <w:t>240/2014. </w:t>
      </w:r>
    </w:p>
    <w:p w14:paraId="760BC146" w14:textId="120FAB0A" w:rsidR="00053CB3" w:rsidRPr="00201A9A" w:rsidRDefault="00053CB3" w:rsidP="003E2902">
      <w:pPr>
        <w:pStyle w:val="NumPar10000000"/>
        <w:numPr>
          <w:ilvl w:val="0"/>
          <w:numId w:val="87"/>
        </w:numPr>
        <w:rPr>
          <w:noProof/>
        </w:rPr>
      </w:pPr>
      <w:r w:rsidRPr="00201A9A">
        <w:rPr>
          <w:noProof/>
        </w:rPr>
        <w:t>W odniesieniu do partnerów,</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lit.</w:t>
      </w:r>
      <w:r w:rsidR="00201A9A" w:rsidRPr="00201A9A">
        <w:rPr>
          <w:noProof/>
        </w:rPr>
        <w:t> </w:t>
      </w:r>
      <w:r w:rsidRPr="00201A9A">
        <w:rPr>
          <w:noProof/>
        </w:rPr>
        <w:t>a), państwo członkowskie zapewnia, aby wszystkie organy, których dotyczą odpowiednie rozdziały planu, były odpowiednio reprezentowane według poziomu terytorialnego</w:t>
      </w:r>
      <w:r w:rsidR="00201A9A" w:rsidRPr="00201A9A">
        <w:rPr>
          <w:noProof/>
        </w:rPr>
        <w:t xml:space="preserve"> i zas</w:t>
      </w:r>
      <w:r w:rsidRPr="00201A9A">
        <w:rPr>
          <w:noProof/>
        </w:rPr>
        <w:t>ięgu geograficznego danego rozdziału, stosownie do przypadku. </w:t>
      </w:r>
    </w:p>
    <w:p w14:paraId="3C028295" w14:textId="0E29592A" w:rsidR="00053CB3" w:rsidRPr="00201A9A" w:rsidRDefault="00053CB3" w:rsidP="003E2902">
      <w:pPr>
        <w:pStyle w:val="NumPar10000000"/>
        <w:numPr>
          <w:ilvl w:val="0"/>
          <w:numId w:val="87"/>
        </w:numPr>
        <w:rPr>
          <w:noProof/>
        </w:rPr>
      </w:pPr>
      <w:r w:rsidRPr="00201A9A">
        <w:rPr>
          <w:noProof/>
        </w:rPr>
        <w:t>Państwa członkowskie mogą odstąpić od wymogów dotyczących partnerstwa</w:t>
      </w:r>
      <w:r w:rsidR="00201A9A" w:rsidRPr="00201A9A">
        <w:rPr>
          <w:noProof/>
        </w:rPr>
        <w:t xml:space="preserve"> i wie</w:t>
      </w:r>
      <w:r w:rsidRPr="00201A9A">
        <w:rPr>
          <w:noProof/>
        </w:rPr>
        <w:t>lopoziomowego zarządzania do celów wsparcia unijnego ustanowionego rozporządzeniem (UE) 202X/XX [zarządzanie granicami]</w:t>
      </w:r>
      <w:r w:rsidR="00201A9A" w:rsidRPr="00201A9A">
        <w:rPr>
          <w:noProof/>
        </w:rPr>
        <w:t xml:space="preserve"> i roz</w:t>
      </w:r>
      <w:r w:rsidRPr="00201A9A">
        <w:rPr>
          <w:noProof/>
        </w:rPr>
        <w:t>porządzeniem (UE) 202X/XX [bezpieczeństwo wewnętrzne], jeżeli państwo członkowskie należycie to uzasadniło</w:t>
      </w:r>
      <w:r w:rsidR="00201A9A" w:rsidRPr="00201A9A">
        <w:rPr>
          <w:noProof/>
        </w:rPr>
        <w:t xml:space="preserve"> i pop</w:t>
      </w:r>
      <w:r w:rsidRPr="00201A9A">
        <w:rPr>
          <w:noProof/>
        </w:rPr>
        <w:t>arło dowodami</w:t>
      </w:r>
      <w:r w:rsidR="00201A9A" w:rsidRPr="00201A9A">
        <w:rPr>
          <w:noProof/>
        </w:rPr>
        <w:t xml:space="preserve"> w swo</w:t>
      </w:r>
      <w:r w:rsidRPr="00201A9A">
        <w:rPr>
          <w:noProof/>
        </w:rPr>
        <w:t>im planie. Do celów unijnego wsparcia na rzecz azylu, migracji</w:t>
      </w:r>
      <w:r w:rsidR="00201A9A" w:rsidRPr="00201A9A">
        <w:rPr>
          <w:noProof/>
        </w:rPr>
        <w:t xml:space="preserve"> i int</w:t>
      </w:r>
      <w:r w:rsidRPr="00201A9A">
        <w:rPr>
          <w:noProof/>
        </w:rPr>
        <w:t>egracji ustanowionego rozporządzeniem (UE) 202X/XX [migracja, azyl</w:t>
      </w:r>
      <w:r w:rsidR="00201A9A" w:rsidRPr="00201A9A">
        <w:rPr>
          <w:noProof/>
        </w:rPr>
        <w:t xml:space="preserve"> i int</w:t>
      </w:r>
      <w:r w:rsidRPr="00201A9A">
        <w:rPr>
          <w:noProof/>
        </w:rPr>
        <w:t>egracja] partnerstwa obejmują organy lub stowarzyszenia regionalne, lokalne, miejskie</w:t>
      </w:r>
      <w:r w:rsidR="00201A9A" w:rsidRPr="00201A9A">
        <w:rPr>
          <w:noProof/>
        </w:rPr>
        <w:t xml:space="preserve"> i inn</w:t>
      </w:r>
      <w:r w:rsidRPr="00201A9A">
        <w:rPr>
          <w:noProof/>
        </w:rPr>
        <w:t>e organy publiczne lub stowarzyszenia reprezentujące takie organy, organizacje społeczeństwa obywatelskiego, organizacje uchodźców</w:t>
      </w:r>
      <w:r w:rsidR="00201A9A" w:rsidRPr="00201A9A">
        <w:rPr>
          <w:noProof/>
        </w:rPr>
        <w:t xml:space="preserve"> i org</w:t>
      </w:r>
      <w:r w:rsidRPr="00201A9A">
        <w:rPr>
          <w:noProof/>
        </w:rPr>
        <w:t>anizacje kierowane przez migrantów,</w:t>
      </w:r>
      <w:r w:rsidR="00201A9A" w:rsidRPr="00201A9A">
        <w:rPr>
          <w:noProof/>
        </w:rPr>
        <w:t xml:space="preserve"> a tak</w:t>
      </w:r>
      <w:r w:rsidRPr="00201A9A">
        <w:rPr>
          <w:noProof/>
        </w:rPr>
        <w:t>że krajowe instytucje praw człowieka</w:t>
      </w:r>
      <w:r w:rsidR="00201A9A" w:rsidRPr="00201A9A">
        <w:rPr>
          <w:noProof/>
        </w:rPr>
        <w:t xml:space="preserve"> i org</w:t>
      </w:r>
      <w:r w:rsidRPr="00201A9A">
        <w:rPr>
          <w:noProof/>
        </w:rPr>
        <w:t>any ds. równości oraz,</w:t>
      </w:r>
      <w:r w:rsidR="00201A9A" w:rsidRPr="00201A9A">
        <w:rPr>
          <w:noProof/>
        </w:rPr>
        <w:t xml:space="preserve"> w sto</w:t>
      </w:r>
      <w:r w:rsidRPr="00201A9A">
        <w:rPr>
          <w:noProof/>
        </w:rPr>
        <w:t>sownych przypadkach, organizacje międzynarodowe oraz partnerów gospodarczych</w:t>
      </w:r>
      <w:r w:rsidR="00201A9A" w:rsidRPr="00201A9A">
        <w:rPr>
          <w:noProof/>
        </w:rPr>
        <w:t xml:space="preserve"> i spo</w:t>
      </w:r>
      <w:r w:rsidRPr="00201A9A">
        <w:rPr>
          <w:noProof/>
        </w:rPr>
        <w:t>łecznych.</w:t>
      </w:r>
    </w:p>
    <w:p w14:paraId="47585430" w14:textId="3307EF78" w:rsidR="00053CB3" w:rsidRPr="00201A9A" w:rsidRDefault="00053CB3" w:rsidP="003E2902">
      <w:pPr>
        <w:pStyle w:val="NumPar10000000"/>
        <w:numPr>
          <w:ilvl w:val="0"/>
          <w:numId w:val="87"/>
        </w:numPr>
        <w:rPr>
          <w:noProof/>
        </w:rPr>
      </w:pPr>
      <w:r w:rsidRPr="00201A9A">
        <w:rPr>
          <w:noProof/>
        </w:rPr>
        <w:t>Co najmniej raz</w:t>
      </w:r>
      <w:r w:rsidR="00201A9A" w:rsidRPr="00201A9A">
        <w:rPr>
          <w:noProof/>
        </w:rPr>
        <w:t xml:space="preserve"> w rok</w:t>
      </w:r>
      <w:r w:rsidRPr="00201A9A">
        <w:rPr>
          <w:noProof/>
        </w:rPr>
        <w:t>u Komisja konsultuje się</w:t>
      </w:r>
      <w:r w:rsidR="00201A9A" w:rsidRPr="00201A9A">
        <w:rPr>
          <w:noProof/>
        </w:rPr>
        <w:t xml:space="preserve"> z org</w:t>
      </w:r>
      <w:r w:rsidRPr="00201A9A">
        <w:rPr>
          <w:noProof/>
        </w:rPr>
        <w:t>anizacjami reprezentującymi partnerów na poziomie Unii</w:t>
      </w:r>
      <w:r w:rsidR="00201A9A" w:rsidRPr="00201A9A">
        <w:rPr>
          <w:noProof/>
        </w:rPr>
        <w:t xml:space="preserve"> w spr</w:t>
      </w:r>
      <w:r w:rsidRPr="00201A9A">
        <w:rPr>
          <w:noProof/>
        </w:rPr>
        <w:t>awie wdrażania planów. </w:t>
      </w:r>
    </w:p>
    <w:p w14:paraId="22A288E9" w14:textId="77777777" w:rsidR="009418A6" w:rsidRPr="00201A9A" w:rsidRDefault="009418A6" w:rsidP="009418A6">
      <w:pPr>
        <w:pStyle w:val="Titrearticle"/>
        <w:rPr>
          <w:noProof/>
        </w:rPr>
      </w:pPr>
      <w:r w:rsidRPr="00201A9A">
        <w:rPr>
          <w:noProof/>
        </w:rPr>
        <w:t xml:space="preserve">Artykuł 7 </w:t>
      </w:r>
      <w:r w:rsidRPr="00201A9A">
        <w:rPr>
          <w:noProof/>
        </w:rPr>
        <w:br/>
      </w:r>
      <w:r w:rsidRPr="00201A9A">
        <w:rPr>
          <w:b/>
          <w:noProof/>
        </w:rPr>
        <w:t>Zasady horyzontalne</w:t>
      </w:r>
    </w:p>
    <w:p w14:paraId="506B1375" w14:textId="55D5E648" w:rsidR="008A624B" w:rsidRPr="00201A9A" w:rsidRDefault="008A624B" w:rsidP="003E2902">
      <w:pPr>
        <w:pStyle w:val="NumPar10000000"/>
        <w:numPr>
          <w:ilvl w:val="0"/>
          <w:numId w:val="71"/>
        </w:numPr>
        <w:rPr>
          <w:noProof/>
        </w:rPr>
      </w:pPr>
      <w:r w:rsidRPr="00201A9A">
        <w:rPr>
          <w:noProof/>
        </w:rPr>
        <w:t>Państwa członkowskie opracowują środki</w:t>
      </w:r>
      <w:r w:rsidR="00201A9A" w:rsidRPr="00201A9A">
        <w:rPr>
          <w:noProof/>
        </w:rPr>
        <w:t xml:space="preserve"> w pla</w:t>
      </w:r>
      <w:r w:rsidRPr="00201A9A">
        <w:rPr>
          <w:noProof/>
        </w:rPr>
        <w:t>nie PKR</w:t>
      </w:r>
      <w:r w:rsidR="00201A9A" w:rsidRPr="00201A9A">
        <w:rPr>
          <w:noProof/>
        </w:rPr>
        <w:t xml:space="preserve"> i Pla</w:t>
      </w:r>
      <w:r w:rsidRPr="00201A9A">
        <w:rPr>
          <w:noProof/>
        </w:rPr>
        <w:t>nie Interreg</w:t>
      </w:r>
      <w:r w:rsidR="00201A9A" w:rsidRPr="00201A9A">
        <w:rPr>
          <w:noProof/>
        </w:rPr>
        <w:t xml:space="preserve"> w spo</w:t>
      </w:r>
      <w:r w:rsidRPr="00201A9A">
        <w:rPr>
          <w:noProof/>
        </w:rPr>
        <w:t>sób zapewniający poszanowanie:</w:t>
      </w:r>
    </w:p>
    <w:p w14:paraId="36D64DEA" w14:textId="15DA067A" w:rsidR="008A624B" w:rsidRPr="00201A9A" w:rsidRDefault="00201A9A" w:rsidP="00201A9A">
      <w:pPr>
        <w:pStyle w:val="Point1"/>
        <w:rPr>
          <w:noProof/>
        </w:rPr>
      </w:pPr>
      <w:r w:rsidRPr="00201A9A">
        <w:rPr>
          <w:noProof/>
        </w:rPr>
        <w:t>a)</w:t>
      </w:r>
      <w:r w:rsidRPr="00201A9A">
        <w:rPr>
          <w:noProof/>
        </w:rPr>
        <w:tab/>
      </w:r>
      <w:r w:rsidR="008A624B" w:rsidRPr="00201A9A">
        <w:rPr>
          <w:noProof/>
        </w:rPr>
        <w:t>zasad państwa prawnego określonych</w:t>
      </w:r>
      <w:r w:rsidRPr="00201A9A">
        <w:rPr>
          <w:noProof/>
        </w:rPr>
        <w:t xml:space="preserve"> w art</w:t>
      </w:r>
      <w:r w:rsidR="008A624B" w:rsidRPr="00201A9A">
        <w:rPr>
          <w:noProof/>
        </w:rPr>
        <w:t>.</w:t>
      </w:r>
      <w:r w:rsidRPr="00201A9A">
        <w:rPr>
          <w:noProof/>
        </w:rPr>
        <w:t> </w:t>
      </w:r>
      <w:r w:rsidR="008A624B" w:rsidRPr="00201A9A">
        <w:rPr>
          <w:noProof/>
        </w:rPr>
        <w:t>2 lit.</w:t>
      </w:r>
      <w:r w:rsidRPr="00201A9A">
        <w:rPr>
          <w:noProof/>
        </w:rPr>
        <w:t> </w:t>
      </w:r>
      <w:r w:rsidR="008A624B" w:rsidRPr="00201A9A">
        <w:rPr>
          <w:noProof/>
        </w:rPr>
        <w:t>a)</w:t>
      </w:r>
      <w:r w:rsidRPr="00201A9A">
        <w:rPr>
          <w:noProof/>
        </w:rPr>
        <w:t xml:space="preserve"> i art</w:t>
      </w:r>
      <w:r w:rsidR="008A624B" w:rsidRPr="00201A9A">
        <w:rPr>
          <w:noProof/>
        </w:rPr>
        <w:t>.</w:t>
      </w:r>
      <w:r w:rsidRPr="00201A9A">
        <w:rPr>
          <w:noProof/>
        </w:rPr>
        <w:t> </w:t>
      </w:r>
      <w:r w:rsidR="008A624B" w:rsidRPr="00201A9A">
        <w:rPr>
          <w:noProof/>
        </w:rPr>
        <w:t>3 rozporządzenia (UE, Euratom) 2020/2092;</w:t>
      </w:r>
    </w:p>
    <w:p w14:paraId="5677DEC0" w14:textId="652306C8" w:rsidR="008A624B" w:rsidRPr="00201A9A" w:rsidRDefault="00201A9A" w:rsidP="00201A9A">
      <w:pPr>
        <w:pStyle w:val="Point1"/>
        <w:rPr>
          <w:noProof/>
        </w:rPr>
      </w:pPr>
      <w:r w:rsidRPr="00201A9A">
        <w:rPr>
          <w:noProof/>
        </w:rPr>
        <w:t>b)</w:t>
      </w:r>
      <w:r w:rsidRPr="00201A9A">
        <w:rPr>
          <w:noProof/>
        </w:rPr>
        <w:tab/>
      </w:r>
      <w:r w:rsidR="008A624B" w:rsidRPr="00201A9A">
        <w:rPr>
          <w:noProof/>
        </w:rPr>
        <w:t>praw, wolności</w:t>
      </w:r>
      <w:r w:rsidRPr="00201A9A">
        <w:rPr>
          <w:noProof/>
        </w:rPr>
        <w:t xml:space="preserve"> i zas</w:t>
      </w:r>
      <w:r w:rsidR="008A624B" w:rsidRPr="00201A9A">
        <w:rPr>
          <w:noProof/>
        </w:rPr>
        <w:t>ad określonych</w:t>
      </w:r>
      <w:r w:rsidRPr="00201A9A">
        <w:rPr>
          <w:noProof/>
        </w:rPr>
        <w:t xml:space="preserve"> w Kar</w:t>
      </w:r>
      <w:r w:rsidR="008A624B" w:rsidRPr="00201A9A">
        <w:rPr>
          <w:noProof/>
        </w:rPr>
        <w:t>cie praw podstawowych Unii Europejskiej.</w:t>
      </w:r>
    </w:p>
    <w:p w14:paraId="4FA9564C" w14:textId="4DB44056" w:rsidR="008A624B" w:rsidRPr="00201A9A" w:rsidRDefault="008A624B" w:rsidP="0072238E">
      <w:pPr>
        <w:pStyle w:val="Text1"/>
        <w:rPr>
          <w:noProof/>
        </w:rPr>
      </w:pPr>
      <w:r w:rsidRPr="00201A9A">
        <w:rPr>
          <w:noProof/>
        </w:rPr>
        <w:t>Państwa członkowskie przestrzegają tych praw, wolności</w:t>
      </w:r>
      <w:r w:rsidR="00201A9A" w:rsidRPr="00201A9A">
        <w:rPr>
          <w:noProof/>
        </w:rPr>
        <w:t xml:space="preserve"> i zas</w:t>
      </w:r>
      <w:r w:rsidRPr="00201A9A">
        <w:rPr>
          <w:noProof/>
        </w:rPr>
        <w:t>ad przez cały okres przygotowywania</w:t>
      </w:r>
      <w:r w:rsidR="00201A9A" w:rsidRPr="00201A9A">
        <w:rPr>
          <w:noProof/>
        </w:rPr>
        <w:t xml:space="preserve"> i wdr</w:t>
      </w:r>
      <w:r w:rsidRPr="00201A9A">
        <w:rPr>
          <w:noProof/>
        </w:rPr>
        <w:t>ażania swoich odpowiednich planów.</w:t>
      </w:r>
    </w:p>
    <w:p w14:paraId="2E6086B0" w14:textId="2E8185D6" w:rsidR="0054409B" w:rsidRPr="00201A9A" w:rsidRDefault="000352CA" w:rsidP="003E2902">
      <w:pPr>
        <w:pStyle w:val="NumPar10000000"/>
        <w:numPr>
          <w:ilvl w:val="0"/>
          <w:numId w:val="71"/>
        </w:numPr>
        <w:rPr>
          <w:noProof/>
        </w:rPr>
      </w:pPr>
      <w:r w:rsidRPr="00201A9A">
        <w:rPr>
          <w:noProof/>
        </w:rPr>
        <w:t>Państwa członkowskie</w:t>
      </w:r>
      <w:r w:rsidR="00201A9A" w:rsidRPr="00201A9A">
        <w:rPr>
          <w:noProof/>
        </w:rPr>
        <w:t xml:space="preserve"> i Kom</w:t>
      </w:r>
      <w:r w:rsidRPr="00201A9A">
        <w:rPr>
          <w:noProof/>
        </w:rPr>
        <w:t>isja podejmują odpowiednie kroki</w:t>
      </w:r>
      <w:r w:rsidR="00201A9A" w:rsidRPr="00201A9A">
        <w:rPr>
          <w:noProof/>
        </w:rPr>
        <w:t xml:space="preserve"> w cel</w:t>
      </w:r>
      <w:r w:rsidRPr="00201A9A">
        <w:rPr>
          <w:noProof/>
        </w:rPr>
        <w:t>u zapobiegania wszelkiej dyskryminacji ze względu na płeć, rasę lub pochodzenie etniczne, religię lub światopogląd, niepełnosprawność, wiek lub orientację seksualną podczas przygotowywania, wdrażania, monitorowania</w:t>
      </w:r>
      <w:r w:rsidR="00201A9A" w:rsidRPr="00201A9A">
        <w:rPr>
          <w:noProof/>
        </w:rPr>
        <w:t xml:space="preserve"> i oce</w:t>
      </w:r>
      <w:r w:rsidRPr="00201A9A">
        <w:rPr>
          <w:noProof/>
        </w:rPr>
        <w:t>ny planów oraz sprawozdawczości</w:t>
      </w:r>
      <w:r w:rsidR="00201A9A" w:rsidRPr="00201A9A">
        <w:rPr>
          <w:noProof/>
        </w:rPr>
        <w:t xml:space="preserve"> w odn</w:t>
      </w:r>
      <w:r w:rsidRPr="00201A9A">
        <w:rPr>
          <w:noProof/>
        </w:rPr>
        <w:t>iesieniu do nich</w:t>
      </w:r>
      <w:r w:rsidR="00201A9A" w:rsidRPr="00201A9A">
        <w:rPr>
          <w:noProof/>
        </w:rPr>
        <w:t>. W pro</w:t>
      </w:r>
      <w:r w:rsidRPr="00201A9A">
        <w:rPr>
          <w:noProof/>
        </w:rPr>
        <w:t>cesie przygotowywania</w:t>
      </w:r>
      <w:r w:rsidR="00201A9A" w:rsidRPr="00201A9A">
        <w:rPr>
          <w:noProof/>
        </w:rPr>
        <w:t xml:space="preserve"> i wdr</w:t>
      </w:r>
      <w:r w:rsidRPr="00201A9A">
        <w:rPr>
          <w:noProof/>
        </w:rPr>
        <w:t>ażania planów</w:t>
      </w:r>
      <w:r w:rsidR="00201A9A" w:rsidRPr="00201A9A">
        <w:rPr>
          <w:noProof/>
        </w:rPr>
        <w:t xml:space="preserve"> w szc</w:t>
      </w:r>
      <w:r w:rsidRPr="00201A9A">
        <w:rPr>
          <w:noProof/>
        </w:rPr>
        <w:t>zególności uwzględnia się zapewnienie dostępności dla osób</w:t>
      </w:r>
      <w:r w:rsidR="00201A9A" w:rsidRPr="00201A9A">
        <w:rPr>
          <w:noProof/>
        </w:rPr>
        <w:t xml:space="preserve"> z nie</w:t>
      </w:r>
      <w:r w:rsidRPr="00201A9A">
        <w:rPr>
          <w:noProof/>
        </w:rPr>
        <w:t>pełnosprawnościami.</w:t>
      </w:r>
    </w:p>
    <w:p w14:paraId="481BE90D" w14:textId="318D21FD" w:rsidR="00896F54" w:rsidRPr="00201A9A" w:rsidRDefault="57DDFE75" w:rsidP="003E2902">
      <w:pPr>
        <w:pStyle w:val="NumPar10000000"/>
        <w:numPr>
          <w:ilvl w:val="0"/>
          <w:numId w:val="71"/>
        </w:numPr>
        <w:rPr>
          <w:noProof/>
        </w:rPr>
      </w:pPr>
      <w:r w:rsidRPr="00201A9A">
        <w:rPr>
          <w:noProof/>
        </w:rPr>
        <w:t>Płatności</w:t>
      </w:r>
      <w:r w:rsidR="00201A9A" w:rsidRPr="00201A9A">
        <w:rPr>
          <w:noProof/>
        </w:rPr>
        <w:t xml:space="preserve"> w ram</w:t>
      </w:r>
      <w:r w:rsidRPr="00201A9A">
        <w:rPr>
          <w:noProof/>
        </w:rPr>
        <w:t>ach interwencji,</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35 ust.</w:t>
      </w:r>
      <w:r w:rsidR="00201A9A" w:rsidRPr="00201A9A">
        <w:rPr>
          <w:noProof/>
        </w:rPr>
        <w:t> </w:t>
      </w:r>
      <w:r w:rsidRPr="00201A9A">
        <w:rPr>
          <w:noProof/>
        </w:rPr>
        <w:t>1 lit.</w:t>
      </w:r>
      <w:r w:rsidR="00201A9A" w:rsidRPr="00201A9A">
        <w:rPr>
          <w:noProof/>
        </w:rPr>
        <w:t> </w:t>
      </w:r>
      <w:r w:rsidRPr="00201A9A">
        <w:rPr>
          <w:noProof/>
        </w:rPr>
        <w:t>a)–f) oraz lit.</w:t>
      </w:r>
      <w:r w:rsidR="00201A9A" w:rsidRPr="00201A9A">
        <w:rPr>
          <w:noProof/>
        </w:rPr>
        <w:t> </w:t>
      </w:r>
      <w:r w:rsidRPr="00201A9A">
        <w:rPr>
          <w:noProof/>
        </w:rPr>
        <w:t>o) i p),</w:t>
      </w:r>
      <w:r w:rsidR="00201A9A" w:rsidRPr="00201A9A">
        <w:rPr>
          <w:noProof/>
        </w:rPr>
        <w:t xml:space="preserve"> w zak</w:t>
      </w:r>
      <w:r w:rsidRPr="00201A9A">
        <w:rPr>
          <w:noProof/>
        </w:rPr>
        <w:t>resie,</w:t>
      </w:r>
      <w:r w:rsidR="00201A9A" w:rsidRPr="00201A9A">
        <w:rPr>
          <w:noProof/>
        </w:rPr>
        <w:t xml:space="preserve"> w jak</w:t>
      </w:r>
      <w:r w:rsidRPr="00201A9A">
        <w:rPr>
          <w:noProof/>
        </w:rPr>
        <w:t>im dotyczą one wsparcia na rzecz lokalnych produktów rolnych, podlegają wymogom „odpowiedzialnego prowadzenia gospodarstwa” określonym</w:t>
      </w:r>
      <w:r w:rsidR="00201A9A" w:rsidRPr="00201A9A">
        <w:rPr>
          <w:noProof/>
        </w:rPr>
        <w:t xml:space="preserve"> w art</w:t>
      </w:r>
      <w:r w:rsidRPr="00201A9A">
        <w:rPr>
          <w:noProof/>
        </w:rPr>
        <w:t>.</w:t>
      </w:r>
      <w:r w:rsidR="00201A9A" w:rsidRPr="00201A9A">
        <w:rPr>
          <w:noProof/>
        </w:rPr>
        <w:t> </w:t>
      </w:r>
      <w:r w:rsidRPr="00201A9A">
        <w:rPr>
          <w:noProof/>
        </w:rPr>
        <w:t>3 rozporządzenia (UE) 202X/XXXX [rozporządzenie</w:t>
      </w:r>
      <w:r w:rsidR="00201A9A" w:rsidRPr="00201A9A">
        <w:rPr>
          <w:noProof/>
        </w:rPr>
        <w:t xml:space="preserve"> w spr</w:t>
      </w:r>
      <w:r w:rsidRPr="00201A9A">
        <w:rPr>
          <w:noProof/>
        </w:rPr>
        <w:t>awie WPR]. Płatności podlegające wymogom odpowiedzialnego prowadzenia gospodarstwa,</w:t>
      </w:r>
      <w:r w:rsidR="00201A9A" w:rsidRPr="00201A9A">
        <w:rPr>
          <w:noProof/>
        </w:rPr>
        <w:t xml:space="preserve"> o któ</w:t>
      </w:r>
      <w:r w:rsidRPr="00201A9A">
        <w:rPr>
          <w:noProof/>
        </w:rPr>
        <w:t>rych mowa</w:t>
      </w:r>
      <w:r w:rsidR="00201A9A" w:rsidRPr="00201A9A">
        <w:rPr>
          <w:noProof/>
        </w:rPr>
        <w:t xml:space="preserve"> w czę</w:t>
      </w:r>
      <w:r w:rsidRPr="00201A9A">
        <w:rPr>
          <w:noProof/>
        </w:rPr>
        <w:t>ści A i C załącznika I do rozporządzenia (UE) 202X/XXXX [rozporządzenie</w:t>
      </w:r>
      <w:r w:rsidR="00201A9A" w:rsidRPr="00201A9A">
        <w:rPr>
          <w:noProof/>
        </w:rPr>
        <w:t xml:space="preserve"> w spr</w:t>
      </w:r>
      <w:r w:rsidRPr="00201A9A">
        <w:rPr>
          <w:noProof/>
        </w:rPr>
        <w:t>awie WPR], uznaje się za zgodne</w:t>
      </w:r>
      <w:r w:rsidR="00201A9A" w:rsidRPr="00201A9A">
        <w:rPr>
          <w:noProof/>
        </w:rPr>
        <w:t xml:space="preserve"> z zas</w:t>
      </w:r>
      <w:r w:rsidRPr="00201A9A">
        <w:rPr>
          <w:noProof/>
        </w:rPr>
        <w:t>adą „nie czyń poważnych szkód”,</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33 ust.</w:t>
      </w:r>
      <w:r w:rsidR="00201A9A" w:rsidRPr="00201A9A">
        <w:rPr>
          <w:noProof/>
        </w:rPr>
        <w:t> </w:t>
      </w:r>
      <w:r w:rsidRPr="00201A9A">
        <w:rPr>
          <w:noProof/>
        </w:rPr>
        <w:t>2 lit.</w:t>
      </w:r>
      <w:r w:rsidR="00201A9A" w:rsidRPr="00201A9A">
        <w:rPr>
          <w:noProof/>
        </w:rPr>
        <w:t> </w:t>
      </w:r>
      <w:r w:rsidRPr="00201A9A">
        <w:rPr>
          <w:noProof/>
        </w:rPr>
        <w:t xml:space="preserve">d) rozporządzenia (UE, Euratom) 2024/2509. </w:t>
      </w:r>
    </w:p>
    <w:p w14:paraId="71C86CC3" w14:textId="00B6CBA8" w:rsidR="0054409B" w:rsidRPr="00201A9A" w:rsidRDefault="008A624B" w:rsidP="003E2902">
      <w:pPr>
        <w:pStyle w:val="NumPar10000000"/>
        <w:numPr>
          <w:ilvl w:val="0"/>
          <w:numId w:val="71"/>
        </w:numPr>
        <w:rPr>
          <w:noProof/>
        </w:rPr>
      </w:pPr>
      <w:r w:rsidRPr="00201A9A">
        <w:rPr>
          <w:noProof/>
        </w:rPr>
        <w:t>Wsparcie</w:t>
      </w:r>
      <w:r w:rsidR="00201A9A" w:rsidRPr="00201A9A">
        <w:rPr>
          <w:noProof/>
        </w:rPr>
        <w:t xml:space="preserve"> z Fun</w:t>
      </w:r>
      <w:r w:rsidRPr="00201A9A">
        <w:rPr>
          <w:noProof/>
        </w:rPr>
        <w:t xml:space="preserve">duszu ma charakter dodatkowy względem krajowego finansowania publicznego. </w:t>
      </w:r>
    </w:p>
    <w:p w14:paraId="31017B43" w14:textId="50572F39" w:rsidR="008A624B" w:rsidRPr="00201A9A" w:rsidRDefault="008A624B" w:rsidP="003E2902">
      <w:pPr>
        <w:pStyle w:val="NumPar10000000"/>
        <w:numPr>
          <w:ilvl w:val="0"/>
          <w:numId w:val="71"/>
        </w:numPr>
        <w:rPr>
          <w:noProof/>
        </w:rPr>
      </w:pPr>
      <w:r w:rsidRPr="00201A9A">
        <w:rPr>
          <w:noProof/>
        </w:rPr>
        <w:t>Komisja</w:t>
      </w:r>
      <w:r w:rsidR="00201A9A" w:rsidRPr="00201A9A">
        <w:rPr>
          <w:noProof/>
        </w:rPr>
        <w:t xml:space="preserve"> i zai</w:t>
      </w:r>
      <w:r w:rsidRPr="00201A9A">
        <w:rPr>
          <w:noProof/>
        </w:rPr>
        <w:t>nteresowane państwa członkowskie zapewniają,</w:t>
      </w:r>
      <w:r w:rsidR="00201A9A" w:rsidRPr="00201A9A">
        <w:rPr>
          <w:noProof/>
        </w:rPr>
        <w:t xml:space="preserve"> w sto</w:t>
      </w:r>
      <w:r w:rsidRPr="00201A9A">
        <w:rPr>
          <w:noProof/>
        </w:rPr>
        <w:t>pniu odpowiadającym ich odpowiednim obowiązkom, koordynację, spójność</w:t>
      </w:r>
      <w:r w:rsidR="00201A9A" w:rsidRPr="00201A9A">
        <w:rPr>
          <w:noProof/>
        </w:rPr>
        <w:t xml:space="preserve"> i syn</w:t>
      </w:r>
      <w:r w:rsidRPr="00201A9A">
        <w:rPr>
          <w:noProof/>
        </w:rPr>
        <w:t>ergię między Funduszem</w:t>
      </w:r>
      <w:r w:rsidR="00201A9A" w:rsidRPr="00201A9A">
        <w:rPr>
          <w:noProof/>
        </w:rPr>
        <w:t xml:space="preserve"> a inn</w:t>
      </w:r>
      <w:r w:rsidRPr="00201A9A">
        <w:rPr>
          <w:noProof/>
        </w:rPr>
        <w:t>ymi programami</w:t>
      </w:r>
      <w:r w:rsidR="00201A9A" w:rsidRPr="00201A9A">
        <w:rPr>
          <w:noProof/>
        </w:rPr>
        <w:t xml:space="preserve"> i ins</w:t>
      </w:r>
      <w:r w:rsidRPr="00201A9A">
        <w:rPr>
          <w:noProof/>
        </w:rPr>
        <w:t>trumentami Unii</w:t>
      </w:r>
      <w:r w:rsidR="00201A9A" w:rsidRPr="00201A9A">
        <w:rPr>
          <w:noProof/>
        </w:rPr>
        <w:t>. W tym</w:t>
      </w:r>
      <w:r w:rsidRPr="00201A9A">
        <w:rPr>
          <w:noProof/>
        </w:rPr>
        <w:t xml:space="preserve"> celu zapewniają: </w:t>
      </w:r>
    </w:p>
    <w:p w14:paraId="20E28E16" w14:textId="00FA74AC" w:rsidR="008A624B" w:rsidRPr="00201A9A" w:rsidRDefault="00201A9A" w:rsidP="00201A9A">
      <w:pPr>
        <w:pStyle w:val="Point1"/>
        <w:rPr>
          <w:noProof/>
        </w:rPr>
      </w:pPr>
      <w:r w:rsidRPr="00201A9A">
        <w:rPr>
          <w:noProof/>
        </w:rPr>
        <w:t>a)</w:t>
      </w:r>
      <w:r w:rsidRPr="00201A9A">
        <w:rPr>
          <w:noProof/>
        </w:rPr>
        <w:tab/>
      </w:r>
      <w:r w:rsidR="008A624B" w:rsidRPr="00201A9A">
        <w:rPr>
          <w:noProof/>
        </w:rPr>
        <w:t>komplementarność, synergię, spójność</w:t>
      </w:r>
      <w:r w:rsidRPr="00201A9A">
        <w:rPr>
          <w:noProof/>
        </w:rPr>
        <w:t xml:space="preserve"> i zgo</w:t>
      </w:r>
      <w:r w:rsidR="008A624B" w:rsidRPr="00201A9A">
        <w:rPr>
          <w:noProof/>
        </w:rPr>
        <w:t>dność między różnymi instrumentami na poziomie unijnym, krajowym i,</w:t>
      </w:r>
      <w:r w:rsidRPr="00201A9A">
        <w:rPr>
          <w:noProof/>
        </w:rPr>
        <w:t xml:space="preserve"> w sto</w:t>
      </w:r>
      <w:r w:rsidR="008A624B" w:rsidRPr="00201A9A">
        <w:rPr>
          <w:noProof/>
        </w:rPr>
        <w:t>sownych przypadkach, lokalnym lub regionalnym, zarówno na etapie planowania, jak</w:t>
      </w:r>
      <w:r w:rsidRPr="00201A9A">
        <w:rPr>
          <w:noProof/>
        </w:rPr>
        <w:t xml:space="preserve"> i rea</w:t>
      </w:r>
      <w:r w:rsidR="008A624B" w:rsidRPr="00201A9A">
        <w:rPr>
          <w:noProof/>
        </w:rPr>
        <w:t>lizacji;</w:t>
      </w:r>
    </w:p>
    <w:p w14:paraId="2E71A62E" w14:textId="16295AE3" w:rsidR="008A624B" w:rsidRPr="00201A9A" w:rsidRDefault="00201A9A" w:rsidP="00201A9A">
      <w:pPr>
        <w:pStyle w:val="Point1"/>
        <w:rPr>
          <w:noProof/>
        </w:rPr>
      </w:pPr>
      <w:r w:rsidRPr="00201A9A">
        <w:rPr>
          <w:noProof/>
        </w:rPr>
        <w:t>b)</w:t>
      </w:r>
      <w:r w:rsidRPr="00201A9A">
        <w:rPr>
          <w:noProof/>
        </w:rPr>
        <w:tab/>
      </w:r>
      <w:r w:rsidR="008A624B" w:rsidRPr="00201A9A">
        <w:rPr>
          <w:noProof/>
        </w:rPr>
        <w:t>ścisłą współpracę między organami odpowiedzialnymi za wdrażanie</w:t>
      </w:r>
      <w:r w:rsidRPr="00201A9A">
        <w:rPr>
          <w:noProof/>
        </w:rPr>
        <w:t xml:space="preserve"> i kon</w:t>
      </w:r>
      <w:r w:rsidR="008A624B" w:rsidRPr="00201A9A">
        <w:rPr>
          <w:noProof/>
        </w:rPr>
        <w:t>trolę na szczeblu unijnym, krajowym</w:t>
      </w:r>
      <w:r w:rsidRPr="00201A9A">
        <w:rPr>
          <w:noProof/>
        </w:rPr>
        <w:t xml:space="preserve"> i reg</w:t>
      </w:r>
      <w:r w:rsidR="008A624B" w:rsidRPr="00201A9A">
        <w:rPr>
          <w:noProof/>
        </w:rPr>
        <w:t>ionalnym, aby osiągnąć cele Funduszu oraz synergię między środkami</w:t>
      </w:r>
      <w:r w:rsidRPr="00201A9A">
        <w:rPr>
          <w:noProof/>
        </w:rPr>
        <w:t xml:space="preserve"> w ram</w:t>
      </w:r>
      <w:r w:rsidR="008A624B" w:rsidRPr="00201A9A">
        <w:rPr>
          <w:noProof/>
        </w:rPr>
        <w:t>ach różnych celów Funduszu.</w:t>
      </w:r>
    </w:p>
    <w:p w14:paraId="5900F16D" w14:textId="739E74FE" w:rsidR="008A624B" w:rsidRPr="00201A9A" w:rsidRDefault="008A624B" w:rsidP="007C1C62">
      <w:pPr>
        <w:pStyle w:val="Text1"/>
        <w:rPr>
          <w:noProof/>
        </w:rPr>
      </w:pPr>
      <w:r w:rsidRPr="00201A9A">
        <w:rPr>
          <w:noProof/>
        </w:rPr>
        <w:t>Operacje mogą być wspierane</w:t>
      </w:r>
      <w:r w:rsidR="00201A9A" w:rsidRPr="00201A9A">
        <w:rPr>
          <w:noProof/>
        </w:rPr>
        <w:t xml:space="preserve"> z inn</w:t>
      </w:r>
      <w:r w:rsidRPr="00201A9A">
        <w:rPr>
          <w:noProof/>
        </w:rPr>
        <w:t>ych programów</w:t>
      </w:r>
      <w:r w:rsidR="00201A9A" w:rsidRPr="00201A9A">
        <w:rPr>
          <w:noProof/>
        </w:rPr>
        <w:t xml:space="preserve"> i ins</w:t>
      </w:r>
      <w:r w:rsidRPr="00201A9A">
        <w:rPr>
          <w:noProof/>
        </w:rPr>
        <w:t>trumentów unijnych, pod warunkiem że takie wsparcie oraz kamienie milowe</w:t>
      </w:r>
      <w:r w:rsidR="00201A9A" w:rsidRPr="00201A9A">
        <w:rPr>
          <w:noProof/>
        </w:rPr>
        <w:t xml:space="preserve"> i war</w:t>
      </w:r>
      <w:r w:rsidRPr="00201A9A">
        <w:rPr>
          <w:noProof/>
        </w:rPr>
        <w:t>tości docelowe skutkujące płatnościami nie pokrywają tych samych kosztów. Po celów akapitu pierwszego państwa członkowskie</w:t>
      </w:r>
      <w:r w:rsidR="00201A9A" w:rsidRPr="00201A9A">
        <w:rPr>
          <w:noProof/>
        </w:rPr>
        <w:t xml:space="preserve"> i Kom</w:t>
      </w:r>
      <w:r w:rsidRPr="00201A9A">
        <w:rPr>
          <w:noProof/>
        </w:rPr>
        <w:t>isja współpracują przy opracowywaniu</w:t>
      </w:r>
      <w:r w:rsidR="00201A9A" w:rsidRPr="00201A9A">
        <w:rPr>
          <w:noProof/>
        </w:rPr>
        <w:t xml:space="preserve"> i rea</w:t>
      </w:r>
      <w:r w:rsidRPr="00201A9A">
        <w:rPr>
          <w:noProof/>
        </w:rPr>
        <w:t>lizacji operacji, które są łącznie finansowane</w:t>
      </w:r>
      <w:r w:rsidR="00201A9A" w:rsidRPr="00201A9A">
        <w:rPr>
          <w:noProof/>
        </w:rPr>
        <w:t xml:space="preserve"> w ram</w:t>
      </w:r>
      <w:r w:rsidRPr="00201A9A">
        <w:rPr>
          <w:noProof/>
        </w:rPr>
        <w:t>ach planu</w:t>
      </w:r>
      <w:r w:rsidR="00201A9A" w:rsidRPr="00201A9A">
        <w:rPr>
          <w:noProof/>
        </w:rPr>
        <w:t xml:space="preserve"> i inn</w:t>
      </w:r>
      <w:r w:rsidRPr="00201A9A">
        <w:rPr>
          <w:noProof/>
        </w:rPr>
        <w:t xml:space="preserve">ego programu unijnego, aby uniknąć podwójnego finansowania. </w:t>
      </w:r>
    </w:p>
    <w:p w14:paraId="143ABDB7" w14:textId="0E61FF05" w:rsidR="004266B4" w:rsidRPr="00201A9A" w:rsidRDefault="004266B4" w:rsidP="2B51165D">
      <w:pPr>
        <w:pStyle w:val="Titrearticle"/>
        <w:rPr>
          <w:b/>
          <w:bCs/>
          <w:noProof/>
        </w:rPr>
      </w:pPr>
      <w:r w:rsidRPr="00201A9A">
        <w:rPr>
          <w:noProof/>
        </w:rPr>
        <w:t xml:space="preserve">Artykuł 8 </w:t>
      </w:r>
      <w:r w:rsidRPr="00201A9A">
        <w:rPr>
          <w:noProof/>
        </w:rPr>
        <w:br/>
      </w:r>
      <w:r w:rsidRPr="00201A9A">
        <w:rPr>
          <w:b/>
          <w:noProof/>
        </w:rPr>
        <w:t>Poszanowanie praw, wolności</w:t>
      </w:r>
      <w:r w:rsidR="00201A9A" w:rsidRPr="00201A9A">
        <w:rPr>
          <w:b/>
          <w:noProof/>
        </w:rPr>
        <w:t xml:space="preserve"> i zas</w:t>
      </w:r>
      <w:r w:rsidRPr="00201A9A">
        <w:rPr>
          <w:b/>
          <w:noProof/>
        </w:rPr>
        <w:t>ad określonych</w:t>
      </w:r>
      <w:r w:rsidR="00201A9A" w:rsidRPr="00201A9A">
        <w:rPr>
          <w:b/>
          <w:noProof/>
        </w:rPr>
        <w:t xml:space="preserve"> w Kar</w:t>
      </w:r>
      <w:r w:rsidRPr="00201A9A">
        <w:rPr>
          <w:b/>
          <w:noProof/>
        </w:rPr>
        <w:t>cie praw podstawowych</w:t>
      </w:r>
    </w:p>
    <w:p w14:paraId="2C8CC42A" w14:textId="52E6C691" w:rsidR="00D70928" w:rsidRPr="00201A9A" w:rsidRDefault="00AB592B" w:rsidP="003E2902">
      <w:pPr>
        <w:pStyle w:val="NumPar10000000"/>
        <w:numPr>
          <w:ilvl w:val="0"/>
          <w:numId w:val="72"/>
        </w:numPr>
        <w:rPr>
          <w:noProof/>
        </w:rPr>
      </w:pPr>
      <w:r w:rsidRPr="00201A9A">
        <w:rPr>
          <w:noProof/>
        </w:rPr>
        <w:t>Państwa członkowskie wprowadzają</w:t>
      </w:r>
      <w:r w:rsidR="00201A9A" w:rsidRPr="00201A9A">
        <w:rPr>
          <w:noProof/>
        </w:rPr>
        <w:t xml:space="preserve"> i utr</w:t>
      </w:r>
      <w:r w:rsidRPr="00201A9A">
        <w:rPr>
          <w:noProof/>
        </w:rPr>
        <w:t>zymują skuteczne mechanizmy zapewniające zgodność środków wspieranych</w:t>
      </w:r>
      <w:r w:rsidR="00201A9A" w:rsidRPr="00201A9A">
        <w:rPr>
          <w:noProof/>
        </w:rPr>
        <w:t xml:space="preserve"> w ich</w:t>
      </w:r>
      <w:r w:rsidRPr="00201A9A">
        <w:rPr>
          <w:noProof/>
        </w:rPr>
        <w:t xml:space="preserve"> planach</w:t>
      </w:r>
      <w:r w:rsidR="00201A9A" w:rsidRPr="00201A9A">
        <w:rPr>
          <w:noProof/>
        </w:rPr>
        <w:t xml:space="preserve"> i ich</w:t>
      </w:r>
      <w:r w:rsidRPr="00201A9A">
        <w:rPr>
          <w:noProof/>
        </w:rPr>
        <w:t xml:space="preserve"> wdrażania</w:t>
      </w:r>
      <w:r w:rsidR="00201A9A" w:rsidRPr="00201A9A">
        <w:rPr>
          <w:noProof/>
        </w:rPr>
        <w:t xml:space="preserve"> z odp</w:t>
      </w:r>
      <w:r w:rsidRPr="00201A9A">
        <w:rPr>
          <w:noProof/>
        </w:rPr>
        <w:t xml:space="preserve">owiednimi postanowieniami Karty praw podstawowych Unii Europejskiej przez cały okres wdrażania Funduszu („warunek horyzontalny dotyczący Karty”). </w:t>
      </w:r>
    </w:p>
    <w:p w14:paraId="2F4E38F4" w14:textId="56D54EE4" w:rsidR="008E0E94" w:rsidRPr="00201A9A" w:rsidRDefault="00AB592B" w:rsidP="000B75DE">
      <w:pPr>
        <w:pStyle w:val="Text1"/>
        <w:rPr>
          <w:noProof/>
        </w:rPr>
      </w:pPr>
      <w:r w:rsidRPr="00201A9A">
        <w:rPr>
          <w:noProof/>
        </w:rPr>
        <w:t>Przedstawiają ocenę tych mechanizmów zgodnie</w:t>
      </w:r>
      <w:r w:rsidR="00201A9A" w:rsidRPr="00201A9A">
        <w:rPr>
          <w:noProof/>
        </w:rPr>
        <w:t xml:space="preserve"> z art</w:t>
      </w:r>
      <w:r w:rsidRPr="00201A9A">
        <w:rPr>
          <w:noProof/>
        </w:rPr>
        <w:t>.</w:t>
      </w:r>
      <w:r w:rsidR="00201A9A" w:rsidRPr="00201A9A">
        <w:rPr>
          <w:noProof/>
        </w:rPr>
        <w:t> </w:t>
      </w:r>
      <w:r w:rsidRPr="00201A9A">
        <w:rPr>
          <w:noProof/>
        </w:rPr>
        <w:t>22 ust.</w:t>
      </w:r>
      <w:r w:rsidR="00201A9A" w:rsidRPr="00201A9A">
        <w:rPr>
          <w:noProof/>
        </w:rPr>
        <w:t> </w:t>
      </w:r>
      <w:r w:rsidRPr="00201A9A">
        <w:rPr>
          <w:noProof/>
        </w:rPr>
        <w:t>2 lit.</w:t>
      </w:r>
      <w:r w:rsidR="00201A9A" w:rsidRPr="00201A9A">
        <w:rPr>
          <w:noProof/>
        </w:rPr>
        <w:t> </w:t>
      </w:r>
      <w:r w:rsidRPr="00201A9A">
        <w:rPr>
          <w:noProof/>
        </w:rPr>
        <w:t>q) [wymogi dotyczące planu PKR]</w:t>
      </w:r>
      <w:r w:rsidR="00201A9A" w:rsidRPr="00201A9A">
        <w:rPr>
          <w:noProof/>
        </w:rPr>
        <w:t xml:space="preserve"> i inf</w:t>
      </w:r>
      <w:r w:rsidRPr="00201A9A">
        <w:rPr>
          <w:noProof/>
        </w:rPr>
        <w:t>ormują Komisję</w:t>
      </w:r>
      <w:r w:rsidR="00201A9A" w:rsidRPr="00201A9A">
        <w:rPr>
          <w:noProof/>
        </w:rPr>
        <w:t xml:space="preserve"> o wsz</w:t>
      </w:r>
      <w:r w:rsidRPr="00201A9A">
        <w:rPr>
          <w:noProof/>
        </w:rPr>
        <w:t>elkich zmianach mających wpływ na spełnienie warunku horyzontalnego dotyczącego Karty.</w:t>
      </w:r>
    </w:p>
    <w:p w14:paraId="66EBBD3C" w14:textId="09C0C732" w:rsidR="004266B4" w:rsidRPr="00201A9A" w:rsidRDefault="004266B4" w:rsidP="003E2902">
      <w:pPr>
        <w:pStyle w:val="NumPar10000000"/>
        <w:numPr>
          <w:ilvl w:val="0"/>
          <w:numId w:val="71"/>
        </w:numPr>
        <w:rPr>
          <w:noProof/>
        </w:rPr>
      </w:pPr>
      <w:r w:rsidRPr="00201A9A">
        <w:rPr>
          <w:noProof/>
        </w:rPr>
        <w:t>Jeżeli Komisja uzna, że dane państwo członkowskie nie spełnia warunku horyzontalnego dotyczącego Karty lub przestało go spełniać, jak przewidziano</w:t>
      </w:r>
      <w:r w:rsidR="00201A9A" w:rsidRPr="00201A9A">
        <w:rPr>
          <w:noProof/>
        </w:rPr>
        <w:t xml:space="preserve"> w ust</w:t>
      </w:r>
      <w:r w:rsidRPr="00201A9A">
        <w:rPr>
          <w:noProof/>
        </w:rPr>
        <w:t>.</w:t>
      </w:r>
      <w:r w:rsidR="00201A9A" w:rsidRPr="00201A9A">
        <w:rPr>
          <w:noProof/>
        </w:rPr>
        <w:t> </w:t>
      </w:r>
      <w:r w:rsidRPr="00201A9A">
        <w:rPr>
          <w:noProof/>
        </w:rPr>
        <w:t>1, powiadamia dane państwo członkowskie</w:t>
      </w:r>
      <w:r w:rsidR="00201A9A" w:rsidRPr="00201A9A">
        <w:rPr>
          <w:noProof/>
        </w:rPr>
        <w:t xml:space="preserve"> o swo</w:t>
      </w:r>
      <w:r w:rsidRPr="00201A9A">
        <w:rPr>
          <w:noProof/>
        </w:rPr>
        <w:t>jej ocenie na podstawie informacji przekazanych przez dane państwo członkowskie</w:t>
      </w:r>
      <w:r w:rsidR="00201A9A" w:rsidRPr="00201A9A">
        <w:rPr>
          <w:noProof/>
        </w:rPr>
        <w:t xml:space="preserve"> w jeg</w:t>
      </w:r>
      <w:r w:rsidRPr="00201A9A">
        <w:rPr>
          <w:noProof/>
        </w:rPr>
        <w:t>o planie PKR,</w:t>
      </w:r>
      <w:r w:rsidR="00201A9A" w:rsidRPr="00201A9A">
        <w:rPr>
          <w:noProof/>
        </w:rPr>
        <w:t xml:space="preserve"> w odp</w:t>
      </w:r>
      <w:r w:rsidRPr="00201A9A">
        <w:rPr>
          <w:noProof/>
        </w:rPr>
        <w:t>owiedzi na uwagi Komisji oraz</w:t>
      </w:r>
      <w:r w:rsidR="00201A9A" w:rsidRPr="00201A9A">
        <w:rPr>
          <w:noProof/>
        </w:rPr>
        <w:t xml:space="preserve"> z uwz</w:t>
      </w:r>
      <w:r w:rsidRPr="00201A9A">
        <w:rPr>
          <w:noProof/>
        </w:rPr>
        <w:t>ględnieniem istotnych informacji,</w:t>
      </w:r>
      <w:r w:rsidR="00201A9A" w:rsidRPr="00201A9A">
        <w:rPr>
          <w:noProof/>
        </w:rPr>
        <w:t xml:space="preserve"> w tym</w:t>
      </w:r>
      <w:r w:rsidRPr="00201A9A">
        <w:rPr>
          <w:noProof/>
        </w:rPr>
        <w:t xml:space="preserve"> sprawozdania na temat praworządności</w:t>
      </w:r>
      <w:r w:rsidR="00201A9A" w:rsidRPr="00201A9A">
        <w:rPr>
          <w:noProof/>
        </w:rPr>
        <w:t xml:space="preserve"> i spr</w:t>
      </w:r>
      <w:r w:rsidRPr="00201A9A">
        <w:rPr>
          <w:noProof/>
        </w:rPr>
        <w:t>awozdań dotyczących poszczególnych krajów</w:t>
      </w:r>
      <w:r w:rsidR="00201A9A" w:rsidRPr="00201A9A">
        <w:rPr>
          <w:noProof/>
        </w:rPr>
        <w:t xml:space="preserve"> w ram</w:t>
      </w:r>
      <w:r w:rsidRPr="00201A9A">
        <w:rPr>
          <w:noProof/>
        </w:rPr>
        <w:t>ach europejskiego semestru.</w:t>
      </w:r>
    </w:p>
    <w:p w14:paraId="7CC78368" w14:textId="0C4CF2C5" w:rsidR="008E0E94" w:rsidRPr="00201A9A" w:rsidRDefault="004266B4" w:rsidP="003E2902">
      <w:pPr>
        <w:pStyle w:val="NumPar10000000"/>
        <w:numPr>
          <w:ilvl w:val="0"/>
          <w:numId w:val="71"/>
        </w:numPr>
        <w:rPr>
          <w:noProof/>
        </w:rPr>
      </w:pPr>
      <w:r w:rsidRPr="00201A9A">
        <w:rPr>
          <w:noProof/>
        </w:rPr>
        <w:t>Dane państwo członkowskie może przedstawić swoje uwagi</w:t>
      </w:r>
      <w:r w:rsidR="00201A9A" w:rsidRPr="00201A9A">
        <w:rPr>
          <w:noProof/>
        </w:rPr>
        <w:t xml:space="preserve"> i ewe</w:t>
      </w:r>
      <w:r w:rsidRPr="00201A9A">
        <w:rPr>
          <w:noProof/>
        </w:rPr>
        <w:t>ntualne środki zaradcze,</w:t>
      </w:r>
      <w:r w:rsidR="00201A9A" w:rsidRPr="00201A9A">
        <w:rPr>
          <w:noProof/>
        </w:rPr>
        <w:t xml:space="preserve"> w tym</w:t>
      </w:r>
      <w:r w:rsidRPr="00201A9A">
        <w:rPr>
          <w:noProof/>
        </w:rPr>
        <w:t xml:space="preserve"> zmiany</w:t>
      </w:r>
      <w:r w:rsidR="00201A9A" w:rsidRPr="00201A9A">
        <w:rPr>
          <w:noProof/>
        </w:rPr>
        <w:t xml:space="preserve"> w pla</w:t>
      </w:r>
      <w:r w:rsidRPr="00201A9A">
        <w:rPr>
          <w:noProof/>
        </w:rPr>
        <w:t>nie PKR,</w:t>
      </w:r>
      <w:r w:rsidR="00201A9A" w:rsidRPr="00201A9A">
        <w:rPr>
          <w:noProof/>
        </w:rPr>
        <w:t xml:space="preserve"> w ter</w:t>
      </w:r>
      <w:r w:rsidRPr="00201A9A">
        <w:rPr>
          <w:noProof/>
        </w:rPr>
        <w:t>minie dwóch miesięcy od powiadomienia</w:t>
      </w:r>
      <w:r w:rsidR="00201A9A" w:rsidRPr="00201A9A">
        <w:rPr>
          <w:noProof/>
        </w:rPr>
        <w:t xml:space="preserve"> o oce</w:t>
      </w:r>
      <w:r w:rsidRPr="00201A9A">
        <w:rPr>
          <w:noProof/>
        </w:rPr>
        <w:t>nie zgodnie</w:t>
      </w:r>
      <w:r w:rsidR="00201A9A" w:rsidRPr="00201A9A">
        <w:rPr>
          <w:noProof/>
        </w:rPr>
        <w:t xml:space="preserve"> z ust</w:t>
      </w:r>
      <w:r w:rsidRPr="00201A9A">
        <w:rPr>
          <w:noProof/>
        </w:rPr>
        <w:t>.</w:t>
      </w:r>
      <w:r w:rsidR="00201A9A" w:rsidRPr="00201A9A">
        <w:rPr>
          <w:noProof/>
        </w:rPr>
        <w:t> </w:t>
      </w:r>
      <w:r w:rsidRPr="00201A9A">
        <w:rPr>
          <w:noProof/>
        </w:rPr>
        <w:t>2.</w:t>
      </w:r>
    </w:p>
    <w:p w14:paraId="0D091A1B" w14:textId="059D7DFD" w:rsidR="004266B4" w:rsidRPr="00201A9A" w:rsidRDefault="004266B4" w:rsidP="003E2902">
      <w:pPr>
        <w:pStyle w:val="NumPar10000000"/>
        <w:numPr>
          <w:ilvl w:val="0"/>
          <w:numId w:val="71"/>
        </w:numPr>
        <w:rPr>
          <w:noProof/>
        </w:rPr>
      </w:pPr>
      <w:r w:rsidRPr="00201A9A">
        <w:rPr>
          <w:noProof/>
        </w:rPr>
        <w:t>W przypadku gdy Komisja stwierdzi, że warunek horyzontalny dotyczący Karty nie jest spełniony,</w:t>
      </w:r>
      <w:r w:rsidR="00201A9A" w:rsidRPr="00201A9A">
        <w:rPr>
          <w:noProof/>
        </w:rPr>
        <w:t xml:space="preserve"> w ter</w:t>
      </w:r>
      <w:r w:rsidRPr="00201A9A">
        <w:rPr>
          <w:noProof/>
        </w:rPr>
        <w:t>minie dwóch miesięcy od otrzymania uwag państwa członkowskiego,</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3, przyjmuje decyzję wykonawczą stwierdzającą niespełnienie warunku horyzontalnego dotyczącego Karty oraz określającą konkretne środki przewidziane</w:t>
      </w:r>
      <w:r w:rsidR="00201A9A" w:rsidRPr="00201A9A">
        <w:rPr>
          <w:noProof/>
        </w:rPr>
        <w:t xml:space="preserve"> w pla</w:t>
      </w:r>
      <w:r w:rsidRPr="00201A9A">
        <w:rPr>
          <w:noProof/>
        </w:rPr>
        <w:t xml:space="preserve">nie PKR, na które ma wpływ niespełnienie tego warunku. </w:t>
      </w:r>
    </w:p>
    <w:p w14:paraId="313B31E3" w14:textId="77777777" w:rsidR="004266B4" w:rsidRPr="00201A9A" w:rsidRDefault="004266B4" w:rsidP="004266B4">
      <w:pPr>
        <w:pStyle w:val="Text1"/>
        <w:rPr>
          <w:noProof/>
        </w:rPr>
      </w:pPr>
      <w:r w:rsidRPr="00201A9A">
        <w:rPr>
          <w:noProof/>
        </w:rPr>
        <w:t>W tym celu należy wziąć pod uwagę następujące aspekty niespełnienia warunku horyzontalnego dotyczącego Karty:</w:t>
      </w:r>
    </w:p>
    <w:p w14:paraId="46F58E28" w14:textId="135CB23B" w:rsidR="004266B4" w:rsidRPr="00201A9A" w:rsidRDefault="00201A9A" w:rsidP="00201A9A">
      <w:pPr>
        <w:pStyle w:val="Point1"/>
        <w:rPr>
          <w:noProof/>
        </w:rPr>
      </w:pPr>
      <w:r w:rsidRPr="00201A9A">
        <w:rPr>
          <w:noProof/>
        </w:rPr>
        <w:t>a)</w:t>
      </w:r>
      <w:r w:rsidRPr="00201A9A">
        <w:rPr>
          <w:noProof/>
        </w:rPr>
        <w:tab/>
      </w:r>
      <w:r w:rsidR="004266B4" w:rsidRPr="00201A9A">
        <w:rPr>
          <w:noProof/>
        </w:rPr>
        <w:t>rzeczywisty lub potencjalny wpływ na należyte zarządzanie finansami</w:t>
      </w:r>
      <w:r w:rsidRPr="00201A9A">
        <w:rPr>
          <w:noProof/>
        </w:rPr>
        <w:t xml:space="preserve"> w ram</w:t>
      </w:r>
      <w:r w:rsidR="004266B4" w:rsidRPr="00201A9A">
        <w:rPr>
          <w:noProof/>
        </w:rPr>
        <w:t>ach budżetu Unii lub na interesy finansowe Unii;</w:t>
      </w:r>
    </w:p>
    <w:p w14:paraId="555B7351" w14:textId="1D887B87" w:rsidR="004266B4" w:rsidRPr="00201A9A" w:rsidRDefault="00201A9A" w:rsidP="00201A9A">
      <w:pPr>
        <w:pStyle w:val="Point1"/>
        <w:rPr>
          <w:noProof/>
        </w:rPr>
      </w:pPr>
      <w:r w:rsidRPr="00201A9A">
        <w:rPr>
          <w:noProof/>
        </w:rPr>
        <w:t>b)</w:t>
      </w:r>
      <w:r w:rsidRPr="00201A9A">
        <w:rPr>
          <w:noProof/>
        </w:rPr>
        <w:tab/>
      </w:r>
      <w:r w:rsidR="004266B4" w:rsidRPr="00201A9A">
        <w:rPr>
          <w:noProof/>
        </w:rPr>
        <w:t>charakter, czas trwania, wagę</w:t>
      </w:r>
      <w:r w:rsidRPr="00201A9A">
        <w:rPr>
          <w:noProof/>
        </w:rPr>
        <w:t xml:space="preserve"> i zak</w:t>
      </w:r>
      <w:r w:rsidR="004266B4" w:rsidRPr="00201A9A">
        <w:rPr>
          <w:noProof/>
        </w:rPr>
        <w:t xml:space="preserve">res niezgodności. </w:t>
      </w:r>
    </w:p>
    <w:p w14:paraId="3063BBA6" w14:textId="5711AB0E" w:rsidR="004266B4" w:rsidRPr="00201A9A" w:rsidRDefault="004266B4" w:rsidP="003E2902">
      <w:pPr>
        <w:pStyle w:val="NumPar10000000"/>
        <w:numPr>
          <w:ilvl w:val="0"/>
          <w:numId w:val="71"/>
        </w:numPr>
        <w:rPr>
          <w:noProof/>
        </w:rPr>
      </w:pPr>
      <w:r w:rsidRPr="00201A9A">
        <w:rPr>
          <w:noProof/>
        </w:rPr>
        <w:t>Państwo członkowskie może składać wnioski</w:t>
      </w:r>
      <w:r w:rsidR="00201A9A" w:rsidRPr="00201A9A">
        <w:rPr>
          <w:noProof/>
        </w:rPr>
        <w:t xml:space="preserve"> o pła</w:t>
      </w:r>
      <w:r w:rsidRPr="00201A9A">
        <w:rPr>
          <w:noProof/>
        </w:rPr>
        <w:t>tność</w:t>
      </w:r>
      <w:r w:rsidR="00201A9A" w:rsidRPr="00201A9A">
        <w:rPr>
          <w:noProof/>
        </w:rPr>
        <w:t xml:space="preserve"> w odn</w:t>
      </w:r>
      <w:r w:rsidRPr="00201A9A">
        <w:rPr>
          <w:noProof/>
        </w:rPr>
        <w:t>iesieniu do konkretnych środków określonych</w:t>
      </w:r>
      <w:r w:rsidR="00201A9A" w:rsidRPr="00201A9A">
        <w:rPr>
          <w:noProof/>
        </w:rPr>
        <w:t xml:space="preserve"> w dec</w:t>
      </w:r>
      <w:r w:rsidRPr="00201A9A">
        <w:rPr>
          <w:noProof/>
        </w:rPr>
        <w:t>yzji,</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4, ale Komisja nie dokonuje odpowiednich płatności, dopóki nie zostanie spełniony warunek horyzontalny dotyczący Karty.</w:t>
      </w:r>
    </w:p>
    <w:p w14:paraId="7D22A53E" w14:textId="14074C41" w:rsidR="004266B4" w:rsidRPr="00201A9A" w:rsidRDefault="004266B4" w:rsidP="003E2902">
      <w:pPr>
        <w:pStyle w:val="NumPar10000000"/>
        <w:numPr>
          <w:ilvl w:val="0"/>
          <w:numId w:val="71"/>
        </w:numPr>
        <w:rPr>
          <w:noProof/>
        </w:rPr>
      </w:pPr>
      <w:r w:rsidRPr="00201A9A">
        <w:rPr>
          <w:noProof/>
        </w:rPr>
        <w:t>Dane państwo członkowskie informuje Komisję, gdy tylko uzna, że warunek horyzontalny dotyczący Karty został spełniony. Komisja ocenia te informacje</w:t>
      </w:r>
      <w:r w:rsidR="00201A9A" w:rsidRPr="00201A9A">
        <w:rPr>
          <w:noProof/>
        </w:rPr>
        <w:t xml:space="preserve"> w ter</w:t>
      </w:r>
      <w:r w:rsidRPr="00201A9A">
        <w:rPr>
          <w:noProof/>
        </w:rPr>
        <w:t>minie dwóch miesięcy od ich otrzymania. Jeżeli Komisja uzna, że warunek horyzontalny dotyczący Karty został spełniony, uchyla decyzję,</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4.</w:t>
      </w:r>
    </w:p>
    <w:p w14:paraId="352A48D7" w14:textId="51DB12AB" w:rsidR="004266B4" w:rsidRPr="00201A9A" w:rsidRDefault="004266B4" w:rsidP="004266B4">
      <w:pPr>
        <w:pStyle w:val="Text1"/>
        <w:rPr>
          <w:noProof/>
        </w:rPr>
      </w:pPr>
      <w:r w:rsidRPr="00201A9A">
        <w:rPr>
          <w:noProof/>
        </w:rPr>
        <w:t>W przypadku gdy Komisja nie zgadza się</w:t>
      </w:r>
      <w:r w:rsidR="00201A9A" w:rsidRPr="00201A9A">
        <w:rPr>
          <w:noProof/>
        </w:rPr>
        <w:t xml:space="preserve"> z pań</w:t>
      </w:r>
      <w:r w:rsidRPr="00201A9A">
        <w:rPr>
          <w:noProof/>
        </w:rPr>
        <w:t>stwem członkowskim odnośnie do spełnienia warunku horyzontalnego dotyczącego Karty, informuje</w:t>
      </w:r>
      <w:r w:rsidR="00201A9A" w:rsidRPr="00201A9A">
        <w:rPr>
          <w:noProof/>
        </w:rPr>
        <w:t xml:space="preserve"> o tym</w:t>
      </w:r>
      <w:r w:rsidRPr="00201A9A">
        <w:rPr>
          <w:noProof/>
        </w:rPr>
        <w:t xml:space="preserve"> państwo członkowskie</w:t>
      </w:r>
      <w:r w:rsidR="00201A9A" w:rsidRPr="00201A9A">
        <w:rPr>
          <w:noProof/>
        </w:rPr>
        <w:t xml:space="preserve"> i prz</w:t>
      </w:r>
      <w:r w:rsidRPr="00201A9A">
        <w:rPr>
          <w:noProof/>
        </w:rPr>
        <w:t>edstawia swoją ocenę.</w:t>
      </w:r>
    </w:p>
    <w:p w14:paraId="323929C3" w14:textId="7821D810" w:rsidR="004266B4" w:rsidRPr="00201A9A" w:rsidRDefault="004266B4" w:rsidP="003E2902">
      <w:pPr>
        <w:pStyle w:val="NumPar10000000"/>
        <w:numPr>
          <w:ilvl w:val="0"/>
          <w:numId w:val="71"/>
        </w:numPr>
        <w:rPr>
          <w:noProof/>
        </w:rPr>
      </w:pPr>
      <w:r w:rsidRPr="00201A9A">
        <w:rPr>
          <w:noProof/>
        </w:rPr>
        <w:t>Komisja proporcjonalnie zmniejsza unijny wkład finansowy danego państwa członkowskiego</w:t>
      </w:r>
      <w:r w:rsidR="00201A9A" w:rsidRPr="00201A9A">
        <w:rPr>
          <w:noProof/>
        </w:rPr>
        <w:t xml:space="preserve"> w odn</w:t>
      </w:r>
      <w:r w:rsidRPr="00201A9A">
        <w:rPr>
          <w:noProof/>
        </w:rPr>
        <w:t>iesieniu do konkretnych środków lub,</w:t>
      </w:r>
      <w:r w:rsidR="00201A9A" w:rsidRPr="00201A9A">
        <w:rPr>
          <w:noProof/>
        </w:rPr>
        <w:t xml:space="preserve"> w odn</w:t>
      </w:r>
      <w:r w:rsidRPr="00201A9A">
        <w:rPr>
          <w:noProof/>
        </w:rPr>
        <w:t>iesieniu do wsparcia</w:t>
      </w:r>
      <w:r w:rsidR="00201A9A" w:rsidRPr="00201A9A">
        <w:rPr>
          <w:noProof/>
        </w:rPr>
        <w:t xml:space="preserve"> w for</w:t>
      </w:r>
      <w:r w:rsidRPr="00201A9A">
        <w:rPr>
          <w:noProof/>
        </w:rPr>
        <w:t>mie pożyczki, wdraża wszelkie środki dostępne na mocy umowy pożyczki,</w:t>
      </w:r>
      <w:r w:rsidR="00201A9A" w:rsidRPr="00201A9A">
        <w:rPr>
          <w:noProof/>
        </w:rPr>
        <w:t xml:space="preserve"> w prz</w:t>
      </w:r>
      <w:r w:rsidRPr="00201A9A">
        <w:rPr>
          <w:noProof/>
        </w:rPr>
        <w:t>ypadku gdy decyzja,</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4, nie została uchylona</w:t>
      </w:r>
      <w:r w:rsidR="00201A9A" w:rsidRPr="00201A9A">
        <w:rPr>
          <w:noProof/>
        </w:rPr>
        <w:t xml:space="preserve"> w cią</w:t>
      </w:r>
      <w:r w:rsidRPr="00201A9A">
        <w:rPr>
          <w:noProof/>
        </w:rPr>
        <w:t>gu jednego roku od jej przyjęcia.</w:t>
      </w:r>
    </w:p>
    <w:p w14:paraId="5603E685" w14:textId="2C7F4617" w:rsidR="00B677CC" w:rsidRPr="00201A9A" w:rsidRDefault="00B677CC" w:rsidP="003E2902">
      <w:pPr>
        <w:pStyle w:val="NumPar10000000"/>
        <w:numPr>
          <w:ilvl w:val="0"/>
          <w:numId w:val="71"/>
        </w:numPr>
        <w:rPr>
          <w:noProof/>
        </w:rPr>
      </w:pPr>
      <w:r w:rsidRPr="00201A9A">
        <w:rPr>
          <w:noProof/>
        </w:rPr>
        <w:t>Jeżeli naruszenie stwierdzone przez Komisję może także stanowić naruszenie warunku horyzontalnego dotyczącego państwa prawnego, procedurę określoną</w:t>
      </w:r>
      <w:r w:rsidR="00201A9A" w:rsidRPr="00201A9A">
        <w:rPr>
          <w:noProof/>
        </w:rPr>
        <w:t xml:space="preserve"> w art</w:t>
      </w:r>
      <w:r w:rsidRPr="00201A9A">
        <w:rPr>
          <w:noProof/>
        </w:rPr>
        <w:t>.</w:t>
      </w:r>
      <w:r w:rsidR="00201A9A" w:rsidRPr="00201A9A">
        <w:rPr>
          <w:noProof/>
        </w:rPr>
        <w:t> </w:t>
      </w:r>
      <w:r w:rsidRPr="00201A9A">
        <w:rPr>
          <w:noProof/>
        </w:rPr>
        <w:t>9 uruchamia się</w:t>
      </w:r>
      <w:r w:rsidR="00201A9A" w:rsidRPr="00201A9A">
        <w:rPr>
          <w:noProof/>
        </w:rPr>
        <w:t xml:space="preserve"> w pie</w:t>
      </w:r>
      <w:r w:rsidRPr="00201A9A">
        <w:rPr>
          <w:noProof/>
        </w:rPr>
        <w:t>rwszej kolejności.</w:t>
      </w:r>
    </w:p>
    <w:p w14:paraId="6EAF5D7F" w14:textId="77777777" w:rsidR="009418A6" w:rsidRPr="00201A9A" w:rsidRDefault="009418A6" w:rsidP="2B51165D">
      <w:pPr>
        <w:pStyle w:val="Titrearticle"/>
        <w:rPr>
          <w:b/>
          <w:bCs/>
          <w:noProof/>
        </w:rPr>
      </w:pPr>
      <w:r w:rsidRPr="00201A9A">
        <w:rPr>
          <w:noProof/>
        </w:rPr>
        <w:t xml:space="preserve">Artykuł 9 </w:t>
      </w:r>
      <w:r w:rsidRPr="00201A9A">
        <w:rPr>
          <w:noProof/>
        </w:rPr>
        <w:br/>
      </w:r>
      <w:r w:rsidRPr="00201A9A">
        <w:rPr>
          <w:b/>
          <w:noProof/>
        </w:rPr>
        <w:t>Poszanowanie zasad państwa prawnego</w:t>
      </w:r>
    </w:p>
    <w:p w14:paraId="58A2C187" w14:textId="27D3AF64" w:rsidR="00EB047D" w:rsidRPr="00201A9A" w:rsidRDefault="00EB047D" w:rsidP="003E2902">
      <w:pPr>
        <w:pStyle w:val="NumPar10000000"/>
        <w:numPr>
          <w:ilvl w:val="0"/>
          <w:numId w:val="75"/>
        </w:numPr>
        <w:rPr>
          <w:noProof/>
        </w:rPr>
      </w:pPr>
      <w:r w:rsidRPr="00201A9A">
        <w:rPr>
          <w:noProof/>
        </w:rPr>
        <w:t>Państwa członkowskie zapewniają poszanowanie zasad państwa prawnego określonych</w:t>
      </w:r>
      <w:r w:rsidR="00201A9A" w:rsidRPr="00201A9A">
        <w:rPr>
          <w:noProof/>
        </w:rPr>
        <w:t xml:space="preserve"> w art</w:t>
      </w:r>
      <w:r w:rsidRPr="00201A9A">
        <w:rPr>
          <w:noProof/>
        </w:rPr>
        <w:t>.</w:t>
      </w:r>
      <w:r w:rsidR="00201A9A" w:rsidRPr="00201A9A">
        <w:rPr>
          <w:noProof/>
        </w:rPr>
        <w:t> </w:t>
      </w:r>
      <w:r w:rsidRPr="00201A9A">
        <w:rPr>
          <w:noProof/>
        </w:rPr>
        <w:t>2 lit.</w:t>
      </w:r>
      <w:r w:rsidR="00201A9A" w:rsidRPr="00201A9A">
        <w:rPr>
          <w:noProof/>
        </w:rPr>
        <w:t> </w:t>
      </w:r>
      <w:r w:rsidRPr="00201A9A">
        <w:rPr>
          <w:noProof/>
        </w:rPr>
        <w:t>a)</w:t>
      </w:r>
      <w:r w:rsidR="00201A9A" w:rsidRPr="00201A9A">
        <w:rPr>
          <w:noProof/>
        </w:rPr>
        <w:t xml:space="preserve"> i art</w:t>
      </w:r>
      <w:r w:rsidRPr="00201A9A">
        <w:rPr>
          <w:noProof/>
        </w:rPr>
        <w:t>.</w:t>
      </w:r>
      <w:r w:rsidR="00201A9A" w:rsidRPr="00201A9A">
        <w:rPr>
          <w:noProof/>
        </w:rPr>
        <w:t> </w:t>
      </w:r>
      <w:r w:rsidRPr="00201A9A">
        <w:rPr>
          <w:noProof/>
        </w:rPr>
        <w:t>3 rozporządzenia (UE, Euratom) 2020/2092</w:t>
      </w:r>
      <w:r w:rsidR="00201A9A" w:rsidRPr="00201A9A">
        <w:rPr>
          <w:noProof/>
        </w:rPr>
        <w:t xml:space="preserve"> w cał</w:t>
      </w:r>
      <w:r w:rsidRPr="00201A9A">
        <w:rPr>
          <w:noProof/>
        </w:rPr>
        <w:t>ym okresie wdrażania Funduszu („warunek horyzontalny dotyczący państwa prawnego”). Informują Komisję</w:t>
      </w:r>
      <w:r w:rsidR="00201A9A" w:rsidRPr="00201A9A">
        <w:rPr>
          <w:noProof/>
        </w:rPr>
        <w:t xml:space="preserve"> o wsz</w:t>
      </w:r>
      <w:r w:rsidRPr="00201A9A">
        <w:rPr>
          <w:noProof/>
        </w:rPr>
        <w:t xml:space="preserve">elkich zmianach mających wpływ na spełnienie tego warunku. </w:t>
      </w:r>
    </w:p>
    <w:p w14:paraId="76E74390" w14:textId="7F8B402B" w:rsidR="008C289D" w:rsidRPr="00201A9A" w:rsidRDefault="008C289D" w:rsidP="003E2902">
      <w:pPr>
        <w:pStyle w:val="NumPar10000000"/>
        <w:numPr>
          <w:ilvl w:val="0"/>
          <w:numId w:val="71"/>
        </w:numPr>
        <w:rPr>
          <w:noProof/>
        </w:rPr>
      </w:pPr>
      <w:r w:rsidRPr="00201A9A">
        <w:rPr>
          <w:noProof/>
        </w:rPr>
        <w:t>W przypadku gdy Komisja uzna, że państwo członkowskie nie spełnia warunku horyzontalnego dotyczącego państwa prawnego lub przestało go spełniać, powiadamia dane państwo członkowskie</w:t>
      </w:r>
      <w:r w:rsidR="00201A9A" w:rsidRPr="00201A9A">
        <w:rPr>
          <w:noProof/>
        </w:rPr>
        <w:t xml:space="preserve"> o swo</w:t>
      </w:r>
      <w:r w:rsidRPr="00201A9A">
        <w:rPr>
          <w:noProof/>
        </w:rPr>
        <w:t>jej ocenie, biorąc pod uwagę odpowiednie informacje,</w:t>
      </w:r>
      <w:r w:rsidR="00201A9A" w:rsidRPr="00201A9A">
        <w:rPr>
          <w:noProof/>
        </w:rPr>
        <w:t xml:space="preserve"> w tym</w:t>
      </w:r>
      <w:r w:rsidRPr="00201A9A">
        <w:rPr>
          <w:noProof/>
        </w:rPr>
        <w:t xml:space="preserve"> informacje przekazane przez dane państwo członkowskie</w:t>
      </w:r>
      <w:r w:rsidR="00201A9A" w:rsidRPr="00201A9A">
        <w:rPr>
          <w:noProof/>
        </w:rPr>
        <w:t xml:space="preserve"> w jeg</w:t>
      </w:r>
      <w:r w:rsidRPr="00201A9A">
        <w:rPr>
          <w:noProof/>
        </w:rPr>
        <w:t>o planie PKR,</w:t>
      </w:r>
      <w:r w:rsidR="00201A9A" w:rsidRPr="00201A9A">
        <w:rPr>
          <w:noProof/>
        </w:rPr>
        <w:t xml:space="preserve"> w odp</w:t>
      </w:r>
      <w:r w:rsidRPr="00201A9A">
        <w:rPr>
          <w:noProof/>
        </w:rPr>
        <w:t>owiedzi na uwagi Komisji oraz sprawozdania na temat praworządności</w:t>
      </w:r>
      <w:r w:rsidR="00201A9A" w:rsidRPr="00201A9A">
        <w:rPr>
          <w:noProof/>
        </w:rPr>
        <w:t xml:space="preserve"> i spr</w:t>
      </w:r>
      <w:r w:rsidRPr="00201A9A">
        <w:rPr>
          <w:noProof/>
        </w:rPr>
        <w:t>awozdania dotyczące poszczególnych krajów</w:t>
      </w:r>
      <w:r w:rsidR="00201A9A" w:rsidRPr="00201A9A">
        <w:rPr>
          <w:noProof/>
        </w:rPr>
        <w:t xml:space="preserve"> w ram</w:t>
      </w:r>
      <w:r w:rsidRPr="00201A9A">
        <w:rPr>
          <w:noProof/>
        </w:rPr>
        <w:t>ach europejskiego semestru.</w:t>
      </w:r>
    </w:p>
    <w:p w14:paraId="2117DE41" w14:textId="0DBD1F72" w:rsidR="00073574" w:rsidRPr="00201A9A" w:rsidRDefault="00EB047D" w:rsidP="003E2902">
      <w:pPr>
        <w:pStyle w:val="NumPar10000000"/>
        <w:numPr>
          <w:ilvl w:val="0"/>
          <w:numId w:val="71"/>
        </w:numPr>
        <w:rPr>
          <w:noProof/>
        </w:rPr>
      </w:pPr>
      <w:r w:rsidRPr="00201A9A">
        <w:rPr>
          <w:noProof/>
        </w:rPr>
        <w:t>Dane państwo członkowskie może przedstawić swoje uwagi</w:t>
      </w:r>
      <w:r w:rsidR="00201A9A" w:rsidRPr="00201A9A">
        <w:rPr>
          <w:noProof/>
        </w:rPr>
        <w:t xml:space="preserve"> i zap</w:t>
      </w:r>
      <w:r w:rsidRPr="00201A9A">
        <w:rPr>
          <w:noProof/>
        </w:rPr>
        <w:t>roponować ewentualne środki zaradcze,</w:t>
      </w:r>
      <w:r w:rsidR="00201A9A" w:rsidRPr="00201A9A">
        <w:rPr>
          <w:noProof/>
        </w:rPr>
        <w:t xml:space="preserve"> w tym</w:t>
      </w:r>
      <w:r w:rsidRPr="00201A9A">
        <w:rPr>
          <w:noProof/>
        </w:rPr>
        <w:t xml:space="preserve"> zmiany</w:t>
      </w:r>
      <w:r w:rsidR="00201A9A" w:rsidRPr="00201A9A">
        <w:rPr>
          <w:noProof/>
        </w:rPr>
        <w:t xml:space="preserve"> w pla</w:t>
      </w:r>
      <w:r w:rsidRPr="00201A9A">
        <w:rPr>
          <w:noProof/>
        </w:rPr>
        <w:t>nie PKR,</w:t>
      </w:r>
      <w:r w:rsidR="00201A9A" w:rsidRPr="00201A9A">
        <w:rPr>
          <w:noProof/>
        </w:rPr>
        <w:t xml:space="preserve"> w ter</w:t>
      </w:r>
      <w:r w:rsidRPr="00201A9A">
        <w:rPr>
          <w:noProof/>
        </w:rPr>
        <w:t>minie dwóch miesięcy od powiadomienia</w:t>
      </w:r>
      <w:r w:rsidR="00201A9A" w:rsidRPr="00201A9A">
        <w:rPr>
          <w:noProof/>
        </w:rPr>
        <w:t xml:space="preserve"> o oce</w:t>
      </w:r>
      <w:r w:rsidRPr="00201A9A">
        <w:rPr>
          <w:noProof/>
        </w:rPr>
        <w:t>nie zgodnie</w:t>
      </w:r>
      <w:r w:rsidR="00201A9A" w:rsidRPr="00201A9A">
        <w:rPr>
          <w:noProof/>
        </w:rPr>
        <w:t xml:space="preserve"> z ust</w:t>
      </w:r>
      <w:r w:rsidRPr="00201A9A">
        <w:rPr>
          <w:noProof/>
        </w:rPr>
        <w:t>.</w:t>
      </w:r>
      <w:r w:rsidR="00201A9A" w:rsidRPr="00201A9A">
        <w:rPr>
          <w:noProof/>
        </w:rPr>
        <w:t> </w:t>
      </w:r>
      <w:r w:rsidRPr="00201A9A">
        <w:rPr>
          <w:noProof/>
        </w:rPr>
        <w:t>3.</w:t>
      </w:r>
    </w:p>
    <w:p w14:paraId="2BB62FAB" w14:textId="097368C0" w:rsidR="005900AA" w:rsidRPr="00201A9A" w:rsidRDefault="005900AA" w:rsidP="003E2902">
      <w:pPr>
        <w:pStyle w:val="NumPar10000000"/>
        <w:numPr>
          <w:ilvl w:val="0"/>
          <w:numId w:val="71"/>
        </w:numPr>
        <w:rPr>
          <w:noProof/>
        </w:rPr>
      </w:pPr>
      <w:r w:rsidRPr="00201A9A">
        <w:rPr>
          <w:noProof/>
        </w:rPr>
        <w:t>W przypadku gdy Komisja stwierdzi, że warunek horyzontalny dotyczący państwa prawnego nie jest spełniony,</w:t>
      </w:r>
      <w:r w:rsidR="00201A9A" w:rsidRPr="00201A9A">
        <w:rPr>
          <w:noProof/>
        </w:rPr>
        <w:t xml:space="preserve"> w ter</w:t>
      </w:r>
      <w:r w:rsidRPr="00201A9A">
        <w:rPr>
          <w:noProof/>
        </w:rPr>
        <w:t>minie dwóch miesięcy od otrzymania uwag państwa członkowskiego,</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4, przedstawia Radzie wniosek dotyczący decyzji wykonawczej stwierdzającej niespełnienie warunków horyzontalnych dotyczących państwa prawnego</w:t>
      </w:r>
      <w:r w:rsidR="00201A9A" w:rsidRPr="00201A9A">
        <w:rPr>
          <w:noProof/>
        </w:rPr>
        <w:t xml:space="preserve"> i okr</w:t>
      </w:r>
      <w:r w:rsidRPr="00201A9A">
        <w:rPr>
          <w:noProof/>
        </w:rPr>
        <w:t>eślającej konkretne środki przewidziane</w:t>
      </w:r>
      <w:r w:rsidR="00201A9A" w:rsidRPr="00201A9A">
        <w:rPr>
          <w:noProof/>
        </w:rPr>
        <w:t xml:space="preserve"> w pla</w:t>
      </w:r>
      <w:r w:rsidRPr="00201A9A">
        <w:rPr>
          <w:noProof/>
        </w:rPr>
        <w:t>nie PKR, na które ma wpływ niespełnienie tych warunków.</w:t>
      </w:r>
    </w:p>
    <w:p w14:paraId="074F749D" w14:textId="77777777" w:rsidR="00D816FC" w:rsidRPr="00201A9A" w:rsidRDefault="00BC7E73" w:rsidP="00D816FC">
      <w:pPr>
        <w:pStyle w:val="Text1"/>
        <w:rPr>
          <w:noProof/>
        </w:rPr>
      </w:pPr>
      <w:r w:rsidRPr="00201A9A">
        <w:rPr>
          <w:noProof/>
        </w:rPr>
        <w:t>W tym celu uwzględnia się następujące aspekty niespełnienia warunku horyzontalnego dotyczącego państwa prawnego:</w:t>
      </w:r>
    </w:p>
    <w:p w14:paraId="0E395513" w14:textId="7B3D2EDF" w:rsidR="00504BDB" w:rsidRPr="00201A9A" w:rsidRDefault="00201A9A" w:rsidP="00201A9A">
      <w:pPr>
        <w:pStyle w:val="Point1"/>
        <w:rPr>
          <w:noProof/>
        </w:rPr>
      </w:pPr>
      <w:r w:rsidRPr="00201A9A">
        <w:rPr>
          <w:noProof/>
        </w:rPr>
        <w:t>a)</w:t>
      </w:r>
      <w:r w:rsidRPr="00201A9A">
        <w:rPr>
          <w:noProof/>
        </w:rPr>
        <w:tab/>
      </w:r>
      <w:r w:rsidR="00504BDB" w:rsidRPr="00201A9A">
        <w:rPr>
          <w:noProof/>
        </w:rPr>
        <w:t>rzeczywisty lub potencjalny wpływ na należyte zarządzanie finansami</w:t>
      </w:r>
      <w:r w:rsidRPr="00201A9A">
        <w:rPr>
          <w:noProof/>
        </w:rPr>
        <w:t xml:space="preserve"> w ram</w:t>
      </w:r>
      <w:r w:rsidR="00504BDB" w:rsidRPr="00201A9A">
        <w:rPr>
          <w:noProof/>
        </w:rPr>
        <w:t>ach budżetu Unii lub na interesy finansowe Unii;</w:t>
      </w:r>
    </w:p>
    <w:p w14:paraId="4881698E" w14:textId="675AAC79" w:rsidR="001C07AC" w:rsidRPr="00201A9A" w:rsidRDefault="00201A9A" w:rsidP="00201A9A">
      <w:pPr>
        <w:pStyle w:val="Point1"/>
        <w:rPr>
          <w:noProof/>
        </w:rPr>
      </w:pPr>
      <w:r w:rsidRPr="00201A9A">
        <w:rPr>
          <w:noProof/>
        </w:rPr>
        <w:t>b)</w:t>
      </w:r>
      <w:r w:rsidRPr="00201A9A">
        <w:rPr>
          <w:noProof/>
        </w:rPr>
        <w:tab/>
      </w:r>
      <w:r w:rsidR="001C07AC" w:rsidRPr="00201A9A">
        <w:rPr>
          <w:noProof/>
        </w:rPr>
        <w:t>charakter, czas trwania, wagę</w:t>
      </w:r>
      <w:r w:rsidRPr="00201A9A">
        <w:rPr>
          <w:noProof/>
        </w:rPr>
        <w:t xml:space="preserve"> i zak</w:t>
      </w:r>
      <w:r w:rsidR="001C07AC" w:rsidRPr="00201A9A">
        <w:rPr>
          <w:noProof/>
        </w:rPr>
        <w:t xml:space="preserve">res niezgodności. </w:t>
      </w:r>
    </w:p>
    <w:p w14:paraId="27BB5A82" w14:textId="40CB4B2E" w:rsidR="00662477" w:rsidRPr="00201A9A" w:rsidRDefault="00662477" w:rsidP="00662477">
      <w:pPr>
        <w:pStyle w:val="Text1"/>
        <w:rPr>
          <w:noProof/>
        </w:rPr>
      </w:pPr>
      <w:r w:rsidRPr="00201A9A">
        <w:rPr>
          <w:rStyle w:val="normaltextrun"/>
          <w:noProof/>
        </w:rPr>
        <w:t>Rada przyjmuje nową decyzję wykonawczą</w:t>
      </w:r>
      <w:r w:rsidR="00201A9A" w:rsidRPr="00201A9A">
        <w:rPr>
          <w:rStyle w:val="normaltextrun"/>
          <w:noProof/>
        </w:rPr>
        <w:t xml:space="preserve"> w ter</w:t>
      </w:r>
      <w:r w:rsidRPr="00201A9A">
        <w:rPr>
          <w:rStyle w:val="normaltextrun"/>
          <w:noProof/>
        </w:rPr>
        <w:t>minie czterech tygodni od przyjęcia wniosku Komisji.</w:t>
      </w:r>
    </w:p>
    <w:p w14:paraId="598BF29C" w14:textId="2BA80EBC" w:rsidR="00EB047D" w:rsidRPr="00201A9A" w:rsidRDefault="00EB047D" w:rsidP="003E2902">
      <w:pPr>
        <w:pStyle w:val="NumPar10000000"/>
        <w:numPr>
          <w:ilvl w:val="0"/>
          <w:numId w:val="71"/>
        </w:numPr>
        <w:rPr>
          <w:noProof/>
        </w:rPr>
      </w:pPr>
      <w:r w:rsidRPr="00201A9A">
        <w:rPr>
          <w:noProof/>
        </w:rPr>
        <w:t>Państwo członkowskie może składać wnioski</w:t>
      </w:r>
      <w:r w:rsidR="00201A9A" w:rsidRPr="00201A9A">
        <w:rPr>
          <w:noProof/>
        </w:rPr>
        <w:t xml:space="preserve"> o pła</w:t>
      </w:r>
      <w:r w:rsidRPr="00201A9A">
        <w:rPr>
          <w:noProof/>
        </w:rPr>
        <w:t>tność</w:t>
      </w:r>
      <w:r w:rsidR="00201A9A" w:rsidRPr="00201A9A">
        <w:rPr>
          <w:noProof/>
        </w:rPr>
        <w:t xml:space="preserve"> w odn</w:t>
      </w:r>
      <w:r w:rsidRPr="00201A9A">
        <w:rPr>
          <w:noProof/>
        </w:rPr>
        <w:t>iesieniu do konkretnych środków określonych</w:t>
      </w:r>
      <w:r w:rsidR="00201A9A" w:rsidRPr="00201A9A">
        <w:rPr>
          <w:noProof/>
        </w:rPr>
        <w:t xml:space="preserve"> w dec</w:t>
      </w:r>
      <w:r w:rsidRPr="00201A9A">
        <w:rPr>
          <w:noProof/>
        </w:rPr>
        <w:t>yzji,</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4, ale Komisja nie dokonuje odpowiednich płatności, dopóki nie zostanie spełniony warunek horyzontalny dotyczący państwa prawnego.</w:t>
      </w:r>
    </w:p>
    <w:p w14:paraId="68E72C27" w14:textId="71699AA6" w:rsidR="00280720" w:rsidRPr="00201A9A" w:rsidRDefault="00EB047D" w:rsidP="003E2902">
      <w:pPr>
        <w:pStyle w:val="NumPar10000000"/>
        <w:numPr>
          <w:ilvl w:val="0"/>
          <w:numId w:val="71"/>
        </w:numPr>
        <w:rPr>
          <w:noProof/>
        </w:rPr>
      </w:pPr>
      <w:r w:rsidRPr="00201A9A">
        <w:rPr>
          <w:noProof/>
        </w:rPr>
        <w:t>Państwo członkowskie informuje Komisję, gdy tylko uzna, że naruszenie warunku horyzontalnego dotyczącego państwa prawnego zostało usunięte. Komisja ocenia te informacje</w:t>
      </w:r>
      <w:r w:rsidR="00201A9A" w:rsidRPr="00201A9A">
        <w:rPr>
          <w:noProof/>
        </w:rPr>
        <w:t xml:space="preserve"> w ter</w:t>
      </w:r>
      <w:r w:rsidRPr="00201A9A">
        <w:rPr>
          <w:noProof/>
        </w:rPr>
        <w:t>minie dwóch miesięcy od ich otrzymania. Jeżeli Komisja uzna, że naruszenie zostało</w:t>
      </w:r>
      <w:r w:rsidR="00201A9A" w:rsidRPr="00201A9A">
        <w:rPr>
          <w:noProof/>
        </w:rPr>
        <w:t xml:space="preserve"> w peł</w:t>
      </w:r>
      <w:r w:rsidRPr="00201A9A">
        <w:rPr>
          <w:noProof/>
        </w:rPr>
        <w:t>ni usunięte, proponuje Radzie uchylenie decyzji,</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4. Jeżeli Komisja uzna, że naruszenie zostało częściowo usunięte, proponuje Radzie odpowiednią zmianę decyzji,</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4. Rada przyjmuje decyzję wykonawczą</w:t>
      </w:r>
      <w:r w:rsidR="00201A9A" w:rsidRPr="00201A9A">
        <w:rPr>
          <w:noProof/>
        </w:rPr>
        <w:t xml:space="preserve"> w ter</w:t>
      </w:r>
      <w:r w:rsidRPr="00201A9A">
        <w:rPr>
          <w:noProof/>
        </w:rPr>
        <w:t>minie czterech tygodni od przyjęcia wniosku Komisji.</w:t>
      </w:r>
    </w:p>
    <w:p w14:paraId="0795BA13" w14:textId="6A0D5EF1" w:rsidR="007B50DC" w:rsidRPr="00201A9A" w:rsidRDefault="007B50DC" w:rsidP="003E2902">
      <w:pPr>
        <w:pStyle w:val="NumPar10000000"/>
        <w:numPr>
          <w:ilvl w:val="0"/>
          <w:numId w:val="71"/>
        </w:numPr>
        <w:rPr>
          <w:noProof/>
        </w:rPr>
      </w:pPr>
      <w:r w:rsidRPr="00201A9A">
        <w:rPr>
          <w:noProof/>
        </w:rPr>
        <w:t>Komisja proporcjonalnie zmniejsza unijny wkład finansowy danego państwa członkowskiego</w:t>
      </w:r>
      <w:r w:rsidR="00201A9A" w:rsidRPr="00201A9A">
        <w:rPr>
          <w:noProof/>
        </w:rPr>
        <w:t xml:space="preserve"> w odn</w:t>
      </w:r>
      <w:r w:rsidRPr="00201A9A">
        <w:rPr>
          <w:noProof/>
        </w:rPr>
        <w:t>iesieniu do konkretnych środków przewidzianych</w:t>
      </w:r>
      <w:r w:rsidR="00201A9A" w:rsidRPr="00201A9A">
        <w:rPr>
          <w:noProof/>
        </w:rPr>
        <w:t xml:space="preserve"> w dan</w:t>
      </w:r>
      <w:r w:rsidRPr="00201A9A">
        <w:rPr>
          <w:noProof/>
        </w:rPr>
        <w:t>ym planie lub,</w:t>
      </w:r>
      <w:r w:rsidR="00201A9A" w:rsidRPr="00201A9A">
        <w:rPr>
          <w:noProof/>
        </w:rPr>
        <w:t xml:space="preserve"> w odn</w:t>
      </w:r>
      <w:r w:rsidRPr="00201A9A">
        <w:rPr>
          <w:noProof/>
        </w:rPr>
        <w:t>iesieniu do wsparcia</w:t>
      </w:r>
      <w:r w:rsidR="00201A9A" w:rsidRPr="00201A9A">
        <w:rPr>
          <w:noProof/>
        </w:rPr>
        <w:t xml:space="preserve"> w for</w:t>
      </w:r>
      <w:r w:rsidRPr="00201A9A">
        <w:rPr>
          <w:noProof/>
        </w:rPr>
        <w:t>mie pożyczki, wdraża wszelkie środki dostępne na mocy umowy pożyczki,</w:t>
      </w:r>
      <w:r w:rsidR="00201A9A" w:rsidRPr="00201A9A">
        <w:rPr>
          <w:noProof/>
        </w:rPr>
        <w:t xml:space="preserve"> w prz</w:t>
      </w:r>
      <w:r w:rsidRPr="00201A9A">
        <w:rPr>
          <w:noProof/>
        </w:rPr>
        <w:t>ypadku gdy decyzja,</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4, nie została uchylona [w ciągu [jednego] roku od jej przyjęcia].</w:t>
      </w:r>
    </w:p>
    <w:p w14:paraId="16101F94" w14:textId="35E21EF4" w:rsidR="00C448EB" w:rsidRPr="00201A9A" w:rsidRDefault="00934D2D" w:rsidP="003E2902">
      <w:pPr>
        <w:pStyle w:val="NumPar10000000"/>
        <w:numPr>
          <w:ilvl w:val="0"/>
          <w:numId w:val="71"/>
        </w:numPr>
        <w:rPr>
          <w:noProof/>
        </w:rPr>
      </w:pPr>
      <w:r w:rsidRPr="00201A9A">
        <w:rPr>
          <w:noProof/>
        </w:rPr>
        <w:t>Komisja niezwłocznie informuje Parlament Europejski</w:t>
      </w:r>
      <w:r w:rsidR="00201A9A" w:rsidRPr="00201A9A">
        <w:rPr>
          <w:noProof/>
        </w:rPr>
        <w:t xml:space="preserve"> o każ</w:t>
      </w:r>
      <w:r w:rsidRPr="00201A9A">
        <w:rPr>
          <w:noProof/>
        </w:rPr>
        <w:t>dej decyzji, jaka została zaproponowana, przyjęta, zmieniona lub uchylona na podstawie ust.</w:t>
      </w:r>
      <w:r w:rsidR="00201A9A" w:rsidRPr="00201A9A">
        <w:rPr>
          <w:noProof/>
        </w:rPr>
        <w:t> </w:t>
      </w:r>
      <w:r w:rsidRPr="00201A9A">
        <w:rPr>
          <w:noProof/>
        </w:rPr>
        <w:t>4</w:t>
      </w:r>
      <w:r w:rsidR="00201A9A" w:rsidRPr="00201A9A">
        <w:rPr>
          <w:noProof/>
        </w:rPr>
        <w:t xml:space="preserve"> i 6</w:t>
      </w:r>
      <w:r w:rsidRPr="00201A9A">
        <w:rPr>
          <w:noProof/>
        </w:rPr>
        <w:t>.</w:t>
      </w:r>
    </w:p>
    <w:p w14:paraId="03983ED8" w14:textId="77777777" w:rsidR="00EB047D" w:rsidRPr="00201A9A" w:rsidRDefault="00EB047D" w:rsidP="00EB047D">
      <w:pPr>
        <w:pStyle w:val="SectionTitle"/>
        <w:rPr>
          <w:noProof/>
        </w:rPr>
      </w:pPr>
      <w:r w:rsidRPr="00201A9A">
        <w:rPr>
          <w:noProof/>
        </w:rPr>
        <w:t xml:space="preserve">TYTUŁ II </w:t>
      </w:r>
      <w:r w:rsidRPr="00201A9A">
        <w:rPr>
          <w:noProof/>
        </w:rPr>
        <w:br/>
        <w:t>RAMY FINANSOWE</w:t>
      </w:r>
    </w:p>
    <w:p w14:paraId="02AFA24A" w14:textId="77777777" w:rsidR="00D57DAF" w:rsidRPr="00201A9A" w:rsidRDefault="00D57DAF" w:rsidP="00D57DAF">
      <w:pPr>
        <w:pStyle w:val="ChapterTitle0"/>
        <w:rPr>
          <w:noProof/>
        </w:rPr>
      </w:pPr>
      <w:r w:rsidRPr="00201A9A">
        <w:rPr>
          <w:noProof/>
        </w:rPr>
        <w:t xml:space="preserve">ROZDZIAŁ 1 </w:t>
      </w:r>
      <w:r w:rsidRPr="00201A9A">
        <w:rPr>
          <w:noProof/>
        </w:rPr>
        <w:br/>
        <w:t>Przepisy wspólne</w:t>
      </w:r>
    </w:p>
    <w:p w14:paraId="26F19EBE" w14:textId="77777777" w:rsidR="009418A6" w:rsidRPr="00201A9A" w:rsidRDefault="009418A6" w:rsidP="009418A6">
      <w:pPr>
        <w:pStyle w:val="Titrearticle"/>
        <w:rPr>
          <w:noProof/>
        </w:rPr>
      </w:pPr>
      <w:bookmarkStart w:id="4" w:name="_Hlk203428890"/>
      <w:bookmarkStart w:id="5" w:name="_Hlk203240508"/>
      <w:r w:rsidRPr="00201A9A">
        <w:rPr>
          <w:noProof/>
        </w:rPr>
        <w:t xml:space="preserve">Artykuł 10 </w:t>
      </w:r>
      <w:r w:rsidRPr="00201A9A">
        <w:rPr>
          <w:noProof/>
        </w:rPr>
        <w:br/>
      </w:r>
      <w:r w:rsidRPr="00201A9A">
        <w:rPr>
          <w:b/>
          <w:noProof/>
        </w:rPr>
        <w:t>Budżet</w:t>
      </w:r>
    </w:p>
    <w:p w14:paraId="1E6398CC" w14:textId="09FC2F0C" w:rsidR="004029F5" w:rsidRPr="00201A9A" w:rsidRDefault="00047A9F" w:rsidP="003E2902">
      <w:pPr>
        <w:pStyle w:val="NumPar10000000"/>
        <w:numPr>
          <w:ilvl w:val="0"/>
          <w:numId w:val="76"/>
        </w:numPr>
        <w:rPr>
          <w:noProof/>
        </w:rPr>
      </w:pPr>
      <w:r w:rsidRPr="00201A9A">
        <w:rPr>
          <w:noProof/>
        </w:rPr>
        <w:t>Pula środków finansowych na wdrożenie Funduszu na okres od dnia 1 stycznia 2028</w:t>
      </w:r>
      <w:r w:rsidR="00201A9A" w:rsidRPr="00201A9A">
        <w:rPr>
          <w:noProof/>
        </w:rPr>
        <w:t> </w:t>
      </w:r>
      <w:r w:rsidRPr="00201A9A">
        <w:rPr>
          <w:noProof/>
        </w:rPr>
        <w:t>r. do grudnia 2034</w:t>
      </w:r>
      <w:r w:rsidR="00201A9A" w:rsidRPr="00201A9A">
        <w:rPr>
          <w:noProof/>
        </w:rPr>
        <w:t> </w:t>
      </w:r>
      <w:r w:rsidRPr="00201A9A">
        <w:rPr>
          <w:noProof/>
        </w:rPr>
        <w:t>r. wynosi 865 076 000 000 EUR</w:t>
      </w:r>
      <w:r w:rsidR="00201A9A" w:rsidRPr="00201A9A">
        <w:rPr>
          <w:noProof/>
        </w:rPr>
        <w:t xml:space="preserve"> w cen</w:t>
      </w:r>
      <w:r w:rsidRPr="00201A9A">
        <w:rPr>
          <w:noProof/>
        </w:rPr>
        <w:t>ach bieżących.</w:t>
      </w:r>
    </w:p>
    <w:p w14:paraId="6DE9964F" w14:textId="3327130D" w:rsidR="00047A9F" w:rsidRPr="00201A9A" w:rsidRDefault="00047A9F" w:rsidP="003E2902">
      <w:pPr>
        <w:pStyle w:val="NumPar10000000"/>
        <w:numPr>
          <w:ilvl w:val="0"/>
          <w:numId w:val="38"/>
        </w:numPr>
        <w:rPr>
          <w:noProof/>
        </w:rPr>
      </w:pPr>
      <w:bookmarkStart w:id="6" w:name="_Hlk203234421"/>
      <w:r w:rsidRPr="00201A9A">
        <w:rPr>
          <w:noProof/>
        </w:rPr>
        <w:t>Pulę środków finansowych przydziela się</w:t>
      </w:r>
      <w:r w:rsidR="00201A9A" w:rsidRPr="00201A9A">
        <w:rPr>
          <w:noProof/>
        </w:rPr>
        <w:t xml:space="preserve"> w nas</w:t>
      </w:r>
      <w:r w:rsidRPr="00201A9A">
        <w:rPr>
          <w:noProof/>
        </w:rPr>
        <w:t>tępujący sposób:</w:t>
      </w:r>
    </w:p>
    <w:p w14:paraId="35384A7D" w14:textId="0E2B99B7" w:rsidR="004E214E" w:rsidRPr="00201A9A" w:rsidRDefault="00201A9A" w:rsidP="00201A9A">
      <w:pPr>
        <w:pStyle w:val="Point1"/>
        <w:rPr>
          <w:noProof/>
        </w:rPr>
      </w:pPr>
      <w:r w:rsidRPr="00201A9A">
        <w:rPr>
          <w:noProof/>
        </w:rPr>
        <w:t>a)</w:t>
      </w:r>
      <w:r w:rsidRPr="00201A9A">
        <w:rPr>
          <w:noProof/>
        </w:rPr>
        <w:tab/>
      </w:r>
      <w:r w:rsidR="00047A9F" w:rsidRPr="00201A9A">
        <w:rPr>
          <w:noProof/>
        </w:rPr>
        <w:t>782 879 000 000 EUR przydziela się na plany PKR,</w:t>
      </w:r>
      <w:r w:rsidRPr="00201A9A">
        <w:rPr>
          <w:noProof/>
        </w:rPr>
        <w:t xml:space="preserve"> o któ</w:t>
      </w:r>
      <w:r w:rsidR="00047A9F" w:rsidRPr="00201A9A">
        <w:rPr>
          <w:noProof/>
        </w:rPr>
        <w:t>rych mowa</w:t>
      </w:r>
      <w:r w:rsidRPr="00201A9A">
        <w:rPr>
          <w:noProof/>
        </w:rPr>
        <w:t xml:space="preserve"> w tyt</w:t>
      </w:r>
      <w:r w:rsidR="00047A9F" w:rsidRPr="00201A9A">
        <w:rPr>
          <w:noProof/>
        </w:rPr>
        <w:t>ule III, zgodnie</w:t>
      </w:r>
      <w:r w:rsidRPr="00201A9A">
        <w:rPr>
          <w:noProof/>
        </w:rPr>
        <w:t xml:space="preserve"> z zał</w:t>
      </w:r>
      <w:r w:rsidR="00047A9F" w:rsidRPr="00201A9A">
        <w:rPr>
          <w:noProof/>
        </w:rPr>
        <w:t>ącznikiem I [Klucz przydziału],</w:t>
      </w:r>
      <w:r w:rsidRPr="00201A9A">
        <w:rPr>
          <w:noProof/>
        </w:rPr>
        <w:t xml:space="preserve"> z cze</w:t>
      </w:r>
      <w:r w:rsidR="00047A9F" w:rsidRPr="00201A9A">
        <w:rPr>
          <w:noProof/>
        </w:rPr>
        <w:t>go:</w:t>
      </w:r>
    </w:p>
    <w:p w14:paraId="4B8E6591" w14:textId="2D17985E" w:rsidR="006E6AE2" w:rsidRPr="00201A9A" w:rsidRDefault="006E6AE2" w:rsidP="003E2902">
      <w:pPr>
        <w:pStyle w:val="Point2n"/>
        <w:numPr>
          <w:ilvl w:val="0"/>
          <w:numId w:val="118"/>
        </w:numPr>
        <w:jc w:val="both"/>
        <w:rPr>
          <w:noProof/>
        </w:rPr>
      </w:pPr>
      <w:r w:rsidRPr="00201A9A">
        <w:rPr>
          <w:noProof/>
        </w:rPr>
        <w:t>co najmniej 217 798 000 000 EUR dla regionów słabiej rozwiniętych, ustanawiając kwoty minimalne na państwo członkowskie według metodyki określonej</w:t>
      </w:r>
      <w:r w:rsidR="00201A9A" w:rsidRPr="00201A9A">
        <w:rPr>
          <w:noProof/>
        </w:rPr>
        <w:t xml:space="preserve"> w zał</w:t>
      </w:r>
      <w:r w:rsidRPr="00201A9A">
        <w:rPr>
          <w:noProof/>
        </w:rPr>
        <w:t>ączniku II;</w:t>
      </w:r>
    </w:p>
    <w:p w14:paraId="30DB4272" w14:textId="50CBF131" w:rsidR="00BF4B7A" w:rsidRPr="00201A9A" w:rsidRDefault="00C60744" w:rsidP="003E2902">
      <w:pPr>
        <w:pStyle w:val="Point2n"/>
        <w:numPr>
          <w:ilvl w:val="0"/>
          <w:numId w:val="118"/>
        </w:numPr>
        <w:jc w:val="both"/>
        <w:rPr>
          <w:noProof/>
        </w:rPr>
      </w:pPr>
      <w:r w:rsidRPr="00201A9A">
        <w:rPr>
          <w:noProof/>
        </w:rPr>
        <w:t>co najmniej 295 700 000 000 EUR na interwencje</w:t>
      </w:r>
      <w:r w:rsidR="00201A9A" w:rsidRPr="00201A9A">
        <w:rPr>
          <w:noProof/>
        </w:rPr>
        <w:t xml:space="preserve"> w ram</w:t>
      </w:r>
      <w:r w:rsidRPr="00201A9A">
        <w:rPr>
          <w:noProof/>
        </w:rPr>
        <w:t>ach WPR,</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35 ust.</w:t>
      </w:r>
      <w:r w:rsidR="00201A9A" w:rsidRPr="00201A9A">
        <w:rPr>
          <w:noProof/>
        </w:rPr>
        <w:t> </w:t>
      </w:r>
      <w:r w:rsidRPr="00201A9A">
        <w:rPr>
          <w:noProof/>
        </w:rPr>
        <w:t>1 [rodzaje wsparcia], ust.</w:t>
      </w:r>
      <w:r w:rsidR="00201A9A" w:rsidRPr="00201A9A">
        <w:rPr>
          <w:noProof/>
        </w:rPr>
        <w:t> </w:t>
      </w:r>
      <w:r w:rsidRPr="00201A9A">
        <w:rPr>
          <w:noProof/>
        </w:rPr>
        <w:t>1 lit.</w:t>
      </w:r>
      <w:r w:rsidR="00201A9A" w:rsidRPr="00201A9A">
        <w:rPr>
          <w:noProof/>
        </w:rPr>
        <w:t> </w:t>
      </w:r>
      <w:r w:rsidRPr="00201A9A">
        <w:rPr>
          <w:noProof/>
        </w:rPr>
        <w:t>a)–k) i r) oraz ust.</w:t>
      </w:r>
      <w:r w:rsidR="00201A9A" w:rsidRPr="00201A9A">
        <w:rPr>
          <w:noProof/>
        </w:rPr>
        <w:t> </w:t>
      </w:r>
      <w:r w:rsidRPr="00201A9A">
        <w:rPr>
          <w:noProof/>
        </w:rPr>
        <w:t>10, oraz na interwencje wymienione</w:t>
      </w:r>
      <w:r w:rsidR="00201A9A" w:rsidRPr="00201A9A">
        <w:rPr>
          <w:noProof/>
        </w:rPr>
        <w:t xml:space="preserve"> w art</w:t>
      </w:r>
      <w:r w:rsidRPr="00201A9A">
        <w:rPr>
          <w:noProof/>
        </w:rPr>
        <w:t>.</w:t>
      </w:r>
      <w:r w:rsidR="00201A9A" w:rsidRPr="00201A9A">
        <w:rPr>
          <w:noProof/>
        </w:rPr>
        <w:t> </w:t>
      </w:r>
      <w:r w:rsidRPr="00201A9A">
        <w:rPr>
          <w:noProof/>
        </w:rPr>
        <w:t>35 ust.</w:t>
      </w:r>
      <w:r w:rsidR="00201A9A" w:rsidRPr="00201A9A">
        <w:rPr>
          <w:noProof/>
        </w:rPr>
        <w:t> </w:t>
      </w:r>
      <w:r w:rsidRPr="00201A9A">
        <w:rPr>
          <w:noProof/>
        </w:rPr>
        <w:t>11;</w:t>
      </w:r>
    </w:p>
    <w:p w14:paraId="6690CFED" w14:textId="38588F32" w:rsidR="00047A9F" w:rsidRPr="00201A9A" w:rsidRDefault="00C60744" w:rsidP="4C2D5AAA">
      <w:pPr>
        <w:pStyle w:val="Point2n"/>
        <w:jc w:val="both"/>
        <w:rPr>
          <w:noProof/>
        </w:rPr>
      </w:pPr>
      <w:r w:rsidRPr="00201A9A">
        <w:rPr>
          <w:noProof/>
        </w:rPr>
        <w:t>co najmniej 34 215 510 000 EUR, jak następuje: 11 975 428 500 EUR, jak określono</w:t>
      </w:r>
      <w:r w:rsidR="00201A9A" w:rsidRPr="00201A9A">
        <w:rPr>
          <w:noProof/>
        </w:rPr>
        <w:t xml:space="preserve"> w art</w:t>
      </w:r>
      <w:r w:rsidRPr="00201A9A">
        <w:rPr>
          <w:noProof/>
        </w:rPr>
        <w:t>.</w:t>
      </w:r>
      <w:r w:rsidR="00201A9A" w:rsidRPr="00201A9A">
        <w:rPr>
          <w:noProof/>
        </w:rPr>
        <w:t> </w:t>
      </w:r>
      <w:r w:rsidRPr="00201A9A">
        <w:rPr>
          <w:noProof/>
        </w:rPr>
        <w:t>4 rozporządzenia (UE) 202X/XXX [ustanawiającego unijne wsparcie na rzecz azylu, migracji</w:t>
      </w:r>
      <w:r w:rsidR="00201A9A" w:rsidRPr="00201A9A">
        <w:rPr>
          <w:noProof/>
        </w:rPr>
        <w:t xml:space="preserve"> i int</w:t>
      </w:r>
      <w:r w:rsidRPr="00201A9A">
        <w:rPr>
          <w:noProof/>
        </w:rPr>
        <w:t>egracji na okres 2028–2034], 15 396 750 000 EUR, jak określono</w:t>
      </w:r>
      <w:r w:rsidR="00201A9A" w:rsidRPr="00201A9A">
        <w:rPr>
          <w:noProof/>
        </w:rPr>
        <w:t xml:space="preserve"> w art</w:t>
      </w:r>
      <w:r w:rsidRPr="00201A9A">
        <w:rPr>
          <w:noProof/>
        </w:rPr>
        <w:t>.</w:t>
      </w:r>
      <w:r w:rsidR="00201A9A" w:rsidRPr="00201A9A">
        <w:rPr>
          <w:noProof/>
        </w:rPr>
        <w:t> </w:t>
      </w:r>
      <w:r w:rsidRPr="00201A9A">
        <w:rPr>
          <w:noProof/>
        </w:rPr>
        <w:t>4 rozporządzenia (UE) 202X/XXX [ustanawiającego unijne wsparcie na rzecz strefy Schengen, europejskiego zintegrowanego zarządzania granicami</w:t>
      </w:r>
      <w:r w:rsidR="00201A9A" w:rsidRPr="00201A9A">
        <w:rPr>
          <w:noProof/>
        </w:rPr>
        <w:t xml:space="preserve"> i wsp</w:t>
      </w:r>
      <w:r w:rsidRPr="00201A9A">
        <w:rPr>
          <w:noProof/>
        </w:rPr>
        <w:t>ólnej polityki wizowej na okres 2028–2034] oraz 6 843 331 500 EUR, jak określono</w:t>
      </w:r>
      <w:r w:rsidR="00201A9A" w:rsidRPr="00201A9A">
        <w:rPr>
          <w:noProof/>
        </w:rPr>
        <w:t xml:space="preserve"> w art</w:t>
      </w:r>
      <w:r w:rsidRPr="00201A9A">
        <w:rPr>
          <w:noProof/>
        </w:rPr>
        <w:t>.</w:t>
      </w:r>
      <w:r w:rsidR="00201A9A" w:rsidRPr="00201A9A">
        <w:rPr>
          <w:noProof/>
        </w:rPr>
        <w:t> </w:t>
      </w:r>
      <w:r w:rsidRPr="00201A9A">
        <w:rPr>
          <w:noProof/>
        </w:rPr>
        <w:t>4 rozporządzenia (UE) 202X/XXX [ustanawiającego unijne wsparcie na rzecz bezpieczeństwa wewnętrznego na okres 2028–2034] na cele określone</w:t>
      </w:r>
      <w:r w:rsidR="00201A9A" w:rsidRPr="00201A9A">
        <w:rPr>
          <w:noProof/>
        </w:rPr>
        <w:t xml:space="preserve"> w art</w:t>
      </w:r>
      <w:r w:rsidRPr="00201A9A">
        <w:rPr>
          <w:noProof/>
        </w:rPr>
        <w:t>.</w:t>
      </w:r>
      <w:r w:rsidR="00201A9A" w:rsidRPr="00201A9A">
        <w:rPr>
          <w:noProof/>
        </w:rPr>
        <w:t> </w:t>
      </w:r>
      <w:r w:rsidRPr="00201A9A">
        <w:rPr>
          <w:noProof/>
        </w:rPr>
        <w:t>3 tych rozporządzeń.</w:t>
      </w:r>
    </w:p>
    <w:p w14:paraId="5C859FFF" w14:textId="05D197BE" w:rsidR="00047A9F" w:rsidRPr="00201A9A" w:rsidRDefault="00201A9A" w:rsidP="00201A9A">
      <w:pPr>
        <w:pStyle w:val="Point1"/>
        <w:rPr>
          <w:noProof/>
        </w:rPr>
      </w:pPr>
      <w:r w:rsidRPr="00201A9A">
        <w:rPr>
          <w:noProof/>
        </w:rPr>
        <w:t>b)</w:t>
      </w:r>
      <w:r w:rsidRPr="00201A9A">
        <w:rPr>
          <w:noProof/>
        </w:rPr>
        <w:tab/>
      </w:r>
      <w:r w:rsidR="00047A9F" w:rsidRPr="00201A9A">
        <w:rPr>
          <w:noProof/>
        </w:rPr>
        <w:t>71 933 000 000 EUR przydziela się na instrument,</w:t>
      </w:r>
      <w:r w:rsidRPr="00201A9A">
        <w:rPr>
          <w:noProof/>
        </w:rPr>
        <w:t xml:space="preserve"> o któ</w:t>
      </w:r>
      <w:r w:rsidR="00047A9F" w:rsidRPr="00201A9A">
        <w:rPr>
          <w:noProof/>
        </w:rPr>
        <w:t>rym mowa</w:t>
      </w:r>
      <w:r w:rsidRPr="00201A9A">
        <w:rPr>
          <w:noProof/>
        </w:rPr>
        <w:t xml:space="preserve"> w tyt</w:t>
      </w:r>
      <w:r w:rsidR="00047A9F" w:rsidRPr="00201A9A">
        <w:rPr>
          <w:noProof/>
        </w:rPr>
        <w:t xml:space="preserve">ule IV; </w:t>
      </w:r>
    </w:p>
    <w:p w14:paraId="0D57DEDE" w14:textId="7AD61E64" w:rsidR="00047A9F" w:rsidRPr="00201A9A" w:rsidRDefault="00201A9A" w:rsidP="00201A9A">
      <w:pPr>
        <w:pStyle w:val="Point1"/>
        <w:rPr>
          <w:rFonts w:eastAsiaTheme="minorEastAsia"/>
          <w:noProof/>
        </w:rPr>
      </w:pPr>
      <w:r w:rsidRPr="00201A9A">
        <w:rPr>
          <w:noProof/>
        </w:rPr>
        <w:t>c)</w:t>
      </w:r>
      <w:r w:rsidRPr="00201A9A">
        <w:rPr>
          <w:noProof/>
        </w:rPr>
        <w:tab/>
      </w:r>
      <w:r w:rsidR="5AB2DF85" w:rsidRPr="00201A9A">
        <w:rPr>
          <w:noProof/>
        </w:rPr>
        <w:t xml:space="preserve">10 264 000 000 EUR przydziela się na </w:t>
      </w:r>
      <w:r w:rsidR="00A47BEA" w:rsidRPr="00201A9A">
        <w:rPr>
          <w:noProof/>
        </w:rPr>
        <w:t>P</w:t>
      </w:r>
      <w:r w:rsidR="5AB2DF85" w:rsidRPr="00201A9A">
        <w:rPr>
          <w:noProof/>
        </w:rPr>
        <w:t>lan Interreg,</w:t>
      </w:r>
      <w:r w:rsidRPr="00201A9A">
        <w:rPr>
          <w:noProof/>
        </w:rPr>
        <w:t xml:space="preserve"> o któ</w:t>
      </w:r>
      <w:r w:rsidR="5AB2DF85" w:rsidRPr="00201A9A">
        <w:rPr>
          <w:noProof/>
        </w:rPr>
        <w:t>rym mowa</w:t>
      </w:r>
      <w:r w:rsidRPr="00201A9A">
        <w:rPr>
          <w:noProof/>
        </w:rPr>
        <w:t xml:space="preserve"> w roz</w:t>
      </w:r>
      <w:r w:rsidR="5AB2DF85" w:rsidRPr="00201A9A">
        <w:rPr>
          <w:noProof/>
        </w:rPr>
        <w:t xml:space="preserve">dziale II rozporządzenia XX [rozwój regionalny, </w:t>
      </w:r>
      <w:r w:rsidR="00A47BEA" w:rsidRPr="00201A9A">
        <w:rPr>
          <w:noProof/>
        </w:rPr>
        <w:t>P</w:t>
      </w:r>
      <w:r w:rsidR="5AB2DF85" w:rsidRPr="00201A9A">
        <w:rPr>
          <w:noProof/>
        </w:rPr>
        <w:t>lan Interreg];</w:t>
      </w:r>
    </w:p>
    <w:p w14:paraId="7F0DAD55" w14:textId="73AD46B9" w:rsidR="00047A9F" w:rsidRPr="00201A9A" w:rsidRDefault="00201A9A" w:rsidP="00201A9A">
      <w:pPr>
        <w:pStyle w:val="Point1"/>
        <w:rPr>
          <w:noProof/>
        </w:rPr>
      </w:pPr>
      <w:r w:rsidRPr="00201A9A">
        <w:rPr>
          <w:noProof/>
        </w:rPr>
        <w:t>d)</w:t>
      </w:r>
      <w:r w:rsidRPr="00201A9A">
        <w:rPr>
          <w:noProof/>
        </w:rPr>
        <w:tab/>
      </w:r>
      <w:r w:rsidR="00047A9F" w:rsidRPr="00201A9A">
        <w:rPr>
          <w:noProof/>
        </w:rPr>
        <w:t>Nie więcej niż 0,5</w:t>
      </w:r>
      <w:r w:rsidRPr="00201A9A">
        <w:rPr>
          <w:noProof/>
        </w:rPr>
        <w:t> </w:t>
      </w:r>
      <w:r w:rsidR="00047A9F" w:rsidRPr="00201A9A">
        <w:rPr>
          <w:noProof/>
        </w:rPr>
        <w:t>% puli środków finansowych przydziela się na pomoc techniczną</w:t>
      </w:r>
      <w:r w:rsidRPr="00201A9A">
        <w:rPr>
          <w:noProof/>
        </w:rPr>
        <w:t xml:space="preserve"> z ini</w:t>
      </w:r>
      <w:r w:rsidR="00047A9F" w:rsidRPr="00201A9A">
        <w:rPr>
          <w:noProof/>
        </w:rPr>
        <w:t>cjatywy Komisji,</w:t>
      </w:r>
      <w:r w:rsidRPr="00201A9A">
        <w:rPr>
          <w:noProof/>
        </w:rPr>
        <w:t xml:space="preserve"> o któ</w:t>
      </w:r>
      <w:r w:rsidR="00047A9F" w:rsidRPr="00201A9A">
        <w:rPr>
          <w:noProof/>
        </w:rPr>
        <w:t>rej mowa art.</w:t>
      </w:r>
      <w:r w:rsidRPr="00201A9A">
        <w:rPr>
          <w:noProof/>
        </w:rPr>
        <w:t> </w:t>
      </w:r>
      <w:r w:rsidR="00047A9F" w:rsidRPr="00201A9A">
        <w:rPr>
          <w:noProof/>
        </w:rPr>
        <w:t xml:space="preserve">12 [pomoc techniczna]. </w:t>
      </w:r>
    </w:p>
    <w:bookmarkEnd w:id="4"/>
    <w:bookmarkEnd w:id="6"/>
    <w:p w14:paraId="4ABF890B" w14:textId="7F51D86B" w:rsidR="003E0062" w:rsidRPr="00201A9A" w:rsidRDefault="4CFC543C" w:rsidP="003E2902">
      <w:pPr>
        <w:pStyle w:val="NumPar10000000"/>
        <w:numPr>
          <w:ilvl w:val="0"/>
          <w:numId w:val="71"/>
        </w:numPr>
        <w:rPr>
          <w:noProof/>
        </w:rPr>
      </w:pPr>
      <w:r w:rsidRPr="00201A9A">
        <w:rPr>
          <w:noProof/>
        </w:rPr>
        <w:t>Oprócz przydziału określonego</w:t>
      </w:r>
      <w:r w:rsidR="00201A9A" w:rsidRPr="00201A9A">
        <w:rPr>
          <w:noProof/>
        </w:rPr>
        <w:t xml:space="preserve"> w aka</w:t>
      </w:r>
      <w:r w:rsidRPr="00201A9A">
        <w:rPr>
          <w:noProof/>
        </w:rPr>
        <w:t>picie drugim lit.</w:t>
      </w:r>
      <w:r w:rsidR="00201A9A" w:rsidRPr="00201A9A">
        <w:rPr>
          <w:noProof/>
        </w:rPr>
        <w:t> </w:t>
      </w:r>
      <w:r w:rsidRPr="00201A9A">
        <w:rPr>
          <w:noProof/>
        </w:rPr>
        <w:t>a) unijny wkład finansowy obejmuje 50 100 000 000 EUR</w:t>
      </w:r>
      <w:r w:rsidR="00201A9A" w:rsidRPr="00201A9A">
        <w:rPr>
          <w:noProof/>
        </w:rPr>
        <w:t xml:space="preserve"> z kwo</w:t>
      </w:r>
      <w:r w:rsidRPr="00201A9A">
        <w:rPr>
          <w:noProof/>
        </w:rPr>
        <w:t>t przeznaczonych na Społeczny Fundusz Klimatyczny określonych</w:t>
      </w:r>
      <w:r w:rsidR="00201A9A" w:rsidRPr="00201A9A">
        <w:rPr>
          <w:noProof/>
        </w:rPr>
        <w:t xml:space="preserve"> w art</w:t>
      </w:r>
      <w:r w:rsidRPr="00201A9A">
        <w:rPr>
          <w:noProof/>
        </w:rPr>
        <w:t>.</w:t>
      </w:r>
      <w:r w:rsidR="00201A9A" w:rsidRPr="00201A9A">
        <w:rPr>
          <w:noProof/>
        </w:rPr>
        <w:t> </w:t>
      </w:r>
      <w:r w:rsidRPr="00201A9A">
        <w:rPr>
          <w:noProof/>
        </w:rPr>
        <w:t>30d ust.</w:t>
      </w:r>
      <w:r w:rsidR="00201A9A" w:rsidRPr="00201A9A">
        <w:rPr>
          <w:noProof/>
        </w:rPr>
        <w:t> </w:t>
      </w:r>
      <w:r w:rsidRPr="00201A9A">
        <w:rPr>
          <w:noProof/>
        </w:rPr>
        <w:t>4 akapit czwarty lit.</w:t>
      </w:r>
      <w:r w:rsidR="00201A9A" w:rsidRPr="00201A9A">
        <w:rPr>
          <w:noProof/>
        </w:rPr>
        <w:t> </w:t>
      </w:r>
      <w:r w:rsidRPr="00201A9A">
        <w:rPr>
          <w:noProof/>
        </w:rPr>
        <w:t>c)–g) dyrektywy 2003/87/WE, które mają zostać wdrożone</w:t>
      </w:r>
      <w:r w:rsidR="00201A9A" w:rsidRPr="00201A9A">
        <w:rPr>
          <w:noProof/>
        </w:rPr>
        <w:t xml:space="preserve"> w ram</w:t>
      </w:r>
      <w:r w:rsidRPr="00201A9A">
        <w:rPr>
          <w:noProof/>
        </w:rPr>
        <w:t>ach planów, zgodnie</w:t>
      </w:r>
      <w:r w:rsidR="00201A9A" w:rsidRPr="00201A9A">
        <w:rPr>
          <w:noProof/>
        </w:rPr>
        <w:t xml:space="preserve"> z pod</w:t>
      </w:r>
      <w:r w:rsidRPr="00201A9A">
        <w:rPr>
          <w:noProof/>
        </w:rPr>
        <w:t>ziałem określonym</w:t>
      </w:r>
      <w:r w:rsidR="00201A9A" w:rsidRPr="00201A9A">
        <w:rPr>
          <w:noProof/>
        </w:rPr>
        <w:t xml:space="preserve"> w zał</w:t>
      </w:r>
      <w:r w:rsidRPr="00201A9A">
        <w:rPr>
          <w:noProof/>
        </w:rPr>
        <w:t>ączniku II do rozporządzenia (UE) 2023/955. Kwota ta stanowi zewnętrzne dochody przeznaczone na określony cel zgodnie</w:t>
      </w:r>
      <w:r w:rsidR="00201A9A" w:rsidRPr="00201A9A">
        <w:rPr>
          <w:noProof/>
        </w:rPr>
        <w:t xml:space="preserve"> z art</w:t>
      </w:r>
      <w:r w:rsidRPr="00201A9A">
        <w:rPr>
          <w:noProof/>
        </w:rPr>
        <w:t>.</w:t>
      </w:r>
      <w:r w:rsidR="00201A9A" w:rsidRPr="00201A9A">
        <w:rPr>
          <w:noProof/>
        </w:rPr>
        <w:t> </w:t>
      </w:r>
      <w:r w:rsidRPr="00201A9A">
        <w:rPr>
          <w:noProof/>
        </w:rPr>
        <w:t>21 ust.</w:t>
      </w:r>
      <w:r w:rsidR="00201A9A" w:rsidRPr="00201A9A">
        <w:rPr>
          <w:noProof/>
        </w:rPr>
        <w:t> </w:t>
      </w:r>
      <w:r w:rsidRPr="00201A9A">
        <w:rPr>
          <w:noProof/>
        </w:rPr>
        <w:t xml:space="preserve">5 rozporządzenia (UE, Euratom) 2024/2509. </w:t>
      </w:r>
    </w:p>
    <w:p w14:paraId="30F94BE1" w14:textId="4371DEA0" w:rsidR="00047A9F" w:rsidRPr="00201A9A" w:rsidRDefault="00047A9F" w:rsidP="003E2902">
      <w:pPr>
        <w:pStyle w:val="NumPar10000000"/>
        <w:numPr>
          <w:ilvl w:val="0"/>
          <w:numId w:val="71"/>
        </w:numPr>
        <w:rPr>
          <w:noProof/>
        </w:rPr>
      </w:pPr>
      <w:r w:rsidRPr="00201A9A">
        <w:rPr>
          <w:noProof/>
        </w:rPr>
        <w:t>Państwom członkowskim udostępnia się kwotę 150 000 000 000 EUR wsparcia</w:t>
      </w:r>
      <w:r w:rsidR="00201A9A" w:rsidRPr="00201A9A">
        <w:rPr>
          <w:noProof/>
        </w:rPr>
        <w:t xml:space="preserve"> w for</w:t>
      </w:r>
      <w:r w:rsidRPr="00201A9A">
        <w:rPr>
          <w:noProof/>
        </w:rPr>
        <w:t>mie pożyczki na realizację ich planów.</w:t>
      </w:r>
    </w:p>
    <w:p w14:paraId="66E0CB41" w14:textId="4C7DCEDA" w:rsidR="002875B3" w:rsidRPr="00201A9A" w:rsidRDefault="003E0062" w:rsidP="003E2902">
      <w:pPr>
        <w:pStyle w:val="NumPar10000000"/>
        <w:numPr>
          <w:ilvl w:val="0"/>
          <w:numId w:val="71"/>
        </w:numPr>
        <w:rPr>
          <w:noProof/>
        </w:rPr>
      </w:pPr>
      <w:r w:rsidRPr="00201A9A">
        <w:rPr>
          <w:noProof/>
        </w:rPr>
        <w:t>Co najmniej 14</w:t>
      </w:r>
      <w:r w:rsidR="00201A9A" w:rsidRPr="00201A9A">
        <w:rPr>
          <w:noProof/>
        </w:rPr>
        <w:t> </w:t>
      </w:r>
      <w:r w:rsidRPr="00201A9A">
        <w:rPr>
          <w:noProof/>
        </w:rPr>
        <w:t>% puli środków finansowych,</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2, oraz kwoty,</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4, przeznacza się na realizację celów społecznych Unii, obliczonych przy użyciu współczynników,</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6 ust.</w:t>
      </w:r>
      <w:r w:rsidR="00201A9A" w:rsidRPr="00201A9A">
        <w:rPr>
          <w:noProof/>
        </w:rPr>
        <w:t> </w:t>
      </w:r>
      <w:r w:rsidRPr="00201A9A">
        <w:rPr>
          <w:noProof/>
        </w:rPr>
        <w:t>1 rozporządzenia (UE) [rozporządzenie</w:t>
      </w:r>
      <w:r w:rsidR="00201A9A" w:rsidRPr="00201A9A">
        <w:rPr>
          <w:noProof/>
        </w:rPr>
        <w:t xml:space="preserve"> w spr</w:t>
      </w:r>
      <w:r w:rsidRPr="00201A9A">
        <w:rPr>
          <w:noProof/>
        </w:rPr>
        <w:t>awie wykonania]</w:t>
      </w:r>
      <w:r w:rsidR="00201A9A" w:rsidRPr="00201A9A">
        <w:rPr>
          <w:noProof/>
        </w:rPr>
        <w:t>. Z pod</w:t>
      </w:r>
      <w:r w:rsidRPr="00201A9A">
        <w:rPr>
          <w:noProof/>
        </w:rPr>
        <w:t>stawy obliczania tego minimalnego przydziału wyłącza się kwotę określoną</w:t>
      </w:r>
      <w:r w:rsidR="00201A9A" w:rsidRPr="00201A9A">
        <w:rPr>
          <w:noProof/>
        </w:rPr>
        <w:t xml:space="preserve"> w ust</w:t>
      </w:r>
      <w:r w:rsidRPr="00201A9A">
        <w:rPr>
          <w:noProof/>
        </w:rPr>
        <w:t>.</w:t>
      </w:r>
      <w:r w:rsidR="00201A9A" w:rsidRPr="00201A9A">
        <w:rPr>
          <w:noProof/>
        </w:rPr>
        <w:t> </w:t>
      </w:r>
      <w:r w:rsidRPr="00201A9A">
        <w:rPr>
          <w:noProof/>
        </w:rPr>
        <w:t>2 lit.</w:t>
      </w:r>
      <w:r w:rsidR="00201A9A" w:rsidRPr="00201A9A">
        <w:rPr>
          <w:noProof/>
        </w:rPr>
        <w:t> </w:t>
      </w:r>
      <w:r w:rsidRPr="00201A9A">
        <w:rPr>
          <w:noProof/>
        </w:rPr>
        <w:t>a) pkt (ii),</w:t>
      </w:r>
      <w:r w:rsidR="00201A9A" w:rsidRPr="00201A9A">
        <w:rPr>
          <w:noProof/>
        </w:rPr>
        <w:t xml:space="preserve"> a tak</w:t>
      </w:r>
      <w:r w:rsidRPr="00201A9A">
        <w:rPr>
          <w:noProof/>
        </w:rPr>
        <w:t>że zewnętrzne dochody przeznaczone na określony cel ze Społecznego Funduszu Klimatycznego.</w:t>
      </w:r>
    </w:p>
    <w:bookmarkEnd w:id="5"/>
    <w:p w14:paraId="58E2789E" w14:textId="24C9FC76" w:rsidR="00B433AD" w:rsidRPr="00201A9A" w:rsidRDefault="00B433AD" w:rsidP="003E2902">
      <w:pPr>
        <w:pStyle w:val="NumPar10000000"/>
        <w:numPr>
          <w:ilvl w:val="0"/>
          <w:numId w:val="71"/>
        </w:numPr>
        <w:rPr>
          <w:noProof/>
        </w:rPr>
      </w:pPr>
      <w:r w:rsidRPr="00201A9A">
        <w:rPr>
          <w:noProof/>
        </w:rPr>
        <w:t>Komisja przyjmuje akt wykonawczy</w:t>
      </w:r>
      <w:r w:rsidR="00201A9A" w:rsidRPr="00201A9A">
        <w:rPr>
          <w:noProof/>
        </w:rPr>
        <w:t xml:space="preserve"> w cel</w:t>
      </w:r>
      <w:r w:rsidRPr="00201A9A">
        <w:rPr>
          <w:noProof/>
        </w:rPr>
        <w:t>u określenia maksymalnej kwoty, która ma zostać przydzielona każdemu państwu członkowskiemu poprzez zastosowanie metodyki określonej</w:t>
      </w:r>
      <w:r w:rsidR="00201A9A" w:rsidRPr="00201A9A">
        <w:rPr>
          <w:noProof/>
        </w:rPr>
        <w:t xml:space="preserve"> w zał</w:t>
      </w:r>
      <w:r w:rsidRPr="00201A9A">
        <w:rPr>
          <w:noProof/>
        </w:rPr>
        <w:t>ączniku I,</w:t>
      </w:r>
      <w:r w:rsidR="00201A9A" w:rsidRPr="00201A9A">
        <w:rPr>
          <w:noProof/>
        </w:rPr>
        <w:t xml:space="preserve"> w odn</w:t>
      </w:r>
      <w:r w:rsidRPr="00201A9A">
        <w:rPr>
          <w:noProof/>
        </w:rPr>
        <w:t>iesieniu do celów,</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2</w:t>
      </w:r>
      <w:r w:rsidR="00201A9A" w:rsidRPr="00201A9A">
        <w:rPr>
          <w:noProof/>
        </w:rPr>
        <w:t xml:space="preserve"> i 3</w:t>
      </w:r>
      <w:r w:rsidRPr="00201A9A">
        <w:rPr>
          <w:noProof/>
        </w:rPr>
        <w:t xml:space="preserve">. </w:t>
      </w:r>
    </w:p>
    <w:p w14:paraId="033A36D8" w14:textId="78167AC3" w:rsidR="00EB047D" w:rsidRPr="00201A9A" w:rsidRDefault="00EB047D" w:rsidP="00EB047D">
      <w:pPr>
        <w:pStyle w:val="Titrearticle"/>
        <w:rPr>
          <w:rFonts w:eastAsia="Times New Roman"/>
          <w:b/>
          <w:bCs/>
          <w:iCs/>
          <w:noProof/>
        </w:rPr>
      </w:pPr>
      <w:r w:rsidRPr="00201A9A">
        <w:rPr>
          <w:noProof/>
        </w:rPr>
        <w:t xml:space="preserve">Artykuł 11 </w:t>
      </w:r>
      <w:r w:rsidRPr="00201A9A">
        <w:rPr>
          <w:noProof/>
        </w:rPr>
        <w:br/>
      </w:r>
      <w:r w:rsidRPr="00201A9A">
        <w:rPr>
          <w:b/>
          <w:noProof/>
        </w:rPr>
        <w:t>Dodatkowe zasoby</w:t>
      </w:r>
      <w:r w:rsidR="00201A9A" w:rsidRPr="00201A9A">
        <w:rPr>
          <w:b/>
          <w:noProof/>
        </w:rPr>
        <w:t xml:space="preserve"> i wyk</w:t>
      </w:r>
      <w:r w:rsidRPr="00201A9A">
        <w:rPr>
          <w:b/>
          <w:noProof/>
        </w:rPr>
        <w:t>orzystanie zasobów</w:t>
      </w:r>
    </w:p>
    <w:p w14:paraId="6B56B018" w14:textId="6627D055" w:rsidR="008A564D" w:rsidRPr="00201A9A" w:rsidRDefault="004C74F1" w:rsidP="003E2902">
      <w:pPr>
        <w:pStyle w:val="NumPar10000000"/>
        <w:numPr>
          <w:ilvl w:val="0"/>
          <w:numId w:val="85"/>
        </w:numPr>
        <w:rPr>
          <w:noProof/>
        </w:rPr>
      </w:pPr>
      <w:r w:rsidRPr="00201A9A">
        <w:rPr>
          <w:noProof/>
        </w:rPr>
        <w:t>Państwa członkowskie, instytucje, organy</w:t>
      </w:r>
      <w:r w:rsidR="00201A9A" w:rsidRPr="00201A9A">
        <w:rPr>
          <w:noProof/>
        </w:rPr>
        <w:t xml:space="preserve"> i age</w:t>
      </w:r>
      <w:r w:rsidRPr="00201A9A">
        <w:rPr>
          <w:noProof/>
        </w:rPr>
        <w:t>ncje Unii, państwa trzecie, organizacje międzynarodowe, międzynarodowe instytucje finansowe lub inne osoby trzecie mogą wnieść dodatkowe wkłady finansowe na rzecz Funduszu. Dodatkowe wkłady finansowe uważa się za zewnętrzne dochody przeznaczone na określony cel</w:t>
      </w:r>
      <w:r w:rsidR="00201A9A" w:rsidRPr="00201A9A">
        <w:rPr>
          <w:noProof/>
        </w:rPr>
        <w:t xml:space="preserve"> w roz</w:t>
      </w:r>
      <w:r w:rsidRPr="00201A9A">
        <w:rPr>
          <w:noProof/>
        </w:rPr>
        <w:t>umieniu art.</w:t>
      </w:r>
      <w:r w:rsidR="00201A9A" w:rsidRPr="00201A9A">
        <w:rPr>
          <w:noProof/>
        </w:rPr>
        <w:t> </w:t>
      </w:r>
      <w:r w:rsidRPr="00201A9A">
        <w:rPr>
          <w:noProof/>
        </w:rPr>
        <w:t>21 ust.</w:t>
      </w:r>
      <w:r w:rsidR="00201A9A" w:rsidRPr="00201A9A">
        <w:rPr>
          <w:noProof/>
        </w:rPr>
        <w:t> </w:t>
      </w:r>
      <w:r w:rsidRPr="00201A9A">
        <w:rPr>
          <w:noProof/>
        </w:rPr>
        <w:t>2 lit.</w:t>
      </w:r>
      <w:r w:rsidR="00201A9A" w:rsidRPr="00201A9A">
        <w:rPr>
          <w:noProof/>
        </w:rPr>
        <w:t> </w:t>
      </w:r>
      <w:r w:rsidRPr="00201A9A">
        <w:rPr>
          <w:noProof/>
        </w:rPr>
        <w:t>a), d) lub e) lub art.</w:t>
      </w:r>
      <w:r w:rsidR="00201A9A" w:rsidRPr="00201A9A">
        <w:rPr>
          <w:noProof/>
        </w:rPr>
        <w:t> </w:t>
      </w:r>
      <w:r w:rsidRPr="00201A9A">
        <w:rPr>
          <w:noProof/>
        </w:rPr>
        <w:t>21 ust.</w:t>
      </w:r>
      <w:r w:rsidR="00201A9A" w:rsidRPr="00201A9A">
        <w:rPr>
          <w:noProof/>
        </w:rPr>
        <w:t> </w:t>
      </w:r>
      <w:r w:rsidRPr="00201A9A">
        <w:rPr>
          <w:noProof/>
        </w:rPr>
        <w:t>5 rozporządzenia (UE, Euratom) 2024/2509.</w:t>
      </w:r>
    </w:p>
    <w:p w14:paraId="77AE6854" w14:textId="30C7A515" w:rsidR="00EA6EDA" w:rsidRPr="00201A9A" w:rsidRDefault="008A564D" w:rsidP="003E2902">
      <w:pPr>
        <w:pStyle w:val="NumPar10000000"/>
        <w:numPr>
          <w:ilvl w:val="0"/>
          <w:numId w:val="85"/>
        </w:numPr>
        <w:rPr>
          <w:noProof/>
        </w:rPr>
      </w:pPr>
      <w:r w:rsidRPr="00201A9A">
        <w:rPr>
          <w:noProof/>
        </w:rPr>
        <w:t>W celu wdrożenia środka</w:t>
      </w:r>
      <w:r w:rsidR="00201A9A" w:rsidRPr="00201A9A">
        <w:rPr>
          <w:noProof/>
        </w:rPr>
        <w:t xml:space="preserve"> w ram</w:t>
      </w:r>
      <w:r w:rsidRPr="00201A9A">
        <w:rPr>
          <w:noProof/>
        </w:rPr>
        <w:t>ach planu PKR państwa członkowskie mogą zaproponować uwzględnienie</w:t>
      </w:r>
      <w:r w:rsidR="00201A9A" w:rsidRPr="00201A9A">
        <w:rPr>
          <w:noProof/>
        </w:rPr>
        <w:t xml:space="preserve"> w swo</w:t>
      </w:r>
      <w:r w:rsidRPr="00201A9A">
        <w:rPr>
          <w:noProof/>
        </w:rPr>
        <w:t>im planie PKR, jako szacunkowych kosztów, kwot wkładów finansowych, które mają wnieść państwa członkowskie na rzecz programów lub instrumentów unijnych wdrażających polityki dostosowane do celów planu PKR</w:t>
      </w:r>
      <w:r w:rsidR="00201A9A" w:rsidRPr="00201A9A">
        <w:rPr>
          <w:noProof/>
        </w:rPr>
        <w:t xml:space="preserve"> z myś</w:t>
      </w:r>
      <w:r w:rsidRPr="00201A9A">
        <w:rPr>
          <w:noProof/>
        </w:rPr>
        <w:t>lą</w:t>
      </w:r>
      <w:r w:rsidR="00201A9A" w:rsidRPr="00201A9A">
        <w:rPr>
          <w:noProof/>
        </w:rPr>
        <w:t xml:space="preserve"> o rea</w:t>
      </w:r>
      <w:r w:rsidRPr="00201A9A">
        <w:rPr>
          <w:noProof/>
        </w:rPr>
        <w:t>lizacji środka za pośrednictwem tych programów lub instrumentów. Takie wkłady mogą być również wnoszone na rzecz tworzenia rezerw gwarancji budżetowej, finansowania instrumentu finansowego lub wszelkich kwot bezzwrotnego wsparcia</w:t>
      </w:r>
      <w:r w:rsidR="00201A9A" w:rsidRPr="00201A9A">
        <w:rPr>
          <w:noProof/>
        </w:rPr>
        <w:t xml:space="preserve"> w poł</w:t>
      </w:r>
      <w:r w:rsidRPr="00201A9A">
        <w:rPr>
          <w:noProof/>
        </w:rPr>
        <w:t>ączeniu</w:t>
      </w:r>
      <w:r w:rsidR="00201A9A" w:rsidRPr="00201A9A">
        <w:rPr>
          <w:noProof/>
        </w:rPr>
        <w:t xml:space="preserve"> z gwa</w:t>
      </w:r>
      <w:r w:rsidRPr="00201A9A">
        <w:rPr>
          <w:noProof/>
        </w:rPr>
        <w:t>rancją budżetową lub instrumentem finansowym</w:t>
      </w:r>
      <w:r w:rsidR="00201A9A" w:rsidRPr="00201A9A">
        <w:rPr>
          <w:noProof/>
        </w:rPr>
        <w:t xml:space="preserve"> w ram</w:t>
      </w:r>
      <w:r w:rsidRPr="00201A9A">
        <w:rPr>
          <w:noProof/>
        </w:rPr>
        <w:t>ach działania łączonego,</w:t>
      </w:r>
      <w:r w:rsidR="00201A9A" w:rsidRPr="00201A9A">
        <w:rPr>
          <w:noProof/>
        </w:rPr>
        <w:t xml:space="preserve"> w ram</w:t>
      </w:r>
      <w:r w:rsidRPr="00201A9A">
        <w:rPr>
          <w:noProof/>
        </w:rPr>
        <w:t>ach [Instrumentu EFK InvestEU]. Środek musi być zgodny</w:t>
      </w:r>
      <w:r w:rsidR="00201A9A" w:rsidRPr="00201A9A">
        <w:rPr>
          <w:noProof/>
        </w:rPr>
        <w:t xml:space="preserve"> z wym</w:t>
      </w:r>
      <w:r w:rsidRPr="00201A9A">
        <w:rPr>
          <w:noProof/>
        </w:rPr>
        <w:t>ogami niniejszego rozporządzenia</w:t>
      </w:r>
      <w:r w:rsidR="00201A9A" w:rsidRPr="00201A9A">
        <w:rPr>
          <w:noProof/>
        </w:rPr>
        <w:t>. W prz</w:t>
      </w:r>
      <w:r w:rsidRPr="00201A9A">
        <w:rPr>
          <w:noProof/>
        </w:rPr>
        <w:t>ypadku gdy takie kwoty przyczyniają się do tworzenia rezerw na gwarancję budżetową</w:t>
      </w:r>
      <w:r w:rsidR="00201A9A" w:rsidRPr="00201A9A">
        <w:rPr>
          <w:noProof/>
        </w:rPr>
        <w:t xml:space="preserve"> w ram</w:t>
      </w:r>
      <w:r w:rsidRPr="00201A9A">
        <w:rPr>
          <w:noProof/>
        </w:rPr>
        <w:t>ach [Instrumentu EFK InvestEU],</w:t>
      </w:r>
      <w:r w:rsidR="00201A9A" w:rsidRPr="00201A9A">
        <w:rPr>
          <w:noProof/>
        </w:rPr>
        <w:t xml:space="preserve"> w sto</w:t>
      </w:r>
      <w:r w:rsidRPr="00201A9A">
        <w:rPr>
          <w:noProof/>
        </w:rPr>
        <w:t>sownych przypadkach uzupełnia się je gwarancją wzajemną państwa członkowskiego pokrywającą niezabezpieczone zobowiązania warunkowe.</w:t>
      </w:r>
    </w:p>
    <w:p w14:paraId="78E546BD" w14:textId="19CB621D" w:rsidR="003E0868" w:rsidRPr="00201A9A" w:rsidRDefault="003E0868" w:rsidP="003E2902">
      <w:pPr>
        <w:pStyle w:val="NumPar10000000"/>
        <w:numPr>
          <w:ilvl w:val="0"/>
          <w:numId w:val="85"/>
        </w:numPr>
        <w:rPr>
          <w:noProof/>
        </w:rPr>
      </w:pPr>
      <w:r w:rsidRPr="00201A9A">
        <w:rPr>
          <w:noProof/>
        </w:rPr>
        <w:t>W momencie przedkładania pierwotnego planu lub wniosku</w:t>
      </w:r>
      <w:r w:rsidR="00201A9A" w:rsidRPr="00201A9A">
        <w:rPr>
          <w:noProof/>
        </w:rPr>
        <w:t xml:space="preserve"> o zmi</w:t>
      </w:r>
      <w:r w:rsidRPr="00201A9A">
        <w:rPr>
          <w:noProof/>
        </w:rPr>
        <w:t>anę państwa członkowskie mogą zwrócić się</w:t>
      </w:r>
      <w:r w:rsidR="00201A9A" w:rsidRPr="00201A9A">
        <w:rPr>
          <w:noProof/>
        </w:rPr>
        <w:t xml:space="preserve"> o pon</w:t>
      </w:r>
      <w:r w:rsidRPr="00201A9A">
        <w:rPr>
          <w:noProof/>
        </w:rPr>
        <w:t>owny przydział części kwoty określonej</w:t>
      </w:r>
      <w:r w:rsidR="00201A9A" w:rsidRPr="00201A9A">
        <w:rPr>
          <w:noProof/>
        </w:rPr>
        <w:t xml:space="preserve"> w art</w:t>
      </w:r>
      <w:r w:rsidRPr="00201A9A">
        <w:rPr>
          <w:noProof/>
        </w:rPr>
        <w:t>.</w:t>
      </w:r>
      <w:r w:rsidR="00201A9A" w:rsidRPr="00201A9A">
        <w:rPr>
          <w:noProof/>
        </w:rPr>
        <w:t> </w:t>
      </w:r>
      <w:r w:rsidRPr="00201A9A">
        <w:rPr>
          <w:noProof/>
        </w:rPr>
        <w:t>4 rozporządzenia (UE) XX (MIGRATION), art.</w:t>
      </w:r>
      <w:r w:rsidR="00201A9A" w:rsidRPr="00201A9A">
        <w:rPr>
          <w:noProof/>
        </w:rPr>
        <w:t> </w:t>
      </w:r>
      <w:r w:rsidRPr="00201A9A">
        <w:rPr>
          <w:noProof/>
        </w:rPr>
        <w:t>4 rozporządzenia (UE) XX (BORDERS)</w:t>
      </w:r>
      <w:r w:rsidR="00201A9A" w:rsidRPr="00201A9A">
        <w:rPr>
          <w:noProof/>
        </w:rPr>
        <w:t xml:space="preserve"> i art</w:t>
      </w:r>
      <w:r w:rsidRPr="00201A9A">
        <w:rPr>
          <w:noProof/>
        </w:rPr>
        <w:t>.</w:t>
      </w:r>
      <w:r w:rsidR="00201A9A" w:rsidRPr="00201A9A">
        <w:rPr>
          <w:noProof/>
        </w:rPr>
        <w:t> </w:t>
      </w:r>
      <w:r w:rsidRPr="00201A9A">
        <w:rPr>
          <w:noProof/>
        </w:rPr>
        <w:t>4 rozporządzenia (UE) XX (SECURITY) na realizację celów określonych</w:t>
      </w:r>
      <w:r w:rsidR="00201A9A" w:rsidRPr="00201A9A">
        <w:rPr>
          <w:noProof/>
        </w:rPr>
        <w:t xml:space="preserve"> w inn</w:t>
      </w:r>
      <w:r w:rsidRPr="00201A9A">
        <w:rPr>
          <w:noProof/>
        </w:rPr>
        <w:t>ym</w:t>
      </w:r>
      <w:r w:rsidR="00201A9A" w:rsidRPr="00201A9A">
        <w:rPr>
          <w:noProof/>
        </w:rPr>
        <w:t xml:space="preserve"> z tyc</w:t>
      </w:r>
      <w:r w:rsidRPr="00201A9A">
        <w:rPr>
          <w:noProof/>
        </w:rPr>
        <w:t>h rozporządzeń. Komisja zgłasza sprzeciw wobec wniosku</w:t>
      </w:r>
      <w:r w:rsidR="00201A9A" w:rsidRPr="00201A9A">
        <w:rPr>
          <w:noProof/>
        </w:rPr>
        <w:t xml:space="preserve"> o pon</w:t>
      </w:r>
      <w:r w:rsidRPr="00201A9A">
        <w:rPr>
          <w:noProof/>
        </w:rPr>
        <w:t>owny przydział wyłącznie</w:t>
      </w:r>
      <w:r w:rsidR="00201A9A" w:rsidRPr="00201A9A">
        <w:rPr>
          <w:noProof/>
        </w:rPr>
        <w:t xml:space="preserve"> w prz</w:t>
      </w:r>
      <w:r w:rsidRPr="00201A9A">
        <w:rPr>
          <w:noProof/>
        </w:rPr>
        <w:t>ypadku, gdy taki ponowny przydział miałby wpływ na zgodność zmienionego planu</w:t>
      </w:r>
      <w:r w:rsidR="00201A9A" w:rsidRPr="00201A9A">
        <w:rPr>
          <w:noProof/>
        </w:rPr>
        <w:t xml:space="preserve"> z wym</w:t>
      </w:r>
      <w:r w:rsidRPr="00201A9A">
        <w:rPr>
          <w:noProof/>
        </w:rPr>
        <w:t>ogami przewidzianymi</w:t>
      </w:r>
      <w:r w:rsidR="00201A9A" w:rsidRPr="00201A9A">
        <w:rPr>
          <w:noProof/>
        </w:rPr>
        <w:t xml:space="preserve"> w art</w:t>
      </w:r>
      <w:r w:rsidRPr="00201A9A">
        <w:rPr>
          <w:noProof/>
        </w:rPr>
        <w:t>.</w:t>
      </w:r>
      <w:r w:rsidR="00201A9A" w:rsidRPr="00201A9A">
        <w:rPr>
          <w:noProof/>
        </w:rPr>
        <w:t> </w:t>
      </w:r>
      <w:r w:rsidRPr="00201A9A">
        <w:rPr>
          <w:noProof/>
        </w:rPr>
        <w:t>22 określonymi</w:t>
      </w:r>
      <w:r w:rsidR="00201A9A" w:rsidRPr="00201A9A">
        <w:rPr>
          <w:noProof/>
        </w:rPr>
        <w:t xml:space="preserve"> w nin</w:t>
      </w:r>
      <w:r w:rsidRPr="00201A9A">
        <w:rPr>
          <w:noProof/>
        </w:rPr>
        <w:t>iejszym rozporządzeniu.</w:t>
      </w:r>
    </w:p>
    <w:p w14:paraId="0ED7B3FA" w14:textId="3F8CFFD1" w:rsidR="00EB047D" w:rsidRPr="00201A9A" w:rsidRDefault="00EB047D" w:rsidP="00EB047D">
      <w:pPr>
        <w:pStyle w:val="Titrearticle"/>
        <w:rPr>
          <w:b/>
          <w:bCs/>
          <w:noProof/>
        </w:rPr>
      </w:pPr>
      <w:r w:rsidRPr="00201A9A">
        <w:rPr>
          <w:noProof/>
        </w:rPr>
        <w:t xml:space="preserve">Artykuł 12 </w:t>
      </w:r>
      <w:r w:rsidRPr="00201A9A">
        <w:rPr>
          <w:noProof/>
        </w:rPr>
        <w:br/>
      </w:r>
      <w:r w:rsidRPr="00201A9A">
        <w:rPr>
          <w:b/>
          <w:noProof/>
        </w:rPr>
        <w:t>Pomoc techniczna</w:t>
      </w:r>
      <w:r w:rsidR="00201A9A" w:rsidRPr="00201A9A">
        <w:rPr>
          <w:b/>
          <w:noProof/>
        </w:rPr>
        <w:t xml:space="preserve"> z ini</w:t>
      </w:r>
      <w:r w:rsidRPr="00201A9A">
        <w:rPr>
          <w:b/>
          <w:noProof/>
        </w:rPr>
        <w:t>cjatywy Komisji</w:t>
      </w:r>
    </w:p>
    <w:p w14:paraId="04204648" w14:textId="253E4C96" w:rsidR="00004723" w:rsidRPr="00201A9A" w:rsidRDefault="166155D0" w:rsidP="003E2902">
      <w:pPr>
        <w:pStyle w:val="NumPar10000000"/>
        <w:numPr>
          <w:ilvl w:val="0"/>
          <w:numId w:val="98"/>
        </w:numPr>
        <w:rPr>
          <w:noProof/>
        </w:rPr>
      </w:pPr>
      <w:r w:rsidRPr="00201A9A">
        <w:rPr>
          <w:noProof/>
        </w:rPr>
        <w:t>Z inicjatywy Komisji Fundusz może wspierać pomoc techniczną</w:t>
      </w:r>
      <w:r w:rsidR="00201A9A" w:rsidRPr="00201A9A">
        <w:rPr>
          <w:noProof/>
        </w:rPr>
        <w:t xml:space="preserve"> i adm</w:t>
      </w:r>
      <w:r w:rsidRPr="00201A9A">
        <w:rPr>
          <w:noProof/>
        </w:rPr>
        <w:t>inistracyjną na rzecz realizacji planu</w:t>
      </w:r>
      <w:r w:rsidR="00201A9A" w:rsidRPr="00201A9A">
        <w:rPr>
          <w:noProof/>
        </w:rPr>
        <w:t xml:space="preserve"> i Pla</w:t>
      </w:r>
      <w:r w:rsidRPr="00201A9A">
        <w:rPr>
          <w:noProof/>
        </w:rPr>
        <w:t>nu Interreg, taką jak działania przygotowawcze, monitorowanie, kontrola, audyt</w:t>
      </w:r>
      <w:r w:rsidR="00201A9A" w:rsidRPr="00201A9A">
        <w:rPr>
          <w:noProof/>
        </w:rPr>
        <w:t xml:space="preserve"> i oce</w:t>
      </w:r>
      <w:r w:rsidRPr="00201A9A">
        <w:rPr>
          <w:noProof/>
        </w:rPr>
        <w:t>na, instytucjonalne systemy</w:t>
      </w:r>
      <w:r w:rsidR="00201A9A" w:rsidRPr="00201A9A">
        <w:rPr>
          <w:noProof/>
        </w:rPr>
        <w:t xml:space="preserve"> i pla</w:t>
      </w:r>
      <w:r w:rsidRPr="00201A9A">
        <w:rPr>
          <w:noProof/>
        </w:rPr>
        <w:t>tformy informatyczne, działania informacyjne</w:t>
      </w:r>
      <w:r w:rsidR="00201A9A" w:rsidRPr="00201A9A">
        <w:rPr>
          <w:noProof/>
        </w:rPr>
        <w:t xml:space="preserve"> i kom</w:t>
      </w:r>
      <w:r w:rsidRPr="00201A9A">
        <w:rPr>
          <w:noProof/>
        </w:rPr>
        <w:t>unikacyjne, także poprzez tworzenie ogólnounijnych sieci organów państw członkowskich</w:t>
      </w:r>
      <w:r w:rsidR="00201A9A" w:rsidRPr="00201A9A">
        <w:rPr>
          <w:noProof/>
        </w:rPr>
        <w:t xml:space="preserve"> i inn</w:t>
      </w:r>
      <w:r w:rsidRPr="00201A9A">
        <w:rPr>
          <w:noProof/>
        </w:rPr>
        <w:t>ych odpowiednich zainteresowanych stron, komunikację instytucjonalną dotyczącą priorytetów politycznych Unii oraz wszelką inną pomoc techniczną</w:t>
      </w:r>
      <w:r w:rsidR="00201A9A" w:rsidRPr="00201A9A">
        <w:rPr>
          <w:noProof/>
        </w:rPr>
        <w:t xml:space="preserve"> i adm</w:t>
      </w:r>
      <w:r w:rsidRPr="00201A9A">
        <w:rPr>
          <w:noProof/>
        </w:rPr>
        <w:t>inistracyjną lub wydatki kadrowe poniesione przez Komisję</w:t>
      </w:r>
      <w:r w:rsidR="00201A9A" w:rsidRPr="00201A9A">
        <w:rPr>
          <w:noProof/>
        </w:rPr>
        <w:t xml:space="preserve"> w zwi</w:t>
      </w:r>
      <w:r w:rsidRPr="00201A9A">
        <w:rPr>
          <w:noProof/>
        </w:rPr>
        <w:t>ązku</w:t>
      </w:r>
      <w:r w:rsidR="00201A9A" w:rsidRPr="00201A9A">
        <w:rPr>
          <w:noProof/>
        </w:rPr>
        <w:t xml:space="preserve"> z zar</w:t>
      </w:r>
      <w:r w:rsidRPr="00201A9A">
        <w:rPr>
          <w:noProof/>
        </w:rPr>
        <w:t>ządzaniem Funduszem oraz,</w:t>
      </w:r>
      <w:r w:rsidR="00201A9A" w:rsidRPr="00201A9A">
        <w:rPr>
          <w:noProof/>
        </w:rPr>
        <w:t xml:space="preserve"> w sto</w:t>
      </w:r>
      <w:r w:rsidRPr="00201A9A">
        <w:rPr>
          <w:noProof/>
        </w:rPr>
        <w:t>sownych przypadkach,</w:t>
      </w:r>
      <w:r w:rsidR="00201A9A" w:rsidRPr="00201A9A">
        <w:rPr>
          <w:noProof/>
        </w:rPr>
        <w:t xml:space="preserve"> z pań</w:t>
      </w:r>
      <w:r w:rsidRPr="00201A9A">
        <w:rPr>
          <w:noProof/>
        </w:rPr>
        <w:t xml:space="preserve">stwami trzecimi. </w:t>
      </w:r>
    </w:p>
    <w:p w14:paraId="6534DE11" w14:textId="3715D9E0" w:rsidR="00004723" w:rsidRPr="00201A9A" w:rsidRDefault="7273E4B9" w:rsidP="003E2902">
      <w:pPr>
        <w:pStyle w:val="NumPar10000000"/>
        <w:numPr>
          <w:ilvl w:val="0"/>
          <w:numId w:val="85"/>
        </w:numPr>
        <w:rPr>
          <w:noProof/>
        </w:rPr>
      </w:pPr>
      <w:r w:rsidRPr="00201A9A">
        <w:rPr>
          <w:noProof/>
        </w:rPr>
        <w:t>Fundusz wspiera również wszelką inną pomoc techniczną</w:t>
      </w:r>
      <w:r w:rsidR="00201A9A" w:rsidRPr="00201A9A">
        <w:rPr>
          <w:noProof/>
        </w:rPr>
        <w:t xml:space="preserve"> i adm</w:t>
      </w:r>
      <w:r w:rsidRPr="00201A9A">
        <w:rPr>
          <w:noProof/>
        </w:rPr>
        <w:t>inistracyjną niezbędną do wdrożenia wspólnej polityki rolnej</w:t>
      </w:r>
      <w:r w:rsidR="00201A9A" w:rsidRPr="00201A9A">
        <w:rPr>
          <w:noProof/>
        </w:rPr>
        <w:t xml:space="preserve"> i wsp</w:t>
      </w:r>
      <w:r w:rsidRPr="00201A9A">
        <w:rPr>
          <w:noProof/>
        </w:rPr>
        <w:t>ólnej polityki rybołówstwa oraz zarządzania nimi,</w:t>
      </w:r>
      <w:r w:rsidR="00201A9A" w:rsidRPr="00201A9A">
        <w:rPr>
          <w:noProof/>
        </w:rPr>
        <w:t xml:space="preserve"> w tym</w:t>
      </w:r>
      <w:r w:rsidRPr="00201A9A">
        <w:rPr>
          <w:noProof/>
        </w:rPr>
        <w:t xml:space="preserve"> środki kontroli</w:t>
      </w:r>
      <w:r w:rsidR="00201A9A" w:rsidRPr="00201A9A">
        <w:rPr>
          <w:noProof/>
        </w:rPr>
        <w:t xml:space="preserve"> i egz</w:t>
      </w:r>
      <w:r w:rsidRPr="00201A9A">
        <w:rPr>
          <w:noProof/>
        </w:rPr>
        <w:t>ekwowania przepisów rybołówstwa, kontrole rynku, gromadzenie lub zakup danych,</w:t>
      </w:r>
      <w:r w:rsidR="00201A9A" w:rsidRPr="00201A9A">
        <w:rPr>
          <w:noProof/>
        </w:rPr>
        <w:t xml:space="preserve"> w tym</w:t>
      </w:r>
      <w:r w:rsidRPr="00201A9A">
        <w:rPr>
          <w:noProof/>
        </w:rPr>
        <w:t xml:space="preserve"> danych satelitarnych, danych geoprzestrzennych</w:t>
      </w:r>
      <w:r w:rsidR="00201A9A" w:rsidRPr="00201A9A">
        <w:rPr>
          <w:noProof/>
        </w:rPr>
        <w:t xml:space="preserve"> i dan</w:t>
      </w:r>
      <w:r w:rsidRPr="00201A9A">
        <w:rPr>
          <w:noProof/>
        </w:rPr>
        <w:t>ych meteorologicznych, monitorowanie zasobów, opracowywanie</w:t>
      </w:r>
      <w:r w:rsidR="00201A9A" w:rsidRPr="00201A9A">
        <w:rPr>
          <w:noProof/>
        </w:rPr>
        <w:t xml:space="preserve"> i utr</w:t>
      </w:r>
      <w:r w:rsidRPr="00201A9A">
        <w:rPr>
          <w:noProof/>
        </w:rPr>
        <w:t>zymywanie elektronicznej certyfikacji produktów ekologicznych</w:t>
      </w:r>
      <w:r w:rsidR="00201A9A" w:rsidRPr="00201A9A">
        <w:rPr>
          <w:noProof/>
        </w:rPr>
        <w:t xml:space="preserve"> i pow</w:t>
      </w:r>
      <w:r w:rsidRPr="00201A9A">
        <w:rPr>
          <w:noProof/>
        </w:rPr>
        <w:t>iązanych korporacyjnych systemów informatycznych, opracowywanie, rejestrację</w:t>
      </w:r>
      <w:r w:rsidR="00201A9A" w:rsidRPr="00201A9A">
        <w:rPr>
          <w:noProof/>
        </w:rPr>
        <w:t xml:space="preserve"> i och</w:t>
      </w:r>
      <w:r w:rsidRPr="00201A9A">
        <w:rPr>
          <w:noProof/>
        </w:rPr>
        <w:t>ronę oznaczeń, skrótów</w:t>
      </w:r>
      <w:r w:rsidR="00201A9A" w:rsidRPr="00201A9A">
        <w:rPr>
          <w:noProof/>
        </w:rPr>
        <w:t xml:space="preserve"> i sym</w:t>
      </w:r>
      <w:r w:rsidRPr="00201A9A">
        <w:rPr>
          <w:noProof/>
        </w:rPr>
        <w:t>boli odnoszących się do unijnych systemów jakości oraz wkładów na podstawie umów międzynarodowych. </w:t>
      </w:r>
    </w:p>
    <w:p w14:paraId="38382EEF" w14:textId="0C15D769" w:rsidR="00004723" w:rsidRPr="00201A9A" w:rsidRDefault="166155D0" w:rsidP="003E2902">
      <w:pPr>
        <w:pStyle w:val="NumPar10000000"/>
        <w:numPr>
          <w:ilvl w:val="0"/>
          <w:numId w:val="85"/>
        </w:numPr>
        <w:rPr>
          <w:noProof/>
        </w:rPr>
      </w:pPr>
      <w:r w:rsidRPr="00201A9A">
        <w:rPr>
          <w:noProof/>
        </w:rPr>
        <w:t>Działania,</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mogą obejmować poprzednie</w:t>
      </w:r>
      <w:r w:rsidR="00201A9A" w:rsidRPr="00201A9A">
        <w:rPr>
          <w:noProof/>
        </w:rPr>
        <w:t xml:space="preserve"> i kol</w:t>
      </w:r>
      <w:r w:rsidRPr="00201A9A">
        <w:rPr>
          <w:noProof/>
        </w:rPr>
        <w:t>ejne okresy programowania.</w:t>
      </w:r>
    </w:p>
    <w:p w14:paraId="5E6D4ADC" w14:textId="63F1B4BD" w:rsidR="00004723" w:rsidRPr="00201A9A" w:rsidRDefault="166155D0" w:rsidP="003E2902">
      <w:pPr>
        <w:pStyle w:val="NumPar10000000"/>
        <w:numPr>
          <w:ilvl w:val="0"/>
          <w:numId w:val="85"/>
        </w:numPr>
        <w:rPr>
          <w:noProof/>
        </w:rPr>
      </w:pPr>
      <w:r w:rsidRPr="00201A9A">
        <w:rPr>
          <w:noProof/>
        </w:rPr>
        <w:t>Komisja przyjmuje decyzję</w:t>
      </w:r>
      <w:r w:rsidR="00201A9A" w:rsidRPr="00201A9A">
        <w:rPr>
          <w:noProof/>
        </w:rPr>
        <w:t xml:space="preserve"> w spr</w:t>
      </w:r>
      <w:r w:rsidRPr="00201A9A">
        <w:rPr>
          <w:noProof/>
        </w:rPr>
        <w:t>awie finansowania, gdy przewiduje się wkład</w:t>
      </w:r>
      <w:r w:rsidR="00201A9A" w:rsidRPr="00201A9A">
        <w:rPr>
          <w:noProof/>
        </w:rPr>
        <w:t xml:space="preserve"> z Fun</w:t>
      </w:r>
      <w:r w:rsidRPr="00201A9A">
        <w:rPr>
          <w:noProof/>
        </w:rPr>
        <w:t>duszu zgodnie</w:t>
      </w:r>
      <w:r w:rsidR="00201A9A" w:rsidRPr="00201A9A">
        <w:rPr>
          <w:noProof/>
        </w:rPr>
        <w:t xml:space="preserve"> z art</w:t>
      </w:r>
      <w:r w:rsidRPr="00201A9A">
        <w:rPr>
          <w:noProof/>
        </w:rPr>
        <w:t>.</w:t>
      </w:r>
      <w:r w:rsidR="00201A9A" w:rsidRPr="00201A9A">
        <w:rPr>
          <w:noProof/>
        </w:rPr>
        <w:t> </w:t>
      </w:r>
      <w:r w:rsidRPr="00201A9A">
        <w:rPr>
          <w:noProof/>
        </w:rPr>
        <w:t xml:space="preserve">110 rozporządzenia (UE, Euratom) 2024/2509. </w:t>
      </w:r>
    </w:p>
    <w:p w14:paraId="21DDB111" w14:textId="2D5E3EE4" w:rsidR="00004723" w:rsidRPr="00201A9A" w:rsidRDefault="00004723" w:rsidP="003E2902">
      <w:pPr>
        <w:pStyle w:val="NumPar10000000"/>
        <w:numPr>
          <w:ilvl w:val="0"/>
          <w:numId w:val="85"/>
        </w:numPr>
        <w:rPr>
          <w:rFonts w:eastAsiaTheme="minorEastAsia"/>
          <w:noProof/>
        </w:rPr>
      </w:pPr>
      <w:r w:rsidRPr="00201A9A">
        <w:rPr>
          <w:noProof/>
        </w:rPr>
        <w:t>Działania,</w:t>
      </w:r>
      <w:r w:rsidR="00201A9A" w:rsidRPr="00201A9A">
        <w:rPr>
          <w:noProof/>
        </w:rPr>
        <w:t xml:space="preserve"> o któ</w:t>
      </w:r>
      <w:r w:rsidRPr="00201A9A">
        <w:rPr>
          <w:noProof/>
        </w:rPr>
        <w:t>rych mowa</w:t>
      </w:r>
      <w:r w:rsidR="00201A9A" w:rsidRPr="00201A9A">
        <w:rPr>
          <w:noProof/>
        </w:rPr>
        <w:t xml:space="preserve"> w nin</w:t>
      </w:r>
      <w:r w:rsidRPr="00201A9A">
        <w:rPr>
          <w:noProof/>
        </w:rPr>
        <w:t>iejszym artykule, mogą –</w:t>
      </w:r>
      <w:r w:rsidR="00201A9A" w:rsidRPr="00201A9A">
        <w:rPr>
          <w:noProof/>
        </w:rPr>
        <w:t xml:space="preserve"> w zal</w:t>
      </w:r>
      <w:r w:rsidRPr="00201A9A">
        <w:rPr>
          <w:noProof/>
        </w:rPr>
        <w:t>eżności od ich celu – być finansowane jako wydatki operacyjne albo administracyjne.</w:t>
      </w:r>
    </w:p>
    <w:p w14:paraId="50DE962B" w14:textId="45FF1DCD" w:rsidR="00004723" w:rsidRPr="00201A9A" w:rsidRDefault="00004723" w:rsidP="003E2902">
      <w:pPr>
        <w:pStyle w:val="NumPar10000000"/>
        <w:numPr>
          <w:ilvl w:val="0"/>
          <w:numId w:val="85"/>
        </w:numPr>
        <w:rPr>
          <w:noProof/>
        </w:rPr>
      </w:pPr>
      <w:r w:rsidRPr="00201A9A">
        <w:rPr>
          <w:noProof/>
        </w:rPr>
        <w:t>Zgodnie</w:t>
      </w:r>
      <w:r w:rsidR="00201A9A" w:rsidRPr="00201A9A">
        <w:rPr>
          <w:noProof/>
        </w:rPr>
        <w:t xml:space="preserve"> z art</w:t>
      </w:r>
      <w:r w:rsidRPr="00201A9A">
        <w:rPr>
          <w:noProof/>
        </w:rPr>
        <w:t>.</w:t>
      </w:r>
      <w:r w:rsidR="00201A9A" w:rsidRPr="00201A9A">
        <w:rPr>
          <w:noProof/>
        </w:rPr>
        <w:t> </w:t>
      </w:r>
      <w:r w:rsidRPr="00201A9A">
        <w:rPr>
          <w:noProof/>
        </w:rPr>
        <w:t>196 ust.</w:t>
      </w:r>
      <w:r w:rsidR="00201A9A" w:rsidRPr="00201A9A">
        <w:rPr>
          <w:noProof/>
        </w:rPr>
        <w:t> </w:t>
      </w:r>
      <w:r w:rsidRPr="00201A9A">
        <w:rPr>
          <w:noProof/>
        </w:rPr>
        <w:t>2 akapit drugi lit.</w:t>
      </w:r>
      <w:r w:rsidR="00201A9A" w:rsidRPr="00201A9A">
        <w:rPr>
          <w:noProof/>
        </w:rPr>
        <w:t> </w:t>
      </w:r>
      <w:r w:rsidRPr="00201A9A">
        <w:rPr>
          <w:noProof/>
        </w:rPr>
        <w:t>a) rozporządzenia (UE, Euratom) 2024/2509,</w:t>
      </w:r>
      <w:r w:rsidR="00201A9A" w:rsidRPr="00201A9A">
        <w:rPr>
          <w:noProof/>
        </w:rPr>
        <w:t xml:space="preserve"> w nal</w:t>
      </w:r>
      <w:r w:rsidRPr="00201A9A">
        <w:rPr>
          <w:noProof/>
        </w:rPr>
        <w:t>eżycie uzasadnionych przypadkach określonych</w:t>
      </w:r>
      <w:r w:rsidR="00201A9A" w:rsidRPr="00201A9A">
        <w:rPr>
          <w:noProof/>
        </w:rPr>
        <w:t xml:space="preserve"> w dec</w:t>
      </w:r>
      <w:r w:rsidRPr="00201A9A">
        <w:rPr>
          <w:noProof/>
        </w:rPr>
        <w:t>yzji</w:t>
      </w:r>
      <w:r w:rsidR="00201A9A" w:rsidRPr="00201A9A">
        <w:rPr>
          <w:noProof/>
        </w:rPr>
        <w:t xml:space="preserve"> w spr</w:t>
      </w:r>
      <w:r w:rsidRPr="00201A9A">
        <w:rPr>
          <w:noProof/>
        </w:rPr>
        <w:t>awie finansowania</w:t>
      </w:r>
      <w:r w:rsidR="00201A9A" w:rsidRPr="00201A9A">
        <w:rPr>
          <w:noProof/>
        </w:rPr>
        <w:t xml:space="preserve"> i prz</w:t>
      </w:r>
      <w:r w:rsidRPr="00201A9A">
        <w:rPr>
          <w:noProof/>
        </w:rPr>
        <w:t>ez ograniczony okres, działania</w:t>
      </w:r>
      <w:r w:rsidR="00201A9A" w:rsidRPr="00201A9A">
        <w:rPr>
          <w:noProof/>
        </w:rPr>
        <w:t xml:space="preserve"> w zak</w:t>
      </w:r>
      <w:r w:rsidRPr="00201A9A">
        <w:rPr>
          <w:noProof/>
        </w:rPr>
        <w:t>resie pomocy technicznej</w:t>
      </w:r>
      <w:r w:rsidR="00201A9A" w:rsidRPr="00201A9A">
        <w:rPr>
          <w:noProof/>
        </w:rPr>
        <w:t xml:space="preserve"> z ini</w:t>
      </w:r>
      <w:r w:rsidRPr="00201A9A">
        <w:rPr>
          <w:noProof/>
        </w:rPr>
        <w:t>cjatywy Komisji wspierane na podstawie niniejszego rozporządzenia</w:t>
      </w:r>
      <w:r w:rsidR="00201A9A" w:rsidRPr="00201A9A">
        <w:rPr>
          <w:noProof/>
        </w:rPr>
        <w:t xml:space="preserve"> w ram</w:t>
      </w:r>
      <w:r w:rsidRPr="00201A9A">
        <w:rPr>
          <w:noProof/>
        </w:rPr>
        <w:t>ach zarządzania bezpośredniego oraz stosowne koszty bazowe można uznać za kwalifikowalne od dnia 1 stycznia 2028</w:t>
      </w:r>
      <w:r w:rsidR="00201A9A" w:rsidRPr="00201A9A">
        <w:rPr>
          <w:noProof/>
        </w:rPr>
        <w:t> </w:t>
      </w:r>
      <w:r w:rsidRPr="00201A9A">
        <w:rPr>
          <w:noProof/>
        </w:rPr>
        <w:t>r., nawet jeżeli te działania zostały zrealizowane</w:t>
      </w:r>
      <w:r w:rsidR="00201A9A" w:rsidRPr="00201A9A">
        <w:rPr>
          <w:noProof/>
        </w:rPr>
        <w:t xml:space="preserve"> i kos</w:t>
      </w:r>
      <w:r w:rsidRPr="00201A9A">
        <w:rPr>
          <w:noProof/>
        </w:rPr>
        <w:t>zty poniesione przed przedłożeniem wniosku</w:t>
      </w:r>
      <w:r w:rsidR="00201A9A" w:rsidRPr="00201A9A">
        <w:rPr>
          <w:noProof/>
        </w:rPr>
        <w:t xml:space="preserve"> o udz</w:t>
      </w:r>
      <w:r w:rsidRPr="00201A9A">
        <w:rPr>
          <w:noProof/>
        </w:rPr>
        <w:t>ielenie dotacji.</w:t>
      </w:r>
    </w:p>
    <w:p w14:paraId="0633C3EB" w14:textId="4B15DE81" w:rsidR="00EB047D" w:rsidRPr="00201A9A" w:rsidRDefault="00EB047D" w:rsidP="00EB047D">
      <w:pPr>
        <w:pStyle w:val="Titrearticle"/>
        <w:rPr>
          <w:noProof/>
        </w:rPr>
      </w:pPr>
      <w:r w:rsidRPr="00201A9A">
        <w:rPr>
          <w:noProof/>
        </w:rPr>
        <w:t xml:space="preserve">Artykuł 13 </w:t>
      </w:r>
      <w:r w:rsidRPr="00201A9A">
        <w:rPr>
          <w:noProof/>
        </w:rPr>
        <w:br/>
      </w:r>
      <w:r w:rsidRPr="00201A9A">
        <w:rPr>
          <w:b/>
          <w:noProof/>
        </w:rPr>
        <w:t>Pomoc techniczna</w:t>
      </w:r>
      <w:r w:rsidR="00201A9A" w:rsidRPr="00201A9A">
        <w:rPr>
          <w:b/>
          <w:noProof/>
        </w:rPr>
        <w:t xml:space="preserve"> z ini</w:t>
      </w:r>
      <w:r w:rsidRPr="00201A9A">
        <w:rPr>
          <w:b/>
          <w:noProof/>
        </w:rPr>
        <w:t>cjatywy państwa członkowskiego</w:t>
      </w:r>
    </w:p>
    <w:p w14:paraId="0AEFCF1D" w14:textId="3DFAF6E4" w:rsidR="00143164" w:rsidRPr="00201A9A" w:rsidRDefault="00820D42" w:rsidP="003E2902">
      <w:pPr>
        <w:pStyle w:val="NumPar10000000"/>
        <w:numPr>
          <w:ilvl w:val="0"/>
          <w:numId w:val="77"/>
        </w:numPr>
        <w:rPr>
          <w:noProof/>
        </w:rPr>
      </w:pPr>
      <w:r w:rsidRPr="00201A9A">
        <w:rPr>
          <w:noProof/>
        </w:rPr>
        <w:t>Z inicjatywy państwa członkowskiego Fundusz może wspierać działania, które mogą dotyczyć poprzednich</w:t>
      </w:r>
      <w:r w:rsidR="00201A9A" w:rsidRPr="00201A9A">
        <w:rPr>
          <w:noProof/>
        </w:rPr>
        <w:t xml:space="preserve"> i kol</w:t>
      </w:r>
      <w:r w:rsidRPr="00201A9A">
        <w:rPr>
          <w:noProof/>
        </w:rPr>
        <w:t>ejnych okresów programowania, niezbędne do skutecznego wdrażania Funduszu,</w:t>
      </w:r>
      <w:r w:rsidR="00201A9A" w:rsidRPr="00201A9A">
        <w:rPr>
          <w:noProof/>
        </w:rPr>
        <w:t xml:space="preserve"> w tym</w:t>
      </w:r>
      <w:r w:rsidRPr="00201A9A">
        <w:rPr>
          <w:noProof/>
        </w:rPr>
        <w:t xml:space="preserve"> zapewnić finansowanie na potrzeby wykonywania m.in. takich funkcji, jak przygotowywanie, szkolenie, zarządzanie, monitorowanie, ocena, informowanie, widoczność</w:t>
      </w:r>
      <w:r w:rsidR="00201A9A" w:rsidRPr="00201A9A">
        <w:rPr>
          <w:noProof/>
        </w:rPr>
        <w:t xml:space="preserve"> i kom</w:t>
      </w:r>
      <w:r w:rsidRPr="00201A9A">
        <w:rPr>
          <w:noProof/>
        </w:rPr>
        <w:t>unikacja.</w:t>
      </w:r>
    </w:p>
    <w:p w14:paraId="2CE93C9D" w14:textId="2985DE15" w:rsidR="00100A03" w:rsidRPr="00201A9A" w:rsidRDefault="00100A03" w:rsidP="003E2902">
      <w:pPr>
        <w:pStyle w:val="NumPar10000000"/>
        <w:numPr>
          <w:ilvl w:val="0"/>
          <w:numId w:val="85"/>
        </w:numPr>
        <w:rPr>
          <w:noProof/>
        </w:rPr>
      </w:pPr>
      <w:r w:rsidRPr="00201A9A">
        <w:rPr>
          <w:noProof/>
        </w:rPr>
        <w:t>Pomoc techniczną dla każdego planu PKR</w:t>
      </w:r>
      <w:r w:rsidR="00201A9A" w:rsidRPr="00201A9A">
        <w:rPr>
          <w:noProof/>
        </w:rPr>
        <w:t xml:space="preserve"> i każ</w:t>
      </w:r>
      <w:r w:rsidRPr="00201A9A">
        <w:rPr>
          <w:noProof/>
        </w:rPr>
        <w:t xml:space="preserve">dego rozdziału </w:t>
      </w:r>
      <w:r w:rsidR="00A47BEA" w:rsidRPr="00201A9A">
        <w:rPr>
          <w:noProof/>
        </w:rPr>
        <w:t>P</w:t>
      </w:r>
      <w:r w:rsidRPr="00201A9A">
        <w:rPr>
          <w:noProof/>
        </w:rPr>
        <w:t>lanu Interreg ustala się jako stawkę ryczałtową</w:t>
      </w:r>
      <w:r w:rsidR="00201A9A" w:rsidRPr="00201A9A">
        <w:rPr>
          <w:noProof/>
        </w:rPr>
        <w:t xml:space="preserve"> w wys</w:t>
      </w:r>
      <w:r w:rsidRPr="00201A9A">
        <w:rPr>
          <w:noProof/>
        </w:rPr>
        <w:t>okości odpowiednio do</w:t>
      </w:r>
      <w:r w:rsidR="00201A9A" w:rsidRPr="00201A9A">
        <w:rPr>
          <w:noProof/>
        </w:rPr>
        <w:t> </w:t>
      </w:r>
      <w:r w:rsidRPr="00201A9A">
        <w:rPr>
          <w:noProof/>
        </w:rPr>
        <w:t>3</w:t>
      </w:r>
      <w:r w:rsidR="00201A9A" w:rsidRPr="00201A9A">
        <w:rPr>
          <w:noProof/>
        </w:rPr>
        <w:t> </w:t>
      </w:r>
      <w:r w:rsidRPr="00201A9A">
        <w:rPr>
          <w:noProof/>
        </w:rPr>
        <w:t>%</w:t>
      </w:r>
      <w:r w:rsidR="00201A9A" w:rsidRPr="00201A9A">
        <w:rPr>
          <w:noProof/>
        </w:rPr>
        <w:t xml:space="preserve"> i 8 </w:t>
      </w:r>
      <w:r w:rsidRPr="00201A9A">
        <w:rPr>
          <w:noProof/>
        </w:rPr>
        <w:t>%, stosowaną do kwoty ujętej</w:t>
      </w:r>
      <w:r w:rsidR="00201A9A" w:rsidRPr="00201A9A">
        <w:rPr>
          <w:noProof/>
        </w:rPr>
        <w:t xml:space="preserve"> w każ</w:t>
      </w:r>
      <w:r w:rsidRPr="00201A9A">
        <w:rPr>
          <w:noProof/>
        </w:rPr>
        <w:t>dym wniosku</w:t>
      </w:r>
      <w:r w:rsidR="00201A9A" w:rsidRPr="00201A9A">
        <w:rPr>
          <w:noProof/>
        </w:rPr>
        <w:t xml:space="preserve"> o pła</w:t>
      </w:r>
      <w:r w:rsidRPr="00201A9A">
        <w:rPr>
          <w:noProof/>
        </w:rPr>
        <w:t>tność zgodnie</w:t>
      </w:r>
      <w:r w:rsidR="00201A9A" w:rsidRPr="00201A9A">
        <w:rPr>
          <w:noProof/>
        </w:rPr>
        <w:t xml:space="preserve"> z art</w:t>
      </w:r>
      <w:r w:rsidRPr="00201A9A">
        <w:rPr>
          <w:noProof/>
        </w:rPr>
        <w:t>.</w:t>
      </w:r>
      <w:r w:rsidR="00201A9A" w:rsidRPr="00201A9A">
        <w:rPr>
          <w:noProof/>
        </w:rPr>
        <w:t> </w:t>
      </w:r>
      <w:r w:rsidRPr="00201A9A">
        <w:rPr>
          <w:noProof/>
        </w:rPr>
        <w:t>65 [wnioski</w:t>
      </w:r>
      <w:r w:rsidR="00201A9A" w:rsidRPr="00201A9A">
        <w:rPr>
          <w:noProof/>
        </w:rPr>
        <w:t xml:space="preserve"> o pła</w:t>
      </w:r>
      <w:r w:rsidRPr="00201A9A">
        <w:rPr>
          <w:noProof/>
        </w:rPr>
        <w:t>tność].</w:t>
      </w:r>
      <w:r w:rsidR="00A47BEA" w:rsidRPr="00201A9A">
        <w:rPr>
          <w:noProof/>
        </w:rPr>
        <w:t xml:space="preserve"> </w:t>
      </w:r>
      <w:r w:rsidRPr="00201A9A">
        <w:rPr>
          <w:noProof/>
        </w:rPr>
        <w:t>Stawka ryczałtowa wynosi 10</w:t>
      </w:r>
      <w:r w:rsidR="00201A9A" w:rsidRPr="00201A9A">
        <w:rPr>
          <w:noProof/>
        </w:rPr>
        <w:t> </w:t>
      </w:r>
      <w:r w:rsidRPr="00201A9A">
        <w:rPr>
          <w:noProof/>
        </w:rPr>
        <w:t xml:space="preserve">% dla rozdziałów </w:t>
      </w:r>
      <w:r w:rsidR="00A47BEA" w:rsidRPr="00201A9A">
        <w:rPr>
          <w:noProof/>
        </w:rPr>
        <w:t>P</w:t>
      </w:r>
      <w:r w:rsidRPr="00201A9A">
        <w:rPr>
          <w:noProof/>
        </w:rPr>
        <w:t>lanu Interreg wspierających współpracę regionów najbardziej oddalonych oraz współpracę na granicach zewnętrznych.</w:t>
      </w:r>
    </w:p>
    <w:p w14:paraId="0AC72BE7" w14:textId="59D7FE45" w:rsidR="00143164" w:rsidRPr="00201A9A" w:rsidRDefault="00143164" w:rsidP="003E2902">
      <w:pPr>
        <w:pStyle w:val="NumPar10000000"/>
        <w:numPr>
          <w:ilvl w:val="0"/>
          <w:numId w:val="85"/>
        </w:numPr>
        <w:rPr>
          <w:noProof/>
        </w:rPr>
      </w:pPr>
      <w:r w:rsidRPr="00201A9A">
        <w:rPr>
          <w:noProof/>
        </w:rPr>
        <w:t>W przypadku zmniejszenia unijnego wkładu finansowego,</w:t>
      </w:r>
      <w:r w:rsidR="00201A9A" w:rsidRPr="00201A9A">
        <w:rPr>
          <w:noProof/>
        </w:rPr>
        <w:t xml:space="preserve"> w tym z pow</w:t>
      </w:r>
      <w:r w:rsidRPr="00201A9A">
        <w:rPr>
          <w:noProof/>
        </w:rPr>
        <w:t>odu umorzenia lub korekty finansowej,</w:t>
      </w:r>
      <w:r w:rsidR="00201A9A" w:rsidRPr="00201A9A">
        <w:rPr>
          <w:noProof/>
        </w:rPr>
        <w:t xml:space="preserve"> w mom</w:t>
      </w:r>
      <w:r w:rsidRPr="00201A9A">
        <w:rPr>
          <w:noProof/>
        </w:rPr>
        <w:t>encie zamknięcia planu PKR państwo członkowskie zwraca do budżetu Unii wszelkie zasoby wypłacone na pomoc techniczną zgodnie</w:t>
      </w:r>
      <w:r w:rsidR="00201A9A" w:rsidRPr="00201A9A">
        <w:rPr>
          <w:noProof/>
        </w:rPr>
        <w:t xml:space="preserve"> z ust</w:t>
      </w:r>
      <w:r w:rsidRPr="00201A9A">
        <w:rPr>
          <w:noProof/>
        </w:rPr>
        <w:t>.</w:t>
      </w:r>
      <w:r w:rsidR="00201A9A" w:rsidRPr="00201A9A">
        <w:rPr>
          <w:noProof/>
        </w:rPr>
        <w:t> </w:t>
      </w:r>
      <w:r w:rsidRPr="00201A9A">
        <w:rPr>
          <w:noProof/>
        </w:rPr>
        <w:t>1, które przekraczają odsetek unijnego wkładu finansowego określony</w:t>
      </w:r>
      <w:r w:rsidR="00201A9A" w:rsidRPr="00201A9A">
        <w:rPr>
          <w:noProof/>
        </w:rPr>
        <w:t xml:space="preserve"> w ust</w:t>
      </w:r>
      <w:r w:rsidRPr="00201A9A">
        <w:rPr>
          <w:noProof/>
        </w:rPr>
        <w:t>.</w:t>
      </w:r>
      <w:r w:rsidR="00201A9A" w:rsidRPr="00201A9A">
        <w:rPr>
          <w:noProof/>
        </w:rPr>
        <w:t> </w:t>
      </w:r>
      <w:r w:rsidRPr="00201A9A">
        <w:rPr>
          <w:noProof/>
        </w:rPr>
        <w:t xml:space="preserve">2. </w:t>
      </w:r>
    </w:p>
    <w:p w14:paraId="15EC00BB" w14:textId="0B1C4B23" w:rsidR="00FC5BD4" w:rsidRPr="00201A9A" w:rsidRDefault="00586F2F" w:rsidP="003E2902">
      <w:pPr>
        <w:pStyle w:val="NumPar10000000"/>
        <w:numPr>
          <w:ilvl w:val="0"/>
          <w:numId w:val="85"/>
        </w:numPr>
        <w:rPr>
          <w:noProof/>
        </w:rPr>
      </w:pPr>
      <w:r w:rsidRPr="00201A9A">
        <w:rPr>
          <w:noProof/>
        </w:rPr>
        <w:t>Państwa członkowskie zapewniają, aby kwoty wypłacone przez Komisję na rzecz planów PKR były rozdzielane</w:t>
      </w:r>
      <w:r w:rsidR="00201A9A" w:rsidRPr="00201A9A">
        <w:rPr>
          <w:noProof/>
        </w:rPr>
        <w:t xml:space="preserve"> w zró</w:t>
      </w:r>
      <w:r w:rsidRPr="00201A9A">
        <w:rPr>
          <w:noProof/>
        </w:rPr>
        <w:t>wnoważony</w:t>
      </w:r>
      <w:r w:rsidR="00201A9A" w:rsidRPr="00201A9A">
        <w:rPr>
          <w:noProof/>
        </w:rPr>
        <w:t xml:space="preserve"> i pro</w:t>
      </w:r>
      <w:r w:rsidRPr="00201A9A">
        <w:rPr>
          <w:noProof/>
        </w:rPr>
        <w:t xml:space="preserve">porcjonalny sposób między wszystkie rozdziały planu, aby promować wszystkie wspierane cele. </w:t>
      </w:r>
    </w:p>
    <w:p w14:paraId="19E4C82C" w14:textId="2FEE01AC" w:rsidR="00BD329E" w:rsidRPr="00201A9A" w:rsidRDefault="009125E3" w:rsidP="003E2902">
      <w:pPr>
        <w:pStyle w:val="NumPar10000000"/>
        <w:numPr>
          <w:ilvl w:val="0"/>
          <w:numId w:val="85"/>
        </w:numPr>
        <w:rPr>
          <w:noProof/>
        </w:rPr>
      </w:pPr>
      <w:r w:rsidRPr="00201A9A">
        <w:rPr>
          <w:noProof/>
        </w:rPr>
        <w:t>Państwa członkowskie mogą zwrócić się</w:t>
      </w:r>
      <w:r w:rsidR="00201A9A" w:rsidRPr="00201A9A">
        <w:rPr>
          <w:noProof/>
        </w:rPr>
        <w:t xml:space="preserve"> o wsp</w:t>
      </w:r>
      <w:r w:rsidRPr="00201A9A">
        <w:rPr>
          <w:noProof/>
        </w:rPr>
        <w:t>arcie</w:t>
      </w:r>
      <w:r w:rsidR="00201A9A" w:rsidRPr="00201A9A">
        <w:rPr>
          <w:noProof/>
        </w:rPr>
        <w:t xml:space="preserve"> w prz</w:t>
      </w:r>
      <w:r w:rsidRPr="00201A9A">
        <w:rPr>
          <w:noProof/>
        </w:rPr>
        <w:t>ygotowaniu reform zawartych</w:t>
      </w:r>
      <w:r w:rsidR="00201A9A" w:rsidRPr="00201A9A">
        <w:rPr>
          <w:noProof/>
        </w:rPr>
        <w:t xml:space="preserve"> w ich</w:t>
      </w:r>
      <w:r w:rsidRPr="00201A9A">
        <w:rPr>
          <w:noProof/>
        </w:rPr>
        <w:t xml:space="preserve"> planach PKR. </w:t>
      </w:r>
    </w:p>
    <w:p w14:paraId="78E00956" w14:textId="781F4330" w:rsidR="00586F2F" w:rsidRPr="00201A9A" w:rsidRDefault="00586F2F" w:rsidP="00586F2F">
      <w:pPr>
        <w:pStyle w:val="ChapterTitle0"/>
        <w:rPr>
          <w:noProof/>
        </w:rPr>
      </w:pPr>
      <w:r w:rsidRPr="00201A9A">
        <w:rPr>
          <w:noProof/>
        </w:rPr>
        <w:t xml:space="preserve">ROZDZIAŁ 2 </w:t>
      </w:r>
      <w:r w:rsidRPr="00201A9A">
        <w:rPr>
          <w:noProof/>
        </w:rPr>
        <w:br/>
        <w:t>Wsparcie</w:t>
      </w:r>
      <w:r w:rsidR="00201A9A" w:rsidRPr="00201A9A">
        <w:rPr>
          <w:noProof/>
        </w:rPr>
        <w:t xml:space="preserve"> w ram</w:t>
      </w:r>
      <w:r w:rsidRPr="00201A9A">
        <w:rPr>
          <w:noProof/>
        </w:rPr>
        <w:t>ach planów</w:t>
      </w:r>
    </w:p>
    <w:p w14:paraId="45D321C7" w14:textId="77777777" w:rsidR="00EB047D" w:rsidRPr="00201A9A" w:rsidRDefault="00EB047D" w:rsidP="00EB047D">
      <w:pPr>
        <w:pStyle w:val="Titrearticle"/>
        <w:rPr>
          <w:noProof/>
        </w:rPr>
      </w:pPr>
      <w:r w:rsidRPr="00201A9A">
        <w:rPr>
          <w:noProof/>
        </w:rPr>
        <w:t xml:space="preserve">Artykuł 14 </w:t>
      </w:r>
      <w:r w:rsidRPr="00201A9A">
        <w:rPr>
          <w:noProof/>
        </w:rPr>
        <w:br/>
      </w:r>
      <w:r w:rsidRPr="00201A9A">
        <w:rPr>
          <w:b/>
          <w:noProof/>
        </w:rPr>
        <w:t>Zobowiązania budżetowe</w:t>
      </w:r>
    </w:p>
    <w:p w14:paraId="4FC39ABF" w14:textId="0E9BFEF3" w:rsidR="005005DC" w:rsidRPr="00201A9A" w:rsidRDefault="005A012F" w:rsidP="003E2902">
      <w:pPr>
        <w:pStyle w:val="NumPar10000000"/>
        <w:numPr>
          <w:ilvl w:val="0"/>
          <w:numId w:val="78"/>
        </w:numPr>
        <w:tabs>
          <w:tab w:val="clear" w:pos="850"/>
        </w:tabs>
        <w:rPr>
          <w:noProof/>
        </w:rPr>
      </w:pPr>
      <w:r w:rsidRPr="00201A9A">
        <w:rPr>
          <w:noProof/>
        </w:rPr>
        <w:t>Zobowiązania budżetowe Unii dotyczące alokacji finansowej</w:t>
      </w:r>
      <w:r w:rsidR="00201A9A" w:rsidRPr="00201A9A">
        <w:rPr>
          <w:noProof/>
        </w:rPr>
        <w:t xml:space="preserve"> w ram</w:t>
      </w:r>
      <w:r w:rsidRPr="00201A9A">
        <w:rPr>
          <w:noProof/>
        </w:rPr>
        <w:t>ach każdego planu są zaciągane przez Komisję</w:t>
      </w:r>
      <w:r w:rsidR="00201A9A" w:rsidRPr="00201A9A">
        <w:rPr>
          <w:noProof/>
        </w:rPr>
        <w:t xml:space="preserve"> w roc</w:t>
      </w:r>
      <w:r w:rsidRPr="00201A9A">
        <w:rPr>
          <w:noProof/>
        </w:rPr>
        <w:t>znych transzach zgodnie</w:t>
      </w:r>
      <w:r w:rsidR="00201A9A" w:rsidRPr="00201A9A">
        <w:rPr>
          <w:noProof/>
        </w:rPr>
        <w:t xml:space="preserve"> z art</w:t>
      </w:r>
      <w:r w:rsidRPr="00201A9A">
        <w:rPr>
          <w:noProof/>
        </w:rPr>
        <w:t>.</w:t>
      </w:r>
      <w:r w:rsidR="00201A9A" w:rsidRPr="00201A9A">
        <w:rPr>
          <w:noProof/>
        </w:rPr>
        <w:t> </w:t>
      </w:r>
      <w:r w:rsidRPr="00201A9A">
        <w:rPr>
          <w:noProof/>
        </w:rPr>
        <w:t>112 ust.</w:t>
      </w:r>
      <w:r w:rsidR="00201A9A" w:rsidRPr="00201A9A">
        <w:rPr>
          <w:noProof/>
        </w:rPr>
        <w:t> </w:t>
      </w:r>
      <w:r w:rsidRPr="00201A9A">
        <w:rPr>
          <w:noProof/>
        </w:rPr>
        <w:t>2 rozporządzenia (UE, Euratom) 2024/2509</w:t>
      </w:r>
      <w:r w:rsidR="00201A9A" w:rsidRPr="00201A9A">
        <w:rPr>
          <w:noProof/>
        </w:rPr>
        <w:t xml:space="preserve"> w okr</w:t>
      </w:r>
      <w:r w:rsidRPr="00201A9A">
        <w:rPr>
          <w:noProof/>
        </w:rPr>
        <w:t>esie od dnia 1 stycznia 2028</w:t>
      </w:r>
      <w:r w:rsidR="00201A9A" w:rsidRPr="00201A9A">
        <w:rPr>
          <w:noProof/>
        </w:rPr>
        <w:t> </w:t>
      </w:r>
      <w:r w:rsidRPr="00201A9A">
        <w:rPr>
          <w:noProof/>
        </w:rPr>
        <w:t>r. do dnia 31 grudnia 2034</w:t>
      </w:r>
      <w:r w:rsidR="00201A9A" w:rsidRPr="00201A9A">
        <w:rPr>
          <w:noProof/>
        </w:rPr>
        <w:t> </w:t>
      </w:r>
      <w:r w:rsidRPr="00201A9A">
        <w:rPr>
          <w:noProof/>
        </w:rPr>
        <w:t>r.</w:t>
      </w:r>
      <w:r w:rsidR="00201A9A" w:rsidRPr="00201A9A">
        <w:rPr>
          <w:noProof/>
        </w:rPr>
        <w:t xml:space="preserve"> w nas</w:t>
      </w:r>
      <w:r w:rsidRPr="00201A9A">
        <w:rPr>
          <w:noProof/>
        </w:rPr>
        <w:t xml:space="preserve">tępujący sposób (w zaokrągleniu): </w:t>
      </w:r>
    </w:p>
    <w:p w14:paraId="1E1467DB" w14:textId="606936AF" w:rsidR="000F353F" w:rsidRPr="00201A9A" w:rsidRDefault="00201A9A" w:rsidP="00201A9A">
      <w:pPr>
        <w:pStyle w:val="Point1"/>
        <w:rPr>
          <w:noProof/>
        </w:rPr>
      </w:pPr>
      <w:r w:rsidRPr="00201A9A">
        <w:rPr>
          <w:noProof/>
        </w:rPr>
        <w:t>a)</w:t>
      </w:r>
      <w:r w:rsidRPr="00201A9A">
        <w:rPr>
          <w:noProof/>
        </w:rPr>
        <w:tab/>
      </w:r>
      <w:r w:rsidR="000F353F" w:rsidRPr="00201A9A">
        <w:rPr>
          <w:noProof/>
        </w:rPr>
        <w:t>15,8 %</w:t>
      </w:r>
      <w:r w:rsidRPr="00201A9A">
        <w:rPr>
          <w:noProof/>
        </w:rPr>
        <w:t xml:space="preserve"> w 2</w:t>
      </w:r>
      <w:r w:rsidR="000F353F" w:rsidRPr="00201A9A">
        <w:rPr>
          <w:noProof/>
        </w:rPr>
        <w:t>028</w:t>
      </w:r>
      <w:r w:rsidRPr="00201A9A">
        <w:rPr>
          <w:noProof/>
        </w:rPr>
        <w:t> </w:t>
      </w:r>
      <w:r w:rsidR="000F353F" w:rsidRPr="00201A9A">
        <w:rPr>
          <w:noProof/>
        </w:rPr>
        <w:t>r.;</w:t>
      </w:r>
    </w:p>
    <w:p w14:paraId="0FE10791" w14:textId="08E18231" w:rsidR="000F353F" w:rsidRPr="00201A9A" w:rsidRDefault="00201A9A" w:rsidP="00201A9A">
      <w:pPr>
        <w:pStyle w:val="Point1"/>
        <w:rPr>
          <w:noProof/>
        </w:rPr>
      </w:pPr>
      <w:r w:rsidRPr="00201A9A">
        <w:rPr>
          <w:noProof/>
        </w:rPr>
        <w:t>b)</w:t>
      </w:r>
      <w:r w:rsidRPr="00201A9A">
        <w:rPr>
          <w:noProof/>
        </w:rPr>
        <w:tab/>
      </w:r>
      <w:r w:rsidR="000F353F" w:rsidRPr="00201A9A">
        <w:rPr>
          <w:noProof/>
        </w:rPr>
        <w:t>15,5 %</w:t>
      </w:r>
      <w:r w:rsidRPr="00201A9A">
        <w:rPr>
          <w:noProof/>
        </w:rPr>
        <w:t xml:space="preserve"> w 2</w:t>
      </w:r>
      <w:r w:rsidR="000F353F" w:rsidRPr="00201A9A">
        <w:rPr>
          <w:noProof/>
        </w:rPr>
        <w:t>029</w:t>
      </w:r>
      <w:r w:rsidRPr="00201A9A">
        <w:rPr>
          <w:noProof/>
        </w:rPr>
        <w:t> </w:t>
      </w:r>
      <w:r w:rsidR="000F353F" w:rsidRPr="00201A9A">
        <w:rPr>
          <w:noProof/>
        </w:rPr>
        <w:t>r.;</w:t>
      </w:r>
    </w:p>
    <w:p w14:paraId="46EBF255" w14:textId="111DC3C0" w:rsidR="000F353F" w:rsidRPr="00201A9A" w:rsidRDefault="00201A9A" w:rsidP="00201A9A">
      <w:pPr>
        <w:pStyle w:val="Point1"/>
        <w:rPr>
          <w:noProof/>
        </w:rPr>
      </w:pPr>
      <w:r w:rsidRPr="00201A9A">
        <w:rPr>
          <w:noProof/>
        </w:rPr>
        <w:t>c)</w:t>
      </w:r>
      <w:r w:rsidRPr="00201A9A">
        <w:rPr>
          <w:noProof/>
        </w:rPr>
        <w:tab/>
      </w:r>
      <w:r w:rsidR="000F353F" w:rsidRPr="00201A9A">
        <w:rPr>
          <w:noProof/>
        </w:rPr>
        <w:t>15,1 %</w:t>
      </w:r>
      <w:r w:rsidRPr="00201A9A">
        <w:rPr>
          <w:noProof/>
        </w:rPr>
        <w:t xml:space="preserve"> w 2</w:t>
      </w:r>
      <w:r w:rsidR="000F353F" w:rsidRPr="00201A9A">
        <w:rPr>
          <w:noProof/>
        </w:rPr>
        <w:t>030</w:t>
      </w:r>
      <w:r w:rsidRPr="00201A9A">
        <w:rPr>
          <w:noProof/>
        </w:rPr>
        <w:t> </w:t>
      </w:r>
      <w:r w:rsidR="000F353F" w:rsidRPr="00201A9A">
        <w:rPr>
          <w:noProof/>
        </w:rPr>
        <w:t>r.;</w:t>
      </w:r>
    </w:p>
    <w:p w14:paraId="64BC8A9B" w14:textId="65E3E51B" w:rsidR="000F353F" w:rsidRPr="00201A9A" w:rsidRDefault="00201A9A" w:rsidP="00201A9A">
      <w:pPr>
        <w:pStyle w:val="Point1"/>
        <w:rPr>
          <w:noProof/>
        </w:rPr>
      </w:pPr>
      <w:r w:rsidRPr="00201A9A">
        <w:rPr>
          <w:noProof/>
        </w:rPr>
        <w:t>d)</w:t>
      </w:r>
      <w:r w:rsidRPr="00201A9A">
        <w:rPr>
          <w:noProof/>
        </w:rPr>
        <w:tab/>
      </w:r>
      <w:r w:rsidR="000F353F" w:rsidRPr="00201A9A">
        <w:rPr>
          <w:noProof/>
        </w:rPr>
        <w:t>14,8 %</w:t>
      </w:r>
      <w:r w:rsidRPr="00201A9A">
        <w:rPr>
          <w:noProof/>
        </w:rPr>
        <w:t xml:space="preserve"> w 2</w:t>
      </w:r>
      <w:r w:rsidR="000F353F" w:rsidRPr="00201A9A">
        <w:rPr>
          <w:noProof/>
        </w:rPr>
        <w:t>031</w:t>
      </w:r>
      <w:r w:rsidRPr="00201A9A">
        <w:rPr>
          <w:noProof/>
        </w:rPr>
        <w:t> </w:t>
      </w:r>
      <w:r w:rsidR="000F353F" w:rsidRPr="00201A9A">
        <w:rPr>
          <w:noProof/>
        </w:rPr>
        <w:t>r.;</w:t>
      </w:r>
    </w:p>
    <w:p w14:paraId="301E5372" w14:textId="68DABA6E" w:rsidR="000F353F" w:rsidRPr="00201A9A" w:rsidRDefault="00201A9A" w:rsidP="00201A9A">
      <w:pPr>
        <w:pStyle w:val="Point1"/>
        <w:rPr>
          <w:noProof/>
        </w:rPr>
      </w:pPr>
      <w:r w:rsidRPr="00201A9A">
        <w:rPr>
          <w:noProof/>
        </w:rPr>
        <w:t>e)</w:t>
      </w:r>
      <w:r w:rsidRPr="00201A9A">
        <w:rPr>
          <w:noProof/>
        </w:rPr>
        <w:tab/>
      </w:r>
      <w:r w:rsidR="000F353F" w:rsidRPr="00201A9A">
        <w:rPr>
          <w:noProof/>
        </w:rPr>
        <w:t>14,4 %</w:t>
      </w:r>
      <w:r w:rsidRPr="00201A9A">
        <w:rPr>
          <w:noProof/>
        </w:rPr>
        <w:t xml:space="preserve"> w 2</w:t>
      </w:r>
      <w:r w:rsidR="000F353F" w:rsidRPr="00201A9A">
        <w:rPr>
          <w:noProof/>
        </w:rPr>
        <w:t>032</w:t>
      </w:r>
      <w:r w:rsidRPr="00201A9A">
        <w:rPr>
          <w:noProof/>
        </w:rPr>
        <w:t> </w:t>
      </w:r>
      <w:r w:rsidR="000F353F" w:rsidRPr="00201A9A">
        <w:rPr>
          <w:noProof/>
        </w:rPr>
        <w:t>r.;</w:t>
      </w:r>
    </w:p>
    <w:p w14:paraId="16740EEA" w14:textId="46D59BFA" w:rsidR="000F353F" w:rsidRPr="00201A9A" w:rsidRDefault="00201A9A" w:rsidP="00201A9A">
      <w:pPr>
        <w:pStyle w:val="Point1"/>
        <w:rPr>
          <w:noProof/>
        </w:rPr>
      </w:pPr>
      <w:r w:rsidRPr="00201A9A">
        <w:rPr>
          <w:noProof/>
        </w:rPr>
        <w:t>f)</w:t>
      </w:r>
      <w:r w:rsidRPr="00201A9A">
        <w:rPr>
          <w:noProof/>
        </w:rPr>
        <w:tab/>
      </w:r>
      <w:r w:rsidR="000F353F" w:rsidRPr="00201A9A">
        <w:rPr>
          <w:noProof/>
        </w:rPr>
        <w:t>12,8 %</w:t>
      </w:r>
      <w:r w:rsidRPr="00201A9A">
        <w:rPr>
          <w:noProof/>
        </w:rPr>
        <w:t xml:space="preserve"> w 2</w:t>
      </w:r>
      <w:r w:rsidR="000F353F" w:rsidRPr="00201A9A">
        <w:rPr>
          <w:noProof/>
        </w:rPr>
        <w:t>033</w:t>
      </w:r>
      <w:r w:rsidRPr="00201A9A">
        <w:rPr>
          <w:noProof/>
        </w:rPr>
        <w:t> </w:t>
      </w:r>
      <w:r w:rsidR="000F353F" w:rsidRPr="00201A9A">
        <w:rPr>
          <w:noProof/>
        </w:rPr>
        <w:t>r.;</w:t>
      </w:r>
    </w:p>
    <w:p w14:paraId="7D6CD9F5" w14:textId="5F1E4A4A" w:rsidR="005005DC" w:rsidRPr="00201A9A" w:rsidRDefault="00201A9A" w:rsidP="00201A9A">
      <w:pPr>
        <w:pStyle w:val="Point1"/>
        <w:rPr>
          <w:noProof/>
        </w:rPr>
      </w:pPr>
      <w:r w:rsidRPr="00201A9A">
        <w:rPr>
          <w:noProof/>
        </w:rPr>
        <w:t>g)</w:t>
      </w:r>
      <w:r w:rsidRPr="00201A9A">
        <w:rPr>
          <w:noProof/>
        </w:rPr>
        <w:tab/>
      </w:r>
      <w:r w:rsidR="000F353F" w:rsidRPr="00201A9A">
        <w:rPr>
          <w:noProof/>
        </w:rPr>
        <w:t>11,7 %</w:t>
      </w:r>
      <w:r w:rsidRPr="00201A9A">
        <w:rPr>
          <w:noProof/>
        </w:rPr>
        <w:t xml:space="preserve"> w 2</w:t>
      </w:r>
      <w:r w:rsidR="000F353F" w:rsidRPr="00201A9A">
        <w:rPr>
          <w:noProof/>
        </w:rPr>
        <w:t>034</w:t>
      </w:r>
      <w:r w:rsidRPr="00201A9A">
        <w:rPr>
          <w:noProof/>
        </w:rPr>
        <w:t> </w:t>
      </w:r>
      <w:r w:rsidR="000F353F" w:rsidRPr="00201A9A">
        <w:rPr>
          <w:noProof/>
        </w:rPr>
        <w:t>r.</w:t>
      </w:r>
    </w:p>
    <w:p w14:paraId="53F279A0" w14:textId="5D6A0D7D" w:rsidR="00586F2F" w:rsidRPr="00201A9A" w:rsidRDefault="00586F2F" w:rsidP="003E2902">
      <w:pPr>
        <w:pStyle w:val="NumPar10000000"/>
        <w:numPr>
          <w:ilvl w:val="0"/>
          <w:numId w:val="85"/>
        </w:numPr>
        <w:rPr>
          <w:noProof/>
        </w:rPr>
      </w:pPr>
      <w:r w:rsidRPr="00201A9A">
        <w:rPr>
          <w:noProof/>
        </w:rPr>
        <w:t>Kwota elastyczności odpowiadająca 25</w:t>
      </w:r>
      <w:r w:rsidR="00201A9A" w:rsidRPr="00201A9A">
        <w:rPr>
          <w:noProof/>
        </w:rPr>
        <w:t> </w:t>
      </w:r>
      <w:r w:rsidRPr="00201A9A">
        <w:rPr>
          <w:noProof/>
        </w:rPr>
        <w:t>% unijnego wkładu finansowego danego państwa członkowskiego określonego</w:t>
      </w:r>
      <w:r w:rsidR="00201A9A" w:rsidRPr="00201A9A">
        <w:rPr>
          <w:noProof/>
        </w:rPr>
        <w:t xml:space="preserve"> w zał</w:t>
      </w:r>
      <w:r w:rsidRPr="00201A9A">
        <w:rPr>
          <w:noProof/>
        </w:rPr>
        <w:t>ączniku I [metoda przydziału] jest dostępna na programowanie wyłącznie</w:t>
      </w:r>
      <w:r w:rsidR="00201A9A" w:rsidRPr="00201A9A">
        <w:rPr>
          <w:noProof/>
        </w:rPr>
        <w:t xml:space="preserve"> w nas</w:t>
      </w:r>
      <w:r w:rsidRPr="00201A9A">
        <w:rPr>
          <w:noProof/>
        </w:rPr>
        <w:t>tępujący sposób:</w:t>
      </w:r>
    </w:p>
    <w:p w14:paraId="1830BF14" w14:textId="309E08E9" w:rsidR="00586F2F" w:rsidRPr="00201A9A" w:rsidRDefault="00201A9A" w:rsidP="00201A9A">
      <w:pPr>
        <w:pStyle w:val="Point1"/>
        <w:rPr>
          <w:noProof/>
        </w:rPr>
      </w:pPr>
      <w:r w:rsidRPr="00201A9A">
        <w:rPr>
          <w:noProof/>
        </w:rPr>
        <w:t>a)</w:t>
      </w:r>
      <w:r w:rsidRPr="00201A9A">
        <w:rPr>
          <w:noProof/>
        </w:rPr>
        <w:tab/>
      </w:r>
      <w:r w:rsidR="00586F2F" w:rsidRPr="00201A9A">
        <w:rPr>
          <w:noProof/>
        </w:rPr>
        <w:t>Państwo członkowskie może wystąpić</w:t>
      </w:r>
      <w:r w:rsidRPr="00201A9A">
        <w:rPr>
          <w:noProof/>
        </w:rPr>
        <w:t xml:space="preserve"> o mak</w:t>
      </w:r>
      <w:r w:rsidR="00586F2F" w:rsidRPr="00201A9A">
        <w:rPr>
          <w:noProof/>
        </w:rPr>
        <w:t>symalnie jedną piątą zgodnie</w:t>
      </w:r>
      <w:r w:rsidRPr="00201A9A">
        <w:rPr>
          <w:noProof/>
        </w:rPr>
        <w:t xml:space="preserve"> z art</w:t>
      </w:r>
      <w:r w:rsidR="00586F2F" w:rsidRPr="00201A9A">
        <w:rPr>
          <w:noProof/>
        </w:rPr>
        <w:t>.</w:t>
      </w:r>
      <w:r w:rsidRPr="00201A9A">
        <w:rPr>
          <w:noProof/>
        </w:rPr>
        <w:t> </w:t>
      </w:r>
      <w:r w:rsidR="00586F2F" w:rsidRPr="00201A9A">
        <w:rPr>
          <w:noProof/>
        </w:rPr>
        <w:t>34 (Zmiana planu</w:t>
      </w:r>
      <w:r w:rsidRPr="00201A9A">
        <w:rPr>
          <w:noProof/>
        </w:rPr>
        <w:t xml:space="preserve"> w syt</w:t>
      </w:r>
      <w:r w:rsidR="00586F2F" w:rsidRPr="00201A9A">
        <w:rPr>
          <w:noProof/>
        </w:rPr>
        <w:t>uacjach kryzysowych), przy czym pozostała kwota ma zostać zaprogramowana zgodnie</w:t>
      </w:r>
      <w:r w:rsidRPr="00201A9A">
        <w:rPr>
          <w:noProof/>
        </w:rPr>
        <w:t xml:space="preserve"> z art</w:t>
      </w:r>
      <w:r w:rsidR="00586F2F" w:rsidRPr="00201A9A">
        <w:rPr>
          <w:noProof/>
        </w:rPr>
        <w:t>.</w:t>
      </w:r>
      <w:r w:rsidRPr="00201A9A">
        <w:rPr>
          <w:noProof/>
        </w:rPr>
        <w:t> </w:t>
      </w:r>
      <w:r w:rsidR="00586F2F" w:rsidRPr="00201A9A">
        <w:rPr>
          <w:noProof/>
        </w:rPr>
        <w:t xml:space="preserve">25 (przegląd śródokresowy); </w:t>
      </w:r>
    </w:p>
    <w:p w14:paraId="211F0E7A" w14:textId="5CC57B83" w:rsidR="00586F2F" w:rsidRPr="00201A9A" w:rsidRDefault="00201A9A" w:rsidP="00201A9A">
      <w:pPr>
        <w:pStyle w:val="Point1"/>
        <w:rPr>
          <w:noProof/>
        </w:rPr>
      </w:pPr>
      <w:r w:rsidRPr="00201A9A">
        <w:rPr>
          <w:noProof/>
        </w:rPr>
        <w:t>b)</w:t>
      </w:r>
      <w:r w:rsidRPr="00201A9A">
        <w:rPr>
          <w:noProof/>
        </w:rPr>
        <w:tab/>
      </w:r>
      <w:r w:rsidR="1E055A0A" w:rsidRPr="00201A9A">
        <w:rPr>
          <w:noProof/>
        </w:rPr>
        <w:t>państwo członkowskie może wystąpić</w:t>
      </w:r>
      <w:r w:rsidRPr="00201A9A">
        <w:rPr>
          <w:noProof/>
        </w:rPr>
        <w:t xml:space="preserve"> z wni</w:t>
      </w:r>
      <w:r w:rsidR="1E055A0A" w:rsidRPr="00201A9A">
        <w:rPr>
          <w:noProof/>
        </w:rPr>
        <w:t>oskiem</w:t>
      </w:r>
      <w:r w:rsidRPr="00201A9A">
        <w:rPr>
          <w:noProof/>
        </w:rPr>
        <w:t xml:space="preserve"> o trz</w:t>
      </w:r>
      <w:r w:rsidR="1E055A0A" w:rsidRPr="00201A9A">
        <w:rPr>
          <w:noProof/>
        </w:rPr>
        <w:t>y piąte zgodnie</w:t>
      </w:r>
      <w:r w:rsidRPr="00201A9A">
        <w:rPr>
          <w:noProof/>
        </w:rPr>
        <w:t xml:space="preserve"> z art</w:t>
      </w:r>
      <w:r w:rsidR="1E055A0A" w:rsidRPr="00201A9A">
        <w:rPr>
          <w:noProof/>
        </w:rPr>
        <w:t>.</w:t>
      </w:r>
      <w:r w:rsidRPr="00201A9A">
        <w:rPr>
          <w:noProof/>
        </w:rPr>
        <w:t> </w:t>
      </w:r>
      <w:r w:rsidR="1E055A0A" w:rsidRPr="00201A9A">
        <w:rPr>
          <w:noProof/>
        </w:rPr>
        <w:t>25 [przegląd śródokresowy], przy czym</w:t>
      </w:r>
      <w:r w:rsidRPr="00201A9A">
        <w:rPr>
          <w:noProof/>
        </w:rPr>
        <w:t xml:space="preserve"> o czę</w:t>
      </w:r>
      <w:r w:rsidR="1E055A0A" w:rsidRPr="00201A9A">
        <w:rPr>
          <w:noProof/>
        </w:rPr>
        <w:t>ść tego może wnioskować przed przeglądem śródokresowym</w:t>
      </w:r>
      <w:r w:rsidRPr="00201A9A">
        <w:rPr>
          <w:noProof/>
        </w:rPr>
        <w:t xml:space="preserve"> w nal</w:t>
      </w:r>
      <w:r w:rsidR="1E055A0A" w:rsidRPr="00201A9A">
        <w:rPr>
          <w:noProof/>
        </w:rPr>
        <w:t>eżycie uzasadnionych</w:t>
      </w:r>
      <w:r w:rsidRPr="00201A9A">
        <w:rPr>
          <w:noProof/>
        </w:rPr>
        <w:t xml:space="preserve"> i wyj</w:t>
      </w:r>
      <w:r w:rsidR="1E055A0A" w:rsidRPr="00201A9A">
        <w:rPr>
          <w:noProof/>
        </w:rPr>
        <w:t>ątkowych okolicznościach;</w:t>
      </w:r>
    </w:p>
    <w:p w14:paraId="3F7B183E" w14:textId="5D2556B9" w:rsidR="00820D42" w:rsidRPr="00201A9A" w:rsidRDefault="00201A9A" w:rsidP="00201A9A">
      <w:pPr>
        <w:pStyle w:val="Point1"/>
        <w:rPr>
          <w:noProof/>
        </w:rPr>
      </w:pPr>
      <w:r w:rsidRPr="00201A9A">
        <w:rPr>
          <w:noProof/>
        </w:rPr>
        <w:t>c)</w:t>
      </w:r>
      <w:r w:rsidRPr="00201A9A">
        <w:rPr>
          <w:noProof/>
        </w:rPr>
        <w:tab/>
      </w:r>
      <w:r w:rsidR="5B08F64A" w:rsidRPr="00201A9A">
        <w:rPr>
          <w:noProof/>
        </w:rPr>
        <w:t>państwo członkowskie może wystąpić</w:t>
      </w:r>
      <w:r w:rsidRPr="00201A9A">
        <w:rPr>
          <w:noProof/>
        </w:rPr>
        <w:t xml:space="preserve"> z wni</w:t>
      </w:r>
      <w:r w:rsidR="5B08F64A" w:rsidRPr="00201A9A">
        <w:rPr>
          <w:noProof/>
        </w:rPr>
        <w:t>oskiem</w:t>
      </w:r>
      <w:r w:rsidRPr="00201A9A">
        <w:rPr>
          <w:noProof/>
        </w:rPr>
        <w:t xml:space="preserve"> o jed</w:t>
      </w:r>
      <w:r w:rsidR="5B08F64A" w:rsidRPr="00201A9A">
        <w:rPr>
          <w:noProof/>
        </w:rPr>
        <w:t>ną piątą dopiero od</w:t>
      </w:r>
      <w:r w:rsidRPr="00201A9A">
        <w:rPr>
          <w:noProof/>
        </w:rPr>
        <w:t> </w:t>
      </w:r>
      <w:r w:rsidR="5B08F64A" w:rsidRPr="00201A9A">
        <w:rPr>
          <w:noProof/>
        </w:rPr>
        <w:t>2031</w:t>
      </w:r>
      <w:r w:rsidRPr="00201A9A">
        <w:rPr>
          <w:noProof/>
        </w:rPr>
        <w:t> </w:t>
      </w:r>
      <w:r w:rsidR="5B08F64A" w:rsidRPr="00201A9A">
        <w:rPr>
          <w:noProof/>
        </w:rPr>
        <w:t>r., zgodnie</w:t>
      </w:r>
      <w:r w:rsidRPr="00201A9A">
        <w:rPr>
          <w:noProof/>
        </w:rPr>
        <w:t xml:space="preserve"> z art</w:t>
      </w:r>
      <w:r w:rsidR="5B08F64A" w:rsidRPr="00201A9A">
        <w:rPr>
          <w:noProof/>
        </w:rPr>
        <w:t>.</w:t>
      </w:r>
      <w:r w:rsidRPr="00201A9A">
        <w:rPr>
          <w:noProof/>
        </w:rPr>
        <w:t> </w:t>
      </w:r>
      <w:r w:rsidR="5B08F64A" w:rsidRPr="00201A9A">
        <w:rPr>
          <w:noProof/>
        </w:rPr>
        <w:t>34 (Zmiana planu</w:t>
      </w:r>
      <w:r w:rsidRPr="00201A9A">
        <w:rPr>
          <w:noProof/>
        </w:rPr>
        <w:t xml:space="preserve"> w syt</w:t>
      </w:r>
      <w:r w:rsidR="5B08F64A" w:rsidRPr="00201A9A">
        <w:rPr>
          <w:noProof/>
        </w:rPr>
        <w:t>uacjach kryzysowych). Od dnia 30 czerwca 2033</w:t>
      </w:r>
      <w:r w:rsidRPr="00201A9A">
        <w:rPr>
          <w:noProof/>
        </w:rPr>
        <w:t> </w:t>
      </w:r>
      <w:r w:rsidR="5B08F64A" w:rsidRPr="00201A9A">
        <w:rPr>
          <w:noProof/>
        </w:rPr>
        <w:t>r. wszelkie niezaprogramowane kwoty udostępnia się na potrzeby programowania na potrzeby wszelkich zmian</w:t>
      </w:r>
      <w:r w:rsidRPr="00201A9A">
        <w:rPr>
          <w:noProof/>
        </w:rPr>
        <w:t xml:space="preserve"> w pla</w:t>
      </w:r>
      <w:r w:rsidR="5B08F64A" w:rsidRPr="00201A9A">
        <w:rPr>
          <w:noProof/>
        </w:rPr>
        <w:t>nie.</w:t>
      </w:r>
    </w:p>
    <w:p w14:paraId="705DC5A8" w14:textId="13A15CB4" w:rsidR="00B83DCC" w:rsidRPr="00201A9A" w:rsidRDefault="00586F2F" w:rsidP="007C1C62">
      <w:pPr>
        <w:pStyle w:val="Text1"/>
        <w:rPr>
          <w:noProof/>
        </w:rPr>
      </w:pPr>
      <w:r w:rsidRPr="00201A9A">
        <w:rPr>
          <w:noProof/>
        </w:rPr>
        <w:t>Części wkładu finansowego przydzielonej na interwencje,</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35 ust.</w:t>
      </w:r>
      <w:r w:rsidR="00201A9A" w:rsidRPr="00201A9A">
        <w:rPr>
          <w:noProof/>
        </w:rPr>
        <w:t> </w:t>
      </w:r>
      <w:r w:rsidRPr="00201A9A">
        <w:rPr>
          <w:noProof/>
        </w:rPr>
        <w:t>1 lit.</w:t>
      </w:r>
      <w:r w:rsidR="00201A9A" w:rsidRPr="00201A9A">
        <w:rPr>
          <w:noProof/>
        </w:rPr>
        <w:t> </w:t>
      </w:r>
      <w:r w:rsidRPr="00201A9A">
        <w:rPr>
          <w:noProof/>
        </w:rPr>
        <w:t>a)–h), j), k) i r) [rodzaje interwencji], nie wlicza się do kwoty elastyczności.</w:t>
      </w:r>
    </w:p>
    <w:p w14:paraId="5874B4A4" w14:textId="7C1614A4" w:rsidR="00586F2F" w:rsidRPr="00201A9A" w:rsidRDefault="60F577A4" w:rsidP="007C1C62">
      <w:pPr>
        <w:pStyle w:val="Text1"/>
        <w:rPr>
          <w:noProof/>
        </w:rPr>
      </w:pPr>
      <w:r w:rsidRPr="00201A9A">
        <w:rPr>
          <w:noProof/>
        </w:rPr>
        <w:t>W przypadku kwoty elastyczności bieg terminu określonego</w:t>
      </w:r>
      <w:r w:rsidR="00201A9A" w:rsidRPr="00201A9A">
        <w:rPr>
          <w:noProof/>
        </w:rPr>
        <w:t xml:space="preserve"> w art</w:t>
      </w:r>
      <w:r w:rsidRPr="00201A9A">
        <w:rPr>
          <w:noProof/>
        </w:rPr>
        <w:t>.</w:t>
      </w:r>
      <w:r w:rsidR="00201A9A" w:rsidRPr="00201A9A">
        <w:rPr>
          <w:noProof/>
        </w:rPr>
        <w:t> </w:t>
      </w:r>
      <w:r w:rsidRPr="00201A9A">
        <w:rPr>
          <w:noProof/>
        </w:rPr>
        <w:t>15 ust.</w:t>
      </w:r>
      <w:r w:rsidR="00201A9A" w:rsidRPr="00201A9A">
        <w:rPr>
          <w:noProof/>
        </w:rPr>
        <w:t> </w:t>
      </w:r>
      <w:r w:rsidRPr="00201A9A">
        <w:rPr>
          <w:noProof/>
        </w:rPr>
        <w:t>1 rozpoczyna się dopiero wtedy, gdy kwoty są programowane zgodnie</w:t>
      </w:r>
      <w:r w:rsidR="00201A9A" w:rsidRPr="00201A9A">
        <w:rPr>
          <w:noProof/>
        </w:rPr>
        <w:t xml:space="preserve"> z lit</w:t>
      </w:r>
      <w:r w:rsidRPr="00201A9A">
        <w:rPr>
          <w:noProof/>
        </w:rPr>
        <w:t>.</w:t>
      </w:r>
      <w:r w:rsidR="00201A9A" w:rsidRPr="00201A9A">
        <w:rPr>
          <w:noProof/>
        </w:rPr>
        <w:t> </w:t>
      </w:r>
      <w:r w:rsidRPr="00201A9A">
        <w:rPr>
          <w:noProof/>
        </w:rPr>
        <w:t xml:space="preserve">a), b) i c). </w:t>
      </w:r>
    </w:p>
    <w:p w14:paraId="1042E61A" w14:textId="77777777" w:rsidR="00BC7E7B" w:rsidRPr="00201A9A" w:rsidRDefault="00BC7E7B" w:rsidP="007C1C62">
      <w:pPr>
        <w:pStyle w:val="Text1"/>
        <w:rPr>
          <w:noProof/>
        </w:rPr>
      </w:pPr>
      <w:r w:rsidRPr="00201A9A">
        <w:rPr>
          <w:noProof/>
        </w:rPr>
        <w:t xml:space="preserve">Niniejszy ustęp nie ma zastosowania do unijnego wkładu finansowego danego państwa członkowskiego na rzecz </w:t>
      </w:r>
      <w:r w:rsidR="00A47BEA" w:rsidRPr="00201A9A">
        <w:rPr>
          <w:noProof/>
        </w:rPr>
        <w:t>P</w:t>
      </w:r>
      <w:r w:rsidRPr="00201A9A">
        <w:rPr>
          <w:noProof/>
        </w:rPr>
        <w:t xml:space="preserve">lanu Interreg. </w:t>
      </w:r>
    </w:p>
    <w:p w14:paraId="718223D9" w14:textId="77777777" w:rsidR="00EB047D" w:rsidRPr="00201A9A" w:rsidRDefault="00EB047D" w:rsidP="00EB047D">
      <w:pPr>
        <w:pStyle w:val="Titrearticle"/>
        <w:rPr>
          <w:noProof/>
        </w:rPr>
      </w:pPr>
      <w:r w:rsidRPr="00201A9A">
        <w:rPr>
          <w:noProof/>
        </w:rPr>
        <w:t xml:space="preserve">Artykuł 15 </w:t>
      </w:r>
      <w:r w:rsidRPr="00201A9A">
        <w:rPr>
          <w:noProof/>
        </w:rPr>
        <w:br/>
      </w:r>
      <w:r w:rsidRPr="00201A9A">
        <w:rPr>
          <w:b/>
          <w:noProof/>
        </w:rPr>
        <w:t>Umorzenie zobowiązań</w:t>
      </w:r>
    </w:p>
    <w:p w14:paraId="28A622B6" w14:textId="60036436" w:rsidR="00A97529" w:rsidRPr="00201A9A" w:rsidRDefault="00586F2F" w:rsidP="003E2902">
      <w:pPr>
        <w:pStyle w:val="NumPar10000000"/>
        <w:numPr>
          <w:ilvl w:val="0"/>
          <w:numId w:val="39"/>
        </w:numPr>
        <w:rPr>
          <w:noProof/>
        </w:rPr>
      </w:pPr>
      <w:r w:rsidRPr="00201A9A">
        <w:rPr>
          <w:noProof/>
        </w:rPr>
        <w:t>Komisja umarza zobowiązanie dotyczące każdej kwoty</w:t>
      </w:r>
      <w:r w:rsidR="00201A9A" w:rsidRPr="00201A9A">
        <w:rPr>
          <w:noProof/>
        </w:rPr>
        <w:t xml:space="preserve"> w pla</w:t>
      </w:r>
      <w:r w:rsidRPr="00201A9A">
        <w:rPr>
          <w:noProof/>
        </w:rPr>
        <w:t>nie PKR</w:t>
      </w:r>
      <w:r w:rsidR="00201A9A" w:rsidRPr="00201A9A">
        <w:rPr>
          <w:noProof/>
        </w:rPr>
        <w:t xml:space="preserve"> i w roz</w:t>
      </w:r>
      <w:r w:rsidRPr="00201A9A">
        <w:rPr>
          <w:noProof/>
        </w:rPr>
        <w:t xml:space="preserve">dziale </w:t>
      </w:r>
      <w:r w:rsidR="00A47BEA" w:rsidRPr="00201A9A">
        <w:rPr>
          <w:noProof/>
        </w:rPr>
        <w:t>P</w:t>
      </w:r>
      <w:r w:rsidRPr="00201A9A">
        <w:rPr>
          <w:noProof/>
        </w:rPr>
        <w:t>lanu Interreg, która nie została wykorzystana na płatności zaliczkowe zgodnie</w:t>
      </w:r>
      <w:r w:rsidR="00201A9A" w:rsidRPr="00201A9A">
        <w:rPr>
          <w:noProof/>
        </w:rPr>
        <w:t xml:space="preserve"> z art</w:t>
      </w:r>
      <w:r w:rsidRPr="00201A9A">
        <w:rPr>
          <w:noProof/>
        </w:rPr>
        <w:t>.</w:t>
      </w:r>
      <w:r w:rsidR="00201A9A" w:rsidRPr="00201A9A">
        <w:rPr>
          <w:noProof/>
        </w:rPr>
        <w:t> </w:t>
      </w:r>
      <w:r w:rsidRPr="00201A9A">
        <w:rPr>
          <w:noProof/>
        </w:rPr>
        <w:t>17 [Płatności zaliczkowe] lub</w:t>
      </w:r>
      <w:r w:rsidR="00201A9A" w:rsidRPr="00201A9A">
        <w:rPr>
          <w:noProof/>
        </w:rPr>
        <w:t xml:space="preserve"> w odn</w:t>
      </w:r>
      <w:r w:rsidRPr="00201A9A">
        <w:rPr>
          <w:noProof/>
        </w:rPr>
        <w:t>iesieniu do której nie przedłożono wniosku</w:t>
      </w:r>
      <w:r w:rsidR="00201A9A" w:rsidRPr="00201A9A">
        <w:rPr>
          <w:noProof/>
        </w:rPr>
        <w:t xml:space="preserve"> o pła</w:t>
      </w:r>
      <w:r w:rsidRPr="00201A9A">
        <w:rPr>
          <w:noProof/>
        </w:rPr>
        <w:t>tność zgodnie</w:t>
      </w:r>
      <w:r w:rsidR="00201A9A" w:rsidRPr="00201A9A">
        <w:rPr>
          <w:noProof/>
        </w:rPr>
        <w:t xml:space="preserve"> z art</w:t>
      </w:r>
      <w:r w:rsidRPr="00201A9A">
        <w:rPr>
          <w:noProof/>
        </w:rPr>
        <w:t>.</w:t>
      </w:r>
      <w:r w:rsidR="00201A9A" w:rsidRPr="00201A9A">
        <w:rPr>
          <w:noProof/>
        </w:rPr>
        <w:t> </w:t>
      </w:r>
      <w:r w:rsidRPr="00201A9A">
        <w:rPr>
          <w:noProof/>
        </w:rPr>
        <w:t>65 [Składanie</w:t>
      </w:r>
      <w:r w:rsidR="00201A9A" w:rsidRPr="00201A9A">
        <w:rPr>
          <w:noProof/>
        </w:rPr>
        <w:t xml:space="preserve"> i oce</w:t>
      </w:r>
      <w:r w:rsidRPr="00201A9A">
        <w:rPr>
          <w:noProof/>
        </w:rPr>
        <w:t>na wniosków</w:t>
      </w:r>
      <w:r w:rsidR="00201A9A" w:rsidRPr="00201A9A">
        <w:rPr>
          <w:noProof/>
        </w:rPr>
        <w:t xml:space="preserve"> o pła</w:t>
      </w:r>
      <w:r w:rsidRPr="00201A9A">
        <w:rPr>
          <w:noProof/>
        </w:rPr>
        <w:t>tność], do dnia 31 października roku kalendarzowego następującego po roku,</w:t>
      </w:r>
      <w:r w:rsidR="00201A9A" w:rsidRPr="00201A9A">
        <w:rPr>
          <w:noProof/>
        </w:rPr>
        <w:t xml:space="preserve"> w któ</w:t>
      </w:r>
      <w:r w:rsidRPr="00201A9A">
        <w:rPr>
          <w:noProof/>
        </w:rPr>
        <w:t>rym zaciągnięto zobowiązania budżetowe. </w:t>
      </w:r>
    </w:p>
    <w:p w14:paraId="088E62BB" w14:textId="09D03D4B" w:rsidR="00586F2F" w:rsidRPr="00201A9A" w:rsidRDefault="00586F2F" w:rsidP="003E2902">
      <w:pPr>
        <w:pStyle w:val="NumPar10000000"/>
        <w:numPr>
          <w:ilvl w:val="0"/>
          <w:numId w:val="39"/>
        </w:numPr>
        <w:rPr>
          <w:noProof/>
        </w:rPr>
      </w:pPr>
      <w:r w:rsidRPr="00201A9A">
        <w:rPr>
          <w:noProof/>
        </w:rPr>
        <w:t>Kwotę, odpowiadającą zobowiązaniu, które podlega umorzeniu, pomniejsza się</w:t>
      </w:r>
      <w:r w:rsidR="00201A9A" w:rsidRPr="00201A9A">
        <w:rPr>
          <w:noProof/>
        </w:rPr>
        <w:t xml:space="preserve"> o kwo</w:t>
      </w:r>
      <w:r w:rsidRPr="00201A9A">
        <w:rPr>
          <w:noProof/>
        </w:rPr>
        <w:t>ty równe tej części zobowiązania budżetowego,</w:t>
      </w:r>
      <w:r w:rsidR="00201A9A" w:rsidRPr="00201A9A">
        <w:rPr>
          <w:noProof/>
        </w:rPr>
        <w:t xml:space="preserve"> w odn</w:t>
      </w:r>
      <w:r w:rsidRPr="00201A9A">
        <w:rPr>
          <w:noProof/>
        </w:rPr>
        <w:t>iesieniu do której:</w:t>
      </w:r>
    </w:p>
    <w:p w14:paraId="596E65C4" w14:textId="513E6994" w:rsidR="00586F2F" w:rsidRPr="00201A9A" w:rsidRDefault="00201A9A" w:rsidP="00201A9A">
      <w:pPr>
        <w:pStyle w:val="Point1"/>
        <w:rPr>
          <w:noProof/>
        </w:rPr>
      </w:pPr>
      <w:r w:rsidRPr="00201A9A">
        <w:rPr>
          <w:noProof/>
        </w:rPr>
        <w:t>a)</w:t>
      </w:r>
      <w:r w:rsidRPr="00201A9A">
        <w:rPr>
          <w:noProof/>
        </w:rPr>
        <w:tab/>
      </w:r>
      <w:r w:rsidR="00586F2F" w:rsidRPr="00201A9A">
        <w:rPr>
          <w:noProof/>
        </w:rPr>
        <w:t>operacje są zawieszone</w:t>
      </w:r>
      <w:r w:rsidRPr="00201A9A">
        <w:rPr>
          <w:noProof/>
        </w:rPr>
        <w:t xml:space="preserve"> w wyn</w:t>
      </w:r>
      <w:r w:rsidR="00586F2F" w:rsidRPr="00201A9A">
        <w:rPr>
          <w:noProof/>
        </w:rPr>
        <w:t>iku postępowania prawnego lub odwołania administracyjnego</w:t>
      </w:r>
      <w:r w:rsidRPr="00201A9A">
        <w:rPr>
          <w:noProof/>
        </w:rPr>
        <w:t xml:space="preserve"> o sku</w:t>
      </w:r>
      <w:r w:rsidR="00586F2F" w:rsidRPr="00201A9A">
        <w:rPr>
          <w:noProof/>
        </w:rPr>
        <w:t>tku zawieszającym; lub</w:t>
      </w:r>
    </w:p>
    <w:p w14:paraId="7B42F521" w14:textId="2AB8E904" w:rsidR="00820D42" w:rsidRPr="00201A9A" w:rsidRDefault="00201A9A" w:rsidP="00201A9A">
      <w:pPr>
        <w:pStyle w:val="Point1"/>
        <w:rPr>
          <w:noProof/>
        </w:rPr>
      </w:pPr>
      <w:r w:rsidRPr="00201A9A">
        <w:rPr>
          <w:noProof/>
        </w:rPr>
        <w:t>b)</w:t>
      </w:r>
      <w:r w:rsidRPr="00201A9A">
        <w:rPr>
          <w:noProof/>
        </w:rPr>
        <w:tab/>
      </w:r>
      <w:r w:rsidR="00586F2F" w:rsidRPr="00201A9A">
        <w:rPr>
          <w:noProof/>
        </w:rPr>
        <w:t>niemożliwe było złożenie wniosku</w:t>
      </w:r>
      <w:r w:rsidRPr="00201A9A">
        <w:rPr>
          <w:noProof/>
        </w:rPr>
        <w:t xml:space="preserve"> o pła</w:t>
      </w:r>
      <w:r w:rsidR="00586F2F" w:rsidRPr="00201A9A">
        <w:rPr>
          <w:noProof/>
        </w:rPr>
        <w:t>tność</w:t>
      </w:r>
      <w:r w:rsidRPr="00201A9A">
        <w:rPr>
          <w:noProof/>
        </w:rPr>
        <w:t xml:space="preserve"> z pow</w:t>
      </w:r>
      <w:r w:rsidR="00586F2F" w:rsidRPr="00201A9A">
        <w:rPr>
          <w:noProof/>
        </w:rPr>
        <w:t xml:space="preserve">odu działania siły wyższej mającej poważny wpływ na wdrażanie całości lub części planu PKR lub rozdziału </w:t>
      </w:r>
      <w:r w:rsidR="00A47BEA" w:rsidRPr="00201A9A">
        <w:rPr>
          <w:noProof/>
        </w:rPr>
        <w:t>P</w:t>
      </w:r>
      <w:r w:rsidR="00586F2F" w:rsidRPr="00201A9A">
        <w:rPr>
          <w:noProof/>
        </w:rPr>
        <w:t>lanu Interreg.</w:t>
      </w:r>
    </w:p>
    <w:p w14:paraId="52C2E687" w14:textId="5BAAAB26" w:rsidR="00586F2F" w:rsidRPr="00201A9A" w:rsidRDefault="77841830" w:rsidP="007C1C62">
      <w:pPr>
        <w:pStyle w:val="Text1"/>
        <w:rPr>
          <w:noProof/>
        </w:rPr>
      </w:pPr>
      <w:r w:rsidRPr="00201A9A">
        <w:rPr>
          <w:noProof/>
        </w:rPr>
        <w:t>Organy krajowe powołujące się na działanie siły wyższej,</w:t>
      </w:r>
      <w:r w:rsidR="00201A9A" w:rsidRPr="00201A9A">
        <w:rPr>
          <w:noProof/>
        </w:rPr>
        <w:t xml:space="preserve"> o któ</w:t>
      </w:r>
      <w:r w:rsidRPr="00201A9A">
        <w:rPr>
          <w:noProof/>
        </w:rPr>
        <w:t>rej mowa</w:t>
      </w:r>
      <w:r w:rsidR="00201A9A" w:rsidRPr="00201A9A">
        <w:rPr>
          <w:noProof/>
        </w:rPr>
        <w:t xml:space="preserve"> w aka</w:t>
      </w:r>
      <w:r w:rsidRPr="00201A9A">
        <w:rPr>
          <w:noProof/>
        </w:rPr>
        <w:t>picie pierwszym lit.</w:t>
      </w:r>
      <w:r w:rsidR="00201A9A" w:rsidRPr="00201A9A">
        <w:rPr>
          <w:noProof/>
        </w:rPr>
        <w:t> </w:t>
      </w:r>
      <w:r w:rsidRPr="00201A9A">
        <w:rPr>
          <w:noProof/>
        </w:rPr>
        <w:t xml:space="preserve">b), udowadniają jej bezpośrednie konsekwencje dla realizacji całości lub części planu PKR lub rozdziału </w:t>
      </w:r>
      <w:r w:rsidR="00A47BEA" w:rsidRPr="00201A9A">
        <w:rPr>
          <w:noProof/>
        </w:rPr>
        <w:t>P</w:t>
      </w:r>
      <w:r w:rsidRPr="00201A9A">
        <w:rPr>
          <w:noProof/>
        </w:rPr>
        <w:t>lanu Interreg.</w:t>
      </w:r>
    </w:p>
    <w:p w14:paraId="1A12A67B" w14:textId="6D0555A8" w:rsidR="00586F2F" w:rsidRPr="00201A9A" w:rsidRDefault="00586F2F" w:rsidP="003E2902">
      <w:pPr>
        <w:pStyle w:val="NumPar10000000"/>
        <w:numPr>
          <w:ilvl w:val="0"/>
          <w:numId w:val="85"/>
        </w:numPr>
        <w:rPr>
          <w:noProof/>
        </w:rPr>
      </w:pPr>
      <w:r w:rsidRPr="00201A9A">
        <w:rPr>
          <w:noProof/>
        </w:rPr>
        <w:t>Do dnia 31 stycznia państwo członkowskie przesyła Komisji informacje dotyczące wyjątków,</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2 akapit pierwszy lit.</w:t>
      </w:r>
      <w:r w:rsidR="00201A9A" w:rsidRPr="00201A9A">
        <w:rPr>
          <w:noProof/>
        </w:rPr>
        <w:t> </w:t>
      </w:r>
      <w:r w:rsidRPr="00201A9A">
        <w:rPr>
          <w:noProof/>
        </w:rPr>
        <w:t>a) i b),</w:t>
      </w:r>
      <w:r w:rsidR="00201A9A" w:rsidRPr="00201A9A">
        <w:rPr>
          <w:noProof/>
        </w:rPr>
        <w:t xml:space="preserve"> w odn</w:t>
      </w:r>
      <w:r w:rsidRPr="00201A9A">
        <w:rPr>
          <w:noProof/>
        </w:rPr>
        <w:t>iesieniu do kwoty, która podlega zadeklarowaniu do dnia 31 grudnia poprzedniego roku.</w:t>
      </w:r>
    </w:p>
    <w:p w14:paraId="58898391" w14:textId="0F1C49A0" w:rsidR="00877F87" w:rsidRPr="00201A9A" w:rsidRDefault="57A1E0C2" w:rsidP="003E2902">
      <w:pPr>
        <w:pStyle w:val="NumPar10000000"/>
        <w:numPr>
          <w:ilvl w:val="0"/>
          <w:numId w:val="85"/>
        </w:numPr>
        <w:rPr>
          <w:rFonts w:eastAsiaTheme="minorEastAsia"/>
          <w:noProof/>
        </w:rPr>
      </w:pPr>
      <w:r w:rsidRPr="00201A9A">
        <w:rPr>
          <w:noProof/>
        </w:rPr>
        <w:t>Środki odpowiadające umorzeniom zgodnie</w:t>
      </w:r>
      <w:r w:rsidR="00201A9A" w:rsidRPr="00201A9A">
        <w:rPr>
          <w:noProof/>
        </w:rPr>
        <w:t xml:space="preserve"> z art</w:t>
      </w:r>
      <w:r w:rsidRPr="00201A9A">
        <w:rPr>
          <w:noProof/>
        </w:rPr>
        <w:t>.</w:t>
      </w:r>
      <w:r w:rsidR="00201A9A" w:rsidRPr="00201A9A">
        <w:rPr>
          <w:noProof/>
        </w:rPr>
        <w:t> </w:t>
      </w:r>
      <w:r w:rsidRPr="00201A9A">
        <w:rPr>
          <w:noProof/>
        </w:rPr>
        <w:t>7 ust.</w:t>
      </w:r>
      <w:r w:rsidR="00201A9A" w:rsidRPr="00201A9A">
        <w:rPr>
          <w:noProof/>
        </w:rPr>
        <w:t> </w:t>
      </w:r>
      <w:r w:rsidRPr="00201A9A">
        <w:rPr>
          <w:noProof/>
        </w:rPr>
        <w:t>3 rozporządzenia (UE, Euratom) 2020/2092 oraz art.</w:t>
      </w:r>
      <w:r w:rsidR="00201A9A" w:rsidRPr="00201A9A">
        <w:rPr>
          <w:noProof/>
        </w:rPr>
        <w:t> </w:t>
      </w:r>
      <w:r w:rsidRPr="00201A9A">
        <w:rPr>
          <w:noProof/>
        </w:rPr>
        <w:t>8 [Karta]</w:t>
      </w:r>
      <w:r w:rsidR="00201A9A" w:rsidRPr="00201A9A">
        <w:rPr>
          <w:noProof/>
        </w:rPr>
        <w:t xml:space="preserve"> i art</w:t>
      </w:r>
      <w:r w:rsidRPr="00201A9A">
        <w:rPr>
          <w:noProof/>
        </w:rPr>
        <w:t>.</w:t>
      </w:r>
      <w:r w:rsidR="00201A9A" w:rsidRPr="00201A9A">
        <w:rPr>
          <w:noProof/>
        </w:rPr>
        <w:t> </w:t>
      </w:r>
      <w:r w:rsidRPr="00201A9A">
        <w:rPr>
          <w:noProof/>
        </w:rPr>
        <w:t>9 [Warunek horyzontalny dotyczący państwa prawnego] niniejszego rozporządzenia mogą zostać ponownie udostępnione do wykorzystania</w:t>
      </w:r>
      <w:r w:rsidR="00201A9A" w:rsidRPr="00201A9A">
        <w:rPr>
          <w:noProof/>
        </w:rPr>
        <w:t xml:space="preserve"> w ram</w:t>
      </w:r>
      <w:r w:rsidRPr="00201A9A">
        <w:rPr>
          <w:noProof/>
        </w:rPr>
        <w:t>ach innych instrumentów lub programów Unii wdrażanych</w:t>
      </w:r>
      <w:r w:rsidR="00201A9A" w:rsidRPr="00201A9A">
        <w:rPr>
          <w:noProof/>
        </w:rPr>
        <w:t xml:space="preserve"> w ram</w:t>
      </w:r>
      <w:r w:rsidRPr="00201A9A">
        <w:rPr>
          <w:noProof/>
        </w:rPr>
        <w:t>ach zarządzania bezpośredniego lub pośredniego,</w:t>
      </w:r>
      <w:r w:rsidR="00201A9A" w:rsidRPr="00201A9A">
        <w:rPr>
          <w:noProof/>
        </w:rPr>
        <w:t xml:space="preserve"> w szc</w:t>
      </w:r>
      <w:r w:rsidRPr="00201A9A">
        <w:rPr>
          <w:noProof/>
        </w:rPr>
        <w:t>zególności tych, które przyczyniają się do wspierania europejskiej demokracji, społeczeństwa obywatelskiego, wartości Unii lub walki</w:t>
      </w:r>
      <w:r w:rsidR="00201A9A" w:rsidRPr="00201A9A">
        <w:rPr>
          <w:noProof/>
        </w:rPr>
        <w:t xml:space="preserve"> z kor</w:t>
      </w:r>
      <w:r w:rsidRPr="00201A9A">
        <w:rPr>
          <w:noProof/>
        </w:rPr>
        <w:t>upcją.</w:t>
      </w:r>
    </w:p>
    <w:p w14:paraId="2E892513" w14:textId="0D243019" w:rsidR="00295F45" w:rsidRPr="00201A9A" w:rsidRDefault="00134112" w:rsidP="003E2902">
      <w:pPr>
        <w:pStyle w:val="NumPar10000000"/>
        <w:numPr>
          <w:ilvl w:val="0"/>
          <w:numId w:val="85"/>
        </w:numPr>
        <w:rPr>
          <w:rFonts w:eastAsiaTheme="minorEastAsia"/>
          <w:noProof/>
        </w:rPr>
      </w:pPr>
      <w:r w:rsidRPr="00201A9A">
        <w:rPr>
          <w:noProof/>
        </w:rPr>
        <w:t>Niniejszy artykuł nie ma zastosowania do kwot udostępnionych jako zewnętrzne dochody przeznaczone na określony cel,</w:t>
      </w:r>
      <w:r w:rsidR="00201A9A" w:rsidRPr="00201A9A">
        <w:rPr>
          <w:noProof/>
        </w:rPr>
        <w:t xml:space="preserve"> a ust</w:t>
      </w:r>
      <w:r w:rsidRPr="00201A9A">
        <w:rPr>
          <w:noProof/>
        </w:rPr>
        <w:t>.</w:t>
      </w:r>
      <w:r w:rsidR="00201A9A" w:rsidRPr="00201A9A">
        <w:rPr>
          <w:noProof/>
        </w:rPr>
        <w:t> </w:t>
      </w:r>
      <w:r w:rsidRPr="00201A9A">
        <w:rPr>
          <w:noProof/>
        </w:rPr>
        <w:t>1–3 nie mają zastosowania do interwencji wymienionych</w:t>
      </w:r>
      <w:r w:rsidR="00201A9A" w:rsidRPr="00201A9A">
        <w:rPr>
          <w:noProof/>
        </w:rPr>
        <w:t xml:space="preserve"> w art</w:t>
      </w:r>
      <w:r w:rsidRPr="00201A9A">
        <w:rPr>
          <w:noProof/>
        </w:rPr>
        <w:t>.</w:t>
      </w:r>
      <w:r w:rsidR="00201A9A" w:rsidRPr="00201A9A">
        <w:rPr>
          <w:noProof/>
        </w:rPr>
        <w:t> </w:t>
      </w:r>
      <w:r w:rsidRPr="00201A9A">
        <w:rPr>
          <w:noProof/>
        </w:rPr>
        <w:t>35 ust.</w:t>
      </w:r>
      <w:r w:rsidR="00201A9A" w:rsidRPr="00201A9A">
        <w:rPr>
          <w:noProof/>
        </w:rPr>
        <w:t> </w:t>
      </w:r>
      <w:r w:rsidRPr="00201A9A">
        <w:rPr>
          <w:noProof/>
        </w:rPr>
        <w:t>1 lit.</w:t>
      </w:r>
      <w:r w:rsidR="00201A9A" w:rsidRPr="00201A9A">
        <w:rPr>
          <w:noProof/>
        </w:rPr>
        <w:t> </w:t>
      </w:r>
      <w:r w:rsidRPr="00201A9A">
        <w:rPr>
          <w:noProof/>
        </w:rPr>
        <w:t>a)–g) [rodzaje interwencji].</w:t>
      </w:r>
    </w:p>
    <w:p w14:paraId="5E6003BF" w14:textId="77777777" w:rsidR="00EB047D" w:rsidRPr="00201A9A" w:rsidRDefault="00EB047D" w:rsidP="00004723">
      <w:pPr>
        <w:pStyle w:val="Titrearticle"/>
        <w:rPr>
          <w:noProof/>
        </w:rPr>
      </w:pPr>
      <w:r w:rsidRPr="00201A9A">
        <w:rPr>
          <w:noProof/>
        </w:rPr>
        <w:t xml:space="preserve">Artykuł 16 </w:t>
      </w:r>
      <w:r w:rsidRPr="00201A9A">
        <w:rPr>
          <w:noProof/>
        </w:rPr>
        <w:br/>
      </w:r>
      <w:r w:rsidRPr="00201A9A">
        <w:rPr>
          <w:b/>
          <w:noProof/>
        </w:rPr>
        <w:t>Procedura umorzenia zobowiązań</w:t>
      </w:r>
    </w:p>
    <w:p w14:paraId="247C98EB" w14:textId="5EC0202B" w:rsidR="00586F2F" w:rsidRPr="00201A9A" w:rsidRDefault="00586F2F" w:rsidP="003E2902">
      <w:pPr>
        <w:pStyle w:val="NumPar10000000"/>
        <w:numPr>
          <w:ilvl w:val="0"/>
          <w:numId w:val="79"/>
        </w:numPr>
        <w:rPr>
          <w:noProof/>
        </w:rPr>
      </w:pPr>
      <w:r w:rsidRPr="00201A9A">
        <w:rPr>
          <w:noProof/>
        </w:rPr>
        <w:t>Komisja informuje państwo członkowskie</w:t>
      </w:r>
      <w:r w:rsidR="00201A9A" w:rsidRPr="00201A9A">
        <w:rPr>
          <w:noProof/>
        </w:rPr>
        <w:t xml:space="preserve"> o kwo</w:t>
      </w:r>
      <w:r w:rsidRPr="00201A9A">
        <w:rPr>
          <w:noProof/>
        </w:rPr>
        <w:t>cie odpowiadającej zobowiązaniu, które podlega umorzeniu wynikającej</w:t>
      </w:r>
      <w:r w:rsidR="00201A9A" w:rsidRPr="00201A9A">
        <w:rPr>
          <w:noProof/>
        </w:rPr>
        <w:t xml:space="preserve"> z inf</w:t>
      </w:r>
      <w:r w:rsidRPr="00201A9A">
        <w:rPr>
          <w:noProof/>
        </w:rPr>
        <w:t>ormacji, które uzyskała na dzień 31 stycznia.</w:t>
      </w:r>
    </w:p>
    <w:p w14:paraId="5B0343BD" w14:textId="1202765D" w:rsidR="00586F2F" w:rsidRPr="00201A9A" w:rsidRDefault="00586F2F" w:rsidP="003E2902">
      <w:pPr>
        <w:pStyle w:val="NumPar10000000"/>
        <w:numPr>
          <w:ilvl w:val="0"/>
          <w:numId w:val="79"/>
        </w:numPr>
        <w:rPr>
          <w:noProof/>
        </w:rPr>
      </w:pPr>
      <w:r w:rsidRPr="00201A9A">
        <w:rPr>
          <w:noProof/>
        </w:rPr>
        <w:t>Państwo członkowskie ma dwa miesiące, licząc od daty przekazania przez Komisję informacji,</w:t>
      </w:r>
      <w:r w:rsidR="00201A9A" w:rsidRPr="00201A9A">
        <w:rPr>
          <w:noProof/>
        </w:rPr>
        <w:t xml:space="preserve"> o któ</w:t>
      </w:r>
      <w:r w:rsidRPr="00201A9A">
        <w:rPr>
          <w:noProof/>
        </w:rPr>
        <w:t>rej mowa</w:t>
      </w:r>
      <w:r w:rsidR="00201A9A" w:rsidRPr="00201A9A">
        <w:rPr>
          <w:noProof/>
        </w:rPr>
        <w:t xml:space="preserve"> u ust</w:t>
      </w:r>
      <w:r w:rsidRPr="00201A9A">
        <w:rPr>
          <w:noProof/>
        </w:rPr>
        <w:t>.</w:t>
      </w:r>
      <w:r w:rsidR="00201A9A" w:rsidRPr="00201A9A">
        <w:rPr>
          <w:noProof/>
        </w:rPr>
        <w:t> </w:t>
      </w:r>
      <w:r w:rsidRPr="00201A9A">
        <w:rPr>
          <w:noProof/>
        </w:rPr>
        <w:t>1, na wyrażenie zgody na kwotę, odpowiadającą zobowiązaniu, które ma zostać umorzone, lub na przedstawienie swoich uwag.</w:t>
      </w:r>
    </w:p>
    <w:p w14:paraId="274A97BB" w14:textId="7317920E" w:rsidR="000F2D2A" w:rsidRPr="00201A9A" w:rsidRDefault="002E6281" w:rsidP="003E2902">
      <w:pPr>
        <w:pStyle w:val="NumPar10000000"/>
        <w:numPr>
          <w:ilvl w:val="0"/>
          <w:numId w:val="79"/>
        </w:numPr>
        <w:rPr>
          <w:noProof/>
        </w:rPr>
      </w:pPr>
      <w:r w:rsidRPr="00201A9A">
        <w:rPr>
          <w:noProof/>
        </w:rPr>
        <w:t>W przypadku gdy umorzenie dotyczy kwot na które zaciągnięto zobowiązania</w:t>
      </w:r>
      <w:r w:rsidR="00201A9A" w:rsidRPr="00201A9A">
        <w:rPr>
          <w:noProof/>
        </w:rPr>
        <w:t xml:space="preserve"> w ram</w:t>
      </w:r>
      <w:r w:rsidRPr="00201A9A">
        <w:rPr>
          <w:noProof/>
        </w:rPr>
        <w:t>ach planu PKR, państwo członkowskie przedkłada Komisji wniosek</w:t>
      </w:r>
      <w:r w:rsidR="00201A9A" w:rsidRPr="00201A9A">
        <w:rPr>
          <w:noProof/>
        </w:rPr>
        <w:t xml:space="preserve"> o zmi</w:t>
      </w:r>
      <w:r w:rsidRPr="00201A9A">
        <w:rPr>
          <w:noProof/>
        </w:rPr>
        <w:t>anę planu PKR do dnia 30 czerwca uwzględniającą zmniejszoną kwotę wsparcia. Kwoty odpowiadające zobowiązaniu, które ma zostać umorzone</w:t>
      </w:r>
      <w:r w:rsidR="00201A9A" w:rsidRPr="00201A9A">
        <w:rPr>
          <w:noProof/>
        </w:rPr>
        <w:t xml:space="preserve"> i odp</w:t>
      </w:r>
      <w:r w:rsidRPr="00201A9A">
        <w:rPr>
          <w:noProof/>
        </w:rPr>
        <w:t>owiadające im zmniejszenie, są rozdzielane</w:t>
      </w:r>
      <w:r w:rsidR="00201A9A" w:rsidRPr="00201A9A">
        <w:rPr>
          <w:noProof/>
        </w:rPr>
        <w:t xml:space="preserve"> w pla</w:t>
      </w:r>
      <w:r w:rsidRPr="00201A9A">
        <w:rPr>
          <w:noProof/>
        </w:rPr>
        <w:t>nie PKR na podstawie postępów osiągniętych we wdrażaniu środków we wszystkich rozdziałach planu PKR.</w:t>
      </w:r>
    </w:p>
    <w:p w14:paraId="73ABB440" w14:textId="5E12A6D1" w:rsidR="00262F7B" w:rsidRPr="00201A9A" w:rsidRDefault="008E613F" w:rsidP="003E2902">
      <w:pPr>
        <w:pStyle w:val="NumPar10000000"/>
        <w:numPr>
          <w:ilvl w:val="0"/>
          <w:numId w:val="79"/>
        </w:numPr>
        <w:rPr>
          <w:noProof/>
        </w:rPr>
      </w:pPr>
      <w:r w:rsidRPr="00201A9A">
        <w:rPr>
          <w:noProof/>
        </w:rPr>
        <w:t xml:space="preserve">W przypadku </w:t>
      </w:r>
      <w:r w:rsidR="00A47BEA" w:rsidRPr="00201A9A">
        <w:rPr>
          <w:noProof/>
        </w:rPr>
        <w:t>P</w:t>
      </w:r>
      <w:r w:rsidRPr="00201A9A">
        <w:rPr>
          <w:noProof/>
        </w:rPr>
        <w:t>lanu Interreg zobowiązania finansowe zaciąga się na poziomie rozdziału</w:t>
      </w:r>
      <w:r w:rsidR="00201A9A" w:rsidRPr="00201A9A">
        <w:rPr>
          <w:noProof/>
        </w:rPr>
        <w:t>. W prz</w:t>
      </w:r>
      <w:r w:rsidRPr="00201A9A">
        <w:rPr>
          <w:noProof/>
        </w:rPr>
        <w:t>ypadku gdy umorzenie dotyczy kwot, na które zaciągnięto zobowiązania</w:t>
      </w:r>
      <w:r w:rsidR="00201A9A" w:rsidRPr="00201A9A">
        <w:rPr>
          <w:noProof/>
        </w:rPr>
        <w:t xml:space="preserve"> w ram</w:t>
      </w:r>
      <w:r w:rsidRPr="00201A9A">
        <w:rPr>
          <w:noProof/>
        </w:rPr>
        <w:t xml:space="preserve">ach rozdziału </w:t>
      </w:r>
      <w:r w:rsidR="00A47BEA" w:rsidRPr="00201A9A">
        <w:rPr>
          <w:noProof/>
        </w:rPr>
        <w:t>P</w:t>
      </w:r>
      <w:r w:rsidRPr="00201A9A">
        <w:rPr>
          <w:noProof/>
        </w:rPr>
        <w:t>lanu Interreg, państwo członkowskie,</w:t>
      </w:r>
      <w:r w:rsidR="00201A9A" w:rsidRPr="00201A9A">
        <w:rPr>
          <w:noProof/>
        </w:rPr>
        <w:t xml:space="preserve"> w któ</w:t>
      </w:r>
      <w:r w:rsidRPr="00201A9A">
        <w:rPr>
          <w:noProof/>
        </w:rPr>
        <w:t>rym mieści się instytucja zarządzająca, przedkłada Komisji do dnia 30 czerwca wniosek</w:t>
      </w:r>
      <w:r w:rsidR="00201A9A" w:rsidRPr="00201A9A">
        <w:rPr>
          <w:noProof/>
        </w:rPr>
        <w:t xml:space="preserve"> o zmi</w:t>
      </w:r>
      <w:r w:rsidRPr="00201A9A">
        <w:rPr>
          <w:noProof/>
        </w:rPr>
        <w:t xml:space="preserve">anę rozdziału </w:t>
      </w:r>
      <w:r w:rsidR="00A47BEA" w:rsidRPr="00201A9A">
        <w:rPr>
          <w:noProof/>
        </w:rPr>
        <w:t>P</w:t>
      </w:r>
      <w:r w:rsidRPr="00201A9A">
        <w:rPr>
          <w:noProof/>
        </w:rPr>
        <w:t xml:space="preserve">lanu Interreg odzwierciedlającą zmniejszoną kwotę wsparcia. </w:t>
      </w:r>
    </w:p>
    <w:p w14:paraId="1D2EFADB" w14:textId="1B5DF28C" w:rsidR="002D4138" w:rsidRPr="00201A9A" w:rsidRDefault="00586F2F" w:rsidP="003E2902">
      <w:pPr>
        <w:pStyle w:val="NumPar10000000"/>
        <w:numPr>
          <w:ilvl w:val="0"/>
          <w:numId w:val="79"/>
        </w:numPr>
        <w:rPr>
          <w:noProof/>
        </w:rPr>
      </w:pPr>
      <w:r w:rsidRPr="00201A9A">
        <w:rPr>
          <w:noProof/>
        </w:rPr>
        <w:t>W przypadku nieprzedłożenia wniosku,</w:t>
      </w:r>
      <w:r w:rsidR="00201A9A" w:rsidRPr="00201A9A">
        <w:rPr>
          <w:noProof/>
        </w:rPr>
        <w:t xml:space="preserve"> o któ</w:t>
      </w:r>
      <w:r w:rsidRPr="00201A9A">
        <w:rPr>
          <w:noProof/>
        </w:rPr>
        <w:t>rym mowa</w:t>
      </w:r>
      <w:r w:rsidR="00201A9A" w:rsidRPr="00201A9A">
        <w:rPr>
          <w:noProof/>
        </w:rPr>
        <w:t xml:space="preserve"> w ust</w:t>
      </w:r>
      <w:r w:rsidRPr="00201A9A">
        <w:rPr>
          <w:noProof/>
        </w:rPr>
        <w:t>.</w:t>
      </w:r>
      <w:r w:rsidR="00201A9A" w:rsidRPr="00201A9A">
        <w:rPr>
          <w:noProof/>
        </w:rPr>
        <w:t> </w:t>
      </w:r>
      <w:r w:rsidRPr="00201A9A">
        <w:rPr>
          <w:noProof/>
        </w:rPr>
        <w:t>3</w:t>
      </w:r>
      <w:r w:rsidR="00201A9A" w:rsidRPr="00201A9A">
        <w:rPr>
          <w:noProof/>
        </w:rPr>
        <w:t xml:space="preserve"> i 4</w:t>
      </w:r>
      <w:r w:rsidRPr="00201A9A">
        <w:rPr>
          <w:noProof/>
        </w:rPr>
        <w:t>, Komisja zmniejsza wkład</w:t>
      </w:r>
      <w:r w:rsidR="00201A9A" w:rsidRPr="00201A9A">
        <w:rPr>
          <w:noProof/>
        </w:rPr>
        <w:t xml:space="preserve"> z Fun</w:t>
      </w:r>
      <w:r w:rsidRPr="00201A9A">
        <w:rPr>
          <w:noProof/>
        </w:rPr>
        <w:t>duszu na dany rok kalendarzowy nie później niż do dnia 31 października zgodnie</w:t>
      </w:r>
      <w:r w:rsidR="00201A9A" w:rsidRPr="00201A9A">
        <w:rPr>
          <w:noProof/>
        </w:rPr>
        <w:t xml:space="preserve"> z tym</w:t>
      </w:r>
      <w:r w:rsidRPr="00201A9A">
        <w:rPr>
          <w:noProof/>
        </w:rPr>
        <w:t>i ustępami.</w:t>
      </w:r>
    </w:p>
    <w:p w14:paraId="2E5A63EC" w14:textId="217005E6" w:rsidR="002D4138" w:rsidRPr="00201A9A" w:rsidRDefault="002D4138" w:rsidP="003E2902">
      <w:pPr>
        <w:pStyle w:val="NumPar10000000"/>
        <w:numPr>
          <w:ilvl w:val="0"/>
          <w:numId w:val="79"/>
        </w:numPr>
        <w:rPr>
          <w:noProof/>
        </w:rPr>
      </w:pPr>
      <w:r w:rsidRPr="00201A9A">
        <w:rPr>
          <w:noProof/>
        </w:rPr>
        <w:t>Zgodnie</w:t>
      </w:r>
      <w:r w:rsidR="00201A9A" w:rsidRPr="00201A9A">
        <w:rPr>
          <w:noProof/>
        </w:rPr>
        <w:t xml:space="preserve"> z pro</w:t>
      </w:r>
      <w:r w:rsidRPr="00201A9A">
        <w:rPr>
          <w:noProof/>
        </w:rPr>
        <w:t>cedurą umorzenia określoną</w:t>
      </w:r>
      <w:r w:rsidR="00201A9A" w:rsidRPr="00201A9A">
        <w:rPr>
          <w:noProof/>
        </w:rPr>
        <w:t xml:space="preserve"> w nin</w:t>
      </w:r>
      <w:r w:rsidRPr="00201A9A">
        <w:rPr>
          <w:noProof/>
        </w:rPr>
        <w:t>iejszym artykule Komisja przedstawia wniosek dotyczący nowej decyzji wykonawczej Rady zatwierdzającej plan PKR zgodnie</w:t>
      </w:r>
      <w:r w:rsidR="00201A9A" w:rsidRPr="00201A9A">
        <w:rPr>
          <w:noProof/>
        </w:rPr>
        <w:t xml:space="preserve"> z art</w:t>
      </w:r>
      <w:r w:rsidRPr="00201A9A">
        <w:rPr>
          <w:noProof/>
        </w:rPr>
        <w:t>.</w:t>
      </w:r>
      <w:r w:rsidR="00201A9A" w:rsidRPr="00201A9A">
        <w:rPr>
          <w:noProof/>
        </w:rPr>
        <w:t> </w:t>
      </w:r>
      <w:r w:rsidRPr="00201A9A">
        <w:rPr>
          <w:noProof/>
        </w:rPr>
        <w:t>23, odzwierciedlający kwoty odpowiadające zobowiązaniu, które ma zostać umorzone.</w:t>
      </w:r>
    </w:p>
    <w:p w14:paraId="5CB82FB2" w14:textId="77777777" w:rsidR="00004723" w:rsidRPr="00201A9A" w:rsidRDefault="00004723" w:rsidP="00004723">
      <w:pPr>
        <w:pStyle w:val="Titrearticle"/>
        <w:rPr>
          <w:noProof/>
        </w:rPr>
      </w:pPr>
      <w:r w:rsidRPr="00201A9A">
        <w:rPr>
          <w:noProof/>
        </w:rPr>
        <w:t xml:space="preserve">Artykuł 17 </w:t>
      </w:r>
      <w:r w:rsidRPr="00201A9A">
        <w:rPr>
          <w:noProof/>
        </w:rPr>
        <w:br/>
      </w:r>
      <w:r w:rsidRPr="00201A9A">
        <w:rPr>
          <w:b/>
          <w:noProof/>
        </w:rPr>
        <w:t>Płatności zaliczkowe</w:t>
      </w:r>
    </w:p>
    <w:p w14:paraId="210AAD23" w14:textId="21394463" w:rsidR="007C1C62" w:rsidRPr="00201A9A" w:rsidRDefault="006504BC" w:rsidP="003E2902">
      <w:pPr>
        <w:pStyle w:val="NumPar10000000"/>
        <w:numPr>
          <w:ilvl w:val="0"/>
          <w:numId w:val="97"/>
        </w:numPr>
        <w:rPr>
          <w:noProof/>
        </w:rPr>
      </w:pPr>
      <w:r w:rsidRPr="00201A9A">
        <w:rPr>
          <w:noProof/>
        </w:rPr>
        <w:t>Komisja dokonuje płatności zaliczkowych pod warunkiem przyjęcia przez Radę decyzji wykonawczej,</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23, oraz dostępności środków finansowych. Kwota płatności zaliczkowych wynosi 10</w:t>
      </w:r>
      <w:r w:rsidR="00201A9A" w:rsidRPr="00201A9A">
        <w:rPr>
          <w:noProof/>
        </w:rPr>
        <w:t> </w:t>
      </w:r>
      <w:r w:rsidRPr="00201A9A">
        <w:rPr>
          <w:noProof/>
        </w:rPr>
        <w:t>% unijnej alokacji finansowej,</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14 [Zobowiązania budżetowe],</w:t>
      </w:r>
      <w:r w:rsidR="00201A9A" w:rsidRPr="00201A9A">
        <w:rPr>
          <w:noProof/>
        </w:rPr>
        <w:t xml:space="preserve"> i jes</w:t>
      </w:r>
      <w:r w:rsidRPr="00201A9A">
        <w:rPr>
          <w:noProof/>
        </w:rPr>
        <w:t>t wypłacana</w:t>
      </w:r>
      <w:r w:rsidR="00201A9A" w:rsidRPr="00201A9A">
        <w:rPr>
          <w:noProof/>
        </w:rPr>
        <w:t xml:space="preserve"> w tra</w:t>
      </w:r>
      <w:r w:rsidRPr="00201A9A">
        <w:rPr>
          <w:noProof/>
        </w:rPr>
        <w:t>nszach przez trzy kolejne lata</w:t>
      </w:r>
      <w:r w:rsidR="00201A9A" w:rsidRPr="00201A9A">
        <w:rPr>
          <w:noProof/>
        </w:rPr>
        <w:t xml:space="preserve"> w nas</w:t>
      </w:r>
      <w:r w:rsidRPr="00201A9A">
        <w:rPr>
          <w:noProof/>
        </w:rPr>
        <w:t>tępujący sposób: 4</w:t>
      </w:r>
      <w:r w:rsidR="00201A9A" w:rsidRPr="00201A9A">
        <w:rPr>
          <w:noProof/>
        </w:rPr>
        <w:t> </w:t>
      </w:r>
      <w:r w:rsidRPr="00201A9A">
        <w:rPr>
          <w:noProof/>
        </w:rPr>
        <w:t>%</w:t>
      </w:r>
      <w:r w:rsidR="00201A9A" w:rsidRPr="00201A9A">
        <w:rPr>
          <w:noProof/>
        </w:rPr>
        <w:t xml:space="preserve"> w 2</w:t>
      </w:r>
      <w:r w:rsidRPr="00201A9A">
        <w:rPr>
          <w:noProof/>
        </w:rPr>
        <w:t>028</w:t>
      </w:r>
      <w:r w:rsidR="00201A9A" w:rsidRPr="00201A9A">
        <w:rPr>
          <w:noProof/>
        </w:rPr>
        <w:t> </w:t>
      </w:r>
      <w:r w:rsidRPr="00201A9A">
        <w:rPr>
          <w:noProof/>
        </w:rPr>
        <w:t>r., 3</w:t>
      </w:r>
      <w:r w:rsidR="00201A9A" w:rsidRPr="00201A9A">
        <w:rPr>
          <w:noProof/>
        </w:rPr>
        <w:t> </w:t>
      </w:r>
      <w:r w:rsidRPr="00201A9A">
        <w:rPr>
          <w:noProof/>
        </w:rPr>
        <w:t>%</w:t>
      </w:r>
      <w:r w:rsidR="00201A9A" w:rsidRPr="00201A9A">
        <w:rPr>
          <w:noProof/>
        </w:rPr>
        <w:t xml:space="preserve"> w 2</w:t>
      </w:r>
      <w:r w:rsidRPr="00201A9A">
        <w:rPr>
          <w:noProof/>
        </w:rPr>
        <w:t>029</w:t>
      </w:r>
      <w:r w:rsidR="00201A9A" w:rsidRPr="00201A9A">
        <w:rPr>
          <w:noProof/>
        </w:rPr>
        <w:t> </w:t>
      </w:r>
      <w:r w:rsidRPr="00201A9A">
        <w:rPr>
          <w:noProof/>
        </w:rPr>
        <w:t>r.</w:t>
      </w:r>
      <w:r w:rsidR="00201A9A" w:rsidRPr="00201A9A">
        <w:rPr>
          <w:noProof/>
        </w:rPr>
        <w:t xml:space="preserve"> i 3 </w:t>
      </w:r>
      <w:r w:rsidRPr="00201A9A">
        <w:rPr>
          <w:noProof/>
        </w:rPr>
        <w:t>%</w:t>
      </w:r>
      <w:r w:rsidR="00201A9A" w:rsidRPr="00201A9A">
        <w:rPr>
          <w:noProof/>
        </w:rPr>
        <w:t xml:space="preserve"> w 2</w:t>
      </w:r>
      <w:r w:rsidRPr="00201A9A">
        <w:rPr>
          <w:noProof/>
        </w:rPr>
        <w:t>030</w:t>
      </w:r>
      <w:r w:rsidR="00201A9A" w:rsidRPr="00201A9A">
        <w:rPr>
          <w:noProof/>
        </w:rPr>
        <w:t> </w:t>
      </w:r>
      <w:r w:rsidRPr="00201A9A">
        <w:rPr>
          <w:noProof/>
        </w:rPr>
        <w:t>r. Jeżeli Rada przyjmie decyzję wykonawczą po dniu 31 lipca 2028</w:t>
      </w:r>
      <w:r w:rsidR="00201A9A" w:rsidRPr="00201A9A">
        <w:rPr>
          <w:noProof/>
        </w:rPr>
        <w:t> </w:t>
      </w:r>
      <w:r w:rsidRPr="00201A9A">
        <w:rPr>
          <w:noProof/>
        </w:rPr>
        <w:t>r., wypłaca się jedynie transze</w:t>
      </w:r>
      <w:r w:rsidR="00201A9A" w:rsidRPr="00201A9A">
        <w:rPr>
          <w:noProof/>
        </w:rPr>
        <w:t xml:space="preserve"> z 2</w:t>
      </w:r>
      <w:r w:rsidRPr="00201A9A">
        <w:rPr>
          <w:noProof/>
        </w:rPr>
        <w:t>029</w:t>
      </w:r>
      <w:r w:rsidR="00201A9A" w:rsidRPr="00201A9A">
        <w:rPr>
          <w:noProof/>
        </w:rPr>
        <w:t> </w:t>
      </w:r>
      <w:r w:rsidRPr="00201A9A">
        <w:rPr>
          <w:noProof/>
        </w:rPr>
        <w:t>r.</w:t>
      </w:r>
      <w:r w:rsidR="00201A9A" w:rsidRPr="00201A9A">
        <w:rPr>
          <w:noProof/>
        </w:rPr>
        <w:t xml:space="preserve"> i 2</w:t>
      </w:r>
      <w:r w:rsidRPr="00201A9A">
        <w:rPr>
          <w:noProof/>
        </w:rPr>
        <w:t>030</w:t>
      </w:r>
      <w:r w:rsidR="00201A9A" w:rsidRPr="00201A9A">
        <w:rPr>
          <w:noProof/>
        </w:rPr>
        <w:t> </w:t>
      </w:r>
      <w:r w:rsidRPr="00201A9A">
        <w:rPr>
          <w:noProof/>
        </w:rPr>
        <w:t xml:space="preserve">r. </w:t>
      </w:r>
    </w:p>
    <w:p w14:paraId="31A0D9A7" w14:textId="06D49548" w:rsidR="007C1C62" w:rsidRPr="00201A9A" w:rsidRDefault="00756221" w:rsidP="003E2902">
      <w:pPr>
        <w:pStyle w:val="NumPar10000000"/>
        <w:numPr>
          <w:ilvl w:val="0"/>
          <w:numId w:val="79"/>
        </w:numPr>
        <w:rPr>
          <w:noProof/>
        </w:rPr>
      </w:pPr>
      <w:r w:rsidRPr="00201A9A">
        <w:rPr>
          <w:noProof/>
        </w:rPr>
        <w:t>Komisja wypłaca płatności zaliczkowe</w:t>
      </w:r>
      <w:r w:rsidR="00201A9A" w:rsidRPr="00201A9A">
        <w:rPr>
          <w:noProof/>
        </w:rPr>
        <w:t xml:space="preserve"> w wys</w:t>
      </w:r>
      <w:r w:rsidRPr="00201A9A">
        <w:rPr>
          <w:noProof/>
        </w:rPr>
        <w:t>okości 12</w:t>
      </w:r>
      <w:r w:rsidR="00201A9A" w:rsidRPr="00201A9A">
        <w:rPr>
          <w:noProof/>
        </w:rPr>
        <w:t> </w:t>
      </w:r>
      <w:r w:rsidRPr="00201A9A">
        <w:rPr>
          <w:noProof/>
        </w:rPr>
        <w:t>% unijnego wkładu finansowego</w:t>
      </w:r>
      <w:r w:rsidR="00201A9A" w:rsidRPr="00201A9A">
        <w:rPr>
          <w:noProof/>
        </w:rPr>
        <w:t xml:space="preserve"> z Fun</w:t>
      </w:r>
      <w:r w:rsidRPr="00201A9A">
        <w:rPr>
          <w:noProof/>
        </w:rPr>
        <w:t xml:space="preserve">duszu na rzecz każdego rozdziału </w:t>
      </w:r>
      <w:r w:rsidR="00A47BEA" w:rsidRPr="00201A9A">
        <w:rPr>
          <w:noProof/>
        </w:rPr>
        <w:t>P</w:t>
      </w:r>
      <w:r w:rsidRPr="00201A9A">
        <w:rPr>
          <w:noProof/>
        </w:rPr>
        <w:t>lanu Interreg, jak określono</w:t>
      </w:r>
      <w:r w:rsidR="00201A9A" w:rsidRPr="00201A9A">
        <w:rPr>
          <w:noProof/>
        </w:rPr>
        <w:t xml:space="preserve"> w akc</w:t>
      </w:r>
      <w:r w:rsidRPr="00201A9A">
        <w:rPr>
          <w:noProof/>
        </w:rPr>
        <w:t xml:space="preserve">ie wykonawczym zatwierdzającym rozdział </w:t>
      </w:r>
      <w:r w:rsidR="00A47BEA" w:rsidRPr="00201A9A">
        <w:rPr>
          <w:noProof/>
        </w:rPr>
        <w:t>P</w:t>
      </w:r>
      <w:r w:rsidRPr="00201A9A">
        <w:rPr>
          <w:noProof/>
        </w:rPr>
        <w:t>lanu Interreg zgodnie</w:t>
      </w:r>
      <w:r w:rsidR="00201A9A" w:rsidRPr="00201A9A">
        <w:rPr>
          <w:noProof/>
        </w:rPr>
        <w:t xml:space="preserve"> z art</w:t>
      </w:r>
      <w:r w:rsidRPr="00201A9A">
        <w:rPr>
          <w:noProof/>
        </w:rPr>
        <w:t>.</w:t>
      </w:r>
      <w:r w:rsidR="00201A9A" w:rsidRPr="00201A9A">
        <w:rPr>
          <w:noProof/>
        </w:rPr>
        <w:t> </w:t>
      </w:r>
      <w:r w:rsidRPr="00201A9A">
        <w:rPr>
          <w:noProof/>
        </w:rPr>
        <w:t xml:space="preserve">8 rozporządzenia XX [Rozwój regionalny, </w:t>
      </w:r>
      <w:r w:rsidR="00A47BEA" w:rsidRPr="00201A9A">
        <w:rPr>
          <w:noProof/>
        </w:rPr>
        <w:t>P</w:t>
      </w:r>
      <w:r w:rsidRPr="00201A9A">
        <w:rPr>
          <w:noProof/>
        </w:rPr>
        <w:t>lan Interreg],</w:t>
      </w:r>
      <w:r w:rsidR="00201A9A" w:rsidRPr="00201A9A">
        <w:rPr>
          <w:noProof/>
        </w:rPr>
        <w:t xml:space="preserve"> z zas</w:t>
      </w:r>
      <w:r w:rsidRPr="00201A9A">
        <w:rPr>
          <w:noProof/>
        </w:rPr>
        <w:t>trzeżeniem dostępności środków finansowych. Kwota ta jest wypłacana</w:t>
      </w:r>
      <w:r w:rsidR="00201A9A" w:rsidRPr="00201A9A">
        <w:rPr>
          <w:noProof/>
        </w:rPr>
        <w:t xml:space="preserve"> w trz</w:t>
      </w:r>
      <w:r w:rsidRPr="00201A9A">
        <w:rPr>
          <w:noProof/>
        </w:rPr>
        <w:t>ech równych transzach</w:t>
      </w:r>
      <w:r w:rsidR="00201A9A" w:rsidRPr="00201A9A">
        <w:rPr>
          <w:noProof/>
        </w:rPr>
        <w:t xml:space="preserve"> w wys</w:t>
      </w:r>
      <w:r w:rsidRPr="00201A9A">
        <w:rPr>
          <w:noProof/>
        </w:rPr>
        <w:t>okości 4</w:t>
      </w:r>
      <w:r w:rsidR="00201A9A" w:rsidRPr="00201A9A">
        <w:rPr>
          <w:noProof/>
        </w:rPr>
        <w:t> </w:t>
      </w:r>
      <w:r w:rsidRPr="00201A9A">
        <w:rPr>
          <w:noProof/>
        </w:rPr>
        <w:t>%</w:t>
      </w:r>
      <w:r w:rsidR="00201A9A" w:rsidRPr="00201A9A">
        <w:rPr>
          <w:noProof/>
        </w:rPr>
        <w:t xml:space="preserve"> w cią</w:t>
      </w:r>
      <w:r w:rsidRPr="00201A9A">
        <w:rPr>
          <w:noProof/>
        </w:rPr>
        <w:t>gu trzech kolejnych lat.</w:t>
      </w:r>
    </w:p>
    <w:p w14:paraId="02CAAF84" w14:textId="36825793" w:rsidR="000F2D2A" w:rsidRPr="00201A9A" w:rsidRDefault="27CE45F5" w:rsidP="000F2D2A">
      <w:pPr>
        <w:pStyle w:val="Text1"/>
        <w:rPr>
          <w:noProof/>
        </w:rPr>
      </w:pPr>
      <w:r w:rsidRPr="00201A9A">
        <w:rPr>
          <w:noProof/>
        </w:rPr>
        <w:t xml:space="preserve">W przypadku gdy rozdział </w:t>
      </w:r>
      <w:r w:rsidR="00A47BEA" w:rsidRPr="00201A9A">
        <w:rPr>
          <w:noProof/>
        </w:rPr>
        <w:t>P</w:t>
      </w:r>
      <w:r w:rsidRPr="00201A9A">
        <w:rPr>
          <w:noProof/>
        </w:rPr>
        <w:t>lanu Interreg otrzymuje wsparcie</w:t>
      </w:r>
      <w:r w:rsidR="00201A9A" w:rsidRPr="00201A9A">
        <w:rPr>
          <w:noProof/>
        </w:rPr>
        <w:t xml:space="preserve"> z Ins</w:t>
      </w:r>
      <w:r w:rsidRPr="00201A9A">
        <w:rPr>
          <w:noProof/>
        </w:rPr>
        <w:t>trumentu „Globalny wymiar Europy”,</w:t>
      </w:r>
      <w:r w:rsidR="00201A9A" w:rsidRPr="00201A9A">
        <w:rPr>
          <w:noProof/>
        </w:rPr>
        <w:t xml:space="preserve"> w akc</w:t>
      </w:r>
      <w:r w:rsidRPr="00201A9A">
        <w:rPr>
          <w:noProof/>
        </w:rPr>
        <w:t>ie wykonawczym,</w:t>
      </w:r>
      <w:r w:rsidR="00201A9A" w:rsidRPr="00201A9A">
        <w:rPr>
          <w:noProof/>
        </w:rPr>
        <w:t xml:space="preserve"> o któ</w:t>
      </w:r>
      <w:r w:rsidRPr="00201A9A">
        <w:rPr>
          <w:noProof/>
        </w:rPr>
        <w:t>rym mowa</w:t>
      </w:r>
      <w:r w:rsidR="00201A9A" w:rsidRPr="00201A9A">
        <w:rPr>
          <w:noProof/>
        </w:rPr>
        <w:t xml:space="preserve"> w art</w:t>
      </w:r>
      <w:r w:rsidRPr="00201A9A">
        <w:rPr>
          <w:noProof/>
        </w:rPr>
        <w:t>.</w:t>
      </w:r>
      <w:r w:rsidR="00201A9A" w:rsidRPr="00201A9A">
        <w:rPr>
          <w:noProof/>
        </w:rPr>
        <w:t> </w:t>
      </w:r>
      <w:r w:rsidRPr="00201A9A">
        <w:rPr>
          <w:noProof/>
        </w:rPr>
        <w:t>8 ust.</w:t>
      </w:r>
      <w:r w:rsidR="00201A9A" w:rsidRPr="00201A9A">
        <w:rPr>
          <w:noProof/>
        </w:rPr>
        <w:t> </w:t>
      </w:r>
      <w:r w:rsidRPr="00201A9A">
        <w:rPr>
          <w:noProof/>
        </w:rPr>
        <w:t xml:space="preserve">1 rozporządzenia XX [Rozwój regionalny, </w:t>
      </w:r>
      <w:r w:rsidR="00A47BEA" w:rsidRPr="00201A9A">
        <w:rPr>
          <w:noProof/>
        </w:rPr>
        <w:t>P</w:t>
      </w:r>
      <w:r w:rsidRPr="00201A9A">
        <w:rPr>
          <w:noProof/>
        </w:rPr>
        <w:t>lan Interreg] [Zatwierdzenie</w:t>
      </w:r>
      <w:r w:rsidR="00201A9A" w:rsidRPr="00201A9A">
        <w:rPr>
          <w:noProof/>
        </w:rPr>
        <w:t xml:space="preserve"> i zmi</w:t>
      </w:r>
      <w:r w:rsidRPr="00201A9A">
        <w:rPr>
          <w:noProof/>
        </w:rPr>
        <w:t xml:space="preserve">ana </w:t>
      </w:r>
      <w:r w:rsidR="00A47BEA" w:rsidRPr="00201A9A">
        <w:rPr>
          <w:noProof/>
        </w:rPr>
        <w:t>P</w:t>
      </w:r>
      <w:r w:rsidRPr="00201A9A">
        <w:rPr>
          <w:noProof/>
        </w:rPr>
        <w:t xml:space="preserve">lanu Interreg], można ustanowić przepisy szczegółowe dotyczące płatności zaliczkowych stanowiących odstępstwo od niniejszego ustępu. </w:t>
      </w:r>
    </w:p>
    <w:p w14:paraId="34BC183F" w14:textId="140FA79F" w:rsidR="00495584" w:rsidRPr="00201A9A" w:rsidRDefault="00495584" w:rsidP="003E2902">
      <w:pPr>
        <w:pStyle w:val="NumPar10000000"/>
        <w:numPr>
          <w:ilvl w:val="0"/>
          <w:numId w:val="79"/>
        </w:numPr>
        <w:rPr>
          <w:noProof/>
        </w:rPr>
      </w:pPr>
      <w:r w:rsidRPr="00201A9A">
        <w:rPr>
          <w:noProof/>
        </w:rPr>
        <w:t>Kwoty wypłacone</w:t>
      </w:r>
      <w:r w:rsidR="00201A9A" w:rsidRPr="00201A9A">
        <w:rPr>
          <w:noProof/>
        </w:rPr>
        <w:t xml:space="preserve"> w ram</w:t>
      </w:r>
      <w:r w:rsidRPr="00201A9A">
        <w:rPr>
          <w:noProof/>
        </w:rPr>
        <w:t>ach płatności zaliczkowych rozlicza się</w:t>
      </w:r>
      <w:r w:rsidR="00201A9A" w:rsidRPr="00201A9A">
        <w:rPr>
          <w:noProof/>
        </w:rPr>
        <w:t xml:space="preserve"> w zes</w:t>
      </w:r>
      <w:r w:rsidRPr="00201A9A">
        <w:rPr>
          <w:noProof/>
        </w:rPr>
        <w:t>tawieniach wydatków Komisji najpóźniej</w:t>
      </w:r>
      <w:r w:rsidR="00201A9A" w:rsidRPr="00201A9A">
        <w:rPr>
          <w:noProof/>
        </w:rPr>
        <w:t xml:space="preserve"> w mom</w:t>
      </w:r>
      <w:r w:rsidRPr="00201A9A">
        <w:rPr>
          <w:noProof/>
        </w:rPr>
        <w:t>encie otrzymania rocznego pakietu dokumentów dotyczących poświadczenia wiarygodności za ostatni rok realizacji.</w:t>
      </w:r>
    </w:p>
    <w:p w14:paraId="2EFAF2B2" w14:textId="7088B092" w:rsidR="00004723" w:rsidRPr="00201A9A" w:rsidRDefault="00004723" w:rsidP="00004723">
      <w:pPr>
        <w:pStyle w:val="Titrearticle"/>
        <w:rPr>
          <w:noProof/>
        </w:rPr>
      </w:pPr>
      <w:r w:rsidRPr="00201A9A">
        <w:rPr>
          <w:noProof/>
        </w:rPr>
        <w:t xml:space="preserve">Artykuł 18 </w:t>
      </w:r>
      <w:r w:rsidRPr="00201A9A">
        <w:rPr>
          <w:noProof/>
        </w:rPr>
        <w:br/>
      </w:r>
      <w:r w:rsidRPr="00201A9A">
        <w:rPr>
          <w:b/>
          <w:noProof/>
        </w:rPr>
        <w:t>Wniosek</w:t>
      </w:r>
      <w:r w:rsidR="00201A9A" w:rsidRPr="00201A9A">
        <w:rPr>
          <w:b/>
          <w:noProof/>
        </w:rPr>
        <w:t xml:space="preserve"> o wsp</w:t>
      </w:r>
      <w:r w:rsidRPr="00201A9A">
        <w:rPr>
          <w:b/>
          <w:noProof/>
        </w:rPr>
        <w:t>arcie</w:t>
      </w:r>
      <w:r w:rsidR="00201A9A" w:rsidRPr="00201A9A">
        <w:rPr>
          <w:b/>
          <w:noProof/>
        </w:rPr>
        <w:t xml:space="preserve"> w for</w:t>
      </w:r>
      <w:r w:rsidRPr="00201A9A">
        <w:rPr>
          <w:b/>
          <w:noProof/>
        </w:rPr>
        <w:t>mie pożyczki</w:t>
      </w:r>
    </w:p>
    <w:p w14:paraId="6C3D5DEB" w14:textId="2CE08196" w:rsidR="00FF5BE2" w:rsidRPr="00201A9A" w:rsidRDefault="00FF5BE2" w:rsidP="003E2902">
      <w:pPr>
        <w:pStyle w:val="NumPar10000000"/>
        <w:numPr>
          <w:ilvl w:val="0"/>
          <w:numId w:val="80"/>
        </w:numPr>
        <w:rPr>
          <w:noProof/>
        </w:rPr>
      </w:pPr>
      <w:r w:rsidRPr="00201A9A">
        <w:rPr>
          <w:noProof/>
        </w:rPr>
        <w:t>We wniosku</w:t>
      </w:r>
      <w:r w:rsidR="00201A9A" w:rsidRPr="00201A9A">
        <w:rPr>
          <w:noProof/>
        </w:rPr>
        <w:t xml:space="preserve"> o wsp</w:t>
      </w:r>
      <w:r w:rsidRPr="00201A9A">
        <w:rPr>
          <w:noProof/>
        </w:rPr>
        <w:t>arcie</w:t>
      </w:r>
      <w:r w:rsidR="00201A9A" w:rsidRPr="00201A9A">
        <w:rPr>
          <w:noProof/>
        </w:rPr>
        <w:t xml:space="preserve"> w for</w:t>
      </w:r>
      <w:r w:rsidRPr="00201A9A">
        <w:rPr>
          <w:noProof/>
        </w:rPr>
        <w:t>mie pożyczki składanym przez państwo członkowskie określa się:</w:t>
      </w:r>
    </w:p>
    <w:p w14:paraId="0948F69D" w14:textId="38974BD3" w:rsidR="00F37BD9" w:rsidRPr="00201A9A" w:rsidRDefault="00201A9A" w:rsidP="00201A9A">
      <w:pPr>
        <w:pStyle w:val="Point1"/>
        <w:rPr>
          <w:noProof/>
        </w:rPr>
      </w:pPr>
      <w:r w:rsidRPr="00201A9A">
        <w:rPr>
          <w:noProof/>
        </w:rPr>
        <w:t>a)</w:t>
      </w:r>
      <w:r w:rsidRPr="00201A9A">
        <w:rPr>
          <w:noProof/>
        </w:rPr>
        <w:tab/>
      </w:r>
      <w:r w:rsidR="00FF5BE2" w:rsidRPr="00201A9A">
        <w:rPr>
          <w:noProof/>
        </w:rPr>
        <w:t>kwotę wnioskowanego wsparcia</w:t>
      </w:r>
      <w:r w:rsidRPr="00201A9A">
        <w:rPr>
          <w:noProof/>
        </w:rPr>
        <w:t xml:space="preserve"> w for</w:t>
      </w:r>
      <w:r w:rsidR="00FF5BE2" w:rsidRPr="00201A9A">
        <w:rPr>
          <w:noProof/>
        </w:rPr>
        <w:t xml:space="preserve">mie pożyczki; </w:t>
      </w:r>
    </w:p>
    <w:p w14:paraId="4F298A6C" w14:textId="445E20D7" w:rsidR="00FF5BE2" w:rsidRPr="00201A9A" w:rsidRDefault="00201A9A" w:rsidP="00201A9A">
      <w:pPr>
        <w:pStyle w:val="Point1"/>
        <w:rPr>
          <w:noProof/>
        </w:rPr>
      </w:pPr>
      <w:r w:rsidRPr="00201A9A">
        <w:rPr>
          <w:noProof/>
        </w:rPr>
        <w:t>b)</w:t>
      </w:r>
      <w:r w:rsidRPr="00201A9A">
        <w:rPr>
          <w:noProof/>
        </w:rPr>
        <w:tab/>
      </w:r>
      <w:r w:rsidR="00FF5BE2" w:rsidRPr="00201A9A">
        <w:rPr>
          <w:noProof/>
        </w:rPr>
        <w:t>środki zgodnie</w:t>
      </w:r>
      <w:r w:rsidRPr="00201A9A">
        <w:rPr>
          <w:noProof/>
        </w:rPr>
        <w:t xml:space="preserve"> z art</w:t>
      </w:r>
      <w:r w:rsidR="00FF5BE2" w:rsidRPr="00201A9A">
        <w:rPr>
          <w:noProof/>
        </w:rPr>
        <w:t>.</w:t>
      </w:r>
      <w:r w:rsidRPr="00201A9A">
        <w:rPr>
          <w:noProof/>
        </w:rPr>
        <w:t> </w:t>
      </w:r>
      <w:r w:rsidR="00FF5BE2" w:rsidRPr="00201A9A">
        <w:rPr>
          <w:noProof/>
        </w:rPr>
        <w:t>21 [Przygotowanie</w:t>
      </w:r>
      <w:r w:rsidRPr="00201A9A">
        <w:rPr>
          <w:noProof/>
        </w:rPr>
        <w:t xml:space="preserve"> i prz</w:t>
      </w:r>
      <w:r w:rsidR="00FF5BE2" w:rsidRPr="00201A9A">
        <w:rPr>
          <w:noProof/>
        </w:rPr>
        <w:t>edłożenie planu], które mają być finansowane ze wsparcia</w:t>
      </w:r>
      <w:r w:rsidRPr="00201A9A">
        <w:rPr>
          <w:noProof/>
        </w:rPr>
        <w:t xml:space="preserve"> w for</w:t>
      </w:r>
      <w:r w:rsidR="00FF5BE2" w:rsidRPr="00201A9A">
        <w:rPr>
          <w:noProof/>
        </w:rPr>
        <w:t>mie pożyczki;</w:t>
      </w:r>
    </w:p>
    <w:p w14:paraId="07B04394" w14:textId="243C8BA0" w:rsidR="00FF5BE2" w:rsidRPr="00201A9A" w:rsidRDefault="00201A9A" w:rsidP="00201A9A">
      <w:pPr>
        <w:pStyle w:val="Point1"/>
        <w:rPr>
          <w:noProof/>
        </w:rPr>
      </w:pPr>
      <w:r w:rsidRPr="00201A9A">
        <w:rPr>
          <w:noProof/>
        </w:rPr>
        <w:t>c)</w:t>
      </w:r>
      <w:r w:rsidRPr="00201A9A">
        <w:rPr>
          <w:noProof/>
        </w:rPr>
        <w:tab/>
      </w:r>
      <w:r w:rsidR="00FF5BE2" w:rsidRPr="00201A9A">
        <w:rPr>
          <w:noProof/>
        </w:rPr>
        <w:t>potrzeby finansowe związane ze środkami,</w:t>
      </w:r>
      <w:r w:rsidRPr="00201A9A">
        <w:rPr>
          <w:noProof/>
        </w:rPr>
        <w:t xml:space="preserve"> o któ</w:t>
      </w:r>
      <w:r w:rsidR="00FF5BE2" w:rsidRPr="00201A9A">
        <w:rPr>
          <w:noProof/>
        </w:rPr>
        <w:t>rych mowa</w:t>
      </w:r>
      <w:r w:rsidRPr="00201A9A">
        <w:rPr>
          <w:noProof/>
        </w:rPr>
        <w:t xml:space="preserve"> w lit</w:t>
      </w:r>
      <w:r w:rsidR="00FF5BE2" w:rsidRPr="00201A9A">
        <w:rPr>
          <w:noProof/>
        </w:rPr>
        <w:t>.</w:t>
      </w:r>
      <w:r w:rsidRPr="00201A9A">
        <w:rPr>
          <w:noProof/>
        </w:rPr>
        <w:t> </w:t>
      </w:r>
      <w:r w:rsidR="00FF5BE2" w:rsidRPr="00201A9A">
        <w:rPr>
          <w:noProof/>
        </w:rPr>
        <w:t>b);</w:t>
      </w:r>
    </w:p>
    <w:p w14:paraId="101D3F4A" w14:textId="1D0173A3" w:rsidR="00FF5BE2" w:rsidRPr="00201A9A" w:rsidRDefault="00201A9A" w:rsidP="00201A9A">
      <w:pPr>
        <w:pStyle w:val="Point1"/>
        <w:rPr>
          <w:noProof/>
        </w:rPr>
      </w:pPr>
      <w:r w:rsidRPr="00201A9A">
        <w:rPr>
          <w:noProof/>
        </w:rPr>
        <w:t>d)</w:t>
      </w:r>
      <w:r w:rsidRPr="00201A9A">
        <w:rPr>
          <w:noProof/>
        </w:rPr>
        <w:tab/>
      </w:r>
      <w:r w:rsidR="00FF1FCF" w:rsidRPr="00201A9A">
        <w:rPr>
          <w:noProof/>
        </w:rPr>
        <w:t>wyjaśnienie, dlaczego szacowany koszt planu PKR jest wyższy niż całkowity unijny wkład finansowy,</w:t>
      </w:r>
      <w:r w:rsidRPr="00201A9A">
        <w:rPr>
          <w:noProof/>
        </w:rPr>
        <w:t xml:space="preserve"> z uwz</w:t>
      </w:r>
      <w:r w:rsidR="00FF1FCF" w:rsidRPr="00201A9A">
        <w:rPr>
          <w:noProof/>
        </w:rPr>
        <w:t>ględnieniem wkładu krajowego.</w:t>
      </w:r>
    </w:p>
    <w:p w14:paraId="4D11A80A" w14:textId="24315D5B" w:rsidR="00FF5BE2" w:rsidRPr="00201A9A" w:rsidRDefault="00FF5BE2" w:rsidP="003E2902">
      <w:pPr>
        <w:pStyle w:val="NumPar10000000"/>
        <w:numPr>
          <w:ilvl w:val="0"/>
          <w:numId w:val="79"/>
        </w:numPr>
        <w:rPr>
          <w:noProof/>
        </w:rPr>
      </w:pPr>
      <w:r w:rsidRPr="00201A9A">
        <w:rPr>
          <w:noProof/>
        </w:rPr>
        <w:t>Wsparcie</w:t>
      </w:r>
      <w:r w:rsidR="00201A9A" w:rsidRPr="00201A9A">
        <w:rPr>
          <w:noProof/>
        </w:rPr>
        <w:t xml:space="preserve"> w for</w:t>
      </w:r>
      <w:r w:rsidRPr="00201A9A">
        <w:rPr>
          <w:noProof/>
        </w:rPr>
        <w:t>mie pożyczki nie może być wyższe niż różnica między łącznymi szacunkowymi kosztami planu,</w:t>
      </w:r>
      <w:r w:rsidR="00201A9A" w:rsidRPr="00201A9A">
        <w:rPr>
          <w:noProof/>
        </w:rPr>
        <w:t xml:space="preserve"> w sto</w:t>
      </w:r>
      <w:r w:rsidRPr="00201A9A">
        <w:rPr>
          <w:noProof/>
        </w:rPr>
        <w:t>sownych przypadkach skorygowanymi,</w:t>
      </w:r>
      <w:r w:rsidR="00201A9A" w:rsidRPr="00201A9A">
        <w:rPr>
          <w:noProof/>
        </w:rPr>
        <w:t xml:space="preserve"> a łąc</w:t>
      </w:r>
      <w:r w:rsidRPr="00201A9A">
        <w:rPr>
          <w:noProof/>
        </w:rPr>
        <w:t>znym unijnym wkładem finansowym</w:t>
      </w:r>
      <w:r w:rsidR="00201A9A" w:rsidRPr="00201A9A">
        <w:rPr>
          <w:noProof/>
        </w:rPr>
        <w:t xml:space="preserve"> i wkł</w:t>
      </w:r>
      <w:r w:rsidRPr="00201A9A">
        <w:rPr>
          <w:noProof/>
        </w:rPr>
        <w:t>adem krajowym.</w:t>
      </w:r>
    </w:p>
    <w:p w14:paraId="39685D47" w14:textId="32505F84" w:rsidR="00FF5BE2" w:rsidRPr="00201A9A" w:rsidRDefault="00FF5BE2" w:rsidP="003E2902">
      <w:pPr>
        <w:pStyle w:val="NumPar10000000"/>
        <w:numPr>
          <w:ilvl w:val="0"/>
          <w:numId w:val="79"/>
        </w:numPr>
        <w:rPr>
          <w:noProof/>
        </w:rPr>
      </w:pPr>
      <w:r w:rsidRPr="00201A9A">
        <w:rPr>
          <w:noProof/>
        </w:rPr>
        <w:t>Państwa członkowskie przedkładają Komisji wniosek</w:t>
      </w:r>
      <w:r w:rsidR="00201A9A" w:rsidRPr="00201A9A">
        <w:rPr>
          <w:noProof/>
        </w:rPr>
        <w:t xml:space="preserve"> o wsp</w:t>
      </w:r>
      <w:r w:rsidRPr="00201A9A">
        <w:rPr>
          <w:noProof/>
        </w:rPr>
        <w:t>arcie</w:t>
      </w:r>
      <w:r w:rsidR="00201A9A" w:rsidRPr="00201A9A">
        <w:rPr>
          <w:noProof/>
        </w:rPr>
        <w:t xml:space="preserve"> w for</w:t>
      </w:r>
      <w:r w:rsidRPr="00201A9A">
        <w:rPr>
          <w:noProof/>
        </w:rPr>
        <w:t>mie pożyczki do dnia 31 stycznia 2028</w:t>
      </w:r>
      <w:r w:rsidR="00201A9A" w:rsidRPr="00201A9A">
        <w:rPr>
          <w:noProof/>
        </w:rPr>
        <w:t> </w:t>
      </w:r>
      <w:r w:rsidRPr="00201A9A">
        <w:rPr>
          <w:noProof/>
        </w:rPr>
        <w:t>r.</w:t>
      </w:r>
    </w:p>
    <w:p w14:paraId="73CF37DE" w14:textId="5711C8E3" w:rsidR="00FF5BE2" w:rsidRPr="00201A9A" w:rsidRDefault="00FF5BE2" w:rsidP="003E2902">
      <w:pPr>
        <w:pStyle w:val="NumPar10000000"/>
        <w:numPr>
          <w:ilvl w:val="0"/>
          <w:numId w:val="79"/>
        </w:numPr>
        <w:rPr>
          <w:noProof/>
        </w:rPr>
      </w:pPr>
      <w:r w:rsidRPr="00201A9A">
        <w:rPr>
          <w:noProof/>
        </w:rPr>
        <w:t>Komisja przydziela państwom członkowskim kwoty wsparcia</w:t>
      </w:r>
      <w:r w:rsidR="00201A9A" w:rsidRPr="00201A9A">
        <w:rPr>
          <w:noProof/>
        </w:rPr>
        <w:t xml:space="preserve"> w for</w:t>
      </w:r>
      <w:r w:rsidRPr="00201A9A">
        <w:rPr>
          <w:noProof/>
        </w:rPr>
        <w:t>mie pożyczki,</w:t>
      </w:r>
      <w:r w:rsidR="00201A9A" w:rsidRPr="00201A9A">
        <w:rPr>
          <w:noProof/>
        </w:rPr>
        <w:t xml:space="preserve"> o któ</w:t>
      </w:r>
      <w:r w:rsidRPr="00201A9A">
        <w:rPr>
          <w:noProof/>
        </w:rPr>
        <w:t>rym mowa</w:t>
      </w:r>
      <w:r w:rsidR="00201A9A" w:rsidRPr="00201A9A">
        <w:rPr>
          <w:noProof/>
        </w:rPr>
        <w:t xml:space="preserve"> w art</w:t>
      </w:r>
      <w:r w:rsidRPr="00201A9A">
        <w:rPr>
          <w:noProof/>
        </w:rPr>
        <w:t>.</w:t>
      </w:r>
      <w:r w:rsidR="00201A9A" w:rsidRPr="00201A9A">
        <w:rPr>
          <w:noProof/>
        </w:rPr>
        <w:t> </w:t>
      </w:r>
      <w:r w:rsidRPr="00201A9A">
        <w:rPr>
          <w:noProof/>
        </w:rPr>
        <w:t>10 ust.</w:t>
      </w:r>
      <w:r w:rsidR="00201A9A" w:rsidRPr="00201A9A">
        <w:rPr>
          <w:noProof/>
        </w:rPr>
        <w:t> </w:t>
      </w:r>
      <w:r w:rsidRPr="00201A9A">
        <w:rPr>
          <w:noProof/>
        </w:rPr>
        <w:t>4, uwzględniając jednocześnie zasady równego traktowania, solidarności, proporcjonalności</w:t>
      </w:r>
      <w:r w:rsidR="00201A9A" w:rsidRPr="00201A9A">
        <w:rPr>
          <w:noProof/>
        </w:rPr>
        <w:t xml:space="preserve"> i prz</w:t>
      </w:r>
      <w:r w:rsidRPr="00201A9A">
        <w:rPr>
          <w:noProof/>
        </w:rPr>
        <w:t>ejrzystości.</w:t>
      </w:r>
      <w:r w:rsidR="00201A9A" w:rsidRPr="00201A9A">
        <w:rPr>
          <w:noProof/>
        </w:rPr>
        <w:t xml:space="preserve"> </w:t>
      </w:r>
      <w:r w:rsidRPr="00201A9A">
        <w:rPr>
          <w:noProof/>
        </w:rPr>
        <w:t>Udział pożyczek udzielonych trzem państwom członkowskim reprezentującym największy odsetek udzielonych pożyczek nie może przekraczać 60 procent maksymalnej kwoty,</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10 ust.</w:t>
      </w:r>
      <w:r w:rsidR="00201A9A" w:rsidRPr="00201A9A">
        <w:rPr>
          <w:noProof/>
        </w:rPr>
        <w:t> </w:t>
      </w:r>
      <w:r w:rsidRPr="00201A9A">
        <w:rPr>
          <w:noProof/>
        </w:rPr>
        <w:t>4.</w:t>
      </w:r>
    </w:p>
    <w:p w14:paraId="6F9F3FFF" w14:textId="120EAADA" w:rsidR="00FF5BE2" w:rsidRPr="00201A9A" w:rsidRDefault="00FF5BE2" w:rsidP="007C1C62">
      <w:pPr>
        <w:pStyle w:val="Text1"/>
        <w:rPr>
          <w:noProof/>
        </w:rPr>
      </w:pPr>
      <w:r w:rsidRPr="00201A9A">
        <w:rPr>
          <w:noProof/>
        </w:rPr>
        <w:t>W przypadku gdy po przydzieleniu pożyczek,</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3, pozostają dostępne kwoty na wsparcie</w:t>
      </w:r>
      <w:r w:rsidR="00201A9A" w:rsidRPr="00201A9A">
        <w:rPr>
          <w:noProof/>
        </w:rPr>
        <w:t xml:space="preserve"> w for</w:t>
      </w:r>
      <w:r w:rsidRPr="00201A9A">
        <w:rPr>
          <w:noProof/>
        </w:rPr>
        <w:t>mie pożyczki, Komisja może opublikować nowe zaproszenia do wyrażenia zainteresowania wsparciem</w:t>
      </w:r>
      <w:r w:rsidR="00201A9A" w:rsidRPr="00201A9A">
        <w:rPr>
          <w:noProof/>
        </w:rPr>
        <w:t xml:space="preserve"> w for</w:t>
      </w:r>
      <w:r w:rsidRPr="00201A9A">
        <w:rPr>
          <w:noProof/>
        </w:rPr>
        <w:t>mie pożyczki</w:t>
      </w:r>
      <w:r w:rsidR="00201A9A" w:rsidRPr="00201A9A">
        <w:rPr>
          <w:noProof/>
        </w:rPr>
        <w:t>. W tak</w:t>
      </w:r>
      <w:r w:rsidRPr="00201A9A">
        <w:rPr>
          <w:noProof/>
        </w:rPr>
        <w:t>im przypadku stosuje się odpowiednio procedurę określoną</w:t>
      </w:r>
      <w:r w:rsidR="00201A9A" w:rsidRPr="00201A9A">
        <w:rPr>
          <w:noProof/>
        </w:rPr>
        <w:t xml:space="preserve"> w ust</w:t>
      </w:r>
      <w:r w:rsidRPr="00201A9A">
        <w:rPr>
          <w:noProof/>
        </w:rPr>
        <w:t>.</w:t>
      </w:r>
      <w:r w:rsidR="00201A9A" w:rsidRPr="00201A9A">
        <w:rPr>
          <w:noProof/>
        </w:rPr>
        <w:t> </w:t>
      </w:r>
      <w:r w:rsidRPr="00201A9A">
        <w:rPr>
          <w:noProof/>
        </w:rPr>
        <w:t>1–5 niniejszego artykułu</w:t>
      </w:r>
      <w:r w:rsidR="00201A9A" w:rsidRPr="00201A9A">
        <w:rPr>
          <w:noProof/>
        </w:rPr>
        <w:t xml:space="preserve"> i w art</w:t>
      </w:r>
      <w:r w:rsidRPr="00201A9A">
        <w:rPr>
          <w:noProof/>
        </w:rPr>
        <w:t>.</w:t>
      </w:r>
      <w:r w:rsidR="00201A9A" w:rsidRPr="00201A9A">
        <w:rPr>
          <w:noProof/>
        </w:rPr>
        <w:t> </w:t>
      </w:r>
      <w:r w:rsidRPr="00201A9A">
        <w:rPr>
          <w:noProof/>
        </w:rPr>
        <w:t>19.</w:t>
      </w:r>
    </w:p>
    <w:p w14:paraId="4B671FAF" w14:textId="48BC8FA0" w:rsidR="00FF5BE2" w:rsidRPr="00201A9A" w:rsidRDefault="00FF5BE2" w:rsidP="003E2902">
      <w:pPr>
        <w:pStyle w:val="NumPar10000000"/>
        <w:numPr>
          <w:ilvl w:val="0"/>
          <w:numId w:val="79"/>
        </w:numPr>
        <w:rPr>
          <w:noProof/>
        </w:rPr>
      </w:pPr>
      <w:r w:rsidRPr="00201A9A">
        <w:rPr>
          <w:noProof/>
        </w:rPr>
        <w:t>Pożyczka jest wypłacana pod warunkiem osiągnięcia kamieni milowych</w:t>
      </w:r>
      <w:r w:rsidR="00201A9A" w:rsidRPr="00201A9A">
        <w:rPr>
          <w:noProof/>
        </w:rPr>
        <w:t xml:space="preserve"> i war</w:t>
      </w:r>
      <w:r w:rsidRPr="00201A9A">
        <w:rPr>
          <w:noProof/>
        </w:rPr>
        <w:t>tości docelowych zgodnie</w:t>
      </w:r>
      <w:r w:rsidR="00201A9A" w:rsidRPr="00201A9A">
        <w:rPr>
          <w:noProof/>
        </w:rPr>
        <w:t xml:space="preserve"> z art</w:t>
      </w:r>
      <w:r w:rsidRPr="00201A9A">
        <w:rPr>
          <w:noProof/>
        </w:rPr>
        <w:t>.</w:t>
      </w:r>
      <w:r w:rsidR="00201A9A" w:rsidRPr="00201A9A">
        <w:rPr>
          <w:noProof/>
        </w:rPr>
        <w:t> </w:t>
      </w:r>
      <w:r w:rsidRPr="00201A9A">
        <w:rPr>
          <w:noProof/>
        </w:rPr>
        <w:t>65 [Wniosek</w:t>
      </w:r>
      <w:r w:rsidR="00201A9A" w:rsidRPr="00201A9A">
        <w:rPr>
          <w:noProof/>
        </w:rPr>
        <w:t xml:space="preserve"> o pła</w:t>
      </w:r>
      <w:r w:rsidRPr="00201A9A">
        <w:rPr>
          <w:noProof/>
        </w:rPr>
        <w:t>tność].</w:t>
      </w:r>
    </w:p>
    <w:p w14:paraId="4E3754C4" w14:textId="698BE154" w:rsidR="00FF5BE2" w:rsidRPr="00201A9A" w:rsidRDefault="00FF5BE2" w:rsidP="003E2902">
      <w:pPr>
        <w:pStyle w:val="NumPar10000000"/>
        <w:numPr>
          <w:ilvl w:val="0"/>
          <w:numId w:val="79"/>
        </w:numPr>
        <w:rPr>
          <w:noProof/>
        </w:rPr>
      </w:pPr>
      <w:r w:rsidRPr="00201A9A">
        <w:rPr>
          <w:noProof/>
        </w:rPr>
        <w:t>Komisja ocenia wniosek</w:t>
      </w:r>
      <w:r w:rsidR="00201A9A" w:rsidRPr="00201A9A">
        <w:rPr>
          <w:noProof/>
        </w:rPr>
        <w:t xml:space="preserve"> o wsp</w:t>
      </w:r>
      <w:r w:rsidRPr="00201A9A">
        <w:rPr>
          <w:noProof/>
        </w:rPr>
        <w:t>arcie</w:t>
      </w:r>
      <w:r w:rsidR="00201A9A" w:rsidRPr="00201A9A">
        <w:rPr>
          <w:noProof/>
        </w:rPr>
        <w:t xml:space="preserve"> w for</w:t>
      </w:r>
      <w:r w:rsidRPr="00201A9A">
        <w:rPr>
          <w:noProof/>
        </w:rPr>
        <w:t>mie pożyczki zgodnie</w:t>
      </w:r>
      <w:r w:rsidR="00201A9A" w:rsidRPr="00201A9A">
        <w:rPr>
          <w:noProof/>
        </w:rPr>
        <w:t xml:space="preserve"> z art</w:t>
      </w:r>
      <w:r w:rsidRPr="00201A9A">
        <w:rPr>
          <w:noProof/>
        </w:rPr>
        <w:t>.</w:t>
      </w:r>
      <w:r w:rsidR="00201A9A" w:rsidRPr="00201A9A">
        <w:rPr>
          <w:noProof/>
        </w:rPr>
        <w:t> </w:t>
      </w:r>
      <w:r w:rsidRPr="00201A9A">
        <w:rPr>
          <w:noProof/>
        </w:rPr>
        <w:t>23 [Wniosek Komisji</w:t>
      </w:r>
      <w:r w:rsidR="00201A9A" w:rsidRPr="00201A9A">
        <w:rPr>
          <w:noProof/>
        </w:rPr>
        <w:t xml:space="preserve"> i dec</w:t>
      </w:r>
      <w:r w:rsidRPr="00201A9A">
        <w:rPr>
          <w:noProof/>
        </w:rPr>
        <w:t xml:space="preserve">yzja wykonawcza Rady]. </w:t>
      </w:r>
    </w:p>
    <w:p w14:paraId="3BBBB507" w14:textId="35A89748" w:rsidR="00004723" w:rsidRPr="00201A9A" w:rsidRDefault="00004723" w:rsidP="00004723">
      <w:pPr>
        <w:pStyle w:val="Titrearticle"/>
        <w:rPr>
          <w:b/>
          <w:bCs/>
          <w:noProof/>
        </w:rPr>
      </w:pPr>
      <w:r w:rsidRPr="00201A9A">
        <w:rPr>
          <w:noProof/>
        </w:rPr>
        <w:t xml:space="preserve">Artykuł 19 </w:t>
      </w:r>
      <w:r w:rsidRPr="00201A9A">
        <w:rPr>
          <w:noProof/>
        </w:rPr>
        <w:br/>
      </w:r>
      <w:r w:rsidRPr="00201A9A">
        <w:rPr>
          <w:b/>
          <w:noProof/>
        </w:rPr>
        <w:t>Umowa pożyczki oraz operacje zaciągania</w:t>
      </w:r>
      <w:r w:rsidR="00201A9A" w:rsidRPr="00201A9A">
        <w:rPr>
          <w:b/>
          <w:noProof/>
        </w:rPr>
        <w:t xml:space="preserve"> i udz</w:t>
      </w:r>
      <w:r w:rsidRPr="00201A9A">
        <w:rPr>
          <w:b/>
          <w:noProof/>
        </w:rPr>
        <w:t>ielania pożyczek</w:t>
      </w:r>
    </w:p>
    <w:p w14:paraId="2B1C8E82" w14:textId="7F327E8A" w:rsidR="00FA06C0" w:rsidRPr="00201A9A" w:rsidRDefault="00FF5BE2" w:rsidP="003E2902">
      <w:pPr>
        <w:pStyle w:val="NumPar10000000"/>
        <w:numPr>
          <w:ilvl w:val="0"/>
          <w:numId w:val="81"/>
        </w:numPr>
        <w:rPr>
          <w:rFonts w:eastAsia="Times New Roman"/>
          <w:noProof/>
        </w:rPr>
      </w:pPr>
      <w:bookmarkStart w:id="7" w:name="_Hlk201856262"/>
      <w:r w:rsidRPr="00201A9A">
        <w:rPr>
          <w:noProof/>
        </w:rPr>
        <w:t>W celu sfinansowania wsparcia</w:t>
      </w:r>
      <w:r w:rsidR="00201A9A" w:rsidRPr="00201A9A">
        <w:rPr>
          <w:noProof/>
        </w:rPr>
        <w:t xml:space="preserve"> w ram</w:t>
      </w:r>
      <w:r w:rsidRPr="00201A9A">
        <w:rPr>
          <w:noProof/>
        </w:rPr>
        <w:t>ach planu</w:t>
      </w:r>
      <w:r w:rsidR="00201A9A" w:rsidRPr="00201A9A">
        <w:rPr>
          <w:noProof/>
        </w:rPr>
        <w:t xml:space="preserve"> w for</w:t>
      </w:r>
      <w:r w:rsidRPr="00201A9A">
        <w:rPr>
          <w:noProof/>
        </w:rPr>
        <w:t>mie pożyczek Komisja jest uprawniona do zaciągania</w:t>
      </w:r>
      <w:r w:rsidR="00201A9A" w:rsidRPr="00201A9A">
        <w:rPr>
          <w:noProof/>
        </w:rPr>
        <w:t xml:space="preserve"> w imi</w:t>
      </w:r>
      <w:r w:rsidRPr="00201A9A">
        <w:rPr>
          <w:noProof/>
        </w:rPr>
        <w:t>eniu Unii niezbędnych pożyczek pieniężnych na rynkach kapitałowych lub od instytucji finansowych zgodnie</w:t>
      </w:r>
      <w:r w:rsidR="00201A9A" w:rsidRPr="00201A9A">
        <w:rPr>
          <w:noProof/>
        </w:rPr>
        <w:t xml:space="preserve"> z art</w:t>
      </w:r>
      <w:r w:rsidRPr="00201A9A">
        <w:rPr>
          <w:noProof/>
        </w:rPr>
        <w:t>.</w:t>
      </w:r>
      <w:r w:rsidR="00201A9A" w:rsidRPr="00201A9A">
        <w:rPr>
          <w:noProof/>
        </w:rPr>
        <w:t> </w:t>
      </w:r>
      <w:r w:rsidRPr="00201A9A">
        <w:rPr>
          <w:noProof/>
        </w:rPr>
        <w:t>224 rozporządzenia (UE, Euratom) 2024/2509.</w:t>
      </w:r>
    </w:p>
    <w:p w14:paraId="0193D737" w14:textId="4DD1C6FC" w:rsidR="00FF5BE2" w:rsidRPr="00201A9A" w:rsidRDefault="00FF5BE2" w:rsidP="003E2902">
      <w:pPr>
        <w:pStyle w:val="NumPar10000000"/>
        <w:numPr>
          <w:ilvl w:val="0"/>
          <w:numId w:val="38"/>
        </w:numPr>
        <w:rPr>
          <w:rFonts w:eastAsia="Times New Roman"/>
          <w:noProof/>
        </w:rPr>
      </w:pPr>
      <w:r w:rsidRPr="00201A9A">
        <w:rPr>
          <w:noProof/>
        </w:rPr>
        <w:t>Po przyjęciu decyzji wykonawczej Rady,</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23 [Wniosek Komisji</w:t>
      </w:r>
      <w:r w:rsidR="00201A9A" w:rsidRPr="00201A9A">
        <w:rPr>
          <w:noProof/>
        </w:rPr>
        <w:t xml:space="preserve"> i dec</w:t>
      </w:r>
      <w:r w:rsidRPr="00201A9A">
        <w:rPr>
          <w:noProof/>
        </w:rPr>
        <w:t>yzja wykonawcza Rady], Komisja zawiera</w:t>
      </w:r>
      <w:r w:rsidR="00201A9A" w:rsidRPr="00201A9A">
        <w:rPr>
          <w:noProof/>
        </w:rPr>
        <w:t xml:space="preserve"> z pań</w:t>
      </w:r>
      <w:r w:rsidRPr="00201A9A">
        <w:rPr>
          <w:noProof/>
        </w:rPr>
        <w:t>stwem członkowskim umowę pożyczki. Oprócz elementów określonych</w:t>
      </w:r>
      <w:r w:rsidR="00201A9A" w:rsidRPr="00201A9A">
        <w:rPr>
          <w:noProof/>
        </w:rPr>
        <w:t xml:space="preserve"> w art</w:t>
      </w:r>
      <w:r w:rsidRPr="00201A9A">
        <w:rPr>
          <w:noProof/>
        </w:rPr>
        <w:t>.</w:t>
      </w:r>
      <w:r w:rsidR="00201A9A" w:rsidRPr="00201A9A">
        <w:rPr>
          <w:noProof/>
        </w:rPr>
        <w:t> </w:t>
      </w:r>
      <w:r w:rsidRPr="00201A9A">
        <w:rPr>
          <w:noProof/>
        </w:rPr>
        <w:t>223 ust.</w:t>
      </w:r>
      <w:r w:rsidR="00201A9A" w:rsidRPr="00201A9A">
        <w:rPr>
          <w:noProof/>
        </w:rPr>
        <w:t> </w:t>
      </w:r>
      <w:r w:rsidRPr="00201A9A">
        <w:rPr>
          <w:noProof/>
        </w:rPr>
        <w:t>4 rozporządzenia (UE, Euratom) 2024/2509</w:t>
      </w:r>
      <w:r w:rsidR="00201A9A" w:rsidRPr="00201A9A">
        <w:rPr>
          <w:noProof/>
        </w:rPr>
        <w:t xml:space="preserve"> w umo</w:t>
      </w:r>
      <w:r w:rsidRPr="00201A9A">
        <w:rPr>
          <w:noProof/>
        </w:rPr>
        <w:t>wie pożyczki określa się maksymalną kwotę pożyczki, okres dostępności, maksymalny czas trwania każdej wypłaty pożyczki oraz szczegółowe warunki wsparcia. Takie umowy mogą również zawierać określenie kwot płatności zaliczkowych</w:t>
      </w:r>
      <w:r w:rsidR="00201A9A" w:rsidRPr="00201A9A">
        <w:rPr>
          <w:noProof/>
        </w:rPr>
        <w:t xml:space="preserve"> i zas</w:t>
      </w:r>
      <w:r w:rsidRPr="00201A9A">
        <w:rPr>
          <w:noProof/>
        </w:rPr>
        <w:t xml:space="preserve">ady rozliczania płatności zaliczkowych. </w:t>
      </w:r>
      <w:bookmarkEnd w:id="7"/>
    </w:p>
    <w:p w14:paraId="1FB3FF1F" w14:textId="051B407F" w:rsidR="00004723" w:rsidRPr="00201A9A" w:rsidRDefault="00004723" w:rsidP="00004723">
      <w:pPr>
        <w:pStyle w:val="Titrearticle"/>
        <w:rPr>
          <w:noProof/>
        </w:rPr>
      </w:pPr>
      <w:r w:rsidRPr="00201A9A">
        <w:rPr>
          <w:noProof/>
        </w:rPr>
        <w:t xml:space="preserve">Artykuł 20 </w:t>
      </w:r>
      <w:r w:rsidRPr="00201A9A">
        <w:rPr>
          <w:noProof/>
        </w:rPr>
        <w:br/>
      </w:r>
      <w:r w:rsidRPr="00201A9A">
        <w:rPr>
          <w:b/>
          <w:noProof/>
        </w:rPr>
        <w:t>Wkład krajowy</w:t>
      </w:r>
      <w:r w:rsidR="00201A9A" w:rsidRPr="00201A9A">
        <w:rPr>
          <w:b/>
          <w:noProof/>
        </w:rPr>
        <w:t xml:space="preserve"> w sza</w:t>
      </w:r>
      <w:r w:rsidRPr="00201A9A">
        <w:rPr>
          <w:b/>
          <w:noProof/>
        </w:rPr>
        <w:t>cunkowe koszty</w:t>
      </w:r>
    </w:p>
    <w:p w14:paraId="574F0D32" w14:textId="50BA51F3" w:rsidR="00FA06C0" w:rsidRPr="00201A9A" w:rsidRDefault="00FF5BE2" w:rsidP="003E2902">
      <w:pPr>
        <w:pStyle w:val="NumPar10000000"/>
        <w:numPr>
          <w:ilvl w:val="0"/>
          <w:numId w:val="82"/>
        </w:numPr>
        <w:rPr>
          <w:noProof/>
        </w:rPr>
      </w:pPr>
      <w:r w:rsidRPr="00201A9A">
        <w:rPr>
          <w:noProof/>
        </w:rPr>
        <w:t>Minimalna stawka wkładu krajowego</w:t>
      </w:r>
      <w:r w:rsidR="00201A9A" w:rsidRPr="00201A9A">
        <w:rPr>
          <w:noProof/>
        </w:rPr>
        <w:t xml:space="preserve"> w sza</w:t>
      </w:r>
      <w:r w:rsidRPr="00201A9A">
        <w:rPr>
          <w:noProof/>
        </w:rPr>
        <w:t>cunkowe koszty środka</w:t>
      </w:r>
      <w:r w:rsidR="00201A9A" w:rsidRPr="00201A9A">
        <w:rPr>
          <w:noProof/>
        </w:rPr>
        <w:t xml:space="preserve"> w ram</w:t>
      </w:r>
      <w:r w:rsidRPr="00201A9A">
        <w:rPr>
          <w:noProof/>
        </w:rPr>
        <w:t>ach planu nie może być niższa niż:</w:t>
      </w:r>
    </w:p>
    <w:p w14:paraId="0EBA20B4" w14:textId="515F11F5" w:rsidR="00A90F2F" w:rsidRPr="00201A9A" w:rsidRDefault="00201A9A" w:rsidP="00201A9A">
      <w:pPr>
        <w:pStyle w:val="Point1"/>
        <w:rPr>
          <w:noProof/>
        </w:rPr>
      </w:pPr>
      <w:r w:rsidRPr="00201A9A">
        <w:rPr>
          <w:noProof/>
        </w:rPr>
        <w:t>a)</w:t>
      </w:r>
      <w:r w:rsidRPr="00201A9A">
        <w:rPr>
          <w:noProof/>
        </w:rPr>
        <w:tab/>
      </w:r>
      <w:r w:rsidR="009653C3" w:rsidRPr="00201A9A">
        <w:rPr>
          <w:noProof/>
        </w:rPr>
        <w:t>15 % dla regionów słabiej rozwiniętych;</w:t>
      </w:r>
    </w:p>
    <w:p w14:paraId="158559FB" w14:textId="53572974" w:rsidR="00A90F2F" w:rsidRPr="00201A9A" w:rsidRDefault="00201A9A" w:rsidP="00201A9A">
      <w:pPr>
        <w:pStyle w:val="Point1"/>
        <w:rPr>
          <w:noProof/>
        </w:rPr>
      </w:pPr>
      <w:r w:rsidRPr="00201A9A">
        <w:rPr>
          <w:noProof/>
        </w:rPr>
        <w:t>b)</w:t>
      </w:r>
      <w:r w:rsidRPr="00201A9A">
        <w:rPr>
          <w:noProof/>
        </w:rPr>
        <w:tab/>
      </w:r>
      <w:r w:rsidR="009653C3" w:rsidRPr="00201A9A">
        <w:rPr>
          <w:noProof/>
        </w:rPr>
        <w:t>40 % dla regionów</w:t>
      </w:r>
      <w:r w:rsidRPr="00201A9A">
        <w:rPr>
          <w:noProof/>
        </w:rPr>
        <w:t xml:space="preserve"> w okr</w:t>
      </w:r>
      <w:r w:rsidR="009653C3" w:rsidRPr="00201A9A">
        <w:rPr>
          <w:noProof/>
        </w:rPr>
        <w:t>esie przejściowym;</w:t>
      </w:r>
    </w:p>
    <w:p w14:paraId="37D9BBB0" w14:textId="10AA47FF" w:rsidR="00ED5957" w:rsidRPr="00201A9A" w:rsidRDefault="00201A9A" w:rsidP="00201A9A">
      <w:pPr>
        <w:pStyle w:val="Point1"/>
        <w:rPr>
          <w:noProof/>
        </w:rPr>
      </w:pPr>
      <w:r w:rsidRPr="00201A9A">
        <w:rPr>
          <w:noProof/>
        </w:rPr>
        <w:t>c)</w:t>
      </w:r>
      <w:r w:rsidRPr="00201A9A">
        <w:rPr>
          <w:noProof/>
        </w:rPr>
        <w:tab/>
      </w:r>
      <w:r w:rsidR="00427451" w:rsidRPr="00201A9A">
        <w:rPr>
          <w:noProof/>
        </w:rPr>
        <w:t>60 % dla regionów lepiej rozwiniętych.</w:t>
      </w:r>
    </w:p>
    <w:p w14:paraId="3702300C" w14:textId="65A6D5BB" w:rsidR="002C3CE0" w:rsidRPr="00201A9A" w:rsidRDefault="002C3CE0" w:rsidP="003E2902">
      <w:pPr>
        <w:pStyle w:val="NumPar10000000"/>
        <w:numPr>
          <w:ilvl w:val="0"/>
          <w:numId w:val="79"/>
        </w:numPr>
        <w:rPr>
          <w:noProof/>
        </w:rPr>
      </w:pPr>
      <w:r w:rsidRPr="00201A9A">
        <w:rPr>
          <w:noProof/>
        </w:rPr>
        <w:t>Jeśli</w:t>
      </w:r>
      <w:r w:rsidR="00201A9A" w:rsidRPr="00201A9A">
        <w:rPr>
          <w:noProof/>
        </w:rPr>
        <w:t xml:space="preserve"> w prz</w:t>
      </w:r>
      <w:r w:rsidRPr="00201A9A">
        <w:rPr>
          <w:noProof/>
        </w:rPr>
        <w:t>ypadku danego środka nie jest możliwe określenie odsetka wdrożenia</w:t>
      </w:r>
      <w:r w:rsidR="00201A9A" w:rsidRPr="00201A9A">
        <w:rPr>
          <w:noProof/>
        </w:rPr>
        <w:t xml:space="preserve"> w reg</w:t>
      </w:r>
      <w:r w:rsidRPr="00201A9A">
        <w:rPr>
          <w:noProof/>
        </w:rPr>
        <w:t>ionach słabiej rozwiniętych, stawka wkładu krajowego</w:t>
      </w:r>
      <w:r w:rsidR="00201A9A" w:rsidRPr="00201A9A">
        <w:rPr>
          <w:noProof/>
        </w:rPr>
        <w:t xml:space="preserve"> w sza</w:t>
      </w:r>
      <w:r w:rsidRPr="00201A9A">
        <w:rPr>
          <w:noProof/>
        </w:rPr>
        <w:t>cowane koszty nie może być niższa niż średnia ważona liczby ludności</w:t>
      </w:r>
      <w:r w:rsidR="00201A9A" w:rsidRPr="00201A9A">
        <w:rPr>
          <w:noProof/>
        </w:rPr>
        <w:t xml:space="preserve"> z maj</w:t>
      </w:r>
      <w:r w:rsidRPr="00201A9A">
        <w:rPr>
          <w:noProof/>
        </w:rPr>
        <w:t>ących zastosowanie stawek wkładu</w:t>
      </w:r>
      <w:r w:rsidR="00201A9A" w:rsidRPr="00201A9A">
        <w:rPr>
          <w:noProof/>
        </w:rPr>
        <w:t xml:space="preserve"> w dan</w:t>
      </w:r>
      <w:r w:rsidRPr="00201A9A">
        <w:rPr>
          <w:noProof/>
        </w:rPr>
        <w:t>ych regionach, określona</w:t>
      </w:r>
      <w:r w:rsidR="00201A9A" w:rsidRPr="00201A9A">
        <w:rPr>
          <w:noProof/>
        </w:rPr>
        <w:t xml:space="preserve"> w ust</w:t>
      </w:r>
      <w:r w:rsidRPr="00201A9A">
        <w:rPr>
          <w:noProof/>
        </w:rPr>
        <w:t>.</w:t>
      </w:r>
      <w:r w:rsidR="00201A9A" w:rsidRPr="00201A9A">
        <w:rPr>
          <w:noProof/>
        </w:rPr>
        <w:t> </w:t>
      </w:r>
      <w:r w:rsidRPr="00201A9A">
        <w:rPr>
          <w:noProof/>
        </w:rPr>
        <w:t>1.</w:t>
      </w:r>
    </w:p>
    <w:p w14:paraId="69F9FF6B" w14:textId="68048685" w:rsidR="00FF5BE2" w:rsidRPr="00201A9A" w:rsidRDefault="008E2B38" w:rsidP="003E2902">
      <w:pPr>
        <w:pStyle w:val="NumPar10000000"/>
        <w:numPr>
          <w:ilvl w:val="0"/>
          <w:numId w:val="79"/>
        </w:numPr>
        <w:rPr>
          <w:noProof/>
        </w:rPr>
      </w:pPr>
      <w:r w:rsidRPr="00201A9A">
        <w:rPr>
          <w:noProof/>
        </w:rPr>
        <w:t xml:space="preserve">Stawka wkładu krajowego na poziomie każdego rozdziału </w:t>
      </w:r>
      <w:r w:rsidR="00A47BEA" w:rsidRPr="00201A9A">
        <w:rPr>
          <w:noProof/>
        </w:rPr>
        <w:t>P</w:t>
      </w:r>
      <w:r w:rsidRPr="00201A9A">
        <w:rPr>
          <w:noProof/>
        </w:rPr>
        <w:t>lanu Interreg nie może być niższa niż 20</w:t>
      </w:r>
      <w:r w:rsidR="00201A9A" w:rsidRPr="00201A9A">
        <w:rPr>
          <w:noProof/>
        </w:rPr>
        <w:t> </w:t>
      </w:r>
      <w:r w:rsidRPr="00201A9A">
        <w:rPr>
          <w:noProof/>
        </w:rPr>
        <w:t>%. Stawkę obniża się o [5] punktów procentowych</w:t>
      </w:r>
      <w:r w:rsidR="00201A9A" w:rsidRPr="00201A9A">
        <w:rPr>
          <w:noProof/>
        </w:rPr>
        <w:t xml:space="preserve"> w prz</w:t>
      </w:r>
      <w:r w:rsidRPr="00201A9A">
        <w:rPr>
          <w:noProof/>
        </w:rPr>
        <w:t>ypadku rozdziałów wspierających współpracę regionów najbardziej oddalonych</w:t>
      </w:r>
      <w:r w:rsidR="00201A9A" w:rsidRPr="00201A9A">
        <w:rPr>
          <w:noProof/>
        </w:rPr>
        <w:t xml:space="preserve"> i wsp</w:t>
      </w:r>
      <w:r w:rsidRPr="00201A9A">
        <w:rPr>
          <w:noProof/>
        </w:rPr>
        <w:t>ółpracę transgraniczną na granicach zewnętrznych.</w:t>
      </w:r>
    </w:p>
    <w:p w14:paraId="36C89B84" w14:textId="2E35D734" w:rsidR="004F49F8" w:rsidRPr="00201A9A" w:rsidRDefault="004F49F8" w:rsidP="003E2902">
      <w:pPr>
        <w:pStyle w:val="NumPar10000000"/>
        <w:numPr>
          <w:ilvl w:val="0"/>
          <w:numId w:val="79"/>
        </w:numPr>
        <w:rPr>
          <w:noProof/>
        </w:rPr>
      </w:pPr>
      <w:r w:rsidRPr="00201A9A">
        <w:rPr>
          <w:noProof/>
        </w:rPr>
        <w:t>Nie składa się wniosku</w:t>
      </w:r>
      <w:r w:rsidR="00201A9A" w:rsidRPr="00201A9A">
        <w:rPr>
          <w:noProof/>
        </w:rPr>
        <w:t xml:space="preserve"> o wkł</w:t>
      </w:r>
      <w:r w:rsidRPr="00201A9A">
        <w:rPr>
          <w:noProof/>
        </w:rPr>
        <w:t>ad krajowy</w:t>
      </w:r>
      <w:r w:rsidR="00201A9A" w:rsidRPr="00201A9A">
        <w:rPr>
          <w:noProof/>
        </w:rPr>
        <w:t xml:space="preserve"> w odn</w:t>
      </w:r>
      <w:r w:rsidRPr="00201A9A">
        <w:rPr>
          <w:noProof/>
        </w:rPr>
        <w:t>iesieniu do interwencji,</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35 lit.</w:t>
      </w:r>
      <w:r w:rsidR="00201A9A" w:rsidRPr="00201A9A">
        <w:rPr>
          <w:noProof/>
        </w:rPr>
        <w:t> </w:t>
      </w:r>
      <w:r w:rsidRPr="00201A9A">
        <w:rPr>
          <w:noProof/>
        </w:rPr>
        <w:t>a), b), c) i g). Na te interwencje nie przyznaje się dodatkowego finansowania krajowego. Każda stawka wkładu stanowiąca odstępstwo od stawek określonych</w:t>
      </w:r>
      <w:r w:rsidR="00201A9A" w:rsidRPr="00201A9A">
        <w:rPr>
          <w:noProof/>
        </w:rPr>
        <w:t xml:space="preserve"> w ust</w:t>
      </w:r>
      <w:r w:rsidRPr="00201A9A">
        <w:rPr>
          <w:noProof/>
        </w:rPr>
        <w:t>.</w:t>
      </w:r>
      <w:r w:rsidR="00201A9A" w:rsidRPr="00201A9A">
        <w:rPr>
          <w:noProof/>
        </w:rPr>
        <w:t> </w:t>
      </w:r>
      <w:r w:rsidRPr="00201A9A">
        <w:rPr>
          <w:noProof/>
        </w:rPr>
        <w:t>1 określonych dla interwencji,</w:t>
      </w:r>
      <w:r w:rsidR="00201A9A" w:rsidRPr="00201A9A">
        <w:rPr>
          <w:noProof/>
        </w:rPr>
        <w:t xml:space="preserve"> o któ</w:t>
      </w:r>
      <w:r w:rsidRPr="00201A9A">
        <w:rPr>
          <w:noProof/>
        </w:rPr>
        <w:t>rych mowa</w:t>
      </w:r>
      <w:r w:rsidR="00201A9A" w:rsidRPr="00201A9A">
        <w:rPr>
          <w:noProof/>
        </w:rPr>
        <w:t xml:space="preserve"> w tyt</w:t>
      </w:r>
      <w:r w:rsidRPr="00201A9A">
        <w:rPr>
          <w:noProof/>
        </w:rPr>
        <w:t>ule V,</w:t>
      </w:r>
      <w:r w:rsidR="00201A9A" w:rsidRPr="00201A9A">
        <w:rPr>
          <w:noProof/>
        </w:rPr>
        <w:t xml:space="preserve"> w tym w prz</w:t>
      </w:r>
      <w:r w:rsidRPr="00201A9A">
        <w:rPr>
          <w:noProof/>
        </w:rPr>
        <w:t>ypadku gdy nie wnioskuje się</w:t>
      </w:r>
      <w:r w:rsidR="00201A9A" w:rsidRPr="00201A9A">
        <w:rPr>
          <w:noProof/>
        </w:rPr>
        <w:t xml:space="preserve"> o wkł</w:t>
      </w:r>
      <w:r w:rsidRPr="00201A9A">
        <w:rPr>
          <w:noProof/>
        </w:rPr>
        <w:t>ady krajowe, ma zastosowanie wyłącznie do łącznej kwoty interwencji, która nie przekracza udziału danego państwa członkowskiego</w:t>
      </w:r>
      <w:r w:rsidR="00201A9A" w:rsidRPr="00201A9A">
        <w:rPr>
          <w:noProof/>
        </w:rPr>
        <w:t xml:space="preserve"> w kwo</w:t>
      </w:r>
      <w:r w:rsidRPr="00201A9A">
        <w:rPr>
          <w:noProof/>
        </w:rPr>
        <w:t>cie określonej</w:t>
      </w:r>
      <w:r w:rsidR="00201A9A" w:rsidRPr="00201A9A">
        <w:rPr>
          <w:noProof/>
        </w:rPr>
        <w:t xml:space="preserve"> w art</w:t>
      </w:r>
      <w:r w:rsidRPr="00201A9A">
        <w:rPr>
          <w:noProof/>
        </w:rPr>
        <w:t>.</w:t>
      </w:r>
      <w:r w:rsidR="00201A9A" w:rsidRPr="00201A9A">
        <w:rPr>
          <w:noProof/>
        </w:rPr>
        <w:t> </w:t>
      </w:r>
      <w:r w:rsidRPr="00201A9A">
        <w:rPr>
          <w:noProof/>
        </w:rPr>
        <w:t>10 ust.</w:t>
      </w:r>
      <w:r w:rsidR="00201A9A" w:rsidRPr="00201A9A">
        <w:rPr>
          <w:noProof/>
        </w:rPr>
        <w:t> </w:t>
      </w:r>
      <w:r w:rsidRPr="00201A9A">
        <w:rPr>
          <w:noProof/>
        </w:rPr>
        <w:t>2 lit.</w:t>
      </w:r>
      <w:r w:rsidR="00201A9A" w:rsidRPr="00201A9A">
        <w:rPr>
          <w:noProof/>
        </w:rPr>
        <w:t> </w:t>
      </w:r>
      <w:r w:rsidRPr="00201A9A">
        <w:rPr>
          <w:noProof/>
        </w:rPr>
        <w:t>a) pkt (ii), jak określono</w:t>
      </w:r>
      <w:r w:rsidR="00201A9A" w:rsidRPr="00201A9A">
        <w:rPr>
          <w:noProof/>
        </w:rPr>
        <w:t xml:space="preserve"> w zał</w:t>
      </w:r>
      <w:r w:rsidRPr="00201A9A">
        <w:rPr>
          <w:noProof/>
        </w:rPr>
        <w:t>ączniku I.</w:t>
      </w:r>
    </w:p>
    <w:p w14:paraId="4902E328" w14:textId="77777777" w:rsidR="00FA06C0" w:rsidRPr="00201A9A" w:rsidRDefault="009B073F" w:rsidP="16E6631B">
      <w:pPr>
        <w:pStyle w:val="SectionTitle"/>
        <w:rPr>
          <w:noProof/>
        </w:rPr>
      </w:pPr>
      <w:r w:rsidRPr="00201A9A">
        <w:rPr>
          <w:noProof/>
        </w:rPr>
        <w:t xml:space="preserve">TYTUŁ III </w:t>
      </w:r>
      <w:r w:rsidRPr="00201A9A">
        <w:rPr>
          <w:noProof/>
        </w:rPr>
        <w:br/>
        <w:t>PLANY PARTNERSTWA KRAJOWEGO I REGIONALNEGO</w:t>
      </w:r>
    </w:p>
    <w:p w14:paraId="0ED144F5" w14:textId="444F33B7" w:rsidR="00FA06C0" w:rsidRPr="00201A9A" w:rsidRDefault="00C330EA" w:rsidP="00952967">
      <w:pPr>
        <w:pStyle w:val="Chaptertitle"/>
        <w:rPr>
          <w:noProof/>
        </w:rPr>
      </w:pPr>
      <w:r w:rsidRPr="00201A9A">
        <w:rPr>
          <w:b/>
          <w:i w:val="0"/>
          <w:noProof/>
          <w:sz w:val="32"/>
        </w:rPr>
        <w:t>ROZDZIAŁ 1</w:t>
      </w:r>
      <w:r w:rsidRPr="00201A9A">
        <w:rPr>
          <w:noProof/>
        </w:rPr>
        <w:t xml:space="preserve"> </w:t>
      </w:r>
      <w:r w:rsidRPr="00201A9A">
        <w:rPr>
          <w:noProof/>
        </w:rPr>
        <w:br/>
      </w:r>
      <w:r w:rsidRPr="00201A9A">
        <w:rPr>
          <w:b/>
          <w:i w:val="0"/>
          <w:noProof/>
          <w:sz w:val="32"/>
        </w:rPr>
        <w:t>Przygotowanie</w:t>
      </w:r>
      <w:r w:rsidR="00201A9A" w:rsidRPr="00201A9A">
        <w:rPr>
          <w:b/>
          <w:i w:val="0"/>
          <w:noProof/>
          <w:sz w:val="32"/>
        </w:rPr>
        <w:t xml:space="preserve"> i prz</w:t>
      </w:r>
      <w:r w:rsidRPr="00201A9A">
        <w:rPr>
          <w:b/>
          <w:i w:val="0"/>
          <w:noProof/>
          <w:sz w:val="32"/>
        </w:rPr>
        <w:t>yjęcie planu</w:t>
      </w:r>
    </w:p>
    <w:p w14:paraId="0D4F332A" w14:textId="0D1EA44B" w:rsidR="004E3138" w:rsidRPr="00201A9A" w:rsidRDefault="00004723" w:rsidP="004E3138">
      <w:pPr>
        <w:pStyle w:val="Titrearticle"/>
        <w:rPr>
          <w:noProof/>
        </w:rPr>
      </w:pPr>
      <w:r w:rsidRPr="00201A9A">
        <w:rPr>
          <w:noProof/>
        </w:rPr>
        <w:t xml:space="preserve">Artykuł 21 </w:t>
      </w:r>
      <w:r w:rsidRPr="00201A9A">
        <w:rPr>
          <w:noProof/>
        </w:rPr>
        <w:br/>
      </w:r>
      <w:r w:rsidRPr="00201A9A">
        <w:rPr>
          <w:b/>
          <w:noProof/>
        </w:rPr>
        <w:t>Przygotowanie</w:t>
      </w:r>
      <w:r w:rsidR="00201A9A" w:rsidRPr="00201A9A">
        <w:rPr>
          <w:b/>
          <w:noProof/>
        </w:rPr>
        <w:t xml:space="preserve"> i prz</w:t>
      </w:r>
      <w:r w:rsidRPr="00201A9A">
        <w:rPr>
          <w:b/>
          <w:noProof/>
        </w:rPr>
        <w:t>edłożenie planu</w:t>
      </w:r>
    </w:p>
    <w:p w14:paraId="326A82AA" w14:textId="3BABC9B7" w:rsidR="009F0A87" w:rsidRPr="00201A9A" w:rsidRDefault="005C49E8" w:rsidP="003E2902">
      <w:pPr>
        <w:pStyle w:val="NumPar10000000"/>
        <w:numPr>
          <w:ilvl w:val="0"/>
          <w:numId w:val="83"/>
        </w:numPr>
        <w:rPr>
          <w:noProof/>
        </w:rPr>
      </w:pPr>
      <w:r w:rsidRPr="00201A9A">
        <w:rPr>
          <w:noProof/>
        </w:rPr>
        <w:t>Każde państwo członkowskie przygotowuje</w:t>
      </w:r>
      <w:r w:rsidR="00201A9A" w:rsidRPr="00201A9A">
        <w:rPr>
          <w:noProof/>
        </w:rPr>
        <w:t xml:space="preserve"> i prz</w:t>
      </w:r>
      <w:r w:rsidRPr="00201A9A">
        <w:rPr>
          <w:noProof/>
        </w:rPr>
        <w:t>edkłada Komisji plan PKR określający jego program reform, inwestycji</w:t>
      </w:r>
      <w:r w:rsidR="00201A9A" w:rsidRPr="00201A9A">
        <w:rPr>
          <w:noProof/>
        </w:rPr>
        <w:t xml:space="preserve"> i inn</w:t>
      </w:r>
      <w:r w:rsidRPr="00201A9A">
        <w:rPr>
          <w:noProof/>
        </w:rPr>
        <w:t>ych interwencji. Każdy plan obejmuje środki, które tworzą kompleksowy</w:t>
      </w:r>
      <w:r w:rsidR="00201A9A" w:rsidRPr="00201A9A">
        <w:rPr>
          <w:noProof/>
        </w:rPr>
        <w:t xml:space="preserve"> i spó</w:t>
      </w:r>
      <w:r w:rsidRPr="00201A9A">
        <w:rPr>
          <w:noProof/>
        </w:rPr>
        <w:t>jny pakiet. Państwo członkowskie podaje plan przedłożony Komisji do wiadomości publicznej na stronie internetowej,</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 xml:space="preserve">64 [Przejrzystość]. </w:t>
      </w:r>
    </w:p>
    <w:p w14:paraId="3B237446" w14:textId="49497D1C" w:rsidR="009F0A87" w:rsidRPr="00201A9A" w:rsidRDefault="005C49E8" w:rsidP="003E2902">
      <w:pPr>
        <w:pStyle w:val="NumPar10000000"/>
        <w:numPr>
          <w:ilvl w:val="0"/>
          <w:numId w:val="79"/>
        </w:numPr>
        <w:rPr>
          <w:noProof/>
        </w:rPr>
      </w:pPr>
      <w:r w:rsidRPr="00201A9A">
        <w:rPr>
          <w:noProof/>
        </w:rPr>
        <w:t>Każde państwo członkowskie przygotowuje</w:t>
      </w:r>
      <w:r w:rsidR="00201A9A" w:rsidRPr="00201A9A">
        <w:rPr>
          <w:noProof/>
        </w:rPr>
        <w:t xml:space="preserve"> i wdr</w:t>
      </w:r>
      <w:r w:rsidRPr="00201A9A">
        <w:rPr>
          <w:noProof/>
        </w:rPr>
        <w:t>aża plan we współpracy</w:t>
      </w:r>
      <w:r w:rsidR="00201A9A" w:rsidRPr="00201A9A">
        <w:rPr>
          <w:noProof/>
        </w:rPr>
        <w:t xml:space="preserve"> z par</w:t>
      </w:r>
      <w:r w:rsidRPr="00201A9A">
        <w:rPr>
          <w:noProof/>
        </w:rPr>
        <w:t>tnerami określonymi</w:t>
      </w:r>
      <w:r w:rsidR="00201A9A" w:rsidRPr="00201A9A">
        <w:rPr>
          <w:noProof/>
        </w:rPr>
        <w:t xml:space="preserve"> w art</w:t>
      </w:r>
      <w:r w:rsidRPr="00201A9A">
        <w:rPr>
          <w:noProof/>
        </w:rPr>
        <w:t>.</w:t>
      </w:r>
      <w:r w:rsidR="00201A9A" w:rsidRPr="00201A9A">
        <w:rPr>
          <w:noProof/>
        </w:rPr>
        <w:t> </w:t>
      </w:r>
      <w:r w:rsidRPr="00201A9A">
        <w:rPr>
          <w:noProof/>
        </w:rPr>
        <w:t>6 [Partnerstwo],</w:t>
      </w:r>
      <w:r w:rsidR="00201A9A" w:rsidRPr="00201A9A">
        <w:rPr>
          <w:noProof/>
        </w:rPr>
        <w:t xml:space="preserve"> w tym z wła</w:t>
      </w:r>
      <w:r w:rsidRPr="00201A9A">
        <w:rPr>
          <w:noProof/>
        </w:rPr>
        <w:t>dzami regionalnymi</w:t>
      </w:r>
      <w:r w:rsidR="00201A9A" w:rsidRPr="00201A9A">
        <w:rPr>
          <w:noProof/>
        </w:rPr>
        <w:t xml:space="preserve"> i lok</w:t>
      </w:r>
      <w:r w:rsidRPr="00201A9A">
        <w:rPr>
          <w:noProof/>
        </w:rPr>
        <w:t>alnymi, oraz zgodnie</w:t>
      </w:r>
      <w:r w:rsidR="00201A9A" w:rsidRPr="00201A9A">
        <w:rPr>
          <w:noProof/>
        </w:rPr>
        <w:t xml:space="preserve"> z ich</w:t>
      </w:r>
      <w:r w:rsidRPr="00201A9A">
        <w:rPr>
          <w:noProof/>
        </w:rPr>
        <w:t xml:space="preserve"> ramami instytucjonalnymi, prawnymi</w:t>
      </w:r>
      <w:r w:rsidR="00201A9A" w:rsidRPr="00201A9A">
        <w:rPr>
          <w:noProof/>
        </w:rPr>
        <w:t xml:space="preserve"> i fin</w:t>
      </w:r>
      <w:r w:rsidRPr="00201A9A">
        <w:rPr>
          <w:noProof/>
        </w:rPr>
        <w:t>ansowymi. Plan zawiera rozdziały krajowe, sektorowe oraz,</w:t>
      </w:r>
      <w:r w:rsidR="00201A9A" w:rsidRPr="00201A9A">
        <w:rPr>
          <w:noProof/>
        </w:rPr>
        <w:t xml:space="preserve"> w sto</w:t>
      </w:r>
      <w:r w:rsidRPr="00201A9A">
        <w:rPr>
          <w:noProof/>
        </w:rPr>
        <w:t>sownych przypadkach, regionalne</w:t>
      </w:r>
      <w:r w:rsidR="00201A9A" w:rsidRPr="00201A9A">
        <w:rPr>
          <w:noProof/>
        </w:rPr>
        <w:t xml:space="preserve"> i ter</w:t>
      </w:r>
      <w:r w:rsidRPr="00201A9A">
        <w:rPr>
          <w:noProof/>
        </w:rPr>
        <w:t xml:space="preserve">ytorialne. </w:t>
      </w:r>
    </w:p>
    <w:p w14:paraId="5A3063F7" w14:textId="200A04F9" w:rsidR="009F0A87" w:rsidRPr="00201A9A" w:rsidRDefault="005C49E8" w:rsidP="003E2902">
      <w:pPr>
        <w:pStyle w:val="NumPar10000000"/>
        <w:numPr>
          <w:ilvl w:val="0"/>
          <w:numId w:val="79"/>
        </w:numPr>
        <w:rPr>
          <w:noProof/>
        </w:rPr>
      </w:pPr>
      <w:r w:rsidRPr="00201A9A">
        <w:rPr>
          <w:noProof/>
        </w:rPr>
        <w:t>Do finansowania kwalifikują się wyłącznie środki, których wdrażanie rozpoczęto po dniu 1 stycznia 2028</w:t>
      </w:r>
      <w:r w:rsidR="00201A9A" w:rsidRPr="00201A9A">
        <w:rPr>
          <w:noProof/>
        </w:rPr>
        <w:t> </w:t>
      </w:r>
      <w:r w:rsidRPr="00201A9A">
        <w:rPr>
          <w:noProof/>
        </w:rPr>
        <w:t>r., pod warunkiem że są one zgodne</w:t>
      </w:r>
      <w:r w:rsidR="00201A9A" w:rsidRPr="00201A9A">
        <w:rPr>
          <w:noProof/>
        </w:rPr>
        <w:t xml:space="preserve"> z wym</w:t>
      </w:r>
      <w:r w:rsidRPr="00201A9A">
        <w:rPr>
          <w:noProof/>
        </w:rPr>
        <w:t>ogami określonymi</w:t>
      </w:r>
      <w:r w:rsidR="00201A9A" w:rsidRPr="00201A9A">
        <w:rPr>
          <w:noProof/>
        </w:rPr>
        <w:t xml:space="preserve"> w nin</w:t>
      </w:r>
      <w:r w:rsidRPr="00201A9A">
        <w:rPr>
          <w:noProof/>
        </w:rPr>
        <w:t>iejszym rozporządzeniu</w:t>
      </w:r>
      <w:r w:rsidR="00201A9A" w:rsidRPr="00201A9A">
        <w:rPr>
          <w:noProof/>
        </w:rPr>
        <w:t xml:space="preserve"> i roz</w:t>
      </w:r>
      <w:r w:rsidRPr="00201A9A">
        <w:rPr>
          <w:noProof/>
        </w:rPr>
        <w:t>porządzeniami wymienionymi</w:t>
      </w:r>
      <w:r w:rsidR="00201A9A" w:rsidRPr="00201A9A">
        <w:rPr>
          <w:noProof/>
        </w:rPr>
        <w:t xml:space="preserve"> w art</w:t>
      </w:r>
      <w:r w:rsidRPr="00201A9A">
        <w:rPr>
          <w:noProof/>
        </w:rPr>
        <w:t>.</w:t>
      </w:r>
      <w:r w:rsidR="00201A9A" w:rsidRPr="00201A9A">
        <w:rPr>
          <w:noProof/>
        </w:rPr>
        <w:t> </w:t>
      </w:r>
      <w:r w:rsidRPr="00201A9A">
        <w:rPr>
          <w:noProof/>
        </w:rPr>
        <w:t>1 ust.</w:t>
      </w:r>
      <w:r w:rsidR="00201A9A" w:rsidRPr="00201A9A">
        <w:rPr>
          <w:noProof/>
        </w:rPr>
        <w:t> </w:t>
      </w:r>
      <w:r w:rsidRPr="00201A9A">
        <w:rPr>
          <w:noProof/>
        </w:rPr>
        <w:t xml:space="preserve">1. </w:t>
      </w:r>
    </w:p>
    <w:p w14:paraId="0D77DFF6" w14:textId="14CD75F8" w:rsidR="00E747C1" w:rsidRPr="00201A9A" w:rsidRDefault="00E747C1" w:rsidP="004E0CDA">
      <w:pPr>
        <w:pStyle w:val="Text1"/>
        <w:rPr>
          <w:noProof/>
        </w:rPr>
      </w:pPr>
      <w:r w:rsidRPr="00201A9A">
        <w:rPr>
          <w:noProof/>
        </w:rPr>
        <w:t>Na zasadzie odstępstwa od akapitu pierwszego wydatki związane ze zobowiązaniami prawnymi na rzecz beneficjentów poniesione</w:t>
      </w:r>
      <w:r w:rsidR="00201A9A" w:rsidRPr="00201A9A">
        <w:rPr>
          <w:noProof/>
        </w:rPr>
        <w:t xml:space="preserve"> w ram</w:t>
      </w:r>
      <w:r w:rsidRPr="00201A9A">
        <w:rPr>
          <w:noProof/>
        </w:rPr>
        <w:t>ach interwencji finansowanych na podstawie rozporządzenia (UE) 2021/2115 mogą kwalifikować się do wkładu, pod warunkiem że takie wydatki są przewidziane</w:t>
      </w:r>
      <w:r w:rsidR="00201A9A" w:rsidRPr="00201A9A">
        <w:rPr>
          <w:noProof/>
        </w:rPr>
        <w:t xml:space="preserve"> w odp</w:t>
      </w:r>
      <w:r w:rsidRPr="00201A9A">
        <w:rPr>
          <w:noProof/>
        </w:rPr>
        <w:t>owiednim planie PKR zgodnie</w:t>
      </w:r>
      <w:r w:rsidR="00201A9A" w:rsidRPr="00201A9A">
        <w:rPr>
          <w:noProof/>
        </w:rPr>
        <w:t xml:space="preserve"> z nin</w:t>
      </w:r>
      <w:r w:rsidRPr="00201A9A">
        <w:rPr>
          <w:noProof/>
        </w:rPr>
        <w:t>iejszym rozporządzeniem</w:t>
      </w:r>
      <w:r w:rsidR="00201A9A" w:rsidRPr="00201A9A">
        <w:rPr>
          <w:noProof/>
        </w:rPr>
        <w:t xml:space="preserve"> i roz</w:t>
      </w:r>
      <w:r w:rsidRPr="00201A9A">
        <w:rPr>
          <w:noProof/>
        </w:rPr>
        <w:t>porządzeniem (UE) 202X/XXXX [rozporządzenie</w:t>
      </w:r>
      <w:r w:rsidR="00201A9A" w:rsidRPr="00201A9A">
        <w:rPr>
          <w:noProof/>
        </w:rPr>
        <w:t xml:space="preserve"> w spr</w:t>
      </w:r>
      <w:r w:rsidRPr="00201A9A">
        <w:rPr>
          <w:noProof/>
        </w:rPr>
        <w:t>awie WPR].</w:t>
      </w:r>
    </w:p>
    <w:p w14:paraId="4AD7A30E" w14:textId="77777777" w:rsidR="009F0A87" w:rsidRPr="00201A9A" w:rsidRDefault="00004723" w:rsidP="009F0A87">
      <w:pPr>
        <w:pStyle w:val="Titrearticle"/>
        <w:rPr>
          <w:noProof/>
        </w:rPr>
      </w:pPr>
      <w:r w:rsidRPr="00201A9A">
        <w:rPr>
          <w:noProof/>
        </w:rPr>
        <w:t xml:space="preserve">Artykuł 22 </w:t>
      </w:r>
      <w:r w:rsidRPr="00201A9A">
        <w:rPr>
          <w:noProof/>
        </w:rPr>
        <w:br/>
      </w:r>
      <w:r w:rsidRPr="00201A9A">
        <w:rPr>
          <w:b/>
          <w:noProof/>
        </w:rPr>
        <w:t>Wymogi dotyczące planu PKR</w:t>
      </w:r>
    </w:p>
    <w:p w14:paraId="4D971CE3" w14:textId="71CDE752" w:rsidR="008D06C5" w:rsidRPr="00201A9A" w:rsidRDefault="005C49E8" w:rsidP="003E2902">
      <w:pPr>
        <w:pStyle w:val="NumPar10000000"/>
        <w:numPr>
          <w:ilvl w:val="0"/>
          <w:numId w:val="84"/>
        </w:numPr>
        <w:rPr>
          <w:noProof/>
        </w:rPr>
      </w:pPr>
      <w:r w:rsidRPr="00201A9A">
        <w:rPr>
          <w:noProof/>
        </w:rPr>
        <w:t>Każdy plan PKR musi być należycie uzasadniony</w:t>
      </w:r>
      <w:r w:rsidR="00201A9A" w:rsidRPr="00201A9A">
        <w:rPr>
          <w:noProof/>
        </w:rPr>
        <w:t xml:space="preserve"> i pop</w:t>
      </w:r>
      <w:r w:rsidRPr="00201A9A">
        <w:rPr>
          <w:noProof/>
        </w:rPr>
        <w:t>arty dowodami oraz zawierać elementy,</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2 niniejszego artykułu, zgodnie ze wzorem określonym</w:t>
      </w:r>
      <w:r w:rsidR="00201A9A" w:rsidRPr="00201A9A">
        <w:rPr>
          <w:noProof/>
        </w:rPr>
        <w:t xml:space="preserve"> w zał</w:t>
      </w:r>
      <w:r w:rsidRPr="00201A9A">
        <w:rPr>
          <w:noProof/>
        </w:rPr>
        <w:t xml:space="preserve">ączniku V. </w:t>
      </w:r>
    </w:p>
    <w:p w14:paraId="393C1146" w14:textId="77777777" w:rsidR="009F0A87" w:rsidRPr="00201A9A" w:rsidRDefault="005C49E8" w:rsidP="003E2902">
      <w:pPr>
        <w:pStyle w:val="NumPar10000000"/>
        <w:numPr>
          <w:ilvl w:val="0"/>
          <w:numId w:val="38"/>
        </w:numPr>
        <w:rPr>
          <w:noProof/>
        </w:rPr>
      </w:pPr>
      <w:r w:rsidRPr="00201A9A">
        <w:rPr>
          <w:noProof/>
        </w:rPr>
        <w:t>Plan PKR:</w:t>
      </w:r>
    </w:p>
    <w:p w14:paraId="506F77FB" w14:textId="4C56F950" w:rsidR="001E1709" w:rsidRPr="00201A9A" w:rsidRDefault="00201A9A" w:rsidP="00201A9A">
      <w:pPr>
        <w:pStyle w:val="Point1"/>
        <w:rPr>
          <w:noProof/>
        </w:rPr>
      </w:pPr>
      <w:r w:rsidRPr="00201A9A">
        <w:rPr>
          <w:noProof/>
        </w:rPr>
        <w:t>a)</w:t>
      </w:r>
      <w:r w:rsidRPr="00201A9A">
        <w:rPr>
          <w:noProof/>
        </w:rPr>
        <w:tab/>
      </w:r>
      <w:r w:rsidR="00F83BD1" w:rsidRPr="00201A9A">
        <w:rPr>
          <w:noProof/>
        </w:rPr>
        <w:t>wspiera cele ogólne określone</w:t>
      </w:r>
      <w:r w:rsidRPr="00201A9A">
        <w:rPr>
          <w:noProof/>
        </w:rPr>
        <w:t xml:space="preserve"> w art</w:t>
      </w:r>
      <w:r w:rsidR="00F83BD1" w:rsidRPr="00201A9A">
        <w:rPr>
          <w:noProof/>
        </w:rPr>
        <w:t>.</w:t>
      </w:r>
      <w:r w:rsidRPr="00201A9A">
        <w:rPr>
          <w:noProof/>
        </w:rPr>
        <w:t> </w:t>
      </w:r>
      <w:r w:rsidR="00F83BD1" w:rsidRPr="00201A9A">
        <w:rPr>
          <w:noProof/>
        </w:rPr>
        <w:t>2</w:t>
      </w:r>
      <w:r w:rsidRPr="00201A9A">
        <w:rPr>
          <w:noProof/>
        </w:rPr>
        <w:t xml:space="preserve"> i prz</w:t>
      </w:r>
      <w:r w:rsidR="00F83BD1" w:rsidRPr="00201A9A">
        <w:rPr>
          <w:noProof/>
        </w:rPr>
        <w:t>yczynia się</w:t>
      </w:r>
      <w:r w:rsidRPr="00201A9A">
        <w:rPr>
          <w:noProof/>
        </w:rPr>
        <w:t xml:space="preserve"> w spo</w:t>
      </w:r>
      <w:r w:rsidR="00F83BD1" w:rsidRPr="00201A9A">
        <w:rPr>
          <w:noProof/>
        </w:rPr>
        <w:t>sób kompleksowy</w:t>
      </w:r>
      <w:r w:rsidRPr="00201A9A">
        <w:rPr>
          <w:noProof/>
        </w:rPr>
        <w:t xml:space="preserve"> i odp</w:t>
      </w:r>
      <w:r w:rsidR="00F83BD1" w:rsidRPr="00201A9A">
        <w:rPr>
          <w:noProof/>
        </w:rPr>
        <w:t>owiedni do osiągnięcia wszystkich celów szczegółowych określonych</w:t>
      </w:r>
      <w:r w:rsidRPr="00201A9A">
        <w:rPr>
          <w:noProof/>
        </w:rPr>
        <w:t xml:space="preserve"> w art</w:t>
      </w:r>
      <w:r w:rsidR="00F83BD1" w:rsidRPr="00201A9A">
        <w:rPr>
          <w:noProof/>
        </w:rPr>
        <w:t>.</w:t>
      </w:r>
      <w:r w:rsidRPr="00201A9A">
        <w:rPr>
          <w:noProof/>
        </w:rPr>
        <w:t> </w:t>
      </w:r>
      <w:r w:rsidR="00F83BD1" w:rsidRPr="00201A9A">
        <w:rPr>
          <w:noProof/>
        </w:rPr>
        <w:t>3,</w:t>
      </w:r>
      <w:r w:rsidRPr="00201A9A">
        <w:rPr>
          <w:noProof/>
        </w:rPr>
        <w:t xml:space="preserve"> z uwz</w:t>
      </w:r>
      <w:r w:rsidR="00F83BD1" w:rsidRPr="00201A9A">
        <w:rPr>
          <w:noProof/>
        </w:rPr>
        <w:t>ględnieniem szczególnych wyzwań stojących przed danym państwem członkowskim,</w:t>
      </w:r>
      <w:r w:rsidRPr="00201A9A">
        <w:rPr>
          <w:noProof/>
        </w:rPr>
        <w:t xml:space="preserve"> a tak</w:t>
      </w:r>
      <w:r w:rsidR="00F83BD1" w:rsidRPr="00201A9A">
        <w:rPr>
          <w:noProof/>
        </w:rPr>
        <w:t>że zawiera strategię interwencji wskazującą,</w:t>
      </w:r>
      <w:r w:rsidRPr="00201A9A">
        <w:rPr>
          <w:noProof/>
        </w:rPr>
        <w:t xml:space="preserve"> w jak</w:t>
      </w:r>
      <w:r w:rsidR="00F83BD1" w:rsidRPr="00201A9A">
        <w:rPr>
          <w:noProof/>
        </w:rPr>
        <w:t>i sposób cele te będą realizowane</w:t>
      </w:r>
      <w:r w:rsidRPr="00201A9A">
        <w:rPr>
          <w:noProof/>
        </w:rPr>
        <w:t xml:space="preserve"> i fin</w:t>
      </w:r>
      <w:r w:rsidR="00F83BD1" w:rsidRPr="00201A9A">
        <w:rPr>
          <w:noProof/>
        </w:rPr>
        <w:t>ansowane</w:t>
      </w:r>
      <w:r w:rsidRPr="00201A9A">
        <w:rPr>
          <w:noProof/>
        </w:rPr>
        <w:t xml:space="preserve"> w ram</w:t>
      </w:r>
      <w:r w:rsidR="00F83BD1" w:rsidRPr="00201A9A">
        <w:rPr>
          <w:noProof/>
        </w:rPr>
        <w:t>ach planu, jaki poziom finansowania jest potrzebny do zapewnienia osiągnięcia celów ogólnych oraz</w:t>
      </w:r>
      <w:r w:rsidRPr="00201A9A">
        <w:rPr>
          <w:noProof/>
        </w:rPr>
        <w:t xml:space="preserve"> w jak</w:t>
      </w:r>
      <w:r w:rsidR="00F83BD1" w:rsidRPr="00201A9A">
        <w:rPr>
          <w:noProof/>
        </w:rPr>
        <w:t>i sposób ten poziom finansowania jest uzasadniony</w:t>
      </w:r>
      <w:r w:rsidRPr="00201A9A">
        <w:rPr>
          <w:noProof/>
        </w:rPr>
        <w:t>. W pla</w:t>
      </w:r>
      <w:r w:rsidR="00F83BD1" w:rsidRPr="00201A9A">
        <w:rPr>
          <w:noProof/>
        </w:rPr>
        <w:t>nie PKR państwa członkowskiego, którego DNB na mieszkańca jest niższy niż 90</w:t>
      </w:r>
      <w:r w:rsidRPr="00201A9A">
        <w:rPr>
          <w:noProof/>
        </w:rPr>
        <w:t> </w:t>
      </w:r>
      <w:r w:rsidR="00F83BD1" w:rsidRPr="00201A9A">
        <w:rPr>
          <w:noProof/>
        </w:rPr>
        <w:t>% średniej unijnej, wykazuje się</w:t>
      </w:r>
      <w:r w:rsidRPr="00201A9A">
        <w:rPr>
          <w:noProof/>
        </w:rPr>
        <w:t xml:space="preserve"> w szc</w:t>
      </w:r>
      <w:r w:rsidR="00F83BD1" w:rsidRPr="00201A9A">
        <w:rPr>
          <w:noProof/>
        </w:rPr>
        <w:t>zególności, że przyczynia się on</w:t>
      </w:r>
      <w:r w:rsidRPr="00201A9A">
        <w:rPr>
          <w:noProof/>
        </w:rPr>
        <w:t xml:space="preserve"> w odp</w:t>
      </w:r>
      <w:r w:rsidR="00F83BD1" w:rsidRPr="00201A9A">
        <w:rPr>
          <w:noProof/>
        </w:rPr>
        <w:t>owiedni sposób do osiągnięcia celów szczegółowych określonych</w:t>
      </w:r>
      <w:r w:rsidRPr="00201A9A">
        <w:rPr>
          <w:noProof/>
        </w:rPr>
        <w:t xml:space="preserve"> w art</w:t>
      </w:r>
      <w:r w:rsidR="00F83BD1" w:rsidRPr="00201A9A">
        <w:rPr>
          <w:noProof/>
        </w:rPr>
        <w:t>.</w:t>
      </w:r>
      <w:r w:rsidRPr="00201A9A">
        <w:rPr>
          <w:noProof/>
        </w:rPr>
        <w:t> </w:t>
      </w:r>
      <w:r w:rsidR="00F83BD1" w:rsidRPr="00201A9A">
        <w:rPr>
          <w:noProof/>
        </w:rPr>
        <w:t>3 lit.</w:t>
      </w:r>
      <w:r w:rsidRPr="00201A9A">
        <w:rPr>
          <w:noProof/>
        </w:rPr>
        <w:t> </w:t>
      </w:r>
      <w:r w:rsidR="00F83BD1" w:rsidRPr="00201A9A">
        <w:rPr>
          <w:noProof/>
        </w:rPr>
        <w:t>a) pkt (vii) i (ix) oraz art.</w:t>
      </w:r>
      <w:r w:rsidRPr="00201A9A">
        <w:rPr>
          <w:noProof/>
        </w:rPr>
        <w:t> </w:t>
      </w:r>
      <w:r w:rsidR="00F83BD1" w:rsidRPr="00201A9A">
        <w:rPr>
          <w:noProof/>
        </w:rPr>
        <w:t>3 lit.</w:t>
      </w:r>
      <w:r w:rsidRPr="00201A9A">
        <w:rPr>
          <w:noProof/>
        </w:rPr>
        <w:t> </w:t>
      </w:r>
      <w:r w:rsidR="00F83BD1" w:rsidRPr="00201A9A">
        <w:rPr>
          <w:noProof/>
        </w:rPr>
        <w:t>d) pkt (v);</w:t>
      </w:r>
    </w:p>
    <w:p w14:paraId="5F5AB1F2" w14:textId="73185614" w:rsidR="001E1709" w:rsidRPr="00201A9A" w:rsidRDefault="00201A9A" w:rsidP="00201A9A">
      <w:pPr>
        <w:pStyle w:val="Point1"/>
        <w:rPr>
          <w:noProof/>
        </w:rPr>
      </w:pPr>
      <w:r w:rsidRPr="00201A9A">
        <w:rPr>
          <w:noProof/>
        </w:rPr>
        <w:t>b)</w:t>
      </w:r>
      <w:r w:rsidRPr="00201A9A">
        <w:rPr>
          <w:noProof/>
        </w:rPr>
        <w:tab/>
      </w:r>
      <w:r w:rsidR="00F365D7" w:rsidRPr="00201A9A">
        <w:rPr>
          <w:noProof/>
        </w:rPr>
        <w:t>skutecznie odpowiada na wszystkie wyzwania lub ich znaczną część określone:</w:t>
      </w:r>
    </w:p>
    <w:p w14:paraId="356981FB" w14:textId="0F2FE499" w:rsidR="001E1709" w:rsidRPr="00201A9A" w:rsidRDefault="005C49E8" w:rsidP="003E2902">
      <w:pPr>
        <w:pStyle w:val="Point2n"/>
        <w:numPr>
          <w:ilvl w:val="0"/>
          <w:numId w:val="25"/>
        </w:numPr>
        <w:spacing w:line="240" w:lineRule="auto"/>
        <w:jc w:val="both"/>
        <w:rPr>
          <w:noProof/>
        </w:rPr>
      </w:pPr>
      <w:r w:rsidRPr="00201A9A">
        <w:rPr>
          <w:noProof/>
        </w:rPr>
        <w:t>w kontekście europejskiego semestru,</w:t>
      </w:r>
      <w:r w:rsidR="00201A9A" w:rsidRPr="00201A9A">
        <w:rPr>
          <w:noProof/>
        </w:rPr>
        <w:t xml:space="preserve"> w szc</w:t>
      </w:r>
      <w:r w:rsidRPr="00201A9A">
        <w:rPr>
          <w:noProof/>
        </w:rPr>
        <w:t>zególności</w:t>
      </w:r>
      <w:r w:rsidR="00201A9A" w:rsidRPr="00201A9A">
        <w:rPr>
          <w:noProof/>
        </w:rPr>
        <w:t xml:space="preserve"> w sto</w:t>
      </w:r>
      <w:r w:rsidRPr="00201A9A">
        <w:rPr>
          <w:noProof/>
        </w:rPr>
        <w:t>sownych zaleceniach dla poszczególnych krajów skierowanych do danego państwa członkowskiego,</w:t>
      </w:r>
      <w:r w:rsidR="00201A9A" w:rsidRPr="00201A9A">
        <w:rPr>
          <w:noProof/>
        </w:rPr>
        <w:t xml:space="preserve"> w tym w zal</w:t>
      </w:r>
      <w:r w:rsidRPr="00201A9A">
        <w:rPr>
          <w:noProof/>
        </w:rPr>
        <w:t>eceniach dotyczących Europejskiego filaru praw socjalnych;</w:t>
      </w:r>
    </w:p>
    <w:p w14:paraId="2BAC57B2" w14:textId="5E1967D1" w:rsidR="001E1709" w:rsidRPr="00201A9A" w:rsidRDefault="00DD73C1" w:rsidP="004E0CDA">
      <w:pPr>
        <w:pStyle w:val="Point2n"/>
        <w:spacing w:line="240" w:lineRule="auto"/>
        <w:jc w:val="both"/>
        <w:rPr>
          <w:noProof/>
        </w:rPr>
      </w:pPr>
      <w:r w:rsidRPr="00201A9A">
        <w:rPr>
          <w:noProof/>
        </w:rPr>
        <w:t>w innych odpowiednich dokumentach oficjalnie przyjętych lub ocenionych przez Komisję związanych</w:t>
      </w:r>
      <w:r w:rsidR="00201A9A" w:rsidRPr="00201A9A">
        <w:rPr>
          <w:noProof/>
        </w:rPr>
        <w:t xml:space="preserve"> z cel</w:t>
      </w:r>
      <w:r w:rsidRPr="00201A9A">
        <w:rPr>
          <w:noProof/>
        </w:rPr>
        <w:t>ami określonymi</w:t>
      </w:r>
      <w:r w:rsidR="00201A9A" w:rsidRPr="00201A9A">
        <w:rPr>
          <w:noProof/>
        </w:rPr>
        <w:t xml:space="preserve"> w art</w:t>
      </w:r>
      <w:r w:rsidRPr="00201A9A">
        <w:rPr>
          <w:noProof/>
        </w:rPr>
        <w:t>.</w:t>
      </w:r>
      <w:r w:rsidR="00201A9A" w:rsidRPr="00201A9A">
        <w:rPr>
          <w:noProof/>
        </w:rPr>
        <w:t> </w:t>
      </w:r>
      <w:r w:rsidRPr="00201A9A">
        <w:rPr>
          <w:noProof/>
        </w:rPr>
        <w:t>3 [Cele szczegółowe],</w:t>
      </w:r>
      <w:r w:rsidR="00201A9A" w:rsidRPr="00201A9A">
        <w:rPr>
          <w:noProof/>
        </w:rPr>
        <w:t xml:space="preserve"> w tym w zal</w:t>
      </w:r>
      <w:r w:rsidRPr="00201A9A">
        <w:rPr>
          <w:noProof/>
        </w:rPr>
        <w:t>eceniach krajowych dotyczących WPR określonych</w:t>
      </w:r>
      <w:r w:rsidR="00201A9A" w:rsidRPr="00201A9A">
        <w:rPr>
          <w:noProof/>
        </w:rPr>
        <w:t xml:space="preserve"> w art</w:t>
      </w:r>
      <w:r w:rsidRPr="00201A9A">
        <w:rPr>
          <w:noProof/>
        </w:rPr>
        <w:t>.</w:t>
      </w:r>
      <w:r w:rsidR="00201A9A" w:rsidRPr="00201A9A">
        <w:rPr>
          <w:noProof/>
        </w:rPr>
        <w:t> </w:t>
      </w:r>
      <w:r w:rsidRPr="00201A9A">
        <w:rPr>
          <w:noProof/>
        </w:rPr>
        <w:t>2 rozporządzenia (UE) 202X/XXXX [rozporządzenie</w:t>
      </w:r>
      <w:r w:rsidR="00201A9A" w:rsidRPr="00201A9A">
        <w:rPr>
          <w:noProof/>
        </w:rPr>
        <w:t xml:space="preserve"> w spr</w:t>
      </w:r>
      <w:r w:rsidRPr="00201A9A">
        <w:rPr>
          <w:noProof/>
        </w:rPr>
        <w:t>awie WPR], zaleceniach dotyczących cyfrowej dekady opartych na art.</w:t>
      </w:r>
      <w:r w:rsidR="00201A9A" w:rsidRPr="00201A9A">
        <w:rPr>
          <w:noProof/>
        </w:rPr>
        <w:t> </w:t>
      </w:r>
      <w:r w:rsidRPr="00201A9A">
        <w:rPr>
          <w:noProof/>
        </w:rPr>
        <w:t>6 decyzji ustanawiającej program polityki „Droga ku cyfrowej dekadzie” oraz krajowych planach</w:t>
      </w:r>
      <w:r w:rsidR="00201A9A" w:rsidRPr="00201A9A">
        <w:rPr>
          <w:noProof/>
        </w:rPr>
        <w:t xml:space="preserve"> w dzi</w:t>
      </w:r>
      <w:r w:rsidRPr="00201A9A">
        <w:rPr>
          <w:noProof/>
        </w:rPr>
        <w:t>edzinie energii</w:t>
      </w:r>
      <w:r w:rsidR="00201A9A" w:rsidRPr="00201A9A">
        <w:rPr>
          <w:noProof/>
        </w:rPr>
        <w:t xml:space="preserve"> i kli</w:t>
      </w:r>
      <w:r w:rsidRPr="00201A9A">
        <w:rPr>
          <w:noProof/>
        </w:rPr>
        <w:t>matu;</w:t>
      </w:r>
    </w:p>
    <w:p w14:paraId="0DAD1585" w14:textId="4CEA9298" w:rsidR="001E1709" w:rsidRPr="00201A9A" w:rsidRDefault="264CD1EB" w:rsidP="004E0CDA">
      <w:pPr>
        <w:pStyle w:val="Point2n"/>
        <w:spacing w:line="240" w:lineRule="auto"/>
        <w:jc w:val="both"/>
        <w:rPr>
          <w:noProof/>
        </w:rPr>
      </w:pPr>
      <w:r w:rsidRPr="00201A9A">
        <w:rPr>
          <w:noProof/>
        </w:rPr>
        <w:t>w odpowiednich dokumentach</w:t>
      </w:r>
      <w:r w:rsidR="00201A9A" w:rsidRPr="00201A9A">
        <w:rPr>
          <w:noProof/>
        </w:rPr>
        <w:t xml:space="preserve"> i str</w:t>
      </w:r>
      <w:r w:rsidRPr="00201A9A">
        <w:rPr>
          <w:noProof/>
        </w:rPr>
        <w:t>ategiach przyjętych przez Radę lub Komisję</w:t>
      </w:r>
      <w:r w:rsidR="00201A9A" w:rsidRPr="00201A9A">
        <w:rPr>
          <w:noProof/>
        </w:rPr>
        <w:t xml:space="preserve"> w dzi</w:t>
      </w:r>
      <w:r w:rsidRPr="00201A9A">
        <w:rPr>
          <w:noProof/>
        </w:rPr>
        <w:t>edzinie bezpieczeństwa wewnętrznego, europejskiego zintegrowanego zarządzania granicami, polityki wizowej oraz azylu</w:t>
      </w:r>
      <w:r w:rsidR="00201A9A" w:rsidRPr="00201A9A">
        <w:rPr>
          <w:noProof/>
        </w:rPr>
        <w:t xml:space="preserve"> i mig</w:t>
      </w:r>
      <w:r w:rsidRPr="00201A9A">
        <w:rPr>
          <w:noProof/>
        </w:rPr>
        <w:t>racji,</w:t>
      </w:r>
      <w:r w:rsidR="00201A9A" w:rsidRPr="00201A9A">
        <w:rPr>
          <w:noProof/>
        </w:rPr>
        <w:t xml:space="preserve"> z uwz</w:t>
      </w:r>
      <w:r w:rsidRPr="00201A9A">
        <w:rPr>
          <w:noProof/>
        </w:rPr>
        <w:t>ględnieniem architektury informatycznej Schengen, mechanizmu oceny Schengen zgodnie</w:t>
      </w:r>
      <w:r w:rsidR="00201A9A" w:rsidRPr="00201A9A">
        <w:rPr>
          <w:noProof/>
        </w:rPr>
        <w:t xml:space="preserve"> z roz</w:t>
      </w:r>
      <w:r w:rsidRPr="00201A9A">
        <w:rPr>
          <w:noProof/>
        </w:rPr>
        <w:t>porządzeniem (UE) 2022/922, ocen narażenia zgodnie</w:t>
      </w:r>
      <w:r w:rsidR="00201A9A" w:rsidRPr="00201A9A">
        <w:rPr>
          <w:noProof/>
        </w:rPr>
        <w:t xml:space="preserve"> z roz</w:t>
      </w:r>
      <w:r w:rsidRPr="00201A9A">
        <w:rPr>
          <w:noProof/>
        </w:rPr>
        <w:t>porządzeniem (UE) 2019/1896 oraz mechanizmu monitorowania Agencji Unii Europejskiej ds. Azylu zgodnie</w:t>
      </w:r>
      <w:r w:rsidR="00201A9A" w:rsidRPr="00201A9A">
        <w:rPr>
          <w:noProof/>
        </w:rPr>
        <w:t xml:space="preserve"> z roz</w:t>
      </w:r>
      <w:r w:rsidRPr="00201A9A">
        <w:rPr>
          <w:noProof/>
        </w:rPr>
        <w:t>porządzeniem (UE) 2021/2303.</w:t>
      </w:r>
    </w:p>
    <w:p w14:paraId="441F383A" w14:textId="569D5ED4" w:rsidR="001E1709" w:rsidRPr="00201A9A" w:rsidRDefault="005C49E8" w:rsidP="001E1709">
      <w:pPr>
        <w:pStyle w:val="Text1"/>
        <w:rPr>
          <w:noProof/>
        </w:rPr>
      </w:pPr>
      <w:r w:rsidRPr="00201A9A">
        <w:rPr>
          <w:noProof/>
        </w:rPr>
        <w:t>Państwo członkowskie wyjaśnia,</w:t>
      </w:r>
      <w:r w:rsidR="00201A9A" w:rsidRPr="00201A9A">
        <w:rPr>
          <w:noProof/>
        </w:rPr>
        <w:t xml:space="preserve"> w jak</w:t>
      </w:r>
      <w:r w:rsidRPr="00201A9A">
        <w:rPr>
          <w:noProof/>
        </w:rPr>
        <w:t>i sposób wyzwania</w:t>
      </w:r>
      <w:r w:rsidR="00201A9A" w:rsidRPr="00201A9A">
        <w:rPr>
          <w:noProof/>
        </w:rPr>
        <w:t xml:space="preserve"> i zal</w:t>
      </w:r>
      <w:r w:rsidRPr="00201A9A">
        <w:rPr>
          <w:noProof/>
        </w:rPr>
        <w:t>ecenia dla poszczególnych krajów są uwzględniane</w:t>
      </w:r>
      <w:r w:rsidR="00201A9A" w:rsidRPr="00201A9A">
        <w:rPr>
          <w:noProof/>
        </w:rPr>
        <w:t xml:space="preserve"> w pla</w:t>
      </w:r>
      <w:r w:rsidRPr="00201A9A">
        <w:rPr>
          <w:noProof/>
        </w:rPr>
        <w:t>nie PKR oraz jaki poziom finansowania jest przewidywany</w:t>
      </w:r>
      <w:r w:rsidR="00201A9A" w:rsidRPr="00201A9A">
        <w:rPr>
          <w:noProof/>
        </w:rPr>
        <w:t xml:space="preserve"> i w jak</w:t>
      </w:r>
      <w:r w:rsidRPr="00201A9A">
        <w:rPr>
          <w:noProof/>
        </w:rPr>
        <w:t>i sposób plan krajowy:</w:t>
      </w:r>
    </w:p>
    <w:p w14:paraId="7CBCE9A6" w14:textId="67CCDC79" w:rsidR="001E1709" w:rsidRPr="00201A9A" w:rsidRDefault="00201A9A" w:rsidP="00201A9A">
      <w:pPr>
        <w:pStyle w:val="Point1"/>
        <w:rPr>
          <w:noProof/>
        </w:rPr>
      </w:pPr>
      <w:r w:rsidRPr="00201A9A">
        <w:rPr>
          <w:noProof/>
        </w:rPr>
        <w:t>a)</w:t>
      </w:r>
      <w:r w:rsidRPr="00201A9A">
        <w:rPr>
          <w:noProof/>
        </w:rPr>
        <w:tab/>
      </w:r>
      <w:r w:rsidR="00F365D7" w:rsidRPr="00201A9A">
        <w:rPr>
          <w:noProof/>
        </w:rPr>
        <w:t>zachowuje spójność szczególnie</w:t>
      </w:r>
      <w:r w:rsidRPr="00201A9A">
        <w:rPr>
          <w:noProof/>
        </w:rPr>
        <w:t xml:space="preserve"> z kra</w:t>
      </w:r>
      <w:r w:rsidR="00F365D7" w:rsidRPr="00201A9A">
        <w:rPr>
          <w:noProof/>
        </w:rPr>
        <w:t>jowymi średniookresowymi planami fiskalno-strukturalnymi na podstawie rozporządzenia (UE) 2024/1263, krajowymi planami odbudowy na podstawie rozporządzenia Parlamentu Europejskiego</w:t>
      </w:r>
      <w:r w:rsidRPr="00201A9A">
        <w:rPr>
          <w:noProof/>
        </w:rPr>
        <w:t xml:space="preserve"> i Rad</w:t>
      </w:r>
      <w:r w:rsidR="00F365D7" w:rsidRPr="00201A9A">
        <w:rPr>
          <w:noProof/>
        </w:rPr>
        <w:t>y (UE) 2024/1991</w:t>
      </w:r>
      <w:r w:rsidR="00F365D7" w:rsidRPr="00201A9A">
        <w:rPr>
          <w:rStyle w:val="FootnoteReference"/>
          <w:noProof/>
        </w:rPr>
        <w:footnoteReference w:id="18"/>
      </w:r>
      <w:r w:rsidR="00F365D7" w:rsidRPr="00201A9A">
        <w:rPr>
          <w:noProof/>
        </w:rPr>
        <w:t>, krajowymi planami</w:t>
      </w:r>
      <w:r w:rsidRPr="00201A9A">
        <w:rPr>
          <w:noProof/>
        </w:rPr>
        <w:t xml:space="preserve"> w dzi</w:t>
      </w:r>
      <w:r w:rsidR="00F365D7" w:rsidRPr="00201A9A">
        <w:rPr>
          <w:noProof/>
        </w:rPr>
        <w:t>edzinie energii</w:t>
      </w:r>
      <w:r w:rsidRPr="00201A9A">
        <w:rPr>
          <w:noProof/>
        </w:rPr>
        <w:t xml:space="preserve"> i kli</w:t>
      </w:r>
      <w:r w:rsidR="00F365D7" w:rsidRPr="00201A9A">
        <w:rPr>
          <w:noProof/>
        </w:rPr>
        <w:t>matu na podstawie rozporządzenia Parlamentu Europejskiego</w:t>
      </w:r>
      <w:r w:rsidRPr="00201A9A">
        <w:rPr>
          <w:noProof/>
        </w:rPr>
        <w:t xml:space="preserve"> i Rad</w:t>
      </w:r>
      <w:r w:rsidR="00F365D7" w:rsidRPr="00201A9A">
        <w:rPr>
          <w:noProof/>
        </w:rPr>
        <w:t>y (UE) 2018/1999</w:t>
      </w:r>
      <w:r w:rsidR="00F365D7" w:rsidRPr="00201A9A">
        <w:rPr>
          <w:rStyle w:val="FootnoteReference"/>
          <w:noProof/>
        </w:rPr>
        <w:footnoteReference w:id="19"/>
      </w:r>
      <w:r w:rsidR="00F365D7" w:rsidRPr="00201A9A">
        <w:rPr>
          <w:noProof/>
        </w:rPr>
        <w:t>; oraz</w:t>
      </w:r>
      <w:r w:rsidRPr="00201A9A">
        <w:rPr>
          <w:noProof/>
        </w:rPr>
        <w:t xml:space="preserve"> z kra</w:t>
      </w:r>
      <w:r w:rsidR="00F365D7" w:rsidRPr="00201A9A">
        <w:rPr>
          <w:noProof/>
        </w:rPr>
        <w:t>jowymi strategicznymi planami działania dotyczącymi cyfrowej dekady na podstawie decyzji Parlamentu Europejskiego</w:t>
      </w:r>
      <w:r w:rsidRPr="00201A9A">
        <w:rPr>
          <w:noProof/>
        </w:rPr>
        <w:t xml:space="preserve"> i Rad</w:t>
      </w:r>
      <w:r w:rsidR="00F365D7" w:rsidRPr="00201A9A">
        <w:rPr>
          <w:noProof/>
        </w:rPr>
        <w:t>y (UE) 2022/2481</w:t>
      </w:r>
      <w:r w:rsidR="00F365D7" w:rsidRPr="00201A9A">
        <w:rPr>
          <w:rStyle w:val="FootnoteReference"/>
          <w:noProof/>
        </w:rPr>
        <w:footnoteReference w:id="20"/>
      </w:r>
      <w:r w:rsidR="00F365D7" w:rsidRPr="00201A9A">
        <w:rPr>
          <w:noProof/>
        </w:rPr>
        <w:t>;</w:t>
      </w:r>
    </w:p>
    <w:p w14:paraId="765C8AAD" w14:textId="62D5DD1E" w:rsidR="001E1709" w:rsidRPr="00201A9A" w:rsidRDefault="00201A9A" w:rsidP="00201A9A">
      <w:pPr>
        <w:pStyle w:val="Point1"/>
        <w:rPr>
          <w:noProof/>
        </w:rPr>
      </w:pPr>
      <w:r w:rsidRPr="00201A9A">
        <w:rPr>
          <w:noProof/>
        </w:rPr>
        <w:t>b)</w:t>
      </w:r>
      <w:r w:rsidRPr="00201A9A">
        <w:rPr>
          <w:noProof/>
        </w:rPr>
        <w:tab/>
      </w:r>
      <w:r w:rsidR="00F365D7" w:rsidRPr="00201A9A">
        <w:rPr>
          <w:noProof/>
        </w:rPr>
        <w:t>przyczynia się do utworzenia jednolitego rynku,</w:t>
      </w:r>
      <w:r w:rsidRPr="00201A9A">
        <w:rPr>
          <w:noProof/>
        </w:rPr>
        <w:t xml:space="preserve"> w szc</w:t>
      </w:r>
      <w:r w:rsidR="00F365D7" w:rsidRPr="00201A9A">
        <w:rPr>
          <w:noProof/>
        </w:rPr>
        <w:t>zególności przez zapewnienie środków</w:t>
      </w:r>
      <w:r w:rsidRPr="00201A9A">
        <w:rPr>
          <w:noProof/>
        </w:rPr>
        <w:t xml:space="preserve"> o wym</w:t>
      </w:r>
      <w:r w:rsidR="00F365D7" w:rsidRPr="00201A9A">
        <w:rPr>
          <w:noProof/>
        </w:rPr>
        <w:t>iarze transgranicznym, transnarodowym lub wielokrajowym,</w:t>
      </w:r>
      <w:r w:rsidRPr="00201A9A">
        <w:rPr>
          <w:noProof/>
        </w:rPr>
        <w:t xml:space="preserve"> w tym</w:t>
      </w:r>
      <w:r w:rsidR="00F365D7" w:rsidRPr="00201A9A">
        <w:rPr>
          <w:noProof/>
        </w:rPr>
        <w:t xml:space="preserve"> przez uwzględnienie projektów zlokalizowanych</w:t>
      </w:r>
      <w:r w:rsidRPr="00201A9A">
        <w:rPr>
          <w:noProof/>
        </w:rPr>
        <w:t xml:space="preserve"> w sie</w:t>
      </w:r>
      <w:r w:rsidR="00F365D7" w:rsidRPr="00201A9A">
        <w:rPr>
          <w:noProof/>
        </w:rPr>
        <w:t>ci bazowej</w:t>
      </w:r>
      <w:r w:rsidRPr="00201A9A">
        <w:rPr>
          <w:noProof/>
        </w:rPr>
        <w:t xml:space="preserve"> i roz</w:t>
      </w:r>
      <w:r w:rsidR="00F365D7" w:rsidRPr="00201A9A">
        <w:rPr>
          <w:noProof/>
        </w:rPr>
        <w:t>szerzonej sieci bazowej zdefiniowanych</w:t>
      </w:r>
      <w:r w:rsidRPr="00201A9A">
        <w:rPr>
          <w:noProof/>
        </w:rPr>
        <w:t xml:space="preserve"> w roz</w:t>
      </w:r>
      <w:r w:rsidR="00F365D7" w:rsidRPr="00201A9A">
        <w:rPr>
          <w:noProof/>
        </w:rPr>
        <w:t>porządzeniu Parlamentu Europejskiego</w:t>
      </w:r>
      <w:r w:rsidRPr="00201A9A">
        <w:rPr>
          <w:noProof/>
        </w:rPr>
        <w:t xml:space="preserve"> i Rad</w:t>
      </w:r>
      <w:r w:rsidR="00F365D7" w:rsidRPr="00201A9A">
        <w:rPr>
          <w:noProof/>
        </w:rPr>
        <w:t>y (UE) 2024/1679</w:t>
      </w:r>
      <w:r w:rsidR="00F365D7" w:rsidRPr="00201A9A">
        <w:rPr>
          <w:rStyle w:val="FootnoteReference"/>
          <w:noProof/>
        </w:rPr>
        <w:footnoteReference w:id="21"/>
      </w:r>
      <w:r w:rsidR="00F365D7" w:rsidRPr="00201A9A">
        <w:rPr>
          <w:noProof/>
        </w:rPr>
        <w:t xml:space="preserve"> przez uwzględnienie</w:t>
      </w:r>
      <w:r w:rsidRPr="00201A9A">
        <w:rPr>
          <w:noProof/>
        </w:rPr>
        <w:t xml:space="preserve"> i mob</w:t>
      </w:r>
      <w:r w:rsidR="00F365D7" w:rsidRPr="00201A9A">
        <w:rPr>
          <w:noProof/>
        </w:rPr>
        <w:t>ilizację,</w:t>
      </w:r>
      <w:r w:rsidRPr="00201A9A">
        <w:rPr>
          <w:noProof/>
        </w:rPr>
        <w:t xml:space="preserve"> w dro</w:t>
      </w:r>
      <w:r w:rsidR="00F365D7" w:rsidRPr="00201A9A">
        <w:rPr>
          <w:noProof/>
        </w:rPr>
        <w:t>dze rozwoju sieci krajowych, projektów będących przedmiotem wspólnego zainteresowania określonych</w:t>
      </w:r>
      <w:r w:rsidRPr="00201A9A">
        <w:rPr>
          <w:noProof/>
        </w:rPr>
        <w:t xml:space="preserve"> w roz</w:t>
      </w:r>
      <w:r w:rsidR="00F365D7" w:rsidRPr="00201A9A">
        <w:rPr>
          <w:noProof/>
        </w:rPr>
        <w:t>porządzeniu Parlamentu Europejskiego</w:t>
      </w:r>
      <w:r w:rsidRPr="00201A9A">
        <w:rPr>
          <w:noProof/>
        </w:rPr>
        <w:t xml:space="preserve"> i Rad</w:t>
      </w:r>
      <w:r w:rsidR="00F365D7" w:rsidRPr="00201A9A">
        <w:rPr>
          <w:noProof/>
        </w:rPr>
        <w:t>y (UE) 2022/869</w:t>
      </w:r>
      <w:r w:rsidR="00F365D7" w:rsidRPr="00201A9A">
        <w:rPr>
          <w:rStyle w:val="FootnoteReference"/>
          <w:noProof/>
        </w:rPr>
        <w:footnoteReference w:id="22"/>
      </w:r>
      <w:r w:rsidR="00F365D7" w:rsidRPr="00201A9A">
        <w:rPr>
          <w:noProof/>
        </w:rPr>
        <w:t>,</w:t>
      </w:r>
      <w:r w:rsidRPr="00201A9A">
        <w:rPr>
          <w:noProof/>
        </w:rPr>
        <w:t xml:space="preserve"> a tak</w:t>
      </w:r>
      <w:r w:rsidR="00F365D7" w:rsidRPr="00201A9A">
        <w:rPr>
          <w:noProof/>
        </w:rPr>
        <w:t>że przez wspieranie ważnych projektów stanowiących przedmiot wspólnego europejskiego zainteresowania (projektów IPCEI)</w:t>
      </w:r>
      <w:r w:rsidRPr="00201A9A">
        <w:rPr>
          <w:noProof/>
        </w:rPr>
        <w:t xml:space="preserve"> i ope</w:t>
      </w:r>
      <w:r w:rsidR="00F365D7" w:rsidRPr="00201A9A">
        <w:rPr>
          <w:noProof/>
        </w:rPr>
        <w:t>racji, którym przyznano pieczęć konkurencyjności,</w:t>
      </w:r>
      <w:r w:rsidRPr="00201A9A">
        <w:rPr>
          <w:noProof/>
        </w:rPr>
        <w:t xml:space="preserve"> a tak</w:t>
      </w:r>
      <w:r w:rsidR="00F365D7" w:rsidRPr="00201A9A">
        <w:rPr>
          <w:noProof/>
        </w:rPr>
        <w:t>że poprzez wdrażanie środków leżących</w:t>
      </w:r>
      <w:r w:rsidRPr="00201A9A">
        <w:rPr>
          <w:noProof/>
        </w:rPr>
        <w:t xml:space="preserve"> u pod</w:t>
      </w:r>
      <w:r w:rsidR="00F365D7" w:rsidRPr="00201A9A">
        <w:rPr>
          <w:noProof/>
        </w:rPr>
        <w:t>staw unii oszczędności</w:t>
      </w:r>
      <w:r w:rsidRPr="00201A9A">
        <w:rPr>
          <w:noProof/>
        </w:rPr>
        <w:t xml:space="preserve"> i inw</w:t>
      </w:r>
      <w:r w:rsidR="00F365D7" w:rsidRPr="00201A9A">
        <w:rPr>
          <w:noProof/>
        </w:rPr>
        <w:t xml:space="preserve">estycji; </w:t>
      </w:r>
    </w:p>
    <w:p w14:paraId="5740F4F9" w14:textId="7BD54796" w:rsidR="00566210" w:rsidRPr="00201A9A" w:rsidRDefault="00201A9A" w:rsidP="00201A9A">
      <w:pPr>
        <w:pStyle w:val="Point1"/>
        <w:rPr>
          <w:noProof/>
        </w:rPr>
      </w:pPr>
      <w:r w:rsidRPr="00201A9A">
        <w:rPr>
          <w:noProof/>
        </w:rPr>
        <w:t>c)</w:t>
      </w:r>
      <w:r w:rsidRPr="00201A9A">
        <w:rPr>
          <w:noProof/>
        </w:rPr>
        <w:tab/>
      </w:r>
      <w:r w:rsidR="4D734DE3" w:rsidRPr="00201A9A">
        <w:rPr>
          <w:noProof/>
        </w:rPr>
        <w:t>zawiera wykaz oraz opis środków pogrupowanych</w:t>
      </w:r>
      <w:r w:rsidRPr="00201A9A">
        <w:rPr>
          <w:noProof/>
        </w:rPr>
        <w:t xml:space="preserve"> w roz</w:t>
      </w:r>
      <w:r w:rsidR="4D734DE3" w:rsidRPr="00201A9A">
        <w:rPr>
          <w:noProof/>
        </w:rPr>
        <w:t>działy,</w:t>
      </w:r>
      <w:r w:rsidRPr="00201A9A">
        <w:rPr>
          <w:noProof/>
        </w:rPr>
        <w:t xml:space="preserve"> w tym</w:t>
      </w:r>
      <w:r w:rsidR="4D734DE3" w:rsidRPr="00201A9A">
        <w:rPr>
          <w:noProof/>
        </w:rPr>
        <w:t xml:space="preserve"> cele ogólne</w:t>
      </w:r>
      <w:r w:rsidRPr="00201A9A">
        <w:rPr>
          <w:noProof/>
        </w:rPr>
        <w:t xml:space="preserve"> i szc</w:t>
      </w:r>
      <w:r w:rsidR="4D734DE3" w:rsidRPr="00201A9A">
        <w:rPr>
          <w:noProof/>
        </w:rPr>
        <w:t>zegółowe, których realizacji służy każdy</w:t>
      </w:r>
      <w:r w:rsidRPr="00201A9A">
        <w:rPr>
          <w:noProof/>
        </w:rPr>
        <w:t xml:space="preserve"> z tyc</w:t>
      </w:r>
      <w:r w:rsidR="4D734DE3" w:rsidRPr="00201A9A">
        <w:rPr>
          <w:noProof/>
        </w:rPr>
        <w:t>h środków, oraz wykaz planowanych kamieni milowych</w:t>
      </w:r>
      <w:r w:rsidRPr="00201A9A">
        <w:rPr>
          <w:noProof/>
        </w:rPr>
        <w:t xml:space="preserve"> i war</w:t>
      </w:r>
      <w:r w:rsidR="4D734DE3" w:rsidRPr="00201A9A">
        <w:rPr>
          <w:noProof/>
        </w:rPr>
        <w:t>tości docelowych wraz</w:t>
      </w:r>
      <w:r w:rsidRPr="00201A9A">
        <w:rPr>
          <w:noProof/>
        </w:rPr>
        <w:t xml:space="preserve"> z ori</w:t>
      </w:r>
      <w:r w:rsidR="4D734DE3" w:rsidRPr="00201A9A">
        <w:rPr>
          <w:noProof/>
        </w:rPr>
        <w:t>entacyjną datą ich zakończenia</w:t>
      </w:r>
      <w:r w:rsidRPr="00201A9A">
        <w:rPr>
          <w:noProof/>
        </w:rPr>
        <w:t xml:space="preserve"> w okr</w:t>
      </w:r>
      <w:r w:rsidR="4D734DE3" w:rsidRPr="00201A9A">
        <w:rPr>
          <w:noProof/>
        </w:rPr>
        <w:t>esie programowania,</w:t>
      </w:r>
      <w:r w:rsidRPr="00201A9A">
        <w:rPr>
          <w:noProof/>
        </w:rPr>
        <w:t xml:space="preserve"> w tym</w:t>
      </w:r>
      <w:r w:rsidR="4D734DE3" w:rsidRPr="00201A9A">
        <w:rPr>
          <w:noProof/>
        </w:rPr>
        <w:t xml:space="preserve"> dodatkowe działania oraz powiązane kamienie milowe</w:t>
      </w:r>
      <w:r w:rsidRPr="00201A9A">
        <w:rPr>
          <w:noProof/>
        </w:rPr>
        <w:t xml:space="preserve"> i war</w:t>
      </w:r>
      <w:r w:rsidR="4D734DE3" w:rsidRPr="00201A9A">
        <w:rPr>
          <w:noProof/>
        </w:rPr>
        <w:t>tości docelowe</w:t>
      </w:r>
      <w:r w:rsidRPr="00201A9A">
        <w:rPr>
          <w:noProof/>
        </w:rPr>
        <w:t xml:space="preserve"> w prz</w:t>
      </w:r>
      <w:r w:rsidR="4D734DE3" w:rsidRPr="00201A9A">
        <w:rPr>
          <w:noProof/>
        </w:rPr>
        <w:t>ypadku, gdy dane państwo członkowskie wystąpi</w:t>
      </w:r>
      <w:r w:rsidRPr="00201A9A">
        <w:rPr>
          <w:noProof/>
        </w:rPr>
        <w:t xml:space="preserve"> o wsp</w:t>
      </w:r>
      <w:r w:rsidR="4D734DE3" w:rsidRPr="00201A9A">
        <w:rPr>
          <w:noProof/>
        </w:rPr>
        <w:t>arcie</w:t>
      </w:r>
      <w:r w:rsidRPr="00201A9A">
        <w:rPr>
          <w:noProof/>
        </w:rPr>
        <w:t xml:space="preserve"> w for</w:t>
      </w:r>
      <w:r w:rsidR="4D734DE3" w:rsidRPr="00201A9A">
        <w:rPr>
          <w:noProof/>
        </w:rPr>
        <w:t>mie pożyczki. Środki związane z WPR muszą być zgodne</w:t>
      </w:r>
      <w:r w:rsidRPr="00201A9A">
        <w:rPr>
          <w:noProof/>
        </w:rPr>
        <w:t xml:space="preserve"> z wym</w:t>
      </w:r>
      <w:r w:rsidR="4D734DE3" w:rsidRPr="00201A9A">
        <w:rPr>
          <w:noProof/>
        </w:rPr>
        <w:t>ogami określonymi</w:t>
      </w:r>
      <w:r w:rsidRPr="00201A9A">
        <w:rPr>
          <w:noProof/>
        </w:rPr>
        <w:t xml:space="preserve"> w tyt</w:t>
      </w:r>
      <w:r w:rsidR="4D734DE3" w:rsidRPr="00201A9A">
        <w:rPr>
          <w:noProof/>
        </w:rPr>
        <w:t>ule V [WPR]</w:t>
      </w:r>
      <w:r w:rsidRPr="00201A9A">
        <w:rPr>
          <w:noProof/>
        </w:rPr>
        <w:t xml:space="preserve"> i w roz</w:t>
      </w:r>
      <w:r w:rsidR="4D734DE3" w:rsidRPr="00201A9A">
        <w:rPr>
          <w:noProof/>
        </w:rPr>
        <w:t>porządzeniu (UE) 202X/XXXX [rozporządzenie</w:t>
      </w:r>
      <w:r w:rsidRPr="00201A9A">
        <w:rPr>
          <w:noProof/>
        </w:rPr>
        <w:t xml:space="preserve"> w spr</w:t>
      </w:r>
      <w:r w:rsidR="4D734DE3" w:rsidRPr="00201A9A">
        <w:rPr>
          <w:noProof/>
        </w:rPr>
        <w:t>awie WPR]</w:t>
      </w:r>
      <w:r w:rsidRPr="00201A9A">
        <w:rPr>
          <w:noProof/>
        </w:rPr>
        <w:t xml:space="preserve"> i w roz</w:t>
      </w:r>
      <w:r w:rsidR="4D734DE3" w:rsidRPr="00201A9A">
        <w:rPr>
          <w:noProof/>
        </w:rPr>
        <w:t>porządzeniu (UE) 202X/XXXX [rozporządzenie</w:t>
      </w:r>
      <w:r w:rsidRPr="00201A9A">
        <w:rPr>
          <w:noProof/>
        </w:rPr>
        <w:t xml:space="preserve"> o wsp</w:t>
      </w:r>
      <w:r w:rsidR="4D734DE3" w:rsidRPr="00201A9A">
        <w:rPr>
          <w:noProof/>
        </w:rPr>
        <w:t>ólnej organizacji rynków rolnych],</w:t>
      </w:r>
      <w:r w:rsidRPr="00201A9A">
        <w:rPr>
          <w:noProof/>
        </w:rPr>
        <w:t xml:space="preserve"> a tak</w:t>
      </w:r>
      <w:r w:rsidR="4D734DE3" w:rsidRPr="00201A9A">
        <w:rPr>
          <w:noProof/>
        </w:rPr>
        <w:t>że</w:t>
      </w:r>
      <w:r w:rsidRPr="00201A9A">
        <w:rPr>
          <w:noProof/>
        </w:rPr>
        <w:t xml:space="preserve"> z wym</w:t>
      </w:r>
      <w:r w:rsidR="4D734DE3" w:rsidRPr="00201A9A">
        <w:rPr>
          <w:noProof/>
        </w:rPr>
        <w:t>ogami związanymi ze wspólną polityką rybołówstwa określonymi</w:t>
      </w:r>
      <w:r w:rsidRPr="00201A9A">
        <w:rPr>
          <w:noProof/>
        </w:rPr>
        <w:t xml:space="preserve"> w art</w:t>
      </w:r>
      <w:r w:rsidR="4D734DE3" w:rsidRPr="00201A9A">
        <w:rPr>
          <w:noProof/>
        </w:rPr>
        <w:t>. XX rozporządzenia XX [WPRyb]. Wskaźniki proponowane</w:t>
      </w:r>
      <w:r w:rsidRPr="00201A9A">
        <w:rPr>
          <w:noProof/>
        </w:rPr>
        <w:t xml:space="preserve"> w odn</w:t>
      </w:r>
      <w:r w:rsidR="4D734DE3" w:rsidRPr="00201A9A">
        <w:rPr>
          <w:noProof/>
        </w:rPr>
        <w:t>iesieniu do wartości docelowych opierają się na wskaźnikach produktu wymienionych</w:t>
      </w:r>
      <w:r w:rsidRPr="00201A9A">
        <w:rPr>
          <w:noProof/>
        </w:rPr>
        <w:t xml:space="preserve"> w zał</w:t>
      </w:r>
      <w:r w:rsidR="4D734DE3" w:rsidRPr="00201A9A">
        <w:rPr>
          <w:noProof/>
        </w:rPr>
        <w:t>ączniku I do rozporządzenia (UE) 202X/XXXX [rozporządzenie</w:t>
      </w:r>
      <w:r w:rsidRPr="00201A9A">
        <w:rPr>
          <w:noProof/>
        </w:rPr>
        <w:t xml:space="preserve"> w spr</w:t>
      </w:r>
      <w:r w:rsidR="4D734DE3" w:rsidRPr="00201A9A">
        <w:rPr>
          <w:noProof/>
        </w:rPr>
        <w:t>awie wykonania],</w:t>
      </w:r>
      <w:r w:rsidRPr="00201A9A">
        <w:rPr>
          <w:noProof/>
        </w:rPr>
        <w:t xml:space="preserve"> z wyj</w:t>
      </w:r>
      <w:r w:rsidR="4D734DE3" w:rsidRPr="00201A9A">
        <w:rPr>
          <w:noProof/>
        </w:rPr>
        <w:t>ątkiem należycie uzasadnionych przypadków;</w:t>
      </w:r>
    </w:p>
    <w:p w14:paraId="7202E479" w14:textId="051D0821" w:rsidR="00566210" w:rsidRPr="00201A9A" w:rsidRDefault="00201A9A" w:rsidP="00201A9A">
      <w:pPr>
        <w:pStyle w:val="Point1"/>
        <w:rPr>
          <w:rStyle w:val="CommentReference"/>
          <w:noProof/>
          <w:sz w:val="24"/>
          <w:szCs w:val="22"/>
        </w:rPr>
      </w:pPr>
      <w:r w:rsidRPr="00201A9A">
        <w:rPr>
          <w:noProof/>
        </w:rPr>
        <w:t>d)</w:t>
      </w:r>
      <w:r w:rsidRPr="00201A9A">
        <w:rPr>
          <w:noProof/>
        </w:rPr>
        <w:tab/>
      </w:r>
      <w:r w:rsidR="00B34E44" w:rsidRPr="00201A9A">
        <w:rPr>
          <w:noProof/>
        </w:rPr>
        <w:t>określa całkowite szacunkowe koszty środków zgodnie ze wzorem określonym</w:t>
      </w:r>
      <w:r w:rsidRPr="00201A9A">
        <w:rPr>
          <w:noProof/>
        </w:rPr>
        <w:t xml:space="preserve"> w zał</w:t>
      </w:r>
      <w:r w:rsidR="00B34E44" w:rsidRPr="00201A9A">
        <w:rPr>
          <w:noProof/>
        </w:rPr>
        <w:t>ączniku V,</w:t>
      </w:r>
      <w:r w:rsidRPr="00201A9A">
        <w:rPr>
          <w:noProof/>
        </w:rPr>
        <w:t xml:space="preserve"> w ram</w:t>
      </w:r>
      <w:r w:rsidR="00B34E44" w:rsidRPr="00201A9A">
        <w:rPr>
          <w:noProof/>
        </w:rPr>
        <w:t>ach planu lub wniosku</w:t>
      </w:r>
      <w:r w:rsidRPr="00201A9A">
        <w:rPr>
          <w:noProof/>
        </w:rPr>
        <w:t xml:space="preserve"> o jeg</w:t>
      </w:r>
      <w:r w:rsidR="00B34E44" w:rsidRPr="00201A9A">
        <w:rPr>
          <w:noProof/>
        </w:rPr>
        <w:t>o zmianę, na łączną kwotę co najmniej równą sumie unijnego wkładu finansowego, wszelkich pożyczek,</w:t>
      </w:r>
      <w:r w:rsidRPr="00201A9A">
        <w:rPr>
          <w:noProof/>
        </w:rPr>
        <w:t xml:space="preserve"> o któ</w:t>
      </w:r>
      <w:r w:rsidR="00B34E44" w:rsidRPr="00201A9A">
        <w:rPr>
          <w:noProof/>
        </w:rPr>
        <w:t>re wystąpiono, oraz wkładu krajowego, wraz</w:t>
      </w:r>
      <w:r w:rsidRPr="00201A9A">
        <w:rPr>
          <w:noProof/>
        </w:rPr>
        <w:t xml:space="preserve"> z inf</w:t>
      </w:r>
      <w:r w:rsidR="00B34E44" w:rsidRPr="00201A9A">
        <w:rPr>
          <w:noProof/>
        </w:rPr>
        <w:t>ormacjami na temat istniejącego lub planowanego finansowania unijnego,</w:t>
      </w:r>
      <w:r w:rsidRPr="00201A9A">
        <w:rPr>
          <w:noProof/>
        </w:rPr>
        <w:t xml:space="preserve"> w sto</w:t>
      </w:r>
      <w:r w:rsidR="00B34E44" w:rsidRPr="00201A9A">
        <w:rPr>
          <w:noProof/>
        </w:rPr>
        <w:t>sownych przypadkach popartymi odpowiednim uzasadnieniem oraz wyjaśnieniami,</w:t>
      </w:r>
      <w:r w:rsidRPr="00201A9A">
        <w:rPr>
          <w:noProof/>
        </w:rPr>
        <w:t xml:space="preserve"> w jak</w:t>
      </w:r>
      <w:r w:rsidR="00B34E44" w:rsidRPr="00201A9A">
        <w:rPr>
          <w:noProof/>
        </w:rPr>
        <w:t>i sposób pozostaje ono wiarygodne</w:t>
      </w:r>
      <w:r w:rsidRPr="00201A9A">
        <w:rPr>
          <w:noProof/>
        </w:rPr>
        <w:t xml:space="preserve"> i rac</w:t>
      </w:r>
      <w:r w:rsidR="00B34E44" w:rsidRPr="00201A9A">
        <w:rPr>
          <w:noProof/>
        </w:rPr>
        <w:t>jonalne oraz zgodne</w:t>
      </w:r>
      <w:r w:rsidRPr="00201A9A">
        <w:rPr>
          <w:noProof/>
        </w:rPr>
        <w:t xml:space="preserve"> z zas</w:t>
      </w:r>
      <w:r w:rsidR="00B34E44" w:rsidRPr="00201A9A">
        <w:rPr>
          <w:noProof/>
        </w:rPr>
        <w:t>adą efektywności kosztowej, należytego zarządzania finansami</w:t>
      </w:r>
      <w:r w:rsidRPr="00201A9A">
        <w:rPr>
          <w:noProof/>
        </w:rPr>
        <w:t xml:space="preserve"> i pro</w:t>
      </w:r>
      <w:r w:rsidR="00B34E44" w:rsidRPr="00201A9A">
        <w:rPr>
          <w:noProof/>
        </w:rPr>
        <w:t>porcjonalne do oczekiwanych skutków gospodarczych</w:t>
      </w:r>
      <w:r w:rsidRPr="00201A9A">
        <w:rPr>
          <w:noProof/>
        </w:rPr>
        <w:t xml:space="preserve"> i spo</w:t>
      </w:r>
      <w:r w:rsidR="00B34E44" w:rsidRPr="00201A9A">
        <w:rPr>
          <w:noProof/>
        </w:rPr>
        <w:t>łecznych. Nieprogramowaną kwotę zarezerwowaną jako kwota elastyczności uznaje się za część całkowitych szacunkowych kosztów środków;</w:t>
      </w:r>
    </w:p>
    <w:p w14:paraId="7403E4FF" w14:textId="04603D36" w:rsidR="00566210" w:rsidRPr="00201A9A" w:rsidRDefault="00201A9A" w:rsidP="00201A9A">
      <w:pPr>
        <w:pStyle w:val="Point1"/>
        <w:rPr>
          <w:noProof/>
        </w:rPr>
      </w:pPr>
      <w:r w:rsidRPr="00201A9A">
        <w:rPr>
          <w:noProof/>
        </w:rPr>
        <w:t>e)</w:t>
      </w:r>
      <w:r w:rsidRPr="00201A9A">
        <w:rPr>
          <w:noProof/>
        </w:rPr>
        <w:tab/>
      </w:r>
      <w:r w:rsidR="00566210" w:rsidRPr="00201A9A">
        <w:rPr>
          <w:noProof/>
        </w:rPr>
        <w:t>określa jasne ustalenia dotyczące skutecznego monitorowania</w:t>
      </w:r>
      <w:r w:rsidRPr="00201A9A">
        <w:rPr>
          <w:noProof/>
        </w:rPr>
        <w:t xml:space="preserve"> i wdr</w:t>
      </w:r>
      <w:r w:rsidR="00566210" w:rsidRPr="00201A9A">
        <w:rPr>
          <w:noProof/>
        </w:rPr>
        <w:t>ażania planu przez dane państwo członkowskie,</w:t>
      </w:r>
      <w:r w:rsidRPr="00201A9A">
        <w:rPr>
          <w:noProof/>
        </w:rPr>
        <w:t xml:space="preserve"> w tym</w:t>
      </w:r>
      <w:r w:rsidR="00566210" w:rsidRPr="00201A9A">
        <w:rPr>
          <w:noProof/>
        </w:rPr>
        <w:t xml:space="preserve"> odpowiedzialne organy</w:t>
      </w:r>
      <w:r w:rsidRPr="00201A9A">
        <w:rPr>
          <w:noProof/>
        </w:rPr>
        <w:t xml:space="preserve"> i kom</w:t>
      </w:r>
      <w:r w:rsidR="00566210" w:rsidRPr="00201A9A">
        <w:rPr>
          <w:noProof/>
        </w:rPr>
        <w:t>itety monitorujące, odzwierciedlające cel, jakim jest ustanowienie solidnego systemu wielopoziomowego zarządzania opartego na zasadzie partnerstwa, przewidywane podejście do komunikacji</w:t>
      </w:r>
      <w:r w:rsidRPr="00201A9A">
        <w:rPr>
          <w:noProof/>
        </w:rPr>
        <w:t xml:space="preserve"> i wid</w:t>
      </w:r>
      <w:r w:rsidR="00566210" w:rsidRPr="00201A9A">
        <w:rPr>
          <w:noProof/>
        </w:rPr>
        <w:t>oczności, określenie potencjalnych potrzeb</w:t>
      </w:r>
      <w:r w:rsidRPr="00201A9A">
        <w:rPr>
          <w:noProof/>
        </w:rPr>
        <w:t xml:space="preserve"> w zak</w:t>
      </w:r>
      <w:r w:rsidR="00566210" w:rsidRPr="00201A9A">
        <w:rPr>
          <w:noProof/>
        </w:rPr>
        <w:t>resie wsparcia technicznego,</w:t>
      </w:r>
      <w:r w:rsidRPr="00201A9A">
        <w:rPr>
          <w:noProof/>
        </w:rPr>
        <w:t xml:space="preserve"> a tak</w:t>
      </w:r>
      <w:r w:rsidR="00566210" w:rsidRPr="00201A9A">
        <w:rPr>
          <w:noProof/>
        </w:rPr>
        <w:t>że jasne</w:t>
      </w:r>
      <w:r w:rsidRPr="00201A9A">
        <w:rPr>
          <w:noProof/>
        </w:rPr>
        <w:t xml:space="preserve"> i sku</w:t>
      </w:r>
      <w:r w:rsidR="00566210" w:rsidRPr="00201A9A">
        <w:rPr>
          <w:noProof/>
        </w:rPr>
        <w:t>teczne ustalenia między organami krajowymi</w:t>
      </w:r>
      <w:r w:rsidRPr="00201A9A">
        <w:rPr>
          <w:noProof/>
        </w:rPr>
        <w:t xml:space="preserve"> i reg</w:t>
      </w:r>
      <w:r w:rsidR="00566210" w:rsidRPr="00201A9A">
        <w:rPr>
          <w:noProof/>
        </w:rPr>
        <w:t>ionalnymi</w:t>
      </w:r>
      <w:r w:rsidRPr="00201A9A">
        <w:rPr>
          <w:noProof/>
        </w:rPr>
        <w:t xml:space="preserve"> w zak</w:t>
      </w:r>
      <w:r w:rsidR="00566210" w:rsidRPr="00201A9A">
        <w:rPr>
          <w:noProof/>
        </w:rPr>
        <w:t>resie odpowiedzialności za programowanie, wdrażanie, zarządzanie finansami, monitorowanie</w:t>
      </w:r>
      <w:r w:rsidRPr="00201A9A">
        <w:rPr>
          <w:noProof/>
        </w:rPr>
        <w:t xml:space="preserve"> i oce</w:t>
      </w:r>
      <w:r w:rsidR="00566210" w:rsidRPr="00201A9A">
        <w:rPr>
          <w:noProof/>
        </w:rPr>
        <w:t>nę, zgodnie</w:t>
      </w:r>
      <w:r w:rsidRPr="00201A9A">
        <w:rPr>
          <w:noProof/>
        </w:rPr>
        <w:t xml:space="preserve"> z ram</w:t>
      </w:r>
      <w:r w:rsidR="00566210" w:rsidRPr="00201A9A">
        <w:rPr>
          <w:noProof/>
        </w:rPr>
        <w:t>ami instytucjonalnymi</w:t>
      </w:r>
      <w:r w:rsidRPr="00201A9A">
        <w:rPr>
          <w:noProof/>
        </w:rPr>
        <w:t xml:space="preserve"> i pra</w:t>
      </w:r>
      <w:r w:rsidR="00566210" w:rsidRPr="00201A9A">
        <w:rPr>
          <w:noProof/>
        </w:rPr>
        <w:t>wnymi państwa członkowskiego;</w:t>
      </w:r>
    </w:p>
    <w:p w14:paraId="54751255" w14:textId="6DF072EB" w:rsidR="00CC50CE" w:rsidRPr="00201A9A" w:rsidRDefault="00201A9A" w:rsidP="00201A9A">
      <w:pPr>
        <w:pStyle w:val="Point1"/>
        <w:rPr>
          <w:noProof/>
        </w:rPr>
      </w:pPr>
      <w:r w:rsidRPr="00201A9A">
        <w:rPr>
          <w:noProof/>
        </w:rPr>
        <w:t>f)</w:t>
      </w:r>
      <w:r w:rsidRPr="00201A9A">
        <w:rPr>
          <w:noProof/>
        </w:rPr>
        <w:tab/>
      </w:r>
      <w:r w:rsidR="005C49E8" w:rsidRPr="00201A9A">
        <w:rPr>
          <w:noProof/>
        </w:rPr>
        <w:t>zmniejsza dysproporcje gospodarcze, społeczne</w:t>
      </w:r>
      <w:r w:rsidRPr="00201A9A">
        <w:rPr>
          <w:noProof/>
        </w:rPr>
        <w:t xml:space="preserve"> i ter</w:t>
      </w:r>
      <w:r w:rsidR="005C49E8" w:rsidRPr="00201A9A">
        <w:rPr>
          <w:noProof/>
        </w:rPr>
        <w:t>ytorialne</w:t>
      </w:r>
      <w:r w:rsidRPr="00201A9A">
        <w:rPr>
          <w:noProof/>
        </w:rPr>
        <w:t xml:space="preserve"> w reg</w:t>
      </w:r>
      <w:r w:rsidR="005C49E8" w:rsidRPr="00201A9A">
        <w:rPr>
          <w:noProof/>
        </w:rPr>
        <w:t>ionach słabiej rozwiniętych, regionach</w:t>
      </w:r>
      <w:r w:rsidRPr="00201A9A">
        <w:rPr>
          <w:noProof/>
        </w:rPr>
        <w:t xml:space="preserve"> w okr</w:t>
      </w:r>
      <w:r w:rsidR="005C49E8" w:rsidRPr="00201A9A">
        <w:rPr>
          <w:noProof/>
        </w:rPr>
        <w:t>esie przejściowym</w:t>
      </w:r>
      <w:r w:rsidRPr="00201A9A">
        <w:rPr>
          <w:noProof/>
        </w:rPr>
        <w:t xml:space="preserve"> i reg</w:t>
      </w:r>
      <w:r w:rsidR="005C49E8" w:rsidRPr="00201A9A">
        <w:rPr>
          <w:noProof/>
        </w:rPr>
        <w:t>ionach lepiej rozwiniętych,</w:t>
      </w:r>
      <w:r w:rsidRPr="00201A9A">
        <w:rPr>
          <w:noProof/>
        </w:rPr>
        <w:t xml:space="preserve"> w szc</w:t>
      </w:r>
      <w:r w:rsidR="005C49E8" w:rsidRPr="00201A9A">
        <w:rPr>
          <w:noProof/>
        </w:rPr>
        <w:t xml:space="preserve">zególności przez: </w:t>
      </w:r>
    </w:p>
    <w:p w14:paraId="2A4D1EEC" w14:textId="246B6C4B" w:rsidR="00255C55" w:rsidRPr="00201A9A" w:rsidRDefault="00032711" w:rsidP="003E2902">
      <w:pPr>
        <w:pStyle w:val="Point2n"/>
        <w:numPr>
          <w:ilvl w:val="0"/>
          <w:numId w:val="125"/>
        </w:numPr>
        <w:spacing w:line="240" w:lineRule="auto"/>
        <w:jc w:val="both"/>
        <w:rPr>
          <w:noProof/>
        </w:rPr>
      </w:pPr>
      <w:r w:rsidRPr="00201A9A">
        <w:rPr>
          <w:noProof/>
        </w:rPr>
        <w:t>przydzielanie zasobów regionom słabiej rozwiniętym, regionom</w:t>
      </w:r>
      <w:r w:rsidR="00201A9A" w:rsidRPr="00201A9A">
        <w:rPr>
          <w:noProof/>
        </w:rPr>
        <w:t xml:space="preserve"> w okr</w:t>
      </w:r>
      <w:r w:rsidRPr="00201A9A">
        <w:rPr>
          <w:noProof/>
        </w:rPr>
        <w:t>esie przejściowym</w:t>
      </w:r>
      <w:r w:rsidR="00201A9A" w:rsidRPr="00201A9A">
        <w:rPr>
          <w:noProof/>
        </w:rPr>
        <w:t xml:space="preserve"> i reg</w:t>
      </w:r>
      <w:r w:rsidRPr="00201A9A">
        <w:rPr>
          <w:noProof/>
        </w:rPr>
        <w:t>ionom lepiej rozwiniętym, zgodnie</w:t>
      </w:r>
      <w:r w:rsidR="00201A9A" w:rsidRPr="00201A9A">
        <w:rPr>
          <w:noProof/>
        </w:rPr>
        <w:t xml:space="preserve"> z ich</w:t>
      </w:r>
      <w:r w:rsidRPr="00201A9A">
        <w:rPr>
          <w:noProof/>
        </w:rPr>
        <w:t xml:space="preserve"> szczególnymi wyzwaniami, które należy zgłosić</w:t>
      </w:r>
      <w:r w:rsidR="00201A9A" w:rsidRPr="00201A9A">
        <w:rPr>
          <w:noProof/>
        </w:rPr>
        <w:t xml:space="preserve"> w zał</w:t>
      </w:r>
      <w:r w:rsidRPr="00201A9A">
        <w:rPr>
          <w:noProof/>
        </w:rPr>
        <w:t>ączniku V</w:t>
      </w:r>
      <w:r w:rsidR="00201A9A" w:rsidRPr="00201A9A">
        <w:rPr>
          <w:noProof/>
        </w:rPr>
        <w:t xml:space="preserve"> w opa</w:t>
      </w:r>
      <w:r w:rsidRPr="00201A9A">
        <w:rPr>
          <w:noProof/>
        </w:rPr>
        <w:t>rciu</w:t>
      </w:r>
      <w:r w:rsidR="00201A9A" w:rsidRPr="00201A9A">
        <w:rPr>
          <w:noProof/>
        </w:rPr>
        <w:t xml:space="preserve"> o met</w:t>
      </w:r>
      <w:r w:rsidRPr="00201A9A">
        <w:rPr>
          <w:noProof/>
        </w:rPr>
        <w:t>odykę określoną</w:t>
      </w:r>
      <w:r w:rsidR="00201A9A" w:rsidRPr="00201A9A">
        <w:rPr>
          <w:noProof/>
        </w:rPr>
        <w:t xml:space="preserve"> w zał</w:t>
      </w:r>
      <w:r w:rsidRPr="00201A9A">
        <w:rPr>
          <w:noProof/>
        </w:rPr>
        <w:t xml:space="preserve">ączniku VII; </w:t>
      </w:r>
    </w:p>
    <w:p w14:paraId="6BA8079E" w14:textId="031543E5" w:rsidR="00950316" w:rsidRPr="00201A9A" w:rsidRDefault="00950316" w:rsidP="00DD73C1">
      <w:pPr>
        <w:pStyle w:val="Point2n"/>
        <w:spacing w:line="240" w:lineRule="auto"/>
        <w:jc w:val="both"/>
        <w:rPr>
          <w:noProof/>
        </w:rPr>
      </w:pPr>
      <w:r w:rsidRPr="00201A9A">
        <w:rPr>
          <w:noProof/>
        </w:rPr>
        <w:t>skoncentrowanie zasobów na regionach słabiej rozwiniętych poprzez ustanowienie kwot minimalnych dla każdego państwa członkowskiego</w:t>
      </w:r>
      <w:r w:rsidR="00201A9A" w:rsidRPr="00201A9A">
        <w:rPr>
          <w:noProof/>
        </w:rPr>
        <w:t xml:space="preserve"> w opa</w:t>
      </w:r>
      <w:r w:rsidRPr="00201A9A">
        <w:rPr>
          <w:noProof/>
        </w:rPr>
        <w:t>rciu</w:t>
      </w:r>
      <w:r w:rsidR="00201A9A" w:rsidRPr="00201A9A">
        <w:rPr>
          <w:noProof/>
        </w:rPr>
        <w:t xml:space="preserve"> o met</w:t>
      </w:r>
      <w:r w:rsidRPr="00201A9A">
        <w:rPr>
          <w:noProof/>
        </w:rPr>
        <w:t>odykę określoną</w:t>
      </w:r>
      <w:r w:rsidR="00201A9A" w:rsidRPr="00201A9A">
        <w:rPr>
          <w:noProof/>
        </w:rPr>
        <w:t xml:space="preserve"> w zał</w:t>
      </w:r>
      <w:r w:rsidRPr="00201A9A">
        <w:rPr>
          <w:noProof/>
        </w:rPr>
        <w:t>ączniku II;</w:t>
      </w:r>
    </w:p>
    <w:p w14:paraId="283927F8" w14:textId="7ED191D3" w:rsidR="00032711" w:rsidRPr="00201A9A" w:rsidRDefault="00032711" w:rsidP="003E2902">
      <w:pPr>
        <w:pStyle w:val="Point2n"/>
        <w:numPr>
          <w:ilvl w:val="0"/>
          <w:numId w:val="20"/>
        </w:numPr>
        <w:spacing w:line="240" w:lineRule="auto"/>
        <w:jc w:val="both"/>
        <w:rPr>
          <w:noProof/>
        </w:rPr>
      </w:pPr>
      <w:r w:rsidRPr="00201A9A">
        <w:rPr>
          <w:noProof/>
        </w:rPr>
        <w:t>położenie nacisku na szczególne potrzeby regionów przygranicznych, północnych regionów słabo zaludnionych, obszarów wiejskich</w:t>
      </w:r>
      <w:r w:rsidR="00201A9A" w:rsidRPr="00201A9A">
        <w:rPr>
          <w:noProof/>
        </w:rPr>
        <w:t xml:space="preserve"> i mie</w:t>
      </w:r>
      <w:r w:rsidRPr="00201A9A">
        <w:rPr>
          <w:noProof/>
        </w:rPr>
        <w:t>jskich, obszarów podlegających transformacji przemysłowej, wysp, które zostaną uwzględnione</w:t>
      </w:r>
      <w:r w:rsidR="00201A9A" w:rsidRPr="00201A9A">
        <w:rPr>
          <w:noProof/>
        </w:rPr>
        <w:t xml:space="preserve"> w zał</w:t>
      </w:r>
      <w:r w:rsidRPr="00201A9A">
        <w:rPr>
          <w:noProof/>
        </w:rPr>
        <w:t>ączniku V</w:t>
      </w:r>
      <w:r w:rsidR="00201A9A" w:rsidRPr="00201A9A">
        <w:rPr>
          <w:noProof/>
        </w:rPr>
        <w:t xml:space="preserve"> w opa</w:t>
      </w:r>
      <w:r w:rsidRPr="00201A9A">
        <w:rPr>
          <w:noProof/>
        </w:rPr>
        <w:t>rciu</w:t>
      </w:r>
      <w:r w:rsidR="00201A9A" w:rsidRPr="00201A9A">
        <w:rPr>
          <w:noProof/>
        </w:rPr>
        <w:t xml:space="preserve"> o met</w:t>
      </w:r>
      <w:r w:rsidRPr="00201A9A">
        <w:rPr>
          <w:noProof/>
        </w:rPr>
        <w:t>odykę określoną</w:t>
      </w:r>
      <w:r w:rsidR="00201A9A" w:rsidRPr="00201A9A">
        <w:rPr>
          <w:noProof/>
        </w:rPr>
        <w:t xml:space="preserve"> w zał</w:t>
      </w:r>
      <w:r w:rsidRPr="00201A9A">
        <w:rPr>
          <w:noProof/>
        </w:rPr>
        <w:t>ączniku VII;</w:t>
      </w:r>
    </w:p>
    <w:p w14:paraId="33BF1A67" w14:textId="72C2C341" w:rsidR="00032711" w:rsidRPr="00201A9A" w:rsidRDefault="00032711" w:rsidP="003E2902">
      <w:pPr>
        <w:pStyle w:val="Point2n"/>
        <w:numPr>
          <w:ilvl w:val="0"/>
          <w:numId w:val="20"/>
        </w:numPr>
        <w:spacing w:line="240" w:lineRule="auto"/>
        <w:jc w:val="both"/>
        <w:rPr>
          <w:noProof/>
        </w:rPr>
      </w:pPr>
      <w:r w:rsidRPr="00201A9A">
        <w:rPr>
          <w:noProof/>
        </w:rPr>
        <w:t>wzmocnienie rozwoju gospodarczego</w:t>
      </w:r>
      <w:r w:rsidR="00201A9A" w:rsidRPr="00201A9A">
        <w:rPr>
          <w:noProof/>
        </w:rPr>
        <w:t xml:space="preserve"> i spo</w:t>
      </w:r>
      <w:r w:rsidRPr="00201A9A">
        <w:rPr>
          <w:noProof/>
        </w:rPr>
        <w:t>łecznego regionów najbardziej oddalonych; zostaną one określone</w:t>
      </w:r>
      <w:r w:rsidR="00201A9A" w:rsidRPr="00201A9A">
        <w:rPr>
          <w:noProof/>
        </w:rPr>
        <w:t xml:space="preserve"> w ram</w:t>
      </w:r>
      <w:r w:rsidRPr="00201A9A">
        <w:rPr>
          <w:noProof/>
        </w:rPr>
        <w:t>ach specjalnych środków dla danych terytoriów zgodnie</w:t>
      </w:r>
      <w:r w:rsidR="00201A9A" w:rsidRPr="00201A9A">
        <w:rPr>
          <w:noProof/>
        </w:rPr>
        <w:t xml:space="preserve"> z art</w:t>
      </w:r>
      <w:r w:rsidRPr="00201A9A">
        <w:rPr>
          <w:noProof/>
        </w:rPr>
        <w:t>.</w:t>
      </w:r>
      <w:r w:rsidR="00201A9A" w:rsidRPr="00201A9A">
        <w:rPr>
          <w:noProof/>
        </w:rPr>
        <w:t> </w:t>
      </w:r>
      <w:r w:rsidRPr="00201A9A">
        <w:rPr>
          <w:noProof/>
        </w:rPr>
        <w:t>46;</w:t>
      </w:r>
    </w:p>
    <w:p w14:paraId="4564BBEE" w14:textId="4D5090C7" w:rsidR="00032711" w:rsidRPr="00201A9A" w:rsidRDefault="00201A9A" w:rsidP="00201A9A">
      <w:pPr>
        <w:pStyle w:val="Point1"/>
        <w:rPr>
          <w:noProof/>
        </w:rPr>
      </w:pPr>
      <w:r w:rsidRPr="00201A9A">
        <w:rPr>
          <w:noProof/>
        </w:rPr>
        <w:t>g)</w:t>
      </w:r>
      <w:r w:rsidRPr="00201A9A">
        <w:rPr>
          <w:noProof/>
        </w:rPr>
        <w:tab/>
      </w:r>
      <w:r w:rsidR="00032711" w:rsidRPr="00201A9A">
        <w:rPr>
          <w:noProof/>
        </w:rPr>
        <w:t>koncentruje zasoby na:</w:t>
      </w:r>
    </w:p>
    <w:p w14:paraId="448A837C" w14:textId="7EEEDDE9" w:rsidR="00A66B7D" w:rsidRPr="00201A9A" w:rsidRDefault="00DD73C1" w:rsidP="003E2902">
      <w:pPr>
        <w:pStyle w:val="Point2n"/>
        <w:numPr>
          <w:ilvl w:val="0"/>
          <w:numId w:val="115"/>
        </w:numPr>
        <w:spacing w:line="240" w:lineRule="auto"/>
        <w:rPr>
          <w:noProof/>
        </w:rPr>
      </w:pPr>
      <w:r w:rsidRPr="00201A9A">
        <w:rPr>
          <w:noProof/>
        </w:rPr>
        <w:t>wspieraniu wymiany pokoleń</w:t>
      </w:r>
      <w:r w:rsidR="00201A9A" w:rsidRPr="00201A9A">
        <w:rPr>
          <w:noProof/>
        </w:rPr>
        <w:t xml:space="preserve"> w sek</w:t>
      </w:r>
      <w:r w:rsidRPr="00201A9A">
        <w:rPr>
          <w:noProof/>
        </w:rPr>
        <w:t>torze rolnym, zgodnie</w:t>
      </w:r>
      <w:r w:rsidR="00201A9A" w:rsidRPr="00201A9A">
        <w:rPr>
          <w:noProof/>
        </w:rPr>
        <w:t xml:space="preserve"> z art</w:t>
      </w:r>
      <w:r w:rsidRPr="00201A9A">
        <w:rPr>
          <w:noProof/>
        </w:rPr>
        <w:t>.</w:t>
      </w:r>
      <w:r w:rsidR="00201A9A" w:rsidRPr="00201A9A">
        <w:rPr>
          <w:noProof/>
        </w:rPr>
        <w:t> </w:t>
      </w:r>
      <w:r w:rsidRPr="00201A9A">
        <w:rPr>
          <w:noProof/>
        </w:rPr>
        <w:t>8 rozporządzenia XX [WPR, wymiana pokoleń],</w:t>
      </w:r>
      <w:r w:rsidR="00201A9A" w:rsidRPr="00201A9A">
        <w:rPr>
          <w:noProof/>
        </w:rPr>
        <w:t xml:space="preserve"> a tak</w:t>
      </w:r>
      <w:r w:rsidRPr="00201A9A">
        <w:rPr>
          <w:noProof/>
        </w:rPr>
        <w:t>że</w:t>
      </w:r>
      <w:r w:rsidR="00201A9A" w:rsidRPr="00201A9A">
        <w:rPr>
          <w:noProof/>
        </w:rPr>
        <w:t xml:space="preserve"> w sek</w:t>
      </w:r>
      <w:r w:rsidRPr="00201A9A">
        <w:rPr>
          <w:noProof/>
        </w:rPr>
        <w:t>torze rybołówstwa</w:t>
      </w:r>
      <w:r w:rsidR="00201A9A" w:rsidRPr="00201A9A">
        <w:rPr>
          <w:noProof/>
        </w:rPr>
        <w:t xml:space="preserve"> i akw</w:t>
      </w:r>
      <w:r w:rsidRPr="00201A9A">
        <w:rPr>
          <w:noProof/>
        </w:rPr>
        <w:t xml:space="preserve">akultury; </w:t>
      </w:r>
    </w:p>
    <w:p w14:paraId="10E306B7" w14:textId="2DADC650" w:rsidR="003B33CE" w:rsidRPr="00201A9A" w:rsidRDefault="005C49E8" w:rsidP="003E2902">
      <w:pPr>
        <w:pStyle w:val="Point2n"/>
        <w:numPr>
          <w:ilvl w:val="0"/>
          <w:numId w:val="20"/>
        </w:numPr>
        <w:spacing w:line="240" w:lineRule="auto"/>
        <w:rPr>
          <w:noProof/>
        </w:rPr>
      </w:pPr>
      <w:r w:rsidRPr="00201A9A">
        <w:rPr>
          <w:noProof/>
        </w:rPr>
        <w:t>środkach socjalnych zgodnie</w:t>
      </w:r>
      <w:r w:rsidR="00201A9A" w:rsidRPr="00201A9A">
        <w:rPr>
          <w:noProof/>
        </w:rPr>
        <w:t xml:space="preserve"> z zał</w:t>
      </w:r>
      <w:r w:rsidRPr="00201A9A">
        <w:rPr>
          <w:noProof/>
        </w:rPr>
        <w:t>ącznikiem VI [alokacje socjalne];</w:t>
      </w:r>
    </w:p>
    <w:p w14:paraId="708545B6" w14:textId="6DD819EC" w:rsidR="003B33CE" w:rsidRPr="00201A9A" w:rsidRDefault="00DD73C1" w:rsidP="003E2902">
      <w:pPr>
        <w:pStyle w:val="Point2n"/>
        <w:numPr>
          <w:ilvl w:val="0"/>
          <w:numId w:val="20"/>
        </w:numPr>
        <w:spacing w:line="240" w:lineRule="auto"/>
        <w:jc w:val="both"/>
        <w:rPr>
          <w:noProof/>
        </w:rPr>
      </w:pPr>
      <w:r w:rsidRPr="00201A9A">
        <w:rPr>
          <w:noProof/>
        </w:rPr>
        <w:t>wspieraniu rybołówstwa, akwakultury</w:t>
      </w:r>
      <w:r w:rsidR="00201A9A" w:rsidRPr="00201A9A">
        <w:rPr>
          <w:noProof/>
        </w:rPr>
        <w:t xml:space="preserve"> i dzi</w:t>
      </w:r>
      <w:r w:rsidRPr="00201A9A">
        <w:rPr>
          <w:noProof/>
        </w:rPr>
        <w:t>ałalności morskiej,</w:t>
      </w:r>
      <w:r w:rsidR="00201A9A" w:rsidRPr="00201A9A">
        <w:rPr>
          <w:noProof/>
        </w:rPr>
        <w:t xml:space="preserve"> w tym</w:t>
      </w:r>
      <w:r w:rsidRPr="00201A9A">
        <w:rPr>
          <w:noProof/>
        </w:rPr>
        <w:t xml:space="preserve"> rybołówstwa małoskalowego, wdrażania WPRyb określonej</w:t>
      </w:r>
      <w:r w:rsidR="00201A9A" w:rsidRPr="00201A9A">
        <w:rPr>
          <w:noProof/>
        </w:rPr>
        <w:t xml:space="preserve"> w roz</w:t>
      </w:r>
      <w:r w:rsidRPr="00201A9A">
        <w:rPr>
          <w:noProof/>
        </w:rPr>
        <w:t>porządzeniu UE XX [WPRyb],</w:t>
      </w:r>
      <w:r w:rsidR="00201A9A" w:rsidRPr="00201A9A">
        <w:rPr>
          <w:noProof/>
        </w:rPr>
        <w:t xml:space="preserve"> a tak</w:t>
      </w:r>
      <w:r w:rsidRPr="00201A9A">
        <w:rPr>
          <w:noProof/>
        </w:rPr>
        <w:t>że Europejskiego paktu na rzecz wszechoceanu zgodnie</w:t>
      </w:r>
      <w:r w:rsidR="00201A9A" w:rsidRPr="00201A9A">
        <w:rPr>
          <w:noProof/>
        </w:rPr>
        <w:t xml:space="preserve"> z zał</w:t>
      </w:r>
      <w:r w:rsidRPr="00201A9A">
        <w:rPr>
          <w:noProof/>
        </w:rPr>
        <w:t>ącznikiem V [Wzór planu];</w:t>
      </w:r>
    </w:p>
    <w:p w14:paraId="43D04FE7" w14:textId="5148B5DB" w:rsidR="00566210" w:rsidRPr="00201A9A" w:rsidRDefault="00201A9A" w:rsidP="00201A9A">
      <w:pPr>
        <w:pStyle w:val="Point1"/>
        <w:rPr>
          <w:noProof/>
        </w:rPr>
      </w:pPr>
      <w:r w:rsidRPr="00201A9A">
        <w:rPr>
          <w:noProof/>
        </w:rPr>
        <w:t>h)</w:t>
      </w:r>
      <w:r w:rsidRPr="00201A9A">
        <w:rPr>
          <w:noProof/>
        </w:rPr>
        <w:tab/>
      </w:r>
      <w:r w:rsidR="00816A38" w:rsidRPr="00201A9A">
        <w:rPr>
          <w:noProof/>
        </w:rPr>
        <w:t xml:space="preserve">skutecznie przyczynia się do: </w:t>
      </w:r>
    </w:p>
    <w:p w14:paraId="29962344" w14:textId="1E23014E" w:rsidR="00566210" w:rsidRPr="00201A9A" w:rsidRDefault="00DD73C1" w:rsidP="003E2902">
      <w:pPr>
        <w:pStyle w:val="Point2n"/>
        <w:numPr>
          <w:ilvl w:val="0"/>
          <w:numId w:val="99"/>
        </w:numPr>
        <w:spacing w:line="240" w:lineRule="auto"/>
        <w:jc w:val="both"/>
        <w:rPr>
          <w:noProof/>
        </w:rPr>
      </w:pPr>
      <w:r w:rsidRPr="00201A9A">
        <w:rPr>
          <w:noProof/>
        </w:rPr>
        <w:t>promowania korzystania</w:t>
      </w:r>
      <w:r w:rsidR="00201A9A" w:rsidRPr="00201A9A">
        <w:rPr>
          <w:noProof/>
        </w:rPr>
        <w:t xml:space="preserve"> z int</w:t>
      </w:r>
      <w:r w:rsidRPr="00201A9A">
        <w:rPr>
          <w:noProof/>
        </w:rPr>
        <w:t>erwencji opartych na współpracy,</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74 [Interwencje współpracy],</w:t>
      </w:r>
      <w:r w:rsidR="00201A9A" w:rsidRPr="00201A9A">
        <w:rPr>
          <w:noProof/>
        </w:rPr>
        <w:t xml:space="preserve"> w tym</w:t>
      </w:r>
      <w:r w:rsidRPr="00201A9A">
        <w:rPr>
          <w:noProof/>
        </w:rPr>
        <w:t xml:space="preserve"> zintegrowanych inwestycji terytorialnych</w:t>
      </w:r>
      <w:r w:rsidR="00201A9A" w:rsidRPr="00201A9A">
        <w:rPr>
          <w:noProof/>
        </w:rPr>
        <w:t xml:space="preserve"> w mia</w:t>
      </w:r>
      <w:r w:rsidRPr="00201A9A">
        <w:rPr>
          <w:noProof/>
        </w:rPr>
        <w:t>stach, na obszarach miejskich, wiejskich</w:t>
      </w:r>
      <w:r w:rsidR="00201A9A" w:rsidRPr="00201A9A">
        <w:rPr>
          <w:noProof/>
        </w:rPr>
        <w:t xml:space="preserve"> i prz</w:t>
      </w:r>
      <w:r w:rsidRPr="00201A9A">
        <w:rPr>
          <w:noProof/>
        </w:rPr>
        <w:t>ybrzeżnych, rozwoju lokalnego kierowanego przez społeczność lub innych narzędzi terytorialnych,</w:t>
      </w:r>
      <w:r w:rsidR="00201A9A" w:rsidRPr="00201A9A">
        <w:rPr>
          <w:noProof/>
        </w:rPr>
        <w:t xml:space="preserve"> w tym</w:t>
      </w:r>
      <w:r w:rsidRPr="00201A9A">
        <w:rPr>
          <w:noProof/>
        </w:rPr>
        <w:t xml:space="preserve"> strategii sprawiedliwej transformacji</w:t>
      </w:r>
      <w:r w:rsidR="00201A9A" w:rsidRPr="00201A9A">
        <w:rPr>
          <w:noProof/>
        </w:rPr>
        <w:t xml:space="preserve"> i int</w:t>
      </w:r>
      <w:r w:rsidRPr="00201A9A">
        <w:rPr>
          <w:noProof/>
        </w:rPr>
        <w:t>eligentnej specjalizacji,</w:t>
      </w:r>
      <w:r w:rsidR="00201A9A" w:rsidRPr="00201A9A">
        <w:rPr>
          <w:noProof/>
        </w:rPr>
        <w:t xml:space="preserve"> a tak</w:t>
      </w:r>
      <w:r w:rsidRPr="00201A9A">
        <w:rPr>
          <w:noProof/>
        </w:rPr>
        <w:t>że inicjatywy LEADER,</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77 [LEADER];</w:t>
      </w:r>
    </w:p>
    <w:p w14:paraId="7FD3B314" w14:textId="202ED054" w:rsidR="00566210" w:rsidRPr="00201A9A" w:rsidRDefault="264CD1EB" w:rsidP="00DD73C1">
      <w:pPr>
        <w:pStyle w:val="Point2n"/>
        <w:spacing w:line="240" w:lineRule="auto"/>
        <w:jc w:val="both"/>
        <w:rPr>
          <w:noProof/>
        </w:rPr>
      </w:pPr>
      <w:r w:rsidRPr="00201A9A">
        <w:rPr>
          <w:noProof/>
        </w:rPr>
        <w:t>poprawy odporności gospodarstw rolnych</w:t>
      </w:r>
      <w:r w:rsidR="00201A9A" w:rsidRPr="00201A9A">
        <w:rPr>
          <w:noProof/>
        </w:rPr>
        <w:t xml:space="preserve"> i zar</w:t>
      </w:r>
      <w:r w:rsidRPr="00201A9A">
        <w:rPr>
          <w:noProof/>
        </w:rPr>
        <w:t>ządzania ryzykiem na poziomie gospodarstw oraz wspieranie cyfrowej</w:t>
      </w:r>
      <w:r w:rsidR="00201A9A" w:rsidRPr="00201A9A">
        <w:rPr>
          <w:noProof/>
        </w:rPr>
        <w:t xml:space="preserve"> i opa</w:t>
      </w:r>
      <w:r w:rsidRPr="00201A9A">
        <w:rPr>
          <w:noProof/>
        </w:rPr>
        <w:t>rtej na danych transformacji rolnictwa</w:t>
      </w:r>
      <w:r w:rsidR="00201A9A" w:rsidRPr="00201A9A">
        <w:rPr>
          <w:noProof/>
        </w:rPr>
        <w:t xml:space="preserve"> i obs</w:t>
      </w:r>
      <w:r w:rsidRPr="00201A9A">
        <w:rPr>
          <w:noProof/>
        </w:rPr>
        <w:t>zarów wiejskich</w:t>
      </w:r>
      <w:r w:rsidR="00201A9A" w:rsidRPr="00201A9A">
        <w:rPr>
          <w:noProof/>
        </w:rPr>
        <w:t xml:space="preserve"> w cel</w:t>
      </w:r>
      <w:r w:rsidRPr="00201A9A">
        <w:rPr>
          <w:noProof/>
        </w:rPr>
        <w:t>u zwiększenia ich konkurencyjności, zrównoważoności</w:t>
      </w:r>
      <w:r w:rsidR="00201A9A" w:rsidRPr="00201A9A">
        <w:rPr>
          <w:noProof/>
        </w:rPr>
        <w:t xml:space="preserve"> i odp</w:t>
      </w:r>
      <w:r w:rsidRPr="00201A9A">
        <w:rPr>
          <w:noProof/>
        </w:rPr>
        <w:t>orności;</w:t>
      </w:r>
    </w:p>
    <w:p w14:paraId="7789FC20" w14:textId="4CCF0100" w:rsidR="0051518C" w:rsidRPr="00201A9A" w:rsidRDefault="2DCF7BBA" w:rsidP="00DD73C1">
      <w:pPr>
        <w:pStyle w:val="Point2n"/>
        <w:spacing w:line="240" w:lineRule="auto"/>
        <w:jc w:val="both"/>
        <w:rPr>
          <w:noProof/>
        </w:rPr>
      </w:pPr>
      <w:r w:rsidRPr="00201A9A">
        <w:rPr>
          <w:noProof/>
        </w:rPr>
        <w:t>obszarów priorytetowych</w:t>
      </w:r>
      <w:r w:rsidR="00201A9A" w:rsidRPr="00201A9A">
        <w:rPr>
          <w:noProof/>
        </w:rPr>
        <w:t xml:space="preserve"> w zak</w:t>
      </w:r>
      <w:r w:rsidRPr="00201A9A">
        <w:rPr>
          <w:noProof/>
        </w:rPr>
        <w:t>resie środowiska</w:t>
      </w:r>
      <w:r w:rsidR="00201A9A" w:rsidRPr="00201A9A">
        <w:rPr>
          <w:noProof/>
        </w:rPr>
        <w:t xml:space="preserve"> i kli</w:t>
      </w:r>
      <w:r w:rsidRPr="00201A9A">
        <w:rPr>
          <w:noProof/>
        </w:rPr>
        <w:t>matu określonych</w:t>
      </w:r>
      <w:r w:rsidR="00201A9A" w:rsidRPr="00201A9A">
        <w:rPr>
          <w:noProof/>
        </w:rPr>
        <w:t xml:space="preserve"> w art</w:t>
      </w:r>
      <w:r w:rsidRPr="00201A9A">
        <w:rPr>
          <w:noProof/>
        </w:rPr>
        <w:t>.</w:t>
      </w:r>
      <w:r w:rsidR="00201A9A" w:rsidRPr="00201A9A">
        <w:rPr>
          <w:noProof/>
        </w:rPr>
        <w:t> </w:t>
      </w:r>
      <w:r w:rsidRPr="00201A9A">
        <w:rPr>
          <w:noProof/>
        </w:rPr>
        <w:t>4 rozporządzenia (UE) 202X/XXXX [WPR – Obszary priorytetowe dotyczące środowiska</w:t>
      </w:r>
      <w:r w:rsidR="00201A9A" w:rsidRPr="00201A9A">
        <w:rPr>
          <w:noProof/>
        </w:rPr>
        <w:t xml:space="preserve"> i kli</w:t>
      </w:r>
      <w:r w:rsidRPr="00201A9A">
        <w:rPr>
          <w:noProof/>
        </w:rPr>
        <w:t>matu].</w:t>
      </w:r>
    </w:p>
    <w:p w14:paraId="039A4D31" w14:textId="5C56D478" w:rsidR="009D3823" w:rsidRPr="00201A9A" w:rsidRDefault="00201A9A" w:rsidP="00201A9A">
      <w:pPr>
        <w:pStyle w:val="Point1"/>
        <w:rPr>
          <w:noProof/>
        </w:rPr>
      </w:pPr>
      <w:r w:rsidRPr="00201A9A">
        <w:rPr>
          <w:noProof/>
        </w:rPr>
        <w:t>i)</w:t>
      </w:r>
      <w:r w:rsidRPr="00201A9A">
        <w:rPr>
          <w:noProof/>
        </w:rPr>
        <w:tab/>
      </w:r>
      <w:r w:rsidR="264CD1EB" w:rsidRPr="00201A9A">
        <w:rPr>
          <w:noProof/>
        </w:rPr>
        <w:t>propaguje partnerstwo, wymianę wiedzy i,</w:t>
      </w:r>
      <w:r w:rsidRPr="00201A9A">
        <w:rPr>
          <w:noProof/>
        </w:rPr>
        <w:t xml:space="preserve"> w sto</w:t>
      </w:r>
      <w:r w:rsidR="264CD1EB" w:rsidRPr="00201A9A">
        <w:rPr>
          <w:noProof/>
        </w:rPr>
        <w:t xml:space="preserve">sownych przypadkach, dystrybucję produktów rolnych poprzez określenie: </w:t>
      </w:r>
    </w:p>
    <w:p w14:paraId="51900420" w14:textId="187C92C7" w:rsidR="008F3ED5" w:rsidRPr="00201A9A" w:rsidRDefault="264CD1EB" w:rsidP="003E2902">
      <w:pPr>
        <w:pStyle w:val="Point2n"/>
        <w:numPr>
          <w:ilvl w:val="0"/>
          <w:numId w:val="100"/>
        </w:numPr>
        <w:spacing w:line="240" w:lineRule="auto"/>
        <w:jc w:val="both"/>
        <w:rPr>
          <w:noProof/>
        </w:rPr>
      </w:pPr>
      <w:r w:rsidRPr="00201A9A">
        <w:rPr>
          <w:noProof/>
        </w:rPr>
        <w:t>z którymi zainteresowanymi stronami przeprowadzono konsultacje,</w:t>
      </w:r>
      <w:r w:rsidR="00201A9A" w:rsidRPr="00201A9A">
        <w:rPr>
          <w:noProof/>
        </w:rPr>
        <w:t xml:space="preserve"> w jak</w:t>
      </w:r>
      <w:r w:rsidRPr="00201A9A">
        <w:rPr>
          <w:noProof/>
        </w:rPr>
        <w:t>i sposób je wybrano,</w:t>
      </w:r>
      <w:r w:rsidR="00201A9A" w:rsidRPr="00201A9A">
        <w:rPr>
          <w:noProof/>
        </w:rPr>
        <w:t xml:space="preserve"> w jak</w:t>
      </w:r>
      <w:r w:rsidRPr="00201A9A">
        <w:rPr>
          <w:noProof/>
        </w:rPr>
        <w:t>i sposób zapewniono ich reprezentatywność</w:t>
      </w:r>
      <w:r w:rsidR="00201A9A" w:rsidRPr="00201A9A">
        <w:rPr>
          <w:noProof/>
        </w:rPr>
        <w:t xml:space="preserve"> i zap</w:t>
      </w:r>
      <w:r w:rsidRPr="00201A9A">
        <w:rPr>
          <w:noProof/>
        </w:rPr>
        <w:t>obieganie konfliktom interesów oraz</w:t>
      </w:r>
      <w:r w:rsidR="00201A9A" w:rsidRPr="00201A9A">
        <w:rPr>
          <w:noProof/>
        </w:rPr>
        <w:t xml:space="preserve"> w jak</w:t>
      </w:r>
      <w:r w:rsidRPr="00201A9A">
        <w:rPr>
          <w:noProof/>
        </w:rPr>
        <w:t>i sposób ich wkład został odzwierciedlony</w:t>
      </w:r>
      <w:r w:rsidR="00201A9A" w:rsidRPr="00201A9A">
        <w:rPr>
          <w:noProof/>
        </w:rPr>
        <w:t xml:space="preserve"> w pla</w:t>
      </w:r>
      <w:r w:rsidRPr="00201A9A">
        <w:rPr>
          <w:noProof/>
        </w:rPr>
        <w:t>nie zgodnie</w:t>
      </w:r>
      <w:r w:rsidR="00201A9A" w:rsidRPr="00201A9A">
        <w:rPr>
          <w:noProof/>
        </w:rPr>
        <w:t xml:space="preserve"> z kod</w:t>
      </w:r>
      <w:r w:rsidRPr="00201A9A">
        <w:rPr>
          <w:noProof/>
        </w:rPr>
        <w:t>eksem postępowania</w:t>
      </w:r>
      <w:r w:rsidR="00201A9A" w:rsidRPr="00201A9A">
        <w:rPr>
          <w:noProof/>
        </w:rPr>
        <w:t xml:space="preserve"> w zak</w:t>
      </w:r>
      <w:r w:rsidRPr="00201A9A">
        <w:rPr>
          <w:noProof/>
        </w:rPr>
        <w:t>resie partnerstwa</w:t>
      </w:r>
      <w:r w:rsidRPr="00201A9A">
        <w:rPr>
          <w:rStyle w:val="FootnoteReference"/>
          <w:rFonts w:eastAsia="Calibri"/>
          <w:noProof/>
        </w:rPr>
        <w:footnoteReference w:id="23"/>
      </w:r>
      <w:r w:rsidRPr="00201A9A">
        <w:rPr>
          <w:noProof/>
        </w:rPr>
        <w:t>,</w:t>
      </w:r>
      <w:r w:rsidR="00201A9A" w:rsidRPr="00201A9A">
        <w:rPr>
          <w:noProof/>
        </w:rPr>
        <w:t xml:space="preserve"> a tak</w:t>
      </w:r>
      <w:r w:rsidRPr="00201A9A">
        <w:rPr>
          <w:noProof/>
        </w:rPr>
        <w:t>że poprzez uwzględnienie podsumowania procesu konsultacji przeprowadzonych</w:t>
      </w:r>
      <w:r w:rsidR="00201A9A" w:rsidRPr="00201A9A">
        <w:rPr>
          <w:noProof/>
        </w:rPr>
        <w:t xml:space="preserve"> w cel</w:t>
      </w:r>
      <w:r w:rsidRPr="00201A9A">
        <w:rPr>
          <w:noProof/>
        </w:rPr>
        <w:t>u przygotowania planu</w:t>
      </w:r>
      <w:r w:rsidR="00201A9A" w:rsidRPr="00201A9A">
        <w:rPr>
          <w:noProof/>
        </w:rPr>
        <w:t xml:space="preserve"> i każ</w:t>
      </w:r>
      <w:r w:rsidRPr="00201A9A">
        <w:rPr>
          <w:noProof/>
        </w:rPr>
        <w:t>dego rozdziału;</w:t>
      </w:r>
    </w:p>
    <w:p w14:paraId="1CFB29BA" w14:textId="4CBC411B" w:rsidR="008F3ED5" w:rsidRPr="00201A9A" w:rsidRDefault="264CD1EB" w:rsidP="00DD73C1">
      <w:pPr>
        <w:pStyle w:val="Point2n"/>
        <w:spacing w:line="240" w:lineRule="auto"/>
        <w:jc w:val="both"/>
        <w:rPr>
          <w:noProof/>
        </w:rPr>
      </w:pPr>
      <w:r w:rsidRPr="00201A9A">
        <w:rPr>
          <w:noProof/>
        </w:rPr>
        <w:t>systemu wiedzy</w:t>
      </w:r>
      <w:r w:rsidR="00201A9A" w:rsidRPr="00201A9A">
        <w:rPr>
          <w:noProof/>
        </w:rPr>
        <w:t xml:space="preserve"> i inn</w:t>
      </w:r>
      <w:r w:rsidRPr="00201A9A">
        <w:rPr>
          <w:noProof/>
        </w:rPr>
        <w:t>owacji</w:t>
      </w:r>
      <w:r w:rsidR="00201A9A" w:rsidRPr="00201A9A">
        <w:rPr>
          <w:noProof/>
        </w:rPr>
        <w:t xml:space="preserve"> w rol</w:t>
      </w:r>
      <w:r w:rsidRPr="00201A9A">
        <w:rPr>
          <w:noProof/>
        </w:rPr>
        <w:t>nictwie,</w:t>
      </w:r>
      <w:r w:rsidR="00201A9A" w:rsidRPr="00201A9A">
        <w:rPr>
          <w:noProof/>
        </w:rPr>
        <w:t xml:space="preserve"> w tym</w:t>
      </w:r>
      <w:r w:rsidRPr="00201A9A">
        <w:rPr>
          <w:noProof/>
        </w:rPr>
        <w:t xml:space="preserve"> jego organizację ustanowioną zgodnie</w:t>
      </w:r>
      <w:r w:rsidR="00201A9A" w:rsidRPr="00201A9A">
        <w:rPr>
          <w:noProof/>
        </w:rPr>
        <w:t xml:space="preserve"> z art</w:t>
      </w:r>
      <w:r w:rsidRPr="00201A9A">
        <w:rPr>
          <w:noProof/>
        </w:rPr>
        <w:t>.</w:t>
      </w:r>
      <w:r w:rsidR="00201A9A" w:rsidRPr="00201A9A">
        <w:rPr>
          <w:noProof/>
        </w:rPr>
        <w:t> </w:t>
      </w:r>
      <w:r w:rsidRPr="00201A9A">
        <w:rPr>
          <w:noProof/>
        </w:rPr>
        <w:t>20 rozporządzenia (UE) 202X/XXXX [rozporządzenie</w:t>
      </w:r>
      <w:r w:rsidR="00201A9A" w:rsidRPr="00201A9A">
        <w:rPr>
          <w:noProof/>
        </w:rPr>
        <w:t xml:space="preserve"> w spr</w:t>
      </w:r>
      <w:r w:rsidRPr="00201A9A">
        <w:rPr>
          <w:noProof/>
        </w:rPr>
        <w:t>awie WPR – Systemy wiedzy</w:t>
      </w:r>
      <w:r w:rsidR="00201A9A" w:rsidRPr="00201A9A">
        <w:rPr>
          <w:noProof/>
        </w:rPr>
        <w:t xml:space="preserve"> i inn</w:t>
      </w:r>
      <w:r w:rsidRPr="00201A9A">
        <w:rPr>
          <w:noProof/>
        </w:rPr>
        <w:t>owacji</w:t>
      </w:r>
      <w:r w:rsidR="00201A9A" w:rsidRPr="00201A9A">
        <w:rPr>
          <w:noProof/>
        </w:rPr>
        <w:t xml:space="preserve"> w dzi</w:t>
      </w:r>
      <w:r w:rsidRPr="00201A9A">
        <w:rPr>
          <w:noProof/>
        </w:rPr>
        <w:t>edzinie rolnictwa oraz usługi doradcze dla rolników];</w:t>
      </w:r>
    </w:p>
    <w:p w14:paraId="6A7C7FD6" w14:textId="740A1095" w:rsidR="00463C58" w:rsidRPr="00201A9A" w:rsidRDefault="16D8EE2D" w:rsidP="00DD73C1">
      <w:pPr>
        <w:pStyle w:val="Point2n"/>
        <w:spacing w:line="240" w:lineRule="auto"/>
        <w:jc w:val="both"/>
        <w:rPr>
          <w:noProof/>
        </w:rPr>
      </w:pPr>
      <w:r w:rsidRPr="00201A9A">
        <w:rPr>
          <w:noProof/>
        </w:rPr>
        <w:t>warunków unijnego programu dla szkół zgodnie</w:t>
      </w:r>
      <w:r w:rsidR="00201A9A" w:rsidRPr="00201A9A">
        <w:rPr>
          <w:noProof/>
        </w:rPr>
        <w:t xml:space="preserve"> z tyt</w:t>
      </w:r>
      <w:r w:rsidRPr="00201A9A">
        <w:rPr>
          <w:noProof/>
        </w:rPr>
        <w:t>ułem I część II rozdział IIa rozporządzenia (UE) nr</w:t>
      </w:r>
      <w:r w:rsidR="00201A9A" w:rsidRPr="00201A9A">
        <w:rPr>
          <w:noProof/>
        </w:rPr>
        <w:t> </w:t>
      </w:r>
      <w:r w:rsidRPr="00201A9A">
        <w:rPr>
          <w:noProof/>
        </w:rPr>
        <w:t>1308/2013;</w:t>
      </w:r>
    </w:p>
    <w:p w14:paraId="45412895" w14:textId="6074D853" w:rsidR="00FE6A2A" w:rsidRPr="00201A9A" w:rsidRDefault="00201A9A" w:rsidP="00201A9A">
      <w:pPr>
        <w:pStyle w:val="Point1"/>
        <w:rPr>
          <w:noProof/>
        </w:rPr>
      </w:pPr>
      <w:r w:rsidRPr="00201A9A">
        <w:rPr>
          <w:noProof/>
        </w:rPr>
        <w:t>j)</w:t>
      </w:r>
      <w:r w:rsidRPr="00201A9A">
        <w:rPr>
          <w:noProof/>
        </w:rPr>
        <w:tab/>
      </w:r>
      <w:r w:rsidR="00EC3E53" w:rsidRPr="00201A9A">
        <w:rPr>
          <w:noProof/>
        </w:rPr>
        <w:t>określa sposób,</w:t>
      </w:r>
      <w:r w:rsidRPr="00201A9A">
        <w:rPr>
          <w:noProof/>
        </w:rPr>
        <w:t xml:space="preserve"> w jak</w:t>
      </w:r>
      <w:r w:rsidR="00EC3E53" w:rsidRPr="00201A9A">
        <w:rPr>
          <w:noProof/>
        </w:rPr>
        <w:t>i plan PKR</w:t>
      </w:r>
      <w:r w:rsidRPr="00201A9A">
        <w:rPr>
          <w:noProof/>
        </w:rPr>
        <w:t xml:space="preserve"> i jeg</w:t>
      </w:r>
      <w:r w:rsidR="00EC3E53" w:rsidRPr="00201A9A">
        <w:rPr>
          <w:noProof/>
        </w:rPr>
        <w:t>o wdrażanie są zgodne</w:t>
      </w:r>
      <w:r w:rsidRPr="00201A9A">
        <w:rPr>
          <w:noProof/>
        </w:rPr>
        <w:t xml:space="preserve"> z zas</w:t>
      </w:r>
      <w:r w:rsidR="00EC3E53" w:rsidRPr="00201A9A">
        <w:rPr>
          <w:noProof/>
        </w:rPr>
        <w:t>adą określoną</w:t>
      </w:r>
      <w:r w:rsidRPr="00201A9A">
        <w:rPr>
          <w:noProof/>
        </w:rPr>
        <w:t xml:space="preserve"> w art</w:t>
      </w:r>
      <w:r w:rsidR="00EC3E53" w:rsidRPr="00201A9A">
        <w:rPr>
          <w:noProof/>
        </w:rPr>
        <w:t>.</w:t>
      </w:r>
      <w:r w:rsidRPr="00201A9A">
        <w:rPr>
          <w:noProof/>
        </w:rPr>
        <w:t> </w:t>
      </w:r>
      <w:r w:rsidR="00EC3E53" w:rsidRPr="00201A9A">
        <w:rPr>
          <w:noProof/>
        </w:rPr>
        <w:t>6 ust.</w:t>
      </w:r>
      <w:r w:rsidRPr="00201A9A">
        <w:rPr>
          <w:noProof/>
        </w:rPr>
        <w:t> </w:t>
      </w:r>
      <w:r w:rsidR="00EC3E53" w:rsidRPr="00201A9A">
        <w:rPr>
          <w:noProof/>
        </w:rPr>
        <w:t>3,</w:t>
      </w:r>
      <w:r w:rsidRPr="00201A9A">
        <w:rPr>
          <w:noProof/>
        </w:rPr>
        <w:t xml:space="preserve"> w tym</w:t>
      </w:r>
      <w:r w:rsidR="00EC3E53" w:rsidRPr="00201A9A">
        <w:rPr>
          <w:noProof/>
        </w:rPr>
        <w:t xml:space="preserve"> zawiera opis praktyk ochronnych,</w:t>
      </w:r>
      <w:r w:rsidRPr="00201A9A">
        <w:rPr>
          <w:noProof/>
        </w:rPr>
        <w:t xml:space="preserve"> o któ</w:t>
      </w:r>
      <w:r w:rsidR="00EC3E53" w:rsidRPr="00201A9A">
        <w:rPr>
          <w:noProof/>
        </w:rPr>
        <w:t>rych mowa</w:t>
      </w:r>
      <w:r w:rsidRPr="00201A9A">
        <w:rPr>
          <w:noProof/>
        </w:rPr>
        <w:t xml:space="preserve"> w art</w:t>
      </w:r>
      <w:r w:rsidR="00EC3E53" w:rsidRPr="00201A9A">
        <w:rPr>
          <w:noProof/>
        </w:rPr>
        <w:t>.</w:t>
      </w:r>
      <w:r w:rsidRPr="00201A9A">
        <w:rPr>
          <w:noProof/>
        </w:rPr>
        <w:t> </w:t>
      </w:r>
      <w:r w:rsidR="00EC3E53" w:rsidRPr="00201A9A">
        <w:rPr>
          <w:noProof/>
        </w:rPr>
        <w:t>3 ust.</w:t>
      </w:r>
      <w:r w:rsidRPr="00201A9A">
        <w:rPr>
          <w:noProof/>
        </w:rPr>
        <w:t> </w:t>
      </w:r>
      <w:r w:rsidR="00EC3E53" w:rsidRPr="00201A9A">
        <w:rPr>
          <w:noProof/>
        </w:rPr>
        <w:t>4 rozporządzenia (UE) 202X/XXXX [rozporządzenie</w:t>
      </w:r>
      <w:r w:rsidRPr="00201A9A">
        <w:rPr>
          <w:noProof/>
        </w:rPr>
        <w:t xml:space="preserve"> w spr</w:t>
      </w:r>
      <w:r w:rsidR="00EC3E53" w:rsidRPr="00201A9A">
        <w:rPr>
          <w:noProof/>
        </w:rPr>
        <w:t>awie WPR], ich zakres terytorialny, opis rolników</w:t>
      </w:r>
      <w:r w:rsidRPr="00201A9A">
        <w:rPr>
          <w:noProof/>
        </w:rPr>
        <w:t xml:space="preserve"> i inn</w:t>
      </w:r>
      <w:r w:rsidR="00EC3E53" w:rsidRPr="00201A9A">
        <w:rPr>
          <w:noProof/>
        </w:rPr>
        <w:t>ych beneficjentów podlegających danej praktyce oraz podsumowanie praktyki ochronnej,</w:t>
      </w:r>
      <w:r w:rsidRPr="00201A9A">
        <w:rPr>
          <w:noProof/>
        </w:rPr>
        <w:t xml:space="preserve"> a tak</w:t>
      </w:r>
      <w:r w:rsidR="00EC3E53" w:rsidRPr="00201A9A">
        <w:rPr>
          <w:noProof/>
        </w:rPr>
        <w:t>że komplementarność między elementami odpowiedzialnego prowadzenia gospodarstwa</w:t>
      </w:r>
      <w:r w:rsidRPr="00201A9A">
        <w:rPr>
          <w:noProof/>
        </w:rPr>
        <w:t xml:space="preserve"> a odp</w:t>
      </w:r>
      <w:r w:rsidR="00EC3E53" w:rsidRPr="00201A9A">
        <w:rPr>
          <w:noProof/>
        </w:rPr>
        <w:t>owiednimi środkami wspieranymi</w:t>
      </w:r>
      <w:r w:rsidRPr="00201A9A">
        <w:rPr>
          <w:noProof/>
        </w:rPr>
        <w:t xml:space="preserve"> w ram</w:t>
      </w:r>
      <w:r w:rsidR="00EC3E53" w:rsidRPr="00201A9A">
        <w:rPr>
          <w:noProof/>
        </w:rPr>
        <w:t xml:space="preserve">ach planu PKR; </w:t>
      </w:r>
    </w:p>
    <w:p w14:paraId="6FBEAEEC" w14:textId="55C6165A" w:rsidR="008F3ED5" w:rsidRPr="00201A9A" w:rsidRDefault="00201A9A" w:rsidP="00201A9A">
      <w:pPr>
        <w:pStyle w:val="Point1"/>
        <w:rPr>
          <w:noProof/>
        </w:rPr>
      </w:pPr>
      <w:r w:rsidRPr="00201A9A">
        <w:rPr>
          <w:noProof/>
        </w:rPr>
        <w:t>k)</w:t>
      </w:r>
      <w:r w:rsidRPr="00201A9A">
        <w:rPr>
          <w:noProof/>
        </w:rPr>
        <w:tab/>
      </w:r>
      <w:r w:rsidR="005C49E8" w:rsidRPr="00201A9A">
        <w:rPr>
          <w:noProof/>
        </w:rPr>
        <w:t>wyjaśnia,</w:t>
      </w:r>
      <w:r w:rsidRPr="00201A9A">
        <w:rPr>
          <w:noProof/>
        </w:rPr>
        <w:t xml:space="preserve"> w jak</w:t>
      </w:r>
      <w:r w:rsidR="005C49E8" w:rsidRPr="00201A9A">
        <w:rPr>
          <w:noProof/>
        </w:rPr>
        <w:t>i sposób system</w:t>
      </w:r>
      <w:r w:rsidRPr="00201A9A">
        <w:rPr>
          <w:noProof/>
        </w:rPr>
        <w:t xml:space="preserve"> i ust</w:t>
      </w:r>
      <w:r w:rsidR="005C49E8" w:rsidRPr="00201A9A">
        <w:rPr>
          <w:noProof/>
        </w:rPr>
        <w:t>alenia państwa członkowskiego są wystarczające do zapewnienia regularnego, skutecznego</w:t>
      </w:r>
      <w:r w:rsidRPr="00201A9A">
        <w:rPr>
          <w:noProof/>
        </w:rPr>
        <w:t xml:space="preserve"> i wyd</w:t>
      </w:r>
      <w:r w:rsidR="005C49E8" w:rsidRPr="00201A9A">
        <w:rPr>
          <w:noProof/>
        </w:rPr>
        <w:t>ajnego wykorzystania zasobów Unii, zgodnie</w:t>
      </w:r>
      <w:r w:rsidRPr="00201A9A">
        <w:rPr>
          <w:noProof/>
        </w:rPr>
        <w:t xml:space="preserve"> z nal</w:t>
      </w:r>
      <w:r w:rsidR="005C49E8" w:rsidRPr="00201A9A">
        <w:rPr>
          <w:noProof/>
        </w:rPr>
        <w:t>eżytym zarządzaniem finansami</w:t>
      </w:r>
      <w:r w:rsidRPr="00201A9A">
        <w:rPr>
          <w:noProof/>
        </w:rPr>
        <w:t xml:space="preserve"> i och</w:t>
      </w:r>
      <w:r w:rsidR="005C49E8" w:rsidRPr="00201A9A">
        <w:rPr>
          <w:noProof/>
        </w:rPr>
        <w:t>roną interesów finansowych Unii,</w:t>
      </w:r>
      <w:r w:rsidRPr="00201A9A">
        <w:rPr>
          <w:noProof/>
        </w:rPr>
        <w:t xml:space="preserve"> w opa</w:t>
      </w:r>
      <w:r w:rsidR="005C49E8" w:rsidRPr="00201A9A">
        <w:rPr>
          <w:noProof/>
        </w:rPr>
        <w:t>rciu</w:t>
      </w:r>
      <w:r w:rsidRPr="00201A9A">
        <w:rPr>
          <w:noProof/>
        </w:rPr>
        <w:t xml:space="preserve"> o klu</w:t>
      </w:r>
      <w:r w:rsidR="005C49E8" w:rsidRPr="00201A9A">
        <w:rPr>
          <w:noProof/>
        </w:rPr>
        <w:t>czowe wymogi określone</w:t>
      </w:r>
      <w:r w:rsidRPr="00201A9A">
        <w:rPr>
          <w:noProof/>
        </w:rPr>
        <w:t xml:space="preserve"> w zał</w:t>
      </w:r>
      <w:r w:rsidR="005C49E8" w:rsidRPr="00201A9A">
        <w:rPr>
          <w:noProof/>
        </w:rPr>
        <w:t>ączniku IV [Kluczowe wymogi], wraz ze środkami mającymi na celu wyeliminowanie potencjalnych niedociągnięć;</w:t>
      </w:r>
    </w:p>
    <w:p w14:paraId="014988ED" w14:textId="0C2CB0CF" w:rsidR="008F3ED5" w:rsidRPr="00201A9A" w:rsidRDefault="00201A9A" w:rsidP="00201A9A">
      <w:pPr>
        <w:pStyle w:val="Point1"/>
        <w:rPr>
          <w:noProof/>
        </w:rPr>
      </w:pPr>
      <w:r w:rsidRPr="00201A9A">
        <w:rPr>
          <w:noProof/>
        </w:rPr>
        <w:t>l)</w:t>
      </w:r>
      <w:r w:rsidRPr="00201A9A">
        <w:rPr>
          <w:noProof/>
        </w:rPr>
        <w:tab/>
      </w:r>
      <w:r w:rsidR="005C49E8" w:rsidRPr="00201A9A">
        <w:rPr>
          <w:noProof/>
        </w:rPr>
        <w:t>obejmuje ustalenia wprowadzone</w:t>
      </w:r>
      <w:r w:rsidRPr="00201A9A">
        <w:rPr>
          <w:noProof/>
        </w:rPr>
        <w:t xml:space="preserve"> w cel</w:t>
      </w:r>
      <w:r w:rsidR="005C49E8" w:rsidRPr="00201A9A">
        <w:rPr>
          <w:noProof/>
        </w:rPr>
        <w:t>u zapewnienia, aby</w:t>
      </w:r>
      <w:r w:rsidRPr="00201A9A">
        <w:rPr>
          <w:noProof/>
        </w:rPr>
        <w:t xml:space="preserve"> w prz</w:t>
      </w:r>
      <w:r w:rsidR="005C49E8" w:rsidRPr="00201A9A">
        <w:rPr>
          <w:noProof/>
        </w:rPr>
        <w:t>ypadku przerwania biegu terminów płatności lub zawieszenia finansowania unijnego, korekt finansowych lub innych środków zapewniających ochronę interesów finansowych Unii państwa członkowskie wywiązywały się ze swoich obowiązków</w:t>
      </w:r>
      <w:r w:rsidRPr="00201A9A">
        <w:rPr>
          <w:noProof/>
        </w:rPr>
        <w:t xml:space="preserve"> w zak</w:t>
      </w:r>
      <w:r w:rsidR="005C49E8" w:rsidRPr="00201A9A">
        <w:rPr>
          <w:noProof/>
        </w:rPr>
        <w:t>resie kontynuowania płatności na rzecz beneficjentów, odbiorców, odbiorców końcowych, wykonawców</w:t>
      </w:r>
      <w:r w:rsidRPr="00201A9A">
        <w:rPr>
          <w:noProof/>
        </w:rPr>
        <w:t xml:space="preserve"> i ucz</w:t>
      </w:r>
      <w:r w:rsidR="005C49E8" w:rsidRPr="00201A9A">
        <w:rPr>
          <w:noProof/>
        </w:rPr>
        <w:t>estników;</w:t>
      </w:r>
    </w:p>
    <w:p w14:paraId="7D16A2DE" w14:textId="45D71CD0" w:rsidR="00092B9A" w:rsidRPr="00201A9A" w:rsidRDefault="00201A9A" w:rsidP="00201A9A">
      <w:pPr>
        <w:pStyle w:val="Point1"/>
        <w:rPr>
          <w:noProof/>
        </w:rPr>
      </w:pPr>
      <w:r w:rsidRPr="00201A9A">
        <w:rPr>
          <w:noProof/>
        </w:rPr>
        <w:t>m)</w:t>
      </w:r>
      <w:r w:rsidRPr="00201A9A">
        <w:rPr>
          <w:noProof/>
        </w:rPr>
        <w:tab/>
      </w:r>
      <w:r w:rsidR="005C49E8" w:rsidRPr="00201A9A">
        <w:rPr>
          <w:noProof/>
        </w:rPr>
        <w:t>w stosownych przypadkach zapewnia samoocenę bezpieczeństwa</w:t>
      </w:r>
      <w:r w:rsidRPr="00201A9A">
        <w:rPr>
          <w:noProof/>
        </w:rPr>
        <w:t xml:space="preserve"> w opa</w:t>
      </w:r>
      <w:r w:rsidR="005C49E8" w:rsidRPr="00201A9A">
        <w:rPr>
          <w:noProof/>
        </w:rPr>
        <w:t>rciu</w:t>
      </w:r>
      <w:r w:rsidRPr="00201A9A">
        <w:rPr>
          <w:noProof/>
        </w:rPr>
        <w:t xml:space="preserve"> o wsp</w:t>
      </w:r>
      <w:r w:rsidR="005C49E8" w:rsidRPr="00201A9A">
        <w:rPr>
          <w:noProof/>
        </w:rPr>
        <w:t>ólne obiektywne kryteria określające wszelkie kwestie związane</w:t>
      </w:r>
      <w:r w:rsidRPr="00201A9A">
        <w:rPr>
          <w:noProof/>
        </w:rPr>
        <w:t xml:space="preserve"> z bez</w:t>
      </w:r>
      <w:r w:rsidR="005C49E8" w:rsidRPr="00201A9A">
        <w:rPr>
          <w:noProof/>
        </w:rPr>
        <w:t>pieczeństwem oraz określające szczegółowo,</w:t>
      </w:r>
      <w:r w:rsidRPr="00201A9A">
        <w:rPr>
          <w:noProof/>
        </w:rPr>
        <w:t xml:space="preserve"> w jak</w:t>
      </w:r>
      <w:r w:rsidR="005C49E8" w:rsidRPr="00201A9A">
        <w:rPr>
          <w:noProof/>
        </w:rPr>
        <w:t>i sposób kwestie te będą rozwiązywane</w:t>
      </w:r>
      <w:r w:rsidRPr="00201A9A">
        <w:rPr>
          <w:noProof/>
        </w:rPr>
        <w:t xml:space="preserve"> w cel</w:t>
      </w:r>
      <w:r w:rsidR="005C49E8" w:rsidRPr="00201A9A">
        <w:rPr>
          <w:noProof/>
        </w:rPr>
        <w:t>u zapewnienia zgodności</w:t>
      </w:r>
      <w:r w:rsidRPr="00201A9A">
        <w:rPr>
          <w:noProof/>
        </w:rPr>
        <w:t xml:space="preserve"> z odp</w:t>
      </w:r>
      <w:r w:rsidR="005C49E8" w:rsidRPr="00201A9A">
        <w:rPr>
          <w:noProof/>
        </w:rPr>
        <w:t>owiednim mającym zastosowanie prawem;</w:t>
      </w:r>
    </w:p>
    <w:p w14:paraId="68731662" w14:textId="7A0F7275" w:rsidR="009F0D11" w:rsidRPr="00201A9A" w:rsidRDefault="00201A9A" w:rsidP="00201A9A">
      <w:pPr>
        <w:pStyle w:val="Point1"/>
        <w:rPr>
          <w:noProof/>
        </w:rPr>
      </w:pPr>
      <w:r w:rsidRPr="00201A9A">
        <w:rPr>
          <w:noProof/>
        </w:rPr>
        <w:t>n)</w:t>
      </w:r>
      <w:r w:rsidRPr="00201A9A">
        <w:rPr>
          <w:noProof/>
        </w:rPr>
        <w:tab/>
      </w:r>
      <w:r w:rsidR="009B360C" w:rsidRPr="00201A9A">
        <w:rPr>
          <w:noProof/>
        </w:rPr>
        <w:t>uzasadnia spójność planu oraz synergie</w:t>
      </w:r>
      <w:r w:rsidRPr="00201A9A">
        <w:rPr>
          <w:noProof/>
        </w:rPr>
        <w:t xml:space="preserve"> i kom</w:t>
      </w:r>
      <w:r w:rsidR="009B360C" w:rsidRPr="00201A9A">
        <w:rPr>
          <w:noProof/>
        </w:rPr>
        <w:t>plementarność między środkami wspierającymi realizację celów,</w:t>
      </w:r>
      <w:r w:rsidRPr="00201A9A">
        <w:rPr>
          <w:noProof/>
        </w:rPr>
        <w:t xml:space="preserve"> o któ</w:t>
      </w:r>
      <w:r w:rsidR="009B360C" w:rsidRPr="00201A9A">
        <w:rPr>
          <w:noProof/>
        </w:rPr>
        <w:t>rych mowa</w:t>
      </w:r>
      <w:r w:rsidRPr="00201A9A">
        <w:rPr>
          <w:noProof/>
        </w:rPr>
        <w:t xml:space="preserve"> w art</w:t>
      </w:r>
      <w:r w:rsidR="009B360C" w:rsidRPr="00201A9A">
        <w:rPr>
          <w:noProof/>
        </w:rPr>
        <w:t>.</w:t>
      </w:r>
      <w:r w:rsidRPr="00201A9A">
        <w:rPr>
          <w:noProof/>
        </w:rPr>
        <w:t> </w:t>
      </w:r>
      <w:r w:rsidR="009B360C" w:rsidRPr="00201A9A">
        <w:rPr>
          <w:noProof/>
        </w:rPr>
        <w:t>2</w:t>
      </w:r>
      <w:r w:rsidRPr="00201A9A">
        <w:rPr>
          <w:noProof/>
        </w:rPr>
        <w:t xml:space="preserve"> i 3</w:t>
      </w:r>
      <w:r w:rsidR="009B360C" w:rsidRPr="00201A9A">
        <w:rPr>
          <w:noProof/>
        </w:rPr>
        <w:t>, wraz</w:t>
      </w:r>
      <w:r w:rsidRPr="00201A9A">
        <w:rPr>
          <w:noProof/>
        </w:rPr>
        <w:t xml:space="preserve"> z opi</w:t>
      </w:r>
      <w:r w:rsidR="009B360C" w:rsidRPr="00201A9A">
        <w:rPr>
          <w:noProof/>
        </w:rPr>
        <w:t>sem sposobu zaspokojenia potrzeb więcej niż jednej grupy docelowej,</w:t>
      </w:r>
      <w:r w:rsidRPr="00201A9A">
        <w:rPr>
          <w:noProof/>
        </w:rPr>
        <w:t xml:space="preserve"> w tym</w:t>
      </w:r>
      <w:r w:rsidR="009B360C" w:rsidRPr="00201A9A">
        <w:rPr>
          <w:noProof/>
        </w:rPr>
        <w:t xml:space="preserve"> potrzeb społeczności wiejskich</w:t>
      </w:r>
      <w:r w:rsidRPr="00201A9A">
        <w:rPr>
          <w:noProof/>
        </w:rPr>
        <w:t xml:space="preserve"> i nad</w:t>
      </w:r>
      <w:r w:rsidR="009B360C" w:rsidRPr="00201A9A">
        <w:rPr>
          <w:noProof/>
        </w:rPr>
        <w:t>brzeżnych, oraz rozwiązaniami wprowadzonymi</w:t>
      </w:r>
      <w:r w:rsidRPr="00201A9A">
        <w:rPr>
          <w:noProof/>
        </w:rPr>
        <w:t xml:space="preserve"> w cel</w:t>
      </w:r>
      <w:r w:rsidR="009B360C" w:rsidRPr="00201A9A">
        <w:rPr>
          <w:noProof/>
        </w:rPr>
        <w:t>u wykorzystania takich synergii;</w:t>
      </w:r>
    </w:p>
    <w:p w14:paraId="222E9D06" w14:textId="7BE47DDA" w:rsidR="0070577A" w:rsidRPr="00201A9A" w:rsidRDefault="00201A9A" w:rsidP="00201A9A">
      <w:pPr>
        <w:pStyle w:val="Point1"/>
        <w:rPr>
          <w:noProof/>
        </w:rPr>
      </w:pPr>
      <w:bookmarkStart w:id="8" w:name="_Hlk202798599"/>
      <w:r w:rsidRPr="00201A9A">
        <w:rPr>
          <w:noProof/>
        </w:rPr>
        <w:t>o)</w:t>
      </w:r>
      <w:r w:rsidRPr="00201A9A">
        <w:rPr>
          <w:noProof/>
        </w:rPr>
        <w:tab/>
      </w:r>
      <w:r w:rsidR="009B360C" w:rsidRPr="00201A9A">
        <w:rPr>
          <w:noProof/>
        </w:rPr>
        <w:t>zapewnia samoocenę zgodności</w:t>
      </w:r>
      <w:r w:rsidRPr="00201A9A">
        <w:rPr>
          <w:noProof/>
        </w:rPr>
        <w:t xml:space="preserve"> z war</w:t>
      </w:r>
      <w:r w:rsidR="009B360C" w:rsidRPr="00201A9A">
        <w:rPr>
          <w:noProof/>
        </w:rPr>
        <w:t>unkiem horyzontalnym dotyczącym Karty,</w:t>
      </w:r>
      <w:r w:rsidRPr="00201A9A">
        <w:rPr>
          <w:noProof/>
        </w:rPr>
        <w:t xml:space="preserve"> o któ</w:t>
      </w:r>
      <w:r w:rsidR="009B360C" w:rsidRPr="00201A9A">
        <w:rPr>
          <w:noProof/>
        </w:rPr>
        <w:t>rym mowa</w:t>
      </w:r>
      <w:r w:rsidRPr="00201A9A">
        <w:rPr>
          <w:noProof/>
        </w:rPr>
        <w:t xml:space="preserve"> w art</w:t>
      </w:r>
      <w:r w:rsidR="009B360C" w:rsidRPr="00201A9A">
        <w:rPr>
          <w:noProof/>
        </w:rPr>
        <w:t>.</w:t>
      </w:r>
      <w:r w:rsidRPr="00201A9A">
        <w:rPr>
          <w:noProof/>
        </w:rPr>
        <w:t> </w:t>
      </w:r>
      <w:r w:rsidR="009B360C" w:rsidRPr="00201A9A">
        <w:rPr>
          <w:noProof/>
        </w:rPr>
        <w:t>8 [artykuł dot. Karty];</w:t>
      </w:r>
    </w:p>
    <w:p w14:paraId="714AA679" w14:textId="0F58F306" w:rsidR="00D90B5B" w:rsidRPr="00201A9A" w:rsidRDefault="00201A9A" w:rsidP="00201A9A">
      <w:pPr>
        <w:pStyle w:val="Point1"/>
        <w:rPr>
          <w:noProof/>
        </w:rPr>
      </w:pPr>
      <w:r w:rsidRPr="00201A9A">
        <w:rPr>
          <w:noProof/>
        </w:rPr>
        <w:t>p)</w:t>
      </w:r>
      <w:r w:rsidRPr="00201A9A">
        <w:rPr>
          <w:noProof/>
        </w:rPr>
        <w:tab/>
      </w:r>
      <w:r w:rsidR="009B360C" w:rsidRPr="00201A9A">
        <w:rPr>
          <w:noProof/>
        </w:rPr>
        <w:t>określa sposób,</w:t>
      </w:r>
      <w:r w:rsidRPr="00201A9A">
        <w:rPr>
          <w:noProof/>
        </w:rPr>
        <w:t xml:space="preserve"> w jak</w:t>
      </w:r>
      <w:r w:rsidR="009B360C" w:rsidRPr="00201A9A">
        <w:rPr>
          <w:noProof/>
        </w:rPr>
        <w:t>i plan</w:t>
      </w:r>
      <w:r w:rsidRPr="00201A9A">
        <w:rPr>
          <w:noProof/>
        </w:rPr>
        <w:t xml:space="preserve"> i jeg</w:t>
      </w:r>
      <w:r w:rsidR="009B360C" w:rsidRPr="00201A9A">
        <w:rPr>
          <w:noProof/>
        </w:rPr>
        <w:t>o przewidywane wdrożenie zapewnią przestrzeganie warunku horyzontalnego dotyczącego państwa prawnego,</w:t>
      </w:r>
      <w:r w:rsidRPr="00201A9A">
        <w:rPr>
          <w:noProof/>
        </w:rPr>
        <w:t xml:space="preserve"> o któ</w:t>
      </w:r>
      <w:r w:rsidR="009B360C" w:rsidRPr="00201A9A">
        <w:rPr>
          <w:noProof/>
        </w:rPr>
        <w:t>rym mowa</w:t>
      </w:r>
      <w:r w:rsidRPr="00201A9A">
        <w:rPr>
          <w:noProof/>
        </w:rPr>
        <w:t xml:space="preserve"> w art</w:t>
      </w:r>
      <w:r w:rsidR="009B360C" w:rsidRPr="00201A9A">
        <w:rPr>
          <w:noProof/>
        </w:rPr>
        <w:t>.</w:t>
      </w:r>
      <w:r w:rsidRPr="00201A9A">
        <w:rPr>
          <w:noProof/>
        </w:rPr>
        <w:t> </w:t>
      </w:r>
      <w:r w:rsidR="009B360C" w:rsidRPr="00201A9A">
        <w:rPr>
          <w:noProof/>
        </w:rPr>
        <w:t>9 [Warunek horyzontalny dotyczący państwa prawnego],</w:t>
      </w:r>
      <w:r w:rsidRPr="00201A9A">
        <w:rPr>
          <w:noProof/>
        </w:rPr>
        <w:t xml:space="preserve"> w tym</w:t>
      </w:r>
      <w:r w:rsidR="009B360C" w:rsidRPr="00201A9A">
        <w:rPr>
          <w:noProof/>
        </w:rPr>
        <w:t xml:space="preserve"> działań następczych podjętych</w:t>
      </w:r>
      <w:r w:rsidRPr="00201A9A">
        <w:rPr>
          <w:noProof/>
        </w:rPr>
        <w:t xml:space="preserve"> w zwi</w:t>
      </w:r>
      <w:r w:rsidR="009B360C" w:rsidRPr="00201A9A">
        <w:rPr>
          <w:noProof/>
        </w:rPr>
        <w:t>ązku</w:t>
      </w:r>
      <w:r w:rsidRPr="00201A9A">
        <w:rPr>
          <w:noProof/>
        </w:rPr>
        <w:t xml:space="preserve"> z zal</w:t>
      </w:r>
      <w:r w:rsidR="009B360C" w:rsidRPr="00201A9A">
        <w:rPr>
          <w:noProof/>
        </w:rPr>
        <w:t>eceniami dla poszczególnych krajów wydanymi</w:t>
      </w:r>
      <w:r w:rsidRPr="00201A9A">
        <w:rPr>
          <w:noProof/>
        </w:rPr>
        <w:t xml:space="preserve"> w ram</w:t>
      </w:r>
      <w:r w:rsidR="009B360C" w:rsidRPr="00201A9A">
        <w:rPr>
          <w:noProof/>
        </w:rPr>
        <w:t>ach ostatniego sprawozdania na temat praworządności</w:t>
      </w:r>
      <w:r w:rsidRPr="00201A9A">
        <w:rPr>
          <w:noProof/>
        </w:rPr>
        <w:t xml:space="preserve"> i eur</w:t>
      </w:r>
      <w:r w:rsidR="009B360C" w:rsidRPr="00201A9A">
        <w:rPr>
          <w:noProof/>
        </w:rPr>
        <w:t>opejskiego semestru, wraz ze środkami mającymi na celu sprostanie tym zidentyfikowanym wyzwaniom specyficznym dla danego kraju;</w:t>
      </w:r>
    </w:p>
    <w:bookmarkEnd w:id="8"/>
    <w:p w14:paraId="57E1721B" w14:textId="578D6563" w:rsidR="005F6BBC" w:rsidRPr="00201A9A" w:rsidRDefault="00201A9A" w:rsidP="00201A9A">
      <w:pPr>
        <w:pStyle w:val="Point1"/>
        <w:rPr>
          <w:noProof/>
        </w:rPr>
      </w:pPr>
      <w:r w:rsidRPr="00201A9A">
        <w:rPr>
          <w:noProof/>
        </w:rPr>
        <w:t>q)</w:t>
      </w:r>
      <w:r w:rsidRPr="00201A9A">
        <w:rPr>
          <w:noProof/>
        </w:rPr>
        <w:tab/>
      </w:r>
      <w:r w:rsidR="009B360C" w:rsidRPr="00201A9A">
        <w:rPr>
          <w:noProof/>
        </w:rPr>
        <w:t>zapewnia, aby plan PKR przyczyniał się do realizacji celów społecznych Unii. Na realizację tych celów przeznacza się co najmniej 14</w:t>
      </w:r>
      <w:r w:rsidRPr="00201A9A">
        <w:rPr>
          <w:noProof/>
        </w:rPr>
        <w:t> </w:t>
      </w:r>
      <w:r w:rsidR="009B360C" w:rsidRPr="00201A9A">
        <w:rPr>
          <w:noProof/>
        </w:rPr>
        <w:t>% całkowitego wkładu Unii</w:t>
      </w:r>
      <w:r w:rsidRPr="00201A9A">
        <w:rPr>
          <w:noProof/>
        </w:rPr>
        <w:t xml:space="preserve"> i poż</w:t>
      </w:r>
      <w:r w:rsidR="009B360C" w:rsidRPr="00201A9A">
        <w:rPr>
          <w:noProof/>
        </w:rPr>
        <w:t>yczek, obliczonych przy użyciu współczynników,</w:t>
      </w:r>
      <w:r w:rsidRPr="00201A9A">
        <w:rPr>
          <w:noProof/>
        </w:rPr>
        <w:t xml:space="preserve"> o któ</w:t>
      </w:r>
      <w:r w:rsidR="009B360C" w:rsidRPr="00201A9A">
        <w:rPr>
          <w:noProof/>
        </w:rPr>
        <w:t>rych mowa</w:t>
      </w:r>
      <w:r w:rsidRPr="00201A9A">
        <w:rPr>
          <w:noProof/>
        </w:rPr>
        <w:t xml:space="preserve"> w art</w:t>
      </w:r>
      <w:r w:rsidR="009B360C" w:rsidRPr="00201A9A">
        <w:rPr>
          <w:noProof/>
        </w:rPr>
        <w:t>.</w:t>
      </w:r>
      <w:r w:rsidRPr="00201A9A">
        <w:rPr>
          <w:noProof/>
        </w:rPr>
        <w:t> </w:t>
      </w:r>
      <w:r w:rsidR="009B360C" w:rsidRPr="00201A9A">
        <w:rPr>
          <w:noProof/>
        </w:rPr>
        <w:t>6 ust.</w:t>
      </w:r>
      <w:r w:rsidRPr="00201A9A">
        <w:rPr>
          <w:noProof/>
        </w:rPr>
        <w:t> </w:t>
      </w:r>
      <w:r w:rsidR="009B360C" w:rsidRPr="00201A9A">
        <w:rPr>
          <w:noProof/>
        </w:rPr>
        <w:t>1 rozporządzenia (UE).../... [rozporządzenie</w:t>
      </w:r>
      <w:r w:rsidRPr="00201A9A">
        <w:rPr>
          <w:noProof/>
        </w:rPr>
        <w:t xml:space="preserve"> w spr</w:t>
      </w:r>
      <w:r w:rsidR="009B360C" w:rsidRPr="00201A9A">
        <w:rPr>
          <w:noProof/>
        </w:rPr>
        <w:t>awie wykonania]</w:t>
      </w:r>
      <w:r w:rsidRPr="00201A9A">
        <w:rPr>
          <w:noProof/>
        </w:rPr>
        <w:t>. Z pod</w:t>
      </w:r>
      <w:r w:rsidR="009B360C" w:rsidRPr="00201A9A">
        <w:rPr>
          <w:noProof/>
        </w:rPr>
        <w:t>stawy obliczania tej minimalnej alokacji wyłącza się kwotę określoną</w:t>
      </w:r>
      <w:r w:rsidRPr="00201A9A">
        <w:rPr>
          <w:noProof/>
        </w:rPr>
        <w:t xml:space="preserve"> w art</w:t>
      </w:r>
      <w:r w:rsidR="009B360C" w:rsidRPr="00201A9A">
        <w:rPr>
          <w:noProof/>
        </w:rPr>
        <w:t>.</w:t>
      </w:r>
      <w:r w:rsidRPr="00201A9A">
        <w:rPr>
          <w:noProof/>
        </w:rPr>
        <w:t> </w:t>
      </w:r>
      <w:r w:rsidR="009B360C" w:rsidRPr="00201A9A">
        <w:rPr>
          <w:noProof/>
        </w:rPr>
        <w:t>10 ust.</w:t>
      </w:r>
      <w:r w:rsidRPr="00201A9A">
        <w:rPr>
          <w:noProof/>
        </w:rPr>
        <w:t> </w:t>
      </w:r>
      <w:r w:rsidR="009B360C" w:rsidRPr="00201A9A">
        <w:rPr>
          <w:noProof/>
        </w:rPr>
        <w:t>2 lit.</w:t>
      </w:r>
      <w:r w:rsidRPr="00201A9A">
        <w:rPr>
          <w:noProof/>
        </w:rPr>
        <w:t> </w:t>
      </w:r>
      <w:r w:rsidR="009B360C" w:rsidRPr="00201A9A">
        <w:rPr>
          <w:noProof/>
        </w:rPr>
        <w:t>a) pkt (ii),</w:t>
      </w:r>
      <w:r w:rsidRPr="00201A9A">
        <w:rPr>
          <w:noProof/>
        </w:rPr>
        <w:t xml:space="preserve"> a tak</w:t>
      </w:r>
      <w:r w:rsidR="009B360C" w:rsidRPr="00201A9A">
        <w:rPr>
          <w:noProof/>
        </w:rPr>
        <w:t>że zewnętrzne dochody przeznaczone na określony cel ze Społecznego Funduszu Klimatycznego;</w:t>
      </w:r>
    </w:p>
    <w:p w14:paraId="7EE36346" w14:textId="566EA2E3" w:rsidR="00A874F9" w:rsidRPr="00201A9A" w:rsidRDefault="00201A9A" w:rsidP="00201A9A">
      <w:pPr>
        <w:pStyle w:val="Point1"/>
        <w:rPr>
          <w:noProof/>
        </w:rPr>
      </w:pPr>
      <w:r w:rsidRPr="00201A9A">
        <w:rPr>
          <w:noProof/>
        </w:rPr>
        <w:t>r)</w:t>
      </w:r>
      <w:r w:rsidRPr="00201A9A">
        <w:rPr>
          <w:noProof/>
        </w:rPr>
        <w:tab/>
      </w:r>
      <w:r w:rsidR="00A874F9" w:rsidRPr="00201A9A">
        <w:rPr>
          <w:noProof/>
        </w:rPr>
        <w:t>zapewnia, aby plan PKR przyczyniał się do realizacji unijnych celów klimatycznych</w:t>
      </w:r>
      <w:r w:rsidRPr="00201A9A">
        <w:rPr>
          <w:noProof/>
        </w:rPr>
        <w:t xml:space="preserve"> i śro</w:t>
      </w:r>
      <w:r w:rsidR="00A874F9" w:rsidRPr="00201A9A">
        <w:rPr>
          <w:noProof/>
        </w:rPr>
        <w:t>dowiskowych. Minimalny odsetek całkowitego przydziału unijnego</w:t>
      </w:r>
      <w:r w:rsidRPr="00201A9A">
        <w:rPr>
          <w:noProof/>
        </w:rPr>
        <w:t xml:space="preserve"> w ram</w:t>
      </w:r>
      <w:r w:rsidR="00A874F9" w:rsidRPr="00201A9A">
        <w:rPr>
          <w:noProof/>
        </w:rPr>
        <w:t>ach planu PKR przeznacza się na osiągnięcie tych celów, co odpowiada konkretnej wartości docelowej</w:t>
      </w:r>
      <w:r w:rsidRPr="00201A9A">
        <w:rPr>
          <w:noProof/>
        </w:rPr>
        <w:t xml:space="preserve"> w zak</w:t>
      </w:r>
      <w:r w:rsidR="00A874F9" w:rsidRPr="00201A9A">
        <w:rPr>
          <w:noProof/>
        </w:rPr>
        <w:t>resie wydatków na klimat</w:t>
      </w:r>
      <w:r w:rsidRPr="00201A9A">
        <w:rPr>
          <w:noProof/>
        </w:rPr>
        <w:t xml:space="preserve"> i śro</w:t>
      </w:r>
      <w:r w:rsidR="00A874F9" w:rsidRPr="00201A9A">
        <w:rPr>
          <w:noProof/>
        </w:rPr>
        <w:t>dowisko,</w:t>
      </w:r>
      <w:r w:rsidRPr="00201A9A">
        <w:rPr>
          <w:noProof/>
        </w:rPr>
        <w:t xml:space="preserve"> o któ</w:t>
      </w:r>
      <w:r w:rsidR="00A874F9" w:rsidRPr="00201A9A">
        <w:rPr>
          <w:noProof/>
        </w:rPr>
        <w:t>rej mowa</w:t>
      </w:r>
      <w:r w:rsidRPr="00201A9A">
        <w:rPr>
          <w:noProof/>
        </w:rPr>
        <w:t xml:space="preserve"> w zał</w:t>
      </w:r>
      <w:r w:rsidR="00A874F9" w:rsidRPr="00201A9A">
        <w:rPr>
          <w:noProof/>
        </w:rPr>
        <w:t>ączniku III do rozporządzenia (UE).../... [rozporządzenie</w:t>
      </w:r>
      <w:r w:rsidRPr="00201A9A">
        <w:rPr>
          <w:noProof/>
        </w:rPr>
        <w:t xml:space="preserve"> w spr</w:t>
      </w:r>
      <w:r w:rsidR="00A874F9" w:rsidRPr="00201A9A">
        <w:rPr>
          <w:noProof/>
        </w:rPr>
        <w:t>awie wykonania].</w:t>
      </w:r>
    </w:p>
    <w:p w14:paraId="74648317" w14:textId="0BF1AF22" w:rsidR="00A874F9" w:rsidRPr="00201A9A" w:rsidRDefault="00A874F9" w:rsidP="004E0CDA">
      <w:pPr>
        <w:pStyle w:val="Text1"/>
        <w:rPr>
          <w:noProof/>
        </w:rPr>
      </w:pPr>
      <w:r w:rsidRPr="00201A9A">
        <w:rPr>
          <w:noProof/>
        </w:rPr>
        <w:t>Na zasadzie odstępstwa od ust.</w:t>
      </w:r>
      <w:r w:rsidR="00201A9A" w:rsidRPr="00201A9A">
        <w:rPr>
          <w:noProof/>
        </w:rPr>
        <w:t> </w:t>
      </w:r>
      <w:r w:rsidRPr="00201A9A">
        <w:rPr>
          <w:noProof/>
        </w:rPr>
        <w:t>1 Komisja może zwrócić się do państw członkowskich</w:t>
      </w:r>
      <w:r w:rsidR="00201A9A" w:rsidRPr="00201A9A">
        <w:rPr>
          <w:noProof/>
        </w:rPr>
        <w:t xml:space="preserve"> o wni</w:t>
      </w:r>
      <w:r w:rsidRPr="00201A9A">
        <w:rPr>
          <w:noProof/>
        </w:rPr>
        <w:t>esienie wkładu</w:t>
      </w:r>
      <w:r w:rsidR="00201A9A" w:rsidRPr="00201A9A">
        <w:rPr>
          <w:noProof/>
        </w:rPr>
        <w:t xml:space="preserve"> w niż</w:t>
      </w:r>
      <w:r w:rsidRPr="00201A9A">
        <w:rPr>
          <w:noProof/>
        </w:rPr>
        <w:t>szy lub wyższy minimalny odsetek całkowitej alokacji</w:t>
      </w:r>
      <w:r w:rsidR="00201A9A" w:rsidRPr="00201A9A">
        <w:rPr>
          <w:noProof/>
        </w:rPr>
        <w:t xml:space="preserve"> w ram</w:t>
      </w:r>
      <w:r w:rsidRPr="00201A9A">
        <w:rPr>
          <w:noProof/>
        </w:rPr>
        <w:t>ach planu na cele klimatyczne</w:t>
      </w:r>
      <w:r w:rsidR="00201A9A" w:rsidRPr="00201A9A">
        <w:rPr>
          <w:noProof/>
        </w:rPr>
        <w:t xml:space="preserve"> i śro</w:t>
      </w:r>
      <w:r w:rsidRPr="00201A9A">
        <w:rPr>
          <w:noProof/>
        </w:rPr>
        <w:t>dowiskowe. Komisja ustala konkretną wartość procentową przy okazji zatwierdzania planu PKR.</w:t>
      </w:r>
    </w:p>
    <w:p w14:paraId="4F060390" w14:textId="5F8DCCEC" w:rsidR="00A874F9" w:rsidRPr="00201A9A" w:rsidRDefault="00A874F9" w:rsidP="004E0CDA">
      <w:pPr>
        <w:pStyle w:val="Text1"/>
        <w:rPr>
          <w:noProof/>
        </w:rPr>
      </w:pPr>
      <w:r w:rsidRPr="00201A9A">
        <w:rPr>
          <w:noProof/>
        </w:rPr>
        <w:t>Przy ustalaniu tej wartości procentowej uwzględnia się dokonaną przez Komisję ocenę postępów</w:t>
      </w:r>
      <w:r w:rsidR="00201A9A" w:rsidRPr="00201A9A">
        <w:rPr>
          <w:noProof/>
        </w:rPr>
        <w:t xml:space="preserve"> i pro</w:t>
      </w:r>
      <w:r w:rsidRPr="00201A9A">
        <w:rPr>
          <w:noProof/>
        </w:rPr>
        <w:t>gnozowanej trajektorii państwa członkowskiego na drodze do osiągnięcia celów określonych</w:t>
      </w:r>
      <w:r w:rsidR="00201A9A" w:rsidRPr="00201A9A">
        <w:rPr>
          <w:noProof/>
        </w:rPr>
        <w:t xml:space="preserve"> w roz</w:t>
      </w:r>
      <w:r w:rsidRPr="00201A9A">
        <w:rPr>
          <w:noProof/>
        </w:rPr>
        <w:t>porządzeniu (UE) 2018/842 (rozporządzenie</w:t>
      </w:r>
      <w:r w:rsidR="00201A9A" w:rsidRPr="00201A9A">
        <w:rPr>
          <w:noProof/>
        </w:rPr>
        <w:t xml:space="preserve"> w spr</w:t>
      </w:r>
      <w:r w:rsidRPr="00201A9A">
        <w:rPr>
          <w:noProof/>
        </w:rPr>
        <w:t>awie wspólnego wysiłku redukcyjnego), jak wyszczególniono</w:t>
      </w:r>
      <w:r w:rsidR="00201A9A" w:rsidRPr="00201A9A">
        <w:rPr>
          <w:noProof/>
        </w:rPr>
        <w:t xml:space="preserve"> w naj</w:t>
      </w:r>
      <w:r w:rsidRPr="00201A9A">
        <w:rPr>
          <w:noProof/>
        </w:rPr>
        <w:t>nowszej ocenie krajowego planu</w:t>
      </w:r>
      <w:r w:rsidR="00201A9A" w:rsidRPr="00201A9A">
        <w:rPr>
          <w:noProof/>
        </w:rPr>
        <w:t xml:space="preserve"> w dzi</w:t>
      </w:r>
      <w:r w:rsidRPr="00201A9A">
        <w:rPr>
          <w:noProof/>
        </w:rPr>
        <w:t>edzinie energii</w:t>
      </w:r>
      <w:r w:rsidR="00201A9A" w:rsidRPr="00201A9A">
        <w:rPr>
          <w:noProof/>
        </w:rPr>
        <w:t xml:space="preserve"> i kli</w:t>
      </w:r>
      <w:r w:rsidRPr="00201A9A">
        <w:rPr>
          <w:noProof/>
        </w:rPr>
        <w:t>matu, oraz ich wartości docelowe na podstawie rozporządzenia (UE) 2024/1991 (rozporządzenie</w:t>
      </w:r>
      <w:r w:rsidR="00201A9A" w:rsidRPr="00201A9A">
        <w:rPr>
          <w:noProof/>
        </w:rPr>
        <w:t xml:space="preserve"> o odb</w:t>
      </w:r>
      <w:r w:rsidRPr="00201A9A">
        <w:rPr>
          <w:noProof/>
        </w:rPr>
        <w:t>udowie zasobów przyrodniczych) zgodnie</w:t>
      </w:r>
      <w:r w:rsidR="00201A9A" w:rsidRPr="00201A9A">
        <w:rPr>
          <w:noProof/>
        </w:rPr>
        <w:t xml:space="preserve"> z kra</w:t>
      </w:r>
      <w:r w:rsidRPr="00201A9A">
        <w:rPr>
          <w:noProof/>
        </w:rPr>
        <w:t>jowymi planami odbudowy zasobów przyrodniczych.</w:t>
      </w:r>
    </w:p>
    <w:p w14:paraId="34C38F0B" w14:textId="4522497E" w:rsidR="000F7B8B" w:rsidRPr="00201A9A" w:rsidRDefault="00CB12A6" w:rsidP="003E2902">
      <w:pPr>
        <w:pStyle w:val="NumPar10000000"/>
        <w:numPr>
          <w:ilvl w:val="0"/>
          <w:numId w:val="38"/>
        </w:numPr>
        <w:rPr>
          <w:noProof/>
        </w:rPr>
      </w:pPr>
      <w:r w:rsidRPr="00201A9A">
        <w:rPr>
          <w:noProof/>
        </w:rPr>
        <w:t>Komisja jest uprawniona do przyjmowania aktów delegowanych zgodnie</w:t>
      </w:r>
      <w:r w:rsidR="00201A9A" w:rsidRPr="00201A9A">
        <w:rPr>
          <w:noProof/>
        </w:rPr>
        <w:t xml:space="preserve"> z art</w:t>
      </w:r>
      <w:r w:rsidRPr="00201A9A">
        <w:rPr>
          <w:noProof/>
        </w:rPr>
        <w:t>.</w:t>
      </w:r>
      <w:r w:rsidR="00201A9A" w:rsidRPr="00201A9A">
        <w:rPr>
          <w:noProof/>
        </w:rPr>
        <w:t> </w:t>
      </w:r>
      <w:r w:rsidRPr="00201A9A">
        <w:rPr>
          <w:noProof/>
        </w:rPr>
        <w:t>87 [Wykonywanie przekazanych uprawnień]</w:t>
      </w:r>
      <w:r w:rsidR="00201A9A" w:rsidRPr="00201A9A">
        <w:rPr>
          <w:noProof/>
        </w:rPr>
        <w:t xml:space="preserve"> w cel</w:t>
      </w:r>
      <w:r w:rsidRPr="00201A9A">
        <w:rPr>
          <w:noProof/>
        </w:rPr>
        <w:t>u zmiany wzoru określonego</w:t>
      </w:r>
      <w:r w:rsidR="00201A9A" w:rsidRPr="00201A9A">
        <w:rPr>
          <w:noProof/>
        </w:rPr>
        <w:t xml:space="preserve"> w zał</w:t>
      </w:r>
      <w:r w:rsidRPr="00201A9A">
        <w:rPr>
          <w:noProof/>
        </w:rPr>
        <w:t>ączniku V.</w:t>
      </w:r>
    </w:p>
    <w:p w14:paraId="4D5369C5" w14:textId="1FA4871D" w:rsidR="00911AC6" w:rsidRPr="00201A9A" w:rsidRDefault="00004723" w:rsidP="009F0A87">
      <w:pPr>
        <w:pStyle w:val="Titrearticle"/>
        <w:rPr>
          <w:noProof/>
        </w:rPr>
      </w:pPr>
      <w:r w:rsidRPr="00201A9A">
        <w:rPr>
          <w:noProof/>
        </w:rPr>
        <w:t xml:space="preserve">Artykuł 23 </w:t>
      </w:r>
      <w:r w:rsidRPr="00201A9A">
        <w:rPr>
          <w:noProof/>
        </w:rPr>
        <w:br/>
      </w:r>
      <w:r w:rsidRPr="00201A9A">
        <w:rPr>
          <w:b/>
          <w:noProof/>
        </w:rPr>
        <w:t>Wniosek Komisji</w:t>
      </w:r>
      <w:r w:rsidR="00201A9A" w:rsidRPr="00201A9A">
        <w:rPr>
          <w:b/>
          <w:noProof/>
        </w:rPr>
        <w:t xml:space="preserve"> i dec</w:t>
      </w:r>
      <w:r w:rsidRPr="00201A9A">
        <w:rPr>
          <w:b/>
          <w:noProof/>
        </w:rPr>
        <w:t>yzja wykonawcza Rady</w:t>
      </w:r>
    </w:p>
    <w:p w14:paraId="140D7D11" w14:textId="39702415" w:rsidR="00911AC6" w:rsidRPr="00201A9A" w:rsidRDefault="005C49E8" w:rsidP="003E2902">
      <w:pPr>
        <w:pStyle w:val="NumPar10000000"/>
        <w:numPr>
          <w:ilvl w:val="0"/>
          <w:numId w:val="86"/>
        </w:numPr>
        <w:rPr>
          <w:noProof/>
        </w:rPr>
      </w:pPr>
      <w:r w:rsidRPr="00201A9A">
        <w:rPr>
          <w:noProof/>
        </w:rPr>
        <w:t>Komisja ocenia plan lub zmieniony plan przedłożony przez państwo członkowskie</w:t>
      </w:r>
      <w:r w:rsidR="00201A9A" w:rsidRPr="00201A9A">
        <w:rPr>
          <w:noProof/>
        </w:rPr>
        <w:t xml:space="preserve"> i jeg</w:t>
      </w:r>
      <w:r w:rsidRPr="00201A9A">
        <w:rPr>
          <w:noProof/>
        </w:rPr>
        <w:t>o zgodność</w:t>
      </w:r>
      <w:r w:rsidR="00201A9A" w:rsidRPr="00201A9A">
        <w:rPr>
          <w:noProof/>
        </w:rPr>
        <w:t xml:space="preserve"> z nin</w:t>
      </w:r>
      <w:r w:rsidRPr="00201A9A">
        <w:rPr>
          <w:noProof/>
        </w:rPr>
        <w:t>iejszym rozporządzeniem</w:t>
      </w:r>
      <w:r w:rsidR="00201A9A" w:rsidRPr="00201A9A">
        <w:rPr>
          <w:noProof/>
        </w:rPr>
        <w:t xml:space="preserve"> w ter</w:t>
      </w:r>
      <w:r w:rsidRPr="00201A9A">
        <w:rPr>
          <w:noProof/>
        </w:rPr>
        <w:t>minie czterech miesięcy od jego przedłożenia</w:t>
      </w:r>
      <w:r w:rsidR="00201A9A" w:rsidRPr="00201A9A">
        <w:rPr>
          <w:noProof/>
        </w:rPr>
        <w:t xml:space="preserve"> i prz</w:t>
      </w:r>
      <w:r w:rsidRPr="00201A9A">
        <w:rPr>
          <w:noProof/>
        </w:rPr>
        <w:t>edstawia wniosek dotyczący decyzji wykonawczej Rady. Przeprowadzając ocenę, Komisja zapewnia zgodność planu PKR ze wszystkimi wymogami określonymi</w:t>
      </w:r>
      <w:r w:rsidR="00201A9A" w:rsidRPr="00201A9A">
        <w:rPr>
          <w:noProof/>
        </w:rPr>
        <w:t xml:space="preserve"> w nin</w:t>
      </w:r>
      <w:r w:rsidRPr="00201A9A">
        <w:rPr>
          <w:noProof/>
        </w:rPr>
        <w:t>iejszym rozporządzeniu,</w:t>
      </w:r>
      <w:r w:rsidR="00201A9A" w:rsidRPr="00201A9A">
        <w:rPr>
          <w:noProof/>
        </w:rPr>
        <w:t xml:space="preserve"> w szc</w:t>
      </w:r>
      <w:r w:rsidRPr="00201A9A">
        <w:rPr>
          <w:noProof/>
        </w:rPr>
        <w:t>zególności</w:t>
      </w:r>
      <w:r w:rsidR="00201A9A" w:rsidRPr="00201A9A">
        <w:rPr>
          <w:noProof/>
        </w:rPr>
        <w:t xml:space="preserve"> w art</w:t>
      </w:r>
      <w:r w:rsidRPr="00201A9A">
        <w:rPr>
          <w:noProof/>
        </w:rPr>
        <w:t>.</w:t>
      </w:r>
      <w:r w:rsidR="00201A9A" w:rsidRPr="00201A9A">
        <w:rPr>
          <w:noProof/>
        </w:rPr>
        <w:t> </w:t>
      </w:r>
      <w:r w:rsidRPr="00201A9A">
        <w:rPr>
          <w:noProof/>
        </w:rPr>
        <w:t>22.</w:t>
      </w:r>
      <w:r w:rsidR="00201A9A" w:rsidRPr="00201A9A">
        <w:rPr>
          <w:noProof/>
        </w:rPr>
        <w:t xml:space="preserve"> </w:t>
      </w:r>
    </w:p>
    <w:p w14:paraId="6483A820" w14:textId="03453811" w:rsidR="00911AC6" w:rsidRPr="00201A9A" w:rsidRDefault="005C49E8" w:rsidP="003E2902">
      <w:pPr>
        <w:pStyle w:val="NumPar10000000"/>
        <w:numPr>
          <w:ilvl w:val="0"/>
          <w:numId w:val="79"/>
        </w:numPr>
        <w:rPr>
          <w:noProof/>
        </w:rPr>
      </w:pPr>
      <w:r w:rsidRPr="00201A9A">
        <w:rPr>
          <w:noProof/>
        </w:rPr>
        <w:t>Komisja może przedstawić uwagi państwom członkowskim</w:t>
      </w:r>
      <w:r w:rsidR="00201A9A" w:rsidRPr="00201A9A">
        <w:rPr>
          <w:noProof/>
        </w:rPr>
        <w:t xml:space="preserve"> i zwr</w:t>
      </w:r>
      <w:r w:rsidRPr="00201A9A">
        <w:rPr>
          <w:noProof/>
        </w:rPr>
        <w:t>ócić się</w:t>
      </w:r>
      <w:r w:rsidR="00201A9A" w:rsidRPr="00201A9A">
        <w:rPr>
          <w:noProof/>
        </w:rPr>
        <w:t xml:space="preserve"> o dod</w:t>
      </w:r>
      <w:r w:rsidRPr="00201A9A">
        <w:rPr>
          <w:noProof/>
        </w:rPr>
        <w:t xml:space="preserve">atkowe informacje. </w:t>
      </w:r>
    </w:p>
    <w:p w14:paraId="29D5C13F" w14:textId="1A1FFAB2" w:rsidR="00911AC6" w:rsidRPr="00201A9A" w:rsidRDefault="005C49E8" w:rsidP="00911AC6">
      <w:pPr>
        <w:pStyle w:val="Text1"/>
        <w:rPr>
          <w:noProof/>
        </w:rPr>
      </w:pPr>
      <w:r w:rsidRPr="00201A9A">
        <w:rPr>
          <w:noProof/>
        </w:rPr>
        <w:t>W należycie uzasadnionych przypadkach Komisja może zwrócić się</w:t>
      </w:r>
      <w:r w:rsidR="00201A9A" w:rsidRPr="00201A9A">
        <w:rPr>
          <w:noProof/>
        </w:rPr>
        <w:t xml:space="preserve"> o włą</w:t>
      </w:r>
      <w:r w:rsidRPr="00201A9A">
        <w:rPr>
          <w:noProof/>
        </w:rPr>
        <w:t>czenie dodatkowych środków lub</w:t>
      </w:r>
      <w:r w:rsidR="00201A9A" w:rsidRPr="00201A9A">
        <w:rPr>
          <w:noProof/>
        </w:rPr>
        <w:t xml:space="preserve"> o zmi</w:t>
      </w:r>
      <w:r w:rsidRPr="00201A9A">
        <w:rPr>
          <w:noProof/>
        </w:rPr>
        <w:t>anę środków zaproponowanych przez państwo członkowskie.</w:t>
      </w:r>
    </w:p>
    <w:p w14:paraId="08635DC4" w14:textId="6AF8D6D5" w:rsidR="00911AC6" w:rsidRPr="00201A9A" w:rsidRDefault="005C49E8" w:rsidP="00911AC6">
      <w:pPr>
        <w:pStyle w:val="Text1"/>
        <w:rPr>
          <w:noProof/>
        </w:rPr>
      </w:pPr>
      <w:r w:rsidRPr="00201A9A">
        <w:rPr>
          <w:noProof/>
        </w:rPr>
        <w:t>Państwo członkowskie przekazuje wymagane dodatkowe informacje oraz,</w:t>
      </w:r>
      <w:r w:rsidR="00201A9A" w:rsidRPr="00201A9A">
        <w:rPr>
          <w:noProof/>
        </w:rPr>
        <w:t xml:space="preserve"> w raz</w:t>
      </w:r>
      <w:r w:rsidRPr="00201A9A">
        <w:rPr>
          <w:noProof/>
        </w:rPr>
        <w:t>ie potrzeby, dokonuje przeglądu swojego planu, uwzględniając uwagi</w:t>
      </w:r>
      <w:r w:rsidR="00201A9A" w:rsidRPr="00201A9A">
        <w:rPr>
          <w:noProof/>
        </w:rPr>
        <w:t xml:space="preserve"> i wni</w:t>
      </w:r>
      <w:r w:rsidRPr="00201A9A">
        <w:rPr>
          <w:noProof/>
        </w:rPr>
        <w:t>oski Komisji. Bieg terminu określonego</w:t>
      </w:r>
      <w:r w:rsidR="00201A9A" w:rsidRPr="00201A9A">
        <w:rPr>
          <w:noProof/>
        </w:rPr>
        <w:t xml:space="preserve"> w ust</w:t>
      </w:r>
      <w:r w:rsidRPr="00201A9A">
        <w:rPr>
          <w:noProof/>
        </w:rPr>
        <w:t>.</w:t>
      </w:r>
      <w:r w:rsidR="00201A9A" w:rsidRPr="00201A9A">
        <w:rPr>
          <w:noProof/>
        </w:rPr>
        <w:t> </w:t>
      </w:r>
      <w:r w:rsidRPr="00201A9A">
        <w:rPr>
          <w:noProof/>
        </w:rPr>
        <w:t>1 przerywa się</w:t>
      </w:r>
      <w:r w:rsidR="00201A9A" w:rsidRPr="00201A9A">
        <w:rPr>
          <w:noProof/>
        </w:rPr>
        <w:t xml:space="preserve"> w dni</w:t>
      </w:r>
      <w:r w:rsidRPr="00201A9A">
        <w:rPr>
          <w:noProof/>
        </w:rPr>
        <w:t>u roboczym następującym po dniu,</w:t>
      </w:r>
      <w:r w:rsidR="00201A9A" w:rsidRPr="00201A9A">
        <w:rPr>
          <w:noProof/>
        </w:rPr>
        <w:t xml:space="preserve"> w któ</w:t>
      </w:r>
      <w:r w:rsidRPr="00201A9A">
        <w:rPr>
          <w:noProof/>
        </w:rPr>
        <w:t>rym Komisja wyśle do państwa członkowskiego swoje uwagi lub wniosek</w:t>
      </w:r>
      <w:r w:rsidR="00201A9A" w:rsidRPr="00201A9A">
        <w:rPr>
          <w:noProof/>
        </w:rPr>
        <w:t xml:space="preserve"> o prz</w:t>
      </w:r>
      <w:r w:rsidRPr="00201A9A">
        <w:rPr>
          <w:noProof/>
        </w:rPr>
        <w:t>esłanie poprawionych dokumentów, do momentu, gdy dane państwo członkowskie odpowie Komisji.</w:t>
      </w:r>
    </w:p>
    <w:p w14:paraId="6710CD71" w14:textId="58BEC1A4" w:rsidR="00911AC6" w:rsidRPr="00201A9A" w:rsidRDefault="005C49E8" w:rsidP="003E2902">
      <w:pPr>
        <w:pStyle w:val="NumPar10000000"/>
        <w:numPr>
          <w:ilvl w:val="0"/>
          <w:numId w:val="79"/>
        </w:numPr>
        <w:rPr>
          <w:noProof/>
        </w:rPr>
      </w:pPr>
      <w:r w:rsidRPr="00201A9A">
        <w:rPr>
          <w:noProof/>
        </w:rPr>
        <w:t>W przypadku gdy plan nie spełnia wymogów,</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Komisja przekazuje danemu państwu członkowskiemu należycie uzasadnione uzasadnienie</w:t>
      </w:r>
      <w:r w:rsidR="00201A9A" w:rsidRPr="00201A9A">
        <w:rPr>
          <w:noProof/>
        </w:rPr>
        <w:t xml:space="preserve"> w ter</w:t>
      </w:r>
      <w:r w:rsidRPr="00201A9A">
        <w:rPr>
          <w:noProof/>
        </w:rPr>
        <w:t>minie określonym</w:t>
      </w:r>
      <w:r w:rsidR="00201A9A" w:rsidRPr="00201A9A">
        <w:rPr>
          <w:noProof/>
        </w:rPr>
        <w:t xml:space="preserve"> w ust</w:t>
      </w:r>
      <w:r w:rsidRPr="00201A9A">
        <w:rPr>
          <w:noProof/>
        </w:rPr>
        <w:t>.</w:t>
      </w:r>
      <w:r w:rsidR="00201A9A" w:rsidRPr="00201A9A">
        <w:rPr>
          <w:noProof/>
        </w:rPr>
        <w:t> </w:t>
      </w:r>
      <w:r w:rsidRPr="00201A9A">
        <w:rPr>
          <w:noProof/>
        </w:rPr>
        <w:t>1.</w:t>
      </w:r>
    </w:p>
    <w:p w14:paraId="0AA64C75" w14:textId="4043D95D" w:rsidR="00E343C2" w:rsidRPr="00201A9A" w:rsidRDefault="005046E6" w:rsidP="003E2902">
      <w:pPr>
        <w:pStyle w:val="NumPar10000000"/>
        <w:numPr>
          <w:ilvl w:val="0"/>
          <w:numId w:val="79"/>
        </w:numPr>
        <w:rPr>
          <w:rFonts w:eastAsia="Calibri"/>
          <w:noProof/>
        </w:rPr>
      </w:pPr>
      <w:bookmarkStart w:id="9" w:name="_Hlk202788880"/>
      <w:r w:rsidRPr="00201A9A">
        <w:rPr>
          <w:noProof/>
        </w:rPr>
        <w:t>W przypadku gdy Komisja stwierdzi, że plan spełnia wymogi,</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wniosek Komisji dotyczący decyzji wykonawczej Rady określa:</w:t>
      </w:r>
    </w:p>
    <w:p w14:paraId="28CFE744" w14:textId="17B41671" w:rsidR="00911AC6" w:rsidRPr="00201A9A" w:rsidRDefault="00201A9A" w:rsidP="00201A9A">
      <w:pPr>
        <w:pStyle w:val="Point1"/>
        <w:rPr>
          <w:noProof/>
        </w:rPr>
      </w:pPr>
      <w:r w:rsidRPr="00201A9A">
        <w:rPr>
          <w:noProof/>
        </w:rPr>
        <w:t>a)</w:t>
      </w:r>
      <w:r w:rsidRPr="00201A9A">
        <w:rPr>
          <w:noProof/>
        </w:rPr>
        <w:tab/>
      </w:r>
      <w:r w:rsidR="005C49E8" w:rsidRPr="00201A9A">
        <w:rPr>
          <w:noProof/>
        </w:rPr>
        <w:t>całkowity wkład Unii;</w:t>
      </w:r>
    </w:p>
    <w:p w14:paraId="4AE7EF79" w14:textId="1FED6AC1" w:rsidR="00911AC6" w:rsidRPr="00201A9A" w:rsidRDefault="00201A9A" w:rsidP="00201A9A">
      <w:pPr>
        <w:pStyle w:val="Point1"/>
        <w:rPr>
          <w:noProof/>
        </w:rPr>
      </w:pPr>
      <w:r w:rsidRPr="00201A9A">
        <w:rPr>
          <w:noProof/>
        </w:rPr>
        <w:t>b)</w:t>
      </w:r>
      <w:r w:rsidRPr="00201A9A">
        <w:rPr>
          <w:noProof/>
        </w:rPr>
        <w:tab/>
      </w:r>
      <w:r w:rsidR="005C49E8" w:rsidRPr="00201A9A">
        <w:rPr>
          <w:noProof/>
        </w:rPr>
        <w:t>kwotę wsparcia</w:t>
      </w:r>
      <w:r w:rsidRPr="00201A9A">
        <w:rPr>
          <w:noProof/>
        </w:rPr>
        <w:t xml:space="preserve"> w for</w:t>
      </w:r>
      <w:r w:rsidR="005C49E8" w:rsidRPr="00201A9A">
        <w:rPr>
          <w:noProof/>
        </w:rPr>
        <w:t>mie pożyczki,</w:t>
      </w:r>
      <w:r w:rsidRPr="00201A9A">
        <w:rPr>
          <w:noProof/>
        </w:rPr>
        <w:t xml:space="preserve"> w prz</w:t>
      </w:r>
      <w:r w:rsidR="005C49E8" w:rsidRPr="00201A9A">
        <w:rPr>
          <w:noProof/>
        </w:rPr>
        <w:t>ypadku gdy dane państwo członkowskie składa wniosek</w:t>
      </w:r>
      <w:r w:rsidRPr="00201A9A">
        <w:rPr>
          <w:noProof/>
        </w:rPr>
        <w:t xml:space="preserve"> o tak</w:t>
      </w:r>
      <w:r w:rsidR="005C49E8" w:rsidRPr="00201A9A">
        <w:rPr>
          <w:noProof/>
        </w:rPr>
        <w:t>ą formę wsparcia; oraz powiązaną kwotę płatności zaliczkowych,</w:t>
      </w:r>
      <w:r w:rsidRPr="00201A9A">
        <w:rPr>
          <w:noProof/>
        </w:rPr>
        <w:t xml:space="preserve"> a tak</w:t>
      </w:r>
      <w:r w:rsidR="005C49E8" w:rsidRPr="00201A9A">
        <w:rPr>
          <w:noProof/>
        </w:rPr>
        <w:t>że okres dostępności pożyczki;</w:t>
      </w:r>
    </w:p>
    <w:p w14:paraId="3EDAD1A5" w14:textId="425FAB9A" w:rsidR="00911AC6" w:rsidRPr="00201A9A" w:rsidRDefault="00201A9A" w:rsidP="00201A9A">
      <w:pPr>
        <w:pStyle w:val="Point1"/>
        <w:rPr>
          <w:noProof/>
        </w:rPr>
      </w:pPr>
      <w:r w:rsidRPr="00201A9A">
        <w:rPr>
          <w:noProof/>
        </w:rPr>
        <w:t>c)</w:t>
      </w:r>
      <w:r w:rsidRPr="00201A9A">
        <w:rPr>
          <w:noProof/>
        </w:rPr>
        <w:tab/>
      </w:r>
      <w:r w:rsidR="00A5535E" w:rsidRPr="00201A9A">
        <w:rPr>
          <w:noProof/>
        </w:rPr>
        <w:t>wykaz środków objętych wkładem Unii</w:t>
      </w:r>
      <w:r w:rsidRPr="00201A9A">
        <w:rPr>
          <w:noProof/>
        </w:rPr>
        <w:t xml:space="preserve"> i poż</w:t>
      </w:r>
      <w:r w:rsidR="00A5535E" w:rsidRPr="00201A9A">
        <w:rPr>
          <w:noProof/>
        </w:rPr>
        <w:t>yczek zawartych</w:t>
      </w:r>
      <w:r w:rsidRPr="00201A9A">
        <w:rPr>
          <w:noProof/>
        </w:rPr>
        <w:t xml:space="preserve"> w pla</w:t>
      </w:r>
      <w:r w:rsidR="00A5535E" w:rsidRPr="00201A9A">
        <w:rPr>
          <w:noProof/>
        </w:rPr>
        <w:t>nie PKR;</w:t>
      </w:r>
    </w:p>
    <w:p w14:paraId="6BA974DD" w14:textId="189355AD" w:rsidR="002C40C9" w:rsidRPr="00201A9A" w:rsidRDefault="00AB2F84" w:rsidP="003E2902">
      <w:pPr>
        <w:pStyle w:val="NumPar10000000"/>
        <w:numPr>
          <w:ilvl w:val="0"/>
          <w:numId w:val="79"/>
        </w:numPr>
        <w:rPr>
          <w:rFonts w:eastAsia="Calibri"/>
          <w:noProof/>
        </w:rPr>
      </w:pPr>
      <w:r w:rsidRPr="00201A9A">
        <w:rPr>
          <w:noProof/>
        </w:rPr>
        <w:t>W należycie uzasadnionych przypadkach, jeżeli Komisja stwierdzi, że co najmniej jeden ze środków przewidzianych</w:t>
      </w:r>
      <w:r w:rsidR="00201A9A" w:rsidRPr="00201A9A">
        <w:rPr>
          <w:noProof/>
        </w:rPr>
        <w:t xml:space="preserve"> w pla</w:t>
      </w:r>
      <w:r w:rsidRPr="00201A9A">
        <w:rPr>
          <w:noProof/>
        </w:rPr>
        <w:t>nie nie spełnia wymogów,</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oraz że odpowiedni wniosek złożony zgodnie</w:t>
      </w:r>
      <w:r w:rsidR="00201A9A" w:rsidRPr="00201A9A">
        <w:rPr>
          <w:noProof/>
        </w:rPr>
        <w:t xml:space="preserve"> z ust</w:t>
      </w:r>
      <w:r w:rsidRPr="00201A9A">
        <w:rPr>
          <w:noProof/>
        </w:rPr>
        <w:t>.</w:t>
      </w:r>
      <w:r w:rsidR="00201A9A" w:rsidRPr="00201A9A">
        <w:rPr>
          <w:noProof/>
        </w:rPr>
        <w:t> </w:t>
      </w:r>
      <w:r w:rsidRPr="00201A9A">
        <w:rPr>
          <w:noProof/>
        </w:rPr>
        <w:t>2 akapit drugi nie został</w:t>
      </w:r>
      <w:r w:rsidR="00201A9A" w:rsidRPr="00201A9A">
        <w:rPr>
          <w:noProof/>
        </w:rPr>
        <w:t xml:space="preserve"> w zad</w:t>
      </w:r>
      <w:r w:rsidRPr="00201A9A">
        <w:rPr>
          <w:noProof/>
        </w:rPr>
        <w:t>owalający sposób rozpatrzony przez państwa członkowskie, może włączyć do wniosku Komisji,</w:t>
      </w:r>
      <w:r w:rsidR="00201A9A" w:rsidRPr="00201A9A">
        <w:rPr>
          <w:noProof/>
        </w:rPr>
        <w:t xml:space="preserve"> o któ</w:t>
      </w:r>
      <w:r w:rsidRPr="00201A9A">
        <w:rPr>
          <w:noProof/>
        </w:rPr>
        <w:t>rym mowa</w:t>
      </w:r>
      <w:r w:rsidR="00201A9A" w:rsidRPr="00201A9A">
        <w:rPr>
          <w:noProof/>
        </w:rPr>
        <w:t xml:space="preserve"> w ust</w:t>
      </w:r>
      <w:r w:rsidRPr="00201A9A">
        <w:rPr>
          <w:noProof/>
        </w:rPr>
        <w:t>.</w:t>
      </w:r>
      <w:r w:rsidR="00201A9A" w:rsidRPr="00201A9A">
        <w:rPr>
          <w:noProof/>
        </w:rPr>
        <w:t> </w:t>
      </w:r>
      <w:r w:rsidRPr="00201A9A">
        <w:rPr>
          <w:noProof/>
        </w:rPr>
        <w:t xml:space="preserve">4, identyfikację niedociągnięć mających wpływ na te środki. </w:t>
      </w:r>
    </w:p>
    <w:p w14:paraId="5EF53EE4" w14:textId="0018DFAB" w:rsidR="00F80FF2" w:rsidRPr="00201A9A" w:rsidRDefault="00F80FF2" w:rsidP="003E2902">
      <w:pPr>
        <w:pStyle w:val="NumPar10000000"/>
        <w:numPr>
          <w:ilvl w:val="0"/>
          <w:numId w:val="79"/>
        </w:numPr>
        <w:rPr>
          <w:noProof/>
        </w:rPr>
      </w:pPr>
      <w:r w:rsidRPr="00201A9A">
        <w:rPr>
          <w:noProof/>
        </w:rPr>
        <w:t>Rada przyjmuje decyzje wykonawcze,</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co do zasady,</w:t>
      </w:r>
      <w:r w:rsidR="00201A9A" w:rsidRPr="00201A9A">
        <w:rPr>
          <w:noProof/>
        </w:rPr>
        <w:t xml:space="preserve"> w ter</w:t>
      </w:r>
      <w:r w:rsidRPr="00201A9A">
        <w:rPr>
          <w:noProof/>
        </w:rPr>
        <w:t>minie czterech tygodni od przyjęcia wniosku Komisji.</w:t>
      </w:r>
    </w:p>
    <w:bookmarkEnd w:id="9"/>
    <w:p w14:paraId="017A8D5E" w14:textId="612B1295" w:rsidR="00106BDF" w:rsidRPr="00201A9A" w:rsidRDefault="00676241" w:rsidP="003E2902">
      <w:pPr>
        <w:pStyle w:val="NumPar10000000"/>
        <w:numPr>
          <w:ilvl w:val="0"/>
          <w:numId w:val="79"/>
        </w:numPr>
        <w:rPr>
          <w:rFonts w:eastAsia="Calibri"/>
          <w:noProof/>
        </w:rPr>
      </w:pPr>
      <w:r w:rsidRPr="00201A9A">
        <w:rPr>
          <w:noProof/>
        </w:rPr>
        <w:t>Po przyjęciu przez Radę decyzji wykonawczej,</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6, Komisja przyjmuje decyzję</w:t>
      </w:r>
      <w:r w:rsidR="00201A9A" w:rsidRPr="00201A9A">
        <w:rPr>
          <w:noProof/>
        </w:rPr>
        <w:t xml:space="preserve"> w spr</w:t>
      </w:r>
      <w:r w:rsidRPr="00201A9A">
        <w:rPr>
          <w:noProof/>
        </w:rPr>
        <w:t>awie finansowania</w:t>
      </w:r>
      <w:r w:rsidR="00201A9A" w:rsidRPr="00201A9A">
        <w:rPr>
          <w:noProof/>
        </w:rPr>
        <w:t xml:space="preserve"> w roz</w:t>
      </w:r>
      <w:r w:rsidRPr="00201A9A">
        <w:rPr>
          <w:noProof/>
        </w:rPr>
        <w:t>umieniu art.</w:t>
      </w:r>
      <w:r w:rsidR="00201A9A" w:rsidRPr="00201A9A">
        <w:rPr>
          <w:noProof/>
        </w:rPr>
        <w:t> </w:t>
      </w:r>
      <w:r w:rsidRPr="00201A9A">
        <w:rPr>
          <w:noProof/>
        </w:rPr>
        <w:t>110 rozporządzenia (UE, Euratom) 2024/2509, obejmującą następujące elementy:</w:t>
      </w:r>
    </w:p>
    <w:p w14:paraId="558E0F23" w14:textId="7514EE6D" w:rsidR="00A32447" w:rsidRPr="00201A9A" w:rsidRDefault="00201A9A" w:rsidP="00201A9A">
      <w:pPr>
        <w:pStyle w:val="Point1"/>
        <w:rPr>
          <w:noProof/>
        </w:rPr>
      </w:pPr>
      <w:r w:rsidRPr="00201A9A">
        <w:rPr>
          <w:noProof/>
        </w:rPr>
        <w:t>a)</w:t>
      </w:r>
      <w:r w:rsidRPr="00201A9A">
        <w:rPr>
          <w:noProof/>
        </w:rPr>
        <w:tab/>
      </w:r>
      <w:r w:rsidR="00FD3F3F" w:rsidRPr="00201A9A">
        <w:rPr>
          <w:noProof/>
        </w:rPr>
        <w:t>kamienie milowe</w:t>
      </w:r>
      <w:r w:rsidRPr="00201A9A">
        <w:rPr>
          <w:noProof/>
        </w:rPr>
        <w:t xml:space="preserve"> i war</w:t>
      </w:r>
      <w:r w:rsidR="00FD3F3F" w:rsidRPr="00201A9A">
        <w:rPr>
          <w:noProof/>
        </w:rPr>
        <w:t>tości docelowe</w:t>
      </w:r>
      <w:r w:rsidRPr="00201A9A">
        <w:rPr>
          <w:noProof/>
        </w:rPr>
        <w:t xml:space="preserve"> w odn</w:t>
      </w:r>
      <w:r w:rsidR="00FD3F3F" w:rsidRPr="00201A9A">
        <w:rPr>
          <w:noProof/>
        </w:rPr>
        <w:t>iesieniu do realizacji środków zawartych</w:t>
      </w:r>
      <w:r w:rsidRPr="00201A9A">
        <w:rPr>
          <w:noProof/>
        </w:rPr>
        <w:t xml:space="preserve"> w pla</w:t>
      </w:r>
      <w:r w:rsidR="00FD3F3F" w:rsidRPr="00201A9A">
        <w:rPr>
          <w:noProof/>
        </w:rPr>
        <w:t>nie PKR,</w:t>
      </w:r>
      <w:r w:rsidRPr="00201A9A">
        <w:rPr>
          <w:noProof/>
        </w:rPr>
        <w:t xml:space="preserve"> a w odn</w:t>
      </w:r>
      <w:r w:rsidR="00FD3F3F" w:rsidRPr="00201A9A">
        <w:rPr>
          <w:noProof/>
        </w:rPr>
        <w:t>iesieniu do każdego</w:t>
      </w:r>
      <w:r w:rsidRPr="00201A9A">
        <w:rPr>
          <w:noProof/>
        </w:rPr>
        <w:t xml:space="preserve"> z nic</w:t>
      </w:r>
      <w:r w:rsidR="00FD3F3F" w:rsidRPr="00201A9A">
        <w:rPr>
          <w:noProof/>
        </w:rPr>
        <w:t>h – odpowiednią wartość wypłaty;</w:t>
      </w:r>
    </w:p>
    <w:p w14:paraId="45E79033" w14:textId="5EAC2AEE" w:rsidR="00B911E1" w:rsidRPr="00201A9A" w:rsidRDefault="00201A9A" w:rsidP="00201A9A">
      <w:pPr>
        <w:pStyle w:val="Point1"/>
        <w:rPr>
          <w:noProof/>
        </w:rPr>
      </w:pPr>
      <w:r w:rsidRPr="00201A9A">
        <w:rPr>
          <w:noProof/>
        </w:rPr>
        <w:t>b)</w:t>
      </w:r>
      <w:r w:rsidRPr="00201A9A">
        <w:rPr>
          <w:noProof/>
        </w:rPr>
        <w:tab/>
      </w:r>
      <w:r w:rsidR="008B3C4F" w:rsidRPr="00201A9A">
        <w:rPr>
          <w:noProof/>
        </w:rPr>
        <w:t>roczny wkład Unii na podstawie wartości procentowych określonych</w:t>
      </w:r>
      <w:r w:rsidRPr="00201A9A">
        <w:rPr>
          <w:noProof/>
        </w:rPr>
        <w:t xml:space="preserve"> w art</w:t>
      </w:r>
      <w:r w:rsidR="008B3C4F" w:rsidRPr="00201A9A">
        <w:rPr>
          <w:noProof/>
        </w:rPr>
        <w:t>.</w:t>
      </w:r>
      <w:r w:rsidRPr="00201A9A">
        <w:rPr>
          <w:noProof/>
        </w:rPr>
        <w:t> </w:t>
      </w:r>
      <w:r w:rsidR="008B3C4F" w:rsidRPr="00201A9A">
        <w:rPr>
          <w:noProof/>
        </w:rPr>
        <w:t>14 ust.</w:t>
      </w:r>
      <w:r w:rsidRPr="00201A9A">
        <w:rPr>
          <w:noProof/>
        </w:rPr>
        <w:t> </w:t>
      </w:r>
      <w:r w:rsidR="008B3C4F" w:rsidRPr="00201A9A">
        <w:rPr>
          <w:noProof/>
        </w:rPr>
        <w:t>1 [zobowiązania];</w:t>
      </w:r>
    </w:p>
    <w:p w14:paraId="5F93DBB4" w14:textId="2F94C9EF" w:rsidR="00E343C2" w:rsidRPr="00201A9A" w:rsidRDefault="00F80FF2" w:rsidP="00F80FF2">
      <w:pPr>
        <w:pStyle w:val="Text1"/>
        <w:rPr>
          <w:noProof/>
        </w:rPr>
      </w:pPr>
      <w:r w:rsidRPr="00201A9A">
        <w:rPr>
          <w:noProof/>
        </w:rPr>
        <w:t>powiadomienie danego państwa członkowskiego</w:t>
      </w:r>
      <w:r w:rsidR="00201A9A" w:rsidRPr="00201A9A">
        <w:rPr>
          <w:noProof/>
        </w:rPr>
        <w:t xml:space="preserve"> o tej</w:t>
      </w:r>
      <w:r w:rsidRPr="00201A9A">
        <w:rPr>
          <w:noProof/>
        </w:rPr>
        <w:t xml:space="preserve"> decyzji Komisji stanowi zobowiązanie prawne.</w:t>
      </w:r>
      <w:r w:rsidR="00201A9A" w:rsidRPr="00201A9A">
        <w:rPr>
          <w:noProof/>
        </w:rPr>
        <w:t xml:space="preserve"> </w:t>
      </w:r>
    </w:p>
    <w:p w14:paraId="466066CD" w14:textId="3F537092" w:rsidR="00877F87" w:rsidRPr="00201A9A" w:rsidRDefault="00877F87" w:rsidP="00877F87">
      <w:pPr>
        <w:pStyle w:val="Text1"/>
        <w:rPr>
          <w:noProof/>
        </w:rPr>
      </w:pPr>
      <w:r w:rsidRPr="00201A9A">
        <w:rPr>
          <w:noProof/>
        </w:rPr>
        <w:t>W przypadku gdy zastosowanie ma art.</w:t>
      </w:r>
      <w:r w:rsidR="00201A9A" w:rsidRPr="00201A9A">
        <w:rPr>
          <w:noProof/>
        </w:rPr>
        <w:t> </w:t>
      </w:r>
      <w:r w:rsidRPr="00201A9A">
        <w:rPr>
          <w:noProof/>
        </w:rPr>
        <w:t>4 ust.</w:t>
      </w:r>
      <w:r w:rsidR="00201A9A" w:rsidRPr="00201A9A">
        <w:rPr>
          <w:noProof/>
        </w:rPr>
        <w:t> </w:t>
      </w:r>
      <w:r w:rsidRPr="00201A9A">
        <w:rPr>
          <w:noProof/>
        </w:rPr>
        <w:t>2 lit.</w:t>
      </w:r>
      <w:r w:rsidR="00201A9A" w:rsidRPr="00201A9A">
        <w:rPr>
          <w:noProof/>
        </w:rPr>
        <w:t> </w:t>
      </w:r>
      <w:r w:rsidRPr="00201A9A">
        <w:rPr>
          <w:noProof/>
        </w:rPr>
        <w:t>b) rozporządzenia</w:t>
      </w:r>
      <w:r w:rsidR="00201A9A" w:rsidRPr="00201A9A">
        <w:rPr>
          <w:noProof/>
        </w:rPr>
        <w:t xml:space="preserve"> w spr</w:t>
      </w:r>
      <w:r w:rsidRPr="00201A9A">
        <w:rPr>
          <w:noProof/>
        </w:rPr>
        <w:t>awie WRF, ta decyzja</w:t>
      </w:r>
      <w:r w:rsidR="00201A9A" w:rsidRPr="00201A9A">
        <w:rPr>
          <w:noProof/>
        </w:rPr>
        <w:t xml:space="preserve"> w spr</w:t>
      </w:r>
      <w:r w:rsidRPr="00201A9A">
        <w:rPr>
          <w:noProof/>
        </w:rPr>
        <w:t>awie finansowania może zostać zmieniona zgodnie</w:t>
      </w:r>
      <w:r w:rsidR="00201A9A" w:rsidRPr="00201A9A">
        <w:rPr>
          <w:noProof/>
        </w:rPr>
        <w:t xml:space="preserve"> z wyn</w:t>
      </w:r>
      <w:r w:rsidRPr="00201A9A">
        <w:rPr>
          <w:noProof/>
        </w:rPr>
        <w:t>ikiem rocznej procedury budżetowej.</w:t>
      </w:r>
    </w:p>
    <w:p w14:paraId="7B549B37" w14:textId="2E4D6B2D" w:rsidR="007E145B" w:rsidRPr="00201A9A" w:rsidRDefault="00B11765" w:rsidP="003E2902">
      <w:pPr>
        <w:pStyle w:val="NumPar10000000"/>
        <w:numPr>
          <w:ilvl w:val="0"/>
          <w:numId w:val="79"/>
        </w:numPr>
        <w:rPr>
          <w:noProof/>
        </w:rPr>
      </w:pPr>
      <w:r w:rsidRPr="00201A9A">
        <w:rPr>
          <w:noProof/>
        </w:rPr>
        <w:t>Wnioski</w:t>
      </w:r>
      <w:r w:rsidR="00201A9A" w:rsidRPr="00201A9A">
        <w:rPr>
          <w:noProof/>
        </w:rPr>
        <w:t xml:space="preserve"> o pła</w:t>
      </w:r>
      <w:r w:rsidRPr="00201A9A">
        <w:rPr>
          <w:noProof/>
        </w:rPr>
        <w:t>tność dotyczące szczególnych środków,</w:t>
      </w:r>
      <w:r w:rsidR="00201A9A" w:rsidRPr="00201A9A">
        <w:rPr>
          <w:noProof/>
        </w:rPr>
        <w:t xml:space="preserve"> w odn</w:t>
      </w:r>
      <w:r w:rsidRPr="00201A9A">
        <w:rPr>
          <w:noProof/>
        </w:rPr>
        <w:t>iesieniu do których wystąpiły niedociągnięcia stwierdzone</w:t>
      </w:r>
      <w:r w:rsidR="00201A9A" w:rsidRPr="00201A9A">
        <w:rPr>
          <w:noProof/>
        </w:rPr>
        <w:t xml:space="preserve"> w dec</w:t>
      </w:r>
      <w:r w:rsidRPr="00201A9A">
        <w:rPr>
          <w:noProof/>
        </w:rPr>
        <w:t>yzjach wykonawczych przyjętych przez Radę, mogą być składane przez dane państwo członkowskie, ale Komisja nie dokonuje odpowiednich płatności, dopóki niedociągnięcia nie zostaną usunięte.</w:t>
      </w:r>
    </w:p>
    <w:p w14:paraId="77D37787" w14:textId="4A4D285E" w:rsidR="00911AC6" w:rsidRPr="00201A9A" w:rsidRDefault="005C49E8" w:rsidP="00911AC6">
      <w:pPr>
        <w:pStyle w:val="Chaptertitle"/>
        <w:rPr>
          <w:noProof/>
        </w:rPr>
      </w:pPr>
      <w:r w:rsidRPr="00201A9A">
        <w:rPr>
          <w:b/>
          <w:i w:val="0"/>
          <w:noProof/>
          <w:sz w:val="32"/>
        </w:rPr>
        <w:t>ROZDZIAŁ 3</w:t>
      </w:r>
      <w:r w:rsidR="00201A9A" w:rsidRPr="00201A9A">
        <w:rPr>
          <w:noProof/>
          <w:sz w:val="32"/>
        </w:rPr>
        <w:t xml:space="preserve"> </w:t>
      </w:r>
      <w:r w:rsidRPr="00201A9A">
        <w:rPr>
          <w:noProof/>
        </w:rPr>
        <w:br/>
      </w:r>
      <w:r w:rsidRPr="00201A9A">
        <w:rPr>
          <w:b/>
          <w:i w:val="0"/>
          <w:noProof/>
          <w:sz w:val="32"/>
        </w:rPr>
        <w:t>Rewizja planu PKR</w:t>
      </w:r>
    </w:p>
    <w:p w14:paraId="069D5B46" w14:textId="77777777" w:rsidR="00911AC6" w:rsidRPr="00201A9A" w:rsidRDefault="00C330EA" w:rsidP="00911AC6">
      <w:pPr>
        <w:pStyle w:val="Titrearticle"/>
        <w:rPr>
          <w:noProof/>
        </w:rPr>
      </w:pPr>
      <w:r w:rsidRPr="00201A9A">
        <w:rPr>
          <w:noProof/>
        </w:rPr>
        <w:t xml:space="preserve">Artykuł 24 </w:t>
      </w:r>
      <w:r w:rsidRPr="00201A9A">
        <w:rPr>
          <w:noProof/>
        </w:rPr>
        <w:br/>
      </w:r>
      <w:r w:rsidRPr="00201A9A">
        <w:rPr>
          <w:b/>
          <w:noProof/>
        </w:rPr>
        <w:t>Zmiana planu PKR</w:t>
      </w:r>
    </w:p>
    <w:p w14:paraId="5DC34F30" w14:textId="11A09275" w:rsidR="00DD0130" w:rsidRPr="00201A9A" w:rsidRDefault="004025DE" w:rsidP="003E2902">
      <w:pPr>
        <w:pStyle w:val="NumPar10000000"/>
        <w:numPr>
          <w:ilvl w:val="0"/>
          <w:numId w:val="73"/>
        </w:numPr>
        <w:rPr>
          <w:noProof/>
        </w:rPr>
      </w:pPr>
      <w:r w:rsidRPr="00201A9A">
        <w:rPr>
          <w:noProof/>
        </w:rPr>
        <w:t>Państwo członkowskie może przedłożyć Komisji uzasadniony wniosek</w:t>
      </w:r>
      <w:r w:rsidR="00201A9A" w:rsidRPr="00201A9A">
        <w:rPr>
          <w:noProof/>
        </w:rPr>
        <w:t xml:space="preserve"> o zmi</w:t>
      </w:r>
      <w:r w:rsidRPr="00201A9A">
        <w:rPr>
          <w:noProof/>
        </w:rPr>
        <w:t>anę planu PKR wraz ze zmienionym planem, opisujący oczekiwany wpływ takiej zmiany na osiągnięcie celów,</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2</w:t>
      </w:r>
      <w:r w:rsidR="00201A9A" w:rsidRPr="00201A9A">
        <w:rPr>
          <w:noProof/>
        </w:rPr>
        <w:t xml:space="preserve"> i 3</w:t>
      </w:r>
      <w:r w:rsidRPr="00201A9A">
        <w:rPr>
          <w:noProof/>
        </w:rPr>
        <w:t>.</w:t>
      </w:r>
    </w:p>
    <w:p w14:paraId="28C1DE93" w14:textId="5D115E7D" w:rsidR="00DD0130" w:rsidRPr="00201A9A" w:rsidRDefault="005C49E8" w:rsidP="003E2902">
      <w:pPr>
        <w:pStyle w:val="NumPar10000000"/>
        <w:numPr>
          <w:ilvl w:val="0"/>
          <w:numId w:val="79"/>
        </w:numPr>
        <w:rPr>
          <w:noProof/>
        </w:rPr>
      </w:pPr>
      <w:r w:rsidRPr="00201A9A">
        <w:rPr>
          <w:noProof/>
        </w:rPr>
        <w:t>Komisja ocenia zgodność zmienionego planu PKR</w:t>
      </w:r>
      <w:r w:rsidR="00201A9A" w:rsidRPr="00201A9A">
        <w:rPr>
          <w:noProof/>
        </w:rPr>
        <w:t xml:space="preserve"> z nin</w:t>
      </w:r>
      <w:r w:rsidRPr="00201A9A">
        <w:rPr>
          <w:noProof/>
        </w:rPr>
        <w:t>iejszym rozporządzeniem,</w:t>
      </w:r>
      <w:r w:rsidR="00201A9A" w:rsidRPr="00201A9A">
        <w:rPr>
          <w:noProof/>
        </w:rPr>
        <w:t xml:space="preserve"> w tym z art</w:t>
      </w:r>
      <w:r w:rsidRPr="00201A9A">
        <w:rPr>
          <w:noProof/>
        </w:rPr>
        <w:t>.</w:t>
      </w:r>
      <w:r w:rsidR="00201A9A" w:rsidRPr="00201A9A">
        <w:rPr>
          <w:noProof/>
        </w:rPr>
        <w:t> </w:t>
      </w:r>
      <w:r w:rsidRPr="00201A9A">
        <w:rPr>
          <w:noProof/>
        </w:rPr>
        <w:t>23 [Wniosek Komisji</w:t>
      </w:r>
      <w:r w:rsidR="00201A9A" w:rsidRPr="00201A9A">
        <w:rPr>
          <w:noProof/>
        </w:rPr>
        <w:t xml:space="preserve"> i dec</w:t>
      </w:r>
      <w:r w:rsidRPr="00201A9A">
        <w:rPr>
          <w:noProof/>
        </w:rPr>
        <w:t>yzja wykonawcza Rady],</w:t>
      </w:r>
      <w:r w:rsidR="00201A9A" w:rsidRPr="00201A9A">
        <w:rPr>
          <w:noProof/>
        </w:rPr>
        <w:t xml:space="preserve"> i moż</w:t>
      </w:r>
      <w:r w:rsidRPr="00201A9A">
        <w:rPr>
          <w:noProof/>
        </w:rPr>
        <w:t>e zgłosić uwagi</w:t>
      </w:r>
      <w:r w:rsidR="00201A9A" w:rsidRPr="00201A9A">
        <w:rPr>
          <w:noProof/>
        </w:rPr>
        <w:t xml:space="preserve"> w ter</w:t>
      </w:r>
      <w:r w:rsidRPr="00201A9A">
        <w:rPr>
          <w:noProof/>
        </w:rPr>
        <w:t>minie trzech miesięcy od przedłożenia zmienionego planu PKR.</w:t>
      </w:r>
    </w:p>
    <w:p w14:paraId="308463BA" w14:textId="0B0D0EF5" w:rsidR="00DD0130" w:rsidRPr="00201A9A" w:rsidRDefault="005C49E8" w:rsidP="003E2902">
      <w:pPr>
        <w:pStyle w:val="NumPar10000000"/>
        <w:numPr>
          <w:ilvl w:val="0"/>
          <w:numId w:val="79"/>
        </w:numPr>
        <w:rPr>
          <w:noProof/>
        </w:rPr>
      </w:pPr>
      <w:r w:rsidRPr="00201A9A">
        <w:rPr>
          <w:noProof/>
        </w:rPr>
        <w:t>W należycie uzasadnionych przypadkach, niezależnie od tego, czy państwo członkowskie złożyło uzasadniony wniosek</w:t>
      </w:r>
      <w:r w:rsidR="00201A9A" w:rsidRPr="00201A9A">
        <w:rPr>
          <w:noProof/>
        </w:rPr>
        <w:t xml:space="preserve"> o zmi</w:t>
      </w:r>
      <w:r w:rsidRPr="00201A9A">
        <w:rPr>
          <w:noProof/>
        </w:rPr>
        <w:t>anę swojego planu PKR zgodnie</w:t>
      </w:r>
      <w:r w:rsidR="00201A9A" w:rsidRPr="00201A9A">
        <w:rPr>
          <w:noProof/>
        </w:rPr>
        <w:t xml:space="preserve"> z ust</w:t>
      </w:r>
      <w:r w:rsidRPr="00201A9A">
        <w:rPr>
          <w:noProof/>
        </w:rPr>
        <w:t>.</w:t>
      </w:r>
      <w:r w:rsidR="00201A9A" w:rsidRPr="00201A9A">
        <w:rPr>
          <w:noProof/>
        </w:rPr>
        <w:t> </w:t>
      </w:r>
      <w:r w:rsidRPr="00201A9A">
        <w:rPr>
          <w:noProof/>
        </w:rPr>
        <w:t>1, Komisja może również zaproponować państwu członkowskiemu zmianę istniejących środków lub wprowadzenie nowych.</w:t>
      </w:r>
    </w:p>
    <w:p w14:paraId="61F2A47E" w14:textId="1BFC1011" w:rsidR="00DD0130" w:rsidRPr="00201A9A" w:rsidRDefault="005C49E8" w:rsidP="003E2902">
      <w:pPr>
        <w:pStyle w:val="NumPar10000000"/>
        <w:numPr>
          <w:ilvl w:val="0"/>
          <w:numId w:val="79"/>
        </w:numPr>
        <w:rPr>
          <w:noProof/>
        </w:rPr>
      </w:pPr>
      <w:r w:rsidRPr="00201A9A">
        <w:rPr>
          <w:noProof/>
        </w:rPr>
        <w:t>Państwo członkowskie dokonuje przeglądu zmienionego planu PKR</w:t>
      </w:r>
      <w:r w:rsidR="00201A9A" w:rsidRPr="00201A9A">
        <w:rPr>
          <w:noProof/>
        </w:rPr>
        <w:t xml:space="preserve"> w ter</w:t>
      </w:r>
      <w:r w:rsidRPr="00201A9A">
        <w:rPr>
          <w:noProof/>
        </w:rPr>
        <w:t>minie jednego miesiąca od daty przedłożenia przez Komisję uwag,</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2, uwzględniając uwagi</w:t>
      </w:r>
      <w:r w:rsidR="00201A9A" w:rsidRPr="00201A9A">
        <w:rPr>
          <w:noProof/>
        </w:rPr>
        <w:t xml:space="preserve"> i pro</w:t>
      </w:r>
      <w:r w:rsidRPr="00201A9A">
        <w:rPr>
          <w:noProof/>
        </w:rPr>
        <w:t>pozycje Komisji,</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2 lub</w:t>
      </w:r>
      <w:r w:rsidR="00201A9A" w:rsidRPr="00201A9A">
        <w:rPr>
          <w:noProof/>
        </w:rPr>
        <w:t> </w:t>
      </w:r>
      <w:r w:rsidRPr="00201A9A">
        <w:rPr>
          <w:noProof/>
        </w:rPr>
        <w:t>3.</w:t>
      </w:r>
    </w:p>
    <w:p w14:paraId="349D7261" w14:textId="3FA80371" w:rsidR="00DD0130" w:rsidRPr="00201A9A" w:rsidRDefault="009E0B99" w:rsidP="003E2902">
      <w:pPr>
        <w:pStyle w:val="NumPar10000000"/>
        <w:numPr>
          <w:ilvl w:val="0"/>
          <w:numId w:val="79"/>
        </w:numPr>
        <w:rPr>
          <w:noProof/>
        </w:rPr>
      </w:pPr>
      <w:r w:rsidRPr="00201A9A">
        <w:rPr>
          <w:noProof/>
        </w:rPr>
        <w:t>W przypadku gdy Komisja nie przedstawiła uwag lub uznała, że wszelkie uwagi zostały należycie uwzględnione, oraz jeżeli zmiana planu PKR spowodowałaby zmianę całkowitego wkładu Unii, kwoty wsparcia</w:t>
      </w:r>
      <w:r w:rsidR="00201A9A" w:rsidRPr="00201A9A">
        <w:rPr>
          <w:noProof/>
        </w:rPr>
        <w:t xml:space="preserve"> w for</w:t>
      </w:r>
      <w:r w:rsidRPr="00201A9A">
        <w:rPr>
          <w:noProof/>
        </w:rPr>
        <w:t>mie pożyczki lub wykazu środków lub co najmniej jednego środka planu, który przestał spełniać wymogi,</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23 ust.</w:t>
      </w:r>
      <w:r w:rsidR="00201A9A" w:rsidRPr="00201A9A">
        <w:rPr>
          <w:noProof/>
        </w:rPr>
        <w:t> </w:t>
      </w:r>
      <w:r w:rsidRPr="00201A9A">
        <w:rPr>
          <w:noProof/>
        </w:rPr>
        <w:t>1 [Wniosek Komisji</w:t>
      </w:r>
      <w:r w:rsidR="00201A9A" w:rsidRPr="00201A9A">
        <w:rPr>
          <w:noProof/>
        </w:rPr>
        <w:t xml:space="preserve"> i dec</w:t>
      </w:r>
      <w:r w:rsidRPr="00201A9A">
        <w:rPr>
          <w:noProof/>
        </w:rPr>
        <w:t>yzja wykonawcza Rady], Komisja przedstawia wniosek dotyczący nowej decyzji wykonawczej Rady zgodnie</w:t>
      </w:r>
      <w:r w:rsidR="00201A9A" w:rsidRPr="00201A9A">
        <w:rPr>
          <w:noProof/>
        </w:rPr>
        <w:t xml:space="preserve"> z art</w:t>
      </w:r>
      <w:r w:rsidRPr="00201A9A">
        <w:rPr>
          <w:noProof/>
        </w:rPr>
        <w:t>.</w:t>
      </w:r>
      <w:r w:rsidR="00201A9A" w:rsidRPr="00201A9A">
        <w:rPr>
          <w:noProof/>
        </w:rPr>
        <w:t> </w:t>
      </w:r>
      <w:r w:rsidRPr="00201A9A">
        <w:rPr>
          <w:noProof/>
        </w:rPr>
        <w:t>23 nie później niż cztery miesiące po przedłożeniu zmienionego planu PKR. Rada przyjmuje nową decyzję wykonawczą, co do zasady,</w:t>
      </w:r>
      <w:r w:rsidR="00201A9A" w:rsidRPr="00201A9A">
        <w:rPr>
          <w:noProof/>
        </w:rPr>
        <w:t xml:space="preserve"> w ter</w:t>
      </w:r>
      <w:r w:rsidRPr="00201A9A">
        <w:rPr>
          <w:noProof/>
        </w:rPr>
        <w:t>minie czterech tygodni od przyjęcia wniosku Komisji. Następnie Komisja odpowiednio zmienia decyzję</w:t>
      </w:r>
      <w:r w:rsidR="00201A9A" w:rsidRPr="00201A9A">
        <w:rPr>
          <w:noProof/>
        </w:rPr>
        <w:t xml:space="preserve"> w spr</w:t>
      </w:r>
      <w:r w:rsidRPr="00201A9A">
        <w:rPr>
          <w:noProof/>
        </w:rPr>
        <w:t>awie finansowania,</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23 ust.</w:t>
      </w:r>
      <w:r w:rsidR="00201A9A" w:rsidRPr="00201A9A">
        <w:rPr>
          <w:noProof/>
        </w:rPr>
        <w:t> </w:t>
      </w:r>
      <w:r w:rsidRPr="00201A9A">
        <w:rPr>
          <w:noProof/>
        </w:rPr>
        <w:t>7 [Wniosek Komisji</w:t>
      </w:r>
      <w:r w:rsidR="00201A9A" w:rsidRPr="00201A9A">
        <w:rPr>
          <w:noProof/>
        </w:rPr>
        <w:t xml:space="preserve"> i dec</w:t>
      </w:r>
      <w:r w:rsidRPr="00201A9A">
        <w:rPr>
          <w:noProof/>
        </w:rPr>
        <w:t xml:space="preserve">yzja wykonawcza Rady]. </w:t>
      </w:r>
    </w:p>
    <w:p w14:paraId="1739CFB4" w14:textId="1FD06B6E" w:rsidR="005C4C04" w:rsidRPr="00201A9A" w:rsidRDefault="007156B4" w:rsidP="005C4C04">
      <w:pPr>
        <w:pStyle w:val="Text1"/>
        <w:rPr>
          <w:noProof/>
        </w:rPr>
      </w:pPr>
      <w:r w:rsidRPr="00201A9A">
        <w:rPr>
          <w:noProof/>
        </w:rPr>
        <w:t>W przypadku gdy zmiana planu PKR nie spowoduje zmiany całkowitego wkładu Unii, kwoty wsparcia</w:t>
      </w:r>
      <w:r w:rsidR="00201A9A" w:rsidRPr="00201A9A">
        <w:rPr>
          <w:noProof/>
        </w:rPr>
        <w:t xml:space="preserve"> w for</w:t>
      </w:r>
      <w:r w:rsidRPr="00201A9A">
        <w:rPr>
          <w:noProof/>
        </w:rPr>
        <w:t>mie pożyczki lub wykazu środków, Komisja dokonuje bezpośrednio zmiany decyzji</w:t>
      </w:r>
      <w:r w:rsidR="00201A9A" w:rsidRPr="00201A9A">
        <w:rPr>
          <w:noProof/>
        </w:rPr>
        <w:t xml:space="preserve"> w spr</w:t>
      </w:r>
      <w:r w:rsidRPr="00201A9A">
        <w:rPr>
          <w:noProof/>
        </w:rPr>
        <w:t>awie finansowania,</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23 ust.</w:t>
      </w:r>
      <w:r w:rsidR="00201A9A" w:rsidRPr="00201A9A">
        <w:rPr>
          <w:noProof/>
        </w:rPr>
        <w:t> </w:t>
      </w:r>
      <w:r w:rsidRPr="00201A9A">
        <w:rPr>
          <w:noProof/>
        </w:rPr>
        <w:t>7 [Wniosek Komisji</w:t>
      </w:r>
      <w:r w:rsidR="00201A9A" w:rsidRPr="00201A9A">
        <w:rPr>
          <w:noProof/>
        </w:rPr>
        <w:t xml:space="preserve"> i dec</w:t>
      </w:r>
      <w:r w:rsidRPr="00201A9A">
        <w:rPr>
          <w:noProof/>
        </w:rPr>
        <w:t>yzja wykonawcza Rady].</w:t>
      </w:r>
    </w:p>
    <w:p w14:paraId="1FE1E56A" w14:textId="7FC8DB8B" w:rsidR="005C4C04" w:rsidRPr="00201A9A" w:rsidRDefault="005C49E8" w:rsidP="003E2902">
      <w:pPr>
        <w:pStyle w:val="NumPar10000000"/>
        <w:numPr>
          <w:ilvl w:val="0"/>
          <w:numId w:val="79"/>
        </w:numPr>
        <w:rPr>
          <w:noProof/>
        </w:rPr>
      </w:pPr>
      <w:r w:rsidRPr="00201A9A">
        <w:rPr>
          <w:noProof/>
        </w:rPr>
        <w:t>Przyjęcie decyzji,</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5, nie jest wymagane:</w:t>
      </w:r>
    </w:p>
    <w:p w14:paraId="382ACFC0" w14:textId="7DC3E02E" w:rsidR="005C4C04" w:rsidRPr="00201A9A" w:rsidRDefault="00201A9A" w:rsidP="00201A9A">
      <w:pPr>
        <w:pStyle w:val="Point1"/>
        <w:rPr>
          <w:noProof/>
        </w:rPr>
      </w:pPr>
      <w:r w:rsidRPr="00201A9A">
        <w:rPr>
          <w:noProof/>
        </w:rPr>
        <w:t>a)</w:t>
      </w:r>
      <w:r w:rsidRPr="00201A9A">
        <w:rPr>
          <w:noProof/>
        </w:rPr>
        <w:tab/>
      </w:r>
      <w:r w:rsidR="005C49E8" w:rsidRPr="00201A9A">
        <w:rPr>
          <w:noProof/>
        </w:rPr>
        <w:t>w przypadku korekt</w:t>
      </w:r>
      <w:r w:rsidRPr="00201A9A">
        <w:rPr>
          <w:noProof/>
        </w:rPr>
        <w:t xml:space="preserve"> o cha</w:t>
      </w:r>
      <w:r w:rsidR="005C49E8" w:rsidRPr="00201A9A">
        <w:rPr>
          <w:noProof/>
        </w:rPr>
        <w:t>rakterze czysto pisarskim lub redakcyjnym lub niewielkich dostosowań</w:t>
      </w:r>
      <w:r w:rsidRPr="00201A9A">
        <w:rPr>
          <w:noProof/>
        </w:rPr>
        <w:t xml:space="preserve"> w pla</w:t>
      </w:r>
      <w:r w:rsidR="005C49E8" w:rsidRPr="00201A9A">
        <w:rPr>
          <w:noProof/>
        </w:rPr>
        <w:t>nie PKR, skutkujących wzrostem lub spadkiem</w:t>
      </w:r>
      <w:r w:rsidRPr="00201A9A">
        <w:rPr>
          <w:noProof/>
        </w:rPr>
        <w:t xml:space="preserve"> o mni</w:t>
      </w:r>
      <w:r w:rsidR="005C49E8" w:rsidRPr="00201A9A">
        <w:rPr>
          <w:noProof/>
        </w:rPr>
        <w:t>ej niż 5</w:t>
      </w:r>
      <w:r w:rsidRPr="00201A9A">
        <w:rPr>
          <w:noProof/>
        </w:rPr>
        <w:t> </w:t>
      </w:r>
      <w:r w:rsidR="005C49E8" w:rsidRPr="00201A9A">
        <w:rPr>
          <w:noProof/>
        </w:rPr>
        <w:t>% wartości docelowej określonej</w:t>
      </w:r>
      <w:r w:rsidRPr="00201A9A">
        <w:rPr>
          <w:noProof/>
        </w:rPr>
        <w:t xml:space="preserve"> w pla</w:t>
      </w:r>
      <w:r w:rsidR="005C49E8" w:rsidRPr="00201A9A">
        <w:rPr>
          <w:noProof/>
        </w:rPr>
        <w:t>nie PKR. Państwa członkowskie stosują te przepisy tylko raz dla każdej wartości docelowej</w:t>
      </w:r>
      <w:r w:rsidRPr="00201A9A">
        <w:rPr>
          <w:noProof/>
        </w:rPr>
        <w:t xml:space="preserve"> i pow</w:t>
      </w:r>
      <w:r w:rsidR="005C49E8" w:rsidRPr="00201A9A">
        <w:rPr>
          <w:noProof/>
        </w:rPr>
        <w:t>iadamiają Komisję</w:t>
      </w:r>
      <w:r w:rsidRPr="00201A9A">
        <w:rPr>
          <w:noProof/>
        </w:rPr>
        <w:t xml:space="preserve"> o tak</w:t>
      </w:r>
      <w:r w:rsidR="005C49E8" w:rsidRPr="00201A9A">
        <w:rPr>
          <w:noProof/>
        </w:rPr>
        <w:t>ich dostosowaniach. Takie zmiany muszą być zgodne ze wszystkimi wymogami planu PKR,</w:t>
      </w:r>
      <w:r w:rsidRPr="00201A9A">
        <w:rPr>
          <w:noProof/>
        </w:rPr>
        <w:t xml:space="preserve"> w tym z kor</w:t>
      </w:r>
      <w:r w:rsidR="005C49E8" w:rsidRPr="00201A9A">
        <w:rPr>
          <w:noProof/>
        </w:rPr>
        <w:t>ektą informacji</w:t>
      </w:r>
      <w:r w:rsidRPr="00201A9A">
        <w:rPr>
          <w:noProof/>
        </w:rPr>
        <w:t xml:space="preserve"> o kos</w:t>
      </w:r>
      <w:r w:rsidR="005C49E8" w:rsidRPr="00201A9A">
        <w:rPr>
          <w:noProof/>
        </w:rPr>
        <w:t>ztach;</w:t>
      </w:r>
    </w:p>
    <w:p w14:paraId="5D70D416" w14:textId="2F2A196B" w:rsidR="005C4C04" w:rsidRPr="00201A9A" w:rsidRDefault="00201A9A" w:rsidP="00201A9A">
      <w:pPr>
        <w:pStyle w:val="Point1"/>
        <w:rPr>
          <w:noProof/>
        </w:rPr>
      </w:pPr>
      <w:r w:rsidRPr="00201A9A">
        <w:rPr>
          <w:noProof/>
        </w:rPr>
        <w:t>b)</w:t>
      </w:r>
      <w:r w:rsidRPr="00201A9A">
        <w:rPr>
          <w:noProof/>
        </w:rPr>
        <w:tab/>
      </w:r>
      <w:r w:rsidR="005418CA" w:rsidRPr="00201A9A">
        <w:rPr>
          <w:noProof/>
        </w:rPr>
        <w:t>jeżeli chodzi</w:t>
      </w:r>
      <w:r w:rsidRPr="00201A9A">
        <w:rPr>
          <w:noProof/>
        </w:rPr>
        <w:t xml:space="preserve"> o zmi</w:t>
      </w:r>
      <w:r w:rsidR="005418CA" w:rsidRPr="00201A9A">
        <w:rPr>
          <w:noProof/>
        </w:rPr>
        <w:t>any zgodnie</w:t>
      </w:r>
      <w:r w:rsidRPr="00201A9A">
        <w:rPr>
          <w:noProof/>
        </w:rPr>
        <w:t xml:space="preserve"> z art</w:t>
      </w:r>
      <w:r w:rsidR="005418CA" w:rsidRPr="00201A9A">
        <w:rPr>
          <w:noProof/>
        </w:rPr>
        <w:t>.</w:t>
      </w:r>
      <w:r w:rsidRPr="00201A9A">
        <w:rPr>
          <w:noProof/>
        </w:rPr>
        <w:t> </w:t>
      </w:r>
      <w:r w:rsidR="005418CA" w:rsidRPr="00201A9A">
        <w:rPr>
          <w:noProof/>
        </w:rPr>
        <w:t>31 ust.</w:t>
      </w:r>
      <w:r w:rsidRPr="00201A9A">
        <w:rPr>
          <w:noProof/>
        </w:rPr>
        <w:t> </w:t>
      </w:r>
      <w:r w:rsidR="005418CA" w:rsidRPr="00201A9A">
        <w:rPr>
          <w:noProof/>
        </w:rPr>
        <w:t>7</w:t>
      </w:r>
    </w:p>
    <w:p w14:paraId="4C8539F1" w14:textId="1B433171" w:rsidR="00DD0130" w:rsidRPr="00201A9A" w:rsidRDefault="005C49E8" w:rsidP="003E2902">
      <w:pPr>
        <w:pStyle w:val="NumPar10000000"/>
        <w:numPr>
          <w:ilvl w:val="0"/>
          <w:numId w:val="79"/>
        </w:numPr>
        <w:rPr>
          <w:noProof/>
        </w:rPr>
      </w:pPr>
      <w:r w:rsidRPr="00201A9A">
        <w:rPr>
          <w:noProof/>
        </w:rPr>
        <w:t>Państwa członkowskie dopilnowują, by kwota szacunkowych łącznych kosztów ich planu PKR pozostawała racjonalna</w:t>
      </w:r>
      <w:r w:rsidR="00201A9A" w:rsidRPr="00201A9A">
        <w:rPr>
          <w:noProof/>
        </w:rPr>
        <w:t xml:space="preserve"> i wia</w:t>
      </w:r>
      <w:r w:rsidRPr="00201A9A">
        <w:rPr>
          <w:noProof/>
        </w:rPr>
        <w:t>rygodna przez cały okres jego realizacji, zgodnie</w:t>
      </w:r>
      <w:r w:rsidR="00201A9A" w:rsidRPr="00201A9A">
        <w:rPr>
          <w:noProof/>
        </w:rPr>
        <w:t xml:space="preserve"> z zas</w:t>
      </w:r>
      <w:r w:rsidRPr="00201A9A">
        <w:rPr>
          <w:noProof/>
        </w:rPr>
        <w:t>adą należytego zarządzania finansami,</w:t>
      </w:r>
      <w:r w:rsidR="00201A9A" w:rsidRPr="00201A9A">
        <w:rPr>
          <w:noProof/>
        </w:rPr>
        <w:t xml:space="preserve"> i w raz</w:t>
      </w:r>
      <w:r w:rsidRPr="00201A9A">
        <w:rPr>
          <w:noProof/>
        </w:rPr>
        <w:t>ie potrzeby zwracają się</w:t>
      </w:r>
      <w:r w:rsidR="00201A9A" w:rsidRPr="00201A9A">
        <w:rPr>
          <w:noProof/>
        </w:rPr>
        <w:t xml:space="preserve"> o zmi</w:t>
      </w:r>
      <w:r w:rsidRPr="00201A9A">
        <w:rPr>
          <w:noProof/>
        </w:rPr>
        <w:t>anę swojego planu zgodnie</w:t>
      </w:r>
      <w:r w:rsidR="00201A9A" w:rsidRPr="00201A9A">
        <w:rPr>
          <w:noProof/>
        </w:rPr>
        <w:t xml:space="preserve"> z ust</w:t>
      </w:r>
      <w:r w:rsidRPr="00201A9A">
        <w:rPr>
          <w:noProof/>
        </w:rPr>
        <w:t>.</w:t>
      </w:r>
      <w:r w:rsidR="00201A9A" w:rsidRPr="00201A9A">
        <w:rPr>
          <w:noProof/>
        </w:rPr>
        <w:t> </w:t>
      </w:r>
      <w:r w:rsidRPr="00201A9A">
        <w:rPr>
          <w:noProof/>
        </w:rPr>
        <w:t xml:space="preserve">1. </w:t>
      </w:r>
    </w:p>
    <w:p w14:paraId="2E0CA63F" w14:textId="50CAB983" w:rsidR="004C5322" w:rsidRPr="00201A9A" w:rsidRDefault="2F75E2DB" w:rsidP="003E2902">
      <w:pPr>
        <w:pStyle w:val="NumPar10000000"/>
        <w:numPr>
          <w:ilvl w:val="0"/>
          <w:numId w:val="79"/>
        </w:numPr>
        <w:rPr>
          <w:noProof/>
        </w:rPr>
      </w:pPr>
      <w:r w:rsidRPr="00201A9A">
        <w:rPr>
          <w:noProof/>
        </w:rPr>
        <w:t>Szczególne środki określone</w:t>
      </w:r>
      <w:r w:rsidR="00201A9A" w:rsidRPr="00201A9A">
        <w:rPr>
          <w:noProof/>
        </w:rPr>
        <w:t xml:space="preserve"> w dec</w:t>
      </w:r>
      <w:r w:rsidRPr="00201A9A">
        <w:rPr>
          <w:noProof/>
        </w:rPr>
        <w:t>yzji wykonawczej,</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9 ust.</w:t>
      </w:r>
      <w:r w:rsidR="00201A9A" w:rsidRPr="00201A9A">
        <w:rPr>
          <w:noProof/>
        </w:rPr>
        <w:t> </w:t>
      </w:r>
      <w:r w:rsidRPr="00201A9A">
        <w:rPr>
          <w:noProof/>
        </w:rPr>
        <w:t>4, lub będące przedmiotem decyzji nakładającej środki ochrony budżetu na podstawie rozporządzenia (UE, Euratom) 2020/2092 nie podlegają zmianie do czasu uchylenia decyzji, chyba że zmiana ta ma na celu wspieranie środków przyczyniających się do spełnienia warunku horyzontalnego dotyczącego państwa prawnego lub zaradzenie sytuacji, która doprowadziła do przyjęcia wyżej wymienionych decyzji.</w:t>
      </w:r>
    </w:p>
    <w:p w14:paraId="3652949B" w14:textId="53D6C573" w:rsidR="00B45F82" w:rsidRPr="00201A9A" w:rsidRDefault="00197C6C" w:rsidP="003E2902">
      <w:pPr>
        <w:pStyle w:val="NumPar10000000"/>
        <w:numPr>
          <w:ilvl w:val="0"/>
          <w:numId w:val="79"/>
        </w:numPr>
        <w:rPr>
          <w:noProof/>
        </w:rPr>
      </w:pPr>
      <w:r w:rsidRPr="00201A9A">
        <w:rPr>
          <w:noProof/>
        </w:rPr>
        <w:t>Szczególne środki określone</w:t>
      </w:r>
      <w:r w:rsidR="00201A9A" w:rsidRPr="00201A9A">
        <w:rPr>
          <w:noProof/>
        </w:rPr>
        <w:t xml:space="preserve"> w dec</w:t>
      </w:r>
      <w:r w:rsidRPr="00201A9A">
        <w:rPr>
          <w:noProof/>
        </w:rPr>
        <w:t>yzji wykonawczej,</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8 ust.</w:t>
      </w:r>
      <w:r w:rsidR="00201A9A" w:rsidRPr="00201A9A">
        <w:rPr>
          <w:noProof/>
        </w:rPr>
        <w:t> </w:t>
      </w:r>
      <w:r w:rsidRPr="00201A9A">
        <w:rPr>
          <w:noProof/>
        </w:rPr>
        <w:t>4 [Warunki dotyczące Karty], nie podlegają zmianie do czasu uchylenia decyzji, chyba że zmiana ta ma na celu wspieranie środków, które przyczyniają się do:</w:t>
      </w:r>
    </w:p>
    <w:p w14:paraId="191BD05C" w14:textId="3DE5432D" w:rsidR="00B45F82" w:rsidRPr="00201A9A" w:rsidRDefault="00201A9A" w:rsidP="00201A9A">
      <w:pPr>
        <w:pStyle w:val="Point1"/>
        <w:rPr>
          <w:noProof/>
        </w:rPr>
      </w:pPr>
      <w:r w:rsidRPr="00201A9A">
        <w:rPr>
          <w:noProof/>
        </w:rPr>
        <w:t>a)</w:t>
      </w:r>
      <w:r w:rsidRPr="00201A9A">
        <w:rPr>
          <w:noProof/>
        </w:rPr>
        <w:tab/>
      </w:r>
      <w:r w:rsidR="00197C6C" w:rsidRPr="00201A9A">
        <w:rPr>
          <w:noProof/>
        </w:rPr>
        <w:t>spełnienia warunku horyzontalnego dotyczącego Karty;</w:t>
      </w:r>
    </w:p>
    <w:p w14:paraId="5B1508ED" w14:textId="38E3F1E5" w:rsidR="00197C6C" w:rsidRPr="00201A9A" w:rsidRDefault="00201A9A" w:rsidP="00201A9A">
      <w:pPr>
        <w:pStyle w:val="Point1"/>
        <w:rPr>
          <w:noProof/>
        </w:rPr>
      </w:pPr>
      <w:r w:rsidRPr="00201A9A">
        <w:rPr>
          <w:noProof/>
        </w:rPr>
        <w:t>b)</w:t>
      </w:r>
      <w:r w:rsidRPr="00201A9A">
        <w:rPr>
          <w:noProof/>
        </w:rPr>
        <w:tab/>
      </w:r>
      <w:r w:rsidR="00BE7F88" w:rsidRPr="00201A9A">
        <w:rPr>
          <w:noProof/>
        </w:rPr>
        <w:t>reagowania na istotne zmiany</w:t>
      </w:r>
      <w:r w:rsidRPr="00201A9A">
        <w:rPr>
          <w:noProof/>
        </w:rPr>
        <w:t xml:space="preserve"> w pri</w:t>
      </w:r>
      <w:r w:rsidR="00BE7F88" w:rsidRPr="00201A9A">
        <w:rPr>
          <w:noProof/>
        </w:rPr>
        <w:t>orytetach Unii,</w:t>
      </w:r>
      <w:r w:rsidRPr="00201A9A">
        <w:rPr>
          <w:noProof/>
        </w:rPr>
        <w:t xml:space="preserve"> w gra</w:t>
      </w:r>
      <w:r w:rsidR="00BE7F88" w:rsidRPr="00201A9A">
        <w:rPr>
          <w:noProof/>
        </w:rPr>
        <w:t>nicach 30</w:t>
      </w:r>
      <w:r w:rsidRPr="00201A9A">
        <w:rPr>
          <w:noProof/>
        </w:rPr>
        <w:t> </w:t>
      </w:r>
      <w:r w:rsidR="00BE7F88" w:rsidRPr="00201A9A">
        <w:rPr>
          <w:noProof/>
        </w:rPr>
        <w:t>% kwot związanych</w:t>
      </w:r>
      <w:r w:rsidRPr="00201A9A">
        <w:rPr>
          <w:noProof/>
        </w:rPr>
        <w:t xml:space="preserve"> z dan</w:t>
      </w:r>
      <w:r w:rsidR="00BE7F88" w:rsidRPr="00201A9A">
        <w:rPr>
          <w:noProof/>
        </w:rPr>
        <w:t>ymi środkami szczególnymi.</w:t>
      </w:r>
    </w:p>
    <w:p w14:paraId="51044C15" w14:textId="77777777" w:rsidR="00911AC6" w:rsidRPr="00201A9A" w:rsidRDefault="005C49E8" w:rsidP="003E2902">
      <w:pPr>
        <w:pStyle w:val="NumPar10000000"/>
        <w:numPr>
          <w:ilvl w:val="0"/>
          <w:numId w:val="79"/>
        </w:numPr>
        <w:rPr>
          <w:noProof/>
        </w:rPr>
      </w:pPr>
      <w:r w:rsidRPr="00201A9A">
        <w:rPr>
          <w:noProof/>
        </w:rPr>
        <w:t xml:space="preserve">Państwa członkowskie nie są zobowiązane do dokonywania przeglądu tych części planu PKR, na które zmiany proponowane przez państwo członkowskie nie mają bezpośredniego wpływu. </w:t>
      </w:r>
    </w:p>
    <w:p w14:paraId="2CE78F42" w14:textId="77777777" w:rsidR="00911AC6" w:rsidRPr="00201A9A" w:rsidRDefault="00C330EA" w:rsidP="00911AC6">
      <w:pPr>
        <w:pStyle w:val="Titrearticle"/>
        <w:rPr>
          <w:noProof/>
        </w:rPr>
      </w:pPr>
      <w:r w:rsidRPr="00201A9A">
        <w:rPr>
          <w:noProof/>
        </w:rPr>
        <w:t xml:space="preserve">Artykuł 25 </w:t>
      </w:r>
      <w:r w:rsidRPr="00201A9A">
        <w:rPr>
          <w:noProof/>
        </w:rPr>
        <w:br/>
      </w:r>
      <w:r w:rsidRPr="00201A9A">
        <w:rPr>
          <w:b/>
          <w:noProof/>
        </w:rPr>
        <w:t>Przegląd śródokresowy</w:t>
      </w:r>
    </w:p>
    <w:p w14:paraId="4A6F9158" w14:textId="77777777" w:rsidR="00C10D30" w:rsidRPr="00201A9A" w:rsidRDefault="002A6515" w:rsidP="003E2902">
      <w:pPr>
        <w:pStyle w:val="NumPar10000000"/>
        <w:numPr>
          <w:ilvl w:val="0"/>
          <w:numId w:val="40"/>
        </w:numPr>
        <w:rPr>
          <w:noProof/>
        </w:rPr>
      </w:pPr>
      <w:r w:rsidRPr="00201A9A">
        <w:rPr>
          <w:noProof/>
        </w:rPr>
        <w:t>Państwo członkowskie dokonuje przeglądu swoich planów PKR, uwzględniając następujące elementy:</w:t>
      </w:r>
    </w:p>
    <w:p w14:paraId="3527C9EA" w14:textId="115AD366" w:rsidR="00C10D30" w:rsidRPr="00201A9A" w:rsidRDefault="00201A9A" w:rsidP="00201A9A">
      <w:pPr>
        <w:pStyle w:val="Point1"/>
        <w:rPr>
          <w:noProof/>
        </w:rPr>
      </w:pPr>
      <w:r w:rsidRPr="00201A9A">
        <w:rPr>
          <w:noProof/>
        </w:rPr>
        <w:t>a)</w:t>
      </w:r>
      <w:r w:rsidRPr="00201A9A">
        <w:rPr>
          <w:noProof/>
        </w:rPr>
        <w:tab/>
      </w:r>
      <w:r w:rsidR="002A6515" w:rsidRPr="00201A9A">
        <w:rPr>
          <w:noProof/>
        </w:rPr>
        <w:t>wyzwania określone zgodnie</w:t>
      </w:r>
      <w:r w:rsidRPr="00201A9A">
        <w:rPr>
          <w:noProof/>
        </w:rPr>
        <w:t xml:space="preserve"> z art</w:t>
      </w:r>
      <w:r w:rsidR="002A6515" w:rsidRPr="00201A9A">
        <w:rPr>
          <w:noProof/>
        </w:rPr>
        <w:t>.</w:t>
      </w:r>
      <w:r w:rsidRPr="00201A9A">
        <w:rPr>
          <w:noProof/>
        </w:rPr>
        <w:t> </w:t>
      </w:r>
      <w:r w:rsidR="002A6515" w:rsidRPr="00201A9A">
        <w:rPr>
          <w:noProof/>
        </w:rPr>
        <w:t>22 ust.</w:t>
      </w:r>
      <w:r w:rsidRPr="00201A9A">
        <w:rPr>
          <w:noProof/>
        </w:rPr>
        <w:t> </w:t>
      </w:r>
      <w:r w:rsidR="002A6515" w:rsidRPr="00201A9A">
        <w:rPr>
          <w:noProof/>
        </w:rPr>
        <w:t>2 lit.</w:t>
      </w:r>
      <w:r w:rsidRPr="00201A9A">
        <w:rPr>
          <w:noProof/>
        </w:rPr>
        <w:t> </w:t>
      </w:r>
      <w:r w:rsidR="002A6515" w:rsidRPr="00201A9A">
        <w:rPr>
          <w:noProof/>
        </w:rPr>
        <w:t>a), b) i c) [Wymogi określone</w:t>
      </w:r>
      <w:r w:rsidRPr="00201A9A">
        <w:rPr>
          <w:noProof/>
        </w:rPr>
        <w:t xml:space="preserve"> w pla</w:t>
      </w:r>
      <w:r w:rsidR="002A6515" w:rsidRPr="00201A9A">
        <w:rPr>
          <w:noProof/>
        </w:rPr>
        <w:t xml:space="preserve">nie]; </w:t>
      </w:r>
    </w:p>
    <w:p w14:paraId="5279F3E4" w14:textId="0CFAECD2" w:rsidR="005062A8" w:rsidRPr="00201A9A" w:rsidRDefault="00201A9A" w:rsidP="00201A9A">
      <w:pPr>
        <w:pStyle w:val="Point1"/>
        <w:rPr>
          <w:noProof/>
        </w:rPr>
      </w:pPr>
      <w:r w:rsidRPr="00201A9A">
        <w:rPr>
          <w:noProof/>
        </w:rPr>
        <w:t>b)</w:t>
      </w:r>
      <w:r w:rsidRPr="00201A9A">
        <w:rPr>
          <w:noProof/>
        </w:rPr>
        <w:tab/>
      </w:r>
      <w:r w:rsidR="005062A8" w:rsidRPr="00201A9A">
        <w:rPr>
          <w:noProof/>
        </w:rPr>
        <w:t>sytuację społeczno-gospodarczą danego państwa członkowskiego lub regionu, ze szczególnym naciskiem na potrzeby terytorialne,</w:t>
      </w:r>
      <w:r w:rsidRPr="00201A9A">
        <w:rPr>
          <w:noProof/>
        </w:rPr>
        <w:t xml:space="preserve"> z uwz</w:t>
      </w:r>
      <w:r w:rsidR="005062A8" w:rsidRPr="00201A9A">
        <w:rPr>
          <w:noProof/>
        </w:rPr>
        <w:t xml:space="preserve">ględnieniem wszelkich istotnych negatywnych zmian finansowych, gospodarczych lub społecznych; </w:t>
      </w:r>
    </w:p>
    <w:p w14:paraId="2B8E6286" w14:textId="1D0E2110" w:rsidR="00C330EA" w:rsidRPr="00201A9A" w:rsidRDefault="00201A9A" w:rsidP="00201A9A">
      <w:pPr>
        <w:pStyle w:val="Point1"/>
        <w:rPr>
          <w:noProof/>
        </w:rPr>
      </w:pPr>
      <w:r w:rsidRPr="00201A9A">
        <w:rPr>
          <w:noProof/>
        </w:rPr>
        <w:t>c)</w:t>
      </w:r>
      <w:r w:rsidRPr="00201A9A">
        <w:rPr>
          <w:noProof/>
        </w:rPr>
        <w:tab/>
      </w:r>
      <w:r w:rsidR="00C10D30" w:rsidRPr="00201A9A">
        <w:rPr>
          <w:noProof/>
        </w:rPr>
        <w:t>główne wyniki odpowiednich sprawozdań</w:t>
      </w:r>
      <w:r w:rsidRPr="00201A9A">
        <w:rPr>
          <w:noProof/>
        </w:rPr>
        <w:t xml:space="preserve"> z oce</w:t>
      </w:r>
      <w:r w:rsidR="00C10D30" w:rsidRPr="00201A9A">
        <w:rPr>
          <w:noProof/>
        </w:rPr>
        <w:t>ny śródokresowej;</w:t>
      </w:r>
    </w:p>
    <w:p w14:paraId="1066695A" w14:textId="6B180AC7" w:rsidR="002A6515" w:rsidRPr="00201A9A" w:rsidRDefault="00201A9A" w:rsidP="00201A9A">
      <w:pPr>
        <w:pStyle w:val="Point1"/>
        <w:rPr>
          <w:noProof/>
        </w:rPr>
      </w:pPr>
      <w:r w:rsidRPr="00201A9A">
        <w:rPr>
          <w:noProof/>
        </w:rPr>
        <w:t>d)</w:t>
      </w:r>
      <w:r w:rsidRPr="00201A9A">
        <w:rPr>
          <w:noProof/>
        </w:rPr>
        <w:tab/>
      </w:r>
      <w:r w:rsidR="002A6515" w:rsidRPr="00201A9A">
        <w:rPr>
          <w:noProof/>
        </w:rPr>
        <w:t>postępy</w:t>
      </w:r>
      <w:r w:rsidRPr="00201A9A">
        <w:rPr>
          <w:noProof/>
        </w:rPr>
        <w:t xml:space="preserve"> w rea</w:t>
      </w:r>
      <w:r w:rsidR="002A6515" w:rsidRPr="00201A9A">
        <w:rPr>
          <w:noProof/>
        </w:rPr>
        <w:t>lizacji środków przy uwzględnieniu istotnych trudności napotkanych podczas wdrażania planu PKR;</w:t>
      </w:r>
    </w:p>
    <w:p w14:paraId="43E45DCA" w14:textId="4108BB9E" w:rsidR="002A6515" w:rsidRPr="00201A9A" w:rsidRDefault="00201A9A" w:rsidP="00201A9A">
      <w:pPr>
        <w:pStyle w:val="Point1"/>
        <w:rPr>
          <w:noProof/>
        </w:rPr>
      </w:pPr>
      <w:r w:rsidRPr="00201A9A">
        <w:rPr>
          <w:noProof/>
        </w:rPr>
        <w:t>e)</w:t>
      </w:r>
      <w:r w:rsidRPr="00201A9A">
        <w:rPr>
          <w:noProof/>
        </w:rPr>
        <w:tab/>
      </w:r>
      <w:r w:rsidR="00A367CB" w:rsidRPr="00201A9A">
        <w:rPr>
          <w:noProof/>
        </w:rPr>
        <w:t>ważne projekty stanowiące przedmiot wspólnego europejskiego zainteresowania (IPCEI)</w:t>
      </w:r>
      <w:r w:rsidRPr="00201A9A">
        <w:rPr>
          <w:noProof/>
        </w:rPr>
        <w:t xml:space="preserve"> i pro</w:t>
      </w:r>
      <w:r w:rsidR="00A367CB" w:rsidRPr="00201A9A">
        <w:rPr>
          <w:noProof/>
        </w:rPr>
        <w:t>jekty, którym przyznano pieczęć;</w:t>
      </w:r>
    </w:p>
    <w:p w14:paraId="2AEEDBC9" w14:textId="278C94B9" w:rsidR="002A6515" w:rsidRPr="00201A9A" w:rsidRDefault="00201A9A" w:rsidP="00201A9A">
      <w:pPr>
        <w:pStyle w:val="Point1"/>
        <w:rPr>
          <w:noProof/>
        </w:rPr>
      </w:pPr>
      <w:r w:rsidRPr="00201A9A">
        <w:rPr>
          <w:noProof/>
        </w:rPr>
        <w:t>f)</w:t>
      </w:r>
      <w:r w:rsidRPr="00201A9A">
        <w:rPr>
          <w:noProof/>
        </w:rPr>
        <w:tab/>
      </w:r>
      <w:r w:rsidR="002A6515" w:rsidRPr="00201A9A">
        <w:rPr>
          <w:noProof/>
        </w:rPr>
        <w:t>wystąpienie jakiegokolwiek kryzysu;</w:t>
      </w:r>
    </w:p>
    <w:p w14:paraId="287279D9" w14:textId="1EC15AEB" w:rsidR="002A6515" w:rsidRPr="00201A9A" w:rsidRDefault="00201A9A" w:rsidP="00201A9A">
      <w:pPr>
        <w:pStyle w:val="Point1"/>
        <w:rPr>
          <w:noProof/>
        </w:rPr>
      </w:pPr>
      <w:r w:rsidRPr="00201A9A">
        <w:rPr>
          <w:noProof/>
        </w:rPr>
        <w:t>g)</w:t>
      </w:r>
      <w:r w:rsidRPr="00201A9A">
        <w:rPr>
          <w:noProof/>
        </w:rPr>
        <w:tab/>
      </w:r>
      <w:r w:rsidR="002A6515" w:rsidRPr="00201A9A">
        <w:rPr>
          <w:noProof/>
        </w:rPr>
        <w:t>potrzebę zapewnienia ciągłej zgodności</w:t>
      </w:r>
      <w:r w:rsidRPr="00201A9A">
        <w:rPr>
          <w:noProof/>
        </w:rPr>
        <w:t xml:space="preserve"> z war</w:t>
      </w:r>
      <w:r w:rsidR="002A6515" w:rsidRPr="00201A9A">
        <w:rPr>
          <w:noProof/>
        </w:rPr>
        <w:t>unkami horyzontalnymi dotyczącymi państwa prawnego</w:t>
      </w:r>
      <w:r w:rsidRPr="00201A9A">
        <w:rPr>
          <w:noProof/>
        </w:rPr>
        <w:t xml:space="preserve"> i Kar</w:t>
      </w:r>
      <w:r w:rsidR="002A6515" w:rsidRPr="00201A9A">
        <w:rPr>
          <w:noProof/>
        </w:rPr>
        <w:t>ty</w:t>
      </w:r>
      <w:r w:rsidRPr="00201A9A">
        <w:rPr>
          <w:noProof/>
        </w:rPr>
        <w:t xml:space="preserve"> w rea</w:t>
      </w:r>
      <w:r w:rsidR="002A6515" w:rsidRPr="00201A9A">
        <w:rPr>
          <w:noProof/>
        </w:rPr>
        <w:t>lizacji planu,</w:t>
      </w:r>
      <w:r w:rsidRPr="00201A9A">
        <w:rPr>
          <w:noProof/>
        </w:rPr>
        <w:t xml:space="preserve"> z uwz</w:t>
      </w:r>
      <w:r w:rsidR="002A6515" w:rsidRPr="00201A9A">
        <w:rPr>
          <w:noProof/>
        </w:rPr>
        <w:t>ględnieniem</w:t>
      </w:r>
      <w:r w:rsidRPr="00201A9A">
        <w:rPr>
          <w:noProof/>
        </w:rPr>
        <w:t xml:space="preserve"> w szc</w:t>
      </w:r>
      <w:r w:rsidR="002A6515" w:rsidRPr="00201A9A">
        <w:rPr>
          <w:noProof/>
        </w:rPr>
        <w:t>zególności wyzwań specyficznych dla danego kraju wskazanych</w:t>
      </w:r>
      <w:r w:rsidRPr="00201A9A">
        <w:rPr>
          <w:noProof/>
        </w:rPr>
        <w:t xml:space="preserve"> w kon</w:t>
      </w:r>
      <w:r w:rsidR="002A6515" w:rsidRPr="00201A9A">
        <w:rPr>
          <w:noProof/>
        </w:rPr>
        <w:t>tekście sprawozdania na temat praworządności</w:t>
      </w:r>
      <w:r w:rsidRPr="00201A9A">
        <w:rPr>
          <w:noProof/>
        </w:rPr>
        <w:t xml:space="preserve"> i eur</w:t>
      </w:r>
      <w:r w:rsidR="002A6515" w:rsidRPr="00201A9A">
        <w:rPr>
          <w:noProof/>
        </w:rPr>
        <w:t>opejskiego semestru.</w:t>
      </w:r>
    </w:p>
    <w:p w14:paraId="4AB94CC7" w14:textId="4775D33F" w:rsidR="00F06BA3" w:rsidRPr="00201A9A" w:rsidRDefault="002A6515" w:rsidP="003E2902">
      <w:pPr>
        <w:pStyle w:val="NumPar10000000"/>
        <w:numPr>
          <w:ilvl w:val="0"/>
          <w:numId w:val="79"/>
        </w:numPr>
        <w:rPr>
          <w:noProof/>
        </w:rPr>
      </w:pPr>
      <w:r w:rsidRPr="00201A9A">
        <w:rPr>
          <w:noProof/>
        </w:rPr>
        <w:t>Do dnia 31 marca 2031</w:t>
      </w:r>
      <w:r w:rsidR="00201A9A" w:rsidRPr="00201A9A">
        <w:rPr>
          <w:noProof/>
        </w:rPr>
        <w:t> </w:t>
      </w:r>
      <w:r w:rsidRPr="00201A9A">
        <w:rPr>
          <w:noProof/>
        </w:rPr>
        <w:t>r. państwo członkowskie przedkłada zmieniony plan PKR zawierający wyniki przeglądu śródokresowego,</w:t>
      </w:r>
      <w:r w:rsidR="00201A9A" w:rsidRPr="00201A9A">
        <w:rPr>
          <w:noProof/>
        </w:rPr>
        <w:t xml:space="preserve"> w tym</w:t>
      </w:r>
      <w:r w:rsidRPr="00201A9A">
        <w:rPr>
          <w:noProof/>
        </w:rPr>
        <w:t xml:space="preserve"> przegląd szacunkowych łącznych kosztów środków objętych planem oraz propozycję dodatkowych środków, które mają być wspierane kwotą elastyczności,</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14 ust.</w:t>
      </w:r>
      <w:r w:rsidR="00201A9A" w:rsidRPr="00201A9A">
        <w:rPr>
          <w:noProof/>
        </w:rPr>
        <w:t> </w:t>
      </w:r>
      <w:r w:rsidRPr="00201A9A">
        <w:rPr>
          <w:noProof/>
        </w:rPr>
        <w:t xml:space="preserve">2. </w:t>
      </w:r>
    </w:p>
    <w:p w14:paraId="41C34B0E" w14:textId="77777777" w:rsidR="002A6515" w:rsidRPr="00201A9A" w:rsidRDefault="002A6515" w:rsidP="003E2902">
      <w:pPr>
        <w:pStyle w:val="NumPar10000000"/>
        <w:numPr>
          <w:ilvl w:val="0"/>
          <w:numId w:val="79"/>
        </w:numPr>
        <w:rPr>
          <w:rFonts w:eastAsia="Aptos"/>
          <w:noProof/>
        </w:rPr>
      </w:pPr>
      <w:r w:rsidRPr="00201A9A">
        <w:rPr>
          <w:noProof/>
        </w:rPr>
        <w:t>Zmieniony plan PKR zawiera następujące informacje:</w:t>
      </w:r>
    </w:p>
    <w:p w14:paraId="7C232CFA" w14:textId="5E6F5159" w:rsidR="002A6515" w:rsidRPr="00201A9A" w:rsidRDefault="00201A9A" w:rsidP="00201A9A">
      <w:pPr>
        <w:pStyle w:val="Point1"/>
        <w:rPr>
          <w:rFonts w:eastAsia="Times New Roman"/>
          <w:noProof/>
        </w:rPr>
      </w:pPr>
      <w:r w:rsidRPr="00201A9A">
        <w:rPr>
          <w:noProof/>
        </w:rPr>
        <w:t>a)</w:t>
      </w:r>
      <w:r w:rsidRPr="00201A9A">
        <w:rPr>
          <w:noProof/>
        </w:rPr>
        <w:tab/>
      </w:r>
      <w:r w:rsidR="002A6515" w:rsidRPr="00201A9A">
        <w:rPr>
          <w:noProof/>
        </w:rPr>
        <w:t>zmienione lub nowe środki;</w:t>
      </w:r>
    </w:p>
    <w:p w14:paraId="6C816B4D" w14:textId="724848E8" w:rsidR="002A6515" w:rsidRPr="00201A9A" w:rsidRDefault="00201A9A" w:rsidP="00201A9A">
      <w:pPr>
        <w:pStyle w:val="Point1"/>
        <w:rPr>
          <w:rFonts w:eastAsia="Times New Roman"/>
          <w:noProof/>
        </w:rPr>
      </w:pPr>
      <w:r w:rsidRPr="00201A9A">
        <w:rPr>
          <w:noProof/>
        </w:rPr>
        <w:t>b)</w:t>
      </w:r>
      <w:r w:rsidRPr="00201A9A">
        <w:rPr>
          <w:noProof/>
        </w:rPr>
        <w:tab/>
      </w:r>
      <w:r w:rsidR="002A6515" w:rsidRPr="00201A9A">
        <w:rPr>
          <w:noProof/>
        </w:rPr>
        <w:t>zaktualizowane szacunkowe łączne koszty planu</w:t>
      </w:r>
      <w:r w:rsidRPr="00201A9A">
        <w:rPr>
          <w:noProof/>
        </w:rPr>
        <w:t xml:space="preserve"> i wni</w:t>
      </w:r>
      <w:r w:rsidR="002A6515" w:rsidRPr="00201A9A">
        <w:rPr>
          <w:noProof/>
        </w:rPr>
        <w:t>oskowaną kwotę elastyczności;</w:t>
      </w:r>
    </w:p>
    <w:p w14:paraId="3BFE6C2C" w14:textId="343DE493" w:rsidR="002A6515" w:rsidRPr="00201A9A" w:rsidRDefault="00201A9A" w:rsidP="00201A9A">
      <w:pPr>
        <w:pStyle w:val="Point1"/>
        <w:rPr>
          <w:noProof/>
        </w:rPr>
      </w:pPr>
      <w:r w:rsidRPr="00201A9A">
        <w:rPr>
          <w:noProof/>
        </w:rPr>
        <w:t>c)</w:t>
      </w:r>
      <w:r w:rsidRPr="00201A9A">
        <w:rPr>
          <w:noProof/>
        </w:rPr>
        <w:tab/>
      </w:r>
      <w:r w:rsidR="002A6515" w:rsidRPr="00201A9A">
        <w:rPr>
          <w:noProof/>
        </w:rPr>
        <w:t>zmienione lub nowe kamienie milowe</w:t>
      </w:r>
      <w:r w:rsidRPr="00201A9A">
        <w:rPr>
          <w:noProof/>
        </w:rPr>
        <w:t xml:space="preserve"> i war</w:t>
      </w:r>
      <w:r w:rsidR="002A6515" w:rsidRPr="00201A9A">
        <w:rPr>
          <w:noProof/>
        </w:rPr>
        <w:t>tości docelowe.</w:t>
      </w:r>
    </w:p>
    <w:p w14:paraId="2A88AFEC" w14:textId="388F96DE" w:rsidR="002A6515" w:rsidRPr="00201A9A" w:rsidRDefault="002A6515" w:rsidP="003E2902">
      <w:pPr>
        <w:pStyle w:val="NumPar10000000"/>
        <w:numPr>
          <w:ilvl w:val="0"/>
          <w:numId w:val="79"/>
        </w:numPr>
        <w:rPr>
          <w:rFonts w:eastAsia="Aptos"/>
          <w:noProof/>
        </w:rPr>
      </w:pPr>
      <w:r w:rsidRPr="00201A9A">
        <w:rPr>
          <w:noProof/>
        </w:rPr>
        <w:t>Zmieniony plan zatwierdza się zgodnie</w:t>
      </w:r>
      <w:r w:rsidR="00201A9A" w:rsidRPr="00201A9A">
        <w:rPr>
          <w:noProof/>
        </w:rPr>
        <w:t xml:space="preserve"> z art</w:t>
      </w:r>
      <w:r w:rsidRPr="00201A9A">
        <w:rPr>
          <w:noProof/>
        </w:rPr>
        <w:t>.</w:t>
      </w:r>
      <w:r w:rsidR="00201A9A" w:rsidRPr="00201A9A">
        <w:rPr>
          <w:noProof/>
        </w:rPr>
        <w:t> </w:t>
      </w:r>
      <w:r w:rsidRPr="00201A9A">
        <w:rPr>
          <w:noProof/>
        </w:rPr>
        <w:t xml:space="preserve">24 [w sprawie zmiany]. </w:t>
      </w:r>
    </w:p>
    <w:p w14:paraId="58D1C5B4" w14:textId="77777777" w:rsidR="002A6515" w:rsidRPr="00201A9A" w:rsidRDefault="002A6515" w:rsidP="002A6515">
      <w:pPr>
        <w:pStyle w:val="SectionTitle"/>
        <w:rPr>
          <w:noProof/>
        </w:rPr>
      </w:pPr>
      <w:r w:rsidRPr="00201A9A">
        <w:rPr>
          <w:noProof/>
        </w:rPr>
        <w:t xml:space="preserve">TYTUŁ IV </w:t>
      </w:r>
      <w:r w:rsidRPr="00201A9A">
        <w:rPr>
          <w:noProof/>
        </w:rPr>
        <w:br/>
        <w:t>Instrument UE</w:t>
      </w:r>
    </w:p>
    <w:p w14:paraId="029A637C" w14:textId="77777777" w:rsidR="00C330EA" w:rsidRPr="00201A9A" w:rsidRDefault="00C330EA" w:rsidP="00C330EA">
      <w:pPr>
        <w:pStyle w:val="Titrearticle"/>
        <w:rPr>
          <w:noProof/>
        </w:rPr>
      </w:pPr>
      <w:r w:rsidRPr="00201A9A">
        <w:rPr>
          <w:noProof/>
        </w:rPr>
        <w:t xml:space="preserve">Artykuł 26 </w:t>
      </w:r>
      <w:r w:rsidRPr="00201A9A">
        <w:rPr>
          <w:noProof/>
        </w:rPr>
        <w:br/>
      </w:r>
      <w:r w:rsidRPr="00201A9A">
        <w:rPr>
          <w:b/>
          <w:noProof/>
        </w:rPr>
        <w:t>Przepisy ogólne dotyczące wdrażania Instrumentu UE</w:t>
      </w:r>
    </w:p>
    <w:p w14:paraId="77E73E65" w14:textId="2B260ED3" w:rsidR="002A6515" w:rsidRPr="00201A9A" w:rsidRDefault="002A6515" w:rsidP="003E2902">
      <w:pPr>
        <w:pStyle w:val="NumPar10000000"/>
        <w:numPr>
          <w:ilvl w:val="0"/>
          <w:numId w:val="101"/>
        </w:numPr>
        <w:rPr>
          <w:noProof/>
        </w:rPr>
      </w:pPr>
      <w:r w:rsidRPr="00201A9A">
        <w:rPr>
          <w:noProof/>
        </w:rPr>
        <w:t>Kwotę,</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10 ust.</w:t>
      </w:r>
      <w:r w:rsidR="00201A9A" w:rsidRPr="00201A9A">
        <w:rPr>
          <w:noProof/>
        </w:rPr>
        <w:t> </w:t>
      </w:r>
      <w:r w:rsidRPr="00201A9A">
        <w:rPr>
          <w:noProof/>
        </w:rPr>
        <w:t>2 lit.</w:t>
      </w:r>
      <w:r w:rsidR="00201A9A" w:rsidRPr="00201A9A">
        <w:rPr>
          <w:noProof/>
        </w:rPr>
        <w:t> </w:t>
      </w:r>
      <w:r w:rsidRPr="00201A9A">
        <w:rPr>
          <w:noProof/>
        </w:rPr>
        <w:t xml:space="preserve">b) [Budżet], przydziela się za pośrednictwem instrumentu. </w:t>
      </w:r>
    </w:p>
    <w:p w14:paraId="7D51AB4A" w14:textId="11F520B4" w:rsidR="002A6515" w:rsidRPr="00201A9A" w:rsidRDefault="002A6515" w:rsidP="003E2902">
      <w:pPr>
        <w:pStyle w:val="NumPar10000000"/>
        <w:numPr>
          <w:ilvl w:val="0"/>
          <w:numId w:val="79"/>
        </w:numPr>
        <w:rPr>
          <w:noProof/>
          <w:color w:val="000000" w:themeColor="text1"/>
        </w:rPr>
      </w:pPr>
      <w:r w:rsidRPr="00201A9A">
        <w:rPr>
          <w:noProof/>
        </w:rPr>
        <w:t>Jego wdrażanie następuje</w:t>
      </w:r>
      <w:r w:rsidR="00201A9A" w:rsidRPr="00201A9A">
        <w:rPr>
          <w:noProof/>
        </w:rPr>
        <w:t xml:space="preserve"> w ram</w:t>
      </w:r>
      <w:r w:rsidRPr="00201A9A">
        <w:rPr>
          <w:noProof/>
        </w:rPr>
        <w:t>ach zarządzania dzielonego, bezpośredniego lub pośredniego, jak określono</w:t>
      </w:r>
      <w:r w:rsidR="00201A9A" w:rsidRPr="00201A9A">
        <w:rPr>
          <w:noProof/>
        </w:rPr>
        <w:t xml:space="preserve"> w dec</w:t>
      </w:r>
      <w:r w:rsidRPr="00201A9A">
        <w:rPr>
          <w:noProof/>
        </w:rPr>
        <w:t>yzji</w:t>
      </w:r>
      <w:r w:rsidR="00201A9A" w:rsidRPr="00201A9A">
        <w:rPr>
          <w:noProof/>
        </w:rPr>
        <w:t xml:space="preserve"> w spr</w:t>
      </w:r>
      <w:r w:rsidRPr="00201A9A">
        <w:rPr>
          <w:noProof/>
        </w:rPr>
        <w:t>awie finansowania przyjętej zgodnie</w:t>
      </w:r>
      <w:r w:rsidR="00201A9A" w:rsidRPr="00201A9A">
        <w:rPr>
          <w:noProof/>
        </w:rPr>
        <w:t xml:space="preserve"> z art</w:t>
      </w:r>
      <w:r w:rsidRPr="00201A9A">
        <w:rPr>
          <w:noProof/>
        </w:rPr>
        <w:t>.</w:t>
      </w:r>
      <w:r w:rsidR="00201A9A" w:rsidRPr="00201A9A">
        <w:rPr>
          <w:noProof/>
        </w:rPr>
        <w:t> </w:t>
      </w:r>
      <w:r w:rsidRPr="00201A9A">
        <w:rPr>
          <w:noProof/>
        </w:rPr>
        <w:t>31 ust.</w:t>
      </w:r>
      <w:r w:rsidR="00201A9A" w:rsidRPr="00201A9A">
        <w:rPr>
          <w:noProof/>
        </w:rPr>
        <w:t> </w:t>
      </w:r>
      <w:r w:rsidRPr="00201A9A">
        <w:rPr>
          <w:noProof/>
        </w:rPr>
        <w:t>1.</w:t>
      </w:r>
    </w:p>
    <w:p w14:paraId="41253DBA" w14:textId="39144438" w:rsidR="002A6515" w:rsidRPr="00201A9A" w:rsidRDefault="002A6515" w:rsidP="003E2902">
      <w:pPr>
        <w:pStyle w:val="NumPar10000000"/>
        <w:numPr>
          <w:ilvl w:val="0"/>
          <w:numId w:val="79"/>
        </w:numPr>
        <w:rPr>
          <w:noProof/>
        </w:rPr>
      </w:pPr>
      <w:r w:rsidRPr="00201A9A">
        <w:rPr>
          <w:noProof/>
        </w:rPr>
        <w:t xml:space="preserve">Instrument </w:t>
      </w:r>
      <w:r w:rsidRPr="00201A9A">
        <w:rPr>
          <w:noProof/>
          <w:color w:val="000000" w:themeColor="text1"/>
        </w:rPr>
        <w:t>może zapewniać finansowanie</w:t>
      </w:r>
      <w:r w:rsidR="00201A9A" w:rsidRPr="00201A9A">
        <w:rPr>
          <w:noProof/>
        </w:rPr>
        <w:t xml:space="preserve"> w dow</w:t>
      </w:r>
      <w:r w:rsidRPr="00201A9A">
        <w:rPr>
          <w:noProof/>
        </w:rPr>
        <w:t>olnej formie zgodnie</w:t>
      </w:r>
      <w:r w:rsidR="00201A9A" w:rsidRPr="00201A9A">
        <w:rPr>
          <w:noProof/>
        </w:rPr>
        <w:t xml:space="preserve"> z roz</w:t>
      </w:r>
      <w:r w:rsidRPr="00201A9A">
        <w:rPr>
          <w:noProof/>
        </w:rPr>
        <w:t>porządzeniem (UE, Euratom) 2024/2509.</w:t>
      </w:r>
      <w:r w:rsidRPr="00201A9A">
        <w:rPr>
          <w:noProof/>
          <w:color w:val="000000" w:themeColor="text1"/>
        </w:rPr>
        <w:t xml:space="preserve"> </w:t>
      </w:r>
      <w:r w:rsidRPr="00201A9A">
        <w:rPr>
          <w:noProof/>
        </w:rPr>
        <w:t>Może przybrać formę dotacji przyznawanych bezpośrednio organom na podstawie art.</w:t>
      </w:r>
      <w:r w:rsidR="00201A9A" w:rsidRPr="00201A9A">
        <w:rPr>
          <w:noProof/>
        </w:rPr>
        <w:t> </w:t>
      </w:r>
      <w:r w:rsidRPr="00201A9A">
        <w:rPr>
          <w:noProof/>
        </w:rPr>
        <w:t>70 rozporządzenia (UE, Euratom) 2024/2509. Dotacje wdrażane</w:t>
      </w:r>
      <w:r w:rsidR="00201A9A" w:rsidRPr="00201A9A">
        <w:rPr>
          <w:noProof/>
        </w:rPr>
        <w:t xml:space="preserve"> w ram</w:t>
      </w:r>
      <w:r w:rsidRPr="00201A9A">
        <w:rPr>
          <w:noProof/>
        </w:rPr>
        <w:t>ach zarządzania bezpośredniego są udzielane</w:t>
      </w:r>
      <w:r w:rsidR="00201A9A" w:rsidRPr="00201A9A">
        <w:rPr>
          <w:noProof/>
        </w:rPr>
        <w:t xml:space="preserve"> i zar</w:t>
      </w:r>
      <w:r w:rsidRPr="00201A9A">
        <w:rPr>
          <w:noProof/>
        </w:rPr>
        <w:t>ządzane zgodnie</w:t>
      </w:r>
      <w:r w:rsidR="00201A9A" w:rsidRPr="00201A9A">
        <w:rPr>
          <w:noProof/>
        </w:rPr>
        <w:t xml:space="preserve"> z tyt</w:t>
      </w:r>
      <w:r w:rsidRPr="00201A9A">
        <w:rPr>
          <w:noProof/>
        </w:rPr>
        <w:t>ułem VIII tego rozporządzenia. Instrument może również przewidywać finansowanie</w:t>
      </w:r>
      <w:r w:rsidR="00201A9A" w:rsidRPr="00201A9A">
        <w:rPr>
          <w:noProof/>
        </w:rPr>
        <w:t xml:space="preserve"> w for</w:t>
      </w:r>
      <w:r w:rsidRPr="00201A9A">
        <w:rPr>
          <w:noProof/>
        </w:rPr>
        <w:t>mie gwarancji budżetowych</w:t>
      </w:r>
      <w:r w:rsidR="00201A9A" w:rsidRPr="00201A9A">
        <w:rPr>
          <w:noProof/>
        </w:rPr>
        <w:t xml:space="preserve"> i ins</w:t>
      </w:r>
      <w:r w:rsidRPr="00201A9A">
        <w:rPr>
          <w:noProof/>
        </w:rPr>
        <w:t>trumentów finansowych,</w:t>
      </w:r>
      <w:r w:rsidR="00201A9A" w:rsidRPr="00201A9A">
        <w:rPr>
          <w:noProof/>
        </w:rPr>
        <w:t xml:space="preserve"> w tym w poł</w:t>
      </w:r>
      <w:r w:rsidRPr="00201A9A">
        <w:rPr>
          <w:noProof/>
        </w:rPr>
        <w:t>ączeniu</w:t>
      </w:r>
      <w:r w:rsidR="00201A9A" w:rsidRPr="00201A9A">
        <w:rPr>
          <w:noProof/>
        </w:rPr>
        <w:t xml:space="preserve"> z dot</w:t>
      </w:r>
      <w:r w:rsidRPr="00201A9A">
        <w:rPr>
          <w:noProof/>
        </w:rPr>
        <w:t>acjami lub innymi formami bezzwrotnego wsparcia</w:t>
      </w:r>
      <w:r w:rsidR="00201A9A" w:rsidRPr="00201A9A">
        <w:rPr>
          <w:noProof/>
        </w:rPr>
        <w:t xml:space="preserve"> z ins</w:t>
      </w:r>
      <w:r w:rsidRPr="00201A9A">
        <w:rPr>
          <w:noProof/>
        </w:rPr>
        <w:t>trumentów finansowych</w:t>
      </w:r>
      <w:r w:rsidR="00201A9A" w:rsidRPr="00201A9A">
        <w:rPr>
          <w:noProof/>
        </w:rPr>
        <w:t xml:space="preserve"> w ram</w:t>
      </w:r>
      <w:r w:rsidRPr="00201A9A">
        <w:rPr>
          <w:noProof/>
        </w:rPr>
        <w:t>ach działań łączonych.</w:t>
      </w:r>
    </w:p>
    <w:p w14:paraId="4CBDEE8C" w14:textId="22E60022" w:rsidR="002A6515" w:rsidRPr="00201A9A" w:rsidRDefault="002A6515" w:rsidP="003E2902">
      <w:pPr>
        <w:pStyle w:val="NumPar10000000"/>
        <w:numPr>
          <w:ilvl w:val="0"/>
          <w:numId w:val="79"/>
        </w:numPr>
        <w:rPr>
          <w:noProof/>
        </w:rPr>
      </w:pPr>
      <w:r w:rsidRPr="00201A9A">
        <w:rPr>
          <w:noProof/>
        </w:rPr>
        <w:t>Finansowanie</w:t>
      </w:r>
      <w:r w:rsidR="00201A9A" w:rsidRPr="00201A9A">
        <w:rPr>
          <w:noProof/>
        </w:rPr>
        <w:t xml:space="preserve"> w ram</w:t>
      </w:r>
      <w:r w:rsidRPr="00201A9A">
        <w:rPr>
          <w:noProof/>
        </w:rPr>
        <w:t>ach instrumentu wykorzystuje się na jego następujące komponenty:</w:t>
      </w:r>
    </w:p>
    <w:p w14:paraId="2D7552DE" w14:textId="5AA75815" w:rsidR="002A6515" w:rsidRPr="00201A9A" w:rsidRDefault="00201A9A" w:rsidP="00201A9A">
      <w:pPr>
        <w:pStyle w:val="Point1"/>
        <w:rPr>
          <w:noProof/>
        </w:rPr>
      </w:pPr>
      <w:r w:rsidRPr="00201A9A">
        <w:rPr>
          <w:noProof/>
        </w:rPr>
        <w:t>a)</w:t>
      </w:r>
      <w:r w:rsidRPr="00201A9A">
        <w:rPr>
          <w:noProof/>
        </w:rPr>
        <w:tab/>
      </w:r>
      <w:r w:rsidR="009E0B99" w:rsidRPr="00201A9A">
        <w:rPr>
          <w:noProof/>
        </w:rPr>
        <w:t>63 223 000 000 mld EUR na działania Unii,</w:t>
      </w:r>
      <w:r w:rsidRPr="00201A9A">
        <w:rPr>
          <w:noProof/>
        </w:rPr>
        <w:t xml:space="preserve"> w tym</w:t>
      </w:r>
      <w:r w:rsidR="009E0B99" w:rsidRPr="00201A9A">
        <w:rPr>
          <w:noProof/>
        </w:rPr>
        <w:t xml:space="preserve"> sieć bezpieczeństwa opartą na jedności,</w:t>
      </w:r>
      <w:r w:rsidRPr="00201A9A">
        <w:rPr>
          <w:noProof/>
        </w:rPr>
        <w:t xml:space="preserve"> o któ</w:t>
      </w:r>
      <w:r w:rsidR="009E0B99" w:rsidRPr="00201A9A">
        <w:rPr>
          <w:noProof/>
        </w:rPr>
        <w:t>rej mowa</w:t>
      </w:r>
      <w:r w:rsidRPr="00201A9A">
        <w:rPr>
          <w:noProof/>
        </w:rPr>
        <w:t xml:space="preserve"> w pkt </w:t>
      </w:r>
      <w:r w:rsidR="009E0B99" w:rsidRPr="00201A9A">
        <w:rPr>
          <w:noProof/>
        </w:rPr>
        <w:t>1 lit.</w:t>
      </w:r>
      <w:r w:rsidRPr="00201A9A">
        <w:rPr>
          <w:noProof/>
        </w:rPr>
        <w:t> </w:t>
      </w:r>
      <w:r w:rsidR="009E0B99" w:rsidRPr="00201A9A">
        <w:rPr>
          <w:noProof/>
        </w:rPr>
        <w:t>j) załącznika XV [Działania Unii], działania Unii,</w:t>
      </w:r>
      <w:r w:rsidRPr="00201A9A">
        <w:rPr>
          <w:noProof/>
        </w:rPr>
        <w:t xml:space="preserve"> o któ</w:t>
      </w:r>
      <w:r w:rsidR="009E0B99" w:rsidRPr="00201A9A">
        <w:rPr>
          <w:noProof/>
        </w:rPr>
        <w:t>rych mowa</w:t>
      </w:r>
      <w:r w:rsidRPr="00201A9A">
        <w:rPr>
          <w:noProof/>
        </w:rPr>
        <w:t xml:space="preserve"> w zał</w:t>
      </w:r>
      <w:r w:rsidR="009E0B99" w:rsidRPr="00201A9A">
        <w:rPr>
          <w:noProof/>
        </w:rPr>
        <w:t>ączniku XV pkt</w:t>
      </w:r>
      <w:r w:rsidRPr="00201A9A">
        <w:rPr>
          <w:noProof/>
        </w:rPr>
        <w:t> </w:t>
      </w:r>
      <w:r w:rsidR="009E0B99" w:rsidRPr="00201A9A">
        <w:rPr>
          <w:noProof/>
        </w:rPr>
        <w:t>1 lit.</w:t>
      </w:r>
      <w:r w:rsidRPr="00201A9A">
        <w:rPr>
          <w:noProof/>
        </w:rPr>
        <w:t> </w:t>
      </w:r>
      <w:r w:rsidR="009E0B99" w:rsidRPr="00201A9A">
        <w:rPr>
          <w:noProof/>
        </w:rPr>
        <w:t>l) (Działania Unii wspierane</w:t>
      </w:r>
      <w:r w:rsidRPr="00201A9A">
        <w:rPr>
          <w:noProof/>
        </w:rPr>
        <w:t xml:space="preserve"> z Ins</w:t>
      </w:r>
      <w:r w:rsidR="009E0B99" w:rsidRPr="00201A9A">
        <w:rPr>
          <w:noProof/>
        </w:rPr>
        <w:t>trumentu UE, Działania</w:t>
      </w:r>
      <w:r w:rsidRPr="00201A9A">
        <w:rPr>
          <w:noProof/>
        </w:rPr>
        <w:t xml:space="preserve"> w dzi</w:t>
      </w:r>
      <w:r w:rsidR="009E0B99" w:rsidRPr="00201A9A">
        <w:rPr>
          <w:noProof/>
        </w:rPr>
        <w:t>edzinie spraw wewnętrznych), wsparcie działań LIFE,</w:t>
      </w:r>
      <w:r w:rsidRPr="00201A9A">
        <w:rPr>
          <w:noProof/>
        </w:rPr>
        <w:t xml:space="preserve"> o któ</w:t>
      </w:r>
      <w:r w:rsidR="009E0B99" w:rsidRPr="00201A9A">
        <w:rPr>
          <w:noProof/>
        </w:rPr>
        <w:t>rych mowa</w:t>
      </w:r>
      <w:r w:rsidRPr="00201A9A">
        <w:rPr>
          <w:noProof/>
        </w:rPr>
        <w:t xml:space="preserve"> w zał</w:t>
      </w:r>
      <w:r w:rsidR="009E0B99" w:rsidRPr="00201A9A">
        <w:rPr>
          <w:noProof/>
        </w:rPr>
        <w:t>ączniku XV [działania Unii] ust.</w:t>
      </w:r>
      <w:r w:rsidRPr="00201A9A">
        <w:rPr>
          <w:noProof/>
        </w:rPr>
        <w:t> </w:t>
      </w:r>
      <w:r w:rsidR="009E0B99" w:rsidRPr="00201A9A">
        <w:rPr>
          <w:noProof/>
        </w:rPr>
        <w:t>1 lit.</w:t>
      </w:r>
      <w:r w:rsidRPr="00201A9A">
        <w:rPr>
          <w:noProof/>
        </w:rPr>
        <w:t> </w:t>
      </w:r>
      <w:r w:rsidR="009E0B99" w:rsidRPr="00201A9A">
        <w:rPr>
          <w:noProof/>
        </w:rPr>
        <w:t>n), działania solidarnościowe,</w:t>
      </w:r>
      <w:r w:rsidRPr="00201A9A">
        <w:rPr>
          <w:noProof/>
        </w:rPr>
        <w:t xml:space="preserve"> o któ</w:t>
      </w:r>
      <w:r w:rsidR="009E0B99" w:rsidRPr="00201A9A">
        <w:rPr>
          <w:noProof/>
        </w:rPr>
        <w:t>rych mowa</w:t>
      </w:r>
      <w:r w:rsidRPr="00201A9A">
        <w:rPr>
          <w:noProof/>
        </w:rPr>
        <w:t xml:space="preserve"> w zał</w:t>
      </w:r>
      <w:r w:rsidR="009E0B99" w:rsidRPr="00201A9A">
        <w:rPr>
          <w:noProof/>
        </w:rPr>
        <w:t>ączniku XV pkt</w:t>
      </w:r>
      <w:r w:rsidRPr="00201A9A">
        <w:rPr>
          <w:noProof/>
        </w:rPr>
        <w:t> </w:t>
      </w:r>
      <w:r w:rsidR="009E0B99" w:rsidRPr="00201A9A">
        <w:rPr>
          <w:noProof/>
        </w:rPr>
        <w:t>1 lit.</w:t>
      </w:r>
      <w:r w:rsidRPr="00201A9A">
        <w:rPr>
          <w:noProof/>
        </w:rPr>
        <w:t> </w:t>
      </w:r>
      <w:r w:rsidR="009E0B99" w:rsidRPr="00201A9A">
        <w:rPr>
          <w:noProof/>
        </w:rPr>
        <w:t>i) [Działania Unii], wspierane</w:t>
      </w:r>
      <w:r w:rsidRPr="00201A9A">
        <w:rPr>
          <w:noProof/>
        </w:rPr>
        <w:t xml:space="preserve"> z Ins</w:t>
      </w:r>
      <w:r w:rsidR="009E0B99" w:rsidRPr="00201A9A">
        <w:rPr>
          <w:noProof/>
        </w:rPr>
        <w:t>trumentu UE;</w:t>
      </w:r>
    </w:p>
    <w:p w14:paraId="08F8D89B" w14:textId="55A82386" w:rsidR="002A6515" w:rsidRPr="00201A9A" w:rsidRDefault="00201A9A" w:rsidP="00201A9A">
      <w:pPr>
        <w:pStyle w:val="Point1"/>
        <w:rPr>
          <w:noProof/>
        </w:rPr>
      </w:pPr>
      <w:r w:rsidRPr="00201A9A">
        <w:rPr>
          <w:noProof/>
        </w:rPr>
        <w:t>b)</w:t>
      </w:r>
      <w:r w:rsidRPr="00201A9A">
        <w:rPr>
          <w:noProof/>
        </w:rPr>
        <w:tab/>
      </w:r>
      <w:r w:rsidR="009E0B99" w:rsidRPr="00201A9A">
        <w:rPr>
          <w:noProof/>
        </w:rPr>
        <w:t>8 710 000 000 EUR na rezerwę na nowe wyzwania</w:t>
      </w:r>
      <w:r w:rsidRPr="00201A9A">
        <w:rPr>
          <w:noProof/>
        </w:rPr>
        <w:t xml:space="preserve"> i pri</w:t>
      </w:r>
      <w:r w:rsidR="009E0B99" w:rsidRPr="00201A9A">
        <w:rPr>
          <w:noProof/>
        </w:rPr>
        <w:t>orytety („rezerwa budżetowa”).</w:t>
      </w:r>
    </w:p>
    <w:p w14:paraId="4D9A7080" w14:textId="488850D1" w:rsidR="002A6515" w:rsidRPr="00201A9A" w:rsidRDefault="002A6515" w:rsidP="003E2902">
      <w:pPr>
        <w:pStyle w:val="NumPar10000000"/>
        <w:numPr>
          <w:ilvl w:val="0"/>
          <w:numId w:val="79"/>
        </w:numPr>
        <w:rPr>
          <w:noProof/>
        </w:rPr>
      </w:pPr>
      <w:r w:rsidRPr="00201A9A">
        <w:rPr>
          <w:noProof/>
        </w:rPr>
        <w:t>Komisja określa całkowitą kwotę udostępnianą na instrument</w:t>
      </w:r>
      <w:r w:rsidR="00201A9A" w:rsidRPr="00201A9A">
        <w:rPr>
          <w:noProof/>
        </w:rPr>
        <w:t xml:space="preserve"> w ram</w:t>
      </w:r>
      <w:r w:rsidRPr="00201A9A">
        <w:rPr>
          <w:noProof/>
        </w:rPr>
        <w:t>ach środków rocznych</w:t>
      </w:r>
      <w:r w:rsidR="00201A9A" w:rsidRPr="00201A9A">
        <w:rPr>
          <w:noProof/>
        </w:rPr>
        <w:t xml:space="preserve"> z bud</w:t>
      </w:r>
      <w:r w:rsidRPr="00201A9A">
        <w:rPr>
          <w:noProof/>
        </w:rPr>
        <w:t xml:space="preserve">żetu Unii. </w:t>
      </w:r>
    </w:p>
    <w:p w14:paraId="38DAAF33" w14:textId="526ED4EE" w:rsidR="002A6515" w:rsidRPr="00201A9A" w:rsidRDefault="002A6515" w:rsidP="003E2902">
      <w:pPr>
        <w:pStyle w:val="NumPar10000000"/>
        <w:numPr>
          <w:ilvl w:val="0"/>
          <w:numId w:val="79"/>
        </w:numPr>
        <w:rPr>
          <w:noProof/>
          <w:color w:val="000000" w:themeColor="text1"/>
        </w:rPr>
      </w:pPr>
      <w:r w:rsidRPr="00201A9A">
        <w:rPr>
          <w:noProof/>
        </w:rPr>
        <w:t>Działania Unii,</w:t>
      </w:r>
      <w:r w:rsidR="00201A9A" w:rsidRPr="00201A9A">
        <w:rPr>
          <w:noProof/>
        </w:rPr>
        <w:t xml:space="preserve"> o któ</w:t>
      </w:r>
      <w:r w:rsidRPr="00201A9A">
        <w:rPr>
          <w:noProof/>
        </w:rPr>
        <w:t>rych mowa</w:t>
      </w:r>
      <w:r w:rsidR="00201A9A" w:rsidRPr="00201A9A">
        <w:rPr>
          <w:noProof/>
        </w:rPr>
        <w:t xml:space="preserve"> w zał</w:t>
      </w:r>
      <w:r w:rsidRPr="00201A9A">
        <w:rPr>
          <w:noProof/>
        </w:rPr>
        <w:t>ączniku XV ust.</w:t>
      </w:r>
      <w:r w:rsidR="00201A9A" w:rsidRPr="00201A9A">
        <w:rPr>
          <w:noProof/>
        </w:rPr>
        <w:t> </w:t>
      </w:r>
      <w:r w:rsidRPr="00201A9A">
        <w:rPr>
          <w:noProof/>
        </w:rPr>
        <w:t>1 lit.</w:t>
      </w:r>
      <w:r w:rsidR="00201A9A" w:rsidRPr="00201A9A">
        <w:rPr>
          <w:noProof/>
        </w:rPr>
        <w:t> </w:t>
      </w:r>
      <w:r w:rsidRPr="00201A9A">
        <w:rPr>
          <w:noProof/>
        </w:rPr>
        <w:t>c) [Działania Unii wspierane</w:t>
      </w:r>
      <w:r w:rsidR="00201A9A" w:rsidRPr="00201A9A">
        <w:rPr>
          <w:noProof/>
        </w:rPr>
        <w:t xml:space="preserve"> z Ins</w:t>
      </w:r>
      <w:r w:rsidRPr="00201A9A">
        <w:rPr>
          <w:noProof/>
        </w:rPr>
        <w:t>trumentu UE, segment polityki dotyczący inwestycji społecznych</w:t>
      </w:r>
      <w:r w:rsidR="00201A9A" w:rsidRPr="00201A9A">
        <w:rPr>
          <w:noProof/>
        </w:rPr>
        <w:t xml:space="preserve"> i umi</w:t>
      </w:r>
      <w:r w:rsidRPr="00201A9A">
        <w:rPr>
          <w:noProof/>
        </w:rPr>
        <w:t>ejętności] realizuje się zgodnie</w:t>
      </w:r>
      <w:r w:rsidR="00201A9A" w:rsidRPr="00201A9A">
        <w:rPr>
          <w:noProof/>
        </w:rPr>
        <w:t xml:space="preserve"> z ust</w:t>
      </w:r>
      <w:r w:rsidRPr="00201A9A">
        <w:rPr>
          <w:noProof/>
        </w:rPr>
        <w:t>.</w:t>
      </w:r>
      <w:r w:rsidR="00201A9A" w:rsidRPr="00201A9A">
        <w:rPr>
          <w:noProof/>
        </w:rPr>
        <w:t> </w:t>
      </w:r>
      <w:r w:rsidRPr="00201A9A">
        <w:rPr>
          <w:noProof/>
        </w:rPr>
        <w:t>7, 8</w:t>
      </w:r>
      <w:r w:rsidR="00201A9A" w:rsidRPr="00201A9A">
        <w:rPr>
          <w:noProof/>
        </w:rPr>
        <w:t xml:space="preserve"> i 9</w:t>
      </w:r>
      <w:r w:rsidRPr="00201A9A">
        <w:rPr>
          <w:noProof/>
        </w:rPr>
        <w:t xml:space="preserve"> niniejszego artykułu oraz art.</w:t>
      </w:r>
      <w:r w:rsidR="00201A9A" w:rsidRPr="00201A9A">
        <w:rPr>
          <w:noProof/>
        </w:rPr>
        <w:t> </w:t>
      </w:r>
      <w:r w:rsidRPr="00201A9A">
        <w:rPr>
          <w:noProof/>
        </w:rPr>
        <w:t>27 [</w:t>
      </w:r>
      <w:r w:rsidRPr="00201A9A">
        <w:rPr>
          <w:noProof/>
          <w:color w:val="000000" w:themeColor="text1"/>
        </w:rPr>
        <w:t>Wdrażanie</w:t>
      </w:r>
      <w:r w:rsidR="00201A9A" w:rsidRPr="00201A9A">
        <w:rPr>
          <w:noProof/>
          <w:color w:val="000000" w:themeColor="text1"/>
        </w:rPr>
        <w:t xml:space="preserve"> w for</w:t>
      </w:r>
      <w:r w:rsidRPr="00201A9A">
        <w:rPr>
          <w:noProof/>
          <w:color w:val="000000" w:themeColor="text1"/>
        </w:rPr>
        <w:t>mie gwarancji budżetowych, instrumentów finansowych</w:t>
      </w:r>
      <w:r w:rsidR="00201A9A" w:rsidRPr="00201A9A">
        <w:rPr>
          <w:noProof/>
          <w:color w:val="000000" w:themeColor="text1"/>
        </w:rPr>
        <w:t xml:space="preserve"> i dzi</w:t>
      </w:r>
      <w:r w:rsidRPr="00201A9A">
        <w:rPr>
          <w:noProof/>
          <w:color w:val="000000" w:themeColor="text1"/>
        </w:rPr>
        <w:t xml:space="preserve">ałań łączonych]. </w:t>
      </w:r>
    </w:p>
    <w:p w14:paraId="3880030E" w14:textId="2B0EADF8" w:rsidR="002A6515" w:rsidRPr="00201A9A" w:rsidRDefault="002A6515" w:rsidP="00333BA9">
      <w:pPr>
        <w:pStyle w:val="Text1"/>
        <w:rPr>
          <w:noProof/>
        </w:rPr>
      </w:pPr>
      <w:r w:rsidRPr="00201A9A">
        <w:rPr>
          <w:noProof/>
          <w:color w:val="000000" w:themeColor="text1"/>
        </w:rPr>
        <w:t>Do realizacji tych działań Unii zastosowanie mają art.</w:t>
      </w:r>
      <w:r w:rsidR="00201A9A" w:rsidRPr="00201A9A">
        <w:rPr>
          <w:noProof/>
          <w:color w:val="000000" w:themeColor="text1"/>
        </w:rPr>
        <w:t> </w:t>
      </w:r>
      <w:r w:rsidRPr="00201A9A">
        <w:rPr>
          <w:noProof/>
          <w:color w:val="000000" w:themeColor="text1"/>
        </w:rPr>
        <w:t>21–25 [Instrument EFK InvestEU]</w:t>
      </w:r>
      <w:r w:rsidRPr="00201A9A">
        <w:rPr>
          <w:noProof/>
        </w:rPr>
        <w:t>, art.</w:t>
      </w:r>
      <w:r w:rsidR="00201A9A" w:rsidRPr="00201A9A">
        <w:rPr>
          <w:noProof/>
        </w:rPr>
        <w:t> </w:t>
      </w:r>
      <w:r w:rsidRPr="00201A9A">
        <w:rPr>
          <w:noProof/>
        </w:rPr>
        <w:t>14 [Rady zarządzające</w:t>
      </w:r>
      <w:r w:rsidR="00201A9A" w:rsidRPr="00201A9A">
        <w:rPr>
          <w:noProof/>
        </w:rPr>
        <w:t xml:space="preserve"> i dor</w:t>
      </w:r>
      <w:r w:rsidRPr="00201A9A">
        <w:rPr>
          <w:noProof/>
        </w:rPr>
        <w:t>adcze], art.</w:t>
      </w:r>
      <w:r w:rsidR="00201A9A" w:rsidRPr="00201A9A">
        <w:rPr>
          <w:noProof/>
        </w:rPr>
        <w:t> </w:t>
      </w:r>
      <w:r w:rsidRPr="00201A9A">
        <w:rPr>
          <w:noProof/>
        </w:rPr>
        <w:t>1 [Przedmiot], art.</w:t>
      </w:r>
      <w:r w:rsidR="00201A9A" w:rsidRPr="00201A9A">
        <w:rPr>
          <w:noProof/>
        </w:rPr>
        <w:t> </w:t>
      </w:r>
      <w:r w:rsidRPr="00201A9A">
        <w:rPr>
          <w:noProof/>
        </w:rPr>
        <w:t>31 [Dostęp do finansowania unijnego], 26 [Usługi doradcze]</w:t>
      </w:r>
      <w:r w:rsidR="00201A9A" w:rsidRPr="00201A9A">
        <w:rPr>
          <w:noProof/>
        </w:rPr>
        <w:t xml:space="preserve"> i art</w:t>
      </w:r>
      <w:r w:rsidRPr="00201A9A">
        <w:rPr>
          <w:noProof/>
        </w:rPr>
        <w:t>.</w:t>
      </w:r>
      <w:r w:rsidR="00201A9A" w:rsidRPr="00201A9A">
        <w:rPr>
          <w:noProof/>
        </w:rPr>
        <w:t> </w:t>
      </w:r>
      <w:r w:rsidRPr="00201A9A">
        <w:rPr>
          <w:noProof/>
        </w:rPr>
        <w:t>28 [Wsparcie działalności gospodarczej] rozporządzenia [w sprawie EFK].</w:t>
      </w:r>
    </w:p>
    <w:p w14:paraId="22020D86" w14:textId="7BCC876D" w:rsidR="002A6515" w:rsidRPr="00201A9A" w:rsidRDefault="002A6515" w:rsidP="003E2902">
      <w:pPr>
        <w:pStyle w:val="NumPar10000000"/>
        <w:numPr>
          <w:ilvl w:val="0"/>
          <w:numId w:val="79"/>
        </w:numPr>
        <w:rPr>
          <w:noProof/>
          <w:color w:val="000000" w:themeColor="text1"/>
        </w:rPr>
      </w:pPr>
      <w:r w:rsidRPr="00201A9A">
        <w:rPr>
          <w:noProof/>
          <w:color w:val="000000" w:themeColor="text1"/>
        </w:rPr>
        <w:t>Do celów działań</w:t>
      </w:r>
      <w:r w:rsidRPr="00201A9A">
        <w:rPr>
          <w:noProof/>
        </w:rPr>
        <w:t xml:space="preserve"> Unii,</w:t>
      </w:r>
      <w:r w:rsidR="00201A9A" w:rsidRPr="00201A9A">
        <w:rPr>
          <w:noProof/>
        </w:rPr>
        <w:t xml:space="preserve"> o któ</w:t>
      </w:r>
      <w:r w:rsidRPr="00201A9A">
        <w:rPr>
          <w:noProof/>
        </w:rPr>
        <w:t>rych mowa</w:t>
      </w:r>
      <w:r w:rsidR="00201A9A" w:rsidRPr="00201A9A">
        <w:rPr>
          <w:noProof/>
        </w:rPr>
        <w:t xml:space="preserve"> w zał</w:t>
      </w:r>
      <w:r w:rsidRPr="00201A9A">
        <w:rPr>
          <w:noProof/>
        </w:rPr>
        <w:t>ączniku XV ust.</w:t>
      </w:r>
      <w:r w:rsidR="00201A9A" w:rsidRPr="00201A9A">
        <w:rPr>
          <w:noProof/>
        </w:rPr>
        <w:t> </w:t>
      </w:r>
      <w:r w:rsidRPr="00201A9A">
        <w:rPr>
          <w:noProof/>
        </w:rPr>
        <w:t>1 lit.</w:t>
      </w:r>
      <w:r w:rsidR="00201A9A" w:rsidRPr="00201A9A">
        <w:rPr>
          <w:noProof/>
        </w:rPr>
        <w:t> </w:t>
      </w:r>
      <w:r w:rsidRPr="00201A9A">
        <w:rPr>
          <w:noProof/>
        </w:rPr>
        <w:t xml:space="preserve">c), </w:t>
      </w:r>
      <w:r w:rsidRPr="00201A9A">
        <w:rPr>
          <w:noProof/>
          <w:color w:val="000000" w:themeColor="text1"/>
        </w:rPr>
        <w:t>pula środków finansowych instrumentu jest wykorzystywana do tworzenia rezerw na odpowiednią kwotę gwarancji budżetowej ustanowionej w [rozporządzeniu</w:t>
      </w:r>
      <w:r w:rsidR="00201A9A" w:rsidRPr="00201A9A">
        <w:rPr>
          <w:noProof/>
          <w:color w:val="000000" w:themeColor="text1"/>
        </w:rPr>
        <w:t xml:space="preserve"> w spr</w:t>
      </w:r>
      <w:r w:rsidRPr="00201A9A">
        <w:rPr>
          <w:noProof/>
          <w:color w:val="000000" w:themeColor="text1"/>
        </w:rPr>
        <w:t xml:space="preserve">awie EFK]. </w:t>
      </w:r>
    </w:p>
    <w:p w14:paraId="43CD9490" w14:textId="5A2C1ADE" w:rsidR="00F27F86" w:rsidRPr="00201A9A" w:rsidRDefault="002A6515" w:rsidP="003E2902">
      <w:pPr>
        <w:pStyle w:val="NumPar10000000"/>
        <w:numPr>
          <w:ilvl w:val="0"/>
          <w:numId w:val="79"/>
        </w:numPr>
        <w:rPr>
          <w:noProof/>
          <w:color w:val="000000" w:themeColor="text1"/>
        </w:rPr>
      </w:pPr>
      <w:r w:rsidRPr="00201A9A">
        <w:rPr>
          <w:noProof/>
          <w:color w:val="000000" w:themeColor="text1"/>
        </w:rPr>
        <w:t>Zgodnie</w:t>
      </w:r>
      <w:r w:rsidR="00201A9A" w:rsidRPr="00201A9A">
        <w:rPr>
          <w:noProof/>
          <w:color w:val="000000" w:themeColor="text1"/>
        </w:rPr>
        <w:t xml:space="preserve"> z art</w:t>
      </w:r>
      <w:r w:rsidRPr="00201A9A">
        <w:rPr>
          <w:noProof/>
          <w:color w:val="000000" w:themeColor="text1"/>
        </w:rPr>
        <w:t>.</w:t>
      </w:r>
      <w:r w:rsidR="00201A9A" w:rsidRPr="00201A9A">
        <w:rPr>
          <w:noProof/>
          <w:color w:val="000000" w:themeColor="text1"/>
        </w:rPr>
        <w:t> </w:t>
      </w:r>
      <w:r w:rsidRPr="00201A9A">
        <w:rPr>
          <w:noProof/>
          <w:color w:val="000000" w:themeColor="text1"/>
        </w:rPr>
        <w:t>214 ust.</w:t>
      </w:r>
      <w:r w:rsidR="00201A9A" w:rsidRPr="00201A9A">
        <w:rPr>
          <w:noProof/>
          <w:color w:val="000000" w:themeColor="text1"/>
        </w:rPr>
        <w:t> </w:t>
      </w:r>
      <w:r w:rsidRPr="00201A9A">
        <w:rPr>
          <w:noProof/>
          <w:color w:val="000000" w:themeColor="text1"/>
        </w:rPr>
        <w:t>2 rozporządzenia (UE, Euratom) 2024/2509 rezerwy,</w:t>
      </w:r>
      <w:r w:rsidR="00201A9A" w:rsidRPr="00201A9A">
        <w:rPr>
          <w:noProof/>
          <w:color w:val="000000" w:themeColor="text1"/>
        </w:rPr>
        <w:t xml:space="preserve"> o któ</w:t>
      </w:r>
      <w:r w:rsidRPr="00201A9A">
        <w:rPr>
          <w:noProof/>
          <w:color w:val="000000" w:themeColor="text1"/>
        </w:rPr>
        <w:t>rych mowa</w:t>
      </w:r>
      <w:r w:rsidR="00201A9A" w:rsidRPr="00201A9A">
        <w:rPr>
          <w:noProof/>
          <w:color w:val="000000" w:themeColor="text1"/>
        </w:rPr>
        <w:t xml:space="preserve"> w ust</w:t>
      </w:r>
      <w:r w:rsidRPr="00201A9A">
        <w:rPr>
          <w:noProof/>
          <w:color w:val="000000" w:themeColor="text1"/>
        </w:rPr>
        <w:t>.</w:t>
      </w:r>
      <w:r w:rsidR="00201A9A" w:rsidRPr="00201A9A">
        <w:rPr>
          <w:noProof/>
          <w:color w:val="000000" w:themeColor="text1"/>
        </w:rPr>
        <w:t> </w:t>
      </w:r>
      <w:r w:rsidRPr="00201A9A">
        <w:rPr>
          <w:noProof/>
          <w:color w:val="000000" w:themeColor="text1"/>
        </w:rPr>
        <w:t>7, tworzone są do [2037</w:t>
      </w:r>
      <w:r w:rsidR="00201A9A" w:rsidRPr="00201A9A">
        <w:rPr>
          <w:noProof/>
          <w:color w:val="000000" w:themeColor="text1"/>
        </w:rPr>
        <w:t> </w:t>
      </w:r>
      <w:r w:rsidRPr="00201A9A">
        <w:rPr>
          <w:noProof/>
          <w:color w:val="000000" w:themeColor="text1"/>
        </w:rPr>
        <w:t>r.]</w:t>
      </w:r>
      <w:r w:rsidR="00201A9A" w:rsidRPr="00201A9A">
        <w:rPr>
          <w:noProof/>
          <w:color w:val="000000" w:themeColor="text1"/>
        </w:rPr>
        <w:t xml:space="preserve"> i uwz</w:t>
      </w:r>
      <w:r w:rsidRPr="00201A9A">
        <w:rPr>
          <w:noProof/>
          <w:color w:val="000000" w:themeColor="text1"/>
        </w:rPr>
        <w:t>ględniają postępy</w:t>
      </w:r>
      <w:r w:rsidR="00201A9A" w:rsidRPr="00201A9A">
        <w:rPr>
          <w:noProof/>
          <w:color w:val="000000" w:themeColor="text1"/>
        </w:rPr>
        <w:t xml:space="preserve"> w zat</w:t>
      </w:r>
      <w:r w:rsidRPr="00201A9A">
        <w:rPr>
          <w:noProof/>
          <w:color w:val="000000" w:themeColor="text1"/>
        </w:rPr>
        <w:t>wierdzaniu</w:t>
      </w:r>
      <w:r w:rsidR="00201A9A" w:rsidRPr="00201A9A">
        <w:rPr>
          <w:noProof/>
          <w:color w:val="000000" w:themeColor="text1"/>
        </w:rPr>
        <w:t xml:space="preserve"> i pod</w:t>
      </w:r>
      <w:r w:rsidRPr="00201A9A">
        <w:rPr>
          <w:noProof/>
          <w:color w:val="000000" w:themeColor="text1"/>
        </w:rPr>
        <w:t>pisywaniu operacji</w:t>
      </w:r>
      <w:r w:rsidR="00201A9A" w:rsidRPr="00201A9A">
        <w:rPr>
          <w:noProof/>
          <w:color w:val="000000" w:themeColor="text1"/>
        </w:rPr>
        <w:t xml:space="preserve"> z zak</w:t>
      </w:r>
      <w:r w:rsidRPr="00201A9A">
        <w:rPr>
          <w:noProof/>
          <w:color w:val="000000" w:themeColor="text1"/>
        </w:rPr>
        <w:t>resu finansowania</w:t>
      </w:r>
      <w:r w:rsidR="00201A9A" w:rsidRPr="00201A9A">
        <w:rPr>
          <w:noProof/>
          <w:color w:val="000000" w:themeColor="text1"/>
        </w:rPr>
        <w:t xml:space="preserve"> i inw</w:t>
      </w:r>
      <w:r w:rsidRPr="00201A9A">
        <w:rPr>
          <w:noProof/>
          <w:color w:val="000000" w:themeColor="text1"/>
        </w:rPr>
        <w:t>estycji wspierających realizację celów instrumentu.</w:t>
      </w:r>
    </w:p>
    <w:p w14:paraId="40C92BB5" w14:textId="5B20CE94" w:rsidR="00F27F86" w:rsidRPr="00201A9A" w:rsidRDefault="002A6515" w:rsidP="003E2902">
      <w:pPr>
        <w:pStyle w:val="NumPar10000000"/>
        <w:numPr>
          <w:ilvl w:val="0"/>
          <w:numId w:val="79"/>
        </w:numPr>
        <w:rPr>
          <w:noProof/>
          <w:color w:val="000000" w:themeColor="text1"/>
        </w:rPr>
      </w:pPr>
      <w:r w:rsidRPr="00201A9A">
        <w:rPr>
          <w:noProof/>
        </w:rPr>
        <w:t>Państwa członkowskie, instytucje, organy</w:t>
      </w:r>
      <w:r w:rsidR="00201A9A" w:rsidRPr="00201A9A">
        <w:rPr>
          <w:noProof/>
        </w:rPr>
        <w:t xml:space="preserve"> i age</w:t>
      </w:r>
      <w:r w:rsidRPr="00201A9A">
        <w:rPr>
          <w:noProof/>
        </w:rPr>
        <w:t>ncje Unii, państwa trzecie, organizacje międzynarodowe, międzynarodowe instytucje finansowe lub inne osoby trzecie mogą udostępnić dodatkowe wkłady finansowe lub niefinansowe na potrzeby instrumentu. Wkłady finansowe uważa się za zewnętrzne dochody przeznaczone na określony cel</w:t>
      </w:r>
      <w:r w:rsidR="00201A9A" w:rsidRPr="00201A9A">
        <w:rPr>
          <w:noProof/>
        </w:rPr>
        <w:t xml:space="preserve"> w roz</w:t>
      </w:r>
      <w:r w:rsidRPr="00201A9A">
        <w:rPr>
          <w:noProof/>
        </w:rPr>
        <w:t>umieniu art.</w:t>
      </w:r>
      <w:r w:rsidR="00201A9A" w:rsidRPr="00201A9A">
        <w:rPr>
          <w:noProof/>
        </w:rPr>
        <w:t> </w:t>
      </w:r>
      <w:r w:rsidRPr="00201A9A">
        <w:rPr>
          <w:noProof/>
        </w:rPr>
        <w:t>21 ust.</w:t>
      </w:r>
      <w:r w:rsidR="00201A9A" w:rsidRPr="00201A9A">
        <w:rPr>
          <w:noProof/>
        </w:rPr>
        <w:t> </w:t>
      </w:r>
      <w:r w:rsidRPr="00201A9A">
        <w:rPr>
          <w:noProof/>
        </w:rPr>
        <w:t>2 lit.</w:t>
      </w:r>
      <w:r w:rsidR="00201A9A" w:rsidRPr="00201A9A">
        <w:rPr>
          <w:noProof/>
        </w:rPr>
        <w:t> </w:t>
      </w:r>
      <w:r w:rsidRPr="00201A9A">
        <w:rPr>
          <w:noProof/>
        </w:rPr>
        <w:t>a), d) lub e) lub art.</w:t>
      </w:r>
      <w:r w:rsidR="00201A9A" w:rsidRPr="00201A9A">
        <w:rPr>
          <w:noProof/>
        </w:rPr>
        <w:t> </w:t>
      </w:r>
      <w:r w:rsidRPr="00201A9A">
        <w:rPr>
          <w:noProof/>
        </w:rPr>
        <w:t>21 ust.</w:t>
      </w:r>
      <w:r w:rsidR="00201A9A" w:rsidRPr="00201A9A">
        <w:rPr>
          <w:noProof/>
        </w:rPr>
        <w:t> </w:t>
      </w:r>
      <w:r w:rsidRPr="00201A9A">
        <w:rPr>
          <w:noProof/>
        </w:rPr>
        <w:t xml:space="preserve">5 rozporządzenia (UE, Euratom) 2024/2509. </w:t>
      </w:r>
    </w:p>
    <w:p w14:paraId="009E9EF7" w14:textId="4E229502" w:rsidR="002A6515" w:rsidRPr="00201A9A" w:rsidRDefault="002A6515" w:rsidP="003E2902">
      <w:pPr>
        <w:pStyle w:val="NumPar10000000"/>
        <w:numPr>
          <w:ilvl w:val="0"/>
          <w:numId w:val="79"/>
        </w:numPr>
        <w:rPr>
          <w:noProof/>
        </w:rPr>
      </w:pPr>
      <w:r w:rsidRPr="00201A9A">
        <w:rPr>
          <w:noProof/>
        </w:rPr>
        <w:t>Na zasadzie odstępstwa od art.</w:t>
      </w:r>
      <w:r w:rsidR="00201A9A" w:rsidRPr="00201A9A">
        <w:rPr>
          <w:noProof/>
        </w:rPr>
        <w:t> </w:t>
      </w:r>
      <w:r w:rsidRPr="00201A9A">
        <w:rPr>
          <w:noProof/>
        </w:rPr>
        <w:t>63</w:t>
      </w:r>
      <w:r w:rsidR="00201A9A" w:rsidRPr="00201A9A">
        <w:rPr>
          <w:noProof/>
        </w:rPr>
        <w:t xml:space="preserve"> i 6</w:t>
      </w:r>
      <w:r w:rsidRPr="00201A9A">
        <w:rPr>
          <w:noProof/>
        </w:rPr>
        <w:t>4 [Gromadzenie</w:t>
      </w:r>
      <w:r w:rsidR="00201A9A" w:rsidRPr="00201A9A">
        <w:rPr>
          <w:noProof/>
        </w:rPr>
        <w:t xml:space="preserve"> i rej</w:t>
      </w:r>
      <w:r w:rsidRPr="00201A9A">
        <w:rPr>
          <w:noProof/>
        </w:rPr>
        <w:t>estrowanie danych oraz przejrzystość],</w:t>
      </w:r>
      <w:r w:rsidR="00201A9A" w:rsidRPr="00201A9A">
        <w:rPr>
          <w:noProof/>
        </w:rPr>
        <w:t xml:space="preserve"> w prz</w:t>
      </w:r>
      <w:r w:rsidRPr="00201A9A">
        <w:rPr>
          <w:noProof/>
        </w:rPr>
        <w:t>ypadku gdy instrument jest wdrażany</w:t>
      </w:r>
      <w:r w:rsidR="00201A9A" w:rsidRPr="00201A9A">
        <w:rPr>
          <w:noProof/>
        </w:rPr>
        <w:t xml:space="preserve"> w ram</w:t>
      </w:r>
      <w:r w:rsidRPr="00201A9A">
        <w:rPr>
          <w:noProof/>
        </w:rPr>
        <w:t>ach zarządzania bezpośredniego lub pośredniego, zastosowanie mają przepisy określone</w:t>
      </w:r>
      <w:r w:rsidR="00201A9A" w:rsidRPr="00201A9A">
        <w:rPr>
          <w:noProof/>
        </w:rPr>
        <w:t xml:space="preserve"> w art</w:t>
      </w:r>
      <w:r w:rsidRPr="00201A9A">
        <w:rPr>
          <w:noProof/>
        </w:rPr>
        <w:t>.</w:t>
      </w:r>
      <w:r w:rsidR="00201A9A" w:rsidRPr="00201A9A">
        <w:rPr>
          <w:noProof/>
        </w:rPr>
        <w:t> </w:t>
      </w:r>
      <w:r w:rsidRPr="00201A9A">
        <w:rPr>
          <w:noProof/>
        </w:rPr>
        <w:t>36 ust.</w:t>
      </w:r>
      <w:r w:rsidR="00201A9A" w:rsidRPr="00201A9A">
        <w:rPr>
          <w:noProof/>
        </w:rPr>
        <w:t> </w:t>
      </w:r>
      <w:r w:rsidRPr="00201A9A">
        <w:rPr>
          <w:noProof/>
        </w:rPr>
        <w:t>6</w:t>
      </w:r>
      <w:r w:rsidR="00201A9A" w:rsidRPr="00201A9A">
        <w:rPr>
          <w:noProof/>
        </w:rPr>
        <w:t xml:space="preserve"> i 1</w:t>
      </w:r>
      <w:r w:rsidRPr="00201A9A">
        <w:rPr>
          <w:noProof/>
        </w:rPr>
        <w:t>0 oraz art.</w:t>
      </w:r>
      <w:r w:rsidR="00201A9A" w:rsidRPr="00201A9A">
        <w:rPr>
          <w:noProof/>
        </w:rPr>
        <w:t> </w:t>
      </w:r>
      <w:r w:rsidRPr="00201A9A">
        <w:rPr>
          <w:noProof/>
        </w:rPr>
        <w:t>38 rozporządzenia (UE, Euratom) 2024/2509.</w:t>
      </w:r>
    </w:p>
    <w:p w14:paraId="604525E5" w14:textId="43F3C8B3" w:rsidR="00184A5F" w:rsidRPr="00201A9A" w:rsidRDefault="6CDECD9B" w:rsidP="003E2902">
      <w:pPr>
        <w:pStyle w:val="NumPar10000000"/>
        <w:numPr>
          <w:ilvl w:val="0"/>
          <w:numId w:val="79"/>
        </w:numPr>
        <w:rPr>
          <w:noProof/>
        </w:rPr>
      </w:pPr>
      <w:r w:rsidRPr="00201A9A">
        <w:rPr>
          <w:noProof/>
        </w:rPr>
        <w:t>Instrument może zapewniać wsparcie Unii na rzecz działań prowadzonych</w:t>
      </w:r>
      <w:r w:rsidR="00201A9A" w:rsidRPr="00201A9A">
        <w:rPr>
          <w:noProof/>
        </w:rPr>
        <w:t xml:space="preserve"> w pań</w:t>
      </w:r>
      <w:r w:rsidRPr="00201A9A">
        <w:rPr>
          <w:noProof/>
        </w:rPr>
        <w:t>stwach trzecich lub dotyczących państw trzecich, pod warunkiem że działanie to przyczynia się do osiągnięcia celów określonych</w:t>
      </w:r>
      <w:r w:rsidR="00201A9A" w:rsidRPr="00201A9A">
        <w:rPr>
          <w:noProof/>
        </w:rPr>
        <w:t xml:space="preserve"> w art</w:t>
      </w:r>
      <w:r w:rsidRPr="00201A9A">
        <w:rPr>
          <w:noProof/>
        </w:rPr>
        <w:t>.</w:t>
      </w:r>
      <w:r w:rsidR="00201A9A" w:rsidRPr="00201A9A">
        <w:rPr>
          <w:noProof/>
        </w:rPr>
        <w:t> </w:t>
      </w:r>
      <w:r w:rsidRPr="00201A9A">
        <w:rPr>
          <w:noProof/>
        </w:rPr>
        <w:t>2</w:t>
      </w:r>
      <w:r w:rsidR="00201A9A" w:rsidRPr="00201A9A">
        <w:rPr>
          <w:noProof/>
        </w:rPr>
        <w:t xml:space="preserve"> i 3</w:t>
      </w:r>
      <w:r w:rsidRPr="00201A9A">
        <w:rPr>
          <w:noProof/>
        </w:rPr>
        <w:t xml:space="preserve"> niniejszego rozporządzenia, art.</w:t>
      </w:r>
      <w:r w:rsidR="00201A9A" w:rsidRPr="00201A9A">
        <w:rPr>
          <w:noProof/>
        </w:rPr>
        <w:t> </w:t>
      </w:r>
      <w:r w:rsidRPr="00201A9A">
        <w:rPr>
          <w:noProof/>
        </w:rPr>
        <w:t>3 rozporządzenia [azyl</w:t>
      </w:r>
      <w:r w:rsidR="00201A9A" w:rsidRPr="00201A9A">
        <w:rPr>
          <w:noProof/>
        </w:rPr>
        <w:t xml:space="preserve"> i mig</w:t>
      </w:r>
      <w:r w:rsidRPr="00201A9A">
        <w:rPr>
          <w:noProof/>
        </w:rPr>
        <w:t>racja], art.</w:t>
      </w:r>
      <w:r w:rsidR="00201A9A" w:rsidRPr="00201A9A">
        <w:rPr>
          <w:noProof/>
        </w:rPr>
        <w:t> </w:t>
      </w:r>
      <w:r w:rsidRPr="00201A9A">
        <w:rPr>
          <w:noProof/>
        </w:rPr>
        <w:t>3 rozporządzenia [w sprawie granic</w:t>
      </w:r>
      <w:r w:rsidR="00201A9A" w:rsidRPr="00201A9A">
        <w:rPr>
          <w:noProof/>
        </w:rPr>
        <w:t xml:space="preserve"> i wiz</w:t>
      </w:r>
      <w:r w:rsidRPr="00201A9A">
        <w:rPr>
          <w:noProof/>
        </w:rPr>
        <w:t>] oraz art.</w:t>
      </w:r>
      <w:r w:rsidR="00201A9A" w:rsidRPr="00201A9A">
        <w:rPr>
          <w:noProof/>
        </w:rPr>
        <w:t> </w:t>
      </w:r>
      <w:r w:rsidRPr="00201A9A">
        <w:rPr>
          <w:noProof/>
        </w:rPr>
        <w:t>3 rozporządzenia [bezpieczeństwo wewnętrzne]. Działania takie służą interesom wewnętrznych polityk Unii i są spójne</w:t>
      </w:r>
      <w:r w:rsidR="00201A9A" w:rsidRPr="00201A9A">
        <w:rPr>
          <w:noProof/>
        </w:rPr>
        <w:t xml:space="preserve"> z dzi</w:t>
      </w:r>
      <w:r w:rsidRPr="00201A9A">
        <w:rPr>
          <w:noProof/>
        </w:rPr>
        <w:t>ałaniami podejmowanymi</w:t>
      </w:r>
      <w:r w:rsidR="00201A9A" w:rsidRPr="00201A9A">
        <w:rPr>
          <w:noProof/>
        </w:rPr>
        <w:t xml:space="preserve"> w ram</w:t>
      </w:r>
      <w:r w:rsidRPr="00201A9A">
        <w:rPr>
          <w:noProof/>
        </w:rPr>
        <w:t>ach Unii.</w:t>
      </w:r>
    </w:p>
    <w:p w14:paraId="57CBBCED" w14:textId="529788A8" w:rsidR="00C330EA" w:rsidRPr="00201A9A" w:rsidRDefault="00C330EA" w:rsidP="00C330EA">
      <w:pPr>
        <w:pStyle w:val="Titrearticle"/>
        <w:rPr>
          <w:noProof/>
        </w:rPr>
      </w:pPr>
      <w:r w:rsidRPr="00201A9A">
        <w:rPr>
          <w:noProof/>
        </w:rPr>
        <w:t xml:space="preserve">Artykuł 27 </w:t>
      </w:r>
      <w:r w:rsidRPr="00201A9A">
        <w:rPr>
          <w:noProof/>
        </w:rPr>
        <w:br/>
      </w:r>
      <w:r w:rsidRPr="00201A9A">
        <w:rPr>
          <w:b/>
          <w:noProof/>
        </w:rPr>
        <w:t>Wdrażanie</w:t>
      </w:r>
      <w:r w:rsidR="00201A9A" w:rsidRPr="00201A9A">
        <w:rPr>
          <w:b/>
          <w:noProof/>
        </w:rPr>
        <w:t xml:space="preserve"> w for</w:t>
      </w:r>
      <w:r w:rsidRPr="00201A9A">
        <w:rPr>
          <w:b/>
          <w:noProof/>
        </w:rPr>
        <w:t>mie gwarancji budżetowych, instrumentów finansowych</w:t>
      </w:r>
      <w:r w:rsidR="00201A9A" w:rsidRPr="00201A9A">
        <w:rPr>
          <w:b/>
          <w:noProof/>
        </w:rPr>
        <w:t xml:space="preserve"> i dzi</w:t>
      </w:r>
      <w:r w:rsidRPr="00201A9A">
        <w:rPr>
          <w:b/>
          <w:noProof/>
        </w:rPr>
        <w:t>ałań łączonych</w:t>
      </w:r>
    </w:p>
    <w:p w14:paraId="3E1BA345" w14:textId="62F39915" w:rsidR="002A6515" w:rsidRPr="00201A9A" w:rsidRDefault="002A6515" w:rsidP="003E2902">
      <w:pPr>
        <w:pStyle w:val="NumPar10000000"/>
        <w:numPr>
          <w:ilvl w:val="0"/>
          <w:numId w:val="89"/>
        </w:numPr>
        <w:rPr>
          <w:noProof/>
        </w:rPr>
      </w:pPr>
      <w:r w:rsidRPr="00201A9A">
        <w:rPr>
          <w:noProof/>
        </w:rPr>
        <w:t>Gwarancje budżetowe</w:t>
      </w:r>
      <w:r w:rsidR="00201A9A" w:rsidRPr="00201A9A">
        <w:rPr>
          <w:noProof/>
        </w:rPr>
        <w:t xml:space="preserve"> i ins</w:t>
      </w:r>
      <w:r w:rsidRPr="00201A9A">
        <w:rPr>
          <w:noProof/>
        </w:rPr>
        <w:t>trumenty finansowe,</w:t>
      </w:r>
      <w:r w:rsidR="00201A9A" w:rsidRPr="00201A9A">
        <w:rPr>
          <w:noProof/>
        </w:rPr>
        <w:t xml:space="preserve"> w tym w poł</w:t>
      </w:r>
      <w:r w:rsidRPr="00201A9A">
        <w:rPr>
          <w:noProof/>
        </w:rPr>
        <w:t>ączeniu</w:t>
      </w:r>
      <w:r w:rsidR="00201A9A" w:rsidRPr="00201A9A">
        <w:rPr>
          <w:noProof/>
        </w:rPr>
        <w:t xml:space="preserve"> z dot</w:t>
      </w:r>
      <w:r w:rsidRPr="00201A9A">
        <w:rPr>
          <w:noProof/>
        </w:rPr>
        <w:t>acjami lub innymi formami bezzwrotnego wsparcia</w:t>
      </w:r>
      <w:r w:rsidR="00201A9A" w:rsidRPr="00201A9A">
        <w:rPr>
          <w:noProof/>
        </w:rPr>
        <w:t xml:space="preserve"> w ram</w:t>
      </w:r>
      <w:r w:rsidRPr="00201A9A">
        <w:rPr>
          <w:noProof/>
        </w:rPr>
        <w:t>ach działań łączonych</w:t>
      </w:r>
      <w:r w:rsidR="00201A9A" w:rsidRPr="00201A9A">
        <w:rPr>
          <w:noProof/>
        </w:rPr>
        <w:t xml:space="preserve"> w ram</w:t>
      </w:r>
      <w:r w:rsidRPr="00201A9A">
        <w:rPr>
          <w:noProof/>
        </w:rPr>
        <w:t>ach Instrumentu, są wdrażane zgodnie</w:t>
      </w:r>
      <w:r w:rsidR="00201A9A" w:rsidRPr="00201A9A">
        <w:rPr>
          <w:noProof/>
        </w:rPr>
        <w:t xml:space="preserve"> z tyt</w:t>
      </w:r>
      <w:r w:rsidRPr="00201A9A">
        <w:rPr>
          <w:noProof/>
        </w:rPr>
        <w:t>ułem X rozporządzenia (UE, Euratom) 2024/2509.</w:t>
      </w:r>
    </w:p>
    <w:p w14:paraId="4553595F" w14:textId="27893CE6" w:rsidR="002A6515" w:rsidRPr="00201A9A" w:rsidRDefault="002A6515" w:rsidP="003E2902">
      <w:pPr>
        <w:pStyle w:val="NumPar10000000"/>
        <w:numPr>
          <w:ilvl w:val="0"/>
          <w:numId w:val="79"/>
        </w:numPr>
        <w:rPr>
          <w:noProof/>
        </w:rPr>
      </w:pPr>
      <w:r w:rsidRPr="00201A9A">
        <w:rPr>
          <w:noProof/>
        </w:rPr>
        <w:t>Na zasadzie odstępstwa od art.</w:t>
      </w:r>
      <w:r w:rsidR="00201A9A" w:rsidRPr="00201A9A">
        <w:rPr>
          <w:noProof/>
        </w:rPr>
        <w:t> </w:t>
      </w:r>
      <w:r w:rsidRPr="00201A9A">
        <w:rPr>
          <w:noProof/>
        </w:rPr>
        <w:t>211 ust.</w:t>
      </w:r>
      <w:r w:rsidR="00201A9A" w:rsidRPr="00201A9A">
        <w:rPr>
          <w:noProof/>
        </w:rPr>
        <w:t> </w:t>
      </w:r>
      <w:r w:rsidRPr="00201A9A">
        <w:rPr>
          <w:noProof/>
        </w:rPr>
        <w:t>5 rozporządzenia (UE, Euratom) 2024/2509,</w:t>
      </w:r>
      <w:r w:rsidR="00201A9A" w:rsidRPr="00201A9A">
        <w:rPr>
          <w:noProof/>
        </w:rPr>
        <w:t xml:space="preserve"> w prz</w:t>
      </w:r>
      <w:r w:rsidRPr="00201A9A">
        <w:rPr>
          <w:noProof/>
        </w:rPr>
        <w:t>ypadku gdy instrumenty finansowe lub gwarancje budżetowe są wdrażane</w:t>
      </w:r>
      <w:r w:rsidR="00201A9A" w:rsidRPr="00201A9A">
        <w:rPr>
          <w:noProof/>
        </w:rPr>
        <w:t xml:space="preserve"> w ram</w:t>
      </w:r>
      <w:r w:rsidRPr="00201A9A">
        <w:rPr>
          <w:noProof/>
        </w:rPr>
        <w:t>ach zarządzania pośredniego, Komisja zawiera umowy</w:t>
      </w:r>
      <w:r w:rsidR="00201A9A" w:rsidRPr="00201A9A">
        <w:rPr>
          <w:noProof/>
        </w:rPr>
        <w:t xml:space="preserve"> z pod</w:t>
      </w:r>
      <w:r w:rsidRPr="00201A9A">
        <w:rPr>
          <w:noProof/>
        </w:rPr>
        <w:t>miotami na podstawie art.</w:t>
      </w:r>
      <w:r w:rsidR="00201A9A" w:rsidRPr="00201A9A">
        <w:rPr>
          <w:noProof/>
        </w:rPr>
        <w:t> </w:t>
      </w:r>
      <w:r w:rsidRPr="00201A9A">
        <w:rPr>
          <w:noProof/>
        </w:rPr>
        <w:t>62 ust.</w:t>
      </w:r>
      <w:r w:rsidR="00201A9A" w:rsidRPr="00201A9A">
        <w:rPr>
          <w:noProof/>
        </w:rPr>
        <w:t> </w:t>
      </w:r>
      <w:r w:rsidRPr="00201A9A">
        <w:rPr>
          <w:noProof/>
        </w:rPr>
        <w:t>1 akapit pierwszy lit.</w:t>
      </w:r>
      <w:r w:rsidR="00201A9A" w:rsidRPr="00201A9A">
        <w:rPr>
          <w:noProof/>
        </w:rPr>
        <w:t> </w:t>
      </w:r>
      <w:r w:rsidRPr="00201A9A">
        <w:rPr>
          <w:noProof/>
        </w:rPr>
        <w:t xml:space="preserve">c) tego rozporządzenia. </w:t>
      </w:r>
    </w:p>
    <w:p w14:paraId="29985A0B" w14:textId="6FF31154" w:rsidR="002A6515" w:rsidRPr="00201A9A" w:rsidRDefault="002A6515" w:rsidP="003E2902">
      <w:pPr>
        <w:pStyle w:val="NumPar10000000"/>
        <w:numPr>
          <w:ilvl w:val="0"/>
          <w:numId w:val="79"/>
        </w:numPr>
        <w:rPr>
          <w:noProof/>
        </w:rPr>
      </w:pPr>
      <w:r w:rsidRPr="00201A9A">
        <w:rPr>
          <w:noProof/>
        </w:rPr>
        <w:t>W przypadku gdy</w:t>
      </w:r>
      <w:r w:rsidR="00201A9A" w:rsidRPr="00201A9A">
        <w:rPr>
          <w:noProof/>
        </w:rPr>
        <w:t xml:space="preserve"> w dec</w:t>
      </w:r>
      <w:r w:rsidRPr="00201A9A">
        <w:rPr>
          <w:noProof/>
        </w:rPr>
        <w:t>yzji</w:t>
      </w:r>
      <w:r w:rsidR="00201A9A" w:rsidRPr="00201A9A">
        <w:rPr>
          <w:noProof/>
        </w:rPr>
        <w:t xml:space="preserve"> w spr</w:t>
      </w:r>
      <w:r w:rsidRPr="00201A9A">
        <w:rPr>
          <w:noProof/>
        </w:rPr>
        <w:t>awie finansowania wdrażającej instrument przewidziano finansowanie unijne</w:t>
      </w:r>
      <w:r w:rsidR="00201A9A" w:rsidRPr="00201A9A">
        <w:rPr>
          <w:noProof/>
        </w:rPr>
        <w:t xml:space="preserve"> w for</w:t>
      </w:r>
      <w:r w:rsidRPr="00201A9A">
        <w:rPr>
          <w:noProof/>
        </w:rPr>
        <w:t>mie gwarancji budżetowej, wykorzystuje on gwarancję budżetową ustanowioną rozporządzeniem XX [rozporządzenie</w:t>
      </w:r>
      <w:r w:rsidR="00201A9A" w:rsidRPr="00201A9A">
        <w:rPr>
          <w:noProof/>
        </w:rPr>
        <w:t xml:space="preserve"> w spr</w:t>
      </w:r>
      <w:r w:rsidRPr="00201A9A">
        <w:rPr>
          <w:noProof/>
        </w:rPr>
        <w:t>awie EFK]</w:t>
      </w:r>
      <w:r w:rsidR="00201A9A" w:rsidRPr="00201A9A">
        <w:rPr>
          <w:noProof/>
        </w:rPr>
        <w:t xml:space="preserve"> w ram</w:t>
      </w:r>
      <w:r w:rsidRPr="00201A9A">
        <w:rPr>
          <w:noProof/>
        </w:rPr>
        <w:t xml:space="preserve">ach jej maksymalnej kwoty. </w:t>
      </w:r>
    </w:p>
    <w:p w14:paraId="54C32B3E" w14:textId="707464D8" w:rsidR="002A6515" w:rsidRPr="00201A9A" w:rsidRDefault="002A6515" w:rsidP="003E2902">
      <w:pPr>
        <w:pStyle w:val="NumPar10000000"/>
        <w:numPr>
          <w:ilvl w:val="0"/>
          <w:numId w:val="79"/>
        </w:numPr>
        <w:rPr>
          <w:noProof/>
        </w:rPr>
      </w:pPr>
      <w:r w:rsidRPr="00201A9A">
        <w:rPr>
          <w:noProof/>
        </w:rPr>
        <w:t>Bez uszczerbku dla art.</w:t>
      </w:r>
      <w:r w:rsidR="00201A9A" w:rsidRPr="00201A9A">
        <w:rPr>
          <w:noProof/>
        </w:rPr>
        <w:t> </w:t>
      </w:r>
      <w:r w:rsidRPr="00201A9A">
        <w:rPr>
          <w:noProof/>
        </w:rPr>
        <w:t>26 ust.</w:t>
      </w:r>
      <w:r w:rsidR="00201A9A" w:rsidRPr="00201A9A">
        <w:rPr>
          <w:noProof/>
        </w:rPr>
        <w:t> </w:t>
      </w:r>
      <w:r w:rsidRPr="00201A9A">
        <w:rPr>
          <w:noProof/>
        </w:rPr>
        <w:t>9 państwa członkowskie, państwa trzecie</w:t>
      </w:r>
      <w:r w:rsidR="00201A9A" w:rsidRPr="00201A9A">
        <w:rPr>
          <w:noProof/>
        </w:rPr>
        <w:t xml:space="preserve"> i inn</w:t>
      </w:r>
      <w:r w:rsidRPr="00201A9A">
        <w:rPr>
          <w:noProof/>
        </w:rPr>
        <w:t>e osoby trzecie mogą wnosić określone wkłady na rzecz gwarancji budżetowej ustanowionej przez [EFK] lub na rzecz instrumentów finansowych zgodnie</w:t>
      </w:r>
      <w:r w:rsidR="00201A9A" w:rsidRPr="00201A9A">
        <w:rPr>
          <w:noProof/>
        </w:rPr>
        <w:t xml:space="preserve"> z art</w:t>
      </w:r>
      <w:r w:rsidRPr="00201A9A">
        <w:rPr>
          <w:noProof/>
        </w:rPr>
        <w:t>.</w:t>
      </w:r>
      <w:r w:rsidR="00201A9A" w:rsidRPr="00201A9A">
        <w:rPr>
          <w:noProof/>
        </w:rPr>
        <w:t> </w:t>
      </w:r>
      <w:r w:rsidRPr="00201A9A">
        <w:rPr>
          <w:noProof/>
        </w:rPr>
        <w:t>211 ust.</w:t>
      </w:r>
      <w:r w:rsidR="00201A9A" w:rsidRPr="00201A9A">
        <w:rPr>
          <w:noProof/>
        </w:rPr>
        <w:t> </w:t>
      </w:r>
      <w:r w:rsidRPr="00201A9A">
        <w:rPr>
          <w:noProof/>
        </w:rPr>
        <w:t>2</w:t>
      </w:r>
      <w:r w:rsidR="00201A9A" w:rsidRPr="00201A9A">
        <w:rPr>
          <w:noProof/>
        </w:rPr>
        <w:t xml:space="preserve"> i art</w:t>
      </w:r>
      <w:r w:rsidRPr="00201A9A">
        <w:rPr>
          <w:noProof/>
        </w:rPr>
        <w:t>.</w:t>
      </w:r>
      <w:r w:rsidR="00201A9A" w:rsidRPr="00201A9A">
        <w:rPr>
          <w:noProof/>
        </w:rPr>
        <w:t> </w:t>
      </w:r>
      <w:r w:rsidRPr="00201A9A">
        <w:rPr>
          <w:noProof/>
        </w:rPr>
        <w:t>221 ust.</w:t>
      </w:r>
      <w:r w:rsidR="00201A9A" w:rsidRPr="00201A9A">
        <w:rPr>
          <w:noProof/>
        </w:rPr>
        <w:t> </w:t>
      </w:r>
      <w:r w:rsidRPr="00201A9A">
        <w:rPr>
          <w:noProof/>
        </w:rPr>
        <w:t xml:space="preserve">2 rozporządzenia (UE, Euratom) 2024/2509. Takie wkłady na rzecz gwarancji budżetowej skutkują dodatkową kwotą gwarancji budżetowej. </w:t>
      </w:r>
    </w:p>
    <w:p w14:paraId="5E5EBBCB" w14:textId="164A3590" w:rsidR="002A6515" w:rsidRPr="00201A9A" w:rsidRDefault="002A6515" w:rsidP="00333BA9">
      <w:pPr>
        <w:pStyle w:val="Text1"/>
        <w:rPr>
          <w:noProof/>
        </w:rPr>
      </w:pPr>
      <w:r w:rsidRPr="00201A9A">
        <w:rPr>
          <w:noProof/>
        </w:rPr>
        <w:t>W przypadku gdy takie wkłady finansowe są wnoszone</w:t>
      </w:r>
      <w:r w:rsidR="00201A9A" w:rsidRPr="00201A9A">
        <w:rPr>
          <w:noProof/>
        </w:rPr>
        <w:t xml:space="preserve"> w for</w:t>
      </w:r>
      <w:r w:rsidRPr="00201A9A">
        <w:rPr>
          <w:noProof/>
        </w:rPr>
        <w:t>mie gotówkowej, uważa się je za zewnętrzne dochody przeznaczone na określony cel</w:t>
      </w:r>
      <w:r w:rsidR="00201A9A" w:rsidRPr="00201A9A">
        <w:rPr>
          <w:noProof/>
        </w:rPr>
        <w:t xml:space="preserve"> w roz</w:t>
      </w:r>
      <w:r w:rsidRPr="00201A9A">
        <w:rPr>
          <w:noProof/>
        </w:rPr>
        <w:t>umieniu art.</w:t>
      </w:r>
      <w:r w:rsidR="00201A9A" w:rsidRPr="00201A9A">
        <w:rPr>
          <w:noProof/>
        </w:rPr>
        <w:t> </w:t>
      </w:r>
      <w:r w:rsidRPr="00201A9A">
        <w:rPr>
          <w:noProof/>
        </w:rPr>
        <w:t>21 ust.</w:t>
      </w:r>
      <w:r w:rsidR="00201A9A" w:rsidRPr="00201A9A">
        <w:rPr>
          <w:noProof/>
        </w:rPr>
        <w:t> </w:t>
      </w:r>
      <w:r w:rsidRPr="00201A9A">
        <w:rPr>
          <w:noProof/>
        </w:rPr>
        <w:t>2 lit.</w:t>
      </w:r>
      <w:r w:rsidR="00201A9A" w:rsidRPr="00201A9A">
        <w:rPr>
          <w:noProof/>
        </w:rPr>
        <w:t> </w:t>
      </w:r>
      <w:r w:rsidRPr="00201A9A">
        <w:rPr>
          <w:noProof/>
        </w:rPr>
        <w:t>a), d) lub e) lub art.</w:t>
      </w:r>
      <w:r w:rsidR="00201A9A" w:rsidRPr="00201A9A">
        <w:rPr>
          <w:noProof/>
        </w:rPr>
        <w:t> </w:t>
      </w:r>
      <w:r w:rsidRPr="00201A9A">
        <w:rPr>
          <w:noProof/>
        </w:rPr>
        <w:t>21 ust.</w:t>
      </w:r>
      <w:r w:rsidR="00201A9A" w:rsidRPr="00201A9A">
        <w:rPr>
          <w:noProof/>
        </w:rPr>
        <w:t> </w:t>
      </w:r>
      <w:r w:rsidRPr="00201A9A">
        <w:rPr>
          <w:noProof/>
        </w:rPr>
        <w:t xml:space="preserve">5 rozporządzenia (UE, Euratom) 2024/2509. </w:t>
      </w:r>
    </w:p>
    <w:p w14:paraId="73574584" w14:textId="5DE97347" w:rsidR="002A6515" w:rsidRPr="00201A9A" w:rsidRDefault="002A6515" w:rsidP="003E2902">
      <w:pPr>
        <w:pStyle w:val="NumPar10000000"/>
        <w:numPr>
          <w:ilvl w:val="0"/>
          <w:numId w:val="79"/>
        </w:numPr>
        <w:rPr>
          <w:noProof/>
        </w:rPr>
      </w:pPr>
      <w:r w:rsidRPr="00201A9A">
        <w:rPr>
          <w:noProof/>
        </w:rPr>
        <w:t>Komisja udziela gwarancji budżetowej lub powierza wdrażanie instrumentów finansowych</w:t>
      </w:r>
      <w:r w:rsidR="00201A9A" w:rsidRPr="00201A9A">
        <w:rPr>
          <w:noProof/>
        </w:rPr>
        <w:t xml:space="preserve"> i dzi</w:t>
      </w:r>
      <w:r w:rsidRPr="00201A9A">
        <w:rPr>
          <w:noProof/>
        </w:rPr>
        <w:t>ałań łączonych na podstawie umów</w:t>
      </w:r>
      <w:r w:rsidR="00201A9A" w:rsidRPr="00201A9A">
        <w:rPr>
          <w:noProof/>
        </w:rPr>
        <w:t xml:space="preserve"> o prz</w:t>
      </w:r>
      <w:r w:rsidRPr="00201A9A">
        <w:rPr>
          <w:noProof/>
        </w:rPr>
        <w:t>yznanie wkładu lub umów</w:t>
      </w:r>
      <w:r w:rsidR="00201A9A" w:rsidRPr="00201A9A">
        <w:rPr>
          <w:noProof/>
        </w:rPr>
        <w:t xml:space="preserve"> w spr</w:t>
      </w:r>
      <w:r w:rsidRPr="00201A9A">
        <w:rPr>
          <w:noProof/>
        </w:rPr>
        <w:t>awie gwarancji zawartych na podstawie rozporządzenia [rozporządzenia</w:t>
      </w:r>
      <w:r w:rsidR="00201A9A" w:rsidRPr="00201A9A">
        <w:rPr>
          <w:noProof/>
        </w:rPr>
        <w:t xml:space="preserve"> w spr</w:t>
      </w:r>
      <w:r w:rsidRPr="00201A9A">
        <w:rPr>
          <w:noProof/>
        </w:rPr>
        <w:t>awie EFK]</w:t>
      </w:r>
      <w:r w:rsidR="00201A9A" w:rsidRPr="00201A9A">
        <w:rPr>
          <w:noProof/>
        </w:rPr>
        <w:t xml:space="preserve"> z pod</w:t>
      </w:r>
      <w:r w:rsidRPr="00201A9A">
        <w:rPr>
          <w:noProof/>
        </w:rPr>
        <w:t>miotami,</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62 ust.</w:t>
      </w:r>
      <w:r w:rsidR="00201A9A" w:rsidRPr="00201A9A">
        <w:rPr>
          <w:noProof/>
        </w:rPr>
        <w:t> </w:t>
      </w:r>
      <w:r w:rsidRPr="00201A9A">
        <w:rPr>
          <w:noProof/>
        </w:rPr>
        <w:t>1 akapit pierwszy lit.</w:t>
      </w:r>
      <w:r w:rsidR="00201A9A" w:rsidRPr="00201A9A">
        <w:rPr>
          <w:noProof/>
        </w:rPr>
        <w:t> </w:t>
      </w:r>
      <w:r w:rsidRPr="00201A9A">
        <w:rPr>
          <w:noProof/>
        </w:rPr>
        <w:t>c) rozporządzenia (UE, Euratom) 2024/2509, zgodnie</w:t>
      </w:r>
      <w:r w:rsidR="00201A9A" w:rsidRPr="00201A9A">
        <w:rPr>
          <w:noProof/>
        </w:rPr>
        <w:t xml:space="preserve"> z prz</w:t>
      </w:r>
      <w:r w:rsidRPr="00201A9A">
        <w:rPr>
          <w:noProof/>
        </w:rPr>
        <w:t>episami rozporządzenia [rozporządzenia</w:t>
      </w:r>
      <w:r w:rsidR="00201A9A" w:rsidRPr="00201A9A">
        <w:rPr>
          <w:noProof/>
        </w:rPr>
        <w:t xml:space="preserve"> w spr</w:t>
      </w:r>
      <w:r w:rsidRPr="00201A9A">
        <w:rPr>
          <w:noProof/>
        </w:rPr>
        <w:t>awie EFK].</w:t>
      </w:r>
    </w:p>
    <w:p w14:paraId="7612D2EF" w14:textId="3ADCB247" w:rsidR="002A6515" w:rsidRPr="00201A9A" w:rsidRDefault="002A6515" w:rsidP="008C5B15">
      <w:pPr>
        <w:pStyle w:val="Text1"/>
        <w:rPr>
          <w:noProof/>
        </w:rPr>
      </w:pPr>
      <w:r w:rsidRPr="00201A9A">
        <w:rPr>
          <w:noProof/>
          <w:color w:val="000000" w:themeColor="text1"/>
        </w:rPr>
        <w:t>Bez uszczerbku dla akapitu pierwszego Komisja</w:t>
      </w:r>
      <w:r w:rsidRPr="00201A9A">
        <w:rPr>
          <w:noProof/>
        </w:rPr>
        <w:t xml:space="preserve"> może zawierać odrębne umowy</w:t>
      </w:r>
      <w:r w:rsidR="00201A9A" w:rsidRPr="00201A9A">
        <w:rPr>
          <w:noProof/>
        </w:rPr>
        <w:t xml:space="preserve"> o prz</w:t>
      </w:r>
      <w:r w:rsidRPr="00201A9A">
        <w:rPr>
          <w:noProof/>
        </w:rPr>
        <w:t>yznanie wkładu lub umowy</w:t>
      </w:r>
      <w:r w:rsidR="00201A9A" w:rsidRPr="00201A9A">
        <w:rPr>
          <w:noProof/>
        </w:rPr>
        <w:t xml:space="preserve"> w spr</w:t>
      </w:r>
      <w:r w:rsidRPr="00201A9A">
        <w:rPr>
          <w:noProof/>
        </w:rPr>
        <w:t>awie gwarancji</w:t>
      </w:r>
      <w:r w:rsidR="00201A9A" w:rsidRPr="00201A9A">
        <w:rPr>
          <w:noProof/>
        </w:rPr>
        <w:t xml:space="preserve"> z pod</w:t>
      </w:r>
      <w:r w:rsidRPr="00201A9A">
        <w:rPr>
          <w:noProof/>
        </w:rPr>
        <w:t>miotami innymi niż te,</w:t>
      </w:r>
      <w:r w:rsidR="00201A9A" w:rsidRPr="00201A9A">
        <w:rPr>
          <w:noProof/>
        </w:rPr>
        <w:t xml:space="preserve"> o któ</w:t>
      </w:r>
      <w:r w:rsidRPr="00201A9A">
        <w:rPr>
          <w:noProof/>
        </w:rPr>
        <w:t>rych mowa</w:t>
      </w:r>
      <w:r w:rsidR="00201A9A" w:rsidRPr="00201A9A">
        <w:rPr>
          <w:noProof/>
        </w:rPr>
        <w:t xml:space="preserve"> w tym</w:t>
      </w:r>
      <w:r w:rsidRPr="00201A9A">
        <w:rPr>
          <w:noProof/>
        </w:rPr>
        <w:t xml:space="preserve"> akapicie, zgodnie</w:t>
      </w:r>
      <w:r w:rsidR="00201A9A" w:rsidRPr="00201A9A">
        <w:rPr>
          <w:noProof/>
        </w:rPr>
        <w:t xml:space="preserve"> z prz</w:t>
      </w:r>
      <w:r w:rsidRPr="00201A9A">
        <w:rPr>
          <w:noProof/>
        </w:rPr>
        <w:t>episami rozporządzenia [rozporządzenia</w:t>
      </w:r>
      <w:r w:rsidR="00201A9A" w:rsidRPr="00201A9A">
        <w:rPr>
          <w:noProof/>
        </w:rPr>
        <w:t xml:space="preserve"> w spr</w:t>
      </w:r>
      <w:r w:rsidRPr="00201A9A">
        <w:rPr>
          <w:noProof/>
        </w:rPr>
        <w:t>awie EFK].</w:t>
      </w:r>
    </w:p>
    <w:p w14:paraId="4B330FF0" w14:textId="77777777" w:rsidR="002B22AA" w:rsidRPr="00201A9A" w:rsidRDefault="002B22AA" w:rsidP="004816AA">
      <w:pPr>
        <w:pStyle w:val="Titlearticle"/>
        <w:rPr>
          <w:rFonts w:eastAsiaTheme="majorEastAsia"/>
          <w:noProof/>
        </w:rPr>
      </w:pPr>
      <w:r w:rsidRPr="00201A9A">
        <w:rPr>
          <w:rStyle w:val="normaltextrun"/>
          <w:noProof/>
        </w:rPr>
        <w:t>Artykuł 28</w:t>
      </w:r>
      <w:r w:rsidRPr="00201A9A">
        <w:rPr>
          <w:noProof/>
        </w:rPr>
        <w:t xml:space="preserve"> </w:t>
      </w:r>
      <w:r w:rsidRPr="00201A9A">
        <w:rPr>
          <w:noProof/>
        </w:rPr>
        <w:br/>
      </w:r>
      <w:r w:rsidRPr="00201A9A">
        <w:rPr>
          <w:rStyle w:val="normaltextrun"/>
          <w:b/>
          <w:noProof/>
        </w:rPr>
        <w:t>Stowarzyszone państwa trzecie</w:t>
      </w:r>
      <w:r w:rsidRPr="00201A9A">
        <w:rPr>
          <w:rStyle w:val="eop"/>
          <w:b/>
          <w:i w:val="0"/>
          <w:noProof/>
        </w:rPr>
        <w:t xml:space="preserve"> </w:t>
      </w:r>
    </w:p>
    <w:p w14:paraId="00F7406F" w14:textId="437115D4" w:rsidR="002B22AA" w:rsidRPr="00201A9A" w:rsidRDefault="002B22AA" w:rsidP="003E2902">
      <w:pPr>
        <w:pStyle w:val="NumPar10000000"/>
        <w:numPr>
          <w:ilvl w:val="0"/>
          <w:numId w:val="90"/>
        </w:numPr>
        <w:rPr>
          <w:rStyle w:val="eop"/>
          <w:rFonts w:eastAsiaTheme="majorEastAsia"/>
          <w:noProof/>
        </w:rPr>
      </w:pPr>
      <w:r w:rsidRPr="00201A9A">
        <w:rPr>
          <w:rStyle w:val="normaltextrun"/>
          <w:noProof/>
        </w:rPr>
        <w:t>Instrument może być otwarty na uczestnictwo następujących państw trzecich</w:t>
      </w:r>
      <w:r w:rsidR="00201A9A" w:rsidRPr="00201A9A">
        <w:rPr>
          <w:rStyle w:val="normaltextrun"/>
          <w:noProof/>
        </w:rPr>
        <w:t xml:space="preserve"> w dro</w:t>
      </w:r>
      <w:r w:rsidRPr="00201A9A">
        <w:rPr>
          <w:rStyle w:val="normaltextrun"/>
          <w:noProof/>
        </w:rPr>
        <w:t>dze pełnego lub częściowego stowarzyszenia, zgodnie</w:t>
      </w:r>
      <w:r w:rsidR="00201A9A" w:rsidRPr="00201A9A">
        <w:rPr>
          <w:rStyle w:val="normaltextrun"/>
          <w:noProof/>
        </w:rPr>
        <w:t xml:space="preserve"> z cel</w:t>
      </w:r>
      <w:r w:rsidRPr="00201A9A">
        <w:rPr>
          <w:rStyle w:val="normaltextrun"/>
          <w:noProof/>
        </w:rPr>
        <w:t>ami określonymi</w:t>
      </w:r>
      <w:r w:rsidR="00201A9A" w:rsidRPr="00201A9A">
        <w:rPr>
          <w:rStyle w:val="normaltextrun"/>
          <w:noProof/>
        </w:rPr>
        <w:t xml:space="preserve"> w art</w:t>
      </w:r>
      <w:r w:rsidRPr="00201A9A">
        <w:rPr>
          <w:rStyle w:val="normaltextrun"/>
          <w:noProof/>
        </w:rPr>
        <w:t>.</w:t>
      </w:r>
      <w:r w:rsidR="00201A9A" w:rsidRPr="00201A9A">
        <w:rPr>
          <w:rStyle w:val="normaltextrun"/>
          <w:noProof/>
        </w:rPr>
        <w:t> </w:t>
      </w:r>
      <w:r w:rsidRPr="00201A9A">
        <w:rPr>
          <w:rStyle w:val="normaltextrun"/>
          <w:noProof/>
        </w:rPr>
        <w:t>2</w:t>
      </w:r>
      <w:r w:rsidR="00201A9A" w:rsidRPr="00201A9A">
        <w:rPr>
          <w:rStyle w:val="normaltextrun"/>
          <w:noProof/>
        </w:rPr>
        <w:t xml:space="preserve"> i 3</w:t>
      </w:r>
      <w:r w:rsidRPr="00201A9A">
        <w:rPr>
          <w:rStyle w:val="normaltextrun"/>
          <w:noProof/>
        </w:rPr>
        <w:t xml:space="preserve"> oraz zgodnie</w:t>
      </w:r>
      <w:r w:rsidR="00201A9A" w:rsidRPr="00201A9A">
        <w:rPr>
          <w:rStyle w:val="normaltextrun"/>
          <w:noProof/>
        </w:rPr>
        <w:t xml:space="preserve"> z odp</w:t>
      </w:r>
      <w:r w:rsidRPr="00201A9A">
        <w:rPr>
          <w:rStyle w:val="normaltextrun"/>
          <w:noProof/>
        </w:rPr>
        <w:t>owiednimi umowami międzynarodowymi lub wszelkimi decyzjami przyjętymi</w:t>
      </w:r>
      <w:r w:rsidR="00201A9A" w:rsidRPr="00201A9A">
        <w:rPr>
          <w:rStyle w:val="normaltextrun"/>
          <w:noProof/>
        </w:rPr>
        <w:t xml:space="preserve"> w ram</w:t>
      </w:r>
      <w:r w:rsidRPr="00201A9A">
        <w:rPr>
          <w:rStyle w:val="normaltextrun"/>
          <w:noProof/>
        </w:rPr>
        <w:t>ach tych umów</w:t>
      </w:r>
      <w:r w:rsidR="00201A9A" w:rsidRPr="00201A9A">
        <w:rPr>
          <w:rStyle w:val="normaltextrun"/>
          <w:noProof/>
        </w:rPr>
        <w:t xml:space="preserve"> i maj</w:t>
      </w:r>
      <w:r w:rsidRPr="00201A9A">
        <w:rPr>
          <w:rStyle w:val="normaltextrun"/>
          <w:noProof/>
        </w:rPr>
        <w:t>ącymi zastosowanie do:</w:t>
      </w:r>
      <w:r w:rsidR="00201A9A" w:rsidRPr="00201A9A">
        <w:rPr>
          <w:rStyle w:val="normaltextrun"/>
          <w:noProof/>
        </w:rPr>
        <w:t xml:space="preserve"> </w:t>
      </w:r>
    </w:p>
    <w:p w14:paraId="286F986D" w14:textId="4CDADADB" w:rsidR="002B22AA" w:rsidRPr="00201A9A" w:rsidRDefault="00201A9A" w:rsidP="00201A9A">
      <w:pPr>
        <w:pStyle w:val="Point1"/>
        <w:rPr>
          <w:noProof/>
        </w:rPr>
      </w:pPr>
      <w:r w:rsidRPr="00201A9A">
        <w:rPr>
          <w:rStyle w:val="normaltextrun"/>
          <w:noProof/>
        </w:rPr>
        <w:t>a)</w:t>
      </w:r>
      <w:r w:rsidRPr="00201A9A">
        <w:rPr>
          <w:rStyle w:val="normaltextrun"/>
          <w:noProof/>
        </w:rPr>
        <w:tab/>
      </w:r>
      <w:r w:rsidR="002B22AA" w:rsidRPr="00201A9A">
        <w:rPr>
          <w:rStyle w:val="normaltextrun"/>
          <w:noProof/>
        </w:rPr>
        <w:t>członków Europejskiego Stowarzyszenia Wolnego Handlu, którzy są członkami Europejskiego Obszaru Gospodarczego,</w:t>
      </w:r>
      <w:r w:rsidRPr="00201A9A">
        <w:rPr>
          <w:rStyle w:val="normaltextrun"/>
          <w:noProof/>
        </w:rPr>
        <w:t xml:space="preserve"> a tak</w:t>
      </w:r>
      <w:r w:rsidR="002B22AA" w:rsidRPr="00201A9A">
        <w:rPr>
          <w:rStyle w:val="normaltextrun"/>
          <w:noProof/>
        </w:rPr>
        <w:t>że mikropaństw europejskich;</w:t>
      </w:r>
      <w:r w:rsidRPr="00201A9A">
        <w:rPr>
          <w:rStyle w:val="normaltextrun"/>
          <w:noProof/>
        </w:rPr>
        <w:t xml:space="preserve"> </w:t>
      </w:r>
    </w:p>
    <w:p w14:paraId="5C37469E" w14:textId="744D8D4B" w:rsidR="002B22AA" w:rsidRPr="00201A9A" w:rsidRDefault="00201A9A" w:rsidP="00201A9A">
      <w:pPr>
        <w:pStyle w:val="Point1"/>
        <w:rPr>
          <w:noProof/>
        </w:rPr>
      </w:pPr>
      <w:r w:rsidRPr="00201A9A">
        <w:rPr>
          <w:rStyle w:val="normaltextrun"/>
          <w:noProof/>
        </w:rPr>
        <w:t>b)</w:t>
      </w:r>
      <w:r w:rsidRPr="00201A9A">
        <w:rPr>
          <w:rStyle w:val="normaltextrun"/>
          <w:noProof/>
        </w:rPr>
        <w:tab/>
      </w:r>
      <w:r w:rsidR="002B22AA" w:rsidRPr="00201A9A">
        <w:rPr>
          <w:rStyle w:val="normaltextrun"/>
          <w:noProof/>
        </w:rPr>
        <w:t>państw przystępujących, krajów kandydujących</w:t>
      </w:r>
      <w:r w:rsidRPr="00201A9A">
        <w:rPr>
          <w:rStyle w:val="normaltextrun"/>
          <w:noProof/>
        </w:rPr>
        <w:t xml:space="preserve"> i pot</w:t>
      </w:r>
      <w:r w:rsidR="002B22AA" w:rsidRPr="00201A9A">
        <w:rPr>
          <w:rStyle w:val="normaltextrun"/>
          <w:noProof/>
        </w:rPr>
        <w:t>encjalnych kandydatów;</w:t>
      </w:r>
      <w:r w:rsidRPr="00201A9A">
        <w:rPr>
          <w:rStyle w:val="normaltextrun"/>
          <w:noProof/>
        </w:rPr>
        <w:t xml:space="preserve"> </w:t>
      </w:r>
    </w:p>
    <w:p w14:paraId="4F9D0981" w14:textId="401B9D22" w:rsidR="002B22AA" w:rsidRPr="00201A9A" w:rsidRDefault="00201A9A" w:rsidP="00201A9A">
      <w:pPr>
        <w:pStyle w:val="Point1"/>
        <w:rPr>
          <w:noProof/>
        </w:rPr>
      </w:pPr>
      <w:r w:rsidRPr="00201A9A">
        <w:rPr>
          <w:rStyle w:val="normaltextrun"/>
          <w:noProof/>
        </w:rPr>
        <w:t>c)</w:t>
      </w:r>
      <w:r w:rsidRPr="00201A9A">
        <w:rPr>
          <w:rStyle w:val="normaltextrun"/>
          <w:noProof/>
        </w:rPr>
        <w:tab/>
      </w:r>
      <w:r w:rsidR="002B22AA" w:rsidRPr="00201A9A">
        <w:rPr>
          <w:rStyle w:val="normaltextrun"/>
          <w:noProof/>
        </w:rPr>
        <w:t>krajów objętych europejską polityką sąsiedztwa;</w:t>
      </w:r>
      <w:r w:rsidRPr="00201A9A">
        <w:rPr>
          <w:rStyle w:val="normaltextrun"/>
          <w:noProof/>
        </w:rPr>
        <w:t xml:space="preserve"> </w:t>
      </w:r>
    </w:p>
    <w:p w14:paraId="568283D0" w14:textId="20F2366D" w:rsidR="002B22AA" w:rsidRPr="00201A9A" w:rsidRDefault="00201A9A" w:rsidP="00201A9A">
      <w:pPr>
        <w:pStyle w:val="Point1"/>
        <w:rPr>
          <w:noProof/>
        </w:rPr>
      </w:pPr>
      <w:r w:rsidRPr="00201A9A">
        <w:rPr>
          <w:rStyle w:val="normaltextrun"/>
          <w:noProof/>
        </w:rPr>
        <w:t>d)</w:t>
      </w:r>
      <w:r w:rsidRPr="00201A9A">
        <w:rPr>
          <w:rStyle w:val="normaltextrun"/>
          <w:noProof/>
        </w:rPr>
        <w:tab/>
      </w:r>
      <w:r w:rsidR="002B22AA" w:rsidRPr="00201A9A">
        <w:rPr>
          <w:rStyle w:val="normaltextrun"/>
          <w:noProof/>
        </w:rPr>
        <w:t>pozostałych państw trzecich.</w:t>
      </w:r>
      <w:r w:rsidRPr="00201A9A">
        <w:rPr>
          <w:rStyle w:val="normaltextrun"/>
          <w:noProof/>
        </w:rPr>
        <w:t xml:space="preserve"> </w:t>
      </w:r>
    </w:p>
    <w:p w14:paraId="68079641" w14:textId="45A65247" w:rsidR="002B22AA" w:rsidRPr="00201A9A" w:rsidRDefault="002B22AA" w:rsidP="003E2902">
      <w:pPr>
        <w:pStyle w:val="NumPar10000000"/>
        <w:numPr>
          <w:ilvl w:val="0"/>
          <w:numId w:val="79"/>
        </w:numPr>
        <w:rPr>
          <w:noProof/>
        </w:rPr>
      </w:pPr>
      <w:r w:rsidRPr="00201A9A">
        <w:rPr>
          <w:rStyle w:val="normaltextrun"/>
          <w:noProof/>
        </w:rPr>
        <w:t>Układy</w:t>
      </w:r>
      <w:r w:rsidR="00201A9A" w:rsidRPr="00201A9A">
        <w:rPr>
          <w:rStyle w:val="normaltextrun"/>
          <w:noProof/>
        </w:rPr>
        <w:t xml:space="preserve"> o sto</w:t>
      </w:r>
      <w:r w:rsidRPr="00201A9A">
        <w:rPr>
          <w:rStyle w:val="normaltextrun"/>
          <w:noProof/>
        </w:rPr>
        <w:t>warzyszeniu dotyczące uczestnictwa</w:t>
      </w:r>
      <w:r w:rsidR="00201A9A" w:rsidRPr="00201A9A">
        <w:rPr>
          <w:rStyle w:val="normaltextrun"/>
          <w:noProof/>
        </w:rPr>
        <w:t xml:space="preserve"> w pro</w:t>
      </w:r>
      <w:r w:rsidRPr="00201A9A">
        <w:rPr>
          <w:rStyle w:val="normaltextrun"/>
          <w:noProof/>
        </w:rPr>
        <w:t>gramie:</w:t>
      </w:r>
      <w:r w:rsidR="00201A9A" w:rsidRPr="00201A9A">
        <w:rPr>
          <w:rStyle w:val="normaltextrun"/>
          <w:noProof/>
        </w:rPr>
        <w:t xml:space="preserve"> </w:t>
      </w:r>
    </w:p>
    <w:p w14:paraId="061C37B3" w14:textId="2B504A0D" w:rsidR="002B22AA" w:rsidRPr="00201A9A" w:rsidRDefault="00201A9A" w:rsidP="00201A9A">
      <w:pPr>
        <w:pStyle w:val="Point1"/>
        <w:rPr>
          <w:noProof/>
        </w:rPr>
      </w:pPr>
      <w:r w:rsidRPr="00201A9A">
        <w:rPr>
          <w:rStyle w:val="normaltextrun"/>
          <w:noProof/>
        </w:rPr>
        <w:t>a)</w:t>
      </w:r>
      <w:r w:rsidRPr="00201A9A">
        <w:rPr>
          <w:rStyle w:val="normaltextrun"/>
          <w:noProof/>
        </w:rPr>
        <w:tab/>
      </w:r>
      <w:r w:rsidR="002B22AA" w:rsidRPr="00201A9A">
        <w:rPr>
          <w:rStyle w:val="normaltextrun"/>
          <w:noProof/>
        </w:rPr>
        <w:t>zapewniają sprawiedliwą równowagę</w:t>
      </w:r>
      <w:r w:rsidRPr="00201A9A">
        <w:rPr>
          <w:rStyle w:val="normaltextrun"/>
          <w:noProof/>
        </w:rPr>
        <w:t xml:space="preserve"> w odn</w:t>
      </w:r>
      <w:r w:rsidR="002B22AA" w:rsidRPr="00201A9A">
        <w:rPr>
          <w:rStyle w:val="normaltextrun"/>
          <w:noProof/>
        </w:rPr>
        <w:t>iesieniu do wkładów państwa trzeciego uczestniczącego</w:t>
      </w:r>
      <w:r w:rsidRPr="00201A9A">
        <w:rPr>
          <w:rStyle w:val="normaltextrun"/>
          <w:noProof/>
        </w:rPr>
        <w:t xml:space="preserve"> w pro</w:t>
      </w:r>
      <w:r w:rsidR="002B22AA" w:rsidRPr="00201A9A">
        <w:rPr>
          <w:rStyle w:val="normaltextrun"/>
          <w:noProof/>
        </w:rPr>
        <w:t>gramie</w:t>
      </w:r>
      <w:r w:rsidRPr="00201A9A">
        <w:rPr>
          <w:rStyle w:val="normaltextrun"/>
          <w:noProof/>
        </w:rPr>
        <w:t xml:space="preserve"> i kor</w:t>
      </w:r>
      <w:r w:rsidR="002B22AA" w:rsidRPr="00201A9A">
        <w:rPr>
          <w:rStyle w:val="normaltextrun"/>
          <w:noProof/>
        </w:rPr>
        <w:t>zyści, jakie</w:t>
      </w:r>
      <w:r w:rsidRPr="00201A9A">
        <w:rPr>
          <w:rStyle w:val="normaltextrun"/>
          <w:noProof/>
        </w:rPr>
        <w:t xml:space="preserve"> z nie</w:t>
      </w:r>
      <w:r w:rsidR="002B22AA" w:rsidRPr="00201A9A">
        <w:rPr>
          <w:rStyle w:val="normaltextrun"/>
          <w:noProof/>
        </w:rPr>
        <w:t>go wynoszą;</w:t>
      </w:r>
      <w:r w:rsidRPr="00201A9A">
        <w:rPr>
          <w:rStyle w:val="normaltextrun"/>
          <w:noProof/>
        </w:rPr>
        <w:t xml:space="preserve"> </w:t>
      </w:r>
    </w:p>
    <w:p w14:paraId="039179B7" w14:textId="08734FB9" w:rsidR="002B22AA" w:rsidRPr="00201A9A" w:rsidRDefault="00201A9A" w:rsidP="00201A9A">
      <w:pPr>
        <w:pStyle w:val="Point1"/>
        <w:rPr>
          <w:noProof/>
        </w:rPr>
      </w:pPr>
      <w:r w:rsidRPr="00201A9A">
        <w:rPr>
          <w:rStyle w:val="normaltextrun"/>
          <w:noProof/>
        </w:rPr>
        <w:t>b)</w:t>
      </w:r>
      <w:r w:rsidRPr="00201A9A">
        <w:rPr>
          <w:rStyle w:val="normaltextrun"/>
          <w:noProof/>
        </w:rPr>
        <w:tab/>
      </w:r>
      <w:r w:rsidR="002B22AA" w:rsidRPr="00201A9A">
        <w:rPr>
          <w:rStyle w:val="normaltextrun"/>
          <w:noProof/>
        </w:rPr>
        <w:t>ustanawiają warunki uczestnictwa</w:t>
      </w:r>
      <w:r w:rsidRPr="00201A9A">
        <w:rPr>
          <w:rStyle w:val="normaltextrun"/>
          <w:noProof/>
        </w:rPr>
        <w:t xml:space="preserve"> w pro</w:t>
      </w:r>
      <w:r w:rsidR="002B22AA" w:rsidRPr="00201A9A">
        <w:rPr>
          <w:rStyle w:val="normaltextrun"/>
          <w:noProof/>
        </w:rPr>
        <w:t>gramach,</w:t>
      </w:r>
      <w:r w:rsidRPr="00201A9A">
        <w:rPr>
          <w:rStyle w:val="normaltextrun"/>
          <w:noProof/>
        </w:rPr>
        <w:t xml:space="preserve"> w tym</w:t>
      </w:r>
      <w:r w:rsidR="002B22AA" w:rsidRPr="00201A9A">
        <w:rPr>
          <w:rStyle w:val="normaltextrun"/>
          <w:noProof/>
        </w:rPr>
        <w:t xml:space="preserve"> obliczanie wkładów finansowych do programu, składających się</w:t>
      </w:r>
      <w:r w:rsidRPr="00201A9A">
        <w:rPr>
          <w:rStyle w:val="normaltextrun"/>
          <w:noProof/>
        </w:rPr>
        <w:t xml:space="preserve"> z wkł</w:t>
      </w:r>
      <w:r w:rsidR="002B22AA" w:rsidRPr="00201A9A">
        <w:rPr>
          <w:rStyle w:val="normaltextrun"/>
          <w:noProof/>
        </w:rPr>
        <w:t>adów operacyjnych</w:t>
      </w:r>
      <w:r w:rsidRPr="00201A9A">
        <w:rPr>
          <w:rStyle w:val="normaltextrun"/>
          <w:noProof/>
        </w:rPr>
        <w:t xml:space="preserve"> i kos</w:t>
      </w:r>
      <w:r w:rsidR="002B22AA" w:rsidRPr="00201A9A">
        <w:rPr>
          <w:rStyle w:val="normaltextrun"/>
          <w:noProof/>
        </w:rPr>
        <w:t>ztów uczestnictwa,</w:t>
      </w:r>
      <w:r w:rsidRPr="00201A9A">
        <w:rPr>
          <w:rStyle w:val="normaltextrun"/>
          <w:noProof/>
        </w:rPr>
        <w:t xml:space="preserve"> i ich</w:t>
      </w:r>
      <w:r w:rsidR="002B22AA" w:rsidRPr="00201A9A">
        <w:rPr>
          <w:rStyle w:val="normaltextrun"/>
          <w:noProof/>
        </w:rPr>
        <w:t xml:space="preserve"> ogólnych kosztów administracyjnych;</w:t>
      </w:r>
      <w:r w:rsidRPr="00201A9A">
        <w:rPr>
          <w:rStyle w:val="normaltextrun"/>
          <w:noProof/>
        </w:rPr>
        <w:t xml:space="preserve"> </w:t>
      </w:r>
    </w:p>
    <w:p w14:paraId="7EF710FB" w14:textId="43441062" w:rsidR="002B22AA" w:rsidRPr="00201A9A" w:rsidRDefault="00201A9A" w:rsidP="00201A9A">
      <w:pPr>
        <w:pStyle w:val="Point1"/>
        <w:rPr>
          <w:noProof/>
        </w:rPr>
      </w:pPr>
      <w:r w:rsidRPr="00201A9A">
        <w:rPr>
          <w:rStyle w:val="normaltextrun"/>
          <w:noProof/>
        </w:rPr>
        <w:t>c)</w:t>
      </w:r>
      <w:r w:rsidRPr="00201A9A">
        <w:rPr>
          <w:rStyle w:val="normaltextrun"/>
          <w:noProof/>
        </w:rPr>
        <w:tab/>
      </w:r>
      <w:r w:rsidR="002B22AA" w:rsidRPr="00201A9A">
        <w:rPr>
          <w:rStyle w:val="normaltextrun"/>
          <w:noProof/>
        </w:rPr>
        <w:t>nie przyznają państwu trzeciemu żadnych uprawnień decyzyjnych</w:t>
      </w:r>
      <w:r w:rsidRPr="00201A9A">
        <w:rPr>
          <w:rStyle w:val="normaltextrun"/>
          <w:noProof/>
        </w:rPr>
        <w:t xml:space="preserve"> w ram</w:t>
      </w:r>
      <w:r w:rsidR="002B22AA" w:rsidRPr="00201A9A">
        <w:rPr>
          <w:rStyle w:val="normaltextrun"/>
          <w:noProof/>
        </w:rPr>
        <w:t>ach programu;</w:t>
      </w:r>
      <w:r w:rsidRPr="00201A9A">
        <w:rPr>
          <w:rStyle w:val="normaltextrun"/>
          <w:noProof/>
        </w:rPr>
        <w:t xml:space="preserve"> </w:t>
      </w:r>
    </w:p>
    <w:p w14:paraId="67537387" w14:textId="0E419534" w:rsidR="002B22AA" w:rsidRPr="00201A9A" w:rsidRDefault="00201A9A" w:rsidP="00201A9A">
      <w:pPr>
        <w:pStyle w:val="Point1"/>
        <w:rPr>
          <w:noProof/>
        </w:rPr>
      </w:pPr>
      <w:r w:rsidRPr="00201A9A">
        <w:rPr>
          <w:rStyle w:val="normaltextrun"/>
          <w:noProof/>
        </w:rPr>
        <w:t>d)</w:t>
      </w:r>
      <w:r w:rsidRPr="00201A9A">
        <w:rPr>
          <w:rStyle w:val="normaltextrun"/>
          <w:noProof/>
        </w:rPr>
        <w:tab/>
      </w:r>
      <w:r w:rsidR="002B22AA" w:rsidRPr="00201A9A">
        <w:rPr>
          <w:rStyle w:val="normaltextrun"/>
          <w:noProof/>
        </w:rPr>
        <w:t>gwarantują prawa Unii do zapewnienia należytego zarządzania finansami</w:t>
      </w:r>
      <w:r w:rsidRPr="00201A9A">
        <w:rPr>
          <w:rStyle w:val="normaltextrun"/>
          <w:noProof/>
        </w:rPr>
        <w:t xml:space="preserve"> i och</w:t>
      </w:r>
      <w:r w:rsidR="002B22AA" w:rsidRPr="00201A9A">
        <w:rPr>
          <w:rStyle w:val="normaltextrun"/>
          <w:noProof/>
        </w:rPr>
        <w:t>rony jej interesów finansowych. Państwo trzecie przyznaje niezbędne prawa</w:t>
      </w:r>
      <w:r w:rsidRPr="00201A9A">
        <w:rPr>
          <w:rStyle w:val="normaltextrun"/>
          <w:noProof/>
        </w:rPr>
        <w:t xml:space="preserve"> i dos</w:t>
      </w:r>
      <w:r w:rsidR="002B22AA" w:rsidRPr="00201A9A">
        <w:rPr>
          <w:rStyle w:val="normaltextrun"/>
          <w:noProof/>
        </w:rPr>
        <w:t>tęp wymagane na mocy rozporządzenia (UE, Euratom) 2024/2509</w:t>
      </w:r>
      <w:r w:rsidRPr="00201A9A">
        <w:rPr>
          <w:rStyle w:val="normaltextrun"/>
          <w:noProof/>
        </w:rPr>
        <w:t xml:space="preserve"> i roz</w:t>
      </w:r>
      <w:r w:rsidR="002B22AA" w:rsidRPr="00201A9A">
        <w:rPr>
          <w:rStyle w:val="normaltextrun"/>
          <w:noProof/>
        </w:rPr>
        <w:t>porządzenia (UE, Euratom) nr</w:t>
      </w:r>
      <w:r w:rsidRPr="00201A9A">
        <w:rPr>
          <w:rStyle w:val="normaltextrun"/>
          <w:noProof/>
        </w:rPr>
        <w:t> </w:t>
      </w:r>
      <w:r w:rsidR="002B22AA" w:rsidRPr="00201A9A">
        <w:rPr>
          <w:rStyle w:val="normaltextrun"/>
          <w:noProof/>
        </w:rPr>
        <w:t>883/2013 oraz gwarantuje, że decyzje wykonawcze nakładające zobowiązanie pieniężne na podstawie art.</w:t>
      </w:r>
      <w:r w:rsidRPr="00201A9A">
        <w:rPr>
          <w:rStyle w:val="normaltextrun"/>
          <w:noProof/>
        </w:rPr>
        <w:t> </w:t>
      </w:r>
      <w:r w:rsidR="002B22AA" w:rsidRPr="00201A9A">
        <w:rPr>
          <w:rStyle w:val="normaltextrun"/>
          <w:noProof/>
        </w:rPr>
        <w:t>299 TFUE,</w:t>
      </w:r>
      <w:r w:rsidRPr="00201A9A">
        <w:rPr>
          <w:rStyle w:val="normaltextrun"/>
          <w:noProof/>
        </w:rPr>
        <w:t xml:space="preserve"> a tak</w:t>
      </w:r>
      <w:r w:rsidR="002B22AA" w:rsidRPr="00201A9A">
        <w:rPr>
          <w:rStyle w:val="normaltextrun"/>
          <w:noProof/>
        </w:rPr>
        <w:t>że wyroki</w:t>
      </w:r>
      <w:r w:rsidRPr="00201A9A">
        <w:rPr>
          <w:rStyle w:val="normaltextrun"/>
          <w:noProof/>
        </w:rPr>
        <w:t xml:space="preserve"> i pos</w:t>
      </w:r>
      <w:r w:rsidR="002B22AA" w:rsidRPr="00201A9A">
        <w:rPr>
          <w:rStyle w:val="normaltextrun"/>
          <w:noProof/>
        </w:rPr>
        <w:t>tanowienia Europejskiego Trybunału Sprawiedliwości, są bezpośrednio wykonalne;</w:t>
      </w:r>
      <w:r w:rsidRPr="00201A9A">
        <w:rPr>
          <w:rStyle w:val="normaltextrun"/>
          <w:noProof/>
        </w:rPr>
        <w:t xml:space="preserve"> </w:t>
      </w:r>
    </w:p>
    <w:p w14:paraId="0783F61C" w14:textId="383156F5" w:rsidR="002B22AA" w:rsidRPr="00201A9A" w:rsidRDefault="00201A9A" w:rsidP="00201A9A">
      <w:pPr>
        <w:pStyle w:val="Point1"/>
        <w:rPr>
          <w:noProof/>
        </w:rPr>
      </w:pPr>
      <w:r w:rsidRPr="00201A9A">
        <w:rPr>
          <w:rStyle w:val="normaltextrun"/>
          <w:noProof/>
        </w:rPr>
        <w:t>e)</w:t>
      </w:r>
      <w:r w:rsidRPr="00201A9A">
        <w:rPr>
          <w:rStyle w:val="normaltextrun"/>
          <w:noProof/>
        </w:rPr>
        <w:tab/>
      </w:r>
      <w:r w:rsidR="002B22AA" w:rsidRPr="00201A9A">
        <w:rPr>
          <w:rStyle w:val="normaltextrun"/>
          <w:noProof/>
        </w:rPr>
        <w:t>w stosownych przypadkach – zapewniają ochronę interesów Unii</w:t>
      </w:r>
      <w:r w:rsidRPr="00201A9A">
        <w:rPr>
          <w:rStyle w:val="normaltextrun"/>
          <w:noProof/>
        </w:rPr>
        <w:t xml:space="preserve"> w zak</w:t>
      </w:r>
      <w:r w:rsidR="002B22AA" w:rsidRPr="00201A9A">
        <w:rPr>
          <w:rStyle w:val="normaltextrun"/>
          <w:noProof/>
        </w:rPr>
        <w:t>resie bezpieczeństwa</w:t>
      </w:r>
      <w:r w:rsidRPr="00201A9A">
        <w:rPr>
          <w:rStyle w:val="normaltextrun"/>
          <w:noProof/>
        </w:rPr>
        <w:t xml:space="preserve"> i por</w:t>
      </w:r>
      <w:r w:rsidR="002B22AA" w:rsidRPr="00201A9A">
        <w:rPr>
          <w:rStyle w:val="normaltextrun"/>
          <w:noProof/>
        </w:rPr>
        <w:t>ządku publicznego.</w:t>
      </w:r>
      <w:r w:rsidR="002B22AA" w:rsidRPr="00201A9A">
        <w:rPr>
          <w:rStyle w:val="eop"/>
          <w:noProof/>
        </w:rPr>
        <w:t xml:space="preserve"> </w:t>
      </w:r>
    </w:p>
    <w:p w14:paraId="6C855182" w14:textId="69A5700C" w:rsidR="00A067F1" w:rsidRPr="00201A9A" w:rsidRDefault="002B22AA" w:rsidP="003E2902">
      <w:pPr>
        <w:pStyle w:val="NumPar10000000"/>
        <w:numPr>
          <w:ilvl w:val="0"/>
          <w:numId w:val="79"/>
        </w:numPr>
        <w:rPr>
          <w:rStyle w:val="normaltextrun"/>
          <w:rFonts w:eastAsiaTheme="minorEastAsia"/>
          <w:noProof/>
        </w:rPr>
      </w:pPr>
      <w:r w:rsidRPr="00201A9A">
        <w:rPr>
          <w:noProof/>
        </w:rPr>
        <w:t>Na zasadzie odstępstwa od ust.</w:t>
      </w:r>
      <w:r w:rsidR="00201A9A" w:rsidRPr="00201A9A">
        <w:rPr>
          <w:noProof/>
        </w:rPr>
        <w:t> </w:t>
      </w:r>
      <w:r w:rsidRPr="00201A9A">
        <w:rPr>
          <w:noProof/>
        </w:rPr>
        <w:t>1 udział państw trzecich wyklucza się</w:t>
      </w:r>
      <w:r w:rsidR="00201A9A" w:rsidRPr="00201A9A">
        <w:rPr>
          <w:noProof/>
        </w:rPr>
        <w:t xml:space="preserve"> w prz</w:t>
      </w:r>
      <w:r w:rsidRPr="00201A9A">
        <w:rPr>
          <w:noProof/>
        </w:rPr>
        <w:t>ypadku środków przyczyniających się do realizacji celów szczegółowych określonych</w:t>
      </w:r>
      <w:r w:rsidR="00201A9A" w:rsidRPr="00201A9A">
        <w:rPr>
          <w:noProof/>
        </w:rPr>
        <w:t xml:space="preserve"> w art</w:t>
      </w:r>
      <w:r w:rsidRPr="00201A9A">
        <w:rPr>
          <w:noProof/>
        </w:rPr>
        <w:t>.</w:t>
      </w:r>
      <w:r w:rsidR="00201A9A" w:rsidRPr="00201A9A">
        <w:rPr>
          <w:noProof/>
        </w:rPr>
        <w:t> </w:t>
      </w:r>
      <w:r w:rsidRPr="00201A9A">
        <w:rPr>
          <w:noProof/>
        </w:rPr>
        <w:t>3 lit.</w:t>
      </w:r>
      <w:r w:rsidR="00201A9A" w:rsidRPr="00201A9A">
        <w:rPr>
          <w:noProof/>
        </w:rPr>
        <w:t> </w:t>
      </w:r>
      <w:r w:rsidRPr="00201A9A">
        <w:rPr>
          <w:noProof/>
        </w:rPr>
        <w:t>d) pkt (i), (ii) oraz (iii).</w:t>
      </w:r>
    </w:p>
    <w:p w14:paraId="5194D10D" w14:textId="37947244" w:rsidR="00A067F1" w:rsidRPr="00201A9A" w:rsidRDefault="00A067F1" w:rsidP="008C57CF">
      <w:pPr>
        <w:pStyle w:val="Titrearticle"/>
        <w:rPr>
          <w:rFonts w:ascii="Segoe UI" w:hAnsi="Segoe UI" w:cs="Segoe UI"/>
          <w:noProof/>
          <w:sz w:val="18"/>
          <w:szCs w:val="18"/>
        </w:rPr>
      </w:pPr>
      <w:r w:rsidRPr="00201A9A">
        <w:rPr>
          <w:rStyle w:val="normaltextrun"/>
          <w:noProof/>
        </w:rPr>
        <w:t>Artykuł 29</w:t>
      </w:r>
      <w:r w:rsidRPr="00201A9A">
        <w:rPr>
          <w:noProof/>
        </w:rPr>
        <w:t xml:space="preserve"> </w:t>
      </w:r>
      <w:r w:rsidRPr="00201A9A">
        <w:rPr>
          <w:noProof/>
        </w:rPr>
        <w:br/>
      </w:r>
      <w:r w:rsidRPr="00201A9A">
        <w:rPr>
          <w:rStyle w:val="normaltextrun"/>
          <w:b/>
          <w:noProof/>
        </w:rPr>
        <w:t>Wsparcie działań</w:t>
      </w:r>
      <w:r w:rsidR="00201A9A" w:rsidRPr="00201A9A">
        <w:rPr>
          <w:rStyle w:val="normaltextrun"/>
          <w:b/>
          <w:noProof/>
        </w:rPr>
        <w:t xml:space="preserve"> w pań</w:t>
      </w:r>
      <w:r w:rsidRPr="00201A9A">
        <w:rPr>
          <w:rStyle w:val="normaltextrun"/>
          <w:b/>
          <w:noProof/>
        </w:rPr>
        <w:t>stwach trzecich lub działań dotyczących państw trzecich</w:t>
      </w:r>
    </w:p>
    <w:p w14:paraId="5524BE0E" w14:textId="3C5A9F95" w:rsidR="00A067F1" w:rsidRPr="00201A9A" w:rsidRDefault="00A067F1" w:rsidP="0011113C">
      <w:pPr>
        <w:rPr>
          <w:noProof/>
        </w:rPr>
      </w:pPr>
      <w:r w:rsidRPr="00201A9A">
        <w:rPr>
          <w:rStyle w:val="normaltextrun"/>
          <w:noProof/>
        </w:rPr>
        <w:t>Wsparcie unijne może być udzielane na działania</w:t>
      </w:r>
      <w:r w:rsidR="00201A9A" w:rsidRPr="00201A9A">
        <w:rPr>
          <w:rStyle w:val="normaltextrun"/>
          <w:noProof/>
        </w:rPr>
        <w:t xml:space="preserve"> w pań</w:t>
      </w:r>
      <w:r w:rsidRPr="00201A9A">
        <w:rPr>
          <w:rStyle w:val="normaltextrun"/>
          <w:noProof/>
        </w:rPr>
        <w:t>stwach trzecich lub działania dotyczące państw trzecich, pod warunkiem że działania te przyczyniają się do osiągnięcia celów określonych</w:t>
      </w:r>
      <w:r w:rsidR="00201A9A" w:rsidRPr="00201A9A">
        <w:rPr>
          <w:rStyle w:val="normaltextrun"/>
          <w:noProof/>
        </w:rPr>
        <w:t xml:space="preserve"> w art</w:t>
      </w:r>
      <w:r w:rsidRPr="00201A9A">
        <w:rPr>
          <w:rStyle w:val="normaltextrun"/>
          <w:noProof/>
        </w:rPr>
        <w:t>.</w:t>
      </w:r>
      <w:r w:rsidR="00201A9A" w:rsidRPr="00201A9A">
        <w:rPr>
          <w:rStyle w:val="normaltextrun"/>
          <w:noProof/>
        </w:rPr>
        <w:t> </w:t>
      </w:r>
      <w:r w:rsidRPr="00201A9A">
        <w:rPr>
          <w:rStyle w:val="normaltextrun"/>
          <w:noProof/>
        </w:rPr>
        <w:t>3 [Cele szczegółowe]. Działania takie służą interesom wewnętrznych polityk Unii i są spójne</w:t>
      </w:r>
      <w:r w:rsidR="00201A9A" w:rsidRPr="00201A9A">
        <w:rPr>
          <w:rStyle w:val="normaltextrun"/>
          <w:noProof/>
        </w:rPr>
        <w:t xml:space="preserve"> z dzi</w:t>
      </w:r>
      <w:r w:rsidRPr="00201A9A">
        <w:rPr>
          <w:rStyle w:val="normaltextrun"/>
          <w:noProof/>
        </w:rPr>
        <w:t>ałaniami podejmowanymi</w:t>
      </w:r>
      <w:r w:rsidR="00201A9A" w:rsidRPr="00201A9A">
        <w:rPr>
          <w:rStyle w:val="normaltextrun"/>
          <w:noProof/>
        </w:rPr>
        <w:t xml:space="preserve"> w ram</w:t>
      </w:r>
      <w:r w:rsidRPr="00201A9A">
        <w:rPr>
          <w:rStyle w:val="normaltextrun"/>
          <w:noProof/>
        </w:rPr>
        <w:t>ach Unii.</w:t>
      </w:r>
      <w:r w:rsidRPr="00201A9A">
        <w:rPr>
          <w:rStyle w:val="eop"/>
          <w:noProof/>
        </w:rPr>
        <w:t xml:space="preserve"> </w:t>
      </w:r>
    </w:p>
    <w:p w14:paraId="7D9C1339" w14:textId="7B17E262" w:rsidR="00C330EA" w:rsidRPr="00201A9A" w:rsidRDefault="00C330EA" w:rsidP="00C330EA">
      <w:pPr>
        <w:pStyle w:val="Titrearticle"/>
        <w:rPr>
          <w:b/>
          <w:bCs/>
          <w:noProof/>
        </w:rPr>
      </w:pPr>
      <w:r w:rsidRPr="00201A9A">
        <w:rPr>
          <w:noProof/>
        </w:rPr>
        <w:t xml:space="preserve">Artykuł 30 </w:t>
      </w:r>
      <w:r w:rsidRPr="00201A9A">
        <w:rPr>
          <w:noProof/>
        </w:rPr>
        <w:br/>
      </w:r>
      <w:r w:rsidRPr="00201A9A">
        <w:rPr>
          <w:b/>
          <w:noProof/>
        </w:rPr>
        <w:t>Kwalifikujące się podmioty</w:t>
      </w:r>
      <w:r w:rsidR="00201A9A" w:rsidRPr="00201A9A">
        <w:rPr>
          <w:b/>
          <w:noProof/>
        </w:rPr>
        <w:t xml:space="preserve"> w ram</w:t>
      </w:r>
      <w:r w:rsidRPr="00201A9A">
        <w:rPr>
          <w:b/>
          <w:noProof/>
        </w:rPr>
        <w:t>ach zarządzania bezpośredniego</w:t>
      </w:r>
      <w:r w:rsidR="00201A9A" w:rsidRPr="00201A9A">
        <w:rPr>
          <w:b/>
          <w:noProof/>
        </w:rPr>
        <w:t xml:space="preserve"> i poś</w:t>
      </w:r>
      <w:r w:rsidRPr="00201A9A">
        <w:rPr>
          <w:b/>
          <w:noProof/>
        </w:rPr>
        <w:t>redniego</w:t>
      </w:r>
    </w:p>
    <w:p w14:paraId="679A6060" w14:textId="168F54F8" w:rsidR="00FB2087" w:rsidRPr="00201A9A" w:rsidRDefault="00FB2087" w:rsidP="003E2902">
      <w:pPr>
        <w:pStyle w:val="NumPar10000000"/>
        <w:numPr>
          <w:ilvl w:val="0"/>
          <w:numId w:val="91"/>
        </w:numPr>
        <w:rPr>
          <w:noProof/>
        </w:rPr>
      </w:pPr>
      <w:r w:rsidRPr="00201A9A">
        <w:rPr>
          <w:noProof/>
        </w:rPr>
        <w:t>W procedurach przyznawania dotacji, nagród, instrumentów finansowych</w:t>
      </w:r>
      <w:r w:rsidR="00201A9A" w:rsidRPr="00201A9A">
        <w:rPr>
          <w:noProof/>
        </w:rPr>
        <w:t xml:space="preserve"> i ins</w:t>
      </w:r>
      <w:r w:rsidRPr="00201A9A">
        <w:rPr>
          <w:noProof/>
        </w:rPr>
        <w:t>trumentów łączonych</w:t>
      </w:r>
      <w:r w:rsidR="00201A9A" w:rsidRPr="00201A9A">
        <w:rPr>
          <w:noProof/>
        </w:rPr>
        <w:t xml:space="preserve"> w ram</w:t>
      </w:r>
      <w:r w:rsidRPr="00201A9A">
        <w:rPr>
          <w:noProof/>
        </w:rPr>
        <w:t>ach zarządzania bezpośredniego</w:t>
      </w:r>
      <w:r w:rsidR="00201A9A" w:rsidRPr="00201A9A">
        <w:rPr>
          <w:noProof/>
        </w:rPr>
        <w:t xml:space="preserve"> i zar</w:t>
      </w:r>
      <w:r w:rsidRPr="00201A9A">
        <w:rPr>
          <w:noProof/>
        </w:rPr>
        <w:t xml:space="preserve">ządzania pośredniego następujące podmioty prawne mogą kwalifikować się do otrzymania finansowania unijnego: </w:t>
      </w:r>
    </w:p>
    <w:p w14:paraId="287027A8" w14:textId="2080EA05" w:rsidR="00FB2087" w:rsidRPr="00201A9A" w:rsidRDefault="00201A9A" w:rsidP="00201A9A">
      <w:pPr>
        <w:pStyle w:val="Point1"/>
        <w:rPr>
          <w:noProof/>
        </w:rPr>
      </w:pPr>
      <w:r w:rsidRPr="00201A9A">
        <w:rPr>
          <w:noProof/>
        </w:rPr>
        <w:t>a)</w:t>
      </w:r>
      <w:r w:rsidRPr="00201A9A">
        <w:rPr>
          <w:noProof/>
        </w:rPr>
        <w:tab/>
      </w:r>
      <w:r w:rsidR="00FB2087" w:rsidRPr="00201A9A">
        <w:rPr>
          <w:noProof/>
        </w:rPr>
        <w:t>podmioty mające siedzibę</w:t>
      </w:r>
      <w:r w:rsidRPr="00201A9A">
        <w:rPr>
          <w:noProof/>
        </w:rPr>
        <w:t xml:space="preserve"> w pań</w:t>
      </w:r>
      <w:r w:rsidR="00FB2087" w:rsidRPr="00201A9A">
        <w:rPr>
          <w:noProof/>
        </w:rPr>
        <w:t>stwie członkowskim lub</w:t>
      </w:r>
      <w:r w:rsidRPr="00201A9A">
        <w:rPr>
          <w:noProof/>
        </w:rPr>
        <w:t xml:space="preserve"> w sto</w:t>
      </w:r>
      <w:r w:rsidR="00FB2087" w:rsidRPr="00201A9A">
        <w:rPr>
          <w:noProof/>
        </w:rPr>
        <w:t xml:space="preserve">warzyszonym państwie trzecim; </w:t>
      </w:r>
    </w:p>
    <w:p w14:paraId="71AE1745" w14:textId="4A5182BE" w:rsidR="00FB2087" w:rsidRPr="00201A9A" w:rsidRDefault="00201A9A" w:rsidP="00201A9A">
      <w:pPr>
        <w:pStyle w:val="Point1"/>
        <w:rPr>
          <w:noProof/>
        </w:rPr>
      </w:pPr>
      <w:r w:rsidRPr="00201A9A">
        <w:rPr>
          <w:noProof/>
        </w:rPr>
        <w:t>b)</w:t>
      </w:r>
      <w:r w:rsidRPr="00201A9A">
        <w:rPr>
          <w:noProof/>
        </w:rPr>
        <w:tab/>
      </w:r>
      <w:r w:rsidR="00FB2087" w:rsidRPr="00201A9A">
        <w:rPr>
          <w:noProof/>
        </w:rPr>
        <w:t xml:space="preserve">organizacje międzynarodowe; </w:t>
      </w:r>
    </w:p>
    <w:p w14:paraId="3EBF9798" w14:textId="7E60CE71" w:rsidR="00FB2087" w:rsidRPr="00201A9A" w:rsidRDefault="00201A9A" w:rsidP="00201A9A">
      <w:pPr>
        <w:pStyle w:val="Point1"/>
        <w:rPr>
          <w:noProof/>
        </w:rPr>
      </w:pPr>
      <w:r w:rsidRPr="00201A9A">
        <w:rPr>
          <w:noProof/>
        </w:rPr>
        <w:t>c)</w:t>
      </w:r>
      <w:r w:rsidRPr="00201A9A">
        <w:rPr>
          <w:noProof/>
        </w:rPr>
        <w:tab/>
      </w:r>
      <w:r w:rsidR="00FB2087" w:rsidRPr="00201A9A">
        <w:rPr>
          <w:noProof/>
        </w:rPr>
        <w:t>inne podmioty mające siedzibę</w:t>
      </w:r>
      <w:r w:rsidRPr="00201A9A">
        <w:rPr>
          <w:noProof/>
        </w:rPr>
        <w:t xml:space="preserve"> w nie</w:t>
      </w:r>
      <w:r w:rsidR="00FB2087" w:rsidRPr="00201A9A">
        <w:rPr>
          <w:noProof/>
        </w:rPr>
        <w:t>stowarzyszonych państwach trzecich, jeżeli finansowanie takich podmiotów ma zasadnicze znaczenie dla realizacji działania</w:t>
      </w:r>
      <w:r w:rsidRPr="00201A9A">
        <w:rPr>
          <w:noProof/>
        </w:rPr>
        <w:t xml:space="preserve"> i prz</w:t>
      </w:r>
      <w:r w:rsidR="00FB2087" w:rsidRPr="00201A9A">
        <w:rPr>
          <w:noProof/>
        </w:rPr>
        <w:t>yczynia się do osiągnięcia celów określonych</w:t>
      </w:r>
      <w:r w:rsidRPr="00201A9A">
        <w:rPr>
          <w:noProof/>
        </w:rPr>
        <w:t xml:space="preserve"> w art</w:t>
      </w:r>
      <w:r w:rsidR="00FB2087" w:rsidRPr="00201A9A">
        <w:rPr>
          <w:noProof/>
        </w:rPr>
        <w:t>.</w:t>
      </w:r>
      <w:r w:rsidRPr="00201A9A">
        <w:rPr>
          <w:noProof/>
        </w:rPr>
        <w:t> </w:t>
      </w:r>
      <w:r w:rsidR="00FB2087" w:rsidRPr="00201A9A">
        <w:rPr>
          <w:noProof/>
        </w:rPr>
        <w:t>2</w:t>
      </w:r>
      <w:r w:rsidRPr="00201A9A">
        <w:rPr>
          <w:noProof/>
        </w:rPr>
        <w:t xml:space="preserve"> i 3</w:t>
      </w:r>
      <w:r w:rsidR="00FB2087" w:rsidRPr="00201A9A">
        <w:rPr>
          <w:noProof/>
        </w:rPr>
        <w:t xml:space="preserve">. </w:t>
      </w:r>
    </w:p>
    <w:p w14:paraId="572780DA" w14:textId="39257E5B" w:rsidR="00FB2087" w:rsidRPr="00201A9A" w:rsidRDefault="00FB2087" w:rsidP="003E2902">
      <w:pPr>
        <w:pStyle w:val="NumPar10000000"/>
        <w:numPr>
          <w:ilvl w:val="0"/>
          <w:numId w:val="91"/>
        </w:numPr>
        <w:rPr>
          <w:noProof/>
        </w:rPr>
      </w:pPr>
      <w:r w:rsidRPr="00201A9A">
        <w:rPr>
          <w:noProof/>
        </w:rPr>
        <w:t>Oprócz art.</w:t>
      </w:r>
      <w:r w:rsidR="00201A9A" w:rsidRPr="00201A9A">
        <w:rPr>
          <w:noProof/>
        </w:rPr>
        <w:t> </w:t>
      </w:r>
      <w:r w:rsidRPr="00201A9A">
        <w:rPr>
          <w:noProof/>
        </w:rPr>
        <w:t>168 ust.</w:t>
      </w:r>
      <w:r w:rsidR="00201A9A" w:rsidRPr="00201A9A">
        <w:rPr>
          <w:noProof/>
        </w:rPr>
        <w:t> </w:t>
      </w:r>
      <w:r w:rsidRPr="00201A9A">
        <w:rPr>
          <w:noProof/>
        </w:rPr>
        <w:t>2</w:t>
      </w:r>
      <w:r w:rsidR="00201A9A" w:rsidRPr="00201A9A">
        <w:rPr>
          <w:noProof/>
        </w:rPr>
        <w:t xml:space="preserve"> i 3</w:t>
      </w:r>
      <w:r w:rsidRPr="00201A9A">
        <w:rPr>
          <w:noProof/>
        </w:rPr>
        <w:t xml:space="preserve"> rozporządzenia (UE, Euratom) 2024/2509, stowarzyszone państwa trzecie,</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28 niniejszego rozporządzenia, mogą,</w:t>
      </w:r>
      <w:r w:rsidR="00201A9A" w:rsidRPr="00201A9A">
        <w:rPr>
          <w:noProof/>
        </w:rPr>
        <w:t xml:space="preserve"> w sto</w:t>
      </w:r>
      <w:r w:rsidRPr="00201A9A">
        <w:rPr>
          <w:noProof/>
        </w:rPr>
        <w:t>sownych przypadkach, uczestniczyć</w:t>
      </w:r>
      <w:r w:rsidR="00201A9A" w:rsidRPr="00201A9A">
        <w:rPr>
          <w:noProof/>
        </w:rPr>
        <w:t xml:space="preserve"> w mec</w:t>
      </w:r>
      <w:r w:rsidRPr="00201A9A">
        <w:rPr>
          <w:noProof/>
        </w:rPr>
        <w:t>hanizmach udzielania zamówień określonych</w:t>
      </w:r>
      <w:r w:rsidR="00201A9A" w:rsidRPr="00201A9A">
        <w:rPr>
          <w:noProof/>
        </w:rPr>
        <w:t xml:space="preserve"> w art</w:t>
      </w:r>
      <w:r w:rsidRPr="00201A9A">
        <w:rPr>
          <w:noProof/>
        </w:rPr>
        <w:t>.</w:t>
      </w:r>
      <w:r w:rsidR="00201A9A" w:rsidRPr="00201A9A">
        <w:rPr>
          <w:noProof/>
        </w:rPr>
        <w:t> </w:t>
      </w:r>
      <w:r w:rsidRPr="00201A9A">
        <w:rPr>
          <w:noProof/>
        </w:rPr>
        <w:t>168 ust.</w:t>
      </w:r>
      <w:r w:rsidR="00201A9A" w:rsidRPr="00201A9A">
        <w:rPr>
          <w:noProof/>
        </w:rPr>
        <w:t> </w:t>
      </w:r>
      <w:r w:rsidRPr="00201A9A">
        <w:rPr>
          <w:noProof/>
        </w:rPr>
        <w:t>2</w:t>
      </w:r>
      <w:r w:rsidR="00201A9A" w:rsidRPr="00201A9A">
        <w:rPr>
          <w:noProof/>
        </w:rPr>
        <w:t xml:space="preserve"> i 3</w:t>
      </w:r>
      <w:r w:rsidRPr="00201A9A">
        <w:rPr>
          <w:noProof/>
        </w:rPr>
        <w:t xml:space="preserve"> rozporządzenia (UE, Euratom) 2024/2509</w:t>
      </w:r>
      <w:r w:rsidR="00201A9A" w:rsidRPr="00201A9A">
        <w:rPr>
          <w:noProof/>
        </w:rPr>
        <w:t xml:space="preserve"> i cze</w:t>
      </w:r>
      <w:r w:rsidRPr="00201A9A">
        <w:rPr>
          <w:noProof/>
        </w:rPr>
        <w:t>rpać korzyści</w:t>
      </w:r>
      <w:r w:rsidR="00201A9A" w:rsidRPr="00201A9A">
        <w:rPr>
          <w:noProof/>
        </w:rPr>
        <w:t xml:space="preserve"> z tyc</w:t>
      </w:r>
      <w:r w:rsidRPr="00201A9A">
        <w:rPr>
          <w:noProof/>
        </w:rPr>
        <w:t xml:space="preserve">h mechanizmów. Przepisy mające zastosowanie do państw członkowskich stosuje się odpowiednio do uczestniczących stowarzyszonych państw trzecich. </w:t>
      </w:r>
    </w:p>
    <w:p w14:paraId="218714D9" w14:textId="029CA9F8" w:rsidR="00FB2087" w:rsidRPr="00201A9A" w:rsidRDefault="00FB2087" w:rsidP="003E2902">
      <w:pPr>
        <w:pStyle w:val="NumPar10000000"/>
        <w:numPr>
          <w:ilvl w:val="0"/>
          <w:numId w:val="91"/>
        </w:numPr>
        <w:rPr>
          <w:noProof/>
        </w:rPr>
      </w:pPr>
      <w:r w:rsidRPr="00201A9A">
        <w:rPr>
          <w:noProof/>
        </w:rPr>
        <w:t>Procedury wyboru mające wpływ na bezpieczeństwo lub porządek publiczny,</w:t>
      </w:r>
      <w:r w:rsidR="00201A9A" w:rsidRPr="00201A9A">
        <w:rPr>
          <w:noProof/>
        </w:rPr>
        <w:t xml:space="preserve"> w szc</w:t>
      </w:r>
      <w:r w:rsidRPr="00201A9A">
        <w:rPr>
          <w:noProof/>
        </w:rPr>
        <w:t>zególności</w:t>
      </w:r>
      <w:r w:rsidR="00201A9A" w:rsidRPr="00201A9A">
        <w:rPr>
          <w:noProof/>
        </w:rPr>
        <w:t xml:space="preserve"> w odn</w:t>
      </w:r>
      <w:r w:rsidRPr="00201A9A">
        <w:rPr>
          <w:noProof/>
        </w:rPr>
        <w:t>iesieniu do strategicznych aktywów</w:t>
      </w:r>
      <w:r w:rsidR="00201A9A" w:rsidRPr="00201A9A">
        <w:rPr>
          <w:noProof/>
        </w:rPr>
        <w:t xml:space="preserve"> i int</w:t>
      </w:r>
      <w:r w:rsidRPr="00201A9A">
        <w:rPr>
          <w:noProof/>
        </w:rPr>
        <w:t>eresów Unii lub jej państw członkowskich, są ograniczone zgodnie</w:t>
      </w:r>
      <w:r w:rsidR="00201A9A" w:rsidRPr="00201A9A">
        <w:rPr>
          <w:noProof/>
        </w:rPr>
        <w:t xml:space="preserve"> z art</w:t>
      </w:r>
      <w:r w:rsidRPr="00201A9A">
        <w:rPr>
          <w:noProof/>
        </w:rPr>
        <w:t>.</w:t>
      </w:r>
      <w:r w:rsidR="00201A9A" w:rsidRPr="00201A9A">
        <w:rPr>
          <w:noProof/>
        </w:rPr>
        <w:t> </w:t>
      </w:r>
      <w:r w:rsidRPr="00201A9A">
        <w:rPr>
          <w:noProof/>
        </w:rPr>
        <w:t xml:space="preserve">136 rozporządzenia (UE, Euratom) 2024/2509. </w:t>
      </w:r>
    </w:p>
    <w:p w14:paraId="563780A7" w14:textId="24298844" w:rsidR="00FB2087" w:rsidRPr="00201A9A" w:rsidRDefault="00FB2087" w:rsidP="003E2902">
      <w:pPr>
        <w:pStyle w:val="NumPar10000000"/>
        <w:numPr>
          <w:ilvl w:val="0"/>
          <w:numId w:val="91"/>
        </w:numPr>
        <w:rPr>
          <w:noProof/>
        </w:rPr>
      </w:pPr>
      <w:r w:rsidRPr="00201A9A">
        <w:rPr>
          <w:noProof/>
        </w:rPr>
        <w:t>W programie prac,</w:t>
      </w:r>
      <w:r w:rsidR="00201A9A" w:rsidRPr="00201A9A">
        <w:rPr>
          <w:noProof/>
        </w:rPr>
        <w:t xml:space="preserve"> o któ</w:t>
      </w:r>
      <w:r w:rsidRPr="00201A9A">
        <w:rPr>
          <w:noProof/>
        </w:rPr>
        <w:t>rym mowa</w:t>
      </w:r>
      <w:r w:rsidR="00201A9A" w:rsidRPr="00201A9A">
        <w:rPr>
          <w:noProof/>
        </w:rPr>
        <w:t xml:space="preserve"> w art</w:t>
      </w:r>
      <w:r w:rsidRPr="00201A9A">
        <w:rPr>
          <w:noProof/>
        </w:rPr>
        <w:t>.</w:t>
      </w:r>
      <w:r w:rsidR="00201A9A" w:rsidRPr="00201A9A">
        <w:rPr>
          <w:noProof/>
        </w:rPr>
        <w:t> </w:t>
      </w:r>
      <w:r w:rsidRPr="00201A9A">
        <w:rPr>
          <w:noProof/>
        </w:rPr>
        <w:t>110 rozporządzenia (UE, Euratom) 2024/2509, lub</w:t>
      </w:r>
      <w:r w:rsidR="00201A9A" w:rsidRPr="00201A9A">
        <w:rPr>
          <w:noProof/>
        </w:rPr>
        <w:t xml:space="preserve"> w dok</w:t>
      </w:r>
      <w:r w:rsidRPr="00201A9A">
        <w:rPr>
          <w:noProof/>
        </w:rPr>
        <w:t>umentach związanych</w:t>
      </w:r>
      <w:r w:rsidR="00201A9A" w:rsidRPr="00201A9A">
        <w:rPr>
          <w:noProof/>
        </w:rPr>
        <w:t xml:space="preserve"> z pro</w:t>
      </w:r>
      <w:r w:rsidRPr="00201A9A">
        <w:rPr>
          <w:noProof/>
        </w:rPr>
        <w:t>cedurą wyboru można doprecyzować kryteria kwalifikowalności określone</w:t>
      </w:r>
      <w:r w:rsidR="00201A9A" w:rsidRPr="00201A9A">
        <w:rPr>
          <w:noProof/>
        </w:rPr>
        <w:t xml:space="preserve"> w nin</w:t>
      </w:r>
      <w:r w:rsidRPr="00201A9A">
        <w:rPr>
          <w:noProof/>
        </w:rPr>
        <w:t>iejszym rozporządzeniu lub określić dodatkowe kryteria kwalifikowalności</w:t>
      </w:r>
      <w:r w:rsidR="00201A9A" w:rsidRPr="00201A9A">
        <w:rPr>
          <w:noProof/>
        </w:rPr>
        <w:t xml:space="preserve"> w odn</w:t>
      </w:r>
      <w:r w:rsidRPr="00201A9A">
        <w:rPr>
          <w:noProof/>
        </w:rPr>
        <w:t>iesieniu do konkretnych działań</w:t>
      </w:r>
      <w:r w:rsidR="00201A9A" w:rsidRPr="00201A9A">
        <w:rPr>
          <w:noProof/>
        </w:rPr>
        <w:t>. W szc</w:t>
      </w:r>
      <w:r w:rsidRPr="00201A9A">
        <w:rPr>
          <w:noProof/>
        </w:rPr>
        <w:t>zególności</w:t>
      </w:r>
      <w:r w:rsidR="00201A9A" w:rsidRPr="00201A9A">
        <w:rPr>
          <w:noProof/>
        </w:rPr>
        <w:t xml:space="preserve"> w pro</w:t>
      </w:r>
      <w:r w:rsidRPr="00201A9A">
        <w:rPr>
          <w:noProof/>
        </w:rPr>
        <w:t>cedurach udzielania zamówień kwalifikowalność dostawców wysokiego ryzyka jest ograniczona zgodnie</w:t>
      </w:r>
      <w:r w:rsidR="00201A9A" w:rsidRPr="00201A9A">
        <w:rPr>
          <w:noProof/>
        </w:rPr>
        <w:t xml:space="preserve"> z pra</w:t>
      </w:r>
      <w:r w:rsidRPr="00201A9A">
        <w:rPr>
          <w:noProof/>
        </w:rPr>
        <w:t>wem UE ze względów bezpieczeństwa.</w:t>
      </w:r>
    </w:p>
    <w:p w14:paraId="2A4F6CDF" w14:textId="77777777" w:rsidR="00FB2087" w:rsidRPr="00201A9A" w:rsidRDefault="00C330EA" w:rsidP="00FB2087">
      <w:pPr>
        <w:pStyle w:val="Titrearticle"/>
        <w:rPr>
          <w:noProof/>
          <w:color w:val="0000FF"/>
        </w:rPr>
      </w:pPr>
      <w:r w:rsidRPr="00201A9A">
        <w:rPr>
          <w:noProof/>
        </w:rPr>
        <w:t xml:space="preserve">Artykuł 31 </w:t>
      </w:r>
      <w:r w:rsidRPr="00201A9A">
        <w:rPr>
          <w:noProof/>
        </w:rPr>
        <w:br/>
      </w:r>
      <w:r w:rsidRPr="00201A9A">
        <w:rPr>
          <w:b/>
          <w:noProof/>
        </w:rPr>
        <w:t>Działania Unii</w:t>
      </w:r>
    </w:p>
    <w:p w14:paraId="4410778F" w14:textId="08FE9D4E" w:rsidR="00FB2087" w:rsidRPr="00201A9A" w:rsidRDefault="00FB2087" w:rsidP="003E2902">
      <w:pPr>
        <w:pStyle w:val="NumPar10000000"/>
        <w:numPr>
          <w:ilvl w:val="0"/>
          <w:numId w:val="92"/>
        </w:numPr>
        <w:rPr>
          <w:noProof/>
        </w:rPr>
      </w:pPr>
      <w:r w:rsidRPr="00201A9A">
        <w:rPr>
          <w:noProof/>
        </w:rPr>
        <w:t>Komisja przyjmuje</w:t>
      </w:r>
      <w:r w:rsidR="00201A9A" w:rsidRPr="00201A9A">
        <w:rPr>
          <w:noProof/>
        </w:rPr>
        <w:t xml:space="preserve"> w dro</w:t>
      </w:r>
      <w:r w:rsidRPr="00201A9A">
        <w:rPr>
          <w:noProof/>
        </w:rPr>
        <w:t>dze aktów wykonawczych decyzję</w:t>
      </w:r>
      <w:r w:rsidR="00201A9A" w:rsidRPr="00201A9A">
        <w:rPr>
          <w:noProof/>
        </w:rPr>
        <w:t xml:space="preserve"> w spr</w:t>
      </w:r>
      <w:r w:rsidRPr="00201A9A">
        <w:rPr>
          <w:noProof/>
        </w:rPr>
        <w:t>awie finansowania,</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110 rozporządzenia (UE, Euratom) 2024/2509, określającą cele</w:t>
      </w:r>
      <w:r w:rsidR="00201A9A" w:rsidRPr="00201A9A">
        <w:rPr>
          <w:noProof/>
        </w:rPr>
        <w:t xml:space="preserve"> i dzi</w:t>
      </w:r>
      <w:r w:rsidRPr="00201A9A">
        <w:rPr>
          <w:noProof/>
        </w:rPr>
        <w:t>ałania, które mają być wspierane, oraz określającą kwoty przeznaczone na działania Unii określone</w:t>
      </w:r>
      <w:r w:rsidR="00201A9A" w:rsidRPr="00201A9A">
        <w:rPr>
          <w:noProof/>
        </w:rPr>
        <w:t xml:space="preserve"> w zał</w:t>
      </w:r>
      <w:r w:rsidRPr="00201A9A">
        <w:rPr>
          <w:noProof/>
        </w:rPr>
        <w:t>ączniku XV do niniejszego rozporządzenia [Działania Unii]. Taka decyzja</w:t>
      </w:r>
      <w:r w:rsidR="00201A9A" w:rsidRPr="00201A9A">
        <w:rPr>
          <w:noProof/>
        </w:rPr>
        <w:t xml:space="preserve"> w spr</w:t>
      </w:r>
      <w:r w:rsidRPr="00201A9A">
        <w:rPr>
          <w:noProof/>
        </w:rPr>
        <w:t>awie finansowania może mieć charakter roczny lub wieloletni. Określenie celów</w:t>
      </w:r>
      <w:r w:rsidR="00201A9A" w:rsidRPr="00201A9A">
        <w:rPr>
          <w:noProof/>
        </w:rPr>
        <w:t xml:space="preserve"> i dzi</w:t>
      </w:r>
      <w:r w:rsidRPr="00201A9A">
        <w:rPr>
          <w:noProof/>
        </w:rPr>
        <w:t>ałań opiera się na sprawiedliwych</w:t>
      </w:r>
      <w:r w:rsidR="00201A9A" w:rsidRPr="00201A9A">
        <w:rPr>
          <w:noProof/>
        </w:rPr>
        <w:t xml:space="preserve"> i prz</w:t>
      </w:r>
      <w:r w:rsidRPr="00201A9A">
        <w:rPr>
          <w:noProof/>
        </w:rPr>
        <w:t xml:space="preserve">ejrzystych kryteriach oraz zapewnia zrównoważony podział. </w:t>
      </w:r>
    </w:p>
    <w:p w14:paraId="46C78CE7" w14:textId="185FDA2E" w:rsidR="76A55A9C" w:rsidRPr="00201A9A" w:rsidRDefault="3C377DE0" w:rsidP="003E2902">
      <w:pPr>
        <w:pStyle w:val="NumPar10000000"/>
        <w:numPr>
          <w:ilvl w:val="0"/>
          <w:numId w:val="91"/>
        </w:numPr>
        <w:rPr>
          <w:noProof/>
        </w:rPr>
      </w:pPr>
      <w:r w:rsidRPr="00201A9A">
        <w:rPr>
          <w:noProof/>
        </w:rPr>
        <w:t>Na potrzeby działań unijnych,</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lit.</w:t>
      </w:r>
      <w:r w:rsidR="00201A9A" w:rsidRPr="00201A9A">
        <w:rPr>
          <w:noProof/>
        </w:rPr>
        <w:t> </w:t>
      </w:r>
      <w:r w:rsidRPr="00201A9A">
        <w:rPr>
          <w:noProof/>
        </w:rPr>
        <w:t>j) załącznika XV do niniejszego rozporządzenia [Działania Unii, sieć bezpieczeństwa oparta na jedności],</w:t>
      </w:r>
      <w:r w:rsidR="00201A9A" w:rsidRPr="00201A9A">
        <w:rPr>
          <w:noProof/>
        </w:rPr>
        <w:t xml:space="preserve"> i z zas</w:t>
      </w:r>
      <w:r w:rsidRPr="00201A9A">
        <w:rPr>
          <w:noProof/>
        </w:rPr>
        <w:t>trzeżeniem dostępności środków budżetowych, decyzja</w:t>
      </w:r>
      <w:r w:rsidR="00201A9A" w:rsidRPr="00201A9A">
        <w:rPr>
          <w:noProof/>
        </w:rPr>
        <w:t xml:space="preserve"> w spr</w:t>
      </w:r>
      <w:r w:rsidRPr="00201A9A">
        <w:rPr>
          <w:noProof/>
        </w:rPr>
        <w:t>awie finansowania,</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1, zostaje odpowiednio zmieniona, by ułatwić przyjęcie aktów delegowanych lub wykonawczych na podstawie rozporządzenia (UE) nr</w:t>
      </w:r>
      <w:r w:rsidR="00201A9A" w:rsidRPr="00201A9A">
        <w:rPr>
          <w:noProof/>
        </w:rPr>
        <w:t> </w:t>
      </w:r>
      <w:r w:rsidRPr="00201A9A">
        <w:rPr>
          <w:noProof/>
        </w:rPr>
        <w:t>1308/2013. Te działania Unii uznaje się za interwencje oparte na produktach i są one realizowane</w:t>
      </w:r>
      <w:r w:rsidR="00201A9A" w:rsidRPr="00201A9A">
        <w:rPr>
          <w:noProof/>
        </w:rPr>
        <w:t xml:space="preserve"> w ram</w:t>
      </w:r>
      <w:r w:rsidRPr="00201A9A">
        <w:rPr>
          <w:noProof/>
        </w:rPr>
        <w:t>ach zarządzania dzielonego zgodnie</w:t>
      </w:r>
      <w:r w:rsidR="00201A9A" w:rsidRPr="00201A9A">
        <w:rPr>
          <w:noProof/>
        </w:rPr>
        <w:t xml:space="preserve"> z prz</w:t>
      </w:r>
      <w:r w:rsidRPr="00201A9A">
        <w:rPr>
          <w:noProof/>
        </w:rPr>
        <w:t>episami ustanowionymi niniejszym rozporządzeniem.</w:t>
      </w:r>
    </w:p>
    <w:p w14:paraId="70755F98" w14:textId="5B512854" w:rsidR="004466AC" w:rsidRPr="00201A9A" w:rsidRDefault="003D5435" w:rsidP="003E2902">
      <w:pPr>
        <w:pStyle w:val="NumPar10000000"/>
        <w:numPr>
          <w:ilvl w:val="0"/>
          <w:numId w:val="91"/>
        </w:numPr>
        <w:rPr>
          <w:noProof/>
        </w:rPr>
      </w:pPr>
      <w:r w:rsidRPr="00201A9A">
        <w:rPr>
          <w:noProof/>
        </w:rPr>
        <w:t>W decyzji</w:t>
      </w:r>
      <w:r w:rsidR="00201A9A" w:rsidRPr="00201A9A">
        <w:rPr>
          <w:noProof/>
        </w:rPr>
        <w:t xml:space="preserve"> w spr</w:t>
      </w:r>
      <w:r w:rsidRPr="00201A9A">
        <w:rPr>
          <w:noProof/>
        </w:rPr>
        <w:t>awie finansowania,</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1, uwzględnia się udział kwot, które Komisja ma udostępnić państwom członkowskim:</w:t>
      </w:r>
    </w:p>
    <w:p w14:paraId="61E136B7" w14:textId="6F4ACBE2" w:rsidR="003D5435" w:rsidRPr="00201A9A" w:rsidRDefault="00201A9A" w:rsidP="00201A9A">
      <w:pPr>
        <w:pStyle w:val="Point1"/>
        <w:rPr>
          <w:noProof/>
        </w:rPr>
      </w:pPr>
      <w:r w:rsidRPr="00201A9A">
        <w:rPr>
          <w:noProof/>
        </w:rPr>
        <w:t>a)</w:t>
      </w:r>
      <w:r w:rsidRPr="00201A9A">
        <w:rPr>
          <w:noProof/>
        </w:rPr>
        <w:tab/>
      </w:r>
      <w:r w:rsidR="003D5435" w:rsidRPr="00201A9A">
        <w:rPr>
          <w:noProof/>
        </w:rPr>
        <w:t>zgodnie</w:t>
      </w:r>
      <w:r w:rsidRPr="00201A9A">
        <w:rPr>
          <w:noProof/>
        </w:rPr>
        <w:t xml:space="preserve"> z art</w:t>
      </w:r>
      <w:r w:rsidR="003D5435" w:rsidRPr="00201A9A">
        <w:rPr>
          <w:noProof/>
        </w:rPr>
        <w:t>.</w:t>
      </w:r>
      <w:r w:rsidRPr="00201A9A">
        <w:rPr>
          <w:noProof/>
        </w:rPr>
        <w:t> </w:t>
      </w:r>
      <w:r w:rsidR="003D5435" w:rsidRPr="00201A9A">
        <w:rPr>
          <w:noProof/>
        </w:rPr>
        <w:t>7</w:t>
      </w:r>
      <w:bookmarkStart w:id="10" w:name="_Hlk203532505"/>
      <w:r w:rsidR="003D5435" w:rsidRPr="00201A9A">
        <w:rPr>
          <w:noProof/>
        </w:rPr>
        <w:t xml:space="preserve"> rozporządzenia XX [rozporządzenie</w:t>
      </w:r>
      <w:r w:rsidRPr="00201A9A">
        <w:rPr>
          <w:noProof/>
        </w:rPr>
        <w:t xml:space="preserve"> w spr</w:t>
      </w:r>
      <w:r w:rsidR="003D5435" w:rsidRPr="00201A9A">
        <w:rPr>
          <w:noProof/>
        </w:rPr>
        <w:t>awie granic]</w:t>
      </w:r>
      <w:bookmarkEnd w:id="10"/>
      <w:r w:rsidR="003D5435" w:rsidRPr="00201A9A">
        <w:rPr>
          <w:noProof/>
        </w:rPr>
        <w:t>, które stanowią wewnętrzne dochody przeznaczone na określony cel zgodnie</w:t>
      </w:r>
      <w:r w:rsidRPr="00201A9A">
        <w:rPr>
          <w:noProof/>
        </w:rPr>
        <w:t xml:space="preserve"> z art</w:t>
      </w:r>
      <w:r w:rsidR="003D5435" w:rsidRPr="00201A9A">
        <w:rPr>
          <w:noProof/>
        </w:rPr>
        <w:t>.</w:t>
      </w:r>
      <w:r w:rsidRPr="00201A9A">
        <w:rPr>
          <w:noProof/>
        </w:rPr>
        <w:t> </w:t>
      </w:r>
      <w:r w:rsidR="003D5435" w:rsidRPr="00201A9A">
        <w:rPr>
          <w:noProof/>
        </w:rPr>
        <w:t>21 ust.</w:t>
      </w:r>
      <w:r w:rsidRPr="00201A9A">
        <w:rPr>
          <w:noProof/>
        </w:rPr>
        <w:t> </w:t>
      </w:r>
      <w:r w:rsidR="003D5435" w:rsidRPr="00201A9A">
        <w:rPr>
          <w:noProof/>
        </w:rPr>
        <w:t>3 rozporządzenia (UE, Euratom) 2025/2509 oraz</w:t>
      </w:r>
    </w:p>
    <w:p w14:paraId="17FCE4EC" w14:textId="1072D500" w:rsidR="003D5435" w:rsidRPr="00201A9A" w:rsidRDefault="00201A9A" w:rsidP="00201A9A">
      <w:pPr>
        <w:pStyle w:val="Point1"/>
        <w:rPr>
          <w:noProof/>
        </w:rPr>
      </w:pPr>
      <w:r w:rsidRPr="00201A9A">
        <w:rPr>
          <w:noProof/>
        </w:rPr>
        <w:t>b)</w:t>
      </w:r>
      <w:r w:rsidRPr="00201A9A">
        <w:rPr>
          <w:noProof/>
        </w:rPr>
        <w:tab/>
      </w:r>
      <w:r w:rsidR="003D5435" w:rsidRPr="00201A9A">
        <w:rPr>
          <w:noProof/>
        </w:rPr>
        <w:t>zgodnie</w:t>
      </w:r>
      <w:r w:rsidRPr="00201A9A">
        <w:rPr>
          <w:noProof/>
        </w:rPr>
        <w:t xml:space="preserve"> z art</w:t>
      </w:r>
      <w:r w:rsidR="003D5435" w:rsidRPr="00201A9A">
        <w:rPr>
          <w:noProof/>
        </w:rPr>
        <w:t>.</w:t>
      </w:r>
      <w:r w:rsidRPr="00201A9A">
        <w:rPr>
          <w:noProof/>
        </w:rPr>
        <w:t> </w:t>
      </w:r>
      <w:r w:rsidR="003D5435" w:rsidRPr="00201A9A">
        <w:rPr>
          <w:noProof/>
        </w:rPr>
        <w:t>8 rozporządzenia XX [rozporządzenie</w:t>
      </w:r>
      <w:r w:rsidRPr="00201A9A">
        <w:rPr>
          <w:noProof/>
        </w:rPr>
        <w:t xml:space="preserve"> w spr</w:t>
      </w:r>
      <w:r w:rsidR="003D5435" w:rsidRPr="00201A9A">
        <w:rPr>
          <w:noProof/>
        </w:rPr>
        <w:t>awie granic]</w:t>
      </w:r>
      <w:r w:rsidRPr="00201A9A">
        <w:rPr>
          <w:noProof/>
        </w:rPr>
        <w:t xml:space="preserve"> i art</w:t>
      </w:r>
      <w:r w:rsidR="003D5435" w:rsidRPr="00201A9A">
        <w:rPr>
          <w:noProof/>
        </w:rPr>
        <w:t>.</w:t>
      </w:r>
      <w:r w:rsidRPr="00201A9A">
        <w:rPr>
          <w:noProof/>
        </w:rPr>
        <w:t> </w:t>
      </w:r>
      <w:r w:rsidR="003D5435" w:rsidRPr="00201A9A">
        <w:rPr>
          <w:noProof/>
        </w:rPr>
        <w:t>9 rozporządzenia XX [rozporządzenie</w:t>
      </w:r>
      <w:r w:rsidRPr="00201A9A">
        <w:rPr>
          <w:noProof/>
        </w:rPr>
        <w:t xml:space="preserve"> w spr</w:t>
      </w:r>
      <w:r w:rsidR="003D5435" w:rsidRPr="00201A9A">
        <w:rPr>
          <w:noProof/>
        </w:rPr>
        <w:t>awie migracji], które stanowią zewnętrzne dochody przeznaczone na określony cel zgodnie</w:t>
      </w:r>
      <w:r w:rsidRPr="00201A9A">
        <w:rPr>
          <w:noProof/>
        </w:rPr>
        <w:t xml:space="preserve"> z art</w:t>
      </w:r>
      <w:r w:rsidR="003D5435" w:rsidRPr="00201A9A">
        <w:rPr>
          <w:noProof/>
        </w:rPr>
        <w:t>.</w:t>
      </w:r>
      <w:r w:rsidRPr="00201A9A">
        <w:rPr>
          <w:noProof/>
        </w:rPr>
        <w:t> </w:t>
      </w:r>
      <w:r w:rsidR="003D5435" w:rsidRPr="00201A9A">
        <w:rPr>
          <w:noProof/>
        </w:rPr>
        <w:t>21 ust.</w:t>
      </w:r>
      <w:r w:rsidRPr="00201A9A">
        <w:rPr>
          <w:noProof/>
        </w:rPr>
        <w:t> </w:t>
      </w:r>
      <w:r w:rsidR="003D5435" w:rsidRPr="00201A9A">
        <w:rPr>
          <w:noProof/>
        </w:rPr>
        <w:t>5 rozporządzenia (UE, Euratom) 2025/2509.</w:t>
      </w:r>
    </w:p>
    <w:p w14:paraId="5BE6EE6D" w14:textId="10EC3F69" w:rsidR="003D5435" w:rsidRPr="00201A9A" w:rsidRDefault="003D5435" w:rsidP="003D5435">
      <w:pPr>
        <w:pStyle w:val="Text1"/>
        <w:rPr>
          <w:noProof/>
        </w:rPr>
      </w:pPr>
      <w:r w:rsidRPr="00201A9A">
        <w:rPr>
          <w:noProof/>
        </w:rPr>
        <w:t>Kwoty,</w:t>
      </w:r>
      <w:r w:rsidR="00201A9A" w:rsidRPr="00201A9A">
        <w:rPr>
          <w:noProof/>
        </w:rPr>
        <w:t xml:space="preserve"> o któ</w:t>
      </w:r>
      <w:r w:rsidRPr="00201A9A">
        <w:rPr>
          <w:noProof/>
        </w:rPr>
        <w:t>rych mowa</w:t>
      </w:r>
      <w:r w:rsidR="00201A9A" w:rsidRPr="00201A9A">
        <w:rPr>
          <w:noProof/>
        </w:rPr>
        <w:t xml:space="preserve"> w aka</w:t>
      </w:r>
      <w:r w:rsidRPr="00201A9A">
        <w:rPr>
          <w:noProof/>
        </w:rPr>
        <w:t>picie pierwszym, udostępnia się zgodnie</w:t>
      </w:r>
      <w:r w:rsidR="00201A9A" w:rsidRPr="00201A9A">
        <w:rPr>
          <w:noProof/>
        </w:rPr>
        <w:t xml:space="preserve"> z ust</w:t>
      </w:r>
      <w:r w:rsidRPr="00201A9A">
        <w:rPr>
          <w:noProof/>
        </w:rPr>
        <w:t>.</w:t>
      </w:r>
      <w:r w:rsidR="00201A9A" w:rsidRPr="00201A9A">
        <w:rPr>
          <w:noProof/>
        </w:rPr>
        <w:t> </w:t>
      </w:r>
      <w:r w:rsidRPr="00201A9A">
        <w:rPr>
          <w:noProof/>
        </w:rPr>
        <w:t>7 niniejszego artykułu.</w:t>
      </w:r>
    </w:p>
    <w:p w14:paraId="4555AA62" w14:textId="0F7128D5" w:rsidR="00FB2087" w:rsidRPr="00201A9A" w:rsidRDefault="00FB2087" w:rsidP="003E2902">
      <w:pPr>
        <w:pStyle w:val="NumPar10000000"/>
        <w:numPr>
          <w:ilvl w:val="0"/>
          <w:numId w:val="91"/>
        </w:numPr>
        <w:rPr>
          <w:noProof/>
        </w:rPr>
      </w:pPr>
      <w:r w:rsidRPr="00201A9A">
        <w:rPr>
          <w:noProof/>
        </w:rPr>
        <w:t>W przypadku gdy działanie Unii jest realizowane</w:t>
      </w:r>
      <w:r w:rsidR="00201A9A" w:rsidRPr="00201A9A">
        <w:rPr>
          <w:noProof/>
        </w:rPr>
        <w:t xml:space="preserve"> w ram</w:t>
      </w:r>
      <w:r w:rsidRPr="00201A9A">
        <w:rPr>
          <w:noProof/>
        </w:rPr>
        <w:t>ach zarządzania bezpośredniego, członkami komitetu oceniającego,</w:t>
      </w:r>
      <w:r w:rsidR="00201A9A" w:rsidRPr="00201A9A">
        <w:rPr>
          <w:noProof/>
        </w:rPr>
        <w:t xml:space="preserve"> o któ</w:t>
      </w:r>
      <w:r w:rsidRPr="00201A9A">
        <w:rPr>
          <w:noProof/>
        </w:rPr>
        <w:t>rym mowa</w:t>
      </w:r>
      <w:r w:rsidR="00201A9A" w:rsidRPr="00201A9A">
        <w:rPr>
          <w:noProof/>
        </w:rPr>
        <w:t xml:space="preserve"> w art</w:t>
      </w:r>
      <w:r w:rsidRPr="00201A9A">
        <w:rPr>
          <w:noProof/>
        </w:rPr>
        <w:t>.</w:t>
      </w:r>
      <w:r w:rsidR="00201A9A" w:rsidRPr="00201A9A">
        <w:rPr>
          <w:noProof/>
        </w:rPr>
        <w:t> </w:t>
      </w:r>
      <w:r w:rsidRPr="00201A9A">
        <w:rPr>
          <w:noProof/>
        </w:rPr>
        <w:t xml:space="preserve">153 rozporządzenia (UE, Euratom) 2024/2509, mogą być eksperci zewnętrzni. </w:t>
      </w:r>
    </w:p>
    <w:p w14:paraId="027642D4" w14:textId="20A3A8A1" w:rsidR="00FB2087" w:rsidRPr="00201A9A" w:rsidRDefault="00FB2087" w:rsidP="003E2902">
      <w:pPr>
        <w:pStyle w:val="NumPar10000000"/>
        <w:numPr>
          <w:ilvl w:val="0"/>
          <w:numId w:val="91"/>
        </w:numPr>
        <w:rPr>
          <w:noProof/>
        </w:rPr>
      </w:pPr>
      <w:r w:rsidRPr="00201A9A">
        <w:rPr>
          <w:noProof/>
        </w:rPr>
        <w:t>Z wkładów</w:t>
      </w:r>
      <w:r w:rsidR="00201A9A" w:rsidRPr="00201A9A">
        <w:rPr>
          <w:noProof/>
        </w:rPr>
        <w:t xml:space="preserve"> w mec</w:t>
      </w:r>
      <w:r w:rsidRPr="00201A9A">
        <w:rPr>
          <w:noProof/>
        </w:rPr>
        <w:t>hanizm wzajemnego ubezpieczenia można pokryć ryzyko związane</w:t>
      </w:r>
      <w:r w:rsidR="00201A9A" w:rsidRPr="00201A9A">
        <w:rPr>
          <w:noProof/>
        </w:rPr>
        <w:t xml:space="preserve"> z odz</w:t>
      </w:r>
      <w:r w:rsidRPr="00201A9A">
        <w:rPr>
          <w:noProof/>
        </w:rPr>
        <w:t>yskaniem środków należnych od odbiorców</w:t>
      </w:r>
      <w:r w:rsidR="00201A9A" w:rsidRPr="00201A9A">
        <w:rPr>
          <w:noProof/>
        </w:rPr>
        <w:t xml:space="preserve"> i wkł</w:t>
      </w:r>
      <w:r w:rsidRPr="00201A9A">
        <w:rPr>
          <w:noProof/>
        </w:rPr>
        <w:t>ady te można uznać za wystarczającą gwarancję</w:t>
      </w:r>
      <w:r w:rsidR="00201A9A" w:rsidRPr="00201A9A">
        <w:rPr>
          <w:noProof/>
        </w:rPr>
        <w:t xml:space="preserve"> w ram</w:t>
      </w:r>
      <w:r w:rsidRPr="00201A9A">
        <w:rPr>
          <w:noProof/>
        </w:rPr>
        <w:t xml:space="preserve">ach rozporządzenia (UE, Euratom) 2024/2509. </w:t>
      </w:r>
    </w:p>
    <w:p w14:paraId="0DEE6E99" w14:textId="548F44CF" w:rsidR="002C10DB" w:rsidRPr="00201A9A" w:rsidRDefault="00FB2087" w:rsidP="003E2902">
      <w:pPr>
        <w:pStyle w:val="NumPar10000000"/>
        <w:numPr>
          <w:ilvl w:val="0"/>
          <w:numId w:val="91"/>
        </w:numPr>
        <w:rPr>
          <w:noProof/>
        </w:rPr>
      </w:pPr>
      <w:r w:rsidRPr="00201A9A">
        <w:rPr>
          <w:noProof/>
        </w:rPr>
        <w:t>W przypadku gdy działanie Unii jest realizowane</w:t>
      </w:r>
      <w:r w:rsidR="00201A9A" w:rsidRPr="00201A9A">
        <w:rPr>
          <w:noProof/>
        </w:rPr>
        <w:t xml:space="preserve"> w ram</w:t>
      </w:r>
      <w:r w:rsidRPr="00201A9A">
        <w:rPr>
          <w:noProof/>
        </w:rPr>
        <w:t>ach zarządzania dzielonego, państwo członkowskie otrzymuje wsparcie Unii na realizację tego działania, oprócz swojego wkładu finansowego na mocy art.</w:t>
      </w:r>
      <w:r w:rsidR="00201A9A" w:rsidRPr="00201A9A">
        <w:rPr>
          <w:noProof/>
        </w:rPr>
        <w:t> </w:t>
      </w:r>
      <w:r w:rsidRPr="00201A9A">
        <w:rPr>
          <w:noProof/>
        </w:rPr>
        <w:t xml:space="preserve">10 [Budżet]. </w:t>
      </w:r>
    </w:p>
    <w:p w14:paraId="0F15A42D" w14:textId="07F5117B" w:rsidR="00FB2087" w:rsidRPr="00201A9A" w:rsidRDefault="6C0FCE22" w:rsidP="008C57CF">
      <w:pPr>
        <w:pStyle w:val="Text1"/>
        <w:rPr>
          <w:noProof/>
        </w:rPr>
      </w:pPr>
      <w:r w:rsidRPr="00201A9A">
        <w:rPr>
          <w:noProof/>
        </w:rPr>
        <w:t>Finansowania działań unijnych nie wykorzystuje się na inne środki</w:t>
      </w:r>
      <w:r w:rsidR="00201A9A" w:rsidRPr="00201A9A">
        <w:rPr>
          <w:noProof/>
        </w:rPr>
        <w:t xml:space="preserve"> w pla</w:t>
      </w:r>
      <w:r w:rsidRPr="00201A9A">
        <w:rPr>
          <w:noProof/>
        </w:rPr>
        <w:t>nie PKR państwa członkowskiego,</w:t>
      </w:r>
      <w:r w:rsidR="00201A9A" w:rsidRPr="00201A9A">
        <w:rPr>
          <w:noProof/>
        </w:rPr>
        <w:t xml:space="preserve"> z wyj</w:t>
      </w:r>
      <w:r w:rsidRPr="00201A9A">
        <w:rPr>
          <w:noProof/>
        </w:rPr>
        <w:t>ątkiem należycie uzasadnionych okoliczności</w:t>
      </w:r>
      <w:r w:rsidR="00201A9A" w:rsidRPr="00201A9A">
        <w:rPr>
          <w:noProof/>
        </w:rPr>
        <w:t xml:space="preserve"> i zat</w:t>
      </w:r>
      <w:r w:rsidRPr="00201A9A">
        <w:rPr>
          <w:noProof/>
        </w:rPr>
        <w:t>wierdzonych przez Komisję</w:t>
      </w:r>
      <w:r w:rsidR="00201A9A" w:rsidRPr="00201A9A">
        <w:rPr>
          <w:noProof/>
        </w:rPr>
        <w:t xml:space="preserve"> w dro</w:t>
      </w:r>
      <w:r w:rsidRPr="00201A9A">
        <w:rPr>
          <w:noProof/>
        </w:rPr>
        <w:t>dze zmiany planu PKR państwa członkowskiego,</w:t>
      </w:r>
      <w:r w:rsidR="00201A9A" w:rsidRPr="00201A9A">
        <w:rPr>
          <w:noProof/>
        </w:rPr>
        <w:t xml:space="preserve"> w tym w prz</w:t>
      </w:r>
      <w:r w:rsidRPr="00201A9A">
        <w:rPr>
          <w:noProof/>
        </w:rPr>
        <w:t>ypadku przeprogramowania zasobów</w:t>
      </w:r>
      <w:r w:rsidR="00201A9A" w:rsidRPr="00201A9A">
        <w:rPr>
          <w:noProof/>
        </w:rPr>
        <w:t xml:space="preserve"> w ram</w:t>
      </w:r>
      <w:r w:rsidRPr="00201A9A">
        <w:rPr>
          <w:noProof/>
        </w:rPr>
        <w:t>ach planu zgodnie</w:t>
      </w:r>
      <w:r w:rsidR="00201A9A" w:rsidRPr="00201A9A">
        <w:rPr>
          <w:noProof/>
        </w:rPr>
        <w:t xml:space="preserve"> z art</w:t>
      </w:r>
      <w:r w:rsidRPr="00201A9A">
        <w:rPr>
          <w:noProof/>
        </w:rPr>
        <w:t>.</w:t>
      </w:r>
      <w:r w:rsidR="00201A9A" w:rsidRPr="00201A9A">
        <w:rPr>
          <w:noProof/>
        </w:rPr>
        <w:t> </w:t>
      </w:r>
      <w:r w:rsidRPr="00201A9A">
        <w:rPr>
          <w:noProof/>
        </w:rPr>
        <w:t>34 [Zmiana planu</w:t>
      </w:r>
      <w:r w:rsidR="00201A9A" w:rsidRPr="00201A9A">
        <w:rPr>
          <w:noProof/>
        </w:rPr>
        <w:t xml:space="preserve"> w syt</w:t>
      </w:r>
      <w:r w:rsidRPr="00201A9A">
        <w:rPr>
          <w:noProof/>
        </w:rPr>
        <w:t>uacjach kryzysowych].</w:t>
      </w:r>
    </w:p>
    <w:p w14:paraId="4C480C7E" w14:textId="77F68024" w:rsidR="002C10DB" w:rsidRPr="00201A9A" w:rsidRDefault="002C10DB" w:rsidP="002C10DB">
      <w:pPr>
        <w:pStyle w:val="Text1"/>
        <w:rPr>
          <w:noProof/>
        </w:rPr>
      </w:pPr>
      <w:r w:rsidRPr="00201A9A">
        <w:rPr>
          <w:noProof/>
        </w:rPr>
        <w:t>Akapit drugi ma zastosowanie również</w:t>
      </w:r>
      <w:r w:rsidR="00201A9A" w:rsidRPr="00201A9A">
        <w:rPr>
          <w:noProof/>
        </w:rPr>
        <w:t xml:space="preserve"> w prz</w:t>
      </w:r>
      <w:r w:rsidRPr="00201A9A">
        <w:rPr>
          <w:noProof/>
        </w:rPr>
        <w:t>ypadku przeprogramowania zasobów</w:t>
      </w:r>
      <w:r w:rsidR="00201A9A" w:rsidRPr="00201A9A">
        <w:rPr>
          <w:noProof/>
        </w:rPr>
        <w:t xml:space="preserve"> w ram</w:t>
      </w:r>
      <w:r w:rsidRPr="00201A9A">
        <w:rPr>
          <w:noProof/>
        </w:rPr>
        <w:t>ach planu zgodnie</w:t>
      </w:r>
      <w:r w:rsidR="00201A9A" w:rsidRPr="00201A9A">
        <w:rPr>
          <w:noProof/>
        </w:rPr>
        <w:t xml:space="preserve"> z art</w:t>
      </w:r>
      <w:r w:rsidRPr="00201A9A">
        <w:rPr>
          <w:noProof/>
        </w:rPr>
        <w:t>.</w:t>
      </w:r>
      <w:r w:rsidR="00201A9A" w:rsidRPr="00201A9A">
        <w:rPr>
          <w:noProof/>
        </w:rPr>
        <w:t> </w:t>
      </w:r>
      <w:r w:rsidRPr="00201A9A">
        <w:rPr>
          <w:noProof/>
        </w:rPr>
        <w:t>34 [Zmiana planu</w:t>
      </w:r>
      <w:r w:rsidR="00201A9A" w:rsidRPr="00201A9A">
        <w:rPr>
          <w:noProof/>
        </w:rPr>
        <w:t xml:space="preserve"> w syt</w:t>
      </w:r>
      <w:r w:rsidRPr="00201A9A">
        <w:rPr>
          <w:noProof/>
        </w:rPr>
        <w:t>uacjach kryzysowych].</w:t>
      </w:r>
    </w:p>
    <w:p w14:paraId="031415D1" w14:textId="05AB73CA" w:rsidR="00155CEE" w:rsidRPr="00201A9A" w:rsidRDefault="0095599F" w:rsidP="003E2902">
      <w:pPr>
        <w:pStyle w:val="NumPar10000000"/>
        <w:numPr>
          <w:ilvl w:val="0"/>
          <w:numId w:val="91"/>
        </w:numPr>
        <w:rPr>
          <w:noProof/>
        </w:rPr>
      </w:pPr>
      <w:r w:rsidRPr="00201A9A">
        <w:rPr>
          <w:noProof/>
        </w:rPr>
        <w:t>W przypadku gdy działanie Unii jest realizowane zgodnie</w:t>
      </w:r>
      <w:r w:rsidR="00201A9A" w:rsidRPr="00201A9A">
        <w:rPr>
          <w:noProof/>
        </w:rPr>
        <w:t xml:space="preserve"> z ust</w:t>
      </w:r>
      <w:r w:rsidRPr="00201A9A">
        <w:rPr>
          <w:noProof/>
        </w:rPr>
        <w:t>.</w:t>
      </w:r>
      <w:r w:rsidR="00201A9A" w:rsidRPr="00201A9A">
        <w:rPr>
          <w:noProof/>
        </w:rPr>
        <w:t> </w:t>
      </w:r>
      <w:r w:rsidRPr="00201A9A">
        <w:rPr>
          <w:noProof/>
        </w:rPr>
        <w:t>6,</w:t>
      </w:r>
      <w:r w:rsidR="00201A9A" w:rsidRPr="00201A9A">
        <w:rPr>
          <w:noProof/>
        </w:rPr>
        <w:t xml:space="preserve"> z uwz</w:t>
      </w:r>
      <w:r w:rsidRPr="00201A9A">
        <w:rPr>
          <w:noProof/>
        </w:rPr>
        <w:t>ględnieniem rodzaju działania Unii</w:t>
      </w:r>
      <w:r w:rsidR="00201A9A" w:rsidRPr="00201A9A">
        <w:rPr>
          <w:noProof/>
        </w:rPr>
        <w:t xml:space="preserve"> i pre</w:t>
      </w:r>
      <w:r w:rsidRPr="00201A9A">
        <w:rPr>
          <w:noProof/>
        </w:rPr>
        <w:t>ferencji danego państwa członkowskiego, Komisja może przydzielić państwu członkowskiemu finansowanie</w:t>
      </w:r>
      <w:r w:rsidR="00201A9A" w:rsidRPr="00201A9A">
        <w:rPr>
          <w:noProof/>
        </w:rPr>
        <w:t xml:space="preserve"> z Ins</w:t>
      </w:r>
      <w:r w:rsidRPr="00201A9A">
        <w:rPr>
          <w:noProof/>
        </w:rPr>
        <w:t>trumentu UE zgodnie</w:t>
      </w:r>
      <w:r w:rsidR="00201A9A" w:rsidRPr="00201A9A">
        <w:rPr>
          <w:noProof/>
        </w:rPr>
        <w:t xml:space="preserve"> z dec</w:t>
      </w:r>
      <w:r w:rsidRPr="00201A9A">
        <w:rPr>
          <w:noProof/>
        </w:rPr>
        <w:t>yzją</w:t>
      </w:r>
      <w:r w:rsidR="00201A9A" w:rsidRPr="00201A9A">
        <w:rPr>
          <w:noProof/>
        </w:rPr>
        <w:t xml:space="preserve"> w spr</w:t>
      </w:r>
      <w:r w:rsidRPr="00201A9A">
        <w:rPr>
          <w:noProof/>
        </w:rPr>
        <w:t>awie finansowania,</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1. Po dokonaniu takiego przydziału dane państwo członkowskie proponuje dodatkowe środki, które mają zostać dodane do planu PKR. Procedury tej nie stosuje się</w:t>
      </w:r>
      <w:r w:rsidR="00201A9A" w:rsidRPr="00201A9A">
        <w:rPr>
          <w:noProof/>
        </w:rPr>
        <w:t xml:space="preserve"> w odn</w:t>
      </w:r>
      <w:r w:rsidRPr="00201A9A">
        <w:rPr>
          <w:noProof/>
        </w:rPr>
        <w:t>iesieniu do działań Unii,</w:t>
      </w:r>
      <w:r w:rsidR="00201A9A" w:rsidRPr="00201A9A">
        <w:rPr>
          <w:noProof/>
        </w:rPr>
        <w:t xml:space="preserve"> o któ</w:t>
      </w:r>
      <w:r w:rsidRPr="00201A9A">
        <w:rPr>
          <w:noProof/>
        </w:rPr>
        <w:t>rych mowa</w:t>
      </w:r>
      <w:r w:rsidR="00201A9A" w:rsidRPr="00201A9A">
        <w:rPr>
          <w:noProof/>
        </w:rPr>
        <w:t xml:space="preserve"> w zał</w:t>
      </w:r>
      <w:r w:rsidRPr="00201A9A">
        <w:rPr>
          <w:noProof/>
        </w:rPr>
        <w:t>ączniku XV ust.</w:t>
      </w:r>
      <w:r w:rsidR="00201A9A" w:rsidRPr="00201A9A">
        <w:rPr>
          <w:noProof/>
        </w:rPr>
        <w:t> </w:t>
      </w:r>
      <w:r w:rsidRPr="00201A9A">
        <w:rPr>
          <w:noProof/>
        </w:rPr>
        <w:t>1 lit.</w:t>
      </w:r>
      <w:r w:rsidR="00201A9A" w:rsidRPr="00201A9A">
        <w:rPr>
          <w:noProof/>
        </w:rPr>
        <w:t> </w:t>
      </w:r>
      <w:r w:rsidRPr="00201A9A">
        <w:rPr>
          <w:noProof/>
        </w:rPr>
        <w:t>i), ani działań dotyczących więcej niż jednego państwa członkowskiego wymienionych</w:t>
      </w:r>
      <w:r w:rsidR="00201A9A" w:rsidRPr="00201A9A">
        <w:rPr>
          <w:noProof/>
        </w:rPr>
        <w:t xml:space="preserve"> w zał</w:t>
      </w:r>
      <w:r w:rsidRPr="00201A9A">
        <w:rPr>
          <w:noProof/>
        </w:rPr>
        <w:t>ączniku XV [Działania Unii] i, na zasadzie odstępstwa od art.</w:t>
      </w:r>
      <w:r w:rsidR="00201A9A" w:rsidRPr="00201A9A">
        <w:rPr>
          <w:noProof/>
        </w:rPr>
        <w:t> </w:t>
      </w:r>
      <w:r w:rsidRPr="00201A9A">
        <w:rPr>
          <w:noProof/>
        </w:rPr>
        <w:t>13 ust.</w:t>
      </w:r>
      <w:r w:rsidR="00201A9A" w:rsidRPr="00201A9A">
        <w:rPr>
          <w:noProof/>
        </w:rPr>
        <w:t> </w:t>
      </w:r>
      <w:r w:rsidRPr="00201A9A">
        <w:rPr>
          <w:noProof/>
        </w:rPr>
        <w:t>3 [Pomoc techniczna</w:t>
      </w:r>
      <w:r w:rsidR="00201A9A" w:rsidRPr="00201A9A">
        <w:rPr>
          <w:noProof/>
        </w:rPr>
        <w:t xml:space="preserve"> z ini</w:t>
      </w:r>
      <w:r w:rsidRPr="00201A9A">
        <w:rPr>
          <w:noProof/>
        </w:rPr>
        <w:t>cjatywy państw członkowskich], nie zwiększa ona wsparcia Unii na pomoc techniczną. Jeżeli Komisja akceptuje część lub całość proponowanych dodatkowych środków, powiadamia</w:t>
      </w:r>
      <w:r w:rsidR="00201A9A" w:rsidRPr="00201A9A">
        <w:rPr>
          <w:noProof/>
        </w:rPr>
        <w:t xml:space="preserve"> o tym</w:t>
      </w:r>
      <w:r w:rsidRPr="00201A9A">
        <w:rPr>
          <w:noProof/>
        </w:rPr>
        <w:t xml:space="preserve"> państwo członkowskie. Powiadomienie to stanowi zobowiązanie prawne uzupełniające zobowiązanie prawne,</w:t>
      </w:r>
      <w:r w:rsidR="00201A9A" w:rsidRPr="00201A9A">
        <w:rPr>
          <w:noProof/>
        </w:rPr>
        <w:t xml:space="preserve"> o któ</w:t>
      </w:r>
      <w:r w:rsidRPr="00201A9A">
        <w:rPr>
          <w:noProof/>
        </w:rPr>
        <w:t>rym mowa</w:t>
      </w:r>
      <w:r w:rsidR="00201A9A" w:rsidRPr="00201A9A">
        <w:rPr>
          <w:noProof/>
        </w:rPr>
        <w:t xml:space="preserve"> w art</w:t>
      </w:r>
      <w:r w:rsidRPr="00201A9A">
        <w:rPr>
          <w:noProof/>
        </w:rPr>
        <w:t>.</w:t>
      </w:r>
      <w:r w:rsidR="00201A9A" w:rsidRPr="00201A9A">
        <w:rPr>
          <w:noProof/>
        </w:rPr>
        <w:t> </w:t>
      </w:r>
      <w:r w:rsidRPr="00201A9A">
        <w:rPr>
          <w:noProof/>
        </w:rPr>
        <w:t>23 ust.</w:t>
      </w:r>
      <w:r w:rsidR="00201A9A" w:rsidRPr="00201A9A">
        <w:rPr>
          <w:noProof/>
        </w:rPr>
        <w:t> </w:t>
      </w:r>
      <w:r w:rsidRPr="00201A9A">
        <w:rPr>
          <w:noProof/>
        </w:rPr>
        <w:t>7. Przy okazji kolejnej zmiany wymagającej decyzji zgodnie</w:t>
      </w:r>
      <w:r w:rsidR="00201A9A" w:rsidRPr="00201A9A">
        <w:rPr>
          <w:noProof/>
        </w:rPr>
        <w:t xml:space="preserve"> z art</w:t>
      </w:r>
      <w:r w:rsidRPr="00201A9A">
        <w:rPr>
          <w:noProof/>
        </w:rPr>
        <w:t>.</w:t>
      </w:r>
      <w:r w:rsidR="00201A9A" w:rsidRPr="00201A9A">
        <w:rPr>
          <w:noProof/>
        </w:rPr>
        <w:t> </w:t>
      </w:r>
      <w:r w:rsidRPr="00201A9A">
        <w:rPr>
          <w:noProof/>
        </w:rPr>
        <w:t>24 ust.</w:t>
      </w:r>
      <w:r w:rsidR="00201A9A" w:rsidRPr="00201A9A">
        <w:rPr>
          <w:noProof/>
        </w:rPr>
        <w:t> </w:t>
      </w:r>
      <w:r w:rsidRPr="00201A9A">
        <w:rPr>
          <w:noProof/>
        </w:rPr>
        <w:t xml:space="preserve">5 państwo członkowskie włącza do swojego planu, do wiadomości, wszystkie przyjęte dodatkowe środki. </w:t>
      </w:r>
    </w:p>
    <w:p w14:paraId="3495B6D0" w14:textId="1C08EC80" w:rsidR="00CB03B2" w:rsidRPr="00201A9A" w:rsidRDefault="00FB2087" w:rsidP="003E2902">
      <w:pPr>
        <w:pStyle w:val="NumPar10000000"/>
        <w:numPr>
          <w:ilvl w:val="0"/>
          <w:numId w:val="91"/>
        </w:numPr>
        <w:rPr>
          <w:noProof/>
        </w:rPr>
      </w:pPr>
      <w:r w:rsidRPr="00201A9A">
        <w:rPr>
          <w:noProof/>
        </w:rPr>
        <w:t>W przypadku zmiany planu PKR</w:t>
      </w:r>
      <w:r w:rsidR="00201A9A" w:rsidRPr="00201A9A">
        <w:rPr>
          <w:noProof/>
        </w:rPr>
        <w:t xml:space="preserve"> w cel</w:t>
      </w:r>
      <w:r w:rsidRPr="00201A9A">
        <w:rPr>
          <w:noProof/>
        </w:rPr>
        <w:t>u uwzględnienia działań Unii,</w:t>
      </w:r>
      <w:r w:rsidR="00201A9A" w:rsidRPr="00201A9A">
        <w:rPr>
          <w:noProof/>
        </w:rPr>
        <w:t xml:space="preserve"> o któ</w:t>
      </w:r>
      <w:r w:rsidRPr="00201A9A">
        <w:rPr>
          <w:noProof/>
        </w:rPr>
        <w:t>rych mowa</w:t>
      </w:r>
      <w:r w:rsidR="00201A9A" w:rsidRPr="00201A9A">
        <w:rPr>
          <w:noProof/>
        </w:rPr>
        <w:t xml:space="preserve"> w pkt </w:t>
      </w:r>
      <w:r w:rsidRPr="00201A9A">
        <w:rPr>
          <w:noProof/>
        </w:rPr>
        <w:t>1 pkt (i) załącznika XV (Działania Unii, klęski żywiołowe), środki,</w:t>
      </w:r>
      <w:r w:rsidR="00201A9A" w:rsidRPr="00201A9A">
        <w:rPr>
          <w:noProof/>
        </w:rPr>
        <w:t xml:space="preserve"> o któ</w:t>
      </w:r>
      <w:r w:rsidRPr="00201A9A">
        <w:rPr>
          <w:noProof/>
        </w:rPr>
        <w:t>re wnioskuje państwo członkowskie,</w:t>
      </w:r>
      <w:r w:rsidR="00201A9A" w:rsidRPr="00201A9A">
        <w:rPr>
          <w:noProof/>
        </w:rPr>
        <w:t xml:space="preserve"> i zwi</w:t>
      </w:r>
      <w:r w:rsidRPr="00201A9A">
        <w:rPr>
          <w:noProof/>
        </w:rPr>
        <w:t>ązane</w:t>
      </w:r>
      <w:r w:rsidR="00201A9A" w:rsidRPr="00201A9A">
        <w:rPr>
          <w:noProof/>
        </w:rPr>
        <w:t xml:space="preserve"> z tak</w:t>
      </w:r>
      <w:r w:rsidRPr="00201A9A">
        <w:rPr>
          <w:noProof/>
        </w:rPr>
        <w:t>imi zmianami kwalifikują się do finansowania od dnia wystąpienia kryzysu i są programowane</w:t>
      </w:r>
      <w:r w:rsidR="00201A9A" w:rsidRPr="00201A9A">
        <w:rPr>
          <w:noProof/>
        </w:rPr>
        <w:t xml:space="preserve"> w ram</w:t>
      </w:r>
      <w:r w:rsidRPr="00201A9A">
        <w:rPr>
          <w:noProof/>
        </w:rPr>
        <w:t>ach celu „Środki wsparcia</w:t>
      </w:r>
      <w:r w:rsidR="00201A9A" w:rsidRPr="00201A9A">
        <w:rPr>
          <w:noProof/>
        </w:rPr>
        <w:t xml:space="preserve"> w cel</w:t>
      </w:r>
      <w:r w:rsidRPr="00201A9A">
        <w:rPr>
          <w:noProof/>
        </w:rPr>
        <w:t>u przezwyciężenia kryzysu poprzez odbudowę, naprawę</w:t>
      </w:r>
      <w:r w:rsidR="00201A9A" w:rsidRPr="00201A9A">
        <w:rPr>
          <w:noProof/>
        </w:rPr>
        <w:t xml:space="preserve"> i zwi</w:t>
      </w:r>
      <w:r w:rsidRPr="00201A9A">
        <w:rPr>
          <w:noProof/>
        </w:rPr>
        <w:t>ększanie odporności”. Cel ten ma charakter dodatkowy</w:t>
      </w:r>
      <w:r w:rsidR="00201A9A" w:rsidRPr="00201A9A">
        <w:rPr>
          <w:noProof/>
        </w:rPr>
        <w:t xml:space="preserve"> w sto</w:t>
      </w:r>
      <w:r w:rsidRPr="00201A9A">
        <w:rPr>
          <w:noProof/>
        </w:rPr>
        <w:t>sunku do celów określonych</w:t>
      </w:r>
      <w:r w:rsidR="00201A9A" w:rsidRPr="00201A9A">
        <w:rPr>
          <w:noProof/>
        </w:rPr>
        <w:t xml:space="preserve"> w art</w:t>
      </w:r>
      <w:r w:rsidRPr="00201A9A">
        <w:rPr>
          <w:noProof/>
        </w:rPr>
        <w:t>.</w:t>
      </w:r>
      <w:r w:rsidR="00201A9A" w:rsidRPr="00201A9A">
        <w:rPr>
          <w:noProof/>
        </w:rPr>
        <w:t> </w:t>
      </w:r>
      <w:r w:rsidRPr="00201A9A">
        <w:rPr>
          <w:noProof/>
        </w:rPr>
        <w:t>2</w:t>
      </w:r>
      <w:r w:rsidR="00201A9A" w:rsidRPr="00201A9A">
        <w:rPr>
          <w:noProof/>
        </w:rPr>
        <w:t xml:space="preserve"> i 3</w:t>
      </w:r>
      <w:r w:rsidRPr="00201A9A">
        <w:rPr>
          <w:noProof/>
        </w:rPr>
        <w:t xml:space="preserve"> (Cele planu)</w:t>
      </w:r>
      <w:r w:rsidR="00201A9A" w:rsidRPr="00201A9A">
        <w:rPr>
          <w:noProof/>
        </w:rPr>
        <w:t xml:space="preserve"> i jes</w:t>
      </w:r>
      <w:r w:rsidRPr="00201A9A">
        <w:rPr>
          <w:noProof/>
        </w:rPr>
        <w:t>t wykorzystywany wyłącznie</w:t>
      </w:r>
      <w:r w:rsidR="00201A9A" w:rsidRPr="00201A9A">
        <w:rPr>
          <w:noProof/>
        </w:rPr>
        <w:t xml:space="preserve"> w odn</w:t>
      </w:r>
      <w:r w:rsidRPr="00201A9A">
        <w:rPr>
          <w:noProof/>
        </w:rPr>
        <w:t>iesieniu do środków zaprogramowanych</w:t>
      </w:r>
      <w:r w:rsidR="00201A9A" w:rsidRPr="00201A9A">
        <w:rPr>
          <w:noProof/>
        </w:rPr>
        <w:t xml:space="preserve"> w odp</w:t>
      </w:r>
      <w:r w:rsidRPr="00201A9A">
        <w:rPr>
          <w:noProof/>
        </w:rPr>
        <w:t>owiedzi na sytuacje kryzysowe,</w:t>
      </w:r>
      <w:r w:rsidR="00201A9A" w:rsidRPr="00201A9A">
        <w:rPr>
          <w:noProof/>
        </w:rPr>
        <w:t xml:space="preserve"> w tym w prz</w:t>
      </w:r>
      <w:r w:rsidRPr="00201A9A">
        <w:rPr>
          <w:noProof/>
        </w:rPr>
        <w:t>ypadku przeprogramowania zasobów</w:t>
      </w:r>
      <w:r w:rsidR="00201A9A" w:rsidRPr="00201A9A">
        <w:rPr>
          <w:noProof/>
        </w:rPr>
        <w:t xml:space="preserve"> w ram</w:t>
      </w:r>
      <w:r w:rsidRPr="00201A9A">
        <w:rPr>
          <w:noProof/>
        </w:rPr>
        <w:t>ach planu PKR zgodnie</w:t>
      </w:r>
      <w:r w:rsidR="00201A9A" w:rsidRPr="00201A9A">
        <w:rPr>
          <w:noProof/>
        </w:rPr>
        <w:t xml:space="preserve"> z art</w:t>
      </w:r>
      <w:r w:rsidRPr="00201A9A">
        <w:rPr>
          <w:noProof/>
        </w:rPr>
        <w:t>.</w:t>
      </w:r>
      <w:r w:rsidR="00201A9A" w:rsidRPr="00201A9A">
        <w:rPr>
          <w:noProof/>
        </w:rPr>
        <w:t> </w:t>
      </w:r>
      <w:r w:rsidRPr="00201A9A">
        <w:rPr>
          <w:noProof/>
        </w:rPr>
        <w:t>34 [zmiana planu</w:t>
      </w:r>
      <w:r w:rsidR="00201A9A" w:rsidRPr="00201A9A">
        <w:rPr>
          <w:noProof/>
        </w:rPr>
        <w:t xml:space="preserve"> w syt</w:t>
      </w:r>
      <w:r w:rsidRPr="00201A9A">
        <w:rPr>
          <w:noProof/>
        </w:rPr>
        <w:t xml:space="preserve">uacjach kryzysowych]. </w:t>
      </w:r>
    </w:p>
    <w:p w14:paraId="6E9312C4" w14:textId="5029DA80" w:rsidR="00FB2087" w:rsidRPr="00201A9A" w:rsidRDefault="00EA35B1" w:rsidP="003E2902">
      <w:pPr>
        <w:pStyle w:val="NumPar10000000"/>
        <w:numPr>
          <w:ilvl w:val="0"/>
          <w:numId w:val="91"/>
        </w:numPr>
        <w:rPr>
          <w:noProof/>
        </w:rPr>
      </w:pPr>
      <w:r w:rsidRPr="00201A9A">
        <w:rPr>
          <w:noProof/>
        </w:rPr>
        <w:t>Oprócz środków określonych</w:t>
      </w:r>
      <w:r w:rsidR="00201A9A" w:rsidRPr="00201A9A">
        <w:rPr>
          <w:noProof/>
        </w:rPr>
        <w:t xml:space="preserve"> w art</w:t>
      </w:r>
      <w:r w:rsidRPr="00201A9A">
        <w:rPr>
          <w:noProof/>
        </w:rPr>
        <w:t>.</w:t>
      </w:r>
      <w:r w:rsidR="00201A9A" w:rsidRPr="00201A9A">
        <w:rPr>
          <w:noProof/>
        </w:rPr>
        <w:t> </w:t>
      </w:r>
      <w:r w:rsidRPr="00201A9A">
        <w:rPr>
          <w:noProof/>
        </w:rPr>
        <w:t>12 ust.</w:t>
      </w:r>
      <w:r w:rsidR="00201A9A" w:rsidRPr="00201A9A">
        <w:rPr>
          <w:noProof/>
        </w:rPr>
        <w:t> </w:t>
      </w:r>
      <w:r w:rsidRPr="00201A9A">
        <w:rPr>
          <w:noProof/>
        </w:rPr>
        <w:t>4 rozporządzenia (UE, Euratom) 2024/2509 środki na zobowiązania</w:t>
      </w:r>
      <w:r w:rsidR="00201A9A" w:rsidRPr="00201A9A">
        <w:rPr>
          <w:noProof/>
        </w:rPr>
        <w:t xml:space="preserve"> i śro</w:t>
      </w:r>
      <w:r w:rsidRPr="00201A9A">
        <w:rPr>
          <w:noProof/>
        </w:rPr>
        <w:t>dki na płatności przeznaczone na działania Unii,</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lit.</w:t>
      </w:r>
      <w:r w:rsidR="00201A9A" w:rsidRPr="00201A9A">
        <w:rPr>
          <w:noProof/>
        </w:rPr>
        <w:t> </w:t>
      </w:r>
      <w:r w:rsidRPr="00201A9A">
        <w:rPr>
          <w:noProof/>
        </w:rPr>
        <w:t xml:space="preserve">i) oraz j) załącznika XV [Działania Unii, sieć bezpieczeństwa oparta na jedności], niewykorzystane do końca roku budżetowego, na który zostały zapisane, są automatycznie przenoszone. </w:t>
      </w:r>
    </w:p>
    <w:p w14:paraId="1B43EBCE" w14:textId="5F7A4F0C" w:rsidR="00FB2087" w:rsidRPr="00201A9A" w:rsidRDefault="00EA35B1" w:rsidP="008C57CF">
      <w:pPr>
        <w:pStyle w:val="Text1"/>
        <w:rPr>
          <w:noProof/>
        </w:rPr>
      </w:pPr>
      <w:r w:rsidRPr="00201A9A">
        <w:rPr>
          <w:noProof/>
        </w:rPr>
        <w:t>Środki na zobowiązania przeniesione zgodnie</w:t>
      </w:r>
      <w:r w:rsidR="00201A9A" w:rsidRPr="00201A9A">
        <w:rPr>
          <w:noProof/>
        </w:rPr>
        <w:t xml:space="preserve"> z aka</w:t>
      </w:r>
      <w:r w:rsidRPr="00201A9A">
        <w:rPr>
          <w:noProof/>
        </w:rPr>
        <w:t>pitem pierwszym można wykorzystać do</w:t>
      </w:r>
      <w:r w:rsidR="00201A9A" w:rsidRPr="00201A9A">
        <w:rPr>
          <w:noProof/>
        </w:rPr>
        <w:t> </w:t>
      </w:r>
      <w:r w:rsidRPr="00201A9A">
        <w:rPr>
          <w:noProof/>
        </w:rPr>
        <w:t>2034</w:t>
      </w:r>
      <w:r w:rsidR="00201A9A" w:rsidRPr="00201A9A">
        <w:rPr>
          <w:noProof/>
        </w:rPr>
        <w:t> </w:t>
      </w:r>
      <w:r w:rsidRPr="00201A9A">
        <w:rPr>
          <w:noProof/>
        </w:rPr>
        <w:t>r. Środki na zobowiązania</w:t>
      </w:r>
      <w:r w:rsidR="00201A9A" w:rsidRPr="00201A9A">
        <w:rPr>
          <w:noProof/>
        </w:rPr>
        <w:t xml:space="preserve"> i śro</w:t>
      </w:r>
      <w:r w:rsidRPr="00201A9A">
        <w:rPr>
          <w:noProof/>
        </w:rPr>
        <w:t>dki na płatności przeniesione zgodnie</w:t>
      </w:r>
      <w:r w:rsidR="00201A9A" w:rsidRPr="00201A9A">
        <w:rPr>
          <w:noProof/>
        </w:rPr>
        <w:t xml:space="preserve"> z aka</w:t>
      </w:r>
      <w:r w:rsidRPr="00201A9A">
        <w:rPr>
          <w:noProof/>
        </w:rPr>
        <w:t>pitem pierwszym wykorzystuje się</w:t>
      </w:r>
      <w:r w:rsidR="00201A9A" w:rsidRPr="00201A9A">
        <w:rPr>
          <w:noProof/>
        </w:rPr>
        <w:t xml:space="preserve"> w kol</w:t>
      </w:r>
      <w:r w:rsidRPr="00201A9A">
        <w:rPr>
          <w:noProof/>
        </w:rPr>
        <w:t>ejnym roku budżetowym</w:t>
      </w:r>
      <w:r w:rsidR="00201A9A" w:rsidRPr="00201A9A">
        <w:rPr>
          <w:noProof/>
        </w:rPr>
        <w:t xml:space="preserve"> w pie</w:t>
      </w:r>
      <w:r w:rsidRPr="00201A9A">
        <w:rPr>
          <w:noProof/>
        </w:rPr>
        <w:t>rwszej kolejności.</w:t>
      </w:r>
    </w:p>
    <w:p w14:paraId="17BA0864" w14:textId="0282792F" w:rsidR="00151B8E" w:rsidRPr="00201A9A" w:rsidRDefault="00EC1256" w:rsidP="003E2902">
      <w:pPr>
        <w:pStyle w:val="NumPar10000000"/>
        <w:numPr>
          <w:ilvl w:val="0"/>
          <w:numId w:val="91"/>
        </w:numPr>
        <w:rPr>
          <w:noProof/>
        </w:rPr>
      </w:pPr>
      <w:r w:rsidRPr="00201A9A">
        <w:rPr>
          <w:noProof/>
        </w:rPr>
        <w:t>W dniu 1 września każdego roku co najmniej jedna czwarta rocznej kwoty przewidzianej</w:t>
      </w:r>
      <w:r w:rsidR="00201A9A" w:rsidRPr="00201A9A">
        <w:rPr>
          <w:noProof/>
        </w:rPr>
        <w:t xml:space="preserve"> w bud</w:t>
      </w:r>
      <w:r w:rsidRPr="00201A9A">
        <w:rPr>
          <w:noProof/>
        </w:rPr>
        <w:t>żecie na działania Unii,</w:t>
      </w:r>
      <w:r w:rsidR="00201A9A" w:rsidRPr="00201A9A">
        <w:rPr>
          <w:noProof/>
        </w:rPr>
        <w:t xml:space="preserve"> o któ</w:t>
      </w:r>
      <w:r w:rsidRPr="00201A9A">
        <w:rPr>
          <w:noProof/>
        </w:rPr>
        <w:t>rych mowa</w:t>
      </w:r>
      <w:r w:rsidR="00201A9A" w:rsidRPr="00201A9A">
        <w:rPr>
          <w:noProof/>
        </w:rPr>
        <w:t xml:space="preserve"> w zał</w:t>
      </w:r>
      <w:r w:rsidRPr="00201A9A">
        <w:rPr>
          <w:noProof/>
        </w:rPr>
        <w:t>ączniku XV ust.</w:t>
      </w:r>
      <w:r w:rsidR="00201A9A" w:rsidRPr="00201A9A">
        <w:rPr>
          <w:noProof/>
        </w:rPr>
        <w:t> </w:t>
      </w:r>
      <w:r w:rsidRPr="00201A9A">
        <w:rPr>
          <w:noProof/>
        </w:rPr>
        <w:t>1 lit.</w:t>
      </w:r>
      <w:r w:rsidR="00201A9A" w:rsidRPr="00201A9A">
        <w:rPr>
          <w:noProof/>
        </w:rPr>
        <w:t> </w:t>
      </w:r>
      <w:r w:rsidRPr="00201A9A">
        <w:rPr>
          <w:noProof/>
        </w:rPr>
        <w:t>i), pozostaje dostępna na zaspokojenie potrzeb, które mogą powstać do końca tego roku.</w:t>
      </w:r>
      <w:r w:rsidR="00201A9A" w:rsidRPr="00201A9A">
        <w:rPr>
          <w:noProof/>
        </w:rPr>
        <w:t xml:space="preserve"> </w:t>
      </w:r>
    </w:p>
    <w:p w14:paraId="56E0B3E7" w14:textId="4EBD6A21" w:rsidR="0E1ACAC7" w:rsidRPr="00201A9A" w:rsidRDefault="0E1ACAC7" w:rsidP="003E2902">
      <w:pPr>
        <w:pStyle w:val="NumPar10000000"/>
        <w:numPr>
          <w:ilvl w:val="0"/>
          <w:numId w:val="91"/>
        </w:numPr>
        <w:rPr>
          <w:noProof/>
        </w:rPr>
      </w:pPr>
      <w:r w:rsidRPr="00201A9A">
        <w:rPr>
          <w:noProof/>
        </w:rPr>
        <w:t>Oprócz kryteriów kosztów kwalifikowalnych,</w:t>
      </w:r>
      <w:r w:rsidR="00201A9A" w:rsidRPr="00201A9A">
        <w:rPr>
          <w:noProof/>
        </w:rPr>
        <w:t xml:space="preserve"> o któ</w:t>
      </w:r>
      <w:r w:rsidRPr="00201A9A">
        <w:rPr>
          <w:noProof/>
        </w:rPr>
        <w:t>rych to kryteriach mowa</w:t>
      </w:r>
      <w:r w:rsidR="00201A9A" w:rsidRPr="00201A9A">
        <w:rPr>
          <w:noProof/>
        </w:rPr>
        <w:t xml:space="preserve"> w art</w:t>
      </w:r>
      <w:r w:rsidRPr="00201A9A">
        <w:rPr>
          <w:noProof/>
        </w:rPr>
        <w:t>.</w:t>
      </w:r>
      <w:r w:rsidR="00201A9A" w:rsidRPr="00201A9A">
        <w:rPr>
          <w:noProof/>
        </w:rPr>
        <w:t> </w:t>
      </w:r>
      <w:r w:rsidRPr="00201A9A">
        <w:rPr>
          <w:noProof/>
        </w:rPr>
        <w:t>189 rozporządzenia (UE, Euratom) 2024/2509, koszty poniesione przez państwa członkowskie na wdrożenie nadzwyczajnych środków weterynaryjnych</w:t>
      </w:r>
      <w:r w:rsidR="00201A9A" w:rsidRPr="00201A9A">
        <w:rPr>
          <w:noProof/>
        </w:rPr>
        <w:t xml:space="preserve"> i fit</w:t>
      </w:r>
      <w:r w:rsidRPr="00201A9A">
        <w:rPr>
          <w:noProof/>
        </w:rPr>
        <w:t>osanitarnych</w:t>
      </w:r>
      <w:r w:rsidR="00201A9A" w:rsidRPr="00201A9A">
        <w:rPr>
          <w:noProof/>
        </w:rPr>
        <w:t xml:space="preserve"> w ram</w:t>
      </w:r>
      <w:r w:rsidRPr="00201A9A">
        <w:rPr>
          <w:noProof/>
        </w:rPr>
        <w:t>ach celu szczegółowego określonego</w:t>
      </w:r>
      <w:r w:rsidR="00201A9A" w:rsidRPr="00201A9A">
        <w:rPr>
          <w:noProof/>
        </w:rPr>
        <w:t xml:space="preserve"> w zał</w:t>
      </w:r>
      <w:r w:rsidRPr="00201A9A">
        <w:rPr>
          <w:noProof/>
        </w:rPr>
        <w:t>ączniku XV lit.</w:t>
      </w:r>
      <w:r w:rsidR="00201A9A" w:rsidRPr="00201A9A">
        <w:rPr>
          <w:noProof/>
        </w:rPr>
        <w:t> </w:t>
      </w:r>
      <w:r w:rsidRPr="00201A9A">
        <w:rPr>
          <w:noProof/>
        </w:rPr>
        <w:t>g) [Działania Unii] do niniejszego rozporządzenia: a) kwalifikują się przed datą złożenia wniosku</w:t>
      </w:r>
      <w:r w:rsidR="00201A9A" w:rsidRPr="00201A9A">
        <w:rPr>
          <w:noProof/>
        </w:rPr>
        <w:t xml:space="preserve"> o udz</w:t>
      </w:r>
      <w:r w:rsidRPr="00201A9A">
        <w:rPr>
          <w:noProof/>
        </w:rPr>
        <w:t>ielenie dotacji, zgodnie</w:t>
      </w:r>
      <w:r w:rsidR="00201A9A" w:rsidRPr="00201A9A">
        <w:rPr>
          <w:noProof/>
        </w:rPr>
        <w:t xml:space="preserve"> z art</w:t>
      </w:r>
      <w:r w:rsidRPr="00201A9A">
        <w:rPr>
          <w:noProof/>
        </w:rPr>
        <w:t>.</w:t>
      </w:r>
      <w:r w:rsidR="00201A9A" w:rsidRPr="00201A9A">
        <w:rPr>
          <w:noProof/>
        </w:rPr>
        <w:t> </w:t>
      </w:r>
      <w:r w:rsidRPr="00201A9A">
        <w:rPr>
          <w:noProof/>
        </w:rPr>
        <w:t>196 ust.</w:t>
      </w:r>
      <w:r w:rsidR="00201A9A" w:rsidRPr="00201A9A">
        <w:rPr>
          <w:noProof/>
        </w:rPr>
        <w:t> </w:t>
      </w:r>
      <w:r w:rsidRPr="00201A9A">
        <w:rPr>
          <w:noProof/>
        </w:rPr>
        <w:t>2 akapit drugi lit.</w:t>
      </w:r>
      <w:r w:rsidR="00201A9A" w:rsidRPr="00201A9A">
        <w:rPr>
          <w:noProof/>
        </w:rPr>
        <w:t> </w:t>
      </w:r>
      <w:r w:rsidRPr="00201A9A">
        <w:rPr>
          <w:noProof/>
        </w:rPr>
        <w:t>b) rozporządzenia (UE, Euratom) 2024/2509; b) kwalifikują się od dnia podejrzenia wystąpienia choroby zwierząt lub obecności agrofaga roślin, pod warunkiem że takie wystąpienie lub obecność zostaną następnie potwierdzone. Złożenie wniosku</w:t>
      </w:r>
      <w:r w:rsidR="00201A9A" w:rsidRPr="00201A9A">
        <w:rPr>
          <w:noProof/>
        </w:rPr>
        <w:t xml:space="preserve"> o udz</w:t>
      </w:r>
      <w:r w:rsidRPr="00201A9A">
        <w:rPr>
          <w:noProof/>
        </w:rPr>
        <w:t>ielenie dotacji poprzedza skierowane do Komisji powiadomienie</w:t>
      </w:r>
      <w:r w:rsidR="00201A9A" w:rsidRPr="00201A9A">
        <w:rPr>
          <w:noProof/>
        </w:rPr>
        <w:t xml:space="preserve"> o wys</w:t>
      </w:r>
      <w:r w:rsidRPr="00201A9A">
        <w:rPr>
          <w:noProof/>
        </w:rPr>
        <w:t>tąpieniu choroby zwierząt zgodnie</w:t>
      </w:r>
      <w:r w:rsidR="00201A9A" w:rsidRPr="00201A9A">
        <w:rPr>
          <w:noProof/>
        </w:rPr>
        <w:t xml:space="preserve"> z art</w:t>
      </w:r>
      <w:r w:rsidRPr="00201A9A">
        <w:rPr>
          <w:noProof/>
        </w:rPr>
        <w:t>.</w:t>
      </w:r>
      <w:r w:rsidR="00201A9A" w:rsidRPr="00201A9A">
        <w:rPr>
          <w:noProof/>
        </w:rPr>
        <w:t> </w:t>
      </w:r>
      <w:r w:rsidRPr="00201A9A">
        <w:rPr>
          <w:noProof/>
        </w:rPr>
        <w:t>19 lub</w:t>
      </w:r>
      <w:r w:rsidR="00201A9A" w:rsidRPr="00201A9A">
        <w:rPr>
          <w:noProof/>
        </w:rPr>
        <w:t> </w:t>
      </w:r>
      <w:r w:rsidRPr="00201A9A">
        <w:rPr>
          <w:noProof/>
        </w:rPr>
        <w:t>20</w:t>
      </w:r>
      <w:r w:rsidR="00201A9A" w:rsidRPr="00201A9A">
        <w:rPr>
          <w:noProof/>
        </w:rPr>
        <w:t xml:space="preserve"> i prz</w:t>
      </w:r>
      <w:r w:rsidRPr="00201A9A">
        <w:rPr>
          <w:noProof/>
        </w:rPr>
        <w:t>episami przyjętymi na podstawie art.</w:t>
      </w:r>
      <w:r w:rsidR="00201A9A" w:rsidRPr="00201A9A">
        <w:rPr>
          <w:noProof/>
        </w:rPr>
        <w:t> </w:t>
      </w:r>
      <w:r w:rsidRPr="00201A9A">
        <w:rPr>
          <w:noProof/>
        </w:rPr>
        <w:t>23 rozporządzenia (UE) 2016/429 lub</w:t>
      </w:r>
      <w:r w:rsidR="00201A9A" w:rsidRPr="00201A9A">
        <w:rPr>
          <w:noProof/>
        </w:rPr>
        <w:t xml:space="preserve"> o obe</w:t>
      </w:r>
      <w:r w:rsidRPr="00201A9A">
        <w:rPr>
          <w:noProof/>
        </w:rPr>
        <w:t>cności agrofaga kwarantannowego dla Unii zgodnie</w:t>
      </w:r>
      <w:r w:rsidR="00201A9A" w:rsidRPr="00201A9A">
        <w:rPr>
          <w:noProof/>
        </w:rPr>
        <w:t xml:space="preserve"> z art</w:t>
      </w:r>
      <w:r w:rsidRPr="00201A9A">
        <w:rPr>
          <w:noProof/>
        </w:rPr>
        <w:t>.</w:t>
      </w:r>
      <w:r w:rsidR="00201A9A" w:rsidRPr="00201A9A">
        <w:rPr>
          <w:noProof/>
        </w:rPr>
        <w:t> </w:t>
      </w:r>
      <w:r w:rsidRPr="00201A9A">
        <w:rPr>
          <w:noProof/>
        </w:rPr>
        <w:t>9, 10 lub</w:t>
      </w:r>
      <w:r w:rsidR="00201A9A" w:rsidRPr="00201A9A">
        <w:rPr>
          <w:noProof/>
        </w:rPr>
        <w:t> </w:t>
      </w:r>
      <w:r w:rsidRPr="00201A9A">
        <w:rPr>
          <w:noProof/>
        </w:rPr>
        <w:t>11 rozporządzenia Parlamentu Europejskiego</w:t>
      </w:r>
      <w:r w:rsidR="00201A9A" w:rsidRPr="00201A9A">
        <w:rPr>
          <w:noProof/>
        </w:rPr>
        <w:t xml:space="preserve"> i Rad</w:t>
      </w:r>
      <w:r w:rsidRPr="00201A9A">
        <w:rPr>
          <w:noProof/>
        </w:rPr>
        <w:t>y (UE) 2016/2031. Na zasadzie odstępstwa od art.</w:t>
      </w:r>
      <w:r w:rsidR="00201A9A" w:rsidRPr="00201A9A">
        <w:rPr>
          <w:noProof/>
        </w:rPr>
        <w:t> </w:t>
      </w:r>
      <w:r w:rsidRPr="00201A9A">
        <w:rPr>
          <w:noProof/>
        </w:rPr>
        <w:t>111 ust.</w:t>
      </w:r>
      <w:r w:rsidR="00201A9A" w:rsidRPr="00201A9A">
        <w:rPr>
          <w:noProof/>
        </w:rPr>
        <w:t> </w:t>
      </w:r>
      <w:r w:rsidRPr="00201A9A">
        <w:rPr>
          <w:noProof/>
        </w:rPr>
        <w:t>2 rozporządzenia (UE, Euratom) 2024/2509 Komisja zaciąga zobowiązanie budżetowe</w:t>
      </w:r>
      <w:r w:rsidR="00201A9A" w:rsidRPr="00201A9A">
        <w:rPr>
          <w:noProof/>
        </w:rPr>
        <w:t xml:space="preserve"> z tyt</w:t>
      </w:r>
      <w:r w:rsidRPr="00201A9A">
        <w:rPr>
          <w:noProof/>
        </w:rPr>
        <w:t>ułu dotacji udzielonej na takie środki nadzwyczajne po dokonaniu oceny wniosków</w:t>
      </w:r>
      <w:r w:rsidR="00201A9A" w:rsidRPr="00201A9A">
        <w:rPr>
          <w:noProof/>
        </w:rPr>
        <w:t xml:space="preserve"> o pła</w:t>
      </w:r>
      <w:r w:rsidRPr="00201A9A">
        <w:rPr>
          <w:noProof/>
        </w:rPr>
        <w:t>tności przedłożonych przez państwa członkowskie.</w:t>
      </w:r>
    </w:p>
    <w:p w14:paraId="05627B04" w14:textId="2CD8171B" w:rsidR="00D23312" w:rsidRPr="00201A9A" w:rsidRDefault="00D23312" w:rsidP="008C57CF">
      <w:pPr>
        <w:pStyle w:val="Titrearticle"/>
        <w:rPr>
          <w:b/>
          <w:bCs/>
          <w:noProof/>
        </w:rPr>
      </w:pPr>
      <w:r w:rsidRPr="00201A9A">
        <w:rPr>
          <w:noProof/>
        </w:rPr>
        <w:t xml:space="preserve">Artykuł 32 </w:t>
      </w:r>
      <w:r w:rsidRPr="00201A9A">
        <w:rPr>
          <w:noProof/>
        </w:rPr>
        <w:br/>
      </w:r>
      <w:r w:rsidRPr="00201A9A">
        <w:rPr>
          <w:b/>
          <w:noProof/>
        </w:rPr>
        <w:t>Wydatki związane ze środkami interwencji publicznej</w:t>
      </w:r>
      <w:r w:rsidR="00201A9A" w:rsidRPr="00201A9A">
        <w:rPr>
          <w:b/>
          <w:noProof/>
        </w:rPr>
        <w:t xml:space="preserve"> w ram</w:t>
      </w:r>
      <w:r w:rsidRPr="00201A9A">
        <w:rPr>
          <w:b/>
          <w:noProof/>
        </w:rPr>
        <w:t>ach sieci bezpieczeństwa opartej na jedności</w:t>
      </w:r>
    </w:p>
    <w:p w14:paraId="2E15F09E" w14:textId="3A0AEC96" w:rsidR="00D072B9" w:rsidRPr="00201A9A" w:rsidRDefault="009E53D8" w:rsidP="003E2902">
      <w:pPr>
        <w:pStyle w:val="NumPar10000000"/>
        <w:numPr>
          <w:ilvl w:val="0"/>
          <w:numId w:val="126"/>
        </w:numPr>
        <w:rPr>
          <w:noProof/>
        </w:rPr>
      </w:pPr>
      <w:r w:rsidRPr="00201A9A">
        <w:rPr>
          <w:noProof/>
        </w:rPr>
        <w:t>Na potrzeby sieci bezpieczeństwa opartej na jedności, którą ustanowiono jako działanie Unii</w:t>
      </w:r>
      <w:r w:rsidR="00201A9A" w:rsidRPr="00201A9A">
        <w:rPr>
          <w:noProof/>
        </w:rPr>
        <w:t xml:space="preserve"> w ram</w:t>
      </w:r>
      <w:r w:rsidRPr="00201A9A">
        <w:rPr>
          <w:noProof/>
        </w:rPr>
        <w:t>ach instrumentu, jeżeli</w:t>
      </w:r>
      <w:r w:rsidR="00201A9A" w:rsidRPr="00201A9A">
        <w:rPr>
          <w:noProof/>
        </w:rPr>
        <w:t xml:space="preserve"> w odn</w:t>
      </w:r>
      <w:r w:rsidRPr="00201A9A">
        <w:rPr>
          <w:noProof/>
        </w:rPr>
        <w:t>iesieniu do interwencji publicznej nie ustalono kwoty jednostkowej, dany środek jest finansowany na podstawie standardowych, jednolitych kwot,</w:t>
      </w:r>
      <w:r w:rsidR="00201A9A" w:rsidRPr="00201A9A">
        <w:rPr>
          <w:noProof/>
        </w:rPr>
        <w:t xml:space="preserve"> w szc</w:t>
      </w:r>
      <w:r w:rsidRPr="00201A9A">
        <w:rPr>
          <w:noProof/>
        </w:rPr>
        <w:t>zególności</w:t>
      </w:r>
      <w:r w:rsidR="00201A9A" w:rsidRPr="00201A9A">
        <w:rPr>
          <w:noProof/>
        </w:rPr>
        <w:t xml:space="preserve"> w prz</w:t>
      </w:r>
      <w:r w:rsidRPr="00201A9A">
        <w:rPr>
          <w:noProof/>
        </w:rPr>
        <w:t>ypadku środków finansowych pochodzących</w:t>
      </w:r>
      <w:r w:rsidR="00201A9A" w:rsidRPr="00201A9A">
        <w:rPr>
          <w:noProof/>
        </w:rPr>
        <w:t xml:space="preserve"> z pań</w:t>
      </w:r>
      <w:r w:rsidRPr="00201A9A">
        <w:rPr>
          <w:noProof/>
        </w:rPr>
        <w:t>stw członkowskich wykorzystywanych na skup produktów, fizyczne operacje związane</w:t>
      </w:r>
      <w:r w:rsidR="00201A9A" w:rsidRPr="00201A9A">
        <w:rPr>
          <w:noProof/>
        </w:rPr>
        <w:t xml:space="preserve"> z prz</w:t>
      </w:r>
      <w:r w:rsidRPr="00201A9A">
        <w:rPr>
          <w:noProof/>
        </w:rPr>
        <w:t>echowywaniem oraz,</w:t>
      </w:r>
      <w:r w:rsidR="00201A9A" w:rsidRPr="00201A9A">
        <w:rPr>
          <w:noProof/>
        </w:rPr>
        <w:t xml:space="preserve"> w sto</w:t>
      </w:r>
      <w:r w:rsidRPr="00201A9A">
        <w:rPr>
          <w:noProof/>
        </w:rPr>
        <w:t>sownych przypadkach, przetworzenie produktów kwalifikujących się do interwencji publicznej, zgodnie</w:t>
      </w:r>
      <w:r w:rsidR="00201A9A" w:rsidRPr="00201A9A">
        <w:rPr>
          <w:noProof/>
        </w:rPr>
        <w:t xml:space="preserve"> z art</w:t>
      </w:r>
      <w:r w:rsidRPr="00201A9A">
        <w:rPr>
          <w:noProof/>
        </w:rPr>
        <w:t>.</w:t>
      </w:r>
      <w:r w:rsidR="00201A9A" w:rsidRPr="00201A9A">
        <w:rPr>
          <w:noProof/>
        </w:rPr>
        <w:t> </w:t>
      </w:r>
      <w:r w:rsidRPr="00201A9A">
        <w:rPr>
          <w:noProof/>
        </w:rPr>
        <w:t>11 rozporządzenia (UE) nr</w:t>
      </w:r>
      <w:r w:rsidR="00201A9A" w:rsidRPr="00201A9A">
        <w:rPr>
          <w:noProof/>
        </w:rPr>
        <w:t> </w:t>
      </w:r>
      <w:r w:rsidRPr="00201A9A">
        <w:rPr>
          <w:noProof/>
        </w:rPr>
        <w:t>1308/2013.</w:t>
      </w:r>
    </w:p>
    <w:p w14:paraId="1ABC9EAA" w14:textId="5A080F23" w:rsidR="00F94F2C" w:rsidRPr="00201A9A" w:rsidRDefault="00D072B9" w:rsidP="003E2902">
      <w:pPr>
        <w:pStyle w:val="NumPar10000000"/>
        <w:numPr>
          <w:ilvl w:val="0"/>
          <w:numId w:val="91"/>
        </w:numPr>
        <w:rPr>
          <w:noProof/>
        </w:rPr>
      </w:pPr>
      <w:r w:rsidRPr="00201A9A">
        <w:rPr>
          <w:noProof/>
        </w:rPr>
        <w:t>Komisja przyjmuje akty wykonawcze określające kwoty,</w:t>
      </w:r>
      <w:r w:rsidR="00201A9A" w:rsidRPr="00201A9A">
        <w:rPr>
          <w:noProof/>
        </w:rPr>
        <w:t xml:space="preserve"> o któ</w:t>
      </w:r>
      <w:r w:rsidRPr="00201A9A">
        <w:rPr>
          <w:noProof/>
        </w:rPr>
        <w:t>rych mowa</w:t>
      </w:r>
      <w:r w:rsidR="00201A9A" w:rsidRPr="00201A9A">
        <w:rPr>
          <w:noProof/>
        </w:rPr>
        <w:t xml:space="preserve"> w ust</w:t>
      </w:r>
      <w:r w:rsidRPr="00201A9A">
        <w:rPr>
          <w:noProof/>
        </w:rPr>
        <w:t>. 1. Te akty wykonawcze przyjmuje się zgodnie</w:t>
      </w:r>
      <w:r w:rsidR="00201A9A" w:rsidRPr="00201A9A">
        <w:rPr>
          <w:noProof/>
        </w:rPr>
        <w:t xml:space="preserve"> z pro</w:t>
      </w:r>
      <w:r w:rsidRPr="00201A9A">
        <w:rPr>
          <w:noProof/>
        </w:rPr>
        <w:t>cedurą doradczą,</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229 ust.</w:t>
      </w:r>
      <w:r w:rsidR="00201A9A" w:rsidRPr="00201A9A">
        <w:rPr>
          <w:noProof/>
        </w:rPr>
        <w:t> </w:t>
      </w:r>
      <w:r w:rsidRPr="00201A9A">
        <w:rPr>
          <w:noProof/>
        </w:rPr>
        <w:t xml:space="preserve">4 </w:t>
      </w:r>
      <w:bookmarkStart w:id="11" w:name="_Hlk203311789"/>
      <w:r w:rsidRPr="00201A9A">
        <w:rPr>
          <w:noProof/>
        </w:rPr>
        <w:t>rozporządzenia (UE) nr</w:t>
      </w:r>
      <w:r w:rsidR="00201A9A" w:rsidRPr="00201A9A">
        <w:rPr>
          <w:noProof/>
        </w:rPr>
        <w:t> </w:t>
      </w:r>
      <w:r w:rsidRPr="00201A9A">
        <w:rPr>
          <w:noProof/>
        </w:rPr>
        <w:t>1308/2013</w:t>
      </w:r>
      <w:bookmarkEnd w:id="11"/>
      <w:r w:rsidRPr="00201A9A">
        <w:rPr>
          <w:noProof/>
        </w:rPr>
        <w:t>.</w:t>
      </w:r>
    </w:p>
    <w:p w14:paraId="511F9B40" w14:textId="5AD3774A" w:rsidR="00C330EA" w:rsidRPr="00201A9A" w:rsidRDefault="00C330EA" w:rsidP="00C330EA">
      <w:pPr>
        <w:pStyle w:val="Titrearticle"/>
        <w:rPr>
          <w:noProof/>
        </w:rPr>
      </w:pPr>
      <w:r w:rsidRPr="00201A9A">
        <w:rPr>
          <w:noProof/>
        </w:rPr>
        <w:t xml:space="preserve">Artykuł 33 </w:t>
      </w:r>
      <w:r w:rsidRPr="00201A9A">
        <w:rPr>
          <w:noProof/>
        </w:rPr>
        <w:br/>
      </w:r>
      <w:r w:rsidRPr="00201A9A">
        <w:rPr>
          <w:b/>
          <w:noProof/>
        </w:rPr>
        <w:t>Rezerwa na nowe wyzwania</w:t>
      </w:r>
      <w:r w:rsidR="00201A9A" w:rsidRPr="00201A9A">
        <w:rPr>
          <w:b/>
          <w:noProof/>
        </w:rPr>
        <w:t xml:space="preserve"> i pri</w:t>
      </w:r>
      <w:r w:rsidRPr="00201A9A">
        <w:rPr>
          <w:b/>
          <w:noProof/>
        </w:rPr>
        <w:t>orytety</w:t>
      </w:r>
    </w:p>
    <w:p w14:paraId="4493C8A2" w14:textId="42A88964" w:rsidR="00FB2087" w:rsidRPr="00201A9A" w:rsidRDefault="00FB2087" w:rsidP="003E2902">
      <w:pPr>
        <w:pStyle w:val="NumPar10000000"/>
        <w:numPr>
          <w:ilvl w:val="0"/>
          <w:numId w:val="93"/>
        </w:numPr>
        <w:rPr>
          <w:noProof/>
        </w:rPr>
      </w:pPr>
      <w:r w:rsidRPr="00201A9A">
        <w:rPr>
          <w:noProof/>
        </w:rPr>
        <w:t>Kwota,</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26 ust.</w:t>
      </w:r>
      <w:r w:rsidR="00201A9A" w:rsidRPr="00201A9A">
        <w:rPr>
          <w:noProof/>
        </w:rPr>
        <w:t> </w:t>
      </w:r>
      <w:r w:rsidRPr="00201A9A">
        <w:rPr>
          <w:noProof/>
        </w:rPr>
        <w:t>4 lit.</w:t>
      </w:r>
      <w:r w:rsidR="00201A9A" w:rsidRPr="00201A9A">
        <w:rPr>
          <w:noProof/>
        </w:rPr>
        <w:t> </w:t>
      </w:r>
      <w:r w:rsidRPr="00201A9A">
        <w:rPr>
          <w:noProof/>
        </w:rPr>
        <w:t>b), [Rezerwa budżetowa] jest wykorzystywana tam, gdzie jest najbardziej potrzebna</w:t>
      </w:r>
      <w:r w:rsidR="00201A9A" w:rsidRPr="00201A9A">
        <w:rPr>
          <w:noProof/>
        </w:rPr>
        <w:t xml:space="preserve"> i gdz</w:t>
      </w:r>
      <w:r w:rsidRPr="00201A9A">
        <w:rPr>
          <w:noProof/>
        </w:rPr>
        <w:t>ie jest to należycie uzasadnione,</w:t>
      </w:r>
      <w:r w:rsidR="00201A9A" w:rsidRPr="00201A9A">
        <w:rPr>
          <w:noProof/>
        </w:rPr>
        <w:t xml:space="preserve"> w szc</w:t>
      </w:r>
      <w:r w:rsidRPr="00201A9A">
        <w:rPr>
          <w:noProof/>
        </w:rPr>
        <w:t xml:space="preserve">zególności na: </w:t>
      </w:r>
    </w:p>
    <w:p w14:paraId="7484B548" w14:textId="262AADE7" w:rsidR="00FB2087" w:rsidRPr="00201A9A" w:rsidRDefault="00201A9A" w:rsidP="00201A9A">
      <w:pPr>
        <w:pStyle w:val="Point1"/>
        <w:rPr>
          <w:noProof/>
        </w:rPr>
      </w:pPr>
      <w:r w:rsidRPr="00201A9A">
        <w:rPr>
          <w:noProof/>
        </w:rPr>
        <w:t>a)</w:t>
      </w:r>
      <w:r w:rsidRPr="00201A9A">
        <w:rPr>
          <w:noProof/>
        </w:rPr>
        <w:tab/>
      </w:r>
      <w:r w:rsidR="00FB2087" w:rsidRPr="00201A9A">
        <w:rPr>
          <w:noProof/>
        </w:rPr>
        <w:t>zapewnienie odpowiedniej reakcji Unii</w:t>
      </w:r>
      <w:r w:rsidRPr="00201A9A">
        <w:rPr>
          <w:noProof/>
        </w:rPr>
        <w:t xml:space="preserve"> w prz</w:t>
      </w:r>
      <w:r w:rsidR="00FB2087" w:rsidRPr="00201A9A">
        <w:rPr>
          <w:noProof/>
        </w:rPr>
        <w:t xml:space="preserve">ypadku nieprzewidzianych okoliczności; </w:t>
      </w:r>
    </w:p>
    <w:p w14:paraId="222B8178" w14:textId="3C5E5B96" w:rsidR="00FB2087" w:rsidRPr="00201A9A" w:rsidRDefault="00201A9A" w:rsidP="00201A9A">
      <w:pPr>
        <w:pStyle w:val="Point1"/>
        <w:rPr>
          <w:noProof/>
        </w:rPr>
      </w:pPr>
      <w:r w:rsidRPr="00201A9A">
        <w:rPr>
          <w:noProof/>
        </w:rPr>
        <w:t>b)</w:t>
      </w:r>
      <w:r w:rsidRPr="00201A9A">
        <w:rPr>
          <w:noProof/>
        </w:rPr>
        <w:tab/>
      </w:r>
      <w:r w:rsidR="00FB2087" w:rsidRPr="00201A9A">
        <w:rPr>
          <w:noProof/>
        </w:rPr>
        <w:t>promowanie nowych unijnych inicjatyw</w:t>
      </w:r>
      <w:r w:rsidRPr="00201A9A">
        <w:rPr>
          <w:noProof/>
        </w:rPr>
        <w:t xml:space="preserve"> i pri</w:t>
      </w:r>
      <w:r w:rsidR="00FB2087" w:rsidRPr="00201A9A">
        <w:rPr>
          <w:noProof/>
        </w:rPr>
        <w:t xml:space="preserve">orytetów. </w:t>
      </w:r>
    </w:p>
    <w:p w14:paraId="7A12AB3D" w14:textId="1EBED28C" w:rsidR="00FB2087" w:rsidRPr="00201A9A" w:rsidRDefault="00FB2087" w:rsidP="003E2902">
      <w:pPr>
        <w:pStyle w:val="NumPar10000000"/>
        <w:numPr>
          <w:ilvl w:val="0"/>
          <w:numId w:val="91"/>
        </w:numPr>
        <w:rPr>
          <w:noProof/>
        </w:rPr>
      </w:pPr>
      <w:r w:rsidRPr="00201A9A">
        <w:rPr>
          <w:noProof/>
        </w:rPr>
        <w:t>Komisja przyjmuje</w:t>
      </w:r>
      <w:r w:rsidR="00201A9A" w:rsidRPr="00201A9A">
        <w:rPr>
          <w:noProof/>
        </w:rPr>
        <w:t xml:space="preserve"> w dro</w:t>
      </w:r>
      <w:r w:rsidRPr="00201A9A">
        <w:rPr>
          <w:noProof/>
        </w:rPr>
        <w:t>dze aktów wykonawczych decyzje</w:t>
      </w:r>
      <w:r w:rsidR="00201A9A" w:rsidRPr="00201A9A">
        <w:rPr>
          <w:noProof/>
        </w:rPr>
        <w:t xml:space="preserve"> w spr</w:t>
      </w:r>
      <w:r w:rsidRPr="00201A9A">
        <w:rPr>
          <w:noProof/>
        </w:rPr>
        <w:t>awie finansowania,</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110 rozporządzenia (UE, Euratom) 2024/2509, określające cele</w:t>
      </w:r>
      <w:r w:rsidR="00201A9A" w:rsidRPr="00201A9A">
        <w:rPr>
          <w:noProof/>
        </w:rPr>
        <w:t xml:space="preserve"> i dzi</w:t>
      </w:r>
      <w:r w:rsidRPr="00201A9A">
        <w:rPr>
          <w:noProof/>
        </w:rPr>
        <w:t>ałania, które mają być wspierane,</w:t>
      </w:r>
      <w:r w:rsidR="00201A9A" w:rsidRPr="00201A9A">
        <w:rPr>
          <w:noProof/>
        </w:rPr>
        <w:t xml:space="preserve"> a tak</w:t>
      </w:r>
      <w:r w:rsidRPr="00201A9A">
        <w:rPr>
          <w:noProof/>
        </w:rPr>
        <w:t>że kwoty przeznaczone na rezerwę budżetową określoną</w:t>
      </w:r>
      <w:r w:rsidR="00201A9A" w:rsidRPr="00201A9A">
        <w:rPr>
          <w:noProof/>
        </w:rPr>
        <w:t xml:space="preserve"> w art</w:t>
      </w:r>
      <w:r w:rsidRPr="00201A9A">
        <w:rPr>
          <w:noProof/>
        </w:rPr>
        <w:t>.</w:t>
      </w:r>
      <w:r w:rsidR="00201A9A" w:rsidRPr="00201A9A">
        <w:rPr>
          <w:noProof/>
        </w:rPr>
        <w:t> </w:t>
      </w:r>
      <w:r w:rsidRPr="00201A9A">
        <w:rPr>
          <w:noProof/>
        </w:rPr>
        <w:t>26 ust.</w:t>
      </w:r>
      <w:r w:rsidR="00201A9A" w:rsidRPr="00201A9A">
        <w:rPr>
          <w:noProof/>
        </w:rPr>
        <w:t> </w:t>
      </w:r>
      <w:r w:rsidRPr="00201A9A">
        <w:rPr>
          <w:noProof/>
        </w:rPr>
        <w:t>4 lit.</w:t>
      </w:r>
      <w:r w:rsidR="00201A9A" w:rsidRPr="00201A9A">
        <w:rPr>
          <w:noProof/>
        </w:rPr>
        <w:t> </w:t>
      </w:r>
      <w:r w:rsidRPr="00201A9A">
        <w:rPr>
          <w:noProof/>
        </w:rPr>
        <w:t>b) niniejszego rozporządzenia [Przepisy ogólne dotyczące wdrażania Instrumentu UE].</w:t>
      </w:r>
      <w:r w:rsidRPr="00201A9A">
        <w:rPr>
          <w:i/>
          <w:noProof/>
        </w:rPr>
        <w:t xml:space="preserve"> </w:t>
      </w:r>
    </w:p>
    <w:p w14:paraId="39402A69" w14:textId="088C233E" w:rsidR="727C6164" w:rsidRPr="00201A9A" w:rsidRDefault="13C29B99" w:rsidP="003E2902">
      <w:pPr>
        <w:pStyle w:val="NumPar10000000"/>
        <w:numPr>
          <w:ilvl w:val="0"/>
          <w:numId w:val="91"/>
        </w:numPr>
        <w:rPr>
          <w:noProof/>
        </w:rPr>
      </w:pPr>
      <w:r w:rsidRPr="00201A9A">
        <w:rPr>
          <w:noProof/>
        </w:rPr>
        <w:t>Oprócz środków określonych</w:t>
      </w:r>
      <w:r w:rsidR="00201A9A" w:rsidRPr="00201A9A">
        <w:rPr>
          <w:noProof/>
        </w:rPr>
        <w:t xml:space="preserve"> w art</w:t>
      </w:r>
      <w:r w:rsidRPr="00201A9A">
        <w:rPr>
          <w:noProof/>
        </w:rPr>
        <w:t>.</w:t>
      </w:r>
      <w:r w:rsidR="00201A9A" w:rsidRPr="00201A9A">
        <w:rPr>
          <w:noProof/>
        </w:rPr>
        <w:t> </w:t>
      </w:r>
      <w:r w:rsidRPr="00201A9A">
        <w:rPr>
          <w:noProof/>
        </w:rPr>
        <w:t>12 ust.</w:t>
      </w:r>
      <w:r w:rsidR="00201A9A" w:rsidRPr="00201A9A">
        <w:rPr>
          <w:noProof/>
        </w:rPr>
        <w:t> </w:t>
      </w:r>
      <w:r w:rsidRPr="00201A9A">
        <w:rPr>
          <w:noProof/>
        </w:rPr>
        <w:t>4 rozporządzenia (UE, Euratom) 2024/2509 środki na zobowiązania</w:t>
      </w:r>
      <w:r w:rsidR="00201A9A" w:rsidRPr="00201A9A">
        <w:rPr>
          <w:noProof/>
        </w:rPr>
        <w:t xml:space="preserve"> i śro</w:t>
      </w:r>
      <w:r w:rsidRPr="00201A9A">
        <w:rPr>
          <w:noProof/>
        </w:rPr>
        <w:t xml:space="preserve">dki na płatności, które nie zostaną wykorzystane do końca roku budżetowego, na który zostały zapisane, są automatycznie przenoszone. </w:t>
      </w:r>
    </w:p>
    <w:p w14:paraId="6DA7E3AB" w14:textId="7307289F" w:rsidR="727C6164" w:rsidRPr="00201A9A" w:rsidRDefault="13C29B99" w:rsidP="195B61D7">
      <w:pPr>
        <w:pStyle w:val="Text1"/>
        <w:rPr>
          <w:noProof/>
        </w:rPr>
      </w:pPr>
      <w:r w:rsidRPr="00201A9A">
        <w:rPr>
          <w:noProof/>
        </w:rPr>
        <w:t>Środki na zobowiązania przeniesione zgodnie</w:t>
      </w:r>
      <w:r w:rsidR="00201A9A" w:rsidRPr="00201A9A">
        <w:rPr>
          <w:noProof/>
        </w:rPr>
        <w:t xml:space="preserve"> z aka</w:t>
      </w:r>
      <w:r w:rsidRPr="00201A9A">
        <w:rPr>
          <w:noProof/>
        </w:rPr>
        <w:t>pitem pierwszym można wykorzystać do końca 2033</w:t>
      </w:r>
      <w:r w:rsidR="00201A9A" w:rsidRPr="00201A9A">
        <w:rPr>
          <w:noProof/>
        </w:rPr>
        <w:t> </w:t>
      </w:r>
      <w:r w:rsidRPr="00201A9A">
        <w:rPr>
          <w:noProof/>
        </w:rPr>
        <w:t>r. Środki na zobowiązania</w:t>
      </w:r>
      <w:r w:rsidR="00201A9A" w:rsidRPr="00201A9A">
        <w:rPr>
          <w:noProof/>
        </w:rPr>
        <w:t xml:space="preserve"> i śro</w:t>
      </w:r>
      <w:r w:rsidRPr="00201A9A">
        <w:rPr>
          <w:noProof/>
        </w:rPr>
        <w:t>dki na płatności przeniesione zgodnie</w:t>
      </w:r>
      <w:r w:rsidR="00201A9A" w:rsidRPr="00201A9A">
        <w:rPr>
          <w:noProof/>
        </w:rPr>
        <w:t xml:space="preserve"> z aka</w:t>
      </w:r>
      <w:r w:rsidRPr="00201A9A">
        <w:rPr>
          <w:noProof/>
        </w:rPr>
        <w:t>pitem pierwszym wykorzystuje się</w:t>
      </w:r>
      <w:r w:rsidR="00201A9A" w:rsidRPr="00201A9A">
        <w:rPr>
          <w:noProof/>
        </w:rPr>
        <w:t xml:space="preserve"> w kol</w:t>
      </w:r>
      <w:r w:rsidRPr="00201A9A">
        <w:rPr>
          <w:noProof/>
        </w:rPr>
        <w:t>ejnym roku budżetowym</w:t>
      </w:r>
      <w:r w:rsidR="00201A9A" w:rsidRPr="00201A9A">
        <w:rPr>
          <w:noProof/>
        </w:rPr>
        <w:t xml:space="preserve"> w pie</w:t>
      </w:r>
      <w:r w:rsidRPr="00201A9A">
        <w:rPr>
          <w:noProof/>
        </w:rPr>
        <w:t xml:space="preserve">rwszej kolejności. </w:t>
      </w:r>
    </w:p>
    <w:p w14:paraId="5CD61C0B" w14:textId="16223E85" w:rsidR="00C330EA" w:rsidRPr="00201A9A" w:rsidRDefault="00C330EA" w:rsidP="00C330EA">
      <w:pPr>
        <w:pStyle w:val="Titrearticle"/>
        <w:rPr>
          <w:b/>
          <w:bCs/>
          <w:noProof/>
        </w:rPr>
      </w:pPr>
      <w:r w:rsidRPr="00201A9A">
        <w:rPr>
          <w:noProof/>
        </w:rPr>
        <w:t xml:space="preserve">Artykuł 34 </w:t>
      </w:r>
      <w:r w:rsidRPr="00201A9A">
        <w:rPr>
          <w:noProof/>
        </w:rPr>
        <w:br/>
      </w:r>
      <w:r w:rsidRPr="00201A9A">
        <w:rPr>
          <w:b/>
          <w:noProof/>
        </w:rPr>
        <w:t>Zmiana planu PKR</w:t>
      </w:r>
      <w:r w:rsidR="00201A9A" w:rsidRPr="00201A9A">
        <w:rPr>
          <w:b/>
          <w:noProof/>
        </w:rPr>
        <w:t xml:space="preserve"> w syt</w:t>
      </w:r>
      <w:r w:rsidRPr="00201A9A">
        <w:rPr>
          <w:b/>
          <w:noProof/>
        </w:rPr>
        <w:t>uacjach kryzysowych</w:t>
      </w:r>
    </w:p>
    <w:p w14:paraId="1CFEB4D4" w14:textId="3EBCF866" w:rsidR="00A843CE" w:rsidRPr="00201A9A" w:rsidRDefault="00FB2087" w:rsidP="003E2902">
      <w:pPr>
        <w:pStyle w:val="NumPar10000000"/>
        <w:numPr>
          <w:ilvl w:val="0"/>
          <w:numId w:val="116"/>
        </w:numPr>
        <w:rPr>
          <w:noProof/>
        </w:rPr>
      </w:pPr>
      <w:r w:rsidRPr="00201A9A">
        <w:rPr>
          <w:noProof/>
        </w:rPr>
        <w:t>Państwa członkowskie mogą złożyć wniosek</w:t>
      </w:r>
      <w:r w:rsidR="00201A9A" w:rsidRPr="00201A9A">
        <w:rPr>
          <w:noProof/>
        </w:rPr>
        <w:t xml:space="preserve"> o zmi</w:t>
      </w:r>
      <w:r w:rsidRPr="00201A9A">
        <w:rPr>
          <w:noProof/>
        </w:rPr>
        <w:t>anę planów PKR zgodnie</w:t>
      </w:r>
      <w:r w:rsidR="00201A9A" w:rsidRPr="00201A9A">
        <w:rPr>
          <w:noProof/>
        </w:rPr>
        <w:t xml:space="preserve"> z art</w:t>
      </w:r>
      <w:r w:rsidRPr="00201A9A">
        <w:rPr>
          <w:noProof/>
        </w:rPr>
        <w:t>.</w:t>
      </w:r>
      <w:r w:rsidR="00201A9A" w:rsidRPr="00201A9A">
        <w:rPr>
          <w:noProof/>
        </w:rPr>
        <w:t> </w:t>
      </w:r>
      <w:r w:rsidRPr="00201A9A">
        <w:rPr>
          <w:noProof/>
        </w:rPr>
        <w:t>24 [Zmiana planu]</w:t>
      </w:r>
      <w:r w:rsidR="00201A9A" w:rsidRPr="00201A9A">
        <w:rPr>
          <w:noProof/>
        </w:rPr>
        <w:t xml:space="preserve"> w cel</w:t>
      </w:r>
      <w:r w:rsidRPr="00201A9A">
        <w:rPr>
          <w:noProof/>
        </w:rPr>
        <w:t>u wsparcia środków</w:t>
      </w:r>
      <w:r w:rsidR="00201A9A" w:rsidRPr="00201A9A">
        <w:rPr>
          <w:noProof/>
        </w:rPr>
        <w:t xml:space="preserve"> o cha</w:t>
      </w:r>
      <w:r w:rsidRPr="00201A9A">
        <w:rPr>
          <w:noProof/>
        </w:rPr>
        <w:t>rakterze podobnym do tych,</w:t>
      </w:r>
      <w:r w:rsidR="00201A9A" w:rsidRPr="00201A9A">
        <w:rPr>
          <w:noProof/>
        </w:rPr>
        <w:t xml:space="preserve"> o któ</w:t>
      </w:r>
      <w:r w:rsidRPr="00201A9A">
        <w:rPr>
          <w:noProof/>
        </w:rPr>
        <w:t>rych mowa</w:t>
      </w:r>
      <w:r w:rsidR="00201A9A" w:rsidRPr="00201A9A">
        <w:rPr>
          <w:noProof/>
        </w:rPr>
        <w:t xml:space="preserve"> w zał</w:t>
      </w:r>
      <w:r w:rsidRPr="00201A9A">
        <w:rPr>
          <w:noProof/>
        </w:rPr>
        <w:t>ączniku XV ust.</w:t>
      </w:r>
      <w:r w:rsidR="00201A9A" w:rsidRPr="00201A9A">
        <w:rPr>
          <w:noProof/>
        </w:rPr>
        <w:t> </w:t>
      </w:r>
      <w:r w:rsidRPr="00201A9A">
        <w:rPr>
          <w:noProof/>
        </w:rPr>
        <w:t>1 lit.</w:t>
      </w:r>
      <w:r w:rsidR="00201A9A" w:rsidRPr="00201A9A">
        <w:rPr>
          <w:noProof/>
        </w:rPr>
        <w:t> </w:t>
      </w:r>
      <w:r w:rsidRPr="00201A9A">
        <w:rPr>
          <w:noProof/>
        </w:rPr>
        <w:t>i) [Klęski żywiołowe],</w:t>
      </w:r>
      <w:r w:rsidR="00201A9A" w:rsidRPr="00201A9A">
        <w:rPr>
          <w:noProof/>
        </w:rPr>
        <w:t xml:space="preserve"> a tak</w:t>
      </w:r>
      <w:r w:rsidRPr="00201A9A">
        <w:rPr>
          <w:noProof/>
        </w:rPr>
        <w:t>że</w:t>
      </w:r>
      <w:r w:rsidR="00201A9A" w:rsidRPr="00201A9A">
        <w:rPr>
          <w:noProof/>
        </w:rPr>
        <w:t xml:space="preserve"> w cel</w:t>
      </w:r>
      <w:r w:rsidRPr="00201A9A">
        <w:rPr>
          <w:noProof/>
        </w:rPr>
        <w:t>u przyznania płatności kryzysowych rolnikom dotkniętym klęskami żywiołowymi, które to płatności wspierają inwestycje</w:t>
      </w:r>
      <w:r w:rsidR="00201A9A" w:rsidRPr="00201A9A">
        <w:rPr>
          <w:noProof/>
        </w:rPr>
        <w:t xml:space="preserve"> w prz</w:t>
      </w:r>
      <w:r w:rsidRPr="00201A9A">
        <w:rPr>
          <w:noProof/>
        </w:rPr>
        <w:t xml:space="preserve">ywracanie potencjału produkcji rolnej, pod warunkiem że właściwy organ publiczny państwa członkowskiego uznał dane sytuacje za klęski żywiołowe. </w:t>
      </w:r>
    </w:p>
    <w:p w14:paraId="726BF2E4" w14:textId="77777777" w:rsidR="009A2EFC" w:rsidRPr="00201A9A" w:rsidRDefault="005F2653">
      <w:pPr>
        <w:pStyle w:val="NumPar10000000"/>
        <w:tabs>
          <w:tab w:val="clear" w:pos="850"/>
        </w:tabs>
        <w:ind w:firstLine="0"/>
        <w:rPr>
          <w:noProof/>
        </w:rPr>
      </w:pPr>
      <w:r w:rsidRPr="00201A9A">
        <w:rPr>
          <w:noProof/>
        </w:rPr>
        <w:t>Państwo członkowskie może przyznać rolnikom płatności kryzysowe tylko wtedy, gdy: </w:t>
      </w:r>
    </w:p>
    <w:p w14:paraId="325218C7" w14:textId="0520BA84" w:rsidR="009A2EFC" w:rsidRPr="00201A9A" w:rsidRDefault="00201A9A" w:rsidP="00201A9A">
      <w:pPr>
        <w:pStyle w:val="Point1"/>
        <w:rPr>
          <w:noProof/>
        </w:rPr>
      </w:pPr>
      <w:r w:rsidRPr="00201A9A">
        <w:rPr>
          <w:noProof/>
        </w:rPr>
        <w:t>a)</w:t>
      </w:r>
      <w:r w:rsidRPr="00201A9A">
        <w:rPr>
          <w:noProof/>
        </w:rPr>
        <w:tab/>
      </w:r>
      <w:r w:rsidR="009A2EFC" w:rsidRPr="00201A9A">
        <w:rPr>
          <w:noProof/>
        </w:rPr>
        <w:t>jego właściwy organ formalnie uznał, że miała miejsce klęska żywiołowa, niekorzystne zjawisko klimatyczne lub katastrofa, zgodnie</w:t>
      </w:r>
      <w:r w:rsidRPr="00201A9A">
        <w:rPr>
          <w:noProof/>
        </w:rPr>
        <w:t xml:space="preserve"> z def</w:t>
      </w:r>
      <w:r w:rsidR="009A2EFC" w:rsidRPr="00201A9A">
        <w:rPr>
          <w:noProof/>
        </w:rPr>
        <w:t>inicjami tych pojęć przyjętymi</w:t>
      </w:r>
      <w:r w:rsidRPr="00201A9A">
        <w:rPr>
          <w:noProof/>
        </w:rPr>
        <w:t xml:space="preserve"> w dan</w:t>
      </w:r>
      <w:r w:rsidR="009A2EFC" w:rsidRPr="00201A9A">
        <w:rPr>
          <w:noProof/>
        </w:rPr>
        <w:t>ym państwie członkowskim; </w:t>
      </w:r>
    </w:p>
    <w:p w14:paraId="128D5F31" w14:textId="02865306" w:rsidR="009A2EFC" w:rsidRPr="00201A9A" w:rsidRDefault="00201A9A" w:rsidP="00201A9A">
      <w:pPr>
        <w:pStyle w:val="Point1"/>
        <w:rPr>
          <w:noProof/>
        </w:rPr>
      </w:pPr>
      <w:r w:rsidRPr="00201A9A">
        <w:rPr>
          <w:noProof/>
        </w:rPr>
        <w:t>b)</w:t>
      </w:r>
      <w:r w:rsidRPr="00201A9A">
        <w:rPr>
          <w:noProof/>
        </w:rPr>
        <w:tab/>
      </w:r>
      <w:r w:rsidR="009A2EFC" w:rsidRPr="00201A9A">
        <w:rPr>
          <w:noProof/>
        </w:rPr>
        <w:t>przyjęto środki zgodnie</w:t>
      </w:r>
      <w:r w:rsidRPr="00201A9A">
        <w:rPr>
          <w:noProof/>
        </w:rPr>
        <w:t xml:space="preserve"> z roz</w:t>
      </w:r>
      <w:r w:rsidR="009A2EFC" w:rsidRPr="00201A9A">
        <w:rPr>
          <w:noProof/>
        </w:rPr>
        <w:t>porządzeniem (UE) 2016/2031</w:t>
      </w:r>
      <w:r w:rsidRPr="00201A9A">
        <w:rPr>
          <w:noProof/>
        </w:rPr>
        <w:t xml:space="preserve"> w cel</w:t>
      </w:r>
      <w:r w:rsidR="009A2EFC" w:rsidRPr="00201A9A">
        <w:rPr>
          <w:noProof/>
        </w:rPr>
        <w:t>u zwalczenia lub ograniczenia rozprzestrzeniania się choroby roślin lub agrofaga; </w:t>
      </w:r>
    </w:p>
    <w:p w14:paraId="5489868F" w14:textId="2E1D9BC7" w:rsidR="009A2EFC" w:rsidRPr="00201A9A" w:rsidRDefault="00201A9A" w:rsidP="00201A9A">
      <w:pPr>
        <w:pStyle w:val="Point1"/>
        <w:rPr>
          <w:noProof/>
        </w:rPr>
      </w:pPr>
      <w:r w:rsidRPr="00201A9A">
        <w:rPr>
          <w:noProof/>
        </w:rPr>
        <w:t>c)</w:t>
      </w:r>
      <w:r w:rsidRPr="00201A9A">
        <w:rPr>
          <w:noProof/>
        </w:rPr>
        <w:tab/>
      </w:r>
      <w:r w:rsidR="009A2EFC" w:rsidRPr="00201A9A">
        <w:rPr>
          <w:noProof/>
        </w:rPr>
        <w:t>przyjęto środki</w:t>
      </w:r>
      <w:r w:rsidRPr="00201A9A">
        <w:rPr>
          <w:noProof/>
        </w:rPr>
        <w:t xml:space="preserve"> w cel</w:t>
      </w:r>
      <w:r w:rsidR="009A2EFC" w:rsidRPr="00201A9A">
        <w:rPr>
          <w:noProof/>
        </w:rPr>
        <w:t>u zwalczania chorób zwierząt wymienionych</w:t>
      </w:r>
      <w:r w:rsidRPr="00201A9A">
        <w:rPr>
          <w:noProof/>
        </w:rPr>
        <w:t xml:space="preserve"> w zał</w:t>
      </w:r>
      <w:r w:rsidR="009A2EFC" w:rsidRPr="00201A9A">
        <w:rPr>
          <w:noProof/>
        </w:rPr>
        <w:t>ączniku do rozporządzenia wykonawczego Komisji (UE) 2018/1882 lub zapobiegania tym chorobom; lub </w:t>
      </w:r>
    </w:p>
    <w:p w14:paraId="3AFBF8C9" w14:textId="46D793F0" w:rsidR="00FB2087" w:rsidRPr="00201A9A" w:rsidRDefault="00201A9A" w:rsidP="00201A9A">
      <w:pPr>
        <w:pStyle w:val="Point1"/>
        <w:rPr>
          <w:noProof/>
        </w:rPr>
      </w:pPr>
      <w:r w:rsidRPr="00201A9A">
        <w:rPr>
          <w:noProof/>
        </w:rPr>
        <w:t>d)</w:t>
      </w:r>
      <w:r w:rsidRPr="00201A9A">
        <w:rPr>
          <w:noProof/>
        </w:rPr>
        <w:tab/>
      </w:r>
      <w:r w:rsidR="009A2EFC" w:rsidRPr="00201A9A">
        <w:rPr>
          <w:noProof/>
        </w:rPr>
        <w:t>przyjęto środki</w:t>
      </w:r>
      <w:r w:rsidRPr="00201A9A">
        <w:rPr>
          <w:noProof/>
        </w:rPr>
        <w:t xml:space="preserve"> w odn</w:t>
      </w:r>
      <w:r w:rsidR="009A2EFC" w:rsidRPr="00201A9A">
        <w:rPr>
          <w:noProof/>
        </w:rPr>
        <w:t>iesieniu do nowo występującej choroby zgodnie</w:t>
      </w:r>
      <w:r w:rsidRPr="00201A9A">
        <w:rPr>
          <w:noProof/>
        </w:rPr>
        <w:t xml:space="preserve"> z art</w:t>
      </w:r>
      <w:r w:rsidR="009A2EFC" w:rsidRPr="00201A9A">
        <w:rPr>
          <w:noProof/>
        </w:rPr>
        <w:t>.</w:t>
      </w:r>
      <w:r w:rsidRPr="00201A9A">
        <w:rPr>
          <w:noProof/>
        </w:rPr>
        <w:t> </w:t>
      </w:r>
      <w:r w:rsidR="009A2EFC" w:rsidRPr="00201A9A">
        <w:rPr>
          <w:noProof/>
        </w:rPr>
        <w:t>6 ust.</w:t>
      </w:r>
      <w:r w:rsidRPr="00201A9A">
        <w:rPr>
          <w:noProof/>
        </w:rPr>
        <w:t> </w:t>
      </w:r>
      <w:r w:rsidR="009A2EFC" w:rsidRPr="00201A9A">
        <w:rPr>
          <w:noProof/>
        </w:rPr>
        <w:t>3</w:t>
      </w:r>
      <w:r w:rsidRPr="00201A9A">
        <w:rPr>
          <w:noProof/>
        </w:rPr>
        <w:t xml:space="preserve"> i art</w:t>
      </w:r>
      <w:r w:rsidR="009A2EFC" w:rsidRPr="00201A9A">
        <w:rPr>
          <w:noProof/>
        </w:rPr>
        <w:t>.</w:t>
      </w:r>
      <w:r w:rsidRPr="00201A9A">
        <w:rPr>
          <w:noProof/>
        </w:rPr>
        <w:t> </w:t>
      </w:r>
      <w:r w:rsidR="009A2EFC" w:rsidRPr="00201A9A">
        <w:rPr>
          <w:noProof/>
        </w:rPr>
        <w:t>259 rozporządzenia (UE) 2016/429. </w:t>
      </w:r>
    </w:p>
    <w:p w14:paraId="6F8412E1" w14:textId="75CD56B7" w:rsidR="00FB2087" w:rsidRPr="00201A9A" w:rsidRDefault="00FB2087" w:rsidP="003E2902">
      <w:pPr>
        <w:pStyle w:val="NumPar10000000"/>
        <w:numPr>
          <w:ilvl w:val="0"/>
          <w:numId w:val="91"/>
        </w:numPr>
        <w:rPr>
          <w:noProof/>
        </w:rPr>
      </w:pPr>
      <w:r w:rsidRPr="00201A9A">
        <w:rPr>
          <w:noProof/>
        </w:rPr>
        <w:t>Jeżeli wniosek</w:t>
      </w:r>
      <w:r w:rsidR="00201A9A" w:rsidRPr="00201A9A">
        <w:rPr>
          <w:noProof/>
        </w:rPr>
        <w:t xml:space="preserve"> o zmi</w:t>
      </w:r>
      <w:r w:rsidRPr="00201A9A">
        <w:rPr>
          <w:noProof/>
        </w:rPr>
        <w:t>anę przekracza 1</w:t>
      </w:r>
      <w:r w:rsidR="00201A9A" w:rsidRPr="00201A9A">
        <w:rPr>
          <w:noProof/>
        </w:rPr>
        <w:t> </w:t>
      </w:r>
      <w:r w:rsidRPr="00201A9A">
        <w:rPr>
          <w:noProof/>
        </w:rPr>
        <w:t>% unijnego wkładu finansowego</w:t>
      </w:r>
      <w:r w:rsidR="00201A9A" w:rsidRPr="00201A9A">
        <w:rPr>
          <w:noProof/>
        </w:rPr>
        <w:t xml:space="preserve"> w ram</w:t>
      </w:r>
      <w:r w:rsidRPr="00201A9A">
        <w:rPr>
          <w:noProof/>
        </w:rPr>
        <w:t>ach planu, państwo członkowskie może dodatkowo zwrócić się</w:t>
      </w:r>
      <w:r w:rsidR="00201A9A" w:rsidRPr="00201A9A">
        <w:rPr>
          <w:noProof/>
        </w:rPr>
        <w:t xml:space="preserve"> o zap</w:t>
      </w:r>
      <w:r w:rsidRPr="00201A9A">
        <w:rPr>
          <w:noProof/>
        </w:rPr>
        <w:t>rogramowanie do</w:t>
      </w:r>
      <w:r w:rsidR="00201A9A" w:rsidRPr="00201A9A">
        <w:rPr>
          <w:noProof/>
        </w:rPr>
        <w:t> </w:t>
      </w:r>
      <w:r w:rsidRPr="00201A9A">
        <w:rPr>
          <w:noProof/>
        </w:rPr>
        <w:t>2,5</w:t>
      </w:r>
      <w:r w:rsidR="00201A9A" w:rsidRPr="00201A9A">
        <w:rPr>
          <w:noProof/>
        </w:rPr>
        <w:t> </w:t>
      </w:r>
      <w:r w:rsidRPr="00201A9A">
        <w:rPr>
          <w:noProof/>
        </w:rPr>
        <w:t>% kwoty unijnego wkładu finansowego</w:t>
      </w:r>
      <w:r w:rsidR="00201A9A" w:rsidRPr="00201A9A">
        <w:rPr>
          <w:noProof/>
        </w:rPr>
        <w:t xml:space="preserve"> z nie</w:t>
      </w:r>
      <w:r w:rsidRPr="00201A9A">
        <w:rPr>
          <w:noProof/>
        </w:rPr>
        <w:t>zaprogramowanej kwoty elastyczności</w:t>
      </w:r>
      <w:r w:rsidR="00201A9A" w:rsidRPr="00201A9A">
        <w:rPr>
          <w:noProof/>
        </w:rPr>
        <w:t xml:space="preserve"> w gra</w:t>
      </w:r>
      <w:r w:rsidRPr="00201A9A">
        <w:rPr>
          <w:noProof/>
        </w:rPr>
        <w:t>nicach określonych</w:t>
      </w:r>
      <w:r w:rsidR="00201A9A" w:rsidRPr="00201A9A">
        <w:rPr>
          <w:noProof/>
        </w:rPr>
        <w:t xml:space="preserve"> w art</w:t>
      </w:r>
      <w:r w:rsidRPr="00201A9A">
        <w:rPr>
          <w:noProof/>
        </w:rPr>
        <w:t>.</w:t>
      </w:r>
      <w:r w:rsidR="00201A9A" w:rsidRPr="00201A9A">
        <w:rPr>
          <w:noProof/>
        </w:rPr>
        <w:t> </w:t>
      </w:r>
      <w:r w:rsidRPr="00201A9A">
        <w:rPr>
          <w:noProof/>
        </w:rPr>
        <w:t>12 [Zobowiązania budżetowe]</w:t>
      </w:r>
      <w:r w:rsidR="00201A9A" w:rsidRPr="00201A9A">
        <w:rPr>
          <w:noProof/>
        </w:rPr>
        <w:t xml:space="preserve"> w odn</w:t>
      </w:r>
      <w:r w:rsidRPr="00201A9A">
        <w:rPr>
          <w:noProof/>
        </w:rPr>
        <w:t>iesieniu do środków,</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niniejszego artykułu.</w:t>
      </w:r>
    </w:p>
    <w:p w14:paraId="38D5361A" w14:textId="442C04EC" w:rsidR="00FB2087" w:rsidRPr="00201A9A" w:rsidRDefault="00FB2087" w:rsidP="003E2902">
      <w:pPr>
        <w:pStyle w:val="NumPar10000000"/>
        <w:numPr>
          <w:ilvl w:val="0"/>
          <w:numId w:val="91"/>
        </w:numPr>
        <w:rPr>
          <w:noProof/>
          <w:color w:val="000000" w:themeColor="text1"/>
        </w:rPr>
      </w:pPr>
      <w:r w:rsidRPr="00201A9A">
        <w:rPr>
          <w:noProof/>
        </w:rPr>
        <w:t>W przypadku gdy kwota wnioskowana</w:t>
      </w:r>
      <w:r w:rsidR="00201A9A" w:rsidRPr="00201A9A">
        <w:rPr>
          <w:noProof/>
        </w:rPr>
        <w:t xml:space="preserve"> i dos</w:t>
      </w:r>
      <w:r w:rsidRPr="00201A9A">
        <w:rPr>
          <w:noProof/>
        </w:rPr>
        <w:t>tępna na podstawie ust.</w:t>
      </w:r>
      <w:r w:rsidR="00201A9A" w:rsidRPr="00201A9A">
        <w:rPr>
          <w:noProof/>
        </w:rPr>
        <w:t> </w:t>
      </w:r>
      <w:r w:rsidRPr="00201A9A">
        <w:rPr>
          <w:noProof/>
        </w:rPr>
        <w:t>2 jest niewystarczająca, aby zaspokoić potrzeby, państwa członkowskie mogą zwrócić się</w:t>
      </w:r>
      <w:r w:rsidR="00201A9A" w:rsidRPr="00201A9A">
        <w:rPr>
          <w:noProof/>
        </w:rPr>
        <w:t xml:space="preserve"> o dod</w:t>
      </w:r>
      <w:r w:rsidRPr="00201A9A">
        <w:rPr>
          <w:noProof/>
        </w:rPr>
        <w:t>atkowe wsparcie</w:t>
      </w:r>
      <w:r w:rsidR="00201A9A" w:rsidRPr="00201A9A">
        <w:rPr>
          <w:noProof/>
        </w:rPr>
        <w:t xml:space="preserve"> w ram</w:t>
      </w:r>
      <w:r w:rsidRPr="00201A9A">
        <w:rPr>
          <w:noProof/>
        </w:rPr>
        <w:t>ach działań Unii,</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26 [Przepisy ogólne dotyczące wdrażania Instrumentu UE],</w:t>
      </w:r>
      <w:r w:rsidR="00201A9A" w:rsidRPr="00201A9A">
        <w:rPr>
          <w:noProof/>
        </w:rPr>
        <w:t xml:space="preserve"> z zas</w:t>
      </w:r>
      <w:r w:rsidRPr="00201A9A">
        <w:rPr>
          <w:noProof/>
        </w:rPr>
        <w:t>trzeżeniem dostępności środków finansowych.</w:t>
      </w:r>
      <w:r w:rsidRPr="00201A9A">
        <w:rPr>
          <w:noProof/>
          <w:color w:val="000000" w:themeColor="text1"/>
        </w:rPr>
        <w:t xml:space="preserve"> </w:t>
      </w:r>
    </w:p>
    <w:p w14:paraId="668960BB" w14:textId="760E3F72" w:rsidR="00FB2087" w:rsidRPr="00201A9A" w:rsidRDefault="00FB2087" w:rsidP="003E2902">
      <w:pPr>
        <w:pStyle w:val="NumPar10000000"/>
        <w:numPr>
          <w:ilvl w:val="0"/>
          <w:numId w:val="91"/>
        </w:numPr>
        <w:rPr>
          <w:noProof/>
        </w:rPr>
      </w:pPr>
      <w:r w:rsidRPr="00201A9A">
        <w:rPr>
          <w:noProof/>
        </w:rPr>
        <w:t>W przypadku gdy kwota dostępna na podstawie ust.</w:t>
      </w:r>
      <w:r w:rsidR="00201A9A" w:rsidRPr="00201A9A">
        <w:rPr>
          <w:noProof/>
        </w:rPr>
        <w:t> </w:t>
      </w:r>
      <w:r w:rsidRPr="00201A9A">
        <w:rPr>
          <w:noProof/>
        </w:rPr>
        <w:t>3 jest niewystarczająca, aby zaspokoić potrzeby, państwa członkowskie mogą otrzymać dodatkowe wsparcie z „rezerwy budżetowej”,</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26 ust.</w:t>
      </w:r>
      <w:r w:rsidR="00201A9A" w:rsidRPr="00201A9A">
        <w:rPr>
          <w:noProof/>
        </w:rPr>
        <w:t> </w:t>
      </w:r>
      <w:r w:rsidRPr="00201A9A">
        <w:rPr>
          <w:noProof/>
        </w:rPr>
        <w:t>4 lit.</w:t>
      </w:r>
      <w:r w:rsidR="00201A9A" w:rsidRPr="00201A9A">
        <w:rPr>
          <w:noProof/>
        </w:rPr>
        <w:t> </w:t>
      </w:r>
      <w:r w:rsidRPr="00201A9A">
        <w:rPr>
          <w:noProof/>
        </w:rPr>
        <w:t>b) [Przepisy ogólne dotyczące wdrażania Instrumentu UE],</w:t>
      </w:r>
      <w:r w:rsidR="00201A9A" w:rsidRPr="00201A9A">
        <w:rPr>
          <w:noProof/>
        </w:rPr>
        <w:t xml:space="preserve"> z zas</w:t>
      </w:r>
      <w:r w:rsidRPr="00201A9A">
        <w:rPr>
          <w:noProof/>
        </w:rPr>
        <w:t>trzeżeniem dostępności środków finansowych.</w:t>
      </w:r>
    </w:p>
    <w:p w14:paraId="3F50C53E" w14:textId="00694D78" w:rsidR="00FB2087" w:rsidRPr="00201A9A" w:rsidRDefault="00FB2087" w:rsidP="003E2902">
      <w:pPr>
        <w:pStyle w:val="NumPar10000000"/>
        <w:numPr>
          <w:ilvl w:val="0"/>
          <w:numId w:val="91"/>
        </w:numPr>
        <w:rPr>
          <w:noProof/>
          <w:color w:val="000000" w:themeColor="text1"/>
        </w:rPr>
      </w:pPr>
      <w:r w:rsidRPr="00201A9A">
        <w:rPr>
          <w:noProof/>
        </w:rPr>
        <w:t>W terminie czterech miesięcy od dnia,</w:t>
      </w:r>
      <w:r w:rsidR="00201A9A" w:rsidRPr="00201A9A">
        <w:rPr>
          <w:noProof/>
        </w:rPr>
        <w:t xml:space="preserve"> w któ</w:t>
      </w:r>
      <w:r w:rsidRPr="00201A9A">
        <w:rPr>
          <w:noProof/>
        </w:rPr>
        <w:t>rym właściwy organ uznał daną sytuację za sytuację kryzysową, państwa członkowskie przedkładają wniosek określający powody oraz opisujący szkody</w:t>
      </w:r>
      <w:r w:rsidR="00201A9A" w:rsidRPr="00201A9A">
        <w:rPr>
          <w:noProof/>
        </w:rPr>
        <w:t xml:space="preserve"> i pot</w:t>
      </w:r>
      <w:r w:rsidRPr="00201A9A">
        <w:rPr>
          <w:noProof/>
        </w:rPr>
        <w:t>rzeby</w:t>
      </w:r>
      <w:r w:rsidR="00201A9A" w:rsidRPr="00201A9A">
        <w:rPr>
          <w:noProof/>
        </w:rPr>
        <w:t xml:space="preserve"> w zak</w:t>
      </w:r>
      <w:r w:rsidRPr="00201A9A">
        <w:rPr>
          <w:noProof/>
        </w:rPr>
        <w:t>resie naprawy</w:t>
      </w:r>
      <w:r w:rsidR="00201A9A" w:rsidRPr="00201A9A">
        <w:rPr>
          <w:noProof/>
        </w:rPr>
        <w:t xml:space="preserve"> i odb</w:t>
      </w:r>
      <w:r w:rsidRPr="00201A9A">
        <w:rPr>
          <w:noProof/>
        </w:rPr>
        <w:t>udowy, uzasadniające zmianę planu PKR,</w:t>
      </w:r>
      <w:r w:rsidR="00201A9A" w:rsidRPr="00201A9A">
        <w:rPr>
          <w:noProof/>
        </w:rPr>
        <w:t xml:space="preserve"> o któ</w:t>
      </w:r>
      <w:r w:rsidRPr="00201A9A">
        <w:rPr>
          <w:noProof/>
        </w:rPr>
        <w:t>rym mowa</w:t>
      </w:r>
      <w:r w:rsidR="00201A9A" w:rsidRPr="00201A9A">
        <w:rPr>
          <w:noProof/>
        </w:rPr>
        <w:t xml:space="preserve"> w ust</w:t>
      </w:r>
      <w:r w:rsidRPr="00201A9A">
        <w:rPr>
          <w:noProof/>
        </w:rPr>
        <w:t>.</w:t>
      </w:r>
      <w:r w:rsidR="00201A9A" w:rsidRPr="00201A9A">
        <w:rPr>
          <w:noProof/>
        </w:rPr>
        <w:t> </w:t>
      </w:r>
      <w:r w:rsidRPr="00201A9A">
        <w:rPr>
          <w:noProof/>
        </w:rPr>
        <w:t>1 oraz,</w:t>
      </w:r>
      <w:r w:rsidR="00201A9A" w:rsidRPr="00201A9A">
        <w:rPr>
          <w:noProof/>
        </w:rPr>
        <w:t xml:space="preserve"> w sto</w:t>
      </w:r>
      <w:r w:rsidRPr="00201A9A">
        <w:rPr>
          <w:noProof/>
        </w:rPr>
        <w:t>sownych przypadkach,</w:t>
      </w:r>
      <w:r w:rsidR="00201A9A" w:rsidRPr="00201A9A">
        <w:rPr>
          <w:noProof/>
        </w:rPr>
        <w:t xml:space="preserve"> w ust</w:t>
      </w:r>
      <w:r w:rsidRPr="00201A9A">
        <w:rPr>
          <w:noProof/>
        </w:rPr>
        <w:t>.</w:t>
      </w:r>
      <w:r w:rsidR="00201A9A" w:rsidRPr="00201A9A">
        <w:rPr>
          <w:noProof/>
        </w:rPr>
        <w:t> </w:t>
      </w:r>
      <w:r w:rsidRPr="00201A9A">
        <w:rPr>
          <w:noProof/>
        </w:rPr>
        <w:t>2</w:t>
      </w:r>
      <w:r w:rsidR="00201A9A" w:rsidRPr="00201A9A">
        <w:rPr>
          <w:noProof/>
        </w:rPr>
        <w:t xml:space="preserve"> i 3</w:t>
      </w:r>
      <w:r w:rsidRPr="00201A9A">
        <w:rPr>
          <w:noProof/>
        </w:rPr>
        <w:t>. Zmiana ta obejmuje następujące elementy:</w:t>
      </w:r>
    </w:p>
    <w:p w14:paraId="18ABB72A" w14:textId="081EFA4B" w:rsidR="00FB2087" w:rsidRPr="00201A9A" w:rsidRDefault="00201A9A" w:rsidP="00201A9A">
      <w:pPr>
        <w:pStyle w:val="Point1"/>
        <w:rPr>
          <w:noProof/>
        </w:rPr>
      </w:pPr>
      <w:r w:rsidRPr="00201A9A">
        <w:rPr>
          <w:noProof/>
        </w:rPr>
        <w:t>a)</w:t>
      </w:r>
      <w:r w:rsidRPr="00201A9A">
        <w:rPr>
          <w:noProof/>
        </w:rPr>
        <w:tab/>
      </w:r>
      <w:r w:rsidR="00FB2087" w:rsidRPr="00201A9A">
        <w:rPr>
          <w:noProof/>
        </w:rPr>
        <w:t>opis środków mających na celu zaradzenie szkodom wynikającym</w:t>
      </w:r>
      <w:r w:rsidRPr="00201A9A">
        <w:rPr>
          <w:noProof/>
        </w:rPr>
        <w:t xml:space="preserve"> z kry</w:t>
      </w:r>
      <w:r w:rsidR="00FB2087" w:rsidRPr="00201A9A">
        <w:rPr>
          <w:noProof/>
        </w:rPr>
        <w:t>zysu oraz wspierających naprawę</w:t>
      </w:r>
      <w:r w:rsidRPr="00201A9A">
        <w:rPr>
          <w:noProof/>
        </w:rPr>
        <w:t xml:space="preserve"> i odb</w:t>
      </w:r>
      <w:r w:rsidR="00FB2087" w:rsidRPr="00201A9A">
        <w:rPr>
          <w:noProof/>
        </w:rPr>
        <w:t>udowę po kryzysie, wraz</w:t>
      </w:r>
      <w:r w:rsidRPr="00201A9A">
        <w:rPr>
          <w:noProof/>
        </w:rPr>
        <w:t xml:space="preserve"> z ich</w:t>
      </w:r>
      <w:r w:rsidR="00FB2087" w:rsidRPr="00201A9A">
        <w:rPr>
          <w:noProof/>
        </w:rPr>
        <w:t xml:space="preserve"> szacunkowymi kosztami oraz odpowiednimi kamieniami milowymi</w:t>
      </w:r>
      <w:r w:rsidRPr="00201A9A">
        <w:rPr>
          <w:noProof/>
        </w:rPr>
        <w:t xml:space="preserve"> i war</w:t>
      </w:r>
      <w:r w:rsidR="00FB2087" w:rsidRPr="00201A9A">
        <w:rPr>
          <w:noProof/>
        </w:rPr>
        <w:t>tościami docelowymi;</w:t>
      </w:r>
    </w:p>
    <w:p w14:paraId="0E9E7F5B" w14:textId="24077932" w:rsidR="00FB2087" w:rsidRPr="00201A9A" w:rsidRDefault="00201A9A" w:rsidP="00201A9A">
      <w:pPr>
        <w:pStyle w:val="Point1"/>
        <w:rPr>
          <w:noProof/>
        </w:rPr>
      </w:pPr>
      <w:r w:rsidRPr="00201A9A">
        <w:rPr>
          <w:noProof/>
        </w:rPr>
        <w:t>b)</w:t>
      </w:r>
      <w:r w:rsidRPr="00201A9A">
        <w:rPr>
          <w:noProof/>
        </w:rPr>
        <w:tab/>
      </w:r>
      <w:r w:rsidR="00FB2087" w:rsidRPr="00201A9A">
        <w:rPr>
          <w:noProof/>
        </w:rPr>
        <w:t>w stosownych przypadkach kwoty,</w:t>
      </w:r>
      <w:r w:rsidRPr="00201A9A">
        <w:rPr>
          <w:noProof/>
        </w:rPr>
        <w:t xml:space="preserve"> o któ</w:t>
      </w:r>
      <w:r w:rsidR="00FB2087" w:rsidRPr="00201A9A">
        <w:rPr>
          <w:noProof/>
        </w:rPr>
        <w:t>re wnioskowano</w:t>
      </w:r>
      <w:r w:rsidRPr="00201A9A">
        <w:rPr>
          <w:noProof/>
        </w:rPr>
        <w:t xml:space="preserve"> z kwo</w:t>
      </w:r>
      <w:r w:rsidR="00FB2087" w:rsidRPr="00201A9A">
        <w:rPr>
          <w:noProof/>
        </w:rPr>
        <w:t>ty elastyczności</w:t>
      </w:r>
      <w:r w:rsidRPr="00201A9A">
        <w:rPr>
          <w:noProof/>
        </w:rPr>
        <w:t xml:space="preserve"> i z ins</w:t>
      </w:r>
      <w:r w:rsidR="00FB2087" w:rsidRPr="00201A9A">
        <w:rPr>
          <w:noProof/>
        </w:rPr>
        <w:t>trumentu, do wysokości łącznych szacunkowych kosztów powiązanych środków,</w:t>
      </w:r>
      <w:r w:rsidRPr="00201A9A">
        <w:rPr>
          <w:noProof/>
        </w:rPr>
        <w:t xml:space="preserve"> z uwz</w:t>
      </w:r>
      <w:r w:rsidR="00FB2087" w:rsidRPr="00201A9A">
        <w:rPr>
          <w:noProof/>
        </w:rPr>
        <w:t>ględnieniem kwot przeprogramowanych.</w:t>
      </w:r>
    </w:p>
    <w:p w14:paraId="71888944" w14:textId="10F5F8FF" w:rsidR="00FB2087" w:rsidRPr="00201A9A" w:rsidRDefault="00FB2087" w:rsidP="003E2902">
      <w:pPr>
        <w:pStyle w:val="NumPar10000000"/>
        <w:numPr>
          <w:ilvl w:val="0"/>
          <w:numId w:val="91"/>
        </w:numPr>
        <w:rPr>
          <w:noProof/>
        </w:rPr>
      </w:pPr>
      <w:r w:rsidRPr="00201A9A">
        <w:rPr>
          <w:noProof/>
        </w:rPr>
        <w:t>Na zasadzie odstępstwa od art.</w:t>
      </w:r>
      <w:r w:rsidR="00201A9A" w:rsidRPr="00201A9A">
        <w:rPr>
          <w:noProof/>
        </w:rPr>
        <w:t> </w:t>
      </w:r>
      <w:r w:rsidRPr="00201A9A">
        <w:rPr>
          <w:noProof/>
        </w:rPr>
        <w:t>24 [Zmiana planu] Komisja dokłada wszelkich starań, aby zatwierdzić wszelkie zmiany planu PKR</w:t>
      </w:r>
      <w:r w:rsidR="00201A9A" w:rsidRPr="00201A9A">
        <w:rPr>
          <w:noProof/>
        </w:rPr>
        <w:t xml:space="preserve"> w cią</w:t>
      </w:r>
      <w:r w:rsidRPr="00201A9A">
        <w:rPr>
          <w:noProof/>
        </w:rPr>
        <w:t>gu 15 dni roboczych od dnia ich przedłożenia przez państwo członkowskie.</w:t>
      </w:r>
    </w:p>
    <w:p w14:paraId="1E06F349" w14:textId="23835BF8" w:rsidR="00FB2087" w:rsidRPr="00201A9A" w:rsidRDefault="00FB2087" w:rsidP="003E2902">
      <w:pPr>
        <w:pStyle w:val="NumPar10000000"/>
        <w:numPr>
          <w:ilvl w:val="0"/>
          <w:numId w:val="91"/>
        </w:numPr>
        <w:rPr>
          <w:noProof/>
        </w:rPr>
      </w:pPr>
      <w:r w:rsidRPr="00201A9A">
        <w:rPr>
          <w:noProof/>
        </w:rPr>
        <w:t>Komisja wypłaca do</w:t>
      </w:r>
      <w:r w:rsidR="00201A9A" w:rsidRPr="00201A9A">
        <w:rPr>
          <w:noProof/>
        </w:rPr>
        <w:t> </w:t>
      </w:r>
      <w:r w:rsidRPr="00201A9A">
        <w:rPr>
          <w:noProof/>
        </w:rPr>
        <w:t>80</w:t>
      </w:r>
      <w:r w:rsidR="00201A9A" w:rsidRPr="00201A9A">
        <w:rPr>
          <w:noProof/>
        </w:rPr>
        <w:t> </w:t>
      </w:r>
      <w:r w:rsidRPr="00201A9A">
        <w:rPr>
          <w:noProof/>
        </w:rPr>
        <w:t>% alokacji środków,</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5, zgodnie</w:t>
      </w:r>
      <w:r w:rsidR="00201A9A" w:rsidRPr="00201A9A">
        <w:rPr>
          <w:noProof/>
        </w:rPr>
        <w:t xml:space="preserve"> z dec</w:t>
      </w:r>
      <w:r w:rsidRPr="00201A9A">
        <w:rPr>
          <w:noProof/>
        </w:rPr>
        <w:t>yzją zatwierdzającą zmianę planu,</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6,</w:t>
      </w:r>
      <w:r w:rsidR="00201A9A" w:rsidRPr="00201A9A">
        <w:rPr>
          <w:noProof/>
        </w:rPr>
        <w:t xml:space="preserve"> z zas</w:t>
      </w:r>
      <w:r w:rsidRPr="00201A9A">
        <w:rPr>
          <w:noProof/>
        </w:rPr>
        <w:t>trzeżeniem dostępności środków finansowych,</w:t>
      </w:r>
      <w:r w:rsidR="00201A9A" w:rsidRPr="00201A9A">
        <w:rPr>
          <w:noProof/>
        </w:rPr>
        <w:t xml:space="preserve"> w ram</w:t>
      </w:r>
      <w:r w:rsidRPr="00201A9A">
        <w:rPr>
          <w:noProof/>
        </w:rPr>
        <w:t>ach wyjątkowych płatności zaliczkowych. Taka płatność ma charakter dodatkowy</w:t>
      </w:r>
      <w:r w:rsidR="00201A9A" w:rsidRPr="00201A9A">
        <w:rPr>
          <w:noProof/>
        </w:rPr>
        <w:t xml:space="preserve"> w sto</w:t>
      </w:r>
      <w:r w:rsidRPr="00201A9A">
        <w:rPr>
          <w:noProof/>
        </w:rPr>
        <w:t>sunku do płatności zaliczkowych na rzecz planu PKR przewidzianych</w:t>
      </w:r>
      <w:r w:rsidR="00201A9A" w:rsidRPr="00201A9A">
        <w:rPr>
          <w:noProof/>
        </w:rPr>
        <w:t xml:space="preserve"> w art</w:t>
      </w:r>
      <w:r w:rsidRPr="00201A9A">
        <w:rPr>
          <w:noProof/>
        </w:rPr>
        <w:t>.</w:t>
      </w:r>
      <w:r w:rsidR="00201A9A" w:rsidRPr="00201A9A">
        <w:rPr>
          <w:noProof/>
        </w:rPr>
        <w:t> </w:t>
      </w:r>
      <w:r w:rsidRPr="00201A9A">
        <w:rPr>
          <w:noProof/>
        </w:rPr>
        <w:t>17 [Płatności zaliczkowe]</w:t>
      </w:r>
      <w:r w:rsidR="00201A9A" w:rsidRPr="00201A9A">
        <w:rPr>
          <w:noProof/>
        </w:rPr>
        <w:t xml:space="preserve"> i jes</w:t>
      </w:r>
      <w:r w:rsidRPr="00201A9A">
        <w:rPr>
          <w:noProof/>
        </w:rPr>
        <w:t>t rozliczana corocznie.</w:t>
      </w:r>
    </w:p>
    <w:p w14:paraId="0BAFFB7C" w14:textId="200BD301" w:rsidR="00552F18" w:rsidRPr="00201A9A" w:rsidRDefault="00FB2087" w:rsidP="003E2902">
      <w:pPr>
        <w:pStyle w:val="NumPar10000000"/>
        <w:numPr>
          <w:ilvl w:val="0"/>
          <w:numId w:val="91"/>
        </w:numPr>
        <w:rPr>
          <w:noProof/>
        </w:rPr>
      </w:pPr>
      <w:r w:rsidRPr="00201A9A">
        <w:rPr>
          <w:noProof/>
        </w:rPr>
        <w:t>Państwa członkowskie mogą podjąć decyzję</w:t>
      </w:r>
      <w:r w:rsidR="00201A9A" w:rsidRPr="00201A9A">
        <w:rPr>
          <w:noProof/>
        </w:rPr>
        <w:t xml:space="preserve"> o zas</w:t>
      </w:r>
      <w:r w:rsidRPr="00201A9A">
        <w:rPr>
          <w:noProof/>
        </w:rPr>
        <w:t>tosowaniu procedury określonej</w:t>
      </w:r>
      <w:r w:rsidR="00201A9A" w:rsidRPr="00201A9A">
        <w:rPr>
          <w:noProof/>
        </w:rPr>
        <w:t xml:space="preserve"> w nin</w:t>
      </w:r>
      <w:r w:rsidRPr="00201A9A">
        <w:rPr>
          <w:noProof/>
        </w:rPr>
        <w:t>iejszym artykule</w:t>
      </w:r>
      <w:r w:rsidR="00201A9A" w:rsidRPr="00201A9A">
        <w:rPr>
          <w:noProof/>
        </w:rPr>
        <w:t xml:space="preserve"> w odn</w:t>
      </w:r>
      <w:r w:rsidRPr="00201A9A">
        <w:rPr>
          <w:noProof/>
        </w:rPr>
        <w:t>iesieniu do wsparcia przewidzianego</w:t>
      </w:r>
      <w:r w:rsidR="00201A9A" w:rsidRPr="00201A9A">
        <w:rPr>
          <w:noProof/>
        </w:rPr>
        <w:t xml:space="preserve"> w zał</w:t>
      </w:r>
      <w:r w:rsidRPr="00201A9A">
        <w:rPr>
          <w:noProof/>
        </w:rPr>
        <w:t>ączniku XV ust.</w:t>
      </w:r>
      <w:r w:rsidR="00201A9A" w:rsidRPr="00201A9A">
        <w:rPr>
          <w:noProof/>
        </w:rPr>
        <w:t> </w:t>
      </w:r>
      <w:r w:rsidRPr="00201A9A">
        <w:rPr>
          <w:noProof/>
        </w:rPr>
        <w:t>1 lit.</w:t>
      </w:r>
      <w:r w:rsidR="00201A9A" w:rsidRPr="00201A9A">
        <w:rPr>
          <w:noProof/>
        </w:rPr>
        <w:t> </w:t>
      </w:r>
      <w:r w:rsidRPr="00201A9A">
        <w:rPr>
          <w:noProof/>
        </w:rPr>
        <w:t>l) (Działania Unii wspierane</w:t>
      </w:r>
      <w:r w:rsidR="00201A9A" w:rsidRPr="00201A9A">
        <w:rPr>
          <w:noProof/>
        </w:rPr>
        <w:t xml:space="preserve"> w ram</w:t>
      </w:r>
      <w:r w:rsidRPr="00201A9A">
        <w:rPr>
          <w:noProof/>
        </w:rPr>
        <w:t>ach Instrumentu UE, Działania dotyczące spraw wewnętrznych).</w:t>
      </w:r>
    </w:p>
    <w:p w14:paraId="794F6DDB" w14:textId="348A31E4" w:rsidR="00552F18" w:rsidRPr="00201A9A" w:rsidRDefault="000E0D88" w:rsidP="003E2902">
      <w:pPr>
        <w:pStyle w:val="NumPar10000000"/>
        <w:numPr>
          <w:ilvl w:val="0"/>
          <w:numId w:val="91"/>
        </w:numPr>
        <w:rPr>
          <w:noProof/>
        </w:rPr>
      </w:pPr>
      <w:r w:rsidRPr="00201A9A">
        <w:rPr>
          <w:noProof/>
        </w:rPr>
        <w:t>Ust. 3</w:t>
      </w:r>
      <w:r w:rsidR="00201A9A" w:rsidRPr="00201A9A">
        <w:rPr>
          <w:noProof/>
        </w:rPr>
        <w:t xml:space="preserve"> i 4</w:t>
      </w:r>
      <w:r w:rsidRPr="00201A9A">
        <w:rPr>
          <w:noProof/>
        </w:rPr>
        <w:t xml:space="preserve"> nie mają zastosowania do przyznawania płatności kryzysowych rolnikom dotkniętym klęskami żywiołowymi.</w:t>
      </w:r>
    </w:p>
    <w:p w14:paraId="77365208" w14:textId="77777777" w:rsidR="00CA2613" w:rsidRPr="00201A9A" w:rsidRDefault="78E3BF39" w:rsidP="07DC7BA7">
      <w:pPr>
        <w:pStyle w:val="SectionTitle"/>
        <w:rPr>
          <w:noProof/>
        </w:rPr>
      </w:pPr>
      <w:r w:rsidRPr="00201A9A">
        <w:rPr>
          <w:noProof/>
        </w:rPr>
        <w:t xml:space="preserve">TYTUŁ V </w:t>
      </w:r>
      <w:r w:rsidRPr="00201A9A">
        <w:rPr>
          <w:noProof/>
        </w:rPr>
        <w:br/>
        <w:t>WSPÓLNA POLITYKA ROLNA</w:t>
      </w:r>
    </w:p>
    <w:p w14:paraId="79F5F743" w14:textId="77777777" w:rsidR="00CA2613" w:rsidRPr="00201A9A" w:rsidRDefault="78E3BF39" w:rsidP="07DC7BA7">
      <w:pPr>
        <w:pStyle w:val="ChapterTitle0"/>
        <w:rPr>
          <w:noProof/>
        </w:rPr>
      </w:pPr>
      <w:r w:rsidRPr="00201A9A">
        <w:rPr>
          <w:noProof/>
        </w:rPr>
        <w:t xml:space="preserve">ROZDZIAŁ I </w:t>
      </w:r>
    </w:p>
    <w:p w14:paraId="6C1BB701" w14:textId="77777777" w:rsidR="00CA2613" w:rsidRPr="00201A9A" w:rsidRDefault="6B0161A3" w:rsidP="07DC7BA7">
      <w:pPr>
        <w:pStyle w:val="Titrearticle"/>
        <w:rPr>
          <w:b/>
          <w:bCs/>
          <w:noProof/>
        </w:rPr>
      </w:pPr>
      <w:r w:rsidRPr="00201A9A">
        <w:rPr>
          <w:noProof/>
        </w:rPr>
        <w:t xml:space="preserve">Artykuł 35 </w:t>
      </w:r>
      <w:r w:rsidRPr="00201A9A">
        <w:rPr>
          <w:noProof/>
        </w:rPr>
        <w:br/>
      </w:r>
      <w:r w:rsidRPr="00201A9A">
        <w:rPr>
          <w:b/>
          <w:noProof/>
        </w:rPr>
        <w:t>Rodzaje interwencji</w:t>
      </w:r>
    </w:p>
    <w:p w14:paraId="7E489054" w14:textId="539D9BAF" w:rsidR="00017B06" w:rsidRPr="00201A9A" w:rsidRDefault="00017B06" w:rsidP="003E2902">
      <w:pPr>
        <w:pStyle w:val="NumPar10000000"/>
        <w:numPr>
          <w:ilvl w:val="0"/>
          <w:numId w:val="103"/>
        </w:numPr>
        <w:rPr>
          <w:noProof/>
        </w:rPr>
      </w:pPr>
      <w:r w:rsidRPr="00201A9A">
        <w:rPr>
          <w:noProof/>
        </w:rPr>
        <w:t>Zgodnie</w:t>
      </w:r>
      <w:r w:rsidR="00201A9A" w:rsidRPr="00201A9A">
        <w:rPr>
          <w:noProof/>
        </w:rPr>
        <w:t xml:space="preserve"> z int</w:t>
      </w:r>
      <w:r w:rsidRPr="00201A9A">
        <w:rPr>
          <w:noProof/>
        </w:rPr>
        <w:t>erwencjami wymienionymi</w:t>
      </w:r>
      <w:r w:rsidR="00201A9A" w:rsidRPr="00201A9A">
        <w:rPr>
          <w:noProof/>
        </w:rPr>
        <w:t xml:space="preserve"> w art</w:t>
      </w:r>
      <w:r w:rsidRPr="00201A9A">
        <w:rPr>
          <w:noProof/>
        </w:rPr>
        <w:t>. XX [Rodzaje wsparcia] rozporządzenia (UE) 202X/XXXX [rozporządzenie</w:t>
      </w:r>
      <w:r w:rsidR="00201A9A" w:rsidRPr="00201A9A">
        <w:rPr>
          <w:noProof/>
        </w:rPr>
        <w:t xml:space="preserve"> w spr</w:t>
      </w:r>
      <w:r w:rsidRPr="00201A9A">
        <w:rPr>
          <w:noProof/>
        </w:rPr>
        <w:t>awie WPR] określono następujące interwencje</w:t>
      </w:r>
      <w:r w:rsidR="00201A9A" w:rsidRPr="00201A9A">
        <w:rPr>
          <w:noProof/>
        </w:rPr>
        <w:t xml:space="preserve"> w ram</w:t>
      </w:r>
      <w:r w:rsidRPr="00201A9A">
        <w:rPr>
          <w:noProof/>
        </w:rPr>
        <w:t>ach WPR:</w:t>
      </w:r>
    </w:p>
    <w:p w14:paraId="40D5E72B" w14:textId="067AAB04" w:rsidR="00017B06" w:rsidRPr="00201A9A" w:rsidRDefault="00201A9A" w:rsidP="00201A9A">
      <w:pPr>
        <w:pStyle w:val="Point1"/>
        <w:rPr>
          <w:noProof/>
        </w:rPr>
      </w:pPr>
      <w:r w:rsidRPr="00201A9A">
        <w:rPr>
          <w:noProof/>
        </w:rPr>
        <w:t>c)</w:t>
      </w:r>
      <w:r w:rsidRPr="00201A9A">
        <w:rPr>
          <w:noProof/>
        </w:rPr>
        <w:tab/>
      </w:r>
      <w:r w:rsidR="00017B06" w:rsidRPr="00201A9A">
        <w:rPr>
          <w:noProof/>
        </w:rPr>
        <w:t xml:space="preserve">degresywne obszarowe wsparcie dochodów;  </w:t>
      </w:r>
    </w:p>
    <w:p w14:paraId="691231D0" w14:textId="75CC821F" w:rsidR="00017B06" w:rsidRPr="00201A9A" w:rsidRDefault="00201A9A" w:rsidP="00201A9A">
      <w:pPr>
        <w:pStyle w:val="Point1"/>
        <w:rPr>
          <w:noProof/>
        </w:rPr>
      </w:pPr>
      <w:r w:rsidRPr="00201A9A">
        <w:rPr>
          <w:noProof/>
        </w:rPr>
        <w:t>d)</w:t>
      </w:r>
      <w:r w:rsidRPr="00201A9A">
        <w:rPr>
          <w:noProof/>
        </w:rPr>
        <w:tab/>
      </w:r>
      <w:r w:rsidR="00017B06" w:rsidRPr="00201A9A">
        <w:rPr>
          <w:noProof/>
        </w:rPr>
        <w:t>wsparcie dochodów związane</w:t>
      </w:r>
      <w:r w:rsidRPr="00201A9A">
        <w:rPr>
          <w:noProof/>
        </w:rPr>
        <w:t xml:space="preserve"> z pro</w:t>
      </w:r>
      <w:r w:rsidR="00017B06" w:rsidRPr="00201A9A">
        <w:rPr>
          <w:noProof/>
        </w:rPr>
        <w:t>dukcją;</w:t>
      </w:r>
      <w:r w:rsidRPr="00201A9A">
        <w:rPr>
          <w:noProof/>
        </w:rPr>
        <w:t xml:space="preserve"> </w:t>
      </w:r>
    </w:p>
    <w:p w14:paraId="7A0DE68E" w14:textId="2B2D0B38" w:rsidR="00017B06" w:rsidRPr="00201A9A" w:rsidRDefault="00201A9A" w:rsidP="00201A9A">
      <w:pPr>
        <w:pStyle w:val="Point1"/>
        <w:rPr>
          <w:noProof/>
        </w:rPr>
      </w:pPr>
      <w:r w:rsidRPr="00201A9A">
        <w:rPr>
          <w:noProof/>
        </w:rPr>
        <w:t>e)</w:t>
      </w:r>
      <w:r w:rsidRPr="00201A9A">
        <w:rPr>
          <w:noProof/>
        </w:rPr>
        <w:tab/>
      </w:r>
      <w:r w:rsidR="00017B06" w:rsidRPr="00201A9A">
        <w:rPr>
          <w:noProof/>
        </w:rPr>
        <w:t>płatność specyficzna</w:t>
      </w:r>
      <w:r w:rsidRPr="00201A9A">
        <w:rPr>
          <w:noProof/>
        </w:rPr>
        <w:t xml:space="preserve"> w odn</w:t>
      </w:r>
      <w:r w:rsidR="00017B06" w:rsidRPr="00201A9A">
        <w:rPr>
          <w:noProof/>
        </w:rPr>
        <w:t xml:space="preserve">iesieniu do bawełny; </w:t>
      </w:r>
    </w:p>
    <w:p w14:paraId="0252C84E" w14:textId="1766F71E" w:rsidR="00017B06" w:rsidRPr="00201A9A" w:rsidRDefault="00201A9A" w:rsidP="00201A9A">
      <w:pPr>
        <w:pStyle w:val="Point1"/>
        <w:rPr>
          <w:noProof/>
        </w:rPr>
      </w:pPr>
      <w:r w:rsidRPr="00201A9A">
        <w:rPr>
          <w:noProof/>
        </w:rPr>
        <w:t>f)</w:t>
      </w:r>
      <w:r w:rsidRPr="00201A9A">
        <w:rPr>
          <w:noProof/>
        </w:rPr>
        <w:tab/>
      </w:r>
      <w:r w:rsidR="00017B06" w:rsidRPr="00201A9A">
        <w:rPr>
          <w:noProof/>
        </w:rPr>
        <w:t>płatność</w:t>
      </w:r>
      <w:r w:rsidRPr="00201A9A">
        <w:rPr>
          <w:noProof/>
        </w:rPr>
        <w:t xml:space="preserve"> z tyt</w:t>
      </w:r>
      <w:r w:rsidR="00017B06" w:rsidRPr="00201A9A">
        <w:rPr>
          <w:noProof/>
        </w:rPr>
        <w:t xml:space="preserve">ułu ograniczeń naturalnych lub innych ograniczeń specyficznych dla obszaru;  </w:t>
      </w:r>
    </w:p>
    <w:p w14:paraId="3CDB0F69" w14:textId="289D0BBC" w:rsidR="00017B06" w:rsidRPr="00201A9A" w:rsidRDefault="00201A9A" w:rsidP="00201A9A">
      <w:pPr>
        <w:pStyle w:val="Point1"/>
        <w:rPr>
          <w:noProof/>
        </w:rPr>
      </w:pPr>
      <w:r w:rsidRPr="00201A9A">
        <w:rPr>
          <w:noProof/>
        </w:rPr>
        <w:t>g)</w:t>
      </w:r>
      <w:r w:rsidRPr="00201A9A">
        <w:rPr>
          <w:noProof/>
        </w:rPr>
        <w:tab/>
      </w:r>
      <w:r w:rsidR="00017B06" w:rsidRPr="00201A9A">
        <w:rPr>
          <w:noProof/>
        </w:rPr>
        <w:t>wsparcie</w:t>
      </w:r>
      <w:r w:rsidRPr="00201A9A">
        <w:rPr>
          <w:noProof/>
        </w:rPr>
        <w:t xml:space="preserve"> z tyt</w:t>
      </w:r>
      <w:r w:rsidR="00017B06" w:rsidRPr="00201A9A">
        <w:rPr>
          <w:noProof/>
        </w:rPr>
        <w:t>ułu strat wynikających</w:t>
      </w:r>
      <w:r w:rsidRPr="00201A9A">
        <w:rPr>
          <w:noProof/>
        </w:rPr>
        <w:t xml:space="preserve"> z okr</w:t>
      </w:r>
      <w:r w:rsidR="00017B06" w:rsidRPr="00201A9A">
        <w:rPr>
          <w:noProof/>
        </w:rPr>
        <w:t xml:space="preserve">eślonych obowiązkowych wymogów;  </w:t>
      </w:r>
    </w:p>
    <w:p w14:paraId="3AEAF608" w14:textId="1F0096FB" w:rsidR="00017B06" w:rsidRPr="00201A9A" w:rsidRDefault="00201A9A" w:rsidP="00201A9A">
      <w:pPr>
        <w:pStyle w:val="Point1"/>
        <w:rPr>
          <w:noProof/>
        </w:rPr>
      </w:pPr>
      <w:r w:rsidRPr="00201A9A">
        <w:rPr>
          <w:noProof/>
        </w:rPr>
        <w:t>h)</w:t>
      </w:r>
      <w:r w:rsidRPr="00201A9A">
        <w:rPr>
          <w:noProof/>
        </w:rPr>
        <w:tab/>
      </w:r>
      <w:r w:rsidR="00017B06" w:rsidRPr="00201A9A">
        <w:rPr>
          <w:noProof/>
        </w:rPr>
        <w:t xml:space="preserve">działania rolnośrodowiskowe i na rzecz klimatu;  </w:t>
      </w:r>
    </w:p>
    <w:p w14:paraId="62ED54F0" w14:textId="0E5FA3EC" w:rsidR="00820250" w:rsidRPr="00201A9A" w:rsidRDefault="00201A9A" w:rsidP="00201A9A">
      <w:pPr>
        <w:pStyle w:val="Point1"/>
        <w:rPr>
          <w:noProof/>
        </w:rPr>
      </w:pPr>
      <w:r w:rsidRPr="00201A9A">
        <w:rPr>
          <w:noProof/>
        </w:rPr>
        <w:t>i)</w:t>
      </w:r>
      <w:r w:rsidRPr="00201A9A">
        <w:rPr>
          <w:noProof/>
        </w:rPr>
        <w:tab/>
      </w:r>
      <w:r w:rsidR="00820250" w:rsidRPr="00201A9A">
        <w:rPr>
          <w:noProof/>
        </w:rPr>
        <w:t>wsparcie dla małych gospodarstw;</w:t>
      </w:r>
    </w:p>
    <w:p w14:paraId="45E078B1" w14:textId="6A445E76" w:rsidR="00017B06" w:rsidRPr="00201A9A" w:rsidRDefault="00201A9A" w:rsidP="00201A9A">
      <w:pPr>
        <w:pStyle w:val="Point1"/>
        <w:rPr>
          <w:noProof/>
        </w:rPr>
      </w:pPr>
      <w:r w:rsidRPr="00201A9A">
        <w:rPr>
          <w:noProof/>
        </w:rPr>
        <w:t>j)</w:t>
      </w:r>
      <w:r w:rsidRPr="00201A9A">
        <w:rPr>
          <w:noProof/>
        </w:rPr>
        <w:tab/>
      </w:r>
      <w:r w:rsidR="00017B06" w:rsidRPr="00201A9A">
        <w:rPr>
          <w:noProof/>
        </w:rPr>
        <w:t>wsparcie na narzędzia zarządzania ryzykiem;</w:t>
      </w:r>
      <w:r w:rsidRPr="00201A9A">
        <w:rPr>
          <w:noProof/>
        </w:rPr>
        <w:t xml:space="preserve"> </w:t>
      </w:r>
    </w:p>
    <w:p w14:paraId="4F8301A8" w14:textId="20917194" w:rsidR="00017B06" w:rsidRPr="00201A9A" w:rsidRDefault="00201A9A" w:rsidP="00201A9A">
      <w:pPr>
        <w:pStyle w:val="Point1"/>
        <w:rPr>
          <w:noProof/>
        </w:rPr>
      </w:pPr>
      <w:r w:rsidRPr="00201A9A">
        <w:rPr>
          <w:noProof/>
        </w:rPr>
        <w:t>k)</w:t>
      </w:r>
      <w:r w:rsidRPr="00201A9A">
        <w:rPr>
          <w:noProof/>
        </w:rPr>
        <w:tab/>
      </w:r>
      <w:r w:rsidR="00017B06" w:rsidRPr="00201A9A">
        <w:rPr>
          <w:noProof/>
        </w:rPr>
        <w:t>wsparcie na inwestycje dla rolników</w:t>
      </w:r>
      <w:r w:rsidRPr="00201A9A">
        <w:rPr>
          <w:noProof/>
        </w:rPr>
        <w:t xml:space="preserve"> i pos</w:t>
      </w:r>
      <w:r w:rsidR="00017B06" w:rsidRPr="00201A9A">
        <w:rPr>
          <w:noProof/>
        </w:rPr>
        <w:t xml:space="preserve">iadaczy lasów;  </w:t>
      </w:r>
    </w:p>
    <w:p w14:paraId="6FE35E53" w14:textId="351ECBF0" w:rsidR="00017B06" w:rsidRPr="00201A9A" w:rsidRDefault="00201A9A" w:rsidP="00201A9A">
      <w:pPr>
        <w:pStyle w:val="Point1"/>
        <w:rPr>
          <w:noProof/>
        </w:rPr>
      </w:pPr>
      <w:r w:rsidRPr="00201A9A">
        <w:rPr>
          <w:noProof/>
        </w:rPr>
        <w:t>l)</w:t>
      </w:r>
      <w:r w:rsidRPr="00201A9A">
        <w:rPr>
          <w:noProof/>
        </w:rPr>
        <w:tab/>
      </w:r>
      <w:r w:rsidR="00017B06" w:rsidRPr="00201A9A">
        <w:rPr>
          <w:noProof/>
        </w:rPr>
        <w:t>wsparcie na rozpoczynanie działalności przez młodych rolników</w:t>
      </w:r>
      <w:r w:rsidRPr="00201A9A">
        <w:rPr>
          <w:noProof/>
        </w:rPr>
        <w:t xml:space="preserve"> i now</w:t>
      </w:r>
      <w:r w:rsidR="00017B06" w:rsidRPr="00201A9A">
        <w:rPr>
          <w:noProof/>
        </w:rPr>
        <w:t>ych rolników oraz na zakładanie przedsiębiorstw wiejskich</w:t>
      </w:r>
      <w:r w:rsidRPr="00201A9A">
        <w:rPr>
          <w:noProof/>
        </w:rPr>
        <w:t xml:space="preserve"> i prz</w:t>
      </w:r>
      <w:r w:rsidR="00017B06" w:rsidRPr="00201A9A">
        <w:rPr>
          <w:noProof/>
        </w:rPr>
        <w:t>edsiębiorstw typu start-up,</w:t>
      </w:r>
      <w:r w:rsidRPr="00201A9A">
        <w:rPr>
          <w:noProof/>
        </w:rPr>
        <w:t xml:space="preserve"> a tak</w:t>
      </w:r>
      <w:r w:rsidR="00017B06" w:rsidRPr="00201A9A">
        <w:rPr>
          <w:noProof/>
        </w:rPr>
        <w:t xml:space="preserve">że na rozwój małych gospodarstw rolnych; </w:t>
      </w:r>
    </w:p>
    <w:p w14:paraId="00A67D42" w14:textId="1E04D725" w:rsidR="00017B06" w:rsidRPr="00201A9A" w:rsidRDefault="00201A9A" w:rsidP="00201A9A">
      <w:pPr>
        <w:pStyle w:val="Point1"/>
        <w:rPr>
          <w:noProof/>
        </w:rPr>
      </w:pPr>
      <w:r w:rsidRPr="00201A9A">
        <w:rPr>
          <w:noProof/>
        </w:rPr>
        <w:t>m)</w:t>
      </w:r>
      <w:r w:rsidRPr="00201A9A">
        <w:rPr>
          <w:noProof/>
        </w:rPr>
        <w:tab/>
      </w:r>
      <w:r w:rsidR="00017B06" w:rsidRPr="00201A9A">
        <w:rPr>
          <w:noProof/>
        </w:rPr>
        <w:t>wsparcie na usługi zastępowania rolników;</w:t>
      </w:r>
    </w:p>
    <w:p w14:paraId="0E1FFE0F" w14:textId="24E9CD64" w:rsidR="00017B06" w:rsidRPr="00201A9A" w:rsidRDefault="00201A9A" w:rsidP="00201A9A">
      <w:pPr>
        <w:pStyle w:val="Point1"/>
        <w:rPr>
          <w:noProof/>
        </w:rPr>
      </w:pPr>
      <w:r w:rsidRPr="00201A9A">
        <w:rPr>
          <w:noProof/>
        </w:rPr>
        <w:t>n)</w:t>
      </w:r>
      <w:r w:rsidRPr="00201A9A">
        <w:rPr>
          <w:noProof/>
        </w:rPr>
        <w:tab/>
      </w:r>
      <w:r w:rsidR="00017B06" w:rsidRPr="00201A9A">
        <w:rPr>
          <w:noProof/>
        </w:rPr>
        <w:t xml:space="preserve">inicjatywa LEADER; </w:t>
      </w:r>
    </w:p>
    <w:p w14:paraId="7C6237F3" w14:textId="336D79AB" w:rsidR="00477A6A" w:rsidRPr="00201A9A" w:rsidRDefault="00201A9A" w:rsidP="00201A9A">
      <w:pPr>
        <w:pStyle w:val="Point1"/>
        <w:rPr>
          <w:noProof/>
          <w:szCs w:val="24"/>
        </w:rPr>
      </w:pPr>
      <w:r w:rsidRPr="00201A9A">
        <w:rPr>
          <w:noProof/>
        </w:rPr>
        <w:t>o)</w:t>
      </w:r>
      <w:r w:rsidRPr="00201A9A">
        <w:rPr>
          <w:noProof/>
        </w:rPr>
        <w:tab/>
      </w:r>
      <w:r w:rsidR="00017B06" w:rsidRPr="00201A9A">
        <w:rPr>
          <w:noProof/>
        </w:rPr>
        <w:t>wsparcie na dzielenie się wiedzą</w:t>
      </w:r>
      <w:r w:rsidRPr="00201A9A">
        <w:rPr>
          <w:noProof/>
        </w:rPr>
        <w:t xml:space="preserve"> i inn</w:t>
      </w:r>
      <w:r w:rsidR="00017B06" w:rsidRPr="00201A9A">
        <w:rPr>
          <w:noProof/>
        </w:rPr>
        <w:t>owacje</w:t>
      </w:r>
      <w:r w:rsidRPr="00201A9A">
        <w:rPr>
          <w:noProof/>
        </w:rPr>
        <w:t xml:space="preserve"> w rol</w:t>
      </w:r>
      <w:r w:rsidR="00017B06" w:rsidRPr="00201A9A">
        <w:rPr>
          <w:noProof/>
        </w:rPr>
        <w:t>nictwie, leśnictwie i na obszarach wiejskich;</w:t>
      </w:r>
    </w:p>
    <w:p w14:paraId="5F095AF3" w14:textId="03BFC0FA" w:rsidR="00477A6A" w:rsidRPr="00201A9A" w:rsidRDefault="00201A9A" w:rsidP="00201A9A">
      <w:pPr>
        <w:pStyle w:val="Point1"/>
        <w:rPr>
          <w:noProof/>
          <w:szCs w:val="24"/>
        </w:rPr>
      </w:pPr>
      <w:r w:rsidRPr="00201A9A">
        <w:rPr>
          <w:noProof/>
        </w:rPr>
        <w:t>p)</w:t>
      </w:r>
      <w:r w:rsidRPr="00201A9A">
        <w:rPr>
          <w:noProof/>
        </w:rPr>
        <w:tab/>
      </w:r>
      <w:r w:rsidR="00A145D3" w:rsidRPr="00201A9A">
        <w:rPr>
          <w:noProof/>
        </w:rPr>
        <w:t>inicjatywy</w:t>
      </w:r>
      <w:r w:rsidRPr="00201A9A">
        <w:rPr>
          <w:noProof/>
        </w:rPr>
        <w:t xml:space="preserve"> w zak</w:t>
      </w:r>
      <w:r w:rsidR="00A145D3" w:rsidRPr="00201A9A">
        <w:rPr>
          <w:noProof/>
        </w:rPr>
        <w:t>resie współpracy terytorialnej</w:t>
      </w:r>
      <w:r w:rsidRPr="00201A9A">
        <w:rPr>
          <w:noProof/>
        </w:rPr>
        <w:t xml:space="preserve"> i lok</w:t>
      </w:r>
      <w:r w:rsidR="00A145D3" w:rsidRPr="00201A9A">
        <w:rPr>
          <w:noProof/>
        </w:rPr>
        <w:t xml:space="preserve">alnej; </w:t>
      </w:r>
    </w:p>
    <w:p w14:paraId="04F313A4" w14:textId="5710DD2B" w:rsidR="00477A6A" w:rsidRPr="00201A9A" w:rsidRDefault="00201A9A" w:rsidP="00201A9A">
      <w:pPr>
        <w:pStyle w:val="Point1"/>
        <w:rPr>
          <w:noProof/>
          <w:szCs w:val="24"/>
        </w:rPr>
      </w:pPr>
      <w:r w:rsidRPr="00201A9A">
        <w:rPr>
          <w:noProof/>
        </w:rPr>
        <w:t>q)</w:t>
      </w:r>
      <w:r w:rsidRPr="00201A9A">
        <w:rPr>
          <w:noProof/>
        </w:rPr>
        <w:tab/>
      </w:r>
      <w:r w:rsidR="00477A6A" w:rsidRPr="00201A9A">
        <w:rPr>
          <w:noProof/>
        </w:rPr>
        <w:t>interwencje</w:t>
      </w:r>
      <w:r w:rsidRPr="00201A9A">
        <w:rPr>
          <w:noProof/>
        </w:rPr>
        <w:t xml:space="preserve"> w reg</w:t>
      </w:r>
      <w:r w:rsidR="00477A6A" w:rsidRPr="00201A9A">
        <w:rPr>
          <w:noProof/>
        </w:rPr>
        <w:t>ionach najbardziej oddalonych,</w:t>
      </w:r>
      <w:r w:rsidRPr="00201A9A">
        <w:rPr>
          <w:noProof/>
        </w:rPr>
        <w:t xml:space="preserve"> o któ</w:t>
      </w:r>
      <w:r w:rsidR="00477A6A" w:rsidRPr="00201A9A">
        <w:rPr>
          <w:noProof/>
        </w:rPr>
        <w:t>rych mowa</w:t>
      </w:r>
      <w:r w:rsidRPr="00201A9A">
        <w:rPr>
          <w:noProof/>
        </w:rPr>
        <w:t xml:space="preserve"> w art</w:t>
      </w:r>
      <w:r w:rsidR="00477A6A" w:rsidRPr="00201A9A">
        <w:rPr>
          <w:noProof/>
        </w:rPr>
        <w:t>.</w:t>
      </w:r>
      <w:r w:rsidRPr="00201A9A">
        <w:rPr>
          <w:noProof/>
        </w:rPr>
        <w:t> </w:t>
      </w:r>
      <w:r w:rsidR="00477A6A" w:rsidRPr="00201A9A">
        <w:rPr>
          <w:noProof/>
        </w:rPr>
        <w:t>46;</w:t>
      </w:r>
    </w:p>
    <w:p w14:paraId="7C453B9D" w14:textId="1B5CB40D" w:rsidR="00477A6A" w:rsidRPr="00201A9A" w:rsidRDefault="00201A9A" w:rsidP="00201A9A">
      <w:pPr>
        <w:pStyle w:val="Point1"/>
        <w:rPr>
          <w:noProof/>
          <w:szCs w:val="24"/>
        </w:rPr>
      </w:pPr>
      <w:r w:rsidRPr="00201A9A">
        <w:rPr>
          <w:noProof/>
        </w:rPr>
        <w:t>r)</w:t>
      </w:r>
      <w:r w:rsidRPr="00201A9A">
        <w:rPr>
          <w:noProof/>
        </w:rPr>
        <w:tab/>
      </w:r>
      <w:r w:rsidR="00477A6A" w:rsidRPr="00201A9A">
        <w:rPr>
          <w:noProof/>
        </w:rPr>
        <w:t>interwencje na mniejszych wyspach Morza Egejskiego,</w:t>
      </w:r>
      <w:r w:rsidRPr="00201A9A">
        <w:rPr>
          <w:noProof/>
        </w:rPr>
        <w:t xml:space="preserve"> o któ</w:t>
      </w:r>
      <w:r w:rsidR="00477A6A" w:rsidRPr="00201A9A">
        <w:rPr>
          <w:noProof/>
        </w:rPr>
        <w:t>rych mowa</w:t>
      </w:r>
      <w:r w:rsidRPr="00201A9A">
        <w:rPr>
          <w:noProof/>
        </w:rPr>
        <w:t xml:space="preserve"> w art</w:t>
      </w:r>
      <w:r w:rsidR="00477A6A" w:rsidRPr="00201A9A">
        <w:rPr>
          <w:noProof/>
        </w:rPr>
        <w:t>.</w:t>
      </w:r>
      <w:r w:rsidRPr="00201A9A">
        <w:rPr>
          <w:noProof/>
        </w:rPr>
        <w:t> </w:t>
      </w:r>
      <w:r w:rsidR="00477A6A" w:rsidRPr="00201A9A">
        <w:rPr>
          <w:noProof/>
        </w:rPr>
        <w:t>42;</w:t>
      </w:r>
    </w:p>
    <w:p w14:paraId="070CE95B" w14:textId="3D7C37EA" w:rsidR="00477A6A" w:rsidRPr="00201A9A" w:rsidRDefault="00201A9A" w:rsidP="00201A9A">
      <w:pPr>
        <w:pStyle w:val="Point1"/>
        <w:rPr>
          <w:noProof/>
          <w:szCs w:val="24"/>
        </w:rPr>
      </w:pPr>
      <w:r w:rsidRPr="00201A9A">
        <w:rPr>
          <w:noProof/>
        </w:rPr>
        <w:t>s)</w:t>
      </w:r>
      <w:r w:rsidRPr="00201A9A">
        <w:rPr>
          <w:noProof/>
        </w:rPr>
        <w:tab/>
      </w:r>
      <w:r w:rsidR="00477A6A" w:rsidRPr="00201A9A">
        <w:rPr>
          <w:noProof/>
        </w:rPr>
        <w:t>unijny program dla szkół,</w:t>
      </w:r>
      <w:r w:rsidRPr="00201A9A">
        <w:rPr>
          <w:noProof/>
        </w:rPr>
        <w:t xml:space="preserve"> o któ</w:t>
      </w:r>
      <w:r w:rsidR="00477A6A" w:rsidRPr="00201A9A">
        <w:rPr>
          <w:noProof/>
        </w:rPr>
        <w:t>rym mowa</w:t>
      </w:r>
      <w:r w:rsidRPr="00201A9A">
        <w:rPr>
          <w:noProof/>
        </w:rPr>
        <w:t xml:space="preserve"> w tyt</w:t>
      </w:r>
      <w:r w:rsidR="00477A6A" w:rsidRPr="00201A9A">
        <w:rPr>
          <w:noProof/>
        </w:rPr>
        <w:t>ule I część II rozdział IIa rozporządzenia (UE) nr</w:t>
      </w:r>
      <w:r w:rsidRPr="00201A9A">
        <w:rPr>
          <w:noProof/>
        </w:rPr>
        <w:t> </w:t>
      </w:r>
      <w:r w:rsidR="00477A6A" w:rsidRPr="00201A9A">
        <w:rPr>
          <w:noProof/>
        </w:rPr>
        <w:t>1308/2013;</w:t>
      </w:r>
    </w:p>
    <w:p w14:paraId="1560EA27" w14:textId="752B3AA5" w:rsidR="00017B06" w:rsidRPr="00201A9A" w:rsidRDefault="00201A9A" w:rsidP="00201A9A">
      <w:pPr>
        <w:pStyle w:val="Point1"/>
        <w:rPr>
          <w:noProof/>
          <w:szCs w:val="24"/>
        </w:rPr>
      </w:pPr>
      <w:r w:rsidRPr="00201A9A">
        <w:rPr>
          <w:noProof/>
        </w:rPr>
        <w:t>t)</w:t>
      </w:r>
      <w:r w:rsidRPr="00201A9A">
        <w:rPr>
          <w:noProof/>
        </w:rPr>
        <w:tab/>
      </w:r>
      <w:r w:rsidR="00017B06" w:rsidRPr="00201A9A">
        <w:rPr>
          <w:noProof/>
        </w:rPr>
        <w:t>wsparcie interwencji</w:t>
      </w:r>
      <w:r w:rsidRPr="00201A9A">
        <w:rPr>
          <w:noProof/>
        </w:rPr>
        <w:t xml:space="preserve"> w nie</w:t>
      </w:r>
      <w:r w:rsidR="00017B06" w:rsidRPr="00201A9A">
        <w:rPr>
          <w:noProof/>
        </w:rPr>
        <w:t>których sektorach,</w:t>
      </w:r>
      <w:r w:rsidRPr="00201A9A">
        <w:rPr>
          <w:noProof/>
        </w:rPr>
        <w:t xml:space="preserve"> o któ</w:t>
      </w:r>
      <w:r w:rsidR="00017B06" w:rsidRPr="00201A9A">
        <w:rPr>
          <w:noProof/>
        </w:rPr>
        <w:t>rych mowa</w:t>
      </w:r>
      <w:r w:rsidRPr="00201A9A">
        <w:rPr>
          <w:noProof/>
        </w:rPr>
        <w:t xml:space="preserve"> w tyt</w:t>
      </w:r>
      <w:r w:rsidR="00017B06" w:rsidRPr="00201A9A">
        <w:rPr>
          <w:noProof/>
        </w:rPr>
        <w:t>ule X rozporządzenia (UE) nr</w:t>
      </w:r>
      <w:r w:rsidRPr="00201A9A">
        <w:rPr>
          <w:noProof/>
        </w:rPr>
        <w:t> </w:t>
      </w:r>
      <w:r w:rsidR="00017B06" w:rsidRPr="00201A9A">
        <w:rPr>
          <w:noProof/>
        </w:rPr>
        <w:t>1308/2013.</w:t>
      </w:r>
    </w:p>
    <w:p w14:paraId="4203A672" w14:textId="521C0AF4" w:rsidR="002F277D" w:rsidRPr="00201A9A" w:rsidRDefault="002F277D" w:rsidP="003E2902">
      <w:pPr>
        <w:pStyle w:val="NumPar10000000"/>
        <w:numPr>
          <w:ilvl w:val="0"/>
          <w:numId w:val="103"/>
        </w:numPr>
        <w:rPr>
          <w:noProof/>
        </w:rPr>
      </w:pPr>
      <w:r w:rsidRPr="00201A9A">
        <w:rPr>
          <w:noProof/>
        </w:rPr>
        <w:t>Interwencje,</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lit.</w:t>
      </w:r>
      <w:r w:rsidR="00201A9A" w:rsidRPr="00201A9A">
        <w:rPr>
          <w:noProof/>
        </w:rPr>
        <w:t> </w:t>
      </w:r>
      <w:r w:rsidRPr="00201A9A">
        <w:rPr>
          <w:noProof/>
        </w:rPr>
        <w:t>a), b), c) i g), nie mają zastosowania do regionów najbardziej oddalonych,</w:t>
      </w:r>
      <w:r w:rsidR="00201A9A" w:rsidRPr="00201A9A">
        <w:rPr>
          <w:noProof/>
        </w:rPr>
        <w:t xml:space="preserve"> o któ</w:t>
      </w:r>
      <w:r w:rsidRPr="00201A9A">
        <w:rPr>
          <w:noProof/>
        </w:rPr>
        <w:t>rych mowa</w:t>
      </w:r>
      <w:r w:rsidR="00201A9A" w:rsidRPr="00201A9A">
        <w:rPr>
          <w:noProof/>
        </w:rPr>
        <w:t xml:space="preserve"> w tyt</w:t>
      </w:r>
      <w:r w:rsidRPr="00201A9A">
        <w:rPr>
          <w:noProof/>
        </w:rPr>
        <w:t xml:space="preserve">ule IV. </w:t>
      </w:r>
    </w:p>
    <w:p w14:paraId="211539CF" w14:textId="544EE601" w:rsidR="00017B06" w:rsidRPr="00201A9A" w:rsidRDefault="00017B06" w:rsidP="003E2902">
      <w:pPr>
        <w:pStyle w:val="NumPar10000000"/>
        <w:numPr>
          <w:ilvl w:val="0"/>
          <w:numId w:val="103"/>
        </w:numPr>
        <w:rPr>
          <w:noProof/>
        </w:rPr>
      </w:pPr>
      <w:r w:rsidRPr="00201A9A">
        <w:rPr>
          <w:noProof/>
        </w:rPr>
        <w:t>Interwencje,</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lit.</w:t>
      </w:r>
      <w:r w:rsidR="00201A9A" w:rsidRPr="00201A9A">
        <w:rPr>
          <w:noProof/>
        </w:rPr>
        <w:t> </w:t>
      </w:r>
      <w:r w:rsidRPr="00201A9A">
        <w:rPr>
          <w:noProof/>
        </w:rPr>
        <w:t>a)–k) i r), są interwencjami</w:t>
      </w:r>
      <w:r w:rsidR="00201A9A" w:rsidRPr="00201A9A">
        <w:rPr>
          <w:noProof/>
        </w:rPr>
        <w:t xml:space="preserve"> z zak</w:t>
      </w:r>
      <w:r w:rsidRPr="00201A9A">
        <w:rPr>
          <w:noProof/>
        </w:rPr>
        <w:t>resu wsparcia dochodów finansowanymi</w:t>
      </w:r>
      <w:r w:rsidR="00201A9A" w:rsidRPr="00201A9A">
        <w:rPr>
          <w:noProof/>
        </w:rPr>
        <w:t xml:space="preserve"> z Fun</w:t>
      </w:r>
      <w:r w:rsidRPr="00201A9A">
        <w:rPr>
          <w:noProof/>
        </w:rPr>
        <w:t>duszu zgodnie</w:t>
      </w:r>
      <w:r w:rsidR="00201A9A" w:rsidRPr="00201A9A">
        <w:rPr>
          <w:noProof/>
        </w:rPr>
        <w:t xml:space="preserve"> z art</w:t>
      </w:r>
      <w:r w:rsidRPr="00201A9A">
        <w:rPr>
          <w:noProof/>
        </w:rPr>
        <w:t>.</w:t>
      </w:r>
      <w:r w:rsidR="00201A9A" w:rsidRPr="00201A9A">
        <w:rPr>
          <w:noProof/>
        </w:rPr>
        <w:t> </w:t>
      </w:r>
      <w:r w:rsidRPr="00201A9A">
        <w:rPr>
          <w:noProof/>
        </w:rPr>
        <w:t>10 ust.</w:t>
      </w:r>
      <w:r w:rsidR="00201A9A" w:rsidRPr="00201A9A">
        <w:rPr>
          <w:noProof/>
        </w:rPr>
        <w:t> </w:t>
      </w:r>
      <w:r w:rsidRPr="00201A9A">
        <w:rPr>
          <w:noProof/>
        </w:rPr>
        <w:t>2 lit.</w:t>
      </w:r>
      <w:r w:rsidR="00201A9A" w:rsidRPr="00201A9A">
        <w:rPr>
          <w:noProof/>
        </w:rPr>
        <w:t> </w:t>
      </w:r>
      <w:r w:rsidRPr="00201A9A">
        <w:rPr>
          <w:noProof/>
        </w:rPr>
        <w:t xml:space="preserve">a) pkt (ii) [Budżet]. </w:t>
      </w:r>
    </w:p>
    <w:p w14:paraId="46577E3C" w14:textId="1A1A57C3" w:rsidR="001B28E6" w:rsidRPr="00201A9A" w:rsidRDefault="00723C5B" w:rsidP="001B28E6">
      <w:pPr>
        <w:pStyle w:val="Text1"/>
        <w:rPr>
          <w:noProof/>
        </w:rPr>
      </w:pPr>
      <w:r w:rsidRPr="00201A9A">
        <w:rPr>
          <w:noProof/>
        </w:rPr>
        <w:t>Planowana średnia pomoc na hektar</w:t>
      </w:r>
      <w:r w:rsidR="00201A9A" w:rsidRPr="00201A9A">
        <w:rPr>
          <w:noProof/>
        </w:rPr>
        <w:t xml:space="preserve"> w odn</w:t>
      </w:r>
      <w:r w:rsidRPr="00201A9A">
        <w:rPr>
          <w:noProof/>
        </w:rPr>
        <w:t>iesieniu do degresywnego obszarowego wsparcia dochodów,</w:t>
      </w:r>
      <w:r w:rsidR="00201A9A" w:rsidRPr="00201A9A">
        <w:rPr>
          <w:noProof/>
        </w:rPr>
        <w:t xml:space="preserve"> o któ</w:t>
      </w:r>
      <w:r w:rsidRPr="00201A9A">
        <w:rPr>
          <w:noProof/>
        </w:rPr>
        <w:t>rym to wsparciu mowa</w:t>
      </w:r>
      <w:r w:rsidR="00201A9A" w:rsidRPr="00201A9A">
        <w:rPr>
          <w:noProof/>
        </w:rPr>
        <w:t xml:space="preserve"> w aka</w:t>
      </w:r>
      <w:r w:rsidRPr="00201A9A">
        <w:rPr>
          <w:noProof/>
        </w:rPr>
        <w:t>picie pierwszym, wynosi nie mniej niż 130 EUR</w:t>
      </w:r>
      <w:r w:rsidR="00201A9A" w:rsidRPr="00201A9A">
        <w:rPr>
          <w:noProof/>
        </w:rPr>
        <w:t xml:space="preserve"> i nie</w:t>
      </w:r>
      <w:r w:rsidRPr="00201A9A">
        <w:rPr>
          <w:noProof/>
        </w:rPr>
        <w:t xml:space="preserve"> więcej niż 240 EUR dla każdego państwa członkowskiego</w:t>
      </w:r>
      <w:r w:rsidR="00201A9A" w:rsidRPr="00201A9A">
        <w:rPr>
          <w:noProof/>
        </w:rPr>
        <w:t>. W prz</w:t>
      </w:r>
      <w:r w:rsidRPr="00201A9A">
        <w:rPr>
          <w:noProof/>
        </w:rPr>
        <w:t>ypadku bawełny pomoc określono</w:t>
      </w:r>
      <w:r w:rsidR="00201A9A" w:rsidRPr="00201A9A">
        <w:rPr>
          <w:noProof/>
        </w:rPr>
        <w:t xml:space="preserve"> w art</w:t>
      </w:r>
      <w:r w:rsidRPr="00201A9A">
        <w:rPr>
          <w:noProof/>
        </w:rPr>
        <w:t>.</w:t>
      </w:r>
      <w:r w:rsidR="00201A9A" w:rsidRPr="00201A9A">
        <w:rPr>
          <w:noProof/>
        </w:rPr>
        <w:t> </w:t>
      </w:r>
      <w:r w:rsidRPr="00201A9A">
        <w:rPr>
          <w:noProof/>
        </w:rPr>
        <w:t xml:space="preserve">38. </w:t>
      </w:r>
    </w:p>
    <w:p w14:paraId="25929AF1" w14:textId="253984A9" w:rsidR="004D2B6E" w:rsidRPr="00201A9A" w:rsidRDefault="001D0ADB" w:rsidP="003E2902">
      <w:pPr>
        <w:pStyle w:val="NumPar10000000"/>
        <w:numPr>
          <w:ilvl w:val="0"/>
          <w:numId w:val="103"/>
        </w:numPr>
        <w:rPr>
          <w:noProof/>
          <w:szCs w:val="24"/>
        </w:rPr>
      </w:pPr>
      <w:r w:rsidRPr="00201A9A">
        <w:rPr>
          <w:noProof/>
        </w:rPr>
        <w:t>Z zastrzeżeniem zgodności</w:t>
      </w:r>
      <w:r w:rsidR="00201A9A" w:rsidRPr="00201A9A">
        <w:rPr>
          <w:noProof/>
        </w:rPr>
        <w:t xml:space="preserve"> z art</w:t>
      </w:r>
      <w:r w:rsidRPr="00201A9A">
        <w:rPr>
          <w:noProof/>
        </w:rPr>
        <w:t>.</w:t>
      </w:r>
      <w:r w:rsidR="00201A9A" w:rsidRPr="00201A9A">
        <w:rPr>
          <w:noProof/>
        </w:rPr>
        <w:t> </w:t>
      </w:r>
      <w:r w:rsidRPr="00201A9A">
        <w:rPr>
          <w:noProof/>
        </w:rPr>
        <w:t>20 ust.</w:t>
      </w:r>
      <w:r w:rsidR="00201A9A" w:rsidRPr="00201A9A">
        <w:rPr>
          <w:noProof/>
        </w:rPr>
        <w:t> </w:t>
      </w:r>
      <w:r w:rsidRPr="00201A9A">
        <w:rPr>
          <w:noProof/>
        </w:rPr>
        <w:t>4 [wkład krajowy na poczet szacunkowych kosztów] minimalny wkład krajowy na rzecz interwencji,</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lit.</w:t>
      </w:r>
      <w:r w:rsidR="00201A9A" w:rsidRPr="00201A9A">
        <w:rPr>
          <w:noProof/>
        </w:rPr>
        <w:t> </w:t>
      </w:r>
      <w:r w:rsidRPr="00201A9A">
        <w:rPr>
          <w:noProof/>
        </w:rPr>
        <w:t>d)–k), wynosi nie mniej niż 30</w:t>
      </w:r>
      <w:r w:rsidR="00201A9A" w:rsidRPr="00201A9A">
        <w:rPr>
          <w:noProof/>
        </w:rPr>
        <w:t> </w:t>
      </w:r>
      <w:r w:rsidRPr="00201A9A">
        <w:rPr>
          <w:noProof/>
        </w:rPr>
        <w:t>% łącznych szacunkowych kosztów każdej interwencji.</w:t>
      </w:r>
      <w:r w:rsidR="00201A9A" w:rsidRPr="00201A9A">
        <w:rPr>
          <w:noProof/>
        </w:rPr>
        <w:t xml:space="preserve"> </w:t>
      </w:r>
    </w:p>
    <w:p w14:paraId="044ECC8C" w14:textId="65932FD2" w:rsidR="00380A9B" w:rsidRPr="00201A9A" w:rsidRDefault="002D02CB" w:rsidP="008C57CF">
      <w:pPr>
        <w:pStyle w:val="Text1"/>
        <w:rPr>
          <w:noProof/>
          <w:szCs w:val="24"/>
        </w:rPr>
      </w:pPr>
      <w:r w:rsidRPr="00201A9A">
        <w:rPr>
          <w:noProof/>
        </w:rPr>
        <w:t>Maksymalny poziom dofinansowania mający zastosowanie do interwencji,</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pkt</w:t>
      </w:r>
      <w:r w:rsidR="00201A9A" w:rsidRPr="00201A9A">
        <w:rPr>
          <w:noProof/>
        </w:rPr>
        <w:t> </w:t>
      </w:r>
      <w:r w:rsidRPr="00201A9A">
        <w:rPr>
          <w:noProof/>
        </w:rPr>
        <w:t>1 [inwestycje dla rolników], wynosi 75</w:t>
      </w:r>
      <w:r w:rsidR="00201A9A" w:rsidRPr="00201A9A">
        <w:rPr>
          <w:noProof/>
        </w:rPr>
        <w:t> </w:t>
      </w:r>
      <w:r w:rsidRPr="00201A9A">
        <w:rPr>
          <w:noProof/>
        </w:rPr>
        <w:t>% łącznych kosztów kwalifikowalnych każdej interwencji. Natomiast maksymalny poziom dofinansowania mający zastosowanie do interwencji,</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lit.</w:t>
      </w:r>
      <w:r w:rsidR="00201A9A" w:rsidRPr="00201A9A">
        <w:rPr>
          <w:noProof/>
        </w:rPr>
        <w:t> </w:t>
      </w:r>
      <w:r w:rsidRPr="00201A9A">
        <w:rPr>
          <w:noProof/>
        </w:rPr>
        <w:t>i), skierowanych do młodych rolników, wynosi 85</w:t>
      </w:r>
      <w:r w:rsidR="00201A9A" w:rsidRPr="00201A9A">
        <w:rPr>
          <w:noProof/>
        </w:rPr>
        <w:t> </w:t>
      </w:r>
      <w:r w:rsidRPr="00201A9A">
        <w:rPr>
          <w:noProof/>
        </w:rPr>
        <w:t xml:space="preserve">% kwalifikowalnych wydatków publicznych. </w:t>
      </w:r>
    </w:p>
    <w:p w14:paraId="5E09C4CA" w14:textId="2AA336B0" w:rsidR="003B33CE" w:rsidRPr="00201A9A" w:rsidRDefault="003B33CE" w:rsidP="003E2902">
      <w:pPr>
        <w:pStyle w:val="NumPar10000000"/>
        <w:numPr>
          <w:ilvl w:val="0"/>
          <w:numId w:val="103"/>
        </w:numPr>
        <w:rPr>
          <w:noProof/>
        </w:rPr>
      </w:pPr>
      <w:r w:rsidRPr="00201A9A">
        <w:rPr>
          <w:noProof/>
        </w:rPr>
        <w:t>Alokacja finansowa na interwencje</w:t>
      </w:r>
      <w:r w:rsidR="00201A9A" w:rsidRPr="00201A9A">
        <w:rPr>
          <w:noProof/>
        </w:rPr>
        <w:t xml:space="preserve"> z zak</w:t>
      </w:r>
      <w:r w:rsidRPr="00201A9A">
        <w:rPr>
          <w:noProof/>
        </w:rPr>
        <w:t>resu wsparcia dochodów związanych</w:t>
      </w:r>
      <w:r w:rsidR="00201A9A" w:rsidRPr="00201A9A">
        <w:rPr>
          <w:noProof/>
        </w:rPr>
        <w:t xml:space="preserve"> z pro</w:t>
      </w:r>
      <w:r w:rsidRPr="00201A9A">
        <w:rPr>
          <w:noProof/>
        </w:rPr>
        <w:t>dukcją,</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lit.</w:t>
      </w:r>
      <w:r w:rsidR="00201A9A" w:rsidRPr="00201A9A">
        <w:rPr>
          <w:noProof/>
        </w:rPr>
        <w:t> </w:t>
      </w:r>
      <w:r w:rsidRPr="00201A9A">
        <w:rPr>
          <w:noProof/>
        </w:rPr>
        <w:t>b), ograniczona jest maksymalnie do</w:t>
      </w:r>
      <w:r w:rsidR="00201A9A" w:rsidRPr="00201A9A">
        <w:rPr>
          <w:noProof/>
        </w:rPr>
        <w:t> </w:t>
      </w:r>
      <w:r w:rsidRPr="00201A9A">
        <w:rPr>
          <w:noProof/>
        </w:rPr>
        <w:t>20</w:t>
      </w:r>
      <w:r w:rsidR="00201A9A" w:rsidRPr="00201A9A">
        <w:rPr>
          <w:noProof/>
        </w:rPr>
        <w:t> </w:t>
      </w:r>
      <w:r w:rsidRPr="00201A9A">
        <w:rPr>
          <w:noProof/>
        </w:rPr>
        <w:t>% wkładu Unii określonego przez państwo członkowskie</w:t>
      </w:r>
      <w:r w:rsidR="00201A9A" w:rsidRPr="00201A9A">
        <w:rPr>
          <w:noProof/>
        </w:rPr>
        <w:t xml:space="preserve"> w pla</w:t>
      </w:r>
      <w:r w:rsidRPr="00201A9A">
        <w:rPr>
          <w:noProof/>
        </w:rPr>
        <w:t>nie PKR</w:t>
      </w:r>
      <w:r w:rsidR="00201A9A" w:rsidRPr="00201A9A">
        <w:rPr>
          <w:noProof/>
        </w:rPr>
        <w:t xml:space="preserve"> w odn</w:t>
      </w:r>
      <w:r w:rsidRPr="00201A9A">
        <w:rPr>
          <w:noProof/>
        </w:rPr>
        <w:t>iesieniu do interwencji</w:t>
      </w:r>
      <w:r w:rsidR="00201A9A" w:rsidRPr="00201A9A">
        <w:rPr>
          <w:noProof/>
        </w:rPr>
        <w:t xml:space="preserve"> z zak</w:t>
      </w:r>
      <w:r w:rsidRPr="00201A9A">
        <w:rPr>
          <w:noProof/>
        </w:rPr>
        <w:t>resu wsparcia dochodów</w:t>
      </w:r>
      <w:r w:rsidR="00201A9A" w:rsidRPr="00201A9A">
        <w:rPr>
          <w:noProof/>
        </w:rPr>
        <w:t xml:space="preserve"> w ram</w:t>
      </w:r>
      <w:r w:rsidRPr="00201A9A">
        <w:rPr>
          <w:noProof/>
        </w:rPr>
        <w:t>ach WPR,</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lit.</w:t>
      </w:r>
      <w:r w:rsidR="00201A9A" w:rsidRPr="00201A9A">
        <w:rPr>
          <w:noProof/>
        </w:rPr>
        <w:t> </w:t>
      </w:r>
      <w:r w:rsidRPr="00201A9A">
        <w:rPr>
          <w:noProof/>
        </w:rPr>
        <w:t>a), c), f) i g). Tą wartość procentową można zwiększyć maksymalnie</w:t>
      </w:r>
      <w:r w:rsidR="00201A9A" w:rsidRPr="00201A9A">
        <w:rPr>
          <w:noProof/>
        </w:rPr>
        <w:t xml:space="preserve"> o 5</w:t>
      </w:r>
      <w:r w:rsidRPr="00201A9A">
        <w:rPr>
          <w:noProof/>
        </w:rPr>
        <w:t xml:space="preserve"> punktów procentowych, pod warunkiem że kwota odpowiadająca odsetkowi przekraczającemu poziom 20</w:t>
      </w:r>
      <w:r w:rsidR="00201A9A" w:rsidRPr="00201A9A">
        <w:rPr>
          <w:noProof/>
        </w:rPr>
        <w:t> </w:t>
      </w:r>
      <w:r w:rsidRPr="00201A9A">
        <w:rPr>
          <w:noProof/>
        </w:rPr>
        <w:t>% jest przydzielona na wsparcie</w:t>
      </w:r>
      <w:r w:rsidR="00201A9A" w:rsidRPr="00201A9A">
        <w:rPr>
          <w:noProof/>
        </w:rPr>
        <w:t xml:space="preserve"> z tyt</w:t>
      </w:r>
      <w:r w:rsidRPr="00201A9A">
        <w:rPr>
          <w:noProof/>
        </w:rPr>
        <w:t>ułu upraw roślin wysokobiałkowych, pomoc rolnikom łączącym produkcję roślinną</w:t>
      </w:r>
      <w:r w:rsidR="00201A9A" w:rsidRPr="00201A9A">
        <w:rPr>
          <w:noProof/>
        </w:rPr>
        <w:t xml:space="preserve"> i zwi</w:t>
      </w:r>
      <w:r w:rsidRPr="00201A9A">
        <w:rPr>
          <w:noProof/>
        </w:rPr>
        <w:t>erzęcą lub na wsparcie użytków rolnych zagrożonych zaprzestaniem produkcji rolnej,</w:t>
      </w:r>
      <w:r w:rsidR="00201A9A" w:rsidRPr="00201A9A">
        <w:rPr>
          <w:noProof/>
        </w:rPr>
        <w:t xml:space="preserve"> w szc</w:t>
      </w:r>
      <w:r w:rsidRPr="00201A9A">
        <w:rPr>
          <w:noProof/>
        </w:rPr>
        <w:t>zególności we wschodnich regionach przygranicznych, zgodnie</w:t>
      </w:r>
      <w:r w:rsidR="00201A9A" w:rsidRPr="00201A9A">
        <w:rPr>
          <w:noProof/>
        </w:rPr>
        <w:t xml:space="preserve"> z def</w:t>
      </w:r>
      <w:r w:rsidRPr="00201A9A">
        <w:rPr>
          <w:noProof/>
        </w:rPr>
        <w:t>inicjami określonymi</w:t>
      </w:r>
      <w:r w:rsidR="00201A9A" w:rsidRPr="00201A9A">
        <w:rPr>
          <w:noProof/>
        </w:rPr>
        <w:t xml:space="preserve"> w pla</w:t>
      </w:r>
      <w:r w:rsidRPr="00201A9A">
        <w:rPr>
          <w:noProof/>
        </w:rPr>
        <w:t>nach. Do celów niniejszego artykułu wschodnie regiony przygraniczne oznaczają unijne regiony NUTS2 mające granice lądowe lub morskie</w:t>
      </w:r>
      <w:r w:rsidR="00201A9A" w:rsidRPr="00201A9A">
        <w:rPr>
          <w:noProof/>
        </w:rPr>
        <w:t xml:space="preserve"> z Fed</w:t>
      </w:r>
      <w:r w:rsidRPr="00201A9A">
        <w:rPr>
          <w:noProof/>
        </w:rPr>
        <w:t>eracją Rosyjską, Białorusią lub Ukrainą, nieobejmujące całego terytorium danego państwa członkowskiego.</w:t>
      </w:r>
      <w:r w:rsidR="00201A9A" w:rsidRPr="00201A9A">
        <w:rPr>
          <w:noProof/>
        </w:rPr>
        <w:t xml:space="preserve"> </w:t>
      </w:r>
    </w:p>
    <w:p w14:paraId="37CF607C" w14:textId="2066891A" w:rsidR="00AD0CAC" w:rsidRPr="00201A9A" w:rsidRDefault="00AD0CAC" w:rsidP="003E2902">
      <w:pPr>
        <w:pStyle w:val="NumPar10000000"/>
        <w:numPr>
          <w:ilvl w:val="0"/>
          <w:numId w:val="103"/>
        </w:numPr>
        <w:rPr>
          <w:noProof/>
        </w:rPr>
      </w:pPr>
      <w:r w:rsidRPr="00201A9A">
        <w:rPr>
          <w:noProof/>
        </w:rPr>
        <w:t>Minimalny wkład krajowy</w:t>
      </w:r>
      <w:r w:rsidR="00201A9A" w:rsidRPr="00201A9A">
        <w:rPr>
          <w:noProof/>
        </w:rPr>
        <w:t xml:space="preserve"> w łąc</w:t>
      </w:r>
      <w:r w:rsidRPr="00201A9A">
        <w:rPr>
          <w:noProof/>
        </w:rPr>
        <w:t>zne kwalifikowalne wydatki publiczne</w:t>
      </w:r>
      <w:r w:rsidR="00201A9A" w:rsidRPr="00201A9A">
        <w:rPr>
          <w:noProof/>
        </w:rPr>
        <w:t xml:space="preserve"> w ram</w:t>
      </w:r>
      <w:r w:rsidRPr="00201A9A">
        <w:rPr>
          <w:noProof/>
        </w:rPr>
        <w:t>ach interwencji związanych</w:t>
      </w:r>
      <w:r w:rsidR="00201A9A" w:rsidRPr="00201A9A">
        <w:rPr>
          <w:noProof/>
        </w:rPr>
        <w:t xml:space="preserve"> z uni</w:t>
      </w:r>
      <w:r w:rsidRPr="00201A9A">
        <w:rPr>
          <w:noProof/>
        </w:rPr>
        <w:t>jnym programem dla szkół,</w:t>
      </w:r>
      <w:r w:rsidR="00201A9A" w:rsidRPr="00201A9A">
        <w:rPr>
          <w:noProof/>
        </w:rPr>
        <w:t xml:space="preserve"> o któ</w:t>
      </w:r>
      <w:r w:rsidRPr="00201A9A">
        <w:rPr>
          <w:noProof/>
        </w:rPr>
        <w:t>rym mowa</w:t>
      </w:r>
      <w:r w:rsidR="00201A9A" w:rsidRPr="00201A9A">
        <w:rPr>
          <w:noProof/>
        </w:rPr>
        <w:t xml:space="preserve"> w tyt</w:t>
      </w:r>
      <w:r w:rsidRPr="00201A9A">
        <w:rPr>
          <w:noProof/>
        </w:rPr>
        <w:t>ule I część II rozdział IIa rozporządzenia (UE) nr</w:t>
      </w:r>
      <w:r w:rsidR="00201A9A" w:rsidRPr="00201A9A">
        <w:rPr>
          <w:noProof/>
        </w:rPr>
        <w:t> </w:t>
      </w:r>
      <w:r w:rsidRPr="00201A9A">
        <w:rPr>
          <w:noProof/>
        </w:rPr>
        <w:t>1308/2013, wynosi 30</w:t>
      </w:r>
      <w:r w:rsidR="00201A9A" w:rsidRPr="00201A9A">
        <w:rPr>
          <w:noProof/>
        </w:rPr>
        <w:t> </w:t>
      </w:r>
      <w:r w:rsidRPr="00201A9A">
        <w:rPr>
          <w:noProof/>
        </w:rPr>
        <w:t>% łącznych kwalifikowalnych wydatków publicznych</w:t>
      </w:r>
      <w:r w:rsidR="00201A9A" w:rsidRPr="00201A9A">
        <w:rPr>
          <w:noProof/>
        </w:rPr>
        <w:t xml:space="preserve"> w ram</w:t>
      </w:r>
      <w:r w:rsidRPr="00201A9A">
        <w:rPr>
          <w:noProof/>
        </w:rPr>
        <w:t>ach każdej interwencji.</w:t>
      </w:r>
    </w:p>
    <w:p w14:paraId="29B54C7D" w14:textId="3BB5EC66" w:rsidR="00AD0CAC" w:rsidRPr="00201A9A" w:rsidRDefault="00AD0CAC" w:rsidP="008C57CF">
      <w:pPr>
        <w:pStyle w:val="Text1"/>
        <w:rPr>
          <w:noProof/>
        </w:rPr>
      </w:pPr>
      <w:r w:rsidRPr="00201A9A">
        <w:rPr>
          <w:noProof/>
        </w:rPr>
        <w:t>Oprócz unijnej pomocy finansowej</w:t>
      </w:r>
      <w:r w:rsidR="00201A9A" w:rsidRPr="00201A9A">
        <w:rPr>
          <w:noProof/>
        </w:rPr>
        <w:t xml:space="preserve"> i kra</w:t>
      </w:r>
      <w:r w:rsidRPr="00201A9A">
        <w:rPr>
          <w:noProof/>
        </w:rPr>
        <w:t>jowego wkładu</w:t>
      </w:r>
      <w:r w:rsidR="00201A9A" w:rsidRPr="00201A9A">
        <w:rPr>
          <w:noProof/>
        </w:rPr>
        <w:t xml:space="preserve"> w kos</w:t>
      </w:r>
      <w:r w:rsidRPr="00201A9A">
        <w:rPr>
          <w:noProof/>
        </w:rPr>
        <w:t>zty interwencji,</w:t>
      </w:r>
      <w:r w:rsidR="00201A9A" w:rsidRPr="00201A9A">
        <w:rPr>
          <w:noProof/>
        </w:rPr>
        <w:t xml:space="preserve"> o któ</w:t>
      </w:r>
      <w:r w:rsidRPr="00201A9A">
        <w:rPr>
          <w:noProof/>
        </w:rPr>
        <w:t>rych mowa</w:t>
      </w:r>
      <w:r w:rsidR="00201A9A" w:rsidRPr="00201A9A">
        <w:rPr>
          <w:noProof/>
        </w:rPr>
        <w:t xml:space="preserve"> w aka</w:t>
      </w:r>
      <w:r w:rsidRPr="00201A9A">
        <w:rPr>
          <w:noProof/>
        </w:rPr>
        <w:t>picie pierwszym, państwa członkowskie mogą przyznać dodatkowe finansowanie krajowe.</w:t>
      </w:r>
    </w:p>
    <w:p w14:paraId="2B443047" w14:textId="000DB4E3" w:rsidR="00AD0CAC" w:rsidRPr="00201A9A" w:rsidRDefault="00AD0CAC" w:rsidP="008C57CF">
      <w:pPr>
        <w:pStyle w:val="Text1"/>
        <w:rPr>
          <w:noProof/>
        </w:rPr>
      </w:pPr>
      <w:r w:rsidRPr="00201A9A">
        <w:rPr>
          <w:noProof/>
        </w:rPr>
        <w:t>Kwota unijnej pomocy finansowej określona</w:t>
      </w:r>
      <w:r w:rsidR="00201A9A" w:rsidRPr="00201A9A">
        <w:rPr>
          <w:noProof/>
        </w:rPr>
        <w:t xml:space="preserve"> w pla</w:t>
      </w:r>
      <w:r w:rsidRPr="00201A9A">
        <w:rPr>
          <w:noProof/>
        </w:rPr>
        <w:t>nie PKR</w:t>
      </w:r>
      <w:r w:rsidR="00201A9A" w:rsidRPr="00201A9A">
        <w:rPr>
          <w:noProof/>
        </w:rPr>
        <w:t xml:space="preserve"> w odn</w:t>
      </w:r>
      <w:r w:rsidRPr="00201A9A">
        <w:rPr>
          <w:noProof/>
        </w:rPr>
        <w:t>iesieniu do interwencji mających na celu podnoszenie świadomości,</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29 rozporządzenia (UE) nr</w:t>
      </w:r>
      <w:r w:rsidR="00201A9A" w:rsidRPr="00201A9A">
        <w:rPr>
          <w:noProof/>
        </w:rPr>
        <w:t> </w:t>
      </w:r>
      <w:r w:rsidRPr="00201A9A">
        <w:rPr>
          <w:noProof/>
        </w:rPr>
        <w:t>1308/2013, nie przekracza 15</w:t>
      </w:r>
      <w:r w:rsidR="00201A9A" w:rsidRPr="00201A9A">
        <w:rPr>
          <w:noProof/>
        </w:rPr>
        <w:t> </w:t>
      </w:r>
      <w:r w:rsidRPr="00201A9A">
        <w:rPr>
          <w:noProof/>
        </w:rPr>
        <w:t>% łącznej kwoty unijnej pomocy finansowej</w:t>
      </w:r>
      <w:r w:rsidR="00201A9A" w:rsidRPr="00201A9A">
        <w:rPr>
          <w:noProof/>
        </w:rPr>
        <w:t xml:space="preserve"> i wkł</w:t>
      </w:r>
      <w:r w:rsidRPr="00201A9A">
        <w:rPr>
          <w:noProof/>
        </w:rPr>
        <w:t>adu krajowego określonego</w:t>
      </w:r>
      <w:r w:rsidR="00201A9A" w:rsidRPr="00201A9A">
        <w:rPr>
          <w:noProof/>
        </w:rPr>
        <w:t xml:space="preserve"> w pla</w:t>
      </w:r>
      <w:r w:rsidRPr="00201A9A">
        <w:rPr>
          <w:noProof/>
        </w:rPr>
        <w:t>nie PKR</w:t>
      </w:r>
      <w:r w:rsidR="00201A9A" w:rsidRPr="00201A9A">
        <w:rPr>
          <w:noProof/>
        </w:rPr>
        <w:t xml:space="preserve"> w odn</w:t>
      </w:r>
      <w:r w:rsidRPr="00201A9A">
        <w:rPr>
          <w:noProof/>
        </w:rPr>
        <w:t>iesieniu do interwencji związanych</w:t>
      </w:r>
      <w:r w:rsidR="00201A9A" w:rsidRPr="00201A9A">
        <w:rPr>
          <w:noProof/>
        </w:rPr>
        <w:t xml:space="preserve"> z uni</w:t>
      </w:r>
      <w:r w:rsidRPr="00201A9A">
        <w:rPr>
          <w:noProof/>
        </w:rPr>
        <w:t>jnym programem dla szkół,</w:t>
      </w:r>
      <w:r w:rsidR="00201A9A" w:rsidRPr="00201A9A">
        <w:rPr>
          <w:noProof/>
        </w:rPr>
        <w:t xml:space="preserve"> o któ</w:t>
      </w:r>
      <w:r w:rsidRPr="00201A9A">
        <w:rPr>
          <w:noProof/>
        </w:rPr>
        <w:t>rych mowa</w:t>
      </w:r>
      <w:r w:rsidR="00201A9A" w:rsidRPr="00201A9A">
        <w:rPr>
          <w:noProof/>
        </w:rPr>
        <w:t xml:space="preserve"> w aka</w:t>
      </w:r>
      <w:r w:rsidRPr="00201A9A">
        <w:rPr>
          <w:noProof/>
        </w:rPr>
        <w:t>picie pierwszym.</w:t>
      </w:r>
    </w:p>
    <w:p w14:paraId="71FCD79A" w14:textId="188E0C2B" w:rsidR="00AD0CAC" w:rsidRPr="00201A9A" w:rsidRDefault="00AD0CAC" w:rsidP="008C57CF">
      <w:pPr>
        <w:pStyle w:val="Text1"/>
        <w:rPr>
          <w:noProof/>
        </w:rPr>
      </w:pPr>
      <w:r w:rsidRPr="00201A9A">
        <w:rPr>
          <w:noProof/>
        </w:rPr>
        <w:t>Kwota unijnej pomocy finansowej określona</w:t>
      </w:r>
      <w:r w:rsidR="00201A9A" w:rsidRPr="00201A9A">
        <w:rPr>
          <w:noProof/>
        </w:rPr>
        <w:t xml:space="preserve"> w pla</w:t>
      </w:r>
      <w:r w:rsidRPr="00201A9A">
        <w:rPr>
          <w:noProof/>
        </w:rPr>
        <w:t>nie PKR</w:t>
      </w:r>
      <w:r w:rsidR="00201A9A" w:rsidRPr="00201A9A">
        <w:rPr>
          <w:noProof/>
        </w:rPr>
        <w:t xml:space="preserve"> w odn</w:t>
      </w:r>
      <w:r w:rsidRPr="00201A9A">
        <w:rPr>
          <w:noProof/>
        </w:rPr>
        <w:t>iesieniu do dostarczania</w:t>
      </w:r>
      <w:r w:rsidR="00201A9A" w:rsidRPr="00201A9A">
        <w:rPr>
          <w:noProof/>
        </w:rPr>
        <w:t xml:space="preserve"> i dys</w:t>
      </w:r>
      <w:r w:rsidRPr="00201A9A">
        <w:rPr>
          <w:noProof/>
        </w:rPr>
        <w:t>trybucji produktów zawierających wolne cukry lub</w:t>
      </w:r>
      <w:r w:rsidR="00201A9A" w:rsidRPr="00201A9A">
        <w:rPr>
          <w:noProof/>
        </w:rPr>
        <w:t xml:space="preserve"> o zaw</w:t>
      </w:r>
      <w:r w:rsidRPr="00201A9A">
        <w:rPr>
          <w:noProof/>
        </w:rPr>
        <w:t>artości tłuszczu powyżej 4</w:t>
      </w:r>
      <w:r w:rsidR="00201A9A" w:rsidRPr="00201A9A">
        <w:rPr>
          <w:noProof/>
        </w:rPr>
        <w:t> </w:t>
      </w:r>
      <w:r w:rsidRPr="00201A9A">
        <w:rPr>
          <w:noProof/>
        </w:rPr>
        <w:t>% nie przekracza 10</w:t>
      </w:r>
      <w:r w:rsidR="00201A9A" w:rsidRPr="00201A9A">
        <w:rPr>
          <w:noProof/>
        </w:rPr>
        <w:t> </w:t>
      </w:r>
      <w:r w:rsidRPr="00201A9A">
        <w:rPr>
          <w:noProof/>
        </w:rPr>
        <w:t>% łącznej kwoty unijnej pomocy finansowej</w:t>
      </w:r>
      <w:r w:rsidR="00201A9A" w:rsidRPr="00201A9A">
        <w:rPr>
          <w:noProof/>
        </w:rPr>
        <w:t xml:space="preserve"> i wkł</w:t>
      </w:r>
      <w:r w:rsidRPr="00201A9A">
        <w:rPr>
          <w:noProof/>
        </w:rPr>
        <w:t>adu krajowego określonego</w:t>
      </w:r>
      <w:r w:rsidR="00201A9A" w:rsidRPr="00201A9A">
        <w:rPr>
          <w:noProof/>
        </w:rPr>
        <w:t xml:space="preserve"> w pla</w:t>
      </w:r>
      <w:r w:rsidRPr="00201A9A">
        <w:rPr>
          <w:noProof/>
        </w:rPr>
        <w:t>nie PKR</w:t>
      </w:r>
      <w:r w:rsidR="00201A9A" w:rsidRPr="00201A9A">
        <w:rPr>
          <w:noProof/>
        </w:rPr>
        <w:t xml:space="preserve"> w odn</w:t>
      </w:r>
      <w:r w:rsidRPr="00201A9A">
        <w:rPr>
          <w:noProof/>
        </w:rPr>
        <w:t>iesieniu do interwencji,</w:t>
      </w:r>
      <w:r w:rsidR="00201A9A" w:rsidRPr="00201A9A">
        <w:rPr>
          <w:noProof/>
        </w:rPr>
        <w:t xml:space="preserve"> o któ</w:t>
      </w:r>
      <w:r w:rsidRPr="00201A9A">
        <w:rPr>
          <w:noProof/>
        </w:rPr>
        <w:t>rych mowa</w:t>
      </w:r>
      <w:r w:rsidR="00201A9A" w:rsidRPr="00201A9A">
        <w:rPr>
          <w:noProof/>
        </w:rPr>
        <w:t xml:space="preserve"> w aka</w:t>
      </w:r>
      <w:r w:rsidRPr="00201A9A">
        <w:rPr>
          <w:noProof/>
        </w:rPr>
        <w:t>picie pierwszym.</w:t>
      </w:r>
    </w:p>
    <w:p w14:paraId="0BE8178C" w14:textId="5E6D1737" w:rsidR="00AD0CAC" w:rsidRPr="00201A9A" w:rsidRDefault="00DF5E62" w:rsidP="003E2902">
      <w:pPr>
        <w:pStyle w:val="NumPar10000000"/>
        <w:numPr>
          <w:ilvl w:val="0"/>
          <w:numId w:val="103"/>
        </w:numPr>
        <w:rPr>
          <w:noProof/>
        </w:rPr>
      </w:pPr>
      <w:r w:rsidRPr="00201A9A">
        <w:rPr>
          <w:noProof/>
        </w:rPr>
        <w:t>Unijny program dla szkół pozostaje bez uszczerbku dla wszelkich innych odrębnych krajowych programów dla szkół, które są zgodne</w:t>
      </w:r>
      <w:r w:rsidR="00201A9A" w:rsidRPr="00201A9A">
        <w:rPr>
          <w:noProof/>
        </w:rPr>
        <w:t xml:space="preserve"> z prz</w:t>
      </w:r>
      <w:r w:rsidRPr="00201A9A">
        <w:rPr>
          <w:noProof/>
        </w:rPr>
        <w:t>episami Unii. Finansowanie unijne może być wykorzystane do rozszerzenia zakresu lub zwiększenia skuteczności wszelkich istniejących krajowych programów dla szkół lub krajowych programów dystrybucji owoców, warzyw</w:t>
      </w:r>
      <w:r w:rsidR="00201A9A" w:rsidRPr="00201A9A">
        <w:rPr>
          <w:noProof/>
        </w:rPr>
        <w:t xml:space="preserve"> i mle</w:t>
      </w:r>
      <w:r w:rsidRPr="00201A9A">
        <w:rPr>
          <w:noProof/>
        </w:rPr>
        <w:t>ka</w:t>
      </w:r>
      <w:r w:rsidR="00201A9A" w:rsidRPr="00201A9A">
        <w:rPr>
          <w:noProof/>
        </w:rPr>
        <w:t xml:space="preserve"> w pla</w:t>
      </w:r>
      <w:r w:rsidRPr="00201A9A">
        <w:rPr>
          <w:noProof/>
        </w:rPr>
        <w:t>cówkach oświatowych, ale nie może zastępować finansowania takich istniejących programów krajowych,</w:t>
      </w:r>
      <w:r w:rsidR="00201A9A" w:rsidRPr="00201A9A">
        <w:rPr>
          <w:noProof/>
        </w:rPr>
        <w:t xml:space="preserve"> z wyj</w:t>
      </w:r>
      <w:r w:rsidRPr="00201A9A">
        <w:rPr>
          <w:noProof/>
        </w:rPr>
        <w:t>ątkiem bezpłatnej dystrybucji posiłków dla dzieci</w:t>
      </w:r>
      <w:r w:rsidR="00201A9A" w:rsidRPr="00201A9A">
        <w:rPr>
          <w:noProof/>
        </w:rPr>
        <w:t xml:space="preserve"> w pla</w:t>
      </w:r>
      <w:r w:rsidRPr="00201A9A">
        <w:rPr>
          <w:noProof/>
        </w:rPr>
        <w:t>cówkach oświatowych.</w:t>
      </w:r>
    </w:p>
    <w:p w14:paraId="61DC1F36" w14:textId="155DE39E" w:rsidR="008C13C9" w:rsidRPr="00201A9A" w:rsidRDefault="001D0ADB" w:rsidP="003E2902">
      <w:pPr>
        <w:pStyle w:val="NumPar10000000"/>
        <w:numPr>
          <w:ilvl w:val="0"/>
          <w:numId w:val="103"/>
        </w:numPr>
        <w:rPr>
          <w:noProof/>
        </w:rPr>
      </w:pPr>
      <w:r w:rsidRPr="00201A9A">
        <w:rPr>
          <w:noProof/>
        </w:rPr>
        <w:t>Z zastrzeżeniem zgodności</w:t>
      </w:r>
      <w:r w:rsidR="00201A9A" w:rsidRPr="00201A9A">
        <w:rPr>
          <w:noProof/>
        </w:rPr>
        <w:t xml:space="preserve"> z art</w:t>
      </w:r>
      <w:r w:rsidRPr="00201A9A">
        <w:rPr>
          <w:noProof/>
        </w:rPr>
        <w:t>.</w:t>
      </w:r>
      <w:r w:rsidR="00201A9A" w:rsidRPr="00201A9A">
        <w:rPr>
          <w:noProof/>
        </w:rPr>
        <w:t> </w:t>
      </w:r>
      <w:r w:rsidRPr="00201A9A">
        <w:rPr>
          <w:noProof/>
        </w:rPr>
        <w:t>20 ust.</w:t>
      </w:r>
      <w:r w:rsidR="00201A9A" w:rsidRPr="00201A9A">
        <w:rPr>
          <w:noProof/>
        </w:rPr>
        <w:t> </w:t>
      </w:r>
      <w:r w:rsidRPr="00201A9A">
        <w:rPr>
          <w:noProof/>
        </w:rPr>
        <w:t>4 [wkład krajowy na poczet szacunkowych kosztów] minimalny wkład krajowy</w:t>
      </w:r>
      <w:r w:rsidR="00201A9A" w:rsidRPr="00201A9A">
        <w:rPr>
          <w:noProof/>
        </w:rPr>
        <w:t xml:space="preserve"> w kwa</w:t>
      </w:r>
      <w:r w:rsidRPr="00201A9A">
        <w:rPr>
          <w:noProof/>
        </w:rPr>
        <w:t>lifikowalne wydatki publiczne</w:t>
      </w:r>
      <w:r w:rsidR="00201A9A" w:rsidRPr="00201A9A">
        <w:rPr>
          <w:noProof/>
        </w:rPr>
        <w:t xml:space="preserve"> w ram</w:t>
      </w:r>
      <w:r w:rsidRPr="00201A9A">
        <w:rPr>
          <w:noProof/>
        </w:rPr>
        <w:t>ach interwencji</w:t>
      </w:r>
      <w:r w:rsidR="00201A9A" w:rsidRPr="00201A9A">
        <w:rPr>
          <w:noProof/>
        </w:rPr>
        <w:t xml:space="preserve"> w nie</w:t>
      </w:r>
      <w:r w:rsidRPr="00201A9A">
        <w:rPr>
          <w:noProof/>
        </w:rPr>
        <w:t>których sektorach,</w:t>
      </w:r>
      <w:r w:rsidR="00201A9A" w:rsidRPr="00201A9A">
        <w:rPr>
          <w:noProof/>
        </w:rPr>
        <w:t xml:space="preserve"> o któ</w:t>
      </w:r>
      <w:r w:rsidRPr="00201A9A">
        <w:rPr>
          <w:noProof/>
        </w:rPr>
        <w:t>rych mowa</w:t>
      </w:r>
      <w:r w:rsidR="00201A9A" w:rsidRPr="00201A9A">
        <w:rPr>
          <w:noProof/>
        </w:rPr>
        <w:t xml:space="preserve"> w tyt</w:t>
      </w:r>
      <w:r w:rsidRPr="00201A9A">
        <w:rPr>
          <w:noProof/>
        </w:rPr>
        <w:t>ule I część II rozdział IIa rozporządzenia (UE) nr</w:t>
      </w:r>
      <w:r w:rsidR="00201A9A" w:rsidRPr="00201A9A">
        <w:rPr>
          <w:noProof/>
        </w:rPr>
        <w:t> </w:t>
      </w:r>
      <w:r w:rsidRPr="00201A9A">
        <w:rPr>
          <w:noProof/>
        </w:rPr>
        <w:t>1308/2013, wynosi 30</w:t>
      </w:r>
      <w:r w:rsidR="00201A9A" w:rsidRPr="00201A9A">
        <w:rPr>
          <w:noProof/>
        </w:rPr>
        <w:t> </w:t>
      </w:r>
      <w:r w:rsidRPr="00201A9A">
        <w:rPr>
          <w:noProof/>
        </w:rPr>
        <w:t>% kwalifikowalnych wydatków publicznych</w:t>
      </w:r>
      <w:r w:rsidR="00201A9A" w:rsidRPr="00201A9A">
        <w:rPr>
          <w:noProof/>
        </w:rPr>
        <w:t xml:space="preserve"> w ram</w:t>
      </w:r>
      <w:r w:rsidRPr="00201A9A">
        <w:rPr>
          <w:noProof/>
        </w:rPr>
        <w:t>ach każdej interwencji.</w:t>
      </w:r>
    </w:p>
    <w:p w14:paraId="54A65426" w14:textId="1EAE27EF" w:rsidR="008C13C9" w:rsidRPr="00201A9A" w:rsidRDefault="008C13C9" w:rsidP="008C57CF">
      <w:pPr>
        <w:pStyle w:val="Text1"/>
        <w:rPr>
          <w:noProof/>
        </w:rPr>
      </w:pPr>
      <w:r w:rsidRPr="00201A9A">
        <w:rPr>
          <w:noProof/>
        </w:rPr>
        <w:t>Maksymalny poziom dofinansowania mający zastosowanie do tych interwencji wynosi 75</w:t>
      </w:r>
      <w:r w:rsidR="00201A9A" w:rsidRPr="00201A9A">
        <w:rPr>
          <w:noProof/>
        </w:rPr>
        <w:t> </w:t>
      </w:r>
      <w:r w:rsidRPr="00201A9A">
        <w:rPr>
          <w:noProof/>
        </w:rPr>
        <w:t>% łącznych kosztów kwalifikowalnych każdej interwencji.</w:t>
      </w:r>
    </w:p>
    <w:p w14:paraId="0BF72779" w14:textId="595A3251" w:rsidR="008C13C9" w:rsidRPr="00201A9A" w:rsidRDefault="008C13C9" w:rsidP="008C57CF">
      <w:pPr>
        <w:pStyle w:val="Text1"/>
        <w:rPr>
          <w:noProof/>
        </w:rPr>
      </w:pPr>
      <w:r w:rsidRPr="00201A9A">
        <w:rPr>
          <w:noProof/>
        </w:rPr>
        <w:t>Na zasadzie odstępstwa od akapitów pierwszego</w:t>
      </w:r>
      <w:r w:rsidR="00201A9A" w:rsidRPr="00201A9A">
        <w:rPr>
          <w:noProof/>
        </w:rPr>
        <w:t xml:space="preserve"> i dru</w:t>
      </w:r>
      <w:r w:rsidRPr="00201A9A">
        <w:rPr>
          <w:noProof/>
        </w:rPr>
        <w:t>giego minimalny wkład krajowy</w:t>
      </w:r>
      <w:r w:rsidR="00201A9A" w:rsidRPr="00201A9A">
        <w:rPr>
          <w:noProof/>
        </w:rPr>
        <w:t xml:space="preserve"> w kwa</w:t>
      </w:r>
      <w:r w:rsidRPr="00201A9A">
        <w:rPr>
          <w:noProof/>
        </w:rPr>
        <w:t>lifikowalne wydatki publiczne</w:t>
      </w:r>
      <w:r w:rsidR="00201A9A" w:rsidRPr="00201A9A">
        <w:rPr>
          <w:noProof/>
        </w:rPr>
        <w:t xml:space="preserve"> w ram</w:t>
      </w:r>
      <w:r w:rsidRPr="00201A9A">
        <w:rPr>
          <w:noProof/>
        </w:rPr>
        <w:t>ach interwencji</w:t>
      </w:r>
      <w:r w:rsidR="00201A9A" w:rsidRPr="00201A9A">
        <w:rPr>
          <w:noProof/>
        </w:rPr>
        <w:t xml:space="preserve"> w sek</w:t>
      </w:r>
      <w:r w:rsidRPr="00201A9A">
        <w:rPr>
          <w:noProof/>
        </w:rPr>
        <w:t>torze pszczelarskim realizowanych przez beneficjentów innych niż organizacje producentów, zrzeszenia organizacji producentów lub zarejestrowane grupy producentów jest co najmniej równy unijnej pomocy finansowej przyznanej na te interwencje.</w:t>
      </w:r>
    </w:p>
    <w:p w14:paraId="23B2157D" w14:textId="419F5F5C" w:rsidR="008C13C9" w:rsidRPr="00201A9A" w:rsidRDefault="008C13C9" w:rsidP="008C57CF">
      <w:pPr>
        <w:pStyle w:val="Text1"/>
        <w:rPr>
          <w:noProof/>
        </w:rPr>
      </w:pPr>
      <w:r w:rsidRPr="00201A9A">
        <w:rPr>
          <w:noProof/>
        </w:rPr>
        <w:t>Na zasadzie odstępstwa od akapitu drugiego państwa członkowskie mogą podjąć decyzję</w:t>
      </w:r>
      <w:r w:rsidR="00201A9A" w:rsidRPr="00201A9A">
        <w:rPr>
          <w:noProof/>
        </w:rPr>
        <w:t xml:space="preserve"> o zwi</w:t>
      </w:r>
      <w:r w:rsidRPr="00201A9A">
        <w:rPr>
          <w:noProof/>
        </w:rPr>
        <w:t>ększeniu maksymalnego poziomu dofinansowania do maksymalnie 95</w:t>
      </w:r>
      <w:r w:rsidR="00201A9A" w:rsidRPr="00201A9A">
        <w:rPr>
          <w:noProof/>
        </w:rPr>
        <w:t> </w:t>
      </w:r>
      <w:r w:rsidRPr="00201A9A">
        <w:rPr>
          <w:noProof/>
        </w:rPr>
        <w:t>% łącznych kosztów kwalifikowalnych każdej interwencji</w:t>
      </w:r>
      <w:r w:rsidR="00201A9A" w:rsidRPr="00201A9A">
        <w:rPr>
          <w:noProof/>
        </w:rPr>
        <w:t xml:space="preserve"> w odn</w:t>
      </w:r>
      <w:r w:rsidRPr="00201A9A">
        <w:rPr>
          <w:noProof/>
        </w:rPr>
        <w:t>iesieniu do interwencji związanych</w:t>
      </w:r>
      <w:r w:rsidR="00201A9A" w:rsidRPr="00201A9A">
        <w:rPr>
          <w:noProof/>
        </w:rPr>
        <w:t xml:space="preserve"> z wym</w:t>
      </w:r>
      <w:r w:rsidRPr="00201A9A">
        <w:rPr>
          <w:noProof/>
        </w:rPr>
        <w:t>ianą pokoleń, badaniami naukowymi</w:t>
      </w:r>
      <w:r w:rsidR="00201A9A" w:rsidRPr="00201A9A">
        <w:rPr>
          <w:noProof/>
        </w:rPr>
        <w:t xml:space="preserve"> i inn</w:t>
      </w:r>
      <w:r w:rsidRPr="00201A9A">
        <w:rPr>
          <w:noProof/>
        </w:rPr>
        <w:t>owacjami, zarządzaniem ryzykiem lub środowiskiem</w:t>
      </w:r>
      <w:r w:rsidR="00201A9A" w:rsidRPr="00201A9A">
        <w:rPr>
          <w:noProof/>
        </w:rPr>
        <w:t xml:space="preserve"> i kli</w:t>
      </w:r>
      <w:r w:rsidRPr="00201A9A">
        <w:rPr>
          <w:noProof/>
        </w:rPr>
        <w:t>matem oraz</w:t>
      </w:r>
      <w:r w:rsidR="00201A9A" w:rsidRPr="00201A9A">
        <w:rPr>
          <w:noProof/>
        </w:rPr>
        <w:t xml:space="preserve"> w odn</w:t>
      </w:r>
      <w:r w:rsidRPr="00201A9A">
        <w:rPr>
          <w:noProof/>
        </w:rPr>
        <w:t>iesieniu do organizacji producentów wdrażających po raz pierwszy programy operacyjne.</w:t>
      </w:r>
    </w:p>
    <w:p w14:paraId="01EF2FA9" w14:textId="7C3109C1" w:rsidR="008C13C9" w:rsidRPr="00201A9A" w:rsidRDefault="008C13C9" w:rsidP="008C57CF">
      <w:pPr>
        <w:pStyle w:val="Text1"/>
        <w:rPr>
          <w:noProof/>
        </w:rPr>
      </w:pPr>
      <w:r w:rsidRPr="00201A9A">
        <w:rPr>
          <w:noProof/>
        </w:rPr>
        <w:t>Na zasadzie odstępstwa od akapitu drugiego państwa członkowskie mogą również podjąć decyzję</w:t>
      </w:r>
      <w:r w:rsidR="00201A9A" w:rsidRPr="00201A9A">
        <w:rPr>
          <w:noProof/>
        </w:rPr>
        <w:t xml:space="preserve"> o zre</w:t>
      </w:r>
      <w:r w:rsidRPr="00201A9A">
        <w:rPr>
          <w:noProof/>
        </w:rPr>
        <w:t>kompensowaniu producentom utraty dochodów spowodowanej wdrażaniem interwencji,</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31 lit.</w:t>
      </w:r>
      <w:r w:rsidR="00201A9A" w:rsidRPr="00201A9A">
        <w:rPr>
          <w:noProof/>
        </w:rPr>
        <w:t> </w:t>
      </w:r>
      <w:r w:rsidRPr="00201A9A">
        <w:rPr>
          <w:noProof/>
        </w:rPr>
        <w:t>n) rozporządzenia (UE) nr</w:t>
      </w:r>
      <w:r w:rsidR="00201A9A" w:rsidRPr="00201A9A">
        <w:rPr>
          <w:noProof/>
        </w:rPr>
        <w:t> </w:t>
      </w:r>
      <w:r w:rsidRPr="00201A9A">
        <w:rPr>
          <w:noProof/>
        </w:rPr>
        <w:t>1308/2013, poprzez pokrycie do</w:t>
      </w:r>
      <w:r w:rsidR="00201A9A" w:rsidRPr="00201A9A">
        <w:rPr>
          <w:noProof/>
        </w:rPr>
        <w:t> </w:t>
      </w:r>
      <w:r w:rsidRPr="00201A9A">
        <w:rPr>
          <w:noProof/>
        </w:rPr>
        <w:t>100</w:t>
      </w:r>
      <w:r w:rsidR="00201A9A" w:rsidRPr="00201A9A">
        <w:rPr>
          <w:noProof/>
        </w:rPr>
        <w:t> </w:t>
      </w:r>
      <w:r w:rsidRPr="00201A9A">
        <w:rPr>
          <w:noProof/>
        </w:rPr>
        <w:t>% odnośnej utraty przez okres maksymalnie trzech lat.</w:t>
      </w:r>
    </w:p>
    <w:p w14:paraId="5004124D" w14:textId="04C70194" w:rsidR="008C13C9" w:rsidRPr="00201A9A" w:rsidRDefault="008C13C9" w:rsidP="008C57CF">
      <w:pPr>
        <w:pStyle w:val="Text1"/>
        <w:rPr>
          <w:noProof/>
        </w:rPr>
      </w:pPr>
      <w:r w:rsidRPr="00201A9A">
        <w:rPr>
          <w:noProof/>
        </w:rPr>
        <w:t>Na zasadzie odstępstwa od akapitu drugiego państwa członkowskie mogą podjąć decyzję</w:t>
      </w:r>
      <w:r w:rsidR="00201A9A" w:rsidRPr="00201A9A">
        <w:rPr>
          <w:noProof/>
        </w:rPr>
        <w:t xml:space="preserve"> o zwi</w:t>
      </w:r>
      <w:r w:rsidRPr="00201A9A">
        <w:rPr>
          <w:noProof/>
        </w:rPr>
        <w:t>ększeniu maksymalnego poziomu dofinansowania interwencji dotyczących wycofania</w:t>
      </w:r>
      <w:r w:rsidR="00201A9A" w:rsidRPr="00201A9A">
        <w:rPr>
          <w:noProof/>
        </w:rPr>
        <w:t xml:space="preserve"> z ryn</w:t>
      </w:r>
      <w:r w:rsidRPr="00201A9A">
        <w:rPr>
          <w:noProof/>
        </w:rPr>
        <w:t>ku</w:t>
      </w:r>
      <w:r w:rsidR="00201A9A" w:rsidRPr="00201A9A">
        <w:rPr>
          <w:noProof/>
        </w:rPr>
        <w:t xml:space="preserve"> w cel</w:t>
      </w:r>
      <w:r w:rsidRPr="00201A9A">
        <w:rPr>
          <w:noProof/>
        </w:rPr>
        <w:t>u bezpłatnej dystrybucji do</w:t>
      </w:r>
      <w:r w:rsidR="00201A9A" w:rsidRPr="00201A9A">
        <w:rPr>
          <w:noProof/>
        </w:rPr>
        <w:t> </w:t>
      </w:r>
      <w:r w:rsidRPr="00201A9A">
        <w:rPr>
          <w:noProof/>
        </w:rPr>
        <w:t>100</w:t>
      </w:r>
      <w:r w:rsidR="00201A9A" w:rsidRPr="00201A9A">
        <w:rPr>
          <w:noProof/>
        </w:rPr>
        <w:t> </w:t>
      </w:r>
      <w:r w:rsidRPr="00201A9A">
        <w:rPr>
          <w:noProof/>
        </w:rPr>
        <w:t>%</w:t>
      </w:r>
      <w:r w:rsidR="00201A9A" w:rsidRPr="00201A9A">
        <w:rPr>
          <w:noProof/>
        </w:rPr>
        <w:t xml:space="preserve"> w prz</w:t>
      </w:r>
      <w:r w:rsidRPr="00201A9A">
        <w:rPr>
          <w:noProof/>
        </w:rPr>
        <w:t>ypadku wycofania</w:t>
      </w:r>
      <w:r w:rsidR="00201A9A" w:rsidRPr="00201A9A">
        <w:rPr>
          <w:noProof/>
        </w:rPr>
        <w:t xml:space="preserve"> z ryn</w:t>
      </w:r>
      <w:r w:rsidRPr="00201A9A">
        <w:rPr>
          <w:noProof/>
        </w:rPr>
        <w:t>ku, które nie przekracza 5</w:t>
      </w:r>
      <w:r w:rsidR="00201A9A" w:rsidRPr="00201A9A">
        <w:rPr>
          <w:noProof/>
        </w:rPr>
        <w:t> </w:t>
      </w:r>
      <w:r w:rsidRPr="00201A9A">
        <w:rPr>
          <w:noProof/>
        </w:rPr>
        <w:t>% wielkości produkcji sprzedanej przez organizację producentów. Wielkość produkcji oblicza się jako średnią całkowitej ilości produktów,</w:t>
      </w:r>
      <w:r w:rsidR="00201A9A" w:rsidRPr="00201A9A">
        <w:rPr>
          <w:noProof/>
        </w:rPr>
        <w:t xml:space="preserve"> w odn</w:t>
      </w:r>
      <w:r w:rsidRPr="00201A9A">
        <w:rPr>
          <w:noProof/>
        </w:rPr>
        <w:t>iesieniu do których uznano organizację producentów,</w:t>
      </w:r>
      <w:r w:rsidR="00201A9A" w:rsidRPr="00201A9A">
        <w:rPr>
          <w:noProof/>
        </w:rPr>
        <w:t xml:space="preserve"> i wpr</w:t>
      </w:r>
      <w:r w:rsidRPr="00201A9A">
        <w:rPr>
          <w:noProof/>
        </w:rPr>
        <w:t>owadzonych do obrotu przez organizację producentów</w:t>
      </w:r>
      <w:r w:rsidR="00201A9A" w:rsidRPr="00201A9A">
        <w:rPr>
          <w:noProof/>
        </w:rPr>
        <w:t xml:space="preserve"> w cią</w:t>
      </w:r>
      <w:r w:rsidRPr="00201A9A">
        <w:rPr>
          <w:noProof/>
        </w:rPr>
        <w:t>gu trzech poprzednich lat. Państwa członkowskie zapewniają, aby rekompensata przyznana za wycofanie</w:t>
      </w:r>
      <w:r w:rsidR="00201A9A" w:rsidRPr="00201A9A">
        <w:rPr>
          <w:noProof/>
        </w:rPr>
        <w:t xml:space="preserve"> z ryn</w:t>
      </w:r>
      <w:r w:rsidRPr="00201A9A">
        <w:rPr>
          <w:noProof/>
        </w:rPr>
        <w:t>ku nie przekraczała ceny rynkowej wycofanych produktów.</w:t>
      </w:r>
    </w:p>
    <w:p w14:paraId="473EFEBF" w14:textId="1AFC6B46" w:rsidR="008C13C9" w:rsidRPr="00201A9A" w:rsidRDefault="008C13C9" w:rsidP="003E2902">
      <w:pPr>
        <w:pStyle w:val="NumPar10000000"/>
        <w:numPr>
          <w:ilvl w:val="0"/>
          <w:numId w:val="103"/>
        </w:numPr>
        <w:rPr>
          <w:noProof/>
        </w:rPr>
      </w:pPr>
      <w:r w:rsidRPr="00201A9A">
        <w:rPr>
          <w:noProof/>
        </w:rPr>
        <w:t>Z zastrzeżeniem zgodności</w:t>
      </w:r>
      <w:r w:rsidR="00201A9A" w:rsidRPr="00201A9A">
        <w:rPr>
          <w:noProof/>
        </w:rPr>
        <w:t xml:space="preserve"> z art</w:t>
      </w:r>
      <w:r w:rsidRPr="00201A9A">
        <w:rPr>
          <w:noProof/>
        </w:rPr>
        <w:t>.</w:t>
      </w:r>
      <w:r w:rsidR="00201A9A" w:rsidRPr="00201A9A">
        <w:rPr>
          <w:noProof/>
        </w:rPr>
        <w:t> </w:t>
      </w:r>
      <w:r w:rsidRPr="00201A9A">
        <w:rPr>
          <w:noProof/>
        </w:rPr>
        <w:t>20 ust.</w:t>
      </w:r>
      <w:r w:rsidR="00201A9A" w:rsidRPr="00201A9A">
        <w:rPr>
          <w:noProof/>
        </w:rPr>
        <w:t> </w:t>
      </w:r>
      <w:r w:rsidRPr="00201A9A">
        <w:rPr>
          <w:noProof/>
        </w:rPr>
        <w:t>4 unijna pomoc finansowa, która ma zostać przyznana uznanym organizacjom producentów, zrzeszeniom organizacji producentów lub zarejestrowanym grupom producentów wdrażającym interwencje</w:t>
      </w:r>
      <w:r w:rsidR="00201A9A" w:rsidRPr="00201A9A">
        <w:rPr>
          <w:noProof/>
        </w:rPr>
        <w:t xml:space="preserve"> w nie</w:t>
      </w:r>
      <w:r w:rsidRPr="00201A9A">
        <w:rPr>
          <w:noProof/>
        </w:rPr>
        <w:t>których sektorach,</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31 rozporządzenia (UE) nr</w:t>
      </w:r>
      <w:r w:rsidR="00201A9A" w:rsidRPr="00201A9A">
        <w:rPr>
          <w:noProof/>
        </w:rPr>
        <w:t> </w:t>
      </w:r>
      <w:r w:rsidRPr="00201A9A">
        <w:rPr>
          <w:noProof/>
        </w:rPr>
        <w:t>1308/2013, jest ograniczona do:</w:t>
      </w:r>
    </w:p>
    <w:p w14:paraId="56BFD002" w14:textId="78635AB6" w:rsidR="008C13C9" w:rsidRPr="00201A9A" w:rsidRDefault="00201A9A" w:rsidP="00201A9A">
      <w:pPr>
        <w:pStyle w:val="Point2"/>
        <w:rPr>
          <w:noProof/>
        </w:rPr>
      </w:pPr>
      <w:r w:rsidRPr="00201A9A">
        <w:rPr>
          <w:noProof/>
        </w:rPr>
        <w:t>a)</w:t>
      </w:r>
      <w:r w:rsidRPr="00201A9A">
        <w:rPr>
          <w:noProof/>
        </w:rPr>
        <w:tab/>
      </w:r>
      <w:r w:rsidR="008C13C9" w:rsidRPr="00201A9A">
        <w:rPr>
          <w:noProof/>
        </w:rPr>
        <w:t>4,1 % wartości produkcji sprzedanej przez każdą organizację producentów;</w:t>
      </w:r>
    </w:p>
    <w:p w14:paraId="179BC8C7" w14:textId="6A89B643" w:rsidR="008C13C9" w:rsidRPr="00201A9A" w:rsidRDefault="00201A9A" w:rsidP="00201A9A">
      <w:pPr>
        <w:pStyle w:val="Point2"/>
        <w:rPr>
          <w:noProof/>
        </w:rPr>
      </w:pPr>
      <w:r w:rsidRPr="00201A9A">
        <w:rPr>
          <w:noProof/>
        </w:rPr>
        <w:t>b)</w:t>
      </w:r>
      <w:r w:rsidRPr="00201A9A">
        <w:rPr>
          <w:noProof/>
        </w:rPr>
        <w:tab/>
      </w:r>
      <w:r w:rsidR="008C13C9" w:rsidRPr="00201A9A">
        <w:rPr>
          <w:noProof/>
        </w:rPr>
        <w:t>4,5 % wartości produkcji sprzedanej przez każde zrzeszenie organizacji producentów;</w:t>
      </w:r>
    </w:p>
    <w:p w14:paraId="4E722AEC" w14:textId="427ECD0E" w:rsidR="008C13C9" w:rsidRPr="00201A9A" w:rsidRDefault="00201A9A" w:rsidP="00201A9A">
      <w:pPr>
        <w:pStyle w:val="Point2"/>
        <w:rPr>
          <w:noProof/>
        </w:rPr>
      </w:pPr>
      <w:r w:rsidRPr="00201A9A">
        <w:rPr>
          <w:noProof/>
        </w:rPr>
        <w:t>c)</w:t>
      </w:r>
      <w:r w:rsidRPr="00201A9A">
        <w:rPr>
          <w:noProof/>
        </w:rPr>
        <w:tab/>
      </w:r>
      <w:r w:rsidR="008C13C9" w:rsidRPr="00201A9A">
        <w:rPr>
          <w:noProof/>
        </w:rPr>
        <w:t>5 % wartości produkcji sprzedanej przez każdą międzynarodową organizację producentów lub przez każde międzynarodowe zrzeszenie organizacji producentów.</w:t>
      </w:r>
    </w:p>
    <w:p w14:paraId="0CE57528" w14:textId="7DC5BA5D" w:rsidR="008C13C9" w:rsidRPr="00201A9A" w:rsidRDefault="008C13C9" w:rsidP="008C57CF">
      <w:pPr>
        <w:pStyle w:val="Text1"/>
        <w:rPr>
          <w:noProof/>
        </w:rPr>
      </w:pPr>
      <w:r w:rsidRPr="00201A9A">
        <w:rPr>
          <w:noProof/>
        </w:rPr>
        <w:t>Limity te mogą zostać podwyższone</w:t>
      </w:r>
      <w:r w:rsidR="00201A9A" w:rsidRPr="00201A9A">
        <w:rPr>
          <w:noProof/>
        </w:rPr>
        <w:t xml:space="preserve"> o 0</w:t>
      </w:r>
      <w:r w:rsidRPr="00201A9A">
        <w:rPr>
          <w:noProof/>
        </w:rPr>
        <w:t>,5 punktu procentowego, jeżeli program operacyjny obejmuje co najmniej jedną interwencję związaną</w:t>
      </w:r>
      <w:r w:rsidR="00201A9A" w:rsidRPr="00201A9A">
        <w:rPr>
          <w:noProof/>
        </w:rPr>
        <w:t xml:space="preserve"> z wym</w:t>
      </w:r>
      <w:r w:rsidRPr="00201A9A">
        <w:rPr>
          <w:noProof/>
        </w:rPr>
        <w:t>ianą pokoleń, badaniami naukowymi</w:t>
      </w:r>
      <w:r w:rsidR="00201A9A" w:rsidRPr="00201A9A">
        <w:rPr>
          <w:noProof/>
        </w:rPr>
        <w:t xml:space="preserve"> i inn</w:t>
      </w:r>
      <w:r w:rsidRPr="00201A9A">
        <w:rPr>
          <w:noProof/>
        </w:rPr>
        <w:t>owacjami, zarządzaniem ryzykiem lub środowiskiem</w:t>
      </w:r>
      <w:r w:rsidR="00201A9A" w:rsidRPr="00201A9A">
        <w:rPr>
          <w:noProof/>
        </w:rPr>
        <w:t xml:space="preserve"> i kli</w:t>
      </w:r>
      <w:r w:rsidRPr="00201A9A">
        <w:rPr>
          <w:noProof/>
        </w:rPr>
        <w:t>matem,</w:t>
      </w:r>
      <w:r w:rsidR="00201A9A" w:rsidRPr="00201A9A">
        <w:rPr>
          <w:noProof/>
        </w:rPr>
        <w:t xml:space="preserve"> o ile</w:t>
      </w:r>
      <w:r w:rsidRPr="00201A9A">
        <w:rPr>
          <w:noProof/>
        </w:rPr>
        <w:t xml:space="preserve"> kwota przekraczająca odpowiedni odsetek określony</w:t>
      </w:r>
      <w:r w:rsidR="00201A9A" w:rsidRPr="00201A9A">
        <w:rPr>
          <w:noProof/>
        </w:rPr>
        <w:t xml:space="preserve"> w aka</w:t>
      </w:r>
      <w:r w:rsidRPr="00201A9A">
        <w:rPr>
          <w:noProof/>
        </w:rPr>
        <w:t>picie pierwszym lit.</w:t>
      </w:r>
      <w:r w:rsidR="00201A9A" w:rsidRPr="00201A9A">
        <w:rPr>
          <w:noProof/>
        </w:rPr>
        <w:t> </w:t>
      </w:r>
      <w:r w:rsidRPr="00201A9A">
        <w:rPr>
          <w:noProof/>
        </w:rPr>
        <w:t>a), b) lub c) jest wykorzystywana wyłącznie do finansowania wydatków związanych</w:t>
      </w:r>
      <w:r w:rsidR="00201A9A" w:rsidRPr="00201A9A">
        <w:rPr>
          <w:noProof/>
        </w:rPr>
        <w:t xml:space="preserve"> z wdr</w:t>
      </w:r>
      <w:r w:rsidRPr="00201A9A">
        <w:rPr>
          <w:noProof/>
        </w:rPr>
        <w:t>ażaniem tych interwencji.</w:t>
      </w:r>
    </w:p>
    <w:p w14:paraId="59CC35B4" w14:textId="3A7DE115" w:rsidR="008C13C9" w:rsidRPr="00201A9A" w:rsidRDefault="008C13C9" w:rsidP="008C57CF">
      <w:pPr>
        <w:pStyle w:val="Text1"/>
        <w:rPr>
          <w:noProof/>
        </w:rPr>
      </w:pPr>
      <w:r w:rsidRPr="00201A9A">
        <w:rPr>
          <w:noProof/>
        </w:rPr>
        <w:t>Państwa członkowskie ustanawiają</w:t>
      </w:r>
      <w:r w:rsidR="00201A9A" w:rsidRPr="00201A9A">
        <w:rPr>
          <w:noProof/>
        </w:rPr>
        <w:t xml:space="preserve"> w swo</w:t>
      </w:r>
      <w:r w:rsidRPr="00201A9A">
        <w:rPr>
          <w:noProof/>
        </w:rPr>
        <w:t>ich planach PKR zasady dotyczące obliczania wsparcia na destylację produktów ubocznych produkcji wina,</w:t>
      </w:r>
      <w:r w:rsidR="00201A9A" w:rsidRPr="00201A9A">
        <w:rPr>
          <w:noProof/>
        </w:rPr>
        <w:t xml:space="preserve"> z zap</w:t>
      </w:r>
      <w:r w:rsidRPr="00201A9A">
        <w:rPr>
          <w:noProof/>
        </w:rPr>
        <w:t>ewnieniem godziwej rekompensaty zarówno destylarniom, jak</w:t>
      </w:r>
      <w:r w:rsidR="00201A9A" w:rsidRPr="00201A9A">
        <w:rPr>
          <w:noProof/>
        </w:rPr>
        <w:t xml:space="preserve"> i pro</w:t>
      </w:r>
      <w:r w:rsidRPr="00201A9A">
        <w:rPr>
          <w:noProof/>
        </w:rPr>
        <w:t>ducentom wina.</w:t>
      </w:r>
    </w:p>
    <w:p w14:paraId="0A3520BF" w14:textId="3415561D" w:rsidR="008C13C9" w:rsidRPr="00201A9A" w:rsidRDefault="008C13C9" w:rsidP="008C57CF">
      <w:pPr>
        <w:pStyle w:val="Text1"/>
        <w:rPr>
          <w:noProof/>
        </w:rPr>
      </w:pPr>
      <w:r w:rsidRPr="00201A9A">
        <w:rPr>
          <w:noProof/>
        </w:rPr>
        <w:t>Jeżeli państwa członkowskie ustanowią</w:t>
      </w:r>
      <w:r w:rsidR="00201A9A" w:rsidRPr="00201A9A">
        <w:rPr>
          <w:noProof/>
        </w:rPr>
        <w:t xml:space="preserve"> w swo</w:t>
      </w:r>
      <w:r w:rsidRPr="00201A9A">
        <w:rPr>
          <w:noProof/>
        </w:rPr>
        <w:t>ich planach PKR, że podmioty,</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32 ust.</w:t>
      </w:r>
      <w:r w:rsidR="00201A9A" w:rsidRPr="00201A9A">
        <w:rPr>
          <w:noProof/>
        </w:rPr>
        <w:t> </w:t>
      </w:r>
      <w:r w:rsidRPr="00201A9A">
        <w:rPr>
          <w:noProof/>
        </w:rPr>
        <w:t>3 rozporządzenia (UE) nr</w:t>
      </w:r>
      <w:r w:rsidR="00201A9A" w:rsidRPr="00201A9A">
        <w:rPr>
          <w:noProof/>
        </w:rPr>
        <w:t> </w:t>
      </w:r>
      <w:r w:rsidRPr="00201A9A">
        <w:rPr>
          <w:noProof/>
        </w:rPr>
        <w:t>1308/2013, mogą być beneficjentami interwencji</w:t>
      </w:r>
      <w:r w:rsidR="00201A9A" w:rsidRPr="00201A9A">
        <w:rPr>
          <w:noProof/>
        </w:rPr>
        <w:t xml:space="preserve"> w nie</w:t>
      </w:r>
      <w:r w:rsidRPr="00201A9A">
        <w:rPr>
          <w:noProof/>
        </w:rPr>
        <w:t>których sektorach,</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31 tego rozporządzenia, państwa członkowskie zapewniają również wsparcie na rzecz tworzenia organizacji producentów zgodnie</w:t>
      </w:r>
      <w:r w:rsidR="00201A9A" w:rsidRPr="00201A9A">
        <w:rPr>
          <w:noProof/>
        </w:rPr>
        <w:t xml:space="preserve"> z art</w:t>
      </w:r>
      <w:r w:rsidRPr="00201A9A">
        <w:rPr>
          <w:noProof/>
        </w:rPr>
        <w:t>.</w:t>
      </w:r>
      <w:r w:rsidR="00201A9A" w:rsidRPr="00201A9A">
        <w:rPr>
          <w:noProof/>
        </w:rPr>
        <w:t> </w:t>
      </w:r>
      <w:r w:rsidRPr="00201A9A">
        <w:rPr>
          <w:noProof/>
        </w:rPr>
        <w:t>74 [współpraca] oprócz wsparcia udzielanego na wdrażanie interwencji.</w:t>
      </w:r>
    </w:p>
    <w:p w14:paraId="3335F782" w14:textId="40AF9088" w:rsidR="001D0ADB" w:rsidRPr="00201A9A" w:rsidRDefault="008C13C9" w:rsidP="008C57CF">
      <w:pPr>
        <w:pStyle w:val="Text1"/>
        <w:rPr>
          <w:noProof/>
        </w:rPr>
      </w:pPr>
      <w:r w:rsidRPr="00201A9A">
        <w:rPr>
          <w:noProof/>
        </w:rPr>
        <w:t>Unijna pomoc finansowa</w:t>
      </w:r>
      <w:r w:rsidR="00201A9A" w:rsidRPr="00201A9A">
        <w:rPr>
          <w:noProof/>
        </w:rPr>
        <w:t xml:space="preserve"> i wkł</w:t>
      </w:r>
      <w:r w:rsidRPr="00201A9A">
        <w:rPr>
          <w:noProof/>
        </w:rPr>
        <w:t>ad krajowy na rzecz każdej interwencji</w:t>
      </w:r>
      <w:r w:rsidR="00201A9A" w:rsidRPr="00201A9A">
        <w:rPr>
          <w:noProof/>
        </w:rPr>
        <w:t xml:space="preserve"> w nie</w:t>
      </w:r>
      <w:r w:rsidRPr="00201A9A">
        <w:rPr>
          <w:noProof/>
        </w:rPr>
        <w:t>których sektorach,</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31 rozporządzenia (UE) nr</w:t>
      </w:r>
      <w:r w:rsidR="00201A9A" w:rsidRPr="00201A9A">
        <w:rPr>
          <w:noProof/>
        </w:rPr>
        <w:t> </w:t>
      </w:r>
      <w:r w:rsidRPr="00201A9A">
        <w:rPr>
          <w:noProof/>
        </w:rPr>
        <w:t>1308/2013, nie przekraczają łącznie 100</w:t>
      </w:r>
      <w:r w:rsidR="00201A9A" w:rsidRPr="00201A9A">
        <w:rPr>
          <w:noProof/>
        </w:rPr>
        <w:t> </w:t>
      </w:r>
      <w:r w:rsidRPr="00201A9A">
        <w:rPr>
          <w:noProof/>
        </w:rPr>
        <w:t>% rzeczywistych kosztów interwencji.</w:t>
      </w:r>
    </w:p>
    <w:p w14:paraId="386511F1" w14:textId="3A0666D7" w:rsidR="007A2212" w:rsidRPr="00201A9A" w:rsidRDefault="00A145D3" w:rsidP="003E2902">
      <w:pPr>
        <w:pStyle w:val="NumPar10000000"/>
        <w:numPr>
          <w:ilvl w:val="0"/>
          <w:numId w:val="103"/>
        </w:numPr>
        <w:rPr>
          <w:noProof/>
        </w:rPr>
      </w:pPr>
      <w:r w:rsidRPr="00201A9A">
        <w:rPr>
          <w:noProof/>
        </w:rPr>
        <w:t>Wsparcie na interwencje,</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może być udzielane wyłącznie na warunkach określonych</w:t>
      </w:r>
      <w:r w:rsidR="00201A9A" w:rsidRPr="00201A9A">
        <w:rPr>
          <w:noProof/>
        </w:rPr>
        <w:t xml:space="preserve"> w nin</w:t>
      </w:r>
      <w:r w:rsidRPr="00201A9A">
        <w:rPr>
          <w:noProof/>
        </w:rPr>
        <w:t>iejszym tytule. Wszelkie kwoty odnoszące się do roku składania wniosków 2027 określone</w:t>
      </w:r>
      <w:r w:rsidR="00201A9A" w:rsidRPr="00201A9A">
        <w:rPr>
          <w:noProof/>
        </w:rPr>
        <w:t xml:space="preserve"> w zał</w:t>
      </w:r>
      <w:r w:rsidRPr="00201A9A">
        <w:rPr>
          <w:noProof/>
        </w:rPr>
        <w:t>ączniku V do rozporządzenia (UE) 2021/2115,</w:t>
      </w:r>
      <w:r w:rsidR="00201A9A" w:rsidRPr="00201A9A">
        <w:rPr>
          <w:noProof/>
        </w:rPr>
        <w:t xml:space="preserve"> a tak</w:t>
      </w:r>
      <w:r w:rsidRPr="00201A9A">
        <w:rPr>
          <w:noProof/>
        </w:rPr>
        <w:t>że wnioski dotyczące rodzajów interwencji,</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42 rozporządzenia (UE) 2021/215, wnioski dotyczące rozporządzeń (UE) nr</w:t>
      </w:r>
      <w:r w:rsidR="00201A9A" w:rsidRPr="00201A9A">
        <w:rPr>
          <w:noProof/>
        </w:rPr>
        <w:t> </w:t>
      </w:r>
      <w:r w:rsidRPr="00201A9A">
        <w:rPr>
          <w:noProof/>
        </w:rPr>
        <w:t>228/2013</w:t>
      </w:r>
      <w:r w:rsidR="00201A9A" w:rsidRPr="00201A9A">
        <w:rPr>
          <w:noProof/>
        </w:rPr>
        <w:t xml:space="preserve"> i 2</w:t>
      </w:r>
      <w:r w:rsidRPr="00201A9A">
        <w:rPr>
          <w:noProof/>
        </w:rPr>
        <w:t>29/2013 liczy się jako część zobowiązań budżetowych na rok budżetowy 2028, jak określono</w:t>
      </w:r>
      <w:r w:rsidR="00201A9A" w:rsidRPr="00201A9A">
        <w:rPr>
          <w:noProof/>
        </w:rPr>
        <w:t xml:space="preserve"> w art</w:t>
      </w:r>
      <w:r w:rsidRPr="00201A9A">
        <w:rPr>
          <w:noProof/>
        </w:rPr>
        <w:t>.</w:t>
      </w:r>
      <w:r w:rsidR="00201A9A" w:rsidRPr="00201A9A">
        <w:rPr>
          <w:noProof/>
        </w:rPr>
        <w:t> </w:t>
      </w:r>
      <w:r w:rsidRPr="00201A9A">
        <w:rPr>
          <w:noProof/>
        </w:rPr>
        <w:t>14 ust.</w:t>
      </w:r>
      <w:r w:rsidR="00201A9A" w:rsidRPr="00201A9A">
        <w:rPr>
          <w:noProof/>
        </w:rPr>
        <w:t> </w:t>
      </w:r>
      <w:r w:rsidRPr="00201A9A">
        <w:rPr>
          <w:noProof/>
        </w:rPr>
        <w:t>1 lit.</w:t>
      </w:r>
      <w:r w:rsidR="00201A9A" w:rsidRPr="00201A9A">
        <w:rPr>
          <w:noProof/>
        </w:rPr>
        <w:t> </w:t>
      </w:r>
      <w:r w:rsidRPr="00201A9A">
        <w:rPr>
          <w:noProof/>
        </w:rPr>
        <w:t>a).</w:t>
      </w:r>
    </w:p>
    <w:p w14:paraId="186E0A9E" w14:textId="3FB781B7" w:rsidR="007A2212" w:rsidRPr="00201A9A" w:rsidRDefault="00A145D3" w:rsidP="008C57CF">
      <w:pPr>
        <w:pStyle w:val="Text1"/>
        <w:rPr>
          <w:noProof/>
        </w:rPr>
      </w:pPr>
      <w:r w:rsidRPr="00201A9A">
        <w:rPr>
          <w:noProof/>
        </w:rPr>
        <w:t>Na zasadzie odstępstwa od art.</w:t>
      </w:r>
      <w:r w:rsidR="00201A9A" w:rsidRPr="00201A9A">
        <w:rPr>
          <w:noProof/>
        </w:rPr>
        <w:t> </w:t>
      </w:r>
      <w:r w:rsidRPr="00201A9A">
        <w:rPr>
          <w:noProof/>
        </w:rPr>
        <w:t>23 ust.</w:t>
      </w:r>
      <w:r w:rsidR="00201A9A" w:rsidRPr="00201A9A">
        <w:rPr>
          <w:noProof/>
        </w:rPr>
        <w:t> </w:t>
      </w:r>
      <w:r w:rsidRPr="00201A9A">
        <w:rPr>
          <w:noProof/>
        </w:rPr>
        <w:t>7 niniejszego rozporządzenia decyzję</w:t>
      </w:r>
      <w:r w:rsidR="00201A9A" w:rsidRPr="00201A9A">
        <w:rPr>
          <w:noProof/>
        </w:rPr>
        <w:t xml:space="preserve"> w spr</w:t>
      </w:r>
      <w:r w:rsidRPr="00201A9A">
        <w:rPr>
          <w:noProof/>
        </w:rPr>
        <w:t>awie finansowania</w:t>
      </w:r>
      <w:r w:rsidR="00201A9A" w:rsidRPr="00201A9A">
        <w:rPr>
          <w:noProof/>
        </w:rPr>
        <w:t xml:space="preserve"> w roz</w:t>
      </w:r>
      <w:r w:rsidRPr="00201A9A">
        <w:rPr>
          <w:noProof/>
        </w:rPr>
        <w:t>umieniu art.</w:t>
      </w:r>
      <w:r w:rsidR="00201A9A" w:rsidRPr="00201A9A">
        <w:rPr>
          <w:noProof/>
        </w:rPr>
        <w:t> </w:t>
      </w:r>
      <w:r w:rsidRPr="00201A9A">
        <w:rPr>
          <w:noProof/>
        </w:rPr>
        <w:t>110 rozporządzenia (UE, Euratom) 2024/2509 można przyjąć</w:t>
      </w:r>
      <w:r w:rsidR="00201A9A" w:rsidRPr="00201A9A">
        <w:rPr>
          <w:noProof/>
        </w:rPr>
        <w:t xml:space="preserve"> w odn</w:t>
      </w:r>
      <w:r w:rsidRPr="00201A9A">
        <w:rPr>
          <w:noProof/>
        </w:rPr>
        <w:t>iesieniu do kwoty,</w:t>
      </w:r>
      <w:r w:rsidR="00201A9A" w:rsidRPr="00201A9A">
        <w:rPr>
          <w:noProof/>
        </w:rPr>
        <w:t xml:space="preserve"> o któ</w:t>
      </w:r>
      <w:r w:rsidRPr="00201A9A">
        <w:rPr>
          <w:noProof/>
        </w:rPr>
        <w:t>rej mowa</w:t>
      </w:r>
      <w:r w:rsidR="00201A9A" w:rsidRPr="00201A9A">
        <w:rPr>
          <w:noProof/>
        </w:rPr>
        <w:t xml:space="preserve"> w aka</w:t>
      </w:r>
      <w:r w:rsidRPr="00201A9A">
        <w:rPr>
          <w:noProof/>
        </w:rPr>
        <w:t>picie pierwszym, a na kwotę tą można zaciągnąć zobowiązania</w:t>
      </w:r>
      <w:r w:rsidR="00201A9A" w:rsidRPr="00201A9A">
        <w:rPr>
          <w:noProof/>
        </w:rPr>
        <w:t xml:space="preserve"> i wyp</w:t>
      </w:r>
      <w:r w:rsidRPr="00201A9A">
        <w:rPr>
          <w:noProof/>
        </w:rPr>
        <w:t>łacić ją przed przyjęciem decyzji wykonawczej,</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23 ust.</w:t>
      </w:r>
      <w:r w:rsidR="00201A9A" w:rsidRPr="00201A9A">
        <w:rPr>
          <w:noProof/>
        </w:rPr>
        <w:t> </w:t>
      </w:r>
      <w:r w:rsidRPr="00201A9A">
        <w:rPr>
          <w:noProof/>
        </w:rPr>
        <w:t>6 niniejszego rozporządzenia.</w:t>
      </w:r>
    </w:p>
    <w:p w14:paraId="509A0E7D" w14:textId="11857945" w:rsidR="00EB6853" w:rsidRPr="00201A9A" w:rsidRDefault="00EB6853" w:rsidP="003E2902">
      <w:pPr>
        <w:pStyle w:val="NumPar10000000"/>
        <w:numPr>
          <w:ilvl w:val="0"/>
          <w:numId w:val="103"/>
        </w:numPr>
        <w:rPr>
          <w:noProof/>
        </w:rPr>
      </w:pPr>
      <w:r w:rsidRPr="00201A9A">
        <w:rPr>
          <w:noProof/>
        </w:rPr>
        <w:t>Interwencje</w:t>
      </w:r>
      <w:r w:rsidR="00201A9A" w:rsidRPr="00201A9A">
        <w:rPr>
          <w:noProof/>
        </w:rPr>
        <w:t xml:space="preserve"> w ram</w:t>
      </w:r>
      <w:r w:rsidRPr="00201A9A">
        <w:rPr>
          <w:noProof/>
        </w:rPr>
        <w:t>ach wspólnej polityki rybołówstwa obejmują:</w:t>
      </w:r>
    </w:p>
    <w:p w14:paraId="412AA900" w14:textId="2DDD45B6" w:rsidR="00EB6853" w:rsidRPr="00201A9A" w:rsidRDefault="00201A9A" w:rsidP="00201A9A">
      <w:pPr>
        <w:pStyle w:val="Point1"/>
        <w:rPr>
          <w:noProof/>
        </w:rPr>
      </w:pPr>
      <w:r w:rsidRPr="00201A9A">
        <w:rPr>
          <w:noProof/>
        </w:rPr>
        <w:t>a)</w:t>
      </w:r>
      <w:r w:rsidRPr="00201A9A">
        <w:rPr>
          <w:noProof/>
        </w:rPr>
        <w:tab/>
      </w:r>
      <w:r w:rsidR="00EB6853" w:rsidRPr="00201A9A">
        <w:rPr>
          <w:noProof/>
        </w:rPr>
        <w:t>wspieranie zrównoważonego rybołówstwa oraz odbudowy</w:t>
      </w:r>
      <w:r w:rsidRPr="00201A9A">
        <w:rPr>
          <w:noProof/>
        </w:rPr>
        <w:t xml:space="preserve"> i och</w:t>
      </w:r>
      <w:r w:rsidR="00EB6853" w:rsidRPr="00201A9A">
        <w:rPr>
          <w:noProof/>
        </w:rPr>
        <w:t>rony żywych zasobów wodnych, transformacji energetycznej sektora rybołówstwa</w:t>
      </w:r>
      <w:r w:rsidRPr="00201A9A">
        <w:rPr>
          <w:noProof/>
        </w:rPr>
        <w:t xml:space="preserve"> i akw</w:t>
      </w:r>
      <w:r w:rsidR="00EB6853" w:rsidRPr="00201A9A">
        <w:rPr>
          <w:noProof/>
        </w:rPr>
        <w:t>akultury,</w:t>
      </w:r>
      <w:r w:rsidRPr="00201A9A">
        <w:rPr>
          <w:noProof/>
        </w:rPr>
        <w:t xml:space="preserve"> a tak</w:t>
      </w:r>
      <w:r w:rsidR="00EB6853" w:rsidRPr="00201A9A">
        <w:rPr>
          <w:noProof/>
        </w:rPr>
        <w:t>że działań zwiększających bezpieczeństwo;</w:t>
      </w:r>
    </w:p>
    <w:p w14:paraId="1CA24BCE" w14:textId="75087FAE" w:rsidR="00EB6853" w:rsidRPr="00201A9A" w:rsidRDefault="00201A9A" w:rsidP="00201A9A">
      <w:pPr>
        <w:pStyle w:val="Point1"/>
        <w:rPr>
          <w:noProof/>
        </w:rPr>
      </w:pPr>
      <w:r w:rsidRPr="00201A9A">
        <w:rPr>
          <w:noProof/>
        </w:rPr>
        <w:t>b)</w:t>
      </w:r>
      <w:r w:rsidRPr="00201A9A">
        <w:rPr>
          <w:noProof/>
        </w:rPr>
        <w:tab/>
      </w:r>
      <w:r w:rsidR="00EB6853" w:rsidRPr="00201A9A">
        <w:rPr>
          <w:noProof/>
        </w:rPr>
        <w:t>wspieranie innowacji na rzecz prowadzenia bardziej selektywnej działalności połowowej oraz zachowania, ochrony</w:t>
      </w:r>
      <w:r w:rsidRPr="00201A9A">
        <w:rPr>
          <w:noProof/>
        </w:rPr>
        <w:t xml:space="preserve"> i odb</w:t>
      </w:r>
      <w:r w:rsidR="00EB6853" w:rsidRPr="00201A9A">
        <w:rPr>
          <w:noProof/>
        </w:rPr>
        <w:t>udowy wodnej różnorodności biologicznej</w:t>
      </w:r>
      <w:r w:rsidRPr="00201A9A">
        <w:rPr>
          <w:noProof/>
        </w:rPr>
        <w:t xml:space="preserve"> i eko</w:t>
      </w:r>
      <w:r w:rsidR="00EB6853" w:rsidRPr="00201A9A">
        <w:rPr>
          <w:noProof/>
        </w:rPr>
        <w:t>systemów wodnych;</w:t>
      </w:r>
    </w:p>
    <w:p w14:paraId="1942D968" w14:textId="16F8CDB0" w:rsidR="00EB6853" w:rsidRPr="00201A9A" w:rsidRDefault="00201A9A" w:rsidP="00201A9A">
      <w:pPr>
        <w:pStyle w:val="Point1"/>
        <w:rPr>
          <w:noProof/>
        </w:rPr>
      </w:pPr>
      <w:r w:rsidRPr="00201A9A">
        <w:rPr>
          <w:noProof/>
        </w:rPr>
        <w:t>c)</w:t>
      </w:r>
      <w:r w:rsidRPr="00201A9A">
        <w:rPr>
          <w:noProof/>
        </w:rPr>
        <w:tab/>
      </w:r>
      <w:r w:rsidR="00EB6853" w:rsidRPr="00201A9A">
        <w:rPr>
          <w:noProof/>
        </w:rPr>
        <w:t>wsparcie na rzecz wspólnej organizacji rynków produktów rolnych (WORR);</w:t>
      </w:r>
    </w:p>
    <w:p w14:paraId="349B2DC5" w14:textId="6BAE72C1" w:rsidR="00EB6853" w:rsidRPr="00201A9A" w:rsidRDefault="00201A9A" w:rsidP="00201A9A">
      <w:pPr>
        <w:pStyle w:val="Point1"/>
        <w:rPr>
          <w:noProof/>
        </w:rPr>
      </w:pPr>
      <w:r w:rsidRPr="00201A9A">
        <w:rPr>
          <w:noProof/>
        </w:rPr>
        <w:t>d)</w:t>
      </w:r>
      <w:r w:rsidRPr="00201A9A">
        <w:rPr>
          <w:noProof/>
        </w:rPr>
        <w:tab/>
      </w:r>
      <w:r w:rsidR="00EB6853" w:rsidRPr="00201A9A">
        <w:rPr>
          <w:noProof/>
        </w:rPr>
        <w:t>wsparcie dla rybaków lub producentów produktów akwakultury służące zrekompensowaniu podmiotom działającym</w:t>
      </w:r>
      <w:r w:rsidRPr="00201A9A">
        <w:rPr>
          <w:noProof/>
        </w:rPr>
        <w:t xml:space="preserve"> w sek</w:t>
      </w:r>
      <w:r w:rsidR="00EB6853" w:rsidRPr="00201A9A">
        <w:rPr>
          <w:noProof/>
        </w:rPr>
        <w:t>torze rybołówstwa</w:t>
      </w:r>
      <w:r w:rsidRPr="00201A9A">
        <w:rPr>
          <w:noProof/>
        </w:rPr>
        <w:t xml:space="preserve"> i akw</w:t>
      </w:r>
      <w:r w:rsidR="00EB6853" w:rsidRPr="00201A9A">
        <w:rPr>
          <w:noProof/>
        </w:rPr>
        <w:t>akultury utraconych dochodów lub dodatkowych kosztów oraz zapewnieniu rekompensaty uznanym organizacjom producentów</w:t>
      </w:r>
      <w:r w:rsidRPr="00201A9A">
        <w:rPr>
          <w:noProof/>
        </w:rPr>
        <w:t xml:space="preserve"> i zrz</w:t>
      </w:r>
      <w:r w:rsidR="00EB6853" w:rsidRPr="00201A9A">
        <w:rPr>
          <w:noProof/>
        </w:rPr>
        <w:t>eszeniom organizacji producentów, które składują produkty rybołówstwa wymienione</w:t>
      </w:r>
      <w:r w:rsidRPr="00201A9A">
        <w:rPr>
          <w:noProof/>
        </w:rPr>
        <w:t xml:space="preserve"> w zał</w:t>
      </w:r>
      <w:r w:rsidR="00EB6853" w:rsidRPr="00201A9A">
        <w:rPr>
          <w:noProof/>
        </w:rPr>
        <w:t>ączniku II do rozporządzenia (UE) nr</w:t>
      </w:r>
      <w:r w:rsidRPr="00201A9A">
        <w:rPr>
          <w:noProof/>
        </w:rPr>
        <w:t> </w:t>
      </w:r>
      <w:r w:rsidR="00EB6853" w:rsidRPr="00201A9A">
        <w:rPr>
          <w:noProof/>
        </w:rPr>
        <w:t>1379/2013, pod warunkiem że produkty te składuje się zgodnie</w:t>
      </w:r>
      <w:r w:rsidRPr="00201A9A">
        <w:rPr>
          <w:noProof/>
        </w:rPr>
        <w:t xml:space="preserve"> z art</w:t>
      </w:r>
      <w:r w:rsidR="00EB6853" w:rsidRPr="00201A9A">
        <w:rPr>
          <w:noProof/>
        </w:rPr>
        <w:t>.</w:t>
      </w:r>
      <w:r w:rsidRPr="00201A9A">
        <w:rPr>
          <w:noProof/>
        </w:rPr>
        <w:t> </w:t>
      </w:r>
      <w:r w:rsidR="00EB6853" w:rsidRPr="00201A9A">
        <w:rPr>
          <w:noProof/>
        </w:rPr>
        <w:t>30</w:t>
      </w:r>
      <w:r w:rsidRPr="00201A9A">
        <w:rPr>
          <w:noProof/>
        </w:rPr>
        <w:t xml:space="preserve"> i 3</w:t>
      </w:r>
      <w:r w:rsidR="00EB6853" w:rsidRPr="00201A9A">
        <w:rPr>
          <w:noProof/>
        </w:rPr>
        <w:t>1 tego rozporządzenia.</w:t>
      </w:r>
    </w:p>
    <w:p w14:paraId="4037A0E1" w14:textId="73CCA1DB" w:rsidR="000906E2" w:rsidRPr="00201A9A" w:rsidRDefault="00385942" w:rsidP="003E2902">
      <w:pPr>
        <w:pStyle w:val="NumPar10000000"/>
        <w:numPr>
          <w:ilvl w:val="0"/>
          <w:numId w:val="103"/>
        </w:numPr>
        <w:rPr>
          <w:noProof/>
        </w:rPr>
      </w:pPr>
      <w:r w:rsidRPr="00201A9A">
        <w:rPr>
          <w:noProof/>
        </w:rPr>
        <w:t>Przy określaniu kwot, które mają zostać wypłacone na wsparcie przewidziane na interwencje</w:t>
      </w:r>
      <w:r w:rsidR="00201A9A" w:rsidRPr="00201A9A">
        <w:rPr>
          <w:noProof/>
        </w:rPr>
        <w:t xml:space="preserve"> w ram</w:t>
      </w:r>
      <w:r w:rsidRPr="00201A9A">
        <w:rPr>
          <w:noProof/>
        </w:rPr>
        <w:t>ach WPR,</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35 ust.</w:t>
      </w:r>
      <w:r w:rsidR="00201A9A" w:rsidRPr="00201A9A">
        <w:rPr>
          <w:noProof/>
        </w:rPr>
        <w:t> </w:t>
      </w:r>
      <w:r w:rsidRPr="00201A9A">
        <w:rPr>
          <w:noProof/>
        </w:rPr>
        <w:t>1 lit.</w:t>
      </w:r>
      <w:r w:rsidR="00201A9A" w:rsidRPr="00201A9A">
        <w:rPr>
          <w:noProof/>
        </w:rPr>
        <w:t> </w:t>
      </w:r>
      <w:r w:rsidRPr="00201A9A">
        <w:rPr>
          <w:noProof/>
        </w:rPr>
        <w:t>a)–[h)] i [j)], [k)] i [r)] oraz</w:t>
      </w:r>
      <w:r w:rsidR="00201A9A" w:rsidRPr="00201A9A">
        <w:rPr>
          <w:noProof/>
        </w:rPr>
        <w:t xml:space="preserve"> w ust</w:t>
      </w:r>
      <w:r w:rsidRPr="00201A9A">
        <w:rPr>
          <w:noProof/>
        </w:rPr>
        <w:t>.</w:t>
      </w:r>
      <w:r w:rsidR="00201A9A" w:rsidRPr="00201A9A">
        <w:rPr>
          <w:noProof/>
        </w:rPr>
        <w:t> </w:t>
      </w:r>
      <w:r w:rsidRPr="00201A9A">
        <w:rPr>
          <w:noProof/>
        </w:rPr>
        <w:t>11, wartości wypłat oblicza się bez przeznaczania kwot na reformy.</w:t>
      </w:r>
    </w:p>
    <w:p w14:paraId="3123A810" w14:textId="409AFC75" w:rsidR="00385942" w:rsidRPr="00201A9A" w:rsidRDefault="00385942" w:rsidP="004D4C26">
      <w:pPr>
        <w:pStyle w:val="Titrearticle"/>
        <w:rPr>
          <w:noProof/>
        </w:rPr>
      </w:pPr>
      <w:r w:rsidRPr="00201A9A">
        <w:rPr>
          <w:noProof/>
        </w:rPr>
        <w:t xml:space="preserve">Artykuł 36 </w:t>
      </w:r>
      <w:r w:rsidRPr="00201A9A">
        <w:rPr>
          <w:noProof/>
        </w:rPr>
        <w:br/>
      </w:r>
      <w:r w:rsidRPr="00201A9A">
        <w:rPr>
          <w:b/>
          <w:noProof/>
        </w:rPr>
        <w:t>Szczegółowe wymogi dotyczące interwencji</w:t>
      </w:r>
      <w:r w:rsidR="00201A9A" w:rsidRPr="00201A9A">
        <w:rPr>
          <w:b/>
          <w:noProof/>
        </w:rPr>
        <w:t xml:space="preserve"> w ram</w:t>
      </w:r>
      <w:r w:rsidRPr="00201A9A">
        <w:rPr>
          <w:b/>
          <w:noProof/>
        </w:rPr>
        <w:t>ach WPR</w:t>
      </w:r>
    </w:p>
    <w:p w14:paraId="3FF33CDD" w14:textId="49238D24" w:rsidR="00202276" w:rsidRPr="00201A9A" w:rsidRDefault="5BB54122" w:rsidP="003E2902">
      <w:pPr>
        <w:pStyle w:val="NumPar10000000"/>
        <w:numPr>
          <w:ilvl w:val="0"/>
          <w:numId w:val="127"/>
        </w:numPr>
        <w:rPr>
          <w:noProof/>
        </w:rPr>
      </w:pPr>
      <w:r w:rsidRPr="00201A9A">
        <w:rPr>
          <w:noProof/>
        </w:rPr>
        <w:t>Państwa członkowskie określają</w:t>
      </w:r>
      <w:r w:rsidR="00201A9A" w:rsidRPr="00201A9A">
        <w:rPr>
          <w:noProof/>
        </w:rPr>
        <w:t xml:space="preserve"> w swo</w:t>
      </w:r>
      <w:r w:rsidRPr="00201A9A">
        <w:rPr>
          <w:noProof/>
        </w:rPr>
        <w:t>ich planach</w:t>
      </w:r>
      <w:r w:rsidR="00201A9A" w:rsidRPr="00201A9A">
        <w:rPr>
          <w:noProof/>
        </w:rPr>
        <w:t xml:space="preserve"> w odn</w:t>
      </w:r>
      <w:r w:rsidRPr="00201A9A">
        <w:rPr>
          <w:noProof/>
        </w:rPr>
        <w:t>iesieniu do każdej interwencji:</w:t>
      </w:r>
    </w:p>
    <w:p w14:paraId="7172B5F6" w14:textId="17DD6945" w:rsidR="0018536E" w:rsidRPr="00201A9A" w:rsidRDefault="00201A9A" w:rsidP="00201A9A">
      <w:pPr>
        <w:pStyle w:val="Point1"/>
        <w:rPr>
          <w:noProof/>
        </w:rPr>
      </w:pPr>
      <w:r w:rsidRPr="00201A9A">
        <w:rPr>
          <w:noProof/>
        </w:rPr>
        <w:t>a)</w:t>
      </w:r>
      <w:r w:rsidRPr="00201A9A">
        <w:rPr>
          <w:noProof/>
        </w:rPr>
        <w:tab/>
      </w:r>
      <w:r w:rsidR="0018536E" w:rsidRPr="00201A9A">
        <w:rPr>
          <w:noProof/>
        </w:rPr>
        <w:t>rodzaj interwencji, na którym się opiera, zakres terytorialny</w:t>
      </w:r>
      <w:r w:rsidRPr="00201A9A">
        <w:rPr>
          <w:noProof/>
        </w:rPr>
        <w:t xml:space="preserve"> i rod</w:t>
      </w:r>
      <w:r w:rsidR="0018536E" w:rsidRPr="00201A9A">
        <w:rPr>
          <w:noProof/>
        </w:rPr>
        <w:t>zaj obszaru objętego interwencją; </w:t>
      </w:r>
    </w:p>
    <w:p w14:paraId="58BB89BD" w14:textId="0F4A2007" w:rsidR="00145689" w:rsidRPr="00201A9A" w:rsidRDefault="00201A9A" w:rsidP="00201A9A">
      <w:pPr>
        <w:pStyle w:val="Point1"/>
        <w:rPr>
          <w:noProof/>
        </w:rPr>
      </w:pPr>
      <w:r w:rsidRPr="00201A9A">
        <w:rPr>
          <w:noProof/>
        </w:rPr>
        <w:t>b)</w:t>
      </w:r>
      <w:r w:rsidRPr="00201A9A">
        <w:rPr>
          <w:noProof/>
        </w:rPr>
        <w:tab/>
      </w:r>
      <w:r w:rsidR="00145689" w:rsidRPr="00201A9A">
        <w:rPr>
          <w:noProof/>
        </w:rPr>
        <w:t>w stosownych przypadkach – sektory objęte interwencją lub grupę rolników lub innych beneficjentów objętych interwencją, obszar priorytetowy WPR dotyczący środowiska</w:t>
      </w:r>
      <w:r w:rsidRPr="00201A9A">
        <w:rPr>
          <w:noProof/>
        </w:rPr>
        <w:t xml:space="preserve"> i kli</w:t>
      </w:r>
      <w:r w:rsidR="00145689" w:rsidRPr="00201A9A">
        <w:rPr>
          <w:noProof/>
        </w:rPr>
        <w:t>matu, zgodnie</w:t>
      </w:r>
      <w:r w:rsidRPr="00201A9A">
        <w:rPr>
          <w:noProof/>
        </w:rPr>
        <w:t xml:space="preserve"> z art</w:t>
      </w:r>
      <w:r w:rsidR="00145689" w:rsidRPr="00201A9A">
        <w:rPr>
          <w:noProof/>
        </w:rPr>
        <w:t>.</w:t>
      </w:r>
      <w:r w:rsidRPr="00201A9A">
        <w:rPr>
          <w:noProof/>
        </w:rPr>
        <w:t> </w:t>
      </w:r>
      <w:r w:rsidR="00145689" w:rsidRPr="00201A9A">
        <w:rPr>
          <w:noProof/>
        </w:rPr>
        <w:t>4 rozporządzenia (UE) 202X/XXXX [rozporządzenie</w:t>
      </w:r>
      <w:r w:rsidRPr="00201A9A">
        <w:rPr>
          <w:noProof/>
        </w:rPr>
        <w:t xml:space="preserve"> w spr</w:t>
      </w:r>
      <w:r w:rsidR="00145689" w:rsidRPr="00201A9A">
        <w:rPr>
          <w:noProof/>
        </w:rPr>
        <w:t xml:space="preserve">awie WPR]; </w:t>
      </w:r>
    </w:p>
    <w:p w14:paraId="2D9FFCBD" w14:textId="6D4D162F" w:rsidR="006F7A37" w:rsidRPr="00201A9A" w:rsidRDefault="00201A9A" w:rsidP="00201A9A">
      <w:pPr>
        <w:pStyle w:val="Point1"/>
        <w:rPr>
          <w:noProof/>
        </w:rPr>
      </w:pPr>
      <w:r w:rsidRPr="00201A9A">
        <w:rPr>
          <w:noProof/>
        </w:rPr>
        <w:t>c)</w:t>
      </w:r>
      <w:r w:rsidRPr="00201A9A">
        <w:rPr>
          <w:noProof/>
        </w:rPr>
        <w:tab/>
      </w:r>
      <w:r w:rsidR="67CE74A8" w:rsidRPr="00201A9A">
        <w:rPr>
          <w:noProof/>
        </w:rPr>
        <w:t>wyjaśnienie odpowiednich kryteriów zawartych</w:t>
      </w:r>
      <w:r w:rsidRPr="00201A9A">
        <w:rPr>
          <w:noProof/>
        </w:rPr>
        <w:t xml:space="preserve"> w zał</w:t>
      </w:r>
      <w:r w:rsidR="67CE74A8" w:rsidRPr="00201A9A">
        <w:rPr>
          <w:noProof/>
        </w:rPr>
        <w:t>ączniku 2 do Porozumienia WTO</w:t>
      </w:r>
      <w:r w:rsidRPr="00201A9A">
        <w:rPr>
          <w:noProof/>
        </w:rPr>
        <w:t xml:space="preserve"> w spr</w:t>
      </w:r>
      <w:r w:rsidR="67CE74A8" w:rsidRPr="00201A9A">
        <w:rPr>
          <w:noProof/>
        </w:rPr>
        <w:t>awie rolnictwa,</w:t>
      </w:r>
      <w:r w:rsidRPr="00201A9A">
        <w:rPr>
          <w:noProof/>
        </w:rPr>
        <w:t xml:space="preserve"> o któ</w:t>
      </w:r>
      <w:r w:rsidR="67CE74A8" w:rsidRPr="00201A9A">
        <w:rPr>
          <w:noProof/>
        </w:rPr>
        <w:t>rym mowa</w:t>
      </w:r>
      <w:r w:rsidRPr="00201A9A">
        <w:rPr>
          <w:noProof/>
        </w:rPr>
        <w:t xml:space="preserve"> w art</w:t>
      </w:r>
      <w:r w:rsidR="67CE74A8" w:rsidRPr="00201A9A">
        <w:rPr>
          <w:noProof/>
        </w:rPr>
        <w:t>.</w:t>
      </w:r>
      <w:r w:rsidRPr="00201A9A">
        <w:rPr>
          <w:noProof/>
        </w:rPr>
        <w:t> </w:t>
      </w:r>
      <w:r w:rsidR="67CE74A8" w:rsidRPr="00201A9A">
        <w:rPr>
          <w:noProof/>
        </w:rPr>
        <w:t>40 [wsparcie krajowe</w:t>
      </w:r>
      <w:r w:rsidRPr="00201A9A">
        <w:rPr>
          <w:noProof/>
        </w:rPr>
        <w:t xml:space="preserve"> w ram</w:t>
      </w:r>
      <w:r w:rsidR="67CE74A8" w:rsidRPr="00201A9A">
        <w:rPr>
          <w:noProof/>
        </w:rPr>
        <w:t>ach WTO] oraz</w:t>
      </w:r>
      <w:r w:rsidRPr="00201A9A">
        <w:rPr>
          <w:noProof/>
        </w:rPr>
        <w:t xml:space="preserve"> w zał</w:t>
      </w:r>
      <w:r w:rsidR="67CE74A8" w:rsidRPr="00201A9A">
        <w:rPr>
          <w:noProof/>
        </w:rPr>
        <w:t>ączniku XVII [załącznik dotyczący WTO];</w:t>
      </w:r>
    </w:p>
    <w:p w14:paraId="6DAFB9C5" w14:textId="043C8A8B" w:rsidR="00F13038" w:rsidRPr="00201A9A" w:rsidRDefault="00201A9A" w:rsidP="00201A9A">
      <w:pPr>
        <w:pStyle w:val="Point1"/>
        <w:rPr>
          <w:noProof/>
        </w:rPr>
      </w:pPr>
      <w:r w:rsidRPr="00201A9A">
        <w:rPr>
          <w:noProof/>
        </w:rPr>
        <w:t>d)</w:t>
      </w:r>
      <w:r w:rsidRPr="00201A9A">
        <w:rPr>
          <w:noProof/>
        </w:rPr>
        <w:tab/>
      </w:r>
      <w:r w:rsidR="07CBAEA8" w:rsidRPr="00201A9A">
        <w:rPr>
          <w:noProof/>
        </w:rPr>
        <w:t>opis koncepcji interwencji,</w:t>
      </w:r>
      <w:r w:rsidRPr="00201A9A">
        <w:rPr>
          <w:noProof/>
        </w:rPr>
        <w:t xml:space="preserve"> w tym</w:t>
      </w:r>
      <w:r w:rsidR="07CBAEA8" w:rsidRPr="00201A9A">
        <w:rPr>
          <w:noProof/>
        </w:rPr>
        <w:t xml:space="preserve"> warunków kwalifikowalności, oraz działań rolnośrodowiskowych i na rzecz klimatu,</w:t>
      </w:r>
      <w:r w:rsidRPr="00201A9A">
        <w:rPr>
          <w:noProof/>
        </w:rPr>
        <w:t xml:space="preserve"> o któ</w:t>
      </w:r>
      <w:r w:rsidR="07CBAEA8" w:rsidRPr="00201A9A">
        <w:rPr>
          <w:noProof/>
        </w:rPr>
        <w:t>rych mowa</w:t>
      </w:r>
      <w:r w:rsidRPr="00201A9A">
        <w:rPr>
          <w:noProof/>
        </w:rPr>
        <w:t xml:space="preserve"> w art</w:t>
      </w:r>
      <w:r w:rsidR="07CBAEA8" w:rsidRPr="00201A9A">
        <w:rPr>
          <w:noProof/>
        </w:rPr>
        <w:t>.</w:t>
      </w:r>
      <w:r w:rsidRPr="00201A9A">
        <w:rPr>
          <w:noProof/>
        </w:rPr>
        <w:t> </w:t>
      </w:r>
      <w:r w:rsidR="07CBAEA8" w:rsidRPr="00201A9A">
        <w:rPr>
          <w:noProof/>
        </w:rPr>
        <w:t xml:space="preserve">10 rozporządzenia XX [WPR]; </w:t>
      </w:r>
    </w:p>
    <w:p w14:paraId="0976B5FA" w14:textId="757BA771" w:rsidR="0054126B" w:rsidRPr="00201A9A" w:rsidRDefault="00201A9A" w:rsidP="00201A9A">
      <w:pPr>
        <w:pStyle w:val="Point1"/>
        <w:rPr>
          <w:noProof/>
        </w:rPr>
      </w:pPr>
      <w:r w:rsidRPr="00201A9A">
        <w:rPr>
          <w:noProof/>
        </w:rPr>
        <w:t>e)</w:t>
      </w:r>
      <w:r w:rsidRPr="00201A9A">
        <w:rPr>
          <w:noProof/>
        </w:rPr>
        <w:tab/>
      </w:r>
      <w:r w:rsidR="50B0DFDC" w:rsidRPr="00201A9A">
        <w:rPr>
          <w:noProof/>
        </w:rPr>
        <w:t>opis praktyk rolniczych objętych interwencją</w:t>
      </w:r>
      <w:r w:rsidRPr="00201A9A">
        <w:rPr>
          <w:noProof/>
        </w:rPr>
        <w:t xml:space="preserve"> w opa</w:t>
      </w:r>
      <w:r w:rsidR="50B0DFDC" w:rsidRPr="00201A9A">
        <w:rPr>
          <w:noProof/>
        </w:rPr>
        <w:t>rciu</w:t>
      </w:r>
      <w:r w:rsidRPr="00201A9A">
        <w:rPr>
          <w:noProof/>
        </w:rPr>
        <w:t xml:space="preserve"> o kla</w:t>
      </w:r>
      <w:r w:rsidR="50B0DFDC" w:rsidRPr="00201A9A">
        <w:rPr>
          <w:noProof/>
        </w:rPr>
        <w:t>syfikację praktyk rolniczych Wspólnego Centrum Badawczego zgodnie</w:t>
      </w:r>
      <w:r w:rsidRPr="00201A9A">
        <w:rPr>
          <w:noProof/>
        </w:rPr>
        <w:t xml:space="preserve"> z art</w:t>
      </w:r>
      <w:r w:rsidR="50B0DFDC" w:rsidRPr="00201A9A">
        <w:rPr>
          <w:noProof/>
        </w:rPr>
        <w:t>.</w:t>
      </w:r>
      <w:r w:rsidRPr="00201A9A">
        <w:rPr>
          <w:noProof/>
        </w:rPr>
        <w:t> </w:t>
      </w:r>
      <w:r w:rsidR="50B0DFDC" w:rsidRPr="00201A9A">
        <w:rPr>
          <w:noProof/>
        </w:rPr>
        <w:t>3 ust.</w:t>
      </w:r>
      <w:r w:rsidRPr="00201A9A">
        <w:rPr>
          <w:noProof/>
        </w:rPr>
        <w:t> </w:t>
      </w:r>
      <w:r w:rsidR="50B0DFDC" w:rsidRPr="00201A9A">
        <w:rPr>
          <w:noProof/>
        </w:rPr>
        <w:t>5 rozporządzenia (UE) 202X/XXXX [rozporządzenie</w:t>
      </w:r>
      <w:r w:rsidRPr="00201A9A">
        <w:rPr>
          <w:noProof/>
        </w:rPr>
        <w:t xml:space="preserve"> w spr</w:t>
      </w:r>
      <w:r w:rsidR="50B0DFDC" w:rsidRPr="00201A9A">
        <w:rPr>
          <w:noProof/>
        </w:rPr>
        <w:t>awie WPR];</w:t>
      </w:r>
    </w:p>
    <w:p w14:paraId="2A2FF197" w14:textId="13878744" w:rsidR="00385942" w:rsidRPr="00201A9A" w:rsidRDefault="00201A9A" w:rsidP="00201A9A">
      <w:pPr>
        <w:pStyle w:val="Point1"/>
        <w:rPr>
          <w:noProof/>
        </w:rPr>
      </w:pPr>
      <w:r w:rsidRPr="00201A9A">
        <w:rPr>
          <w:noProof/>
        </w:rPr>
        <w:t>f)</w:t>
      </w:r>
      <w:r w:rsidRPr="00201A9A">
        <w:rPr>
          <w:noProof/>
        </w:rPr>
        <w:tab/>
      </w:r>
      <w:r w:rsidR="00385942" w:rsidRPr="00201A9A">
        <w:rPr>
          <w:noProof/>
        </w:rPr>
        <w:t>w odniesieniu do interwencji</w:t>
      </w:r>
      <w:r w:rsidRPr="00201A9A">
        <w:rPr>
          <w:noProof/>
        </w:rPr>
        <w:t xml:space="preserve"> w nie</w:t>
      </w:r>
      <w:r w:rsidR="00385942" w:rsidRPr="00201A9A">
        <w:rPr>
          <w:noProof/>
        </w:rPr>
        <w:t>których sektorach,</w:t>
      </w:r>
      <w:r w:rsidRPr="00201A9A">
        <w:rPr>
          <w:noProof/>
        </w:rPr>
        <w:t xml:space="preserve"> o któ</w:t>
      </w:r>
      <w:r w:rsidR="00385942" w:rsidRPr="00201A9A">
        <w:rPr>
          <w:noProof/>
        </w:rPr>
        <w:t>rych mowa</w:t>
      </w:r>
      <w:r w:rsidRPr="00201A9A">
        <w:rPr>
          <w:noProof/>
        </w:rPr>
        <w:t xml:space="preserve"> w czę</w:t>
      </w:r>
      <w:r w:rsidR="00385942" w:rsidRPr="00201A9A">
        <w:rPr>
          <w:noProof/>
        </w:rPr>
        <w:t>ści II tytuł I rozdział IIa rozporządzenia (UE) nr</w:t>
      </w:r>
      <w:r w:rsidRPr="00201A9A">
        <w:rPr>
          <w:noProof/>
        </w:rPr>
        <w:t> </w:t>
      </w:r>
      <w:r w:rsidR="00385942" w:rsidRPr="00201A9A">
        <w:rPr>
          <w:noProof/>
        </w:rPr>
        <w:t>1308/2013 – uzasadnienie objęciem interwencjami wybranych sektorów</w:t>
      </w:r>
      <w:r w:rsidRPr="00201A9A">
        <w:rPr>
          <w:noProof/>
        </w:rPr>
        <w:t xml:space="preserve"> i kom</w:t>
      </w:r>
      <w:r w:rsidR="00385942" w:rsidRPr="00201A9A">
        <w:rPr>
          <w:noProof/>
        </w:rPr>
        <w:t>plementarności</w:t>
      </w:r>
      <w:r w:rsidRPr="00201A9A">
        <w:rPr>
          <w:noProof/>
        </w:rPr>
        <w:t xml:space="preserve"> z inn</w:t>
      </w:r>
      <w:r w:rsidR="00385942" w:rsidRPr="00201A9A">
        <w:rPr>
          <w:noProof/>
        </w:rPr>
        <w:t>ymi interwencjami</w:t>
      </w:r>
      <w:r w:rsidRPr="00201A9A">
        <w:rPr>
          <w:noProof/>
        </w:rPr>
        <w:t xml:space="preserve"> w ram</w:t>
      </w:r>
      <w:r w:rsidR="00385942" w:rsidRPr="00201A9A">
        <w:rPr>
          <w:noProof/>
        </w:rPr>
        <w:t>ach WPR oraz,</w:t>
      </w:r>
      <w:r w:rsidRPr="00201A9A">
        <w:rPr>
          <w:noProof/>
        </w:rPr>
        <w:t xml:space="preserve"> w sto</w:t>
      </w:r>
      <w:r w:rsidR="00385942" w:rsidRPr="00201A9A">
        <w:rPr>
          <w:noProof/>
        </w:rPr>
        <w:t>sownych przypadkach,</w:t>
      </w:r>
      <w:r w:rsidRPr="00201A9A">
        <w:rPr>
          <w:noProof/>
        </w:rPr>
        <w:t xml:space="preserve"> z inn</w:t>
      </w:r>
      <w:r w:rsidR="00385942" w:rsidRPr="00201A9A">
        <w:rPr>
          <w:noProof/>
        </w:rPr>
        <w:t>ymi środkami określonymi</w:t>
      </w:r>
      <w:r w:rsidRPr="00201A9A">
        <w:rPr>
          <w:noProof/>
        </w:rPr>
        <w:t xml:space="preserve"> w pla</w:t>
      </w:r>
      <w:r w:rsidR="00385942" w:rsidRPr="00201A9A">
        <w:rPr>
          <w:noProof/>
        </w:rPr>
        <w:t>nie.</w:t>
      </w:r>
      <w:r w:rsidRPr="00201A9A">
        <w:rPr>
          <w:noProof/>
        </w:rPr>
        <w:t xml:space="preserve"> </w:t>
      </w:r>
    </w:p>
    <w:p w14:paraId="0C54096C" w14:textId="266D527E" w:rsidR="00AA0877" w:rsidRPr="00201A9A" w:rsidRDefault="00AA0877" w:rsidP="003E2902">
      <w:pPr>
        <w:pStyle w:val="NumPar10000000"/>
        <w:numPr>
          <w:ilvl w:val="0"/>
          <w:numId w:val="127"/>
        </w:numPr>
        <w:rPr>
          <w:noProof/>
        </w:rPr>
      </w:pPr>
      <w:r w:rsidRPr="00201A9A">
        <w:rPr>
          <w:noProof/>
        </w:rPr>
        <w:t>Państwa członkowskie określają kwotę wsparcia na działania</w:t>
      </w:r>
      <w:r w:rsidR="00201A9A" w:rsidRPr="00201A9A">
        <w:rPr>
          <w:noProof/>
        </w:rPr>
        <w:t xml:space="preserve"> w zak</w:t>
      </w:r>
      <w:r w:rsidRPr="00201A9A">
        <w:rPr>
          <w:noProof/>
        </w:rPr>
        <w:t>resie transformacji,</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10 ust.</w:t>
      </w:r>
      <w:r w:rsidR="00201A9A" w:rsidRPr="00201A9A">
        <w:rPr>
          <w:noProof/>
        </w:rPr>
        <w:t> </w:t>
      </w:r>
      <w:r w:rsidRPr="00201A9A">
        <w:rPr>
          <w:noProof/>
        </w:rPr>
        <w:t>1 lit.</w:t>
      </w:r>
      <w:r w:rsidR="00201A9A" w:rsidRPr="00201A9A">
        <w:rPr>
          <w:noProof/>
        </w:rPr>
        <w:t> </w:t>
      </w:r>
      <w:r w:rsidRPr="00201A9A">
        <w:rPr>
          <w:noProof/>
        </w:rPr>
        <w:t>b) rozporządzenia (UE) 202X/XXXX [rozporządzenie</w:t>
      </w:r>
      <w:r w:rsidR="00201A9A" w:rsidRPr="00201A9A">
        <w:rPr>
          <w:noProof/>
        </w:rPr>
        <w:t xml:space="preserve"> w spr</w:t>
      </w:r>
      <w:r w:rsidRPr="00201A9A">
        <w:rPr>
          <w:noProof/>
        </w:rPr>
        <w:t>awie WPR], na podstawie szacunkowych kosztów określonych</w:t>
      </w:r>
      <w:r w:rsidR="00201A9A" w:rsidRPr="00201A9A">
        <w:rPr>
          <w:noProof/>
        </w:rPr>
        <w:t xml:space="preserve"> w pla</w:t>
      </w:r>
      <w:r w:rsidRPr="00201A9A">
        <w:rPr>
          <w:noProof/>
        </w:rPr>
        <w:t>nach transformacji. Wsparcie jest ograniczone do [200 000 EUR] na rolnika na okres programowania planu.</w:t>
      </w:r>
      <w:r w:rsidR="00201A9A" w:rsidRPr="00201A9A">
        <w:rPr>
          <w:noProof/>
        </w:rPr>
        <w:t xml:space="preserve"> </w:t>
      </w:r>
    </w:p>
    <w:p w14:paraId="0EFA265D" w14:textId="024AD46A" w:rsidR="00E9506B" w:rsidRPr="00201A9A" w:rsidRDefault="00EF21AB" w:rsidP="003E2902">
      <w:pPr>
        <w:pStyle w:val="NumPar10000000"/>
        <w:numPr>
          <w:ilvl w:val="0"/>
          <w:numId w:val="127"/>
        </w:numPr>
        <w:rPr>
          <w:noProof/>
        </w:rPr>
      </w:pPr>
      <w:r w:rsidRPr="00201A9A">
        <w:rPr>
          <w:noProof/>
        </w:rPr>
        <w:t>W przypadku gdy wsparcie publiczne przyznane na podstawie art.</w:t>
      </w:r>
      <w:r w:rsidR="00201A9A" w:rsidRPr="00201A9A">
        <w:rPr>
          <w:noProof/>
        </w:rPr>
        <w:t> </w:t>
      </w:r>
      <w:r w:rsidRPr="00201A9A">
        <w:rPr>
          <w:noProof/>
        </w:rPr>
        <w:t>13 rozporządzenia (UE) 202X/XXXX [rozporządzenie</w:t>
      </w:r>
      <w:r w:rsidR="00201A9A" w:rsidRPr="00201A9A">
        <w:rPr>
          <w:noProof/>
        </w:rPr>
        <w:t xml:space="preserve"> w spr</w:t>
      </w:r>
      <w:r w:rsidRPr="00201A9A">
        <w:rPr>
          <w:noProof/>
        </w:rPr>
        <w:t>awie WPR] na operację inwestycyjną nie przekracza 100 000 EUR</w:t>
      </w:r>
      <w:r w:rsidR="00201A9A" w:rsidRPr="00201A9A">
        <w:rPr>
          <w:noProof/>
        </w:rPr>
        <w:t xml:space="preserve"> i nie</w:t>
      </w:r>
      <w:r w:rsidRPr="00201A9A">
        <w:rPr>
          <w:noProof/>
        </w:rPr>
        <w:t xml:space="preserve"> podlega przepisom dotyczącym zamówień publicznych, wsparcie to przyjmuje formę standardowych stawek jednostkowych, kwot ryczałtowych lub finansowania</w:t>
      </w:r>
      <w:r w:rsidR="00201A9A" w:rsidRPr="00201A9A">
        <w:rPr>
          <w:noProof/>
        </w:rPr>
        <w:t xml:space="preserve"> w opa</w:t>
      </w:r>
      <w:r w:rsidRPr="00201A9A">
        <w:rPr>
          <w:noProof/>
        </w:rPr>
        <w:t>rciu</w:t>
      </w:r>
      <w:r w:rsidR="00201A9A" w:rsidRPr="00201A9A">
        <w:rPr>
          <w:noProof/>
        </w:rPr>
        <w:t xml:space="preserve"> o sta</w:t>
      </w:r>
      <w:r w:rsidRPr="00201A9A">
        <w:rPr>
          <w:noProof/>
        </w:rPr>
        <w:t>wki ryczałtowe. </w:t>
      </w:r>
    </w:p>
    <w:p w14:paraId="2D9E851E" w14:textId="77777777" w:rsidR="00767B44" w:rsidRPr="00201A9A" w:rsidRDefault="00767B44" w:rsidP="004D4C26">
      <w:pPr>
        <w:pStyle w:val="Titlearticle"/>
        <w:rPr>
          <w:b/>
          <w:noProof/>
        </w:rPr>
      </w:pPr>
      <w:r w:rsidRPr="00201A9A">
        <w:rPr>
          <w:noProof/>
        </w:rPr>
        <w:t xml:space="preserve">Artykuł 37 </w:t>
      </w:r>
      <w:r w:rsidRPr="00201A9A">
        <w:rPr>
          <w:noProof/>
        </w:rPr>
        <w:br/>
      </w:r>
      <w:r w:rsidRPr="00201A9A">
        <w:rPr>
          <w:b/>
          <w:noProof/>
        </w:rPr>
        <w:t>Monitorowanie zasobów rolnych</w:t>
      </w:r>
    </w:p>
    <w:p w14:paraId="3565A6BE" w14:textId="2FD0B182" w:rsidR="009E274C" w:rsidRPr="00201A9A" w:rsidRDefault="009E274C" w:rsidP="00B939FF">
      <w:pPr>
        <w:rPr>
          <w:noProof/>
        </w:rPr>
      </w:pPr>
      <w:r w:rsidRPr="00201A9A">
        <w:rPr>
          <w:noProof/>
        </w:rPr>
        <w:t>Fundusz może wspierać działania podejmowane przez Komisję dzięki zastosowaniu technik teledetekcji używanych</w:t>
      </w:r>
      <w:r w:rsidR="00201A9A" w:rsidRPr="00201A9A">
        <w:rPr>
          <w:noProof/>
        </w:rPr>
        <w:t xml:space="preserve"> w ram</w:t>
      </w:r>
      <w:r w:rsidRPr="00201A9A">
        <w:rPr>
          <w:noProof/>
        </w:rPr>
        <w:t>ach systemu monitorowania zasobów rolnych, które to działania mają na celu dostarczenie Komisji środków służących: </w:t>
      </w:r>
    </w:p>
    <w:p w14:paraId="17BA8E82" w14:textId="7741AB70" w:rsidR="009E274C" w:rsidRPr="00201A9A" w:rsidRDefault="00201A9A" w:rsidP="00201A9A">
      <w:pPr>
        <w:pStyle w:val="Point0"/>
        <w:rPr>
          <w:noProof/>
        </w:rPr>
      </w:pPr>
      <w:r w:rsidRPr="00201A9A">
        <w:rPr>
          <w:noProof/>
        </w:rPr>
        <w:t>a)</w:t>
      </w:r>
      <w:r w:rsidRPr="00201A9A">
        <w:rPr>
          <w:noProof/>
        </w:rPr>
        <w:tab/>
      </w:r>
      <w:r w:rsidR="009E274C" w:rsidRPr="00201A9A">
        <w:rPr>
          <w:noProof/>
        </w:rPr>
        <w:t>zarządzaniu unijnymi rynkami rolnymi</w:t>
      </w:r>
      <w:r w:rsidRPr="00201A9A">
        <w:rPr>
          <w:noProof/>
        </w:rPr>
        <w:t xml:space="preserve"> w kon</w:t>
      </w:r>
      <w:r w:rsidR="009E274C" w:rsidRPr="00201A9A">
        <w:rPr>
          <w:noProof/>
        </w:rPr>
        <w:t>tekście globalnym; </w:t>
      </w:r>
    </w:p>
    <w:p w14:paraId="6AF9CFA4" w14:textId="7D988BA3" w:rsidR="009E274C" w:rsidRPr="00201A9A" w:rsidRDefault="00201A9A" w:rsidP="00201A9A">
      <w:pPr>
        <w:pStyle w:val="Point0"/>
        <w:rPr>
          <w:noProof/>
        </w:rPr>
      </w:pPr>
      <w:r w:rsidRPr="00201A9A">
        <w:rPr>
          <w:noProof/>
        </w:rPr>
        <w:t>b)</w:t>
      </w:r>
      <w:r w:rsidRPr="00201A9A">
        <w:rPr>
          <w:noProof/>
        </w:rPr>
        <w:tab/>
      </w:r>
      <w:r w:rsidR="009E274C" w:rsidRPr="00201A9A">
        <w:rPr>
          <w:noProof/>
        </w:rPr>
        <w:t>zapewnieniu monitorowania agroekonomicznego</w:t>
      </w:r>
      <w:r w:rsidRPr="00201A9A">
        <w:rPr>
          <w:noProof/>
        </w:rPr>
        <w:t xml:space="preserve"> i rol</w:t>
      </w:r>
      <w:r w:rsidR="009E274C" w:rsidRPr="00201A9A">
        <w:rPr>
          <w:noProof/>
        </w:rPr>
        <w:t>no-środowiskowo-klimatycznego</w:t>
      </w:r>
      <w:r w:rsidRPr="00201A9A">
        <w:rPr>
          <w:noProof/>
        </w:rPr>
        <w:t xml:space="preserve"> w odn</w:t>
      </w:r>
      <w:r w:rsidR="009E274C" w:rsidRPr="00201A9A">
        <w:rPr>
          <w:noProof/>
        </w:rPr>
        <w:t>iesieniu do użytkowania gruntów rolnych</w:t>
      </w:r>
      <w:r w:rsidRPr="00201A9A">
        <w:rPr>
          <w:noProof/>
        </w:rPr>
        <w:t xml:space="preserve"> i zmi</w:t>
      </w:r>
      <w:r w:rsidR="009E274C" w:rsidRPr="00201A9A">
        <w:rPr>
          <w:noProof/>
        </w:rPr>
        <w:t>an</w:t>
      </w:r>
      <w:r w:rsidRPr="00201A9A">
        <w:rPr>
          <w:noProof/>
        </w:rPr>
        <w:t xml:space="preserve"> w spo</w:t>
      </w:r>
      <w:r w:rsidR="009E274C" w:rsidRPr="00201A9A">
        <w:rPr>
          <w:noProof/>
        </w:rPr>
        <w:t>sobie ich użytkowania,</w:t>
      </w:r>
      <w:r w:rsidRPr="00201A9A">
        <w:rPr>
          <w:noProof/>
        </w:rPr>
        <w:t xml:space="preserve"> w tym</w:t>
      </w:r>
      <w:r w:rsidR="009E274C" w:rsidRPr="00201A9A">
        <w:rPr>
          <w:noProof/>
        </w:rPr>
        <w:t xml:space="preserve"> gruntów rolno-leśnych, jak również monitorowania stanu gleby, upraw, wody, różnorodności biologicznej, krajobrazów rolniczych</w:t>
      </w:r>
      <w:r w:rsidRPr="00201A9A">
        <w:rPr>
          <w:noProof/>
        </w:rPr>
        <w:t xml:space="preserve"> i gru</w:t>
      </w:r>
      <w:r w:rsidR="009E274C" w:rsidRPr="00201A9A">
        <w:rPr>
          <w:noProof/>
        </w:rPr>
        <w:t>ntów rolnych, tak aby umożliwić sporządzenie szacunków,</w:t>
      </w:r>
      <w:r w:rsidRPr="00201A9A">
        <w:rPr>
          <w:noProof/>
        </w:rPr>
        <w:t xml:space="preserve"> w szc</w:t>
      </w:r>
      <w:r w:rsidR="009E274C" w:rsidRPr="00201A9A">
        <w:rPr>
          <w:noProof/>
        </w:rPr>
        <w:t>zególności</w:t>
      </w:r>
      <w:r w:rsidRPr="00201A9A">
        <w:rPr>
          <w:noProof/>
        </w:rPr>
        <w:t xml:space="preserve"> w odn</w:t>
      </w:r>
      <w:r w:rsidR="009E274C" w:rsidRPr="00201A9A">
        <w:rPr>
          <w:noProof/>
        </w:rPr>
        <w:t>iesieniu do plonów</w:t>
      </w:r>
      <w:r w:rsidRPr="00201A9A">
        <w:rPr>
          <w:noProof/>
        </w:rPr>
        <w:t xml:space="preserve"> i pro</w:t>
      </w:r>
      <w:r w:rsidR="009E274C" w:rsidRPr="00201A9A">
        <w:rPr>
          <w:noProof/>
        </w:rPr>
        <w:t>dukcji rolnej oraz skutków dla rolnictwa związanych</w:t>
      </w:r>
      <w:r w:rsidRPr="00201A9A">
        <w:rPr>
          <w:noProof/>
        </w:rPr>
        <w:t xml:space="preserve"> z nad</w:t>
      </w:r>
      <w:r w:rsidR="009E274C" w:rsidRPr="00201A9A">
        <w:rPr>
          <w:noProof/>
        </w:rPr>
        <w:t>zwyczajnymi okolicznościami oraz umożliwić ocenę odporności systemów rolnych oraz postępów</w:t>
      </w:r>
      <w:r w:rsidRPr="00201A9A">
        <w:rPr>
          <w:noProof/>
        </w:rPr>
        <w:t xml:space="preserve"> w osi</w:t>
      </w:r>
      <w:r w:rsidR="009E274C" w:rsidRPr="00201A9A">
        <w:rPr>
          <w:noProof/>
        </w:rPr>
        <w:t>ąganiu odnośnych celów zrównoważonego rozwoju ONZ; </w:t>
      </w:r>
    </w:p>
    <w:p w14:paraId="0C9FAC2F" w14:textId="7E2FF28A" w:rsidR="009E274C" w:rsidRPr="00201A9A" w:rsidRDefault="00201A9A" w:rsidP="00201A9A">
      <w:pPr>
        <w:pStyle w:val="Point0"/>
        <w:rPr>
          <w:noProof/>
        </w:rPr>
      </w:pPr>
      <w:r w:rsidRPr="00201A9A">
        <w:rPr>
          <w:noProof/>
        </w:rPr>
        <w:t>c)</w:t>
      </w:r>
      <w:r w:rsidRPr="00201A9A">
        <w:rPr>
          <w:noProof/>
        </w:rPr>
        <w:tab/>
      </w:r>
      <w:r w:rsidR="009E274C" w:rsidRPr="00201A9A">
        <w:rPr>
          <w:noProof/>
        </w:rPr>
        <w:t>umożliwieniu dostępu do szacunków,</w:t>
      </w:r>
      <w:r w:rsidRPr="00201A9A">
        <w:rPr>
          <w:noProof/>
        </w:rPr>
        <w:t xml:space="preserve"> o któ</w:t>
      </w:r>
      <w:r w:rsidR="009E274C" w:rsidRPr="00201A9A">
        <w:rPr>
          <w:noProof/>
        </w:rPr>
        <w:t>rych mowa</w:t>
      </w:r>
      <w:r w:rsidRPr="00201A9A">
        <w:rPr>
          <w:noProof/>
        </w:rPr>
        <w:t xml:space="preserve"> w lit</w:t>
      </w:r>
      <w:r w:rsidR="009E274C" w:rsidRPr="00201A9A">
        <w:rPr>
          <w:noProof/>
        </w:rPr>
        <w:t>.</w:t>
      </w:r>
      <w:r w:rsidRPr="00201A9A">
        <w:rPr>
          <w:noProof/>
        </w:rPr>
        <w:t> </w:t>
      </w:r>
      <w:r w:rsidR="009E274C" w:rsidRPr="00201A9A">
        <w:rPr>
          <w:noProof/>
        </w:rPr>
        <w:t>b),</w:t>
      </w:r>
      <w:r w:rsidRPr="00201A9A">
        <w:rPr>
          <w:noProof/>
        </w:rPr>
        <w:t xml:space="preserve"> w kon</w:t>
      </w:r>
      <w:r w:rsidR="009E274C" w:rsidRPr="00201A9A">
        <w:rPr>
          <w:noProof/>
        </w:rPr>
        <w:t>tekście międzynarodowym, na przykład</w:t>
      </w:r>
      <w:r w:rsidRPr="00201A9A">
        <w:rPr>
          <w:noProof/>
        </w:rPr>
        <w:t xml:space="preserve"> w ram</w:t>
      </w:r>
      <w:r w:rsidR="009E274C" w:rsidRPr="00201A9A">
        <w:rPr>
          <w:noProof/>
        </w:rPr>
        <w:t>ach inicjatyw koordynowanych przez organizacje</w:t>
      </w:r>
      <w:r w:rsidRPr="00201A9A">
        <w:rPr>
          <w:noProof/>
        </w:rPr>
        <w:t xml:space="preserve"> w ram</w:t>
      </w:r>
      <w:r w:rsidR="009E274C" w:rsidRPr="00201A9A">
        <w:rPr>
          <w:noProof/>
        </w:rPr>
        <w:t>ach Organizacji Narodów Zjednoczonych – takich jak ustanowienie wykazów gazów cieplarnianych</w:t>
      </w:r>
      <w:r w:rsidRPr="00201A9A">
        <w:rPr>
          <w:noProof/>
        </w:rPr>
        <w:t xml:space="preserve"> w ram</w:t>
      </w:r>
      <w:r w:rsidR="009E274C" w:rsidRPr="00201A9A">
        <w:rPr>
          <w:noProof/>
        </w:rPr>
        <w:t>ach Ramowej konwencji Narodów Zjednoczonych</w:t>
      </w:r>
      <w:r w:rsidRPr="00201A9A">
        <w:rPr>
          <w:noProof/>
        </w:rPr>
        <w:t xml:space="preserve"> w spr</w:t>
      </w:r>
      <w:r w:rsidR="009E274C" w:rsidRPr="00201A9A">
        <w:rPr>
          <w:noProof/>
        </w:rPr>
        <w:t>awie zmian klimatu – lub przez inne agencje międzynarodowe; </w:t>
      </w:r>
    </w:p>
    <w:p w14:paraId="649D463D" w14:textId="65D86C7E" w:rsidR="009E274C" w:rsidRPr="00201A9A" w:rsidRDefault="00201A9A" w:rsidP="00201A9A">
      <w:pPr>
        <w:pStyle w:val="Point0"/>
        <w:rPr>
          <w:noProof/>
        </w:rPr>
      </w:pPr>
      <w:r w:rsidRPr="00201A9A">
        <w:rPr>
          <w:noProof/>
        </w:rPr>
        <w:t>d)</w:t>
      </w:r>
      <w:r w:rsidRPr="00201A9A">
        <w:rPr>
          <w:noProof/>
        </w:rPr>
        <w:tab/>
      </w:r>
      <w:r w:rsidR="009E274C" w:rsidRPr="00201A9A">
        <w:rPr>
          <w:noProof/>
        </w:rPr>
        <w:t>przyczynieniu się do szczególnych środków zwiększających przejrzystość rynków światowych,</w:t>
      </w:r>
      <w:r w:rsidRPr="00201A9A">
        <w:rPr>
          <w:noProof/>
        </w:rPr>
        <w:t xml:space="preserve"> z uwz</w:t>
      </w:r>
      <w:r w:rsidR="009E274C" w:rsidRPr="00201A9A">
        <w:rPr>
          <w:noProof/>
        </w:rPr>
        <w:t>ględnieniem celów</w:t>
      </w:r>
      <w:r w:rsidRPr="00201A9A">
        <w:rPr>
          <w:noProof/>
        </w:rPr>
        <w:t xml:space="preserve"> i zob</w:t>
      </w:r>
      <w:r w:rsidR="009E274C" w:rsidRPr="00201A9A">
        <w:rPr>
          <w:noProof/>
        </w:rPr>
        <w:t>owiązań Unii; </w:t>
      </w:r>
    </w:p>
    <w:p w14:paraId="009C70B9" w14:textId="4BCCF96C" w:rsidR="00B51071" w:rsidRPr="00201A9A" w:rsidRDefault="00201A9A" w:rsidP="00201A9A">
      <w:pPr>
        <w:pStyle w:val="Point0"/>
        <w:rPr>
          <w:noProof/>
        </w:rPr>
      </w:pPr>
      <w:r w:rsidRPr="00201A9A">
        <w:rPr>
          <w:noProof/>
        </w:rPr>
        <w:t>e)</w:t>
      </w:r>
      <w:r w:rsidRPr="00201A9A">
        <w:rPr>
          <w:noProof/>
        </w:rPr>
        <w:tab/>
      </w:r>
      <w:r w:rsidR="009E274C" w:rsidRPr="00201A9A">
        <w:rPr>
          <w:noProof/>
        </w:rPr>
        <w:t>zapewnieniu technologicznego monitorowania systemu agrometeorologicznego. </w:t>
      </w:r>
    </w:p>
    <w:p w14:paraId="0C9D2587" w14:textId="7E148F73" w:rsidR="00DE7DC8" w:rsidRPr="00201A9A" w:rsidRDefault="00DE7DC8" w:rsidP="000528CF">
      <w:pPr>
        <w:pStyle w:val="Titlearticle"/>
        <w:rPr>
          <w:b/>
          <w:noProof/>
        </w:rPr>
      </w:pPr>
      <w:r w:rsidRPr="00201A9A">
        <w:rPr>
          <w:noProof/>
        </w:rPr>
        <w:t xml:space="preserve">Artykuł 38 </w:t>
      </w:r>
      <w:r w:rsidRPr="00201A9A">
        <w:rPr>
          <w:noProof/>
        </w:rPr>
        <w:br/>
      </w:r>
      <w:r w:rsidRPr="00201A9A">
        <w:rPr>
          <w:b/>
          <w:noProof/>
        </w:rPr>
        <w:t>Płatności kryzysowe dla rolników</w:t>
      </w:r>
      <w:r w:rsidR="00201A9A" w:rsidRPr="00201A9A">
        <w:rPr>
          <w:b/>
          <w:noProof/>
        </w:rPr>
        <w:t xml:space="preserve"> w nas</w:t>
      </w:r>
      <w:r w:rsidRPr="00201A9A">
        <w:rPr>
          <w:b/>
          <w:noProof/>
        </w:rPr>
        <w:t>tępstwie klęsk żywiołowych, niekorzystnych zjawisk klimatycznych</w:t>
      </w:r>
      <w:r w:rsidR="00201A9A" w:rsidRPr="00201A9A">
        <w:rPr>
          <w:b/>
          <w:noProof/>
        </w:rPr>
        <w:t xml:space="preserve"> i kat</w:t>
      </w:r>
      <w:r w:rsidRPr="00201A9A">
        <w:rPr>
          <w:b/>
          <w:noProof/>
        </w:rPr>
        <w:t>astrof</w:t>
      </w:r>
    </w:p>
    <w:p w14:paraId="03B567FE" w14:textId="10186D1C" w:rsidR="00DE7DC8" w:rsidRPr="00201A9A" w:rsidRDefault="00DE7DC8" w:rsidP="003E2902">
      <w:pPr>
        <w:pStyle w:val="NumPar10000000"/>
        <w:numPr>
          <w:ilvl w:val="0"/>
          <w:numId w:val="112"/>
        </w:numPr>
        <w:rPr>
          <w:noProof/>
        </w:rPr>
      </w:pPr>
      <w:r w:rsidRPr="00201A9A">
        <w:rPr>
          <w:noProof/>
        </w:rPr>
        <w:t>Państwa członkowskie mogą przyznawać płatności kryzysowe rolnikom dotkniętym klęskami żywiołowymi, niekorzystnymi zjawiskami klimatycznymi lub katastrofami. Płatności te mają na celu zapewnienie ciągłości działalności rolniczej tych rolników</w:t>
      </w:r>
      <w:r w:rsidR="00201A9A" w:rsidRPr="00201A9A">
        <w:rPr>
          <w:noProof/>
        </w:rPr>
        <w:t xml:space="preserve"> i pod</w:t>
      </w:r>
      <w:r w:rsidRPr="00201A9A">
        <w:rPr>
          <w:noProof/>
        </w:rPr>
        <w:t>legają warunkom określonym</w:t>
      </w:r>
      <w:r w:rsidR="00201A9A" w:rsidRPr="00201A9A">
        <w:rPr>
          <w:noProof/>
        </w:rPr>
        <w:t xml:space="preserve"> w nin</w:t>
      </w:r>
      <w:r w:rsidRPr="00201A9A">
        <w:rPr>
          <w:noProof/>
        </w:rPr>
        <w:t>iejszym artykule</w:t>
      </w:r>
      <w:r w:rsidR="00201A9A" w:rsidRPr="00201A9A">
        <w:rPr>
          <w:noProof/>
        </w:rPr>
        <w:t xml:space="preserve"> i dop</w:t>
      </w:r>
      <w:r w:rsidRPr="00201A9A">
        <w:rPr>
          <w:noProof/>
        </w:rPr>
        <w:t>recyzowanym przez państwa członkowskie.  </w:t>
      </w:r>
      <w:r w:rsidR="00201A9A" w:rsidRPr="00201A9A">
        <w:rPr>
          <w:noProof/>
        </w:rPr>
        <w:t xml:space="preserve"> </w:t>
      </w:r>
    </w:p>
    <w:p w14:paraId="61631FE0" w14:textId="594C894B" w:rsidR="00DE7DC8" w:rsidRPr="00201A9A" w:rsidRDefault="00DE7DC8" w:rsidP="003E2902">
      <w:pPr>
        <w:pStyle w:val="NumPar10000000"/>
        <w:numPr>
          <w:ilvl w:val="0"/>
          <w:numId w:val="112"/>
        </w:numPr>
        <w:rPr>
          <w:noProof/>
        </w:rPr>
      </w:pPr>
      <w:r w:rsidRPr="00201A9A">
        <w:rPr>
          <w:noProof/>
        </w:rPr>
        <w:t>Wsparcie na podstawie niniejszego artykułu jest uzależnione od formalnego potwierdzenia przez właściwy organ państwa członkowskiego, że miała miejsce klęska żywiołowa, niekorzystne zjawisko klimatyczne lub katastrofa, zgodnie</w:t>
      </w:r>
      <w:r w:rsidR="00201A9A" w:rsidRPr="00201A9A">
        <w:rPr>
          <w:noProof/>
        </w:rPr>
        <w:t xml:space="preserve"> z def</w:t>
      </w:r>
      <w:r w:rsidRPr="00201A9A">
        <w:rPr>
          <w:noProof/>
        </w:rPr>
        <w:t>inicjami tych pojęć przyjętymi</w:t>
      </w:r>
      <w:r w:rsidR="00201A9A" w:rsidRPr="00201A9A">
        <w:rPr>
          <w:noProof/>
        </w:rPr>
        <w:t xml:space="preserve"> w dan</w:t>
      </w:r>
      <w:r w:rsidRPr="00201A9A">
        <w:rPr>
          <w:noProof/>
        </w:rPr>
        <w:t>ym państwie członkowskim, oraz potwierdzenia, że wymienione zdarzenia lub środki przyjęte zgodnie</w:t>
      </w:r>
      <w:r w:rsidR="00201A9A" w:rsidRPr="00201A9A">
        <w:rPr>
          <w:noProof/>
        </w:rPr>
        <w:t xml:space="preserve"> z roz</w:t>
      </w:r>
      <w:r w:rsidRPr="00201A9A">
        <w:rPr>
          <w:noProof/>
        </w:rPr>
        <w:t>porządzeniem (UE) 2016/2031</w:t>
      </w:r>
      <w:r w:rsidR="00201A9A" w:rsidRPr="00201A9A">
        <w:rPr>
          <w:noProof/>
        </w:rPr>
        <w:t xml:space="preserve"> w cel</w:t>
      </w:r>
      <w:r w:rsidRPr="00201A9A">
        <w:rPr>
          <w:noProof/>
        </w:rPr>
        <w:t>u zwalczania choroby roślin lub agrofaga lub ograniczania ich rozprzestrzeniania, środki przyjęte</w:t>
      </w:r>
      <w:r w:rsidR="00201A9A" w:rsidRPr="00201A9A">
        <w:rPr>
          <w:noProof/>
        </w:rPr>
        <w:t xml:space="preserve"> w cel</w:t>
      </w:r>
      <w:r w:rsidRPr="00201A9A">
        <w:rPr>
          <w:noProof/>
        </w:rPr>
        <w:t>u zwalczania chorób zwierząt wymienionych</w:t>
      </w:r>
      <w:r w:rsidR="00201A9A" w:rsidRPr="00201A9A">
        <w:rPr>
          <w:noProof/>
        </w:rPr>
        <w:t xml:space="preserve"> w zał</w:t>
      </w:r>
      <w:r w:rsidRPr="00201A9A">
        <w:rPr>
          <w:noProof/>
        </w:rPr>
        <w:t>ączniku do rozporządzenia wykonawczego Komisji (UE) 2018/1882 lub zapobiegania tym chorobom, lub też środki przyjęte</w:t>
      </w:r>
      <w:r w:rsidR="00201A9A" w:rsidRPr="00201A9A">
        <w:rPr>
          <w:noProof/>
        </w:rPr>
        <w:t xml:space="preserve"> w odn</w:t>
      </w:r>
      <w:r w:rsidRPr="00201A9A">
        <w:rPr>
          <w:noProof/>
        </w:rPr>
        <w:t>iesieniu do nowo występującej choroby zgodnie</w:t>
      </w:r>
      <w:r w:rsidR="00201A9A" w:rsidRPr="00201A9A">
        <w:rPr>
          <w:noProof/>
        </w:rPr>
        <w:t xml:space="preserve"> z art</w:t>
      </w:r>
      <w:r w:rsidRPr="00201A9A">
        <w:rPr>
          <w:noProof/>
        </w:rPr>
        <w:t>.</w:t>
      </w:r>
      <w:r w:rsidR="00201A9A" w:rsidRPr="00201A9A">
        <w:rPr>
          <w:noProof/>
        </w:rPr>
        <w:t> </w:t>
      </w:r>
      <w:r w:rsidRPr="00201A9A">
        <w:rPr>
          <w:noProof/>
        </w:rPr>
        <w:t>6 ust.</w:t>
      </w:r>
      <w:r w:rsidR="00201A9A" w:rsidRPr="00201A9A">
        <w:rPr>
          <w:noProof/>
        </w:rPr>
        <w:t> </w:t>
      </w:r>
      <w:r w:rsidRPr="00201A9A">
        <w:rPr>
          <w:noProof/>
        </w:rPr>
        <w:t>3</w:t>
      </w:r>
      <w:r w:rsidR="00201A9A" w:rsidRPr="00201A9A">
        <w:rPr>
          <w:noProof/>
        </w:rPr>
        <w:t xml:space="preserve"> i art</w:t>
      </w:r>
      <w:r w:rsidRPr="00201A9A">
        <w:rPr>
          <w:noProof/>
        </w:rPr>
        <w:t>.</w:t>
      </w:r>
      <w:r w:rsidR="00201A9A" w:rsidRPr="00201A9A">
        <w:rPr>
          <w:noProof/>
        </w:rPr>
        <w:t> </w:t>
      </w:r>
      <w:r w:rsidRPr="00201A9A">
        <w:rPr>
          <w:noProof/>
        </w:rPr>
        <w:t>259 rozporządzenia (UE) 2016/429 bezpośrednio spowodowały zniszczenie co najmniej 30</w:t>
      </w:r>
      <w:r w:rsidR="00201A9A" w:rsidRPr="00201A9A">
        <w:rPr>
          <w:noProof/>
        </w:rPr>
        <w:t> </w:t>
      </w:r>
      <w:r w:rsidRPr="00201A9A">
        <w:rPr>
          <w:noProof/>
        </w:rPr>
        <w:t>% średniej rocznej produkcji danego rolnika wyliczonej na podstawie produkcji</w:t>
      </w:r>
      <w:r w:rsidR="00201A9A" w:rsidRPr="00201A9A">
        <w:rPr>
          <w:noProof/>
        </w:rPr>
        <w:t xml:space="preserve"> z pop</w:t>
      </w:r>
      <w:r w:rsidRPr="00201A9A">
        <w:rPr>
          <w:noProof/>
        </w:rPr>
        <w:t>rzednich trzech lat lub średniej</w:t>
      </w:r>
      <w:r w:rsidR="00201A9A" w:rsidRPr="00201A9A">
        <w:rPr>
          <w:noProof/>
        </w:rPr>
        <w:t xml:space="preserve"> z trz</w:t>
      </w:r>
      <w:r w:rsidRPr="00201A9A">
        <w:rPr>
          <w:noProof/>
        </w:rPr>
        <w:t>ech lat wyliczonej na podstawie pięciu wcześniejszych lat,</w:t>
      </w:r>
      <w:r w:rsidR="00201A9A" w:rsidRPr="00201A9A">
        <w:rPr>
          <w:noProof/>
        </w:rPr>
        <w:t xml:space="preserve"> z wył</w:t>
      </w:r>
      <w:r w:rsidRPr="00201A9A">
        <w:rPr>
          <w:noProof/>
        </w:rPr>
        <w:t>ączeniem wartości najwyższej</w:t>
      </w:r>
      <w:r w:rsidR="00201A9A" w:rsidRPr="00201A9A">
        <w:rPr>
          <w:noProof/>
        </w:rPr>
        <w:t xml:space="preserve"> i naj</w:t>
      </w:r>
      <w:r w:rsidRPr="00201A9A">
        <w:rPr>
          <w:noProof/>
        </w:rPr>
        <w:t>niższej.    </w:t>
      </w:r>
      <w:r w:rsidR="00201A9A" w:rsidRPr="00201A9A">
        <w:rPr>
          <w:noProof/>
        </w:rPr>
        <w:t xml:space="preserve"> </w:t>
      </w:r>
    </w:p>
    <w:p w14:paraId="32CAB718" w14:textId="183F5E19" w:rsidR="00DE7DC8" w:rsidRPr="00201A9A" w:rsidRDefault="00DE7DC8" w:rsidP="003E2902">
      <w:pPr>
        <w:pStyle w:val="NumPar10000000"/>
        <w:numPr>
          <w:ilvl w:val="0"/>
          <w:numId w:val="112"/>
        </w:numPr>
        <w:rPr>
          <w:noProof/>
        </w:rPr>
      </w:pPr>
      <w:r w:rsidRPr="00201A9A">
        <w:rPr>
          <w:noProof/>
        </w:rPr>
        <w:t>Straty oblicza się na poziomie gospodarstwa, na poziomie działalności gospodarstwa</w:t>
      </w:r>
      <w:r w:rsidR="00201A9A" w:rsidRPr="00201A9A">
        <w:rPr>
          <w:noProof/>
        </w:rPr>
        <w:t xml:space="preserve"> w odn</w:t>
      </w:r>
      <w:r w:rsidRPr="00201A9A">
        <w:rPr>
          <w:noProof/>
        </w:rPr>
        <w:t>ośnym sektorze albo</w:t>
      </w:r>
      <w:r w:rsidR="00201A9A" w:rsidRPr="00201A9A">
        <w:rPr>
          <w:noProof/>
        </w:rPr>
        <w:t xml:space="preserve"> w odn</w:t>
      </w:r>
      <w:r w:rsidRPr="00201A9A">
        <w:rPr>
          <w:noProof/>
        </w:rPr>
        <w:t>iesieniu do danego obszaru. </w:t>
      </w:r>
      <w:r w:rsidR="00201A9A" w:rsidRPr="00201A9A">
        <w:rPr>
          <w:noProof/>
        </w:rPr>
        <w:t xml:space="preserve"> </w:t>
      </w:r>
    </w:p>
    <w:p w14:paraId="25DEE64B" w14:textId="4FD102EB" w:rsidR="00DE7DC8" w:rsidRPr="00201A9A" w:rsidRDefault="00DE7DC8" w:rsidP="003E2902">
      <w:pPr>
        <w:pStyle w:val="NumPar10000000"/>
        <w:numPr>
          <w:ilvl w:val="0"/>
          <w:numId w:val="112"/>
        </w:numPr>
        <w:rPr>
          <w:noProof/>
        </w:rPr>
      </w:pPr>
      <w:r w:rsidRPr="00201A9A">
        <w:rPr>
          <w:noProof/>
        </w:rPr>
        <w:t>Państwa członkowskie ustanawiają mający zastosowanie poziom dofinansowania, aby zrekompensować straty</w:t>
      </w:r>
      <w:r w:rsidR="00201A9A" w:rsidRPr="00201A9A">
        <w:rPr>
          <w:noProof/>
        </w:rPr>
        <w:t xml:space="preserve"> w pro</w:t>
      </w:r>
      <w:r w:rsidRPr="00201A9A">
        <w:rPr>
          <w:noProof/>
        </w:rPr>
        <w:t>dukcji. Poziom dofinansowania jest wyższy</w:t>
      </w:r>
      <w:r w:rsidR="00201A9A" w:rsidRPr="00201A9A">
        <w:rPr>
          <w:noProof/>
        </w:rPr>
        <w:t xml:space="preserve"> w prz</w:t>
      </w:r>
      <w:r w:rsidRPr="00201A9A">
        <w:rPr>
          <w:noProof/>
        </w:rPr>
        <w:t>ypadku rolników, którzy wdrażają również interwencje lub inne działania zapobiegawcze na poziomie gospodarstwa</w:t>
      </w:r>
      <w:r w:rsidR="00201A9A" w:rsidRPr="00201A9A">
        <w:rPr>
          <w:noProof/>
        </w:rPr>
        <w:t xml:space="preserve"> w cel</w:t>
      </w:r>
      <w:r w:rsidRPr="00201A9A">
        <w:rPr>
          <w:noProof/>
        </w:rPr>
        <w:t>u zmniejszenia poziomu ryzyka związanego</w:t>
      </w:r>
      <w:r w:rsidR="00201A9A" w:rsidRPr="00201A9A">
        <w:rPr>
          <w:noProof/>
        </w:rPr>
        <w:t xml:space="preserve"> z pro</w:t>
      </w:r>
      <w:r w:rsidRPr="00201A9A">
        <w:rPr>
          <w:noProof/>
        </w:rPr>
        <w:t>dukcją</w:t>
      </w:r>
      <w:r w:rsidR="00201A9A" w:rsidRPr="00201A9A">
        <w:rPr>
          <w:noProof/>
        </w:rPr>
        <w:t xml:space="preserve"> i doc</w:t>
      </w:r>
      <w:r w:rsidRPr="00201A9A">
        <w:rPr>
          <w:noProof/>
        </w:rPr>
        <w:t>hodami,</w:t>
      </w:r>
      <w:r w:rsidR="00201A9A" w:rsidRPr="00201A9A">
        <w:rPr>
          <w:noProof/>
        </w:rPr>
        <w:t xml:space="preserve"> w odn</w:t>
      </w:r>
      <w:r w:rsidRPr="00201A9A">
        <w:rPr>
          <w:noProof/>
        </w:rPr>
        <w:t>iesieniu do którego przyznawane jest wsparcie. Dopuszcza się stosowanie wskaźników do obliczania strat</w:t>
      </w:r>
      <w:r w:rsidR="00201A9A" w:rsidRPr="00201A9A">
        <w:rPr>
          <w:noProof/>
        </w:rPr>
        <w:t xml:space="preserve"> w pro</w:t>
      </w:r>
      <w:r w:rsidRPr="00201A9A">
        <w:rPr>
          <w:noProof/>
        </w:rPr>
        <w:t>dukcji.  </w:t>
      </w:r>
      <w:r w:rsidR="00201A9A" w:rsidRPr="00201A9A">
        <w:rPr>
          <w:noProof/>
        </w:rPr>
        <w:t xml:space="preserve"> </w:t>
      </w:r>
    </w:p>
    <w:p w14:paraId="7335852A" w14:textId="7ABFB431" w:rsidR="00DE7DC8" w:rsidRPr="00201A9A" w:rsidRDefault="00DE7DC8" w:rsidP="003E2902">
      <w:pPr>
        <w:pStyle w:val="NumPar10000000"/>
        <w:numPr>
          <w:ilvl w:val="0"/>
          <w:numId w:val="112"/>
        </w:numPr>
        <w:rPr>
          <w:noProof/>
        </w:rPr>
      </w:pPr>
      <w:r w:rsidRPr="00201A9A">
        <w:rPr>
          <w:noProof/>
        </w:rPr>
        <w:t>Przyznając wsparcie na podstawie niniejszego artykułu, państwa członkowskie zapewniają, aby nie wystąpiła nadwyżka rekompensaty</w:t>
      </w:r>
      <w:r w:rsidR="00201A9A" w:rsidRPr="00201A9A">
        <w:rPr>
          <w:noProof/>
        </w:rPr>
        <w:t xml:space="preserve"> w wyn</w:t>
      </w:r>
      <w:r w:rsidRPr="00201A9A">
        <w:rPr>
          <w:noProof/>
        </w:rPr>
        <w:t>iku połączenia tego wsparcia</w:t>
      </w:r>
      <w:r w:rsidR="00201A9A" w:rsidRPr="00201A9A">
        <w:rPr>
          <w:noProof/>
        </w:rPr>
        <w:t xml:space="preserve"> z inn</w:t>
      </w:r>
      <w:r w:rsidRPr="00201A9A">
        <w:rPr>
          <w:noProof/>
        </w:rPr>
        <w:t>ymi krajowymi lub unijnymi instrumentami wsparcia bądź prywatnymi systemami ubezpieczeń.  </w:t>
      </w:r>
    </w:p>
    <w:p w14:paraId="674285C1" w14:textId="08E061CE" w:rsidR="00E9506B" w:rsidRPr="00201A9A" w:rsidRDefault="00E9506B" w:rsidP="00E9506B">
      <w:pPr>
        <w:pStyle w:val="Titlearticle"/>
        <w:rPr>
          <w:b/>
          <w:noProof/>
        </w:rPr>
      </w:pPr>
      <w:r w:rsidRPr="00201A9A">
        <w:rPr>
          <w:noProof/>
        </w:rPr>
        <w:t xml:space="preserve">Artykuł 39 </w:t>
      </w:r>
      <w:r w:rsidRPr="00201A9A">
        <w:rPr>
          <w:noProof/>
        </w:rPr>
        <w:br/>
      </w:r>
      <w:r w:rsidRPr="00201A9A">
        <w:rPr>
          <w:b/>
          <w:noProof/>
        </w:rPr>
        <w:t>Płatność specyficzna</w:t>
      </w:r>
      <w:r w:rsidR="00201A9A" w:rsidRPr="00201A9A">
        <w:rPr>
          <w:b/>
          <w:noProof/>
        </w:rPr>
        <w:t xml:space="preserve"> w odn</w:t>
      </w:r>
      <w:r w:rsidRPr="00201A9A">
        <w:rPr>
          <w:b/>
          <w:noProof/>
        </w:rPr>
        <w:t xml:space="preserve">iesieniu do bawełny </w:t>
      </w:r>
    </w:p>
    <w:p w14:paraId="7E1233B9" w14:textId="1D0ED22B" w:rsidR="00E9506B" w:rsidRPr="00201A9A" w:rsidRDefault="00E9506B" w:rsidP="003E2902">
      <w:pPr>
        <w:pStyle w:val="NumPar10000000"/>
        <w:numPr>
          <w:ilvl w:val="0"/>
          <w:numId w:val="113"/>
        </w:numPr>
        <w:rPr>
          <w:noProof/>
        </w:rPr>
      </w:pPr>
      <w:r w:rsidRPr="00201A9A">
        <w:rPr>
          <w:noProof/>
        </w:rPr>
        <w:t>Bułgaria, Grecja, Hiszpania</w:t>
      </w:r>
      <w:r w:rsidR="00201A9A" w:rsidRPr="00201A9A">
        <w:rPr>
          <w:noProof/>
        </w:rPr>
        <w:t xml:space="preserve"> i Por</w:t>
      </w:r>
      <w:r w:rsidRPr="00201A9A">
        <w:rPr>
          <w:noProof/>
        </w:rPr>
        <w:t>tugalia przyznają płatność specyficzną</w:t>
      </w:r>
      <w:r w:rsidR="00201A9A" w:rsidRPr="00201A9A">
        <w:rPr>
          <w:noProof/>
        </w:rPr>
        <w:t xml:space="preserve"> w odn</w:t>
      </w:r>
      <w:r w:rsidRPr="00201A9A">
        <w:rPr>
          <w:noProof/>
        </w:rPr>
        <w:t>iesieniu do bawełny rolnikom produkującym bawełnę objętą kodem CN 5201 00. Te państwa członkowskie ustanawiają szczegółowe wymogi</w:t>
      </w:r>
      <w:r w:rsidR="00201A9A" w:rsidRPr="00201A9A">
        <w:rPr>
          <w:noProof/>
        </w:rPr>
        <w:t xml:space="preserve"> w cel</w:t>
      </w:r>
      <w:r w:rsidRPr="00201A9A">
        <w:rPr>
          <w:noProof/>
        </w:rPr>
        <w:t>u zagwarantowania minimalnego poziomu wydajności produkcji</w:t>
      </w:r>
      <w:r w:rsidR="00201A9A" w:rsidRPr="00201A9A">
        <w:rPr>
          <w:noProof/>
        </w:rPr>
        <w:t xml:space="preserve"> i jak</w:t>
      </w:r>
      <w:r w:rsidRPr="00201A9A">
        <w:rPr>
          <w:noProof/>
        </w:rPr>
        <w:t>ości produktów.   </w:t>
      </w:r>
    </w:p>
    <w:p w14:paraId="1B572EA7" w14:textId="7752205C" w:rsidR="00E9506B" w:rsidRPr="00201A9A" w:rsidRDefault="00E9506B" w:rsidP="003E2902">
      <w:pPr>
        <w:pStyle w:val="NumPar10000000"/>
        <w:numPr>
          <w:ilvl w:val="0"/>
          <w:numId w:val="38"/>
        </w:numPr>
        <w:rPr>
          <w:noProof/>
        </w:rPr>
      </w:pPr>
      <w:r w:rsidRPr="00201A9A">
        <w:rPr>
          <w:noProof/>
        </w:rPr>
        <w:t>Państwa członkowskie,</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zapewniają, aby wspierana produkcja bawełny nie obciążała nadmiernie zasobów naturalnych, takich jak woda</w:t>
      </w:r>
      <w:r w:rsidR="00201A9A" w:rsidRPr="00201A9A">
        <w:rPr>
          <w:noProof/>
        </w:rPr>
        <w:t xml:space="preserve"> i gle</w:t>
      </w:r>
      <w:r w:rsidRPr="00201A9A">
        <w:rPr>
          <w:noProof/>
        </w:rPr>
        <w:t>ba</w:t>
      </w:r>
      <w:r w:rsidR="00201A9A" w:rsidRPr="00201A9A">
        <w:rPr>
          <w:noProof/>
        </w:rPr>
        <w:t>. W tym</w:t>
      </w:r>
      <w:r w:rsidRPr="00201A9A">
        <w:rPr>
          <w:noProof/>
        </w:rPr>
        <w:t xml:space="preserve"> celu lub</w:t>
      </w:r>
      <w:r w:rsidR="00201A9A" w:rsidRPr="00201A9A">
        <w:rPr>
          <w:noProof/>
        </w:rPr>
        <w:t xml:space="preserve"> z inn</w:t>
      </w:r>
      <w:r w:rsidRPr="00201A9A">
        <w:rPr>
          <w:noProof/>
        </w:rPr>
        <w:t>ych względów środowiskowych lub społeczno-ekonomicznych te państwa członkowskie mogą przyznawać pomoc wyłącznie na określone odmiany bawełny</w:t>
      </w:r>
      <w:r w:rsidR="00201A9A" w:rsidRPr="00201A9A">
        <w:rPr>
          <w:noProof/>
        </w:rPr>
        <w:t xml:space="preserve"> w okr</w:t>
      </w:r>
      <w:r w:rsidRPr="00201A9A">
        <w:rPr>
          <w:noProof/>
        </w:rPr>
        <w:t>eślonych regionach lub na określone typy rolnicze lub mogą ustanowić wymogi związane</w:t>
      </w:r>
      <w:r w:rsidR="00201A9A" w:rsidRPr="00201A9A">
        <w:rPr>
          <w:noProof/>
        </w:rPr>
        <w:t xml:space="preserve"> z pra</w:t>
      </w:r>
      <w:r w:rsidRPr="00201A9A">
        <w:rPr>
          <w:noProof/>
        </w:rPr>
        <w:t>ktykami agronomicznymi.   </w:t>
      </w:r>
    </w:p>
    <w:p w14:paraId="7AA58C9D" w14:textId="23364573" w:rsidR="00E9506B" w:rsidRPr="00201A9A" w:rsidRDefault="00E9506B" w:rsidP="003E2902">
      <w:pPr>
        <w:pStyle w:val="NumPar10000000"/>
        <w:numPr>
          <w:ilvl w:val="0"/>
          <w:numId w:val="38"/>
        </w:numPr>
        <w:rPr>
          <w:noProof/>
        </w:rPr>
      </w:pPr>
      <w:r w:rsidRPr="00201A9A">
        <w:rPr>
          <w:noProof/>
        </w:rPr>
        <w:t>Płatność specyficzna</w:t>
      </w:r>
      <w:r w:rsidR="00201A9A" w:rsidRPr="00201A9A">
        <w:rPr>
          <w:noProof/>
        </w:rPr>
        <w:t xml:space="preserve"> w odn</w:t>
      </w:r>
      <w:r w:rsidRPr="00201A9A">
        <w:rPr>
          <w:noProof/>
        </w:rPr>
        <w:t>iesieniu do bawełny jest przyznawana na hektar kwalifikowalnego obszaru uprawy bawełny.  </w:t>
      </w:r>
    </w:p>
    <w:p w14:paraId="3C105BF8" w14:textId="77777777" w:rsidR="00E9506B" w:rsidRPr="00201A9A" w:rsidRDefault="00E9506B" w:rsidP="003E2902">
      <w:pPr>
        <w:pStyle w:val="NumPar10000000"/>
        <w:numPr>
          <w:ilvl w:val="0"/>
          <w:numId w:val="38"/>
        </w:numPr>
        <w:rPr>
          <w:noProof/>
        </w:rPr>
      </w:pPr>
      <w:r w:rsidRPr="00201A9A">
        <w:rPr>
          <w:noProof/>
        </w:rPr>
        <w:t xml:space="preserve">Ustanawia się następujące krajowe obszary bazowe:  </w:t>
      </w:r>
    </w:p>
    <w:p w14:paraId="5AA51986" w14:textId="797A309E" w:rsidR="00E9506B" w:rsidRPr="00201A9A" w:rsidRDefault="00201A9A" w:rsidP="00201A9A">
      <w:pPr>
        <w:pStyle w:val="Point1"/>
        <w:rPr>
          <w:noProof/>
        </w:rPr>
      </w:pPr>
      <w:r w:rsidRPr="00201A9A">
        <w:rPr>
          <w:noProof/>
        </w:rPr>
        <w:t>a)</w:t>
      </w:r>
      <w:r w:rsidRPr="00201A9A">
        <w:rPr>
          <w:noProof/>
        </w:rPr>
        <w:tab/>
      </w:r>
      <w:r w:rsidR="00E9506B" w:rsidRPr="00201A9A">
        <w:rPr>
          <w:noProof/>
        </w:rPr>
        <w:t xml:space="preserve">Bułgaria: 3 342 ha;   </w:t>
      </w:r>
    </w:p>
    <w:p w14:paraId="0AD1211E" w14:textId="623337FD" w:rsidR="00E9506B" w:rsidRPr="00201A9A" w:rsidRDefault="00201A9A" w:rsidP="00201A9A">
      <w:pPr>
        <w:pStyle w:val="Point1"/>
        <w:rPr>
          <w:noProof/>
        </w:rPr>
      </w:pPr>
      <w:r w:rsidRPr="00201A9A">
        <w:rPr>
          <w:noProof/>
        </w:rPr>
        <w:t>b)</w:t>
      </w:r>
      <w:r w:rsidRPr="00201A9A">
        <w:rPr>
          <w:noProof/>
        </w:rPr>
        <w:tab/>
      </w:r>
      <w:r w:rsidR="00E9506B" w:rsidRPr="00201A9A">
        <w:rPr>
          <w:noProof/>
        </w:rPr>
        <w:t xml:space="preserve">Grecja: 250 000 ha;   </w:t>
      </w:r>
    </w:p>
    <w:p w14:paraId="13F043E8" w14:textId="76E21626" w:rsidR="00E9506B" w:rsidRPr="00201A9A" w:rsidRDefault="00201A9A" w:rsidP="00201A9A">
      <w:pPr>
        <w:pStyle w:val="Point1"/>
        <w:rPr>
          <w:noProof/>
        </w:rPr>
      </w:pPr>
      <w:r w:rsidRPr="00201A9A">
        <w:rPr>
          <w:noProof/>
        </w:rPr>
        <w:t>c)</w:t>
      </w:r>
      <w:r w:rsidRPr="00201A9A">
        <w:rPr>
          <w:noProof/>
        </w:rPr>
        <w:tab/>
      </w:r>
      <w:r w:rsidR="00E9506B" w:rsidRPr="00201A9A">
        <w:rPr>
          <w:noProof/>
        </w:rPr>
        <w:t xml:space="preserve">Hiszpania: 48 000 ha;   </w:t>
      </w:r>
    </w:p>
    <w:p w14:paraId="0369E41E" w14:textId="0C0CA66F" w:rsidR="00E9506B" w:rsidRPr="00201A9A" w:rsidRDefault="00201A9A" w:rsidP="00201A9A">
      <w:pPr>
        <w:pStyle w:val="Point1"/>
        <w:rPr>
          <w:noProof/>
        </w:rPr>
      </w:pPr>
      <w:r w:rsidRPr="00201A9A">
        <w:rPr>
          <w:noProof/>
        </w:rPr>
        <w:t>d)</w:t>
      </w:r>
      <w:r w:rsidRPr="00201A9A">
        <w:rPr>
          <w:noProof/>
        </w:rPr>
        <w:tab/>
      </w:r>
      <w:r w:rsidR="00E9506B" w:rsidRPr="00201A9A">
        <w:rPr>
          <w:noProof/>
        </w:rPr>
        <w:t xml:space="preserve">Portugalia: 360 ha.  </w:t>
      </w:r>
    </w:p>
    <w:p w14:paraId="1060F54B" w14:textId="16A5DB65" w:rsidR="00E9506B" w:rsidRPr="00201A9A" w:rsidRDefault="00E9506B" w:rsidP="003E2902">
      <w:pPr>
        <w:pStyle w:val="NumPar10000000"/>
        <w:numPr>
          <w:ilvl w:val="0"/>
          <w:numId w:val="112"/>
        </w:numPr>
        <w:rPr>
          <w:noProof/>
        </w:rPr>
      </w:pPr>
      <w:r w:rsidRPr="00201A9A">
        <w:rPr>
          <w:noProof/>
        </w:rPr>
        <w:t>Ustanawia się następujące stałe wielkości plonów</w:t>
      </w:r>
      <w:r w:rsidR="00201A9A" w:rsidRPr="00201A9A">
        <w:rPr>
          <w:noProof/>
        </w:rPr>
        <w:t xml:space="preserve"> w okr</w:t>
      </w:r>
      <w:r w:rsidRPr="00201A9A">
        <w:rPr>
          <w:noProof/>
        </w:rPr>
        <w:t xml:space="preserve">esie referencyjnym:  </w:t>
      </w:r>
    </w:p>
    <w:p w14:paraId="72AF0008" w14:textId="2FD39AF7" w:rsidR="00E9506B" w:rsidRPr="00201A9A" w:rsidRDefault="00201A9A" w:rsidP="00201A9A">
      <w:pPr>
        <w:pStyle w:val="Point1"/>
        <w:rPr>
          <w:noProof/>
        </w:rPr>
      </w:pPr>
      <w:r w:rsidRPr="00201A9A">
        <w:rPr>
          <w:noProof/>
        </w:rPr>
        <w:t>a)</w:t>
      </w:r>
      <w:r w:rsidRPr="00201A9A">
        <w:rPr>
          <w:noProof/>
        </w:rPr>
        <w:tab/>
      </w:r>
      <w:r w:rsidR="00E9506B" w:rsidRPr="00201A9A">
        <w:rPr>
          <w:noProof/>
        </w:rPr>
        <w:t xml:space="preserve">Bułgaria: 1,2 t/ha;  </w:t>
      </w:r>
    </w:p>
    <w:p w14:paraId="3EA11F2E" w14:textId="23C4B59C" w:rsidR="00E9506B" w:rsidRPr="00201A9A" w:rsidRDefault="00201A9A" w:rsidP="00201A9A">
      <w:pPr>
        <w:pStyle w:val="Point1"/>
        <w:rPr>
          <w:noProof/>
        </w:rPr>
      </w:pPr>
      <w:r w:rsidRPr="00201A9A">
        <w:rPr>
          <w:noProof/>
        </w:rPr>
        <w:t>b)</w:t>
      </w:r>
      <w:r w:rsidRPr="00201A9A">
        <w:rPr>
          <w:noProof/>
        </w:rPr>
        <w:tab/>
      </w:r>
      <w:r w:rsidR="00E9506B" w:rsidRPr="00201A9A">
        <w:rPr>
          <w:noProof/>
        </w:rPr>
        <w:t xml:space="preserve">Grecja: 3,2 t/ha;   </w:t>
      </w:r>
    </w:p>
    <w:p w14:paraId="4635ED52" w14:textId="71FEBB4C" w:rsidR="00E9506B" w:rsidRPr="00201A9A" w:rsidRDefault="00201A9A" w:rsidP="00201A9A">
      <w:pPr>
        <w:pStyle w:val="Point1"/>
        <w:rPr>
          <w:noProof/>
        </w:rPr>
      </w:pPr>
      <w:r w:rsidRPr="00201A9A">
        <w:rPr>
          <w:noProof/>
        </w:rPr>
        <w:t>c)</w:t>
      </w:r>
      <w:r w:rsidRPr="00201A9A">
        <w:rPr>
          <w:noProof/>
        </w:rPr>
        <w:tab/>
      </w:r>
      <w:r w:rsidR="00E9506B" w:rsidRPr="00201A9A">
        <w:rPr>
          <w:noProof/>
        </w:rPr>
        <w:t xml:space="preserve">Hiszpania: 3,5 t/ha;   </w:t>
      </w:r>
    </w:p>
    <w:p w14:paraId="1DDE32D1" w14:textId="4DDD40C3" w:rsidR="00E9506B" w:rsidRPr="00201A9A" w:rsidRDefault="00201A9A" w:rsidP="00201A9A">
      <w:pPr>
        <w:pStyle w:val="Point1"/>
        <w:rPr>
          <w:noProof/>
        </w:rPr>
      </w:pPr>
      <w:r w:rsidRPr="00201A9A">
        <w:rPr>
          <w:noProof/>
        </w:rPr>
        <w:t>d)</w:t>
      </w:r>
      <w:r w:rsidRPr="00201A9A">
        <w:rPr>
          <w:noProof/>
        </w:rPr>
        <w:tab/>
      </w:r>
      <w:r w:rsidR="00E9506B" w:rsidRPr="00201A9A">
        <w:rPr>
          <w:noProof/>
        </w:rPr>
        <w:t xml:space="preserve">Portugalia: 2,2 t/ha.   </w:t>
      </w:r>
    </w:p>
    <w:p w14:paraId="70502F19" w14:textId="4E12C633" w:rsidR="00E9506B" w:rsidRPr="00201A9A" w:rsidRDefault="00E9506B" w:rsidP="003E2902">
      <w:pPr>
        <w:pStyle w:val="NumPar10000000"/>
        <w:numPr>
          <w:ilvl w:val="0"/>
          <w:numId w:val="112"/>
        </w:numPr>
        <w:rPr>
          <w:noProof/>
        </w:rPr>
      </w:pPr>
      <w:r w:rsidRPr="00201A9A">
        <w:rPr>
          <w:noProof/>
        </w:rPr>
        <w:t>Kwotę płatności specyficznej na hektar obszaru kwalifikowalnego oblicza się przez pomnożenie wielkości plonów określonej</w:t>
      </w:r>
      <w:r w:rsidR="00201A9A" w:rsidRPr="00201A9A">
        <w:rPr>
          <w:noProof/>
        </w:rPr>
        <w:t xml:space="preserve"> w ust</w:t>
      </w:r>
      <w:r w:rsidRPr="00201A9A">
        <w:rPr>
          <w:noProof/>
        </w:rPr>
        <w:t>.</w:t>
      </w:r>
      <w:r w:rsidR="00201A9A" w:rsidRPr="00201A9A">
        <w:rPr>
          <w:noProof/>
        </w:rPr>
        <w:t> </w:t>
      </w:r>
      <w:r w:rsidRPr="00201A9A">
        <w:rPr>
          <w:noProof/>
        </w:rPr>
        <w:t xml:space="preserve">2 przez następujące kwoty referencyjne:  </w:t>
      </w:r>
    </w:p>
    <w:p w14:paraId="4F2BD49B" w14:textId="1AF1E48B" w:rsidR="00E9506B" w:rsidRPr="00201A9A" w:rsidRDefault="00201A9A" w:rsidP="00201A9A">
      <w:pPr>
        <w:pStyle w:val="Point1"/>
        <w:rPr>
          <w:noProof/>
        </w:rPr>
      </w:pPr>
      <w:r w:rsidRPr="00201A9A">
        <w:rPr>
          <w:noProof/>
        </w:rPr>
        <w:t>a)</w:t>
      </w:r>
      <w:r w:rsidRPr="00201A9A">
        <w:rPr>
          <w:noProof/>
        </w:rPr>
        <w:tab/>
      </w:r>
      <w:r w:rsidR="00E9506B" w:rsidRPr="00201A9A">
        <w:rPr>
          <w:noProof/>
        </w:rPr>
        <w:t>Bułgaria: 636,13 EUR;</w:t>
      </w:r>
    </w:p>
    <w:p w14:paraId="5F882855" w14:textId="2AAA78AD" w:rsidR="00E9506B" w:rsidRPr="00201A9A" w:rsidRDefault="00201A9A" w:rsidP="00201A9A">
      <w:pPr>
        <w:pStyle w:val="Point1"/>
        <w:rPr>
          <w:noProof/>
        </w:rPr>
      </w:pPr>
      <w:r w:rsidRPr="00201A9A">
        <w:rPr>
          <w:noProof/>
        </w:rPr>
        <w:t>b)</w:t>
      </w:r>
      <w:r w:rsidRPr="00201A9A">
        <w:rPr>
          <w:noProof/>
        </w:rPr>
        <w:tab/>
      </w:r>
      <w:r w:rsidR="00E9506B" w:rsidRPr="00201A9A">
        <w:rPr>
          <w:noProof/>
        </w:rPr>
        <w:t>Grecja: 229,37 EUR;  </w:t>
      </w:r>
    </w:p>
    <w:p w14:paraId="05801F8C" w14:textId="59B2D44B" w:rsidR="00E9506B" w:rsidRPr="00201A9A" w:rsidRDefault="00201A9A" w:rsidP="00201A9A">
      <w:pPr>
        <w:pStyle w:val="Point1"/>
        <w:rPr>
          <w:noProof/>
        </w:rPr>
      </w:pPr>
      <w:r w:rsidRPr="00201A9A">
        <w:rPr>
          <w:noProof/>
        </w:rPr>
        <w:t>c)</w:t>
      </w:r>
      <w:r w:rsidRPr="00201A9A">
        <w:rPr>
          <w:noProof/>
        </w:rPr>
        <w:tab/>
      </w:r>
      <w:r w:rsidR="00E9506B" w:rsidRPr="00201A9A">
        <w:rPr>
          <w:noProof/>
        </w:rPr>
        <w:t>Hiszpania: 354,73 EUR;   </w:t>
      </w:r>
    </w:p>
    <w:p w14:paraId="1F46E918" w14:textId="3C5F2FD5" w:rsidR="00E9506B" w:rsidRPr="00201A9A" w:rsidRDefault="00201A9A" w:rsidP="00201A9A">
      <w:pPr>
        <w:pStyle w:val="Point1"/>
        <w:rPr>
          <w:noProof/>
        </w:rPr>
      </w:pPr>
      <w:r w:rsidRPr="00201A9A">
        <w:rPr>
          <w:noProof/>
        </w:rPr>
        <w:t>d)</w:t>
      </w:r>
      <w:r w:rsidRPr="00201A9A">
        <w:rPr>
          <w:noProof/>
        </w:rPr>
        <w:tab/>
      </w:r>
      <w:r w:rsidR="00E9506B" w:rsidRPr="00201A9A">
        <w:rPr>
          <w:noProof/>
        </w:rPr>
        <w:t>Portugalia: 223,32 EUR.  </w:t>
      </w:r>
    </w:p>
    <w:p w14:paraId="7E691023" w14:textId="3C4DA33D" w:rsidR="00E9506B" w:rsidRPr="00201A9A" w:rsidRDefault="00E9506B" w:rsidP="003E2902">
      <w:pPr>
        <w:pStyle w:val="NumPar10000000"/>
        <w:numPr>
          <w:ilvl w:val="0"/>
          <w:numId w:val="112"/>
        </w:numPr>
        <w:rPr>
          <w:noProof/>
        </w:rPr>
      </w:pPr>
      <w:r w:rsidRPr="00201A9A">
        <w:rPr>
          <w:noProof/>
        </w:rPr>
        <w:t>Jeżeli</w:t>
      </w:r>
      <w:r w:rsidR="00201A9A" w:rsidRPr="00201A9A">
        <w:rPr>
          <w:noProof/>
        </w:rPr>
        <w:t xml:space="preserve"> w dan</w:t>
      </w:r>
      <w:r w:rsidRPr="00201A9A">
        <w:rPr>
          <w:noProof/>
        </w:rPr>
        <w:t>ym roku powierzchnia obszaru kwalifikowalnego uprawy bawełny</w:t>
      </w:r>
      <w:r w:rsidR="00201A9A" w:rsidRPr="00201A9A">
        <w:rPr>
          <w:noProof/>
        </w:rPr>
        <w:t xml:space="preserve"> w dan</w:t>
      </w:r>
      <w:r w:rsidRPr="00201A9A">
        <w:rPr>
          <w:noProof/>
        </w:rPr>
        <w:t>ym państwie członkowskim nie przekracza powierzchni obszaru bazowego określonej</w:t>
      </w:r>
      <w:r w:rsidR="00201A9A" w:rsidRPr="00201A9A">
        <w:rPr>
          <w:noProof/>
        </w:rPr>
        <w:t xml:space="preserve"> w ust</w:t>
      </w:r>
      <w:r w:rsidRPr="00201A9A">
        <w:rPr>
          <w:noProof/>
        </w:rPr>
        <w:t>.</w:t>
      </w:r>
      <w:r w:rsidR="00201A9A" w:rsidRPr="00201A9A">
        <w:rPr>
          <w:noProof/>
        </w:rPr>
        <w:t> </w:t>
      </w:r>
      <w:r w:rsidRPr="00201A9A">
        <w:rPr>
          <w:noProof/>
        </w:rPr>
        <w:t>1, kwotę na hektar,</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3, można zwiększyć</w:t>
      </w:r>
      <w:r w:rsidR="00201A9A" w:rsidRPr="00201A9A">
        <w:rPr>
          <w:noProof/>
        </w:rPr>
        <w:t xml:space="preserve"> o wsp</w:t>
      </w:r>
      <w:r w:rsidRPr="00201A9A">
        <w:rPr>
          <w:noProof/>
        </w:rPr>
        <w:t>ółczynnik otrzymany przez podzielenie krajowego obszaru bazowego przez faktyczną powierzchnię obszaru kwalifikowalnego lub</w:t>
      </w:r>
      <w:r w:rsidR="00201A9A" w:rsidRPr="00201A9A">
        <w:rPr>
          <w:noProof/>
        </w:rPr>
        <w:t xml:space="preserve"> o 2</w:t>
      </w:r>
      <w:r w:rsidRPr="00201A9A">
        <w:rPr>
          <w:noProof/>
        </w:rPr>
        <w:t>5</w:t>
      </w:r>
      <w:r w:rsidR="00201A9A" w:rsidRPr="00201A9A">
        <w:rPr>
          <w:noProof/>
        </w:rPr>
        <w:t> </w:t>
      </w:r>
      <w:r w:rsidRPr="00201A9A">
        <w:rPr>
          <w:noProof/>
        </w:rPr>
        <w:t>%,</w:t>
      </w:r>
      <w:r w:rsidR="00201A9A" w:rsidRPr="00201A9A">
        <w:rPr>
          <w:noProof/>
        </w:rPr>
        <w:t xml:space="preserve"> w zal</w:t>
      </w:r>
      <w:r w:rsidRPr="00201A9A">
        <w:rPr>
          <w:noProof/>
        </w:rPr>
        <w:t>eżności od tego, która</w:t>
      </w:r>
      <w:r w:rsidR="00201A9A" w:rsidRPr="00201A9A">
        <w:rPr>
          <w:noProof/>
        </w:rPr>
        <w:t xml:space="preserve"> z tyc</w:t>
      </w:r>
      <w:r w:rsidRPr="00201A9A">
        <w:rPr>
          <w:noProof/>
        </w:rPr>
        <w:t xml:space="preserve">h wartości jest mniejsza. </w:t>
      </w:r>
    </w:p>
    <w:p w14:paraId="1F9D076D" w14:textId="3708A9B8" w:rsidR="00E9506B" w:rsidRPr="00201A9A" w:rsidRDefault="00E9506B" w:rsidP="003E2902">
      <w:pPr>
        <w:pStyle w:val="NumPar10000000"/>
        <w:numPr>
          <w:ilvl w:val="0"/>
          <w:numId w:val="112"/>
        </w:numPr>
        <w:rPr>
          <w:noProof/>
        </w:rPr>
      </w:pPr>
      <w:r w:rsidRPr="00201A9A">
        <w:rPr>
          <w:noProof/>
        </w:rPr>
        <w:t>Jeżeli powierzchnia obszaru kwalifikowalnego przekracza powierzchnię obszaru bazowego, kwotę na hektar zmniejsza się proporcjonalnie do wielkości,</w:t>
      </w:r>
      <w:r w:rsidR="00201A9A" w:rsidRPr="00201A9A">
        <w:rPr>
          <w:noProof/>
        </w:rPr>
        <w:t xml:space="preserve"> o jak</w:t>
      </w:r>
      <w:r w:rsidRPr="00201A9A">
        <w:rPr>
          <w:noProof/>
        </w:rPr>
        <w:t xml:space="preserve">ą przekroczono obszar bazowy.   </w:t>
      </w:r>
    </w:p>
    <w:p w14:paraId="6632AC0C" w14:textId="2888B548" w:rsidR="00E9506B" w:rsidRPr="00201A9A" w:rsidRDefault="00E9506B" w:rsidP="003E2902">
      <w:pPr>
        <w:pStyle w:val="NumPar10000000"/>
        <w:numPr>
          <w:ilvl w:val="0"/>
          <w:numId w:val="112"/>
        </w:numPr>
        <w:rPr>
          <w:noProof/>
        </w:rPr>
      </w:pPr>
      <w:r w:rsidRPr="00201A9A">
        <w:rPr>
          <w:noProof/>
        </w:rPr>
        <w:t>Do celów niniejszego artykułu „zatwierdzona organizacja międzybranżowa” oznacza podmiot prawny, który zrzesza rolników produkujących bawełnę i co najmniej jeden podmiot zajmujący się odziarnianiem bawełny, oraz który został przez nich założony. Organizacje te prowadzą skuteczne</w:t>
      </w:r>
      <w:r w:rsidR="00201A9A" w:rsidRPr="00201A9A">
        <w:rPr>
          <w:noProof/>
        </w:rPr>
        <w:t xml:space="preserve"> i trw</w:t>
      </w:r>
      <w:r w:rsidRPr="00201A9A">
        <w:rPr>
          <w:noProof/>
        </w:rPr>
        <w:t>ałe działania mające na celu skoncentrowanie podaży</w:t>
      </w:r>
      <w:r w:rsidR="00201A9A" w:rsidRPr="00201A9A">
        <w:rPr>
          <w:noProof/>
        </w:rPr>
        <w:t xml:space="preserve"> i dos</w:t>
      </w:r>
      <w:r w:rsidRPr="00201A9A">
        <w:rPr>
          <w:noProof/>
        </w:rPr>
        <w:t xml:space="preserve">tosowanie produkcji do wymogów rynkowych.    </w:t>
      </w:r>
    </w:p>
    <w:p w14:paraId="40FF4531" w14:textId="48CF4A84" w:rsidR="00E9506B" w:rsidRPr="00201A9A" w:rsidRDefault="00E9506B" w:rsidP="003E2902">
      <w:pPr>
        <w:pStyle w:val="NumPar10000000"/>
        <w:numPr>
          <w:ilvl w:val="0"/>
          <w:numId w:val="112"/>
        </w:numPr>
        <w:rPr>
          <w:noProof/>
        </w:rPr>
      </w:pPr>
      <w:r w:rsidRPr="00201A9A">
        <w:rPr>
          <w:noProof/>
        </w:rPr>
        <w:t>Państwo członkowskie, na którego terytorium mają siedzibę podmioty zajmujące się odziarnianiem bawełny, zatwierdza organizacje międzybranżowe spełniające kryteria określone</w:t>
      </w:r>
      <w:r w:rsidR="00201A9A" w:rsidRPr="00201A9A">
        <w:rPr>
          <w:noProof/>
        </w:rPr>
        <w:t xml:space="preserve"> w ust</w:t>
      </w:r>
      <w:r w:rsidRPr="00201A9A">
        <w:rPr>
          <w:noProof/>
        </w:rPr>
        <w:t>.</w:t>
      </w:r>
      <w:r w:rsidR="00201A9A" w:rsidRPr="00201A9A">
        <w:rPr>
          <w:noProof/>
        </w:rPr>
        <w:t> </w:t>
      </w:r>
      <w:r w:rsidRPr="00201A9A">
        <w:rPr>
          <w:noProof/>
        </w:rPr>
        <w:t xml:space="preserve">1.   </w:t>
      </w:r>
    </w:p>
    <w:p w14:paraId="1C0E33CE" w14:textId="6A14E73A" w:rsidR="0018523C" w:rsidRPr="00201A9A" w:rsidRDefault="00E9506B" w:rsidP="003E2902">
      <w:pPr>
        <w:pStyle w:val="NumPar10000000"/>
        <w:numPr>
          <w:ilvl w:val="0"/>
          <w:numId w:val="112"/>
        </w:numPr>
        <w:rPr>
          <w:noProof/>
        </w:rPr>
      </w:pPr>
      <w:r w:rsidRPr="00201A9A">
        <w:rPr>
          <w:noProof/>
        </w:rPr>
        <w:t>W przypadku rolników, którzy są członkami zatwierdzonej organizacji międzybranżowej, płatność specyficzna</w:t>
      </w:r>
      <w:r w:rsidR="00201A9A" w:rsidRPr="00201A9A">
        <w:rPr>
          <w:noProof/>
        </w:rPr>
        <w:t xml:space="preserve"> w odn</w:t>
      </w:r>
      <w:r w:rsidRPr="00201A9A">
        <w:rPr>
          <w:noProof/>
        </w:rPr>
        <w:t>iesieniu do bawełny na hektary, które kwalifikują się</w:t>
      </w:r>
      <w:r w:rsidR="00201A9A" w:rsidRPr="00201A9A">
        <w:rPr>
          <w:noProof/>
        </w:rPr>
        <w:t xml:space="preserve"> w ram</w:t>
      </w:r>
      <w:r w:rsidRPr="00201A9A">
        <w:rPr>
          <w:noProof/>
        </w:rPr>
        <w:t>ach krajowego obszaru bazowego określonego</w:t>
      </w:r>
      <w:r w:rsidR="00201A9A" w:rsidRPr="00201A9A">
        <w:rPr>
          <w:noProof/>
        </w:rPr>
        <w:t xml:space="preserve"> w ust</w:t>
      </w:r>
      <w:r w:rsidRPr="00201A9A">
        <w:rPr>
          <w:noProof/>
        </w:rPr>
        <w:t>.</w:t>
      </w:r>
      <w:r w:rsidR="00201A9A" w:rsidRPr="00201A9A">
        <w:rPr>
          <w:noProof/>
        </w:rPr>
        <w:t> </w:t>
      </w:r>
      <w:r w:rsidRPr="00201A9A">
        <w:rPr>
          <w:noProof/>
        </w:rPr>
        <w:t>4, zostaje zwiększona</w:t>
      </w:r>
      <w:r w:rsidR="00201A9A" w:rsidRPr="00201A9A">
        <w:rPr>
          <w:noProof/>
        </w:rPr>
        <w:t xml:space="preserve"> o 2</w:t>
      </w:r>
      <w:r w:rsidRPr="00201A9A">
        <w:rPr>
          <w:noProof/>
        </w:rPr>
        <w:t xml:space="preserve"> EUR</w:t>
      </w:r>
      <w:r w:rsidR="00201A9A" w:rsidRPr="00201A9A">
        <w:rPr>
          <w:noProof/>
        </w:rPr>
        <w:t>. W tym</w:t>
      </w:r>
      <w:r w:rsidRPr="00201A9A">
        <w:rPr>
          <w:noProof/>
        </w:rPr>
        <w:t xml:space="preserve"> celu państwa członkowskie mogą ustanowić szczególne wymogi dla członków takich organizacji międzybranżowych.  </w:t>
      </w:r>
    </w:p>
    <w:p w14:paraId="67E638DB" w14:textId="77777777" w:rsidR="006E79BD" w:rsidRPr="00201A9A" w:rsidRDefault="5190A4BB" w:rsidP="002D16EF">
      <w:pPr>
        <w:pStyle w:val="ChapterTitle0"/>
        <w:rPr>
          <w:b w:val="0"/>
          <w:bCs/>
          <w:noProof/>
          <w:szCs w:val="32"/>
        </w:rPr>
      </w:pPr>
      <w:r w:rsidRPr="00201A9A">
        <w:rPr>
          <w:noProof/>
        </w:rPr>
        <w:t xml:space="preserve">ROZDZIAŁ II </w:t>
      </w:r>
      <w:r w:rsidRPr="00201A9A">
        <w:rPr>
          <w:noProof/>
        </w:rPr>
        <w:br/>
        <w:t>Zobowiązania międzynarodowe</w:t>
      </w:r>
    </w:p>
    <w:p w14:paraId="06200D4B" w14:textId="148A22E7" w:rsidR="003B7937" w:rsidRPr="00201A9A" w:rsidRDefault="3A329CD6" w:rsidP="07DC7BA7">
      <w:pPr>
        <w:pStyle w:val="Titrearticle"/>
        <w:rPr>
          <w:b/>
          <w:bCs/>
          <w:noProof/>
        </w:rPr>
      </w:pPr>
      <w:r w:rsidRPr="00201A9A">
        <w:rPr>
          <w:noProof/>
        </w:rPr>
        <w:t xml:space="preserve">Artykuł 40 </w:t>
      </w:r>
      <w:r w:rsidRPr="00201A9A">
        <w:rPr>
          <w:noProof/>
        </w:rPr>
        <w:br/>
      </w:r>
      <w:r w:rsidRPr="00201A9A">
        <w:rPr>
          <w:b/>
          <w:noProof/>
        </w:rPr>
        <w:t>Wsparcie krajowe</w:t>
      </w:r>
      <w:r w:rsidR="00201A9A" w:rsidRPr="00201A9A">
        <w:rPr>
          <w:b/>
          <w:noProof/>
        </w:rPr>
        <w:t xml:space="preserve"> w ram</w:t>
      </w:r>
      <w:r w:rsidRPr="00201A9A">
        <w:rPr>
          <w:b/>
          <w:noProof/>
        </w:rPr>
        <w:t>ach WTO</w:t>
      </w:r>
    </w:p>
    <w:p w14:paraId="16AAA0A9" w14:textId="1CA834A4" w:rsidR="003B7937" w:rsidRPr="00201A9A" w:rsidRDefault="3A329CD6" w:rsidP="003E2902">
      <w:pPr>
        <w:pStyle w:val="NumPar10000000"/>
        <w:numPr>
          <w:ilvl w:val="0"/>
          <w:numId w:val="102"/>
        </w:numPr>
        <w:rPr>
          <w:noProof/>
        </w:rPr>
      </w:pPr>
      <w:r w:rsidRPr="00201A9A">
        <w:rPr>
          <w:noProof/>
        </w:rPr>
        <w:t>Państwa członkowskie projektują interwencje</w:t>
      </w:r>
      <w:r w:rsidR="00201A9A" w:rsidRPr="00201A9A">
        <w:rPr>
          <w:noProof/>
        </w:rPr>
        <w:t xml:space="preserve"> z zak</w:t>
      </w:r>
      <w:r w:rsidRPr="00201A9A">
        <w:rPr>
          <w:noProof/>
        </w:rPr>
        <w:t>resu wsparcia dochodów</w:t>
      </w:r>
      <w:r w:rsidR="00201A9A" w:rsidRPr="00201A9A">
        <w:rPr>
          <w:noProof/>
        </w:rPr>
        <w:t xml:space="preserve"> w ram</w:t>
      </w:r>
      <w:r w:rsidRPr="00201A9A">
        <w:rPr>
          <w:noProof/>
        </w:rPr>
        <w:t>ach WPR na podstawie rodzajów interwencji wymienionych</w:t>
      </w:r>
      <w:r w:rsidR="00201A9A" w:rsidRPr="00201A9A">
        <w:rPr>
          <w:noProof/>
        </w:rPr>
        <w:t xml:space="preserve"> w zał</w:t>
      </w:r>
      <w:r w:rsidRPr="00201A9A">
        <w:rPr>
          <w:noProof/>
        </w:rPr>
        <w:t>ączniku XVII [</w:t>
      </w:r>
      <w:r w:rsidRPr="00201A9A">
        <w:rPr>
          <w:i/>
          <w:noProof/>
        </w:rPr>
        <w:t>Załącznik dotyczący WTO</w:t>
      </w:r>
      <w:r w:rsidRPr="00201A9A">
        <w:rPr>
          <w:noProof/>
        </w:rPr>
        <w:t>] do niniejszego rozporządzenia,</w:t>
      </w:r>
      <w:r w:rsidR="00201A9A" w:rsidRPr="00201A9A">
        <w:rPr>
          <w:noProof/>
        </w:rPr>
        <w:t xml:space="preserve"> w tym</w:t>
      </w:r>
      <w:r w:rsidRPr="00201A9A">
        <w:rPr>
          <w:noProof/>
        </w:rPr>
        <w:t xml:space="preserve"> na podstawie definicji</w:t>
      </w:r>
      <w:r w:rsidR="00201A9A" w:rsidRPr="00201A9A">
        <w:rPr>
          <w:noProof/>
        </w:rPr>
        <w:t xml:space="preserve"> i war</w:t>
      </w:r>
      <w:r w:rsidRPr="00201A9A">
        <w:rPr>
          <w:noProof/>
        </w:rPr>
        <w:t>unków określonych</w:t>
      </w:r>
      <w:r w:rsidR="00201A9A" w:rsidRPr="00201A9A">
        <w:rPr>
          <w:noProof/>
        </w:rPr>
        <w:t xml:space="preserve"> w art</w:t>
      </w:r>
      <w:r w:rsidRPr="00201A9A">
        <w:rPr>
          <w:noProof/>
        </w:rPr>
        <w:t>.</w:t>
      </w:r>
      <w:r w:rsidR="00201A9A" w:rsidRPr="00201A9A">
        <w:rPr>
          <w:noProof/>
        </w:rPr>
        <w:t> </w:t>
      </w:r>
      <w:r w:rsidRPr="00201A9A">
        <w:rPr>
          <w:noProof/>
        </w:rPr>
        <w:t>4,</w:t>
      </w:r>
      <w:r w:rsidR="00201A9A" w:rsidRPr="00201A9A">
        <w:rPr>
          <w:noProof/>
        </w:rPr>
        <w:t xml:space="preserve"> w tak</w:t>
      </w:r>
      <w:r w:rsidRPr="00201A9A">
        <w:rPr>
          <w:noProof/>
        </w:rPr>
        <w:t>i sposób, aby spełniały one kryteria załącznika 2 do Porozumienia WTO</w:t>
      </w:r>
      <w:r w:rsidR="00201A9A" w:rsidRPr="00201A9A">
        <w:rPr>
          <w:noProof/>
        </w:rPr>
        <w:t xml:space="preserve"> w spr</w:t>
      </w:r>
      <w:r w:rsidRPr="00201A9A">
        <w:rPr>
          <w:noProof/>
        </w:rPr>
        <w:t>awie rolnictwa. </w:t>
      </w:r>
    </w:p>
    <w:p w14:paraId="2AE21F87" w14:textId="7CA7477C" w:rsidR="008D7249" w:rsidRPr="00201A9A" w:rsidRDefault="3A329CD6" w:rsidP="003E2902">
      <w:pPr>
        <w:pStyle w:val="NumPar10000000"/>
        <w:numPr>
          <w:ilvl w:val="0"/>
          <w:numId w:val="112"/>
        </w:numPr>
        <w:rPr>
          <w:noProof/>
        </w:rPr>
      </w:pPr>
      <w:r w:rsidRPr="00201A9A">
        <w:rPr>
          <w:noProof/>
        </w:rPr>
        <w:t>Wsparcie,</w:t>
      </w:r>
      <w:r w:rsidR="00201A9A" w:rsidRPr="00201A9A">
        <w:rPr>
          <w:noProof/>
        </w:rPr>
        <w:t xml:space="preserve"> o któ</w:t>
      </w:r>
      <w:r w:rsidRPr="00201A9A">
        <w:rPr>
          <w:noProof/>
        </w:rPr>
        <w:t>rym mowa</w:t>
      </w:r>
      <w:r w:rsidR="00201A9A" w:rsidRPr="00201A9A">
        <w:rPr>
          <w:noProof/>
        </w:rPr>
        <w:t xml:space="preserve"> w art</w:t>
      </w:r>
      <w:r w:rsidRPr="00201A9A">
        <w:rPr>
          <w:noProof/>
        </w:rPr>
        <w:t>.</w:t>
      </w:r>
      <w:r w:rsidR="00201A9A" w:rsidRPr="00201A9A">
        <w:rPr>
          <w:noProof/>
        </w:rPr>
        <w:t> </w:t>
      </w:r>
      <w:r w:rsidRPr="00201A9A">
        <w:rPr>
          <w:noProof/>
        </w:rPr>
        <w:t>35 ust.</w:t>
      </w:r>
      <w:r w:rsidR="00201A9A" w:rsidRPr="00201A9A">
        <w:rPr>
          <w:noProof/>
        </w:rPr>
        <w:t> </w:t>
      </w:r>
      <w:r w:rsidRPr="00201A9A">
        <w:rPr>
          <w:noProof/>
        </w:rPr>
        <w:t>1 lit.</w:t>
      </w:r>
      <w:r w:rsidR="00201A9A" w:rsidRPr="00201A9A">
        <w:rPr>
          <w:noProof/>
        </w:rPr>
        <w:t> </w:t>
      </w:r>
      <w:r w:rsidRPr="00201A9A">
        <w:rPr>
          <w:noProof/>
        </w:rPr>
        <w:t>a), d), g), o) i p), musi spełniać kryteria określone</w:t>
      </w:r>
      <w:r w:rsidR="00201A9A" w:rsidRPr="00201A9A">
        <w:rPr>
          <w:noProof/>
        </w:rPr>
        <w:t xml:space="preserve"> w pun</w:t>
      </w:r>
      <w:r w:rsidRPr="00201A9A">
        <w:rPr>
          <w:noProof/>
        </w:rPr>
        <w:t>ktach załącznika 2 do Porozumienia WTO</w:t>
      </w:r>
      <w:r w:rsidR="00201A9A" w:rsidRPr="00201A9A">
        <w:rPr>
          <w:noProof/>
        </w:rPr>
        <w:t xml:space="preserve"> w spr</w:t>
      </w:r>
      <w:r w:rsidRPr="00201A9A">
        <w:rPr>
          <w:noProof/>
        </w:rPr>
        <w:t>awie rolnictwa wskazanych</w:t>
      </w:r>
      <w:r w:rsidR="00201A9A" w:rsidRPr="00201A9A">
        <w:rPr>
          <w:noProof/>
        </w:rPr>
        <w:t xml:space="preserve"> w zał</w:t>
      </w:r>
      <w:r w:rsidRPr="00201A9A">
        <w:rPr>
          <w:noProof/>
        </w:rPr>
        <w:t>ączniku XVII [</w:t>
      </w:r>
      <w:r w:rsidRPr="00201A9A">
        <w:rPr>
          <w:i/>
          <w:noProof/>
        </w:rPr>
        <w:t>Załącznik dotyczący WTO</w:t>
      </w:r>
      <w:r w:rsidRPr="00201A9A">
        <w:rPr>
          <w:noProof/>
        </w:rPr>
        <w:t>] do niniejszego rozporządzenia</w:t>
      </w:r>
      <w:r w:rsidR="00201A9A" w:rsidRPr="00201A9A">
        <w:rPr>
          <w:noProof/>
        </w:rPr>
        <w:t xml:space="preserve"> w odn</w:t>
      </w:r>
      <w:r w:rsidRPr="00201A9A">
        <w:rPr>
          <w:noProof/>
        </w:rPr>
        <w:t>iesieniu do tych interwencji</w:t>
      </w:r>
      <w:r w:rsidR="00201A9A" w:rsidRPr="00201A9A">
        <w:rPr>
          <w:noProof/>
        </w:rPr>
        <w:t>. W odn</w:t>
      </w:r>
      <w:r w:rsidRPr="00201A9A">
        <w:rPr>
          <w:noProof/>
        </w:rPr>
        <w:t>iesieniu do innych interwencji punkty załącznika 2 do Porozumienia WTO</w:t>
      </w:r>
      <w:r w:rsidR="00201A9A" w:rsidRPr="00201A9A">
        <w:rPr>
          <w:noProof/>
        </w:rPr>
        <w:t xml:space="preserve"> w spr</w:t>
      </w:r>
      <w:r w:rsidRPr="00201A9A">
        <w:rPr>
          <w:noProof/>
        </w:rPr>
        <w:t>awie rolnictwa wskazane</w:t>
      </w:r>
      <w:r w:rsidR="00201A9A" w:rsidRPr="00201A9A">
        <w:rPr>
          <w:noProof/>
        </w:rPr>
        <w:t xml:space="preserve"> w zał</w:t>
      </w:r>
      <w:r w:rsidRPr="00201A9A">
        <w:rPr>
          <w:noProof/>
        </w:rPr>
        <w:t>ączniku XVII [</w:t>
      </w:r>
      <w:r w:rsidRPr="00201A9A">
        <w:rPr>
          <w:i/>
          <w:noProof/>
        </w:rPr>
        <w:t>Załącznik dotyczący WTO</w:t>
      </w:r>
      <w:r w:rsidRPr="00201A9A">
        <w:rPr>
          <w:noProof/>
        </w:rPr>
        <w:t>] do niniejszego rozporządzenia mają charakter orientacyjny</w:t>
      </w:r>
      <w:r w:rsidR="00201A9A" w:rsidRPr="00201A9A">
        <w:rPr>
          <w:noProof/>
        </w:rPr>
        <w:t xml:space="preserve"> i int</w:t>
      </w:r>
      <w:r w:rsidRPr="00201A9A">
        <w:rPr>
          <w:noProof/>
        </w:rPr>
        <w:t>erwencje te mogą zamiast tego być zgodne</w:t>
      </w:r>
      <w:r w:rsidR="00201A9A" w:rsidRPr="00201A9A">
        <w:rPr>
          <w:noProof/>
        </w:rPr>
        <w:t xml:space="preserve"> z pos</w:t>
      </w:r>
      <w:r w:rsidRPr="00201A9A">
        <w:rPr>
          <w:noProof/>
        </w:rPr>
        <w:t>tanowieniami innego punktu załącznika 2 do Porozumienia WTO</w:t>
      </w:r>
      <w:r w:rsidR="00201A9A" w:rsidRPr="00201A9A">
        <w:rPr>
          <w:noProof/>
        </w:rPr>
        <w:t xml:space="preserve"> w spr</w:t>
      </w:r>
      <w:r w:rsidRPr="00201A9A">
        <w:rPr>
          <w:noProof/>
        </w:rPr>
        <w:t>awie rolnictwa, jeżeli jest to doprecyzowane</w:t>
      </w:r>
      <w:r w:rsidR="00201A9A" w:rsidRPr="00201A9A">
        <w:rPr>
          <w:noProof/>
        </w:rPr>
        <w:t xml:space="preserve"> i wyj</w:t>
      </w:r>
      <w:r w:rsidRPr="00201A9A">
        <w:rPr>
          <w:noProof/>
        </w:rPr>
        <w:t>aśnione</w:t>
      </w:r>
      <w:r w:rsidR="00201A9A" w:rsidRPr="00201A9A">
        <w:rPr>
          <w:noProof/>
        </w:rPr>
        <w:t xml:space="preserve"> w dan</w:t>
      </w:r>
      <w:r w:rsidRPr="00201A9A">
        <w:rPr>
          <w:noProof/>
        </w:rPr>
        <w:t>ym planie PKR. </w:t>
      </w:r>
    </w:p>
    <w:p w14:paraId="3FE0575C" w14:textId="0089FEE6" w:rsidR="003B7937" w:rsidRPr="00201A9A" w:rsidRDefault="3A329CD6" w:rsidP="07DC7BA7">
      <w:pPr>
        <w:pStyle w:val="Titrearticle"/>
        <w:rPr>
          <w:b/>
          <w:bCs/>
          <w:noProof/>
        </w:rPr>
      </w:pPr>
      <w:r w:rsidRPr="00201A9A">
        <w:rPr>
          <w:noProof/>
        </w:rPr>
        <w:t xml:space="preserve">Artykuł 41 </w:t>
      </w:r>
      <w:r w:rsidRPr="00201A9A">
        <w:rPr>
          <w:noProof/>
        </w:rPr>
        <w:br/>
      </w:r>
      <w:r w:rsidRPr="00201A9A">
        <w:rPr>
          <w:b/>
          <w:noProof/>
        </w:rPr>
        <w:t>Wdrożenie protokołu ustaleń</w:t>
      </w:r>
      <w:r w:rsidR="00201A9A" w:rsidRPr="00201A9A">
        <w:rPr>
          <w:b/>
          <w:noProof/>
        </w:rPr>
        <w:t xml:space="preserve"> w spr</w:t>
      </w:r>
      <w:r w:rsidRPr="00201A9A">
        <w:rPr>
          <w:b/>
          <w:noProof/>
        </w:rPr>
        <w:t>awie nasion oleistych</w:t>
      </w:r>
    </w:p>
    <w:p w14:paraId="1C842BAE" w14:textId="051BE502" w:rsidR="003B7937" w:rsidRPr="00201A9A" w:rsidRDefault="3A329CD6" w:rsidP="003E2902">
      <w:pPr>
        <w:pStyle w:val="NumPar10000000"/>
        <w:numPr>
          <w:ilvl w:val="0"/>
          <w:numId w:val="94"/>
        </w:numPr>
        <w:rPr>
          <w:noProof/>
        </w:rPr>
      </w:pPr>
      <w:r w:rsidRPr="00201A9A">
        <w:rPr>
          <w:noProof/>
        </w:rPr>
        <w:t>W przypadku gdy państwa członkowskie przewidują interwencje obszarowe istotne</w:t>
      </w:r>
      <w:r w:rsidR="00201A9A" w:rsidRPr="00201A9A">
        <w:rPr>
          <w:noProof/>
        </w:rPr>
        <w:t xml:space="preserve"> w odn</w:t>
      </w:r>
      <w:r w:rsidRPr="00201A9A">
        <w:rPr>
          <w:noProof/>
        </w:rPr>
        <w:t>iesieniu do załącznika do protokołu ustaleń między Europejską Wspólnotą Gospodarczą</w:t>
      </w:r>
      <w:r w:rsidR="00201A9A" w:rsidRPr="00201A9A">
        <w:rPr>
          <w:noProof/>
        </w:rPr>
        <w:t xml:space="preserve"> a Sta</w:t>
      </w:r>
      <w:r w:rsidRPr="00201A9A">
        <w:rPr>
          <w:noProof/>
        </w:rPr>
        <w:t>nami Zjednoczonymi Ameryki</w:t>
      </w:r>
      <w:r w:rsidR="00201A9A" w:rsidRPr="00201A9A">
        <w:rPr>
          <w:noProof/>
        </w:rPr>
        <w:t xml:space="preserve"> w spr</w:t>
      </w:r>
      <w:r w:rsidRPr="00201A9A">
        <w:rPr>
          <w:noProof/>
        </w:rPr>
        <w:t>awie nasion oleistych</w:t>
      </w:r>
      <w:r w:rsidR="00201A9A" w:rsidRPr="00201A9A">
        <w:rPr>
          <w:noProof/>
        </w:rPr>
        <w:t xml:space="preserve"> w ram</w:t>
      </w:r>
      <w:r w:rsidRPr="00201A9A">
        <w:rPr>
          <w:noProof/>
        </w:rPr>
        <w:t>ach GATT, całkowity obszar objęty wsparciem na podstawie planowanych produktów włączony do planów odnośnych państw członkowskich nie może przekraczać maksymalnego obszaru objętego wsparciem dla całej Unii.</w:t>
      </w:r>
    </w:p>
    <w:p w14:paraId="158C8216" w14:textId="45719B61" w:rsidR="003B7937" w:rsidRPr="00201A9A" w:rsidRDefault="3A329CD6" w:rsidP="003E2902">
      <w:pPr>
        <w:pStyle w:val="NumPar10000000"/>
        <w:numPr>
          <w:ilvl w:val="0"/>
          <w:numId w:val="112"/>
        </w:numPr>
        <w:rPr>
          <w:i/>
          <w:iCs/>
          <w:noProof/>
        </w:rPr>
      </w:pPr>
      <w:r w:rsidRPr="00201A9A">
        <w:rPr>
          <w:noProof/>
        </w:rPr>
        <w:t>Każde państwo członkowskie, które zamierza przyznać wsparcie,</w:t>
      </w:r>
      <w:r w:rsidR="00201A9A" w:rsidRPr="00201A9A">
        <w:rPr>
          <w:noProof/>
        </w:rPr>
        <w:t xml:space="preserve"> o któ</w:t>
      </w:r>
      <w:r w:rsidRPr="00201A9A">
        <w:rPr>
          <w:noProof/>
        </w:rPr>
        <w:t>rym mowa</w:t>
      </w:r>
      <w:r w:rsidR="00201A9A" w:rsidRPr="00201A9A">
        <w:rPr>
          <w:noProof/>
        </w:rPr>
        <w:t xml:space="preserve"> w ust</w:t>
      </w:r>
      <w:r w:rsidRPr="00201A9A">
        <w:rPr>
          <w:noProof/>
        </w:rPr>
        <w:t>.</w:t>
      </w:r>
      <w:r w:rsidR="00201A9A" w:rsidRPr="00201A9A">
        <w:rPr>
          <w:noProof/>
        </w:rPr>
        <w:t> </w:t>
      </w:r>
      <w:r w:rsidRPr="00201A9A">
        <w:rPr>
          <w:noProof/>
        </w:rPr>
        <w:t>1 niniejszego artykułu, określa</w:t>
      </w:r>
      <w:r w:rsidR="00201A9A" w:rsidRPr="00201A9A">
        <w:rPr>
          <w:noProof/>
        </w:rPr>
        <w:t xml:space="preserve"> w pla</w:t>
      </w:r>
      <w:r w:rsidRPr="00201A9A">
        <w:rPr>
          <w:noProof/>
        </w:rPr>
        <w:t>nie PKR odnośne planowane produkty wyrażone</w:t>
      </w:r>
      <w:r w:rsidR="00201A9A" w:rsidRPr="00201A9A">
        <w:rPr>
          <w:noProof/>
        </w:rPr>
        <w:t xml:space="preserve"> w hek</w:t>
      </w:r>
      <w:r w:rsidRPr="00201A9A">
        <w:rPr>
          <w:noProof/>
        </w:rPr>
        <w:t>tarach</w:t>
      </w:r>
      <w:r w:rsidRPr="00201A9A">
        <w:rPr>
          <w:i/>
          <w:noProof/>
        </w:rPr>
        <w:t>.</w:t>
      </w:r>
    </w:p>
    <w:p w14:paraId="4A675198" w14:textId="6388783F" w:rsidR="003B7937" w:rsidRPr="00201A9A" w:rsidRDefault="3A329CD6" w:rsidP="003E2902">
      <w:pPr>
        <w:pStyle w:val="NumPar10000000"/>
        <w:numPr>
          <w:ilvl w:val="0"/>
          <w:numId w:val="112"/>
        </w:numPr>
        <w:rPr>
          <w:rFonts w:eastAsia="Calibri"/>
          <w:noProof/>
        </w:rPr>
      </w:pPr>
      <w:r w:rsidRPr="00201A9A">
        <w:rPr>
          <w:noProof/>
        </w:rPr>
        <w:t>Jeżeli wszystkie planowane produkty zaproponowane przez państwa członkowskie</w:t>
      </w:r>
      <w:r w:rsidR="00201A9A" w:rsidRPr="00201A9A">
        <w:rPr>
          <w:noProof/>
        </w:rPr>
        <w:t xml:space="preserve"> w ich</w:t>
      </w:r>
      <w:r w:rsidRPr="00201A9A">
        <w:rPr>
          <w:noProof/>
        </w:rPr>
        <w:t xml:space="preserve"> planach PKR przekraczają maksymalny obszar objęty wsparciem dla całej Unii,</w:t>
      </w:r>
      <w:r w:rsidR="00201A9A" w:rsidRPr="00201A9A">
        <w:rPr>
          <w:noProof/>
        </w:rPr>
        <w:t xml:space="preserve"> o któ</w:t>
      </w:r>
      <w:r w:rsidRPr="00201A9A">
        <w:rPr>
          <w:noProof/>
        </w:rPr>
        <w:t>rym mowa</w:t>
      </w:r>
      <w:r w:rsidR="00201A9A" w:rsidRPr="00201A9A">
        <w:rPr>
          <w:noProof/>
        </w:rPr>
        <w:t xml:space="preserve"> w ust</w:t>
      </w:r>
      <w:r w:rsidRPr="00201A9A">
        <w:rPr>
          <w:noProof/>
        </w:rPr>
        <w:t>.</w:t>
      </w:r>
      <w:r w:rsidR="00201A9A" w:rsidRPr="00201A9A">
        <w:rPr>
          <w:noProof/>
        </w:rPr>
        <w:t> </w:t>
      </w:r>
      <w:r w:rsidRPr="00201A9A">
        <w:rPr>
          <w:noProof/>
        </w:rPr>
        <w:t>1 niniejszego artykułu, Komisja przyjmuje akty wykonawcze ustalające dla każdego państwa członkowskiego orientacyjny obszar odniesienia objęty wsparciem, obliczony na podstawie udziału każdego</w:t>
      </w:r>
      <w:r w:rsidR="00201A9A" w:rsidRPr="00201A9A">
        <w:rPr>
          <w:noProof/>
        </w:rPr>
        <w:t xml:space="preserve"> z pań</w:t>
      </w:r>
      <w:r w:rsidRPr="00201A9A">
        <w:rPr>
          <w:noProof/>
        </w:rPr>
        <w:t>stw członkowskich</w:t>
      </w:r>
      <w:r w:rsidR="00201A9A" w:rsidRPr="00201A9A">
        <w:rPr>
          <w:noProof/>
        </w:rPr>
        <w:t xml:space="preserve"> w śre</w:t>
      </w:r>
      <w:r w:rsidRPr="00201A9A">
        <w:rPr>
          <w:noProof/>
        </w:rPr>
        <w:t>dniej powierzchni upraw</w:t>
      </w:r>
      <w:r w:rsidR="00201A9A" w:rsidRPr="00201A9A">
        <w:rPr>
          <w:noProof/>
        </w:rPr>
        <w:t xml:space="preserve"> w Uni</w:t>
      </w:r>
      <w:r w:rsidRPr="00201A9A">
        <w:rPr>
          <w:noProof/>
        </w:rPr>
        <w:t>i</w:t>
      </w:r>
      <w:r w:rsidR="00201A9A" w:rsidRPr="00201A9A">
        <w:rPr>
          <w:noProof/>
        </w:rPr>
        <w:t xml:space="preserve"> w okr</w:t>
      </w:r>
      <w:r w:rsidRPr="00201A9A">
        <w:rPr>
          <w:noProof/>
        </w:rPr>
        <w:t>esie poprzednich pięciu lat, począwszy od roku poprzedzającego przedłożenie wniosku dotyczącego planu. Te akty wykonawcze przyjmuje się zgodnie</w:t>
      </w:r>
      <w:r w:rsidR="00201A9A" w:rsidRPr="00201A9A">
        <w:rPr>
          <w:noProof/>
        </w:rPr>
        <w:t xml:space="preserve"> z pro</w:t>
      </w:r>
      <w:r w:rsidRPr="00201A9A">
        <w:rPr>
          <w:noProof/>
        </w:rPr>
        <w:t>cedurą sprawdzającą,</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88 [</w:t>
      </w:r>
      <w:r w:rsidRPr="00201A9A">
        <w:rPr>
          <w:i/>
          <w:noProof/>
        </w:rPr>
        <w:t>Procedura komitetowa</w:t>
      </w:r>
      <w:r w:rsidRPr="00201A9A">
        <w:rPr>
          <w:noProof/>
        </w:rPr>
        <w:t xml:space="preserve">]. </w:t>
      </w:r>
    </w:p>
    <w:p w14:paraId="78B2189F" w14:textId="35AAEE48" w:rsidR="003B7937" w:rsidRPr="00201A9A" w:rsidRDefault="3A329CD6" w:rsidP="003E2902">
      <w:pPr>
        <w:pStyle w:val="NumPar10000000"/>
        <w:numPr>
          <w:ilvl w:val="0"/>
          <w:numId w:val="112"/>
        </w:numPr>
        <w:rPr>
          <w:noProof/>
        </w:rPr>
      </w:pPr>
      <w:r w:rsidRPr="00201A9A">
        <w:rPr>
          <w:noProof/>
        </w:rPr>
        <w:t>Komisja informuje każde</w:t>
      </w:r>
      <w:r w:rsidR="00201A9A" w:rsidRPr="00201A9A">
        <w:rPr>
          <w:noProof/>
        </w:rPr>
        <w:t xml:space="preserve"> z tyc</w:t>
      </w:r>
      <w:r w:rsidRPr="00201A9A">
        <w:rPr>
          <w:noProof/>
        </w:rPr>
        <w:t>h państw członkowskich</w:t>
      </w:r>
      <w:r w:rsidR="00201A9A" w:rsidRPr="00201A9A">
        <w:rPr>
          <w:noProof/>
        </w:rPr>
        <w:t xml:space="preserve"> o wsp</w:t>
      </w:r>
      <w:r w:rsidRPr="00201A9A">
        <w:rPr>
          <w:noProof/>
        </w:rPr>
        <w:t>ółczynniku zmniejszenia. Państwa członkowskie dostosowują proponowane planowane produkty określone</w:t>
      </w:r>
      <w:r w:rsidR="00201A9A" w:rsidRPr="00201A9A">
        <w:rPr>
          <w:noProof/>
        </w:rPr>
        <w:t xml:space="preserve"> w pla</w:t>
      </w:r>
      <w:r w:rsidRPr="00201A9A">
        <w:rPr>
          <w:noProof/>
        </w:rPr>
        <w:t>nach PKR zgodnie ze współczynnikami zmniejszenia.</w:t>
      </w:r>
      <w:r w:rsidR="00201A9A" w:rsidRPr="00201A9A">
        <w:rPr>
          <w:noProof/>
        </w:rPr>
        <w:t xml:space="preserve"> </w:t>
      </w:r>
    </w:p>
    <w:p w14:paraId="636774E2" w14:textId="5AC7DE77" w:rsidR="003B7937" w:rsidRPr="00201A9A" w:rsidRDefault="3A329CD6" w:rsidP="003E2902">
      <w:pPr>
        <w:pStyle w:val="NumPar10000000"/>
        <w:numPr>
          <w:ilvl w:val="0"/>
          <w:numId w:val="112"/>
        </w:numPr>
        <w:rPr>
          <w:noProof/>
        </w:rPr>
      </w:pPr>
      <w:r w:rsidRPr="00201A9A">
        <w:rPr>
          <w:noProof/>
        </w:rPr>
        <w:t>Jeżeli państwo członkowskie zamierza zwiększyć planowane produkty,</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określone</w:t>
      </w:r>
      <w:r w:rsidR="00201A9A" w:rsidRPr="00201A9A">
        <w:rPr>
          <w:noProof/>
        </w:rPr>
        <w:t xml:space="preserve"> w pla</w:t>
      </w:r>
      <w:r w:rsidRPr="00201A9A">
        <w:rPr>
          <w:noProof/>
        </w:rPr>
        <w:t>nie PKR zatwierdzonym przez Komisję, powiadamia</w:t>
      </w:r>
      <w:r w:rsidR="00201A9A" w:rsidRPr="00201A9A">
        <w:rPr>
          <w:noProof/>
        </w:rPr>
        <w:t xml:space="preserve"> o tym</w:t>
      </w:r>
      <w:r w:rsidRPr="00201A9A">
        <w:rPr>
          <w:noProof/>
        </w:rPr>
        <w:t xml:space="preserve"> Komisję</w:t>
      </w:r>
      <w:r w:rsidR="00201A9A" w:rsidRPr="00201A9A">
        <w:rPr>
          <w:noProof/>
        </w:rPr>
        <w:t xml:space="preserve"> w dro</w:t>
      </w:r>
      <w:r w:rsidRPr="00201A9A">
        <w:rPr>
          <w:noProof/>
        </w:rPr>
        <w:t>dze wniosku</w:t>
      </w:r>
      <w:r w:rsidR="00201A9A" w:rsidRPr="00201A9A">
        <w:rPr>
          <w:noProof/>
        </w:rPr>
        <w:t xml:space="preserve"> o zmi</w:t>
      </w:r>
      <w:r w:rsidRPr="00201A9A">
        <w:rPr>
          <w:noProof/>
        </w:rPr>
        <w:t xml:space="preserve">anę planu PKR. </w:t>
      </w:r>
    </w:p>
    <w:p w14:paraId="12FBFC50" w14:textId="4B1A4827" w:rsidR="003B7937" w:rsidRPr="00201A9A" w:rsidRDefault="3A329CD6" w:rsidP="003E2902">
      <w:pPr>
        <w:pStyle w:val="NumPar10000000"/>
        <w:numPr>
          <w:ilvl w:val="0"/>
          <w:numId w:val="112"/>
        </w:numPr>
        <w:rPr>
          <w:noProof/>
        </w:rPr>
      </w:pPr>
      <w:r w:rsidRPr="00201A9A">
        <w:rPr>
          <w:noProof/>
        </w:rPr>
        <w:t>Jeżeli jest to konieczne</w:t>
      </w:r>
      <w:r w:rsidR="00201A9A" w:rsidRPr="00201A9A">
        <w:rPr>
          <w:noProof/>
        </w:rPr>
        <w:t xml:space="preserve"> w cel</w:t>
      </w:r>
      <w:r w:rsidRPr="00201A9A">
        <w:rPr>
          <w:noProof/>
        </w:rPr>
        <w:t>u uniknięcia przekroczenia wielkości maksymalnego obszaru objętego wsparciem</w:t>
      </w:r>
      <w:r w:rsidR="00201A9A" w:rsidRPr="00201A9A">
        <w:rPr>
          <w:noProof/>
        </w:rPr>
        <w:t xml:space="preserve"> w cał</w:t>
      </w:r>
      <w:r w:rsidRPr="00201A9A">
        <w:rPr>
          <w:noProof/>
        </w:rPr>
        <w:t>ej Unii,</w:t>
      </w:r>
      <w:r w:rsidR="00201A9A" w:rsidRPr="00201A9A">
        <w:rPr>
          <w:noProof/>
        </w:rPr>
        <w:t xml:space="preserve"> o któ</w:t>
      </w:r>
      <w:r w:rsidRPr="00201A9A">
        <w:rPr>
          <w:noProof/>
        </w:rPr>
        <w:t>rym mowa</w:t>
      </w:r>
      <w:r w:rsidR="00201A9A" w:rsidRPr="00201A9A">
        <w:rPr>
          <w:noProof/>
        </w:rPr>
        <w:t xml:space="preserve"> w ust</w:t>
      </w:r>
      <w:r w:rsidRPr="00201A9A">
        <w:rPr>
          <w:noProof/>
        </w:rPr>
        <w:t>.</w:t>
      </w:r>
      <w:r w:rsidR="00201A9A" w:rsidRPr="00201A9A">
        <w:rPr>
          <w:noProof/>
        </w:rPr>
        <w:t> </w:t>
      </w:r>
      <w:r w:rsidRPr="00201A9A">
        <w:rPr>
          <w:noProof/>
        </w:rPr>
        <w:t>1, Komisja określa współczynniki zmniejszenia lub dokonuje korekty istniejących współczynników zmniejszenia</w:t>
      </w:r>
      <w:r w:rsidR="00201A9A" w:rsidRPr="00201A9A">
        <w:rPr>
          <w:noProof/>
        </w:rPr>
        <w:t xml:space="preserve"> w odn</w:t>
      </w:r>
      <w:r w:rsidRPr="00201A9A">
        <w:rPr>
          <w:noProof/>
        </w:rPr>
        <w:t>iesieniu do wszystkich państw członkowskich, które przekroczyły wielkość swojego obszaru odniesienia objętego wsparciem</w:t>
      </w:r>
      <w:r w:rsidR="00201A9A" w:rsidRPr="00201A9A">
        <w:rPr>
          <w:noProof/>
        </w:rPr>
        <w:t xml:space="preserve"> w swo</w:t>
      </w:r>
      <w:r w:rsidRPr="00201A9A">
        <w:rPr>
          <w:noProof/>
        </w:rPr>
        <w:t xml:space="preserve">ich planach PKR. </w:t>
      </w:r>
    </w:p>
    <w:p w14:paraId="680B465A" w14:textId="18852D8A" w:rsidR="003B7937" w:rsidRPr="00201A9A" w:rsidRDefault="3A329CD6" w:rsidP="006E7A91">
      <w:pPr>
        <w:pStyle w:val="Text1"/>
        <w:rPr>
          <w:noProof/>
        </w:rPr>
      </w:pPr>
      <w:r w:rsidRPr="00201A9A">
        <w:rPr>
          <w:noProof/>
        </w:rPr>
        <w:t>Komisja ustala lub koryguje współczynniki zmniejszenia,</w:t>
      </w:r>
      <w:r w:rsidR="00201A9A" w:rsidRPr="00201A9A">
        <w:rPr>
          <w:noProof/>
        </w:rPr>
        <w:t xml:space="preserve"> o któ</w:t>
      </w:r>
      <w:r w:rsidRPr="00201A9A">
        <w:rPr>
          <w:noProof/>
        </w:rPr>
        <w:t>rych mowa</w:t>
      </w:r>
      <w:r w:rsidR="00201A9A" w:rsidRPr="00201A9A">
        <w:rPr>
          <w:noProof/>
        </w:rPr>
        <w:t xml:space="preserve"> w aka</w:t>
      </w:r>
      <w:r w:rsidRPr="00201A9A">
        <w:rPr>
          <w:noProof/>
        </w:rPr>
        <w:t>picie pierwszym,</w:t>
      </w:r>
      <w:r w:rsidR="00201A9A" w:rsidRPr="00201A9A">
        <w:rPr>
          <w:noProof/>
        </w:rPr>
        <w:t xml:space="preserve"> w dro</w:t>
      </w:r>
      <w:r w:rsidRPr="00201A9A">
        <w:rPr>
          <w:noProof/>
        </w:rPr>
        <w:t xml:space="preserve">dze decyzji wykonawczej. </w:t>
      </w:r>
    </w:p>
    <w:p w14:paraId="1396DADE" w14:textId="0B2245D4" w:rsidR="00DF6716" w:rsidRPr="00201A9A" w:rsidRDefault="3A329CD6" w:rsidP="003E2902">
      <w:pPr>
        <w:pStyle w:val="NumPar10000000"/>
        <w:numPr>
          <w:ilvl w:val="0"/>
          <w:numId w:val="112"/>
        </w:numPr>
        <w:rPr>
          <w:noProof/>
        </w:rPr>
      </w:pPr>
      <w:r w:rsidRPr="00201A9A">
        <w:rPr>
          <w:noProof/>
        </w:rPr>
        <w:t>Państwa członkowskie wyłączają uprawę nasion słonecznika konfekcyjnego</w:t>
      </w:r>
      <w:r w:rsidR="00201A9A" w:rsidRPr="00201A9A">
        <w:rPr>
          <w:noProof/>
        </w:rPr>
        <w:t xml:space="preserve"> z wsz</w:t>
      </w:r>
      <w:r w:rsidRPr="00201A9A">
        <w:rPr>
          <w:noProof/>
        </w:rPr>
        <w:t>elkich interwencji obszarowych,</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w:t>
      </w:r>
    </w:p>
    <w:p w14:paraId="1D5726E8" w14:textId="77777777" w:rsidR="006B30B4" w:rsidRPr="00201A9A" w:rsidRDefault="00074292" w:rsidP="003B5537">
      <w:pPr>
        <w:pStyle w:val="ChapterTitle0"/>
        <w:rPr>
          <w:noProof/>
          <w:sz w:val="18"/>
          <w:szCs w:val="18"/>
        </w:rPr>
      </w:pPr>
      <w:r w:rsidRPr="00201A9A">
        <w:rPr>
          <w:noProof/>
        </w:rPr>
        <w:t xml:space="preserve">ROZDZIAŁ III </w:t>
      </w:r>
      <w:r w:rsidRPr="00201A9A">
        <w:rPr>
          <w:noProof/>
        </w:rPr>
        <w:br/>
      </w:r>
      <w:r w:rsidRPr="00201A9A">
        <w:rPr>
          <w:rStyle w:val="normaltextrun"/>
          <w:noProof/>
        </w:rPr>
        <w:t>Wsparcie dla mniejszych wysp Morza Egejskiego</w:t>
      </w:r>
      <w:r w:rsidRPr="00201A9A">
        <w:rPr>
          <w:rStyle w:val="eop"/>
          <w:noProof/>
        </w:rPr>
        <w:t xml:space="preserve"> </w:t>
      </w:r>
    </w:p>
    <w:p w14:paraId="337C44DC" w14:textId="5F3012B4" w:rsidR="006B30B4" w:rsidRPr="00201A9A" w:rsidRDefault="006B30B4" w:rsidP="006E7A91">
      <w:pPr>
        <w:pStyle w:val="Titrearticle"/>
        <w:rPr>
          <w:b/>
          <w:noProof/>
        </w:rPr>
      </w:pPr>
      <w:r w:rsidRPr="00201A9A">
        <w:rPr>
          <w:rStyle w:val="eop"/>
          <w:noProof/>
        </w:rPr>
        <w:t>Artykuł 42</w:t>
      </w:r>
      <w:r w:rsidRPr="00201A9A">
        <w:rPr>
          <w:noProof/>
        </w:rPr>
        <w:t xml:space="preserve"> </w:t>
      </w:r>
      <w:r w:rsidRPr="00201A9A">
        <w:rPr>
          <w:noProof/>
        </w:rPr>
        <w:br/>
      </w:r>
      <w:r w:rsidRPr="00201A9A">
        <w:rPr>
          <w:rStyle w:val="eop"/>
          <w:b/>
          <w:noProof/>
        </w:rPr>
        <w:t>Zakres</w:t>
      </w:r>
      <w:r w:rsidR="00201A9A" w:rsidRPr="00201A9A">
        <w:rPr>
          <w:rStyle w:val="eop"/>
          <w:b/>
          <w:noProof/>
        </w:rPr>
        <w:t xml:space="preserve"> i wsp</w:t>
      </w:r>
      <w:r w:rsidRPr="00201A9A">
        <w:rPr>
          <w:rStyle w:val="eop"/>
          <w:b/>
          <w:noProof/>
        </w:rPr>
        <w:t>ólne wymogi</w:t>
      </w:r>
    </w:p>
    <w:p w14:paraId="416A76B3" w14:textId="1F5A7B72" w:rsidR="006B30B4" w:rsidRPr="00201A9A" w:rsidRDefault="006B30B4" w:rsidP="003E2902">
      <w:pPr>
        <w:pStyle w:val="NumPar10000000"/>
        <w:numPr>
          <w:ilvl w:val="0"/>
          <w:numId w:val="105"/>
        </w:numPr>
        <w:rPr>
          <w:noProof/>
        </w:rPr>
      </w:pPr>
      <w:r w:rsidRPr="00201A9A">
        <w:rPr>
          <w:rStyle w:val="normaltextrun"/>
          <w:noProof/>
        </w:rPr>
        <w:t>W niniejszym rozdziale określa się szczególne rodzaje interwencji dla rolnictwa rekompensujące trudności wynikające</w:t>
      </w:r>
      <w:r w:rsidR="00201A9A" w:rsidRPr="00201A9A">
        <w:rPr>
          <w:rStyle w:val="normaltextrun"/>
          <w:noProof/>
        </w:rPr>
        <w:t xml:space="preserve"> z wys</w:t>
      </w:r>
      <w:r w:rsidRPr="00201A9A">
        <w:rPr>
          <w:rStyle w:val="normaltextrun"/>
          <w:noProof/>
        </w:rPr>
        <w:t>piarskiego charakteru, małej powierzchni oraz oddalenia od rynków mniejszych wysp Morza Egejskiego.</w:t>
      </w:r>
      <w:r w:rsidR="00201A9A" w:rsidRPr="00201A9A">
        <w:rPr>
          <w:rStyle w:val="normaltextrun"/>
          <w:noProof/>
        </w:rPr>
        <w:t xml:space="preserve"> </w:t>
      </w:r>
    </w:p>
    <w:p w14:paraId="2C589582" w14:textId="032783E3" w:rsidR="006B30B4" w:rsidRPr="00201A9A" w:rsidRDefault="006B30B4" w:rsidP="003E2902">
      <w:pPr>
        <w:pStyle w:val="NumPar10000000"/>
        <w:numPr>
          <w:ilvl w:val="0"/>
          <w:numId w:val="112"/>
        </w:numPr>
        <w:rPr>
          <w:noProof/>
        </w:rPr>
      </w:pPr>
      <w:r w:rsidRPr="00201A9A">
        <w:rPr>
          <w:rStyle w:val="normaltextrun"/>
          <w:noProof/>
        </w:rPr>
        <w:t>Na użytek niniejszego rozporządzenia określenie „mniejsze wyspy Morza Egejskiego” oznacza wszystkie wyspy Morza Egejskiego</w:t>
      </w:r>
      <w:r w:rsidR="00201A9A" w:rsidRPr="00201A9A">
        <w:rPr>
          <w:rStyle w:val="normaltextrun"/>
          <w:noProof/>
        </w:rPr>
        <w:t xml:space="preserve"> z wyj</w:t>
      </w:r>
      <w:r w:rsidRPr="00201A9A">
        <w:rPr>
          <w:rStyle w:val="normaltextrun"/>
          <w:noProof/>
        </w:rPr>
        <w:t>ątkiem Krety</w:t>
      </w:r>
      <w:r w:rsidR="00201A9A" w:rsidRPr="00201A9A">
        <w:rPr>
          <w:rStyle w:val="normaltextrun"/>
          <w:noProof/>
        </w:rPr>
        <w:t xml:space="preserve"> i Eub</w:t>
      </w:r>
      <w:r w:rsidRPr="00201A9A">
        <w:rPr>
          <w:rStyle w:val="normaltextrun"/>
          <w:noProof/>
        </w:rPr>
        <w:t>ei.</w:t>
      </w:r>
      <w:r w:rsidRPr="00201A9A">
        <w:rPr>
          <w:rStyle w:val="eop"/>
          <w:noProof/>
        </w:rPr>
        <w:t xml:space="preserve"> </w:t>
      </w:r>
    </w:p>
    <w:p w14:paraId="5D6C65F4" w14:textId="68865666" w:rsidR="006B30B4" w:rsidRPr="00201A9A" w:rsidRDefault="006B30B4" w:rsidP="003E2902">
      <w:pPr>
        <w:pStyle w:val="NumPar10000000"/>
        <w:numPr>
          <w:ilvl w:val="0"/>
          <w:numId w:val="112"/>
        </w:numPr>
        <w:rPr>
          <w:noProof/>
        </w:rPr>
      </w:pPr>
      <w:r w:rsidRPr="00201A9A">
        <w:rPr>
          <w:rStyle w:val="normaltextrun"/>
          <w:noProof/>
        </w:rPr>
        <w:t>Oprócz przyczyniania się do realizacji celów szczegółowych określonych</w:t>
      </w:r>
      <w:r w:rsidR="00201A9A" w:rsidRPr="00201A9A">
        <w:rPr>
          <w:rStyle w:val="normaltextrun"/>
          <w:noProof/>
        </w:rPr>
        <w:t xml:space="preserve"> w art</w:t>
      </w:r>
      <w:r w:rsidRPr="00201A9A">
        <w:rPr>
          <w:rStyle w:val="normaltextrun"/>
          <w:noProof/>
        </w:rPr>
        <w:t>.</w:t>
      </w:r>
      <w:r w:rsidR="00201A9A" w:rsidRPr="00201A9A">
        <w:rPr>
          <w:rStyle w:val="normaltextrun"/>
          <w:noProof/>
        </w:rPr>
        <w:t> </w:t>
      </w:r>
      <w:r w:rsidRPr="00201A9A">
        <w:rPr>
          <w:rStyle w:val="normaltextrun"/>
          <w:noProof/>
        </w:rPr>
        <w:t>3 lit.</w:t>
      </w:r>
      <w:r w:rsidR="00201A9A" w:rsidRPr="00201A9A">
        <w:rPr>
          <w:rStyle w:val="normaltextrun"/>
          <w:noProof/>
        </w:rPr>
        <w:t> </w:t>
      </w:r>
      <w:r w:rsidRPr="00201A9A">
        <w:rPr>
          <w:rStyle w:val="normaltextrun"/>
          <w:noProof/>
        </w:rPr>
        <w:t>d) interwencje,</w:t>
      </w:r>
      <w:r w:rsidR="00201A9A" w:rsidRPr="00201A9A">
        <w:rPr>
          <w:rStyle w:val="normaltextrun"/>
          <w:noProof/>
        </w:rPr>
        <w:t xml:space="preserve"> o któ</w:t>
      </w:r>
      <w:r w:rsidRPr="00201A9A">
        <w:rPr>
          <w:rStyle w:val="normaltextrun"/>
          <w:noProof/>
        </w:rPr>
        <w:t>rych mowa</w:t>
      </w:r>
      <w:r w:rsidR="00201A9A" w:rsidRPr="00201A9A">
        <w:rPr>
          <w:rStyle w:val="normaltextrun"/>
          <w:noProof/>
        </w:rPr>
        <w:t xml:space="preserve"> w ust</w:t>
      </w:r>
      <w:r w:rsidRPr="00201A9A">
        <w:rPr>
          <w:rStyle w:val="normaltextrun"/>
          <w:noProof/>
        </w:rPr>
        <w:t>.</w:t>
      </w:r>
      <w:r w:rsidR="00201A9A" w:rsidRPr="00201A9A">
        <w:rPr>
          <w:rStyle w:val="normaltextrun"/>
          <w:noProof/>
        </w:rPr>
        <w:t> </w:t>
      </w:r>
      <w:r w:rsidRPr="00201A9A">
        <w:rPr>
          <w:rStyle w:val="normaltextrun"/>
          <w:noProof/>
        </w:rPr>
        <w:t>1, przyczyniają się do realizacji następujących celów:</w:t>
      </w:r>
      <w:r w:rsidRPr="00201A9A">
        <w:rPr>
          <w:rStyle w:val="eop"/>
          <w:noProof/>
        </w:rPr>
        <w:t xml:space="preserve"> </w:t>
      </w:r>
    </w:p>
    <w:p w14:paraId="229037A8" w14:textId="000765A0" w:rsidR="006B30B4" w:rsidRPr="00201A9A" w:rsidRDefault="00201A9A" w:rsidP="00201A9A">
      <w:pPr>
        <w:pStyle w:val="Point1"/>
        <w:rPr>
          <w:noProof/>
        </w:rPr>
      </w:pPr>
      <w:r w:rsidRPr="00201A9A">
        <w:rPr>
          <w:rStyle w:val="normaltextrun"/>
          <w:noProof/>
        </w:rPr>
        <w:t>a)</w:t>
      </w:r>
      <w:r w:rsidRPr="00201A9A">
        <w:rPr>
          <w:rStyle w:val="normaltextrun"/>
          <w:noProof/>
        </w:rPr>
        <w:tab/>
      </w:r>
      <w:r w:rsidR="006B30B4" w:rsidRPr="00201A9A">
        <w:rPr>
          <w:rStyle w:val="normaltextrun"/>
          <w:noProof/>
        </w:rPr>
        <w:t>zapewnienia zaopatrzenia mniejszych wysp Morza Egejskiego</w:t>
      </w:r>
      <w:r w:rsidRPr="00201A9A">
        <w:rPr>
          <w:rStyle w:val="normaltextrun"/>
          <w:noProof/>
        </w:rPr>
        <w:t xml:space="preserve"> w pod</w:t>
      </w:r>
      <w:r w:rsidR="006B30B4" w:rsidRPr="00201A9A">
        <w:rPr>
          <w:rStyle w:val="normaltextrun"/>
          <w:noProof/>
        </w:rPr>
        <w:t>stawowe produkty przeznaczone do spożycia przez ludzi lub do przetwórstwa</w:t>
      </w:r>
      <w:r w:rsidRPr="00201A9A">
        <w:rPr>
          <w:rStyle w:val="normaltextrun"/>
          <w:noProof/>
        </w:rPr>
        <w:t xml:space="preserve"> i sta</w:t>
      </w:r>
      <w:r w:rsidR="006B30B4" w:rsidRPr="00201A9A">
        <w:rPr>
          <w:rStyle w:val="normaltextrun"/>
          <w:noProof/>
        </w:rPr>
        <w:t>nowiących środki produkcji rolnej przez łagodzenie dodatkowych kosztów poniesionych</w:t>
      </w:r>
      <w:r w:rsidRPr="00201A9A">
        <w:rPr>
          <w:rStyle w:val="normaltextrun"/>
          <w:noProof/>
        </w:rPr>
        <w:t xml:space="preserve"> w zwi</w:t>
      </w:r>
      <w:r w:rsidR="006B30B4" w:rsidRPr="00201A9A">
        <w:rPr>
          <w:rStyle w:val="normaltextrun"/>
          <w:noProof/>
        </w:rPr>
        <w:t>ązku</w:t>
      </w:r>
      <w:r w:rsidRPr="00201A9A">
        <w:rPr>
          <w:rStyle w:val="normaltextrun"/>
          <w:noProof/>
        </w:rPr>
        <w:t xml:space="preserve"> z ich</w:t>
      </w:r>
      <w:r w:rsidR="006B30B4" w:rsidRPr="00201A9A">
        <w:rPr>
          <w:rStyle w:val="normaltextrun"/>
          <w:noProof/>
        </w:rPr>
        <w:t xml:space="preserve"> najbardziej oddalonym położeniem</w:t>
      </w:r>
      <w:r w:rsidRPr="00201A9A">
        <w:rPr>
          <w:rStyle w:val="normaltextrun"/>
          <w:noProof/>
        </w:rPr>
        <w:t xml:space="preserve"> i wys</w:t>
      </w:r>
      <w:r w:rsidR="006B30B4" w:rsidRPr="00201A9A">
        <w:rPr>
          <w:rStyle w:val="normaltextrun"/>
          <w:noProof/>
        </w:rPr>
        <w:t>piarskim charakterem, bez szkody dla produkcji lokalnej</w:t>
      </w:r>
      <w:r w:rsidRPr="00201A9A">
        <w:rPr>
          <w:rStyle w:val="normaltextrun"/>
          <w:noProof/>
        </w:rPr>
        <w:t xml:space="preserve"> i jej</w:t>
      </w:r>
      <w:r w:rsidR="006B30B4" w:rsidRPr="00201A9A">
        <w:rPr>
          <w:rStyle w:val="normaltextrun"/>
          <w:noProof/>
        </w:rPr>
        <w:t xml:space="preserve"> rozwoju;</w:t>
      </w:r>
      <w:r w:rsidR="006B30B4" w:rsidRPr="00201A9A">
        <w:rPr>
          <w:rStyle w:val="eop"/>
          <w:noProof/>
        </w:rPr>
        <w:t xml:space="preserve"> </w:t>
      </w:r>
    </w:p>
    <w:p w14:paraId="11B3DEBB" w14:textId="3A5684F5" w:rsidR="006B30B4" w:rsidRPr="00201A9A" w:rsidRDefault="00201A9A" w:rsidP="00201A9A">
      <w:pPr>
        <w:pStyle w:val="Point1"/>
        <w:rPr>
          <w:noProof/>
        </w:rPr>
      </w:pPr>
      <w:r w:rsidRPr="00201A9A">
        <w:rPr>
          <w:rStyle w:val="normaltextrun"/>
          <w:noProof/>
        </w:rPr>
        <w:t>b)</w:t>
      </w:r>
      <w:r w:rsidRPr="00201A9A">
        <w:rPr>
          <w:rStyle w:val="normaltextrun"/>
          <w:noProof/>
        </w:rPr>
        <w:tab/>
      </w:r>
      <w:r w:rsidR="006B30B4" w:rsidRPr="00201A9A">
        <w:rPr>
          <w:rStyle w:val="normaltextrun"/>
          <w:noProof/>
        </w:rPr>
        <w:t>zabezpieczenia długoterminowej przyszłości</w:t>
      </w:r>
      <w:r w:rsidRPr="00201A9A">
        <w:rPr>
          <w:rStyle w:val="normaltextrun"/>
          <w:noProof/>
        </w:rPr>
        <w:t xml:space="preserve"> i zap</w:t>
      </w:r>
      <w:r w:rsidR="006B30B4" w:rsidRPr="00201A9A">
        <w:rPr>
          <w:rStyle w:val="normaltextrun"/>
          <w:noProof/>
        </w:rPr>
        <w:t>ewnienia rozwoju działalności rolniczej na mniejszych wyspach Morza Egejskiego,</w:t>
      </w:r>
      <w:r w:rsidRPr="00201A9A">
        <w:rPr>
          <w:rStyle w:val="normaltextrun"/>
          <w:noProof/>
        </w:rPr>
        <w:t xml:space="preserve"> w tym</w:t>
      </w:r>
      <w:r w:rsidR="006B30B4" w:rsidRPr="00201A9A">
        <w:rPr>
          <w:rStyle w:val="normaltextrun"/>
          <w:noProof/>
        </w:rPr>
        <w:t xml:space="preserve"> produkcji, przetwórstwa</w:t>
      </w:r>
      <w:r w:rsidRPr="00201A9A">
        <w:rPr>
          <w:rStyle w:val="normaltextrun"/>
          <w:noProof/>
        </w:rPr>
        <w:t xml:space="preserve"> i spr</w:t>
      </w:r>
      <w:r w:rsidR="006B30B4" w:rsidRPr="00201A9A">
        <w:rPr>
          <w:rStyle w:val="normaltextrun"/>
          <w:noProof/>
        </w:rPr>
        <w:t>zedaży lokalnych upraw</w:t>
      </w:r>
      <w:r w:rsidRPr="00201A9A">
        <w:rPr>
          <w:rStyle w:val="normaltextrun"/>
          <w:noProof/>
        </w:rPr>
        <w:t xml:space="preserve"> i pro</w:t>
      </w:r>
      <w:r w:rsidR="006B30B4" w:rsidRPr="00201A9A">
        <w:rPr>
          <w:rStyle w:val="normaltextrun"/>
          <w:noProof/>
        </w:rPr>
        <w:t>duktów, ze szczególnym uwzględnieniem bezpieczeństwa żywnościowego</w:t>
      </w:r>
      <w:r w:rsidRPr="00201A9A">
        <w:rPr>
          <w:rStyle w:val="normaltextrun"/>
          <w:noProof/>
        </w:rPr>
        <w:t xml:space="preserve"> i sam</w:t>
      </w:r>
      <w:r w:rsidR="006B30B4" w:rsidRPr="00201A9A">
        <w:rPr>
          <w:rStyle w:val="normaltextrun"/>
          <w:noProof/>
        </w:rPr>
        <w:t>owystarczalności,</w:t>
      </w:r>
      <w:r w:rsidRPr="00201A9A">
        <w:rPr>
          <w:rStyle w:val="normaltextrun"/>
          <w:noProof/>
        </w:rPr>
        <w:t xml:space="preserve"> a tak</w:t>
      </w:r>
      <w:r w:rsidR="006B30B4" w:rsidRPr="00201A9A">
        <w:rPr>
          <w:rStyle w:val="normaltextrun"/>
          <w:noProof/>
        </w:rPr>
        <w:t>że utrzymania</w:t>
      </w:r>
      <w:r w:rsidRPr="00201A9A">
        <w:rPr>
          <w:rStyle w:val="normaltextrun"/>
          <w:noProof/>
        </w:rPr>
        <w:t xml:space="preserve"> i wzm</w:t>
      </w:r>
      <w:r w:rsidR="006B30B4" w:rsidRPr="00201A9A">
        <w:rPr>
          <w:rStyle w:val="normaltextrun"/>
          <w:noProof/>
        </w:rPr>
        <w:t>ocnienia ich konkurencyjności.</w:t>
      </w:r>
      <w:r w:rsidRPr="00201A9A">
        <w:rPr>
          <w:rStyle w:val="normaltextrun"/>
          <w:noProof/>
        </w:rPr>
        <w:t xml:space="preserve"> </w:t>
      </w:r>
    </w:p>
    <w:p w14:paraId="3C747657" w14:textId="34550A85" w:rsidR="006B30B4" w:rsidRPr="00201A9A" w:rsidRDefault="006B30B4" w:rsidP="003E2902">
      <w:pPr>
        <w:pStyle w:val="NumPar10000000"/>
        <w:numPr>
          <w:ilvl w:val="0"/>
          <w:numId w:val="112"/>
        </w:numPr>
        <w:rPr>
          <w:noProof/>
        </w:rPr>
      </w:pPr>
      <w:r w:rsidRPr="00201A9A">
        <w:rPr>
          <w:rStyle w:val="normaltextrun"/>
          <w:noProof/>
        </w:rPr>
        <w:t>Grecja może wdrażać na mniejszych wyspach Morza Egejskiego interwencje,</w:t>
      </w:r>
      <w:r w:rsidR="00201A9A" w:rsidRPr="00201A9A">
        <w:rPr>
          <w:rStyle w:val="normaltextrun"/>
          <w:noProof/>
        </w:rPr>
        <w:t xml:space="preserve"> o któ</w:t>
      </w:r>
      <w:r w:rsidRPr="00201A9A">
        <w:rPr>
          <w:rStyle w:val="normaltextrun"/>
          <w:noProof/>
        </w:rPr>
        <w:t>rych mowa</w:t>
      </w:r>
      <w:r w:rsidR="00201A9A" w:rsidRPr="00201A9A">
        <w:rPr>
          <w:rStyle w:val="normaltextrun"/>
          <w:noProof/>
        </w:rPr>
        <w:t xml:space="preserve"> w art</w:t>
      </w:r>
      <w:r w:rsidRPr="00201A9A">
        <w:rPr>
          <w:rStyle w:val="normaltextrun"/>
          <w:noProof/>
        </w:rPr>
        <w:t>.</w:t>
      </w:r>
      <w:r w:rsidR="00201A9A" w:rsidRPr="00201A9A">
        <w:rPr>
          <w:rStyle w:val="normaltextrun"/>
          <w:noProof/>
        </w:rPr>
        <w:t> </w:t>
      </w:r>
      <w:r w:rsidRPr="00201A9A">
        <w:rPr>
          <w:rStyle w:val="normaltextrun"/>
          <w:noProof/>
        </w:rPr>
        <w:t>35 ust.</w:t>
      </w:r>
      <w:r w:rsidR="00201A9A" w:rsidRPr="00201A9A">
        <w:rPr>
          <w:rStyle w:val="normaltextrun"/>
          <w:noProof/>
        </w:rPr>
        <w:t> </w:t>
      </w:r>
      <w:r w:rsidRPr="00201A9A">
        <w:rPr>
          <w:rStyle w:val="normaltextrun"/>
          <w:noProof/>
        </w:rPr>
        <w:t>1,</w:t>
      </w:r>
      <w:r w:rsidR="00201A9A" w:rsidRPr="00201A9A">
        <w:rPr>
          <w:rStyle w:val="normaltextrun"/>
          <w:noProof/>
        </w:rPr>
        <w:t xml:space="preserve"> z wyj</w:t>
      </w:r>
      <w:r w:rsidRPr="00201A9A">
        <w:rPr>
          <w:rStyle w:val="normaltextrun"/>
          <w:noProof/>
        </w:rPr>
        <w:t>ątkiem interwencji,</w:t>
      </w:r>
      <w:r w:rsidR="00201A9A" w:rsidRPr="00201A9A">
        <w:rPr>
          <w:rStyle w:val="normaltextrun"/>
          <w:noProof/>
        </w:rPr>
        <w:t xml:space="preserve"> o któ</w:t>
      </w:r>
      <w:r w:rsidRPr="00201A9A">
        <w:rPr>
          <w:rStyle w:val="normaltextrun"/>
          <w:noProof/>
        </w:rPr>
        <w:t>rych mowa</w:t>
      </w:r>
      <w:r w:rsidR="00201A9A" w:rsidRPr="00201A9A">
        <w:rPr>
          <w:rStyle w:val="normaltextrun"/>
          <w:noProof/>
        </w:rPr>
        <w:t xml:space="preserve"> w aka</w:t>
      </w:r>
      <w:r w:rsidRPr="00201A9A">
        <w:rPr>
          <w:rStyle w:val="normaltextrun"/>
          <w:noProof/>
        </w:rPr>
        <w:t>picie pierwszym lit.</w:t>
      </w:r>
      <w:r w:rsidR="00201A9A" w:rsidRPr="00201A9A">
        <w:rPr>
          <w:rStyle w:val="normaltextrun"/>
          <w:noProof/>
        </w:rPr>
        <w:t> </w:t>
      </w:r>
      <w:r w:rsidRPr="00201A9A">
        <w:rPr>
          <w:rStyle w:val="normaltextrun"/>
          <w:noProof/>
        </w:rPr>
        <w:t>o) [regiony najbardziej oddalone] tego artykułu [Rodzaje interwencji].</w:t>
      </w:r>
      <w:r w:rsidRPr="00201A9A">
        <w:rPr>
          <w:rStyle w:val="eop"/>
          <w:noProof/>
        </w:rPr>
        <w:t xml:space="preserve"> </w:t>
      </w:r>
    </w:p>
    <w:p w14:paraId="5AECA93E" w14:textId="6B326F60" w:rsidR="006B30B4" w:rsidRPr="00201A9A" w:rsidRDefault="006B30B4" w:rsidP="003E2902">
      <w:pPr>
        <w:pStyle w:val="NumPar10000000"/>
        <w:numPr>
          <w:ilvl w:val="0"/>
          <w:numId w:val="112"/>
        </w:numPr>
        <w:rPr>
          <w:noProof/>
        </w:rPr>
      </w:pPr>
      <w:r w:rsidRPr="00201A9A">
        <w:rPr>
          <w:rStyle w:val="normaltextrun"/>
          <w:noProof/>
        </w:rPr>
        <w:t>Odpowiedzialne prowadzenie gospodarstwa,</w:t>
      </w:r>
      <w:r w:rsidR="00201A9A" w:rsidRPr="00201A9A">
        <w:rPr>
          <w:rStyle w:val="normaltextrun"/>
          <w:noProof/>
        </w:rPr>
        <w:t xml:space="preserve"> o któ</w:t>
      </w:r>
      <w:r w:rsidRPr="00201A9A">
        <w:rPr>
          <w:rStyle w:val="normaltextrun"/>
          <w:noProof/>
        </w:rPr>
        <w:t>rym mowa</w:t>
      </w:r>
      <w:r w:rsidR="00201A9A" w:rsidRPr="00201A9A">
        <w:rPr>
          <w:rStyle w:val="normaltextrun"/>
          <w:noProof/>
        </w:rPr>
        <w:t xml:space="preserve"> w art</w:t>
      </w:r>
      <w:r w:rsidRPr="00201A9A">
        <w:rPr>
          <w:rStyle w:val="normaltextrun"/>
          <w:noProof/>
        </w:rPr>
        <w:t>.</w:t>
      </w:r>
      <w:r w:rsidR="00201A9A" w:rsidRPr="00201A9A">
        <w:rPr>
          <w:rStyle w:val="normaltextrun"/>
          <w:noProof/>
        </w:rPr>
        <w:t> </w:t>
      </w:r>
      <w:r w:rsidRPr="00201A9A">
        <w:rPr>
          <w:rStyle w:val="normaltextrun"/>
          <w:noProof/>
        </w:rPr>
        <w:t>3 rozporządzenia (UE) …/… [rozporządzenie</w:t>
      </w:r>
      <w:r w:rsidR="00201A9A" w:rsidRPr="00201A9A">
        <w:rPr>
          <w:rStyle w:val="normaltextrun"/>
          <w:noProof/>
        </w:rPr>
        <w:t xml:space="preserve"> w spr</w:t>
      </w:r>
      <w:r w:rsidRPr="00201A9A">
        <w:rPr>
          <w:rStyle w:val="normaltextrun"/>
          <w:noProof/>
        </w:rPr>
        <w:t>awie WPR], ma zastosowanie do beneficjentów otrzymujących wsparcie na rzecz lokalnych produktów rolnych,</w:t>
      </w:r>
      <w:r w:rsidR="00201A9A" w:rsidRPr="00201A9A">
        <w:rPr>
          <w:rStyle w:val="normaltextrun"/>
          <w:noProof/>
        </w:rPr>
        <w:t xml:space="preserve"> o któ</w:t>
      </w:r>
      <w:r w:rsidRPr="00201A9A">
        <w:rPr>
          <w:rStyle w:val="normaltextrun"/>
          <w:noProof/>
        </w:rPr>
        <w:t>rych mowa</w:t>
      </w:r>
      <w:r w:rsidR="00201A9A" w:rsidRPr="00201A9A">
        <w:rPr>
          <w:rStyle w:val="normaltextrun"/>
          <w:noProof/>
        </w:rPr>
        <w:t xml:space="preserve"> w art</w:t>
      </w:r>
      <w:r w:rsidRPr="00201A9A">
        <w:rPr>
          <w:rStyle w:val="normaltextrun"/>
          <w:noProof/>
        </w:rPr>
        <w:t>.</w:t>
      </w:r>
      <w:r w:rsidR="00201A9A" w:rsidRPr="00201A9A">
        <w:rPr>
          <w:rStyle w:val="normaltextrun"/>
          <w:noProof/>
        </w:rPr>
        <w:t> </w:t>
      </w:r>
      <w:r w:rsidRPr="00201A9A">
        <w:rPr>
          <w:rStyle w:val="normaltextrun"/>
          <w:noProof/>
        </w:rPr>
        <w:t>44 [Wsparcie na rzecz lokalnych produktów rolnych].</w:t>
      </w:r>
      <w:r w:rsidR="00201A9A" w:rsidRPr="00201A9A">
        <w:rPr>
          <w:rStyle w:val="normaltextrun"/>
          <w:noProof/>
        </w:rPr>
        <w:t xml:space="preserve"> </w:t>
      </w:r>
    </w:p>
    <w:p w14:paraId="44258DDC" w14:textId="67AEE59F" w:rsidR="006B30B4" w:rsidRPr="00201A9A" w:rsidRDefault="006B30B4" w:rsidP="003E2902">
      <w:pPr>
        <w:pStyle w:val="NumPar10000000"/>
        <w:numPr>
          <w:ilvl w:val="0"/>
          <w:numId w:val="112"/>
        </w:numPr>
        <w:rPr>
          <w:noProof/>
        </w:rPr>
      </w:pPr>
      <w:r w:rsidRPr="00201A9A">
        <w:rPr>
          <w:rStyle w:val="normaltextrun"/>
          <w:noProof/>
        </w:rPr>
        <w:t>Beneficjent wsparcia na rzecz lokalnych produktów rolnych,</w:t>
      </w:r>
      <w:r w:rsidR="00201A9A" w:rsidRPr="00201A9A">
        <w:rPr>
          <w:rStyle w:val="normaltextrun"/>
          <w:noProof/>
        </w:rPr>
        <w:t xml:space="preserve"> o któ</w:t>
      </w:r>
      <w:r w:rsidRPr="00201A9A">
        <w:rPr>
          <w:rStyle w:val="normaltextrun"/>
          <w:noProof/>
        </w:rPr>
        <w:t>rych mowa</w:t>
      </w:r>
      <w:r w:rsidR="00201A9A" w:rsidRPr="00201A9A">
        <w:rPr>
          <w:rStyle w:val="normaltextrun"/>
          <w:noProof/>
        </w:rPr>
        <w:t xml:space="preserve"> w art</w:t>
      </w:r>
      <w:r w:rsidRPr="00201A9A">
        <w:rPr>
          <w:rStyle w:val="normaltextrun"/>
          <w:noProof/>
        </w:rPr>
        <w:t>.</w:t>
      </w:r>
      <w:r w:rsidR="00201A9A" w:rsidRPr="00201A9A">
        <w:rPr>
          <w:rStyle w:val="normaltextrun"/>
          <w:noProof/>
        </w:rPr>
        <w:t> </w:t>
      </w:r>
      <w:r w:rsidRPr="00201A9A">
        <w:rPr>
          <w:rStyle w:val="normaltextrun"/>
          <w:noProof/>
        </w:rPr>
        <w:t>44 [Wsparcie na rzecz lokalnych produktów rolnych], otrzymujący płatność roczną nieprzekraczającą 3 000 EUR, jest jednak zwolniony</w:t>
      </w:r>
      <w:r w:rsidR="00201A9A" w:rsidRPr="00201A9A">
        <w:rPr>
          <w:rStyle w:val="normaltextrun"/>
          <w:noProof/>
        </w:rPr>
        <w:t xml:space="preserve"> z wym</w:t>
      </w:r>
      <w:r w:rsidRPr="00201A9A">
        <w:rPr>
          <w:rStyle w:val="normaltextrun"/>
          <w:noProof/>
        </w:rPr>
        <w:t>ogów dotyczących odpowiedzialnego prowadzenia gospodarstwa,</w:t>
      </w:r>
      <w:r w:rsidR="00201A9A" w:rsidRPr="00201A9A">
        <w:rPr>
          <w:rStyle w:val="normaltextrun"/>
          <w:noProof/>
        </w:rPr>
        <w:t xml:space="preserve"> o któ</w:t>
      </w:r>
      <w:r w:rsidRPr="00201A9A">
        <w:rPr>
          <w:rStyle w:val="normaltextrun"/>
          <w:noProof/>
        </w:rPr>
        <w:t>rych mowa</w:t>
      </w:r>
      <w:r w:rsidR="00201A9A" w:rsidRPr="00201A9A">
        <w:rPr>
          <w:rStyle w:val="normaltextrun"/>
          <w:noProof/>
        </w:rPr>
        <w:t xml:space="preserve"> w czę</w:t>
      </w:r>
      <w:r w:rsidRPr="00201A9A">
        <w:rPr>
          <w:rStyle w:val="normaltextrun"/>
          <w:noProof/>
        </w:rPr>
        <w:t>ściach A i C załącznika XI do rozporządzenia (UE) 202X/XXXX [rozporządzenie</w:t>
      </w:r>
      <w:r w:rsidR="00201A9A" w:rsidRPr="00201A9A">
        <w:rPr>
          <w:rStyle w:val="normaltextrun"/>
          <w:noProof/>
        </w:rPr>
        <w:t xml:space="preserve"> w spr</w:t>
      </w:r>
      <w:r w:rsidRPr="00201A9A">
        <w:rPr>
          <w:rStyle w:val="normaltextrun"/>
          <w:noProof/>
        </w:rPr>
        <w:t>awie WPR] …/…. </w:t>
      </w:r>
    </w:p>
    <w:p w14:paraId="6FBFFEB2" w14:textId="77777777" w:rsidR="006B30B4" w:rsidRPr="00201A9A" w:rsidRDefault="006B30B4" w:rsidP="005A28DE">
      <w:pPr>
        <w:pStyle w:val="Titrearticle"/>
        <w:rPr>
          <w:rFonts w:eastAsiaTheme="majorEastAsia"/>
          <w:b/>
          <w:noProof/>
        </w:rPr>
      </w:pPr>
      <w:r w:rsidRPr="00201A9A">
        <w:rPr>
          <w:rStyle w:val="eop"/>
          <w:noProof/>
        </w:rPr>
        <w:t>Artykuł 43</w:t>
      </w:r>
      <w:r w:rsidRPr="00201A9A">
        <w:rPr>
          <w:noProof/>
        </w:rPr>
        <w:t xml:space="preserve"> </w:t>
      </w:r>
      <w:r w:rsidRPr="00201A9A">
        <w:rPr>
          <w:noProof/>
        </w:rPr>
        <w:br/>
      </w:r>
      <w:r w:rsidRPr="00201A9A">
        <w:rPr>
          <w:rStyle w:val="eop"/>
          <w:b/>
          <w:noProof/>
        </w:rPr>
        <w:t>Szczególny system dostaw</w:t>
      </w:r>
    </w:p>
    <w:p w14:paraId="339AE156" w14:textId="15446196" w:rsidR="006B30B4" w:rsidRPr="00201A9A" w:rsidRDefault="006B30B4" w:rsidP="003E2902">
      <w:pPr>
        <w:pStyle w:val="NumPar10000000"/>
        <w:numPr>
          <w:ilvl w:val="0"/>
          <w:numId w:val="106"/>
        </w:numPr>
        <w:rPr>
          <w:noProof/>
        </w:rPr>
      </w:pPr>
      <w:r w:rsidRPr="00201A9A">
        <w:rPr>
          <w:rStyle w:val="normaltextrun"/>
          <w:noProof/>
        </w:rPr>
        <w:t>Wprowadza się szczególny system dostaw produktów rolnych wymienionych</w:t>
      </w:r>
      <w:r w:rsidR="00201A9A" w:rsidRPr="00201A9A">
        <w:rPr>
          <w:rStyle w:val="normaltextrun"/>
          <w:noProof/>
        </w:rPr>
        <w:t xml:space="preserve"> w zał</w:t>
      </w:r>
      <w:r w:rsidRPr="00201A9A">
        <w:rPr>
          <w:rStyle w:val="normaltextrun"/>
          <w:noProof/>
        </w:rPr>
        <w:t>ączniku I do TFUE, mających zasadnicze znaczenie na mniejszych wyspach Morza Egejskiego</w:t>
      </w:r>
      <w:r w:rsidR="00201A9A" w:rsidRPr="00201A9A">
        <w:rPr>
          <w:rStyle w:val="normaltextrun"/>
          <w:noProof/>
        </w:rPr>
        <w:t xml:space="preserve"> i prz</w:t>
      </w:r>
      <w:r w:rsidRPr="00201A9A">
        <w:rPr>
          <w:rStyle w:val="normaltextrun"/>
          <w:noProof/>
        </w:rPr>
        <w:t>eznaczonych do spożycia przez ludzi, do wytwarzania innych produktów lub wykorzystywanych jako środki produkcji rolnej.</w:t>
      </w:r>
      <w:r w:rsidR="00201A9A" w:rsidRPr="00201A9A">
        <w:rPr>
          <w:rStyle w:val="normaltextrun"/>
          <w:noProof/>
        </w:rPr>
        <w:t xml:space="preserve"> </w:t>
      </w:r>
    </w:p>
    <w:p w14:paraId="57C35EA8" w14:textId="523BC3FA" w:rsidR="006B30B4" w:rsidRPr="00201A9A" w:rsidRDefault="006B30B4" w:rsidP="003E2902">
      <w:pPr>
        <w:pStyle w:val="NumPar10000000"/>
        <w:numPr>
          <w:ilvl w:val="0"/>
          <w:numId w:val="112"/>
        </w:numPr>
        <w:rPr>
          <w:noProof/>
        </w:rPr>
      </w:pPr>
      <w:r w:rsidRPr="00201A9A">
        <w:rPr>
          <w:rStyle w:val="normaltextrun"/>
          <w:noProof/>
        </w:rPr>
        <w:t>Grecja określa</w:t>
      </w:r>
      <w:r w:rsidR="00201A9A" w:rsidRPr="00201A9A">
        <w:rPr>
          <w:rStyle w:val="normaltextrun"/>
          <w:noProof/>
        </w:rPr>
        <w:t xml:space="preserve"> w swo</w:t>
      </w:r>
      <w:r w:rsidRPr="00201A9A">
        <w:rPr>
          <w:rStyle w:val="normaltextrun"/>
          <w:noProof/>
        </w:rPr>
        <w:t>im planie, na szczeblu geograficznym, jaki uważa za najwłaściwszy, maksymalną ilość każdego produktu rolnego spośród produktów wymienionych</w:t>
      </w:r>
      <w:r w:rsidR="00201A9A" w:rsidRPr="00201A9A">
        <w:rPr>
          <w:rStyle w:val="normaltextrun"/>
          <w:noProof/>
        </w:rPr>
        <w:t xml:space="preserve"> w zał</w:t>
      </w:r>
      <w:r w:rsidRPr="00201A9A">
        <w:rPr>
          <w:rStyle w:val="normaltextrun"/>
          <w:noProof/>
        </w:rPr>
        <w:t>ączniku I do TFUE</w:t>
      </w:r>
      <w:r w:rsidR="00201A9A" w:rsidRPr="00201A9A">
        <w:rPr>
          <w:rStyle w:val="normaltextrun"/>
          <w:noProof/>
        </w:rPr>
        <w:t xml:space="preserve"> w cel</w:t>
      </w:r>
      <w:r w:rsidRPr="00201A9A">
        <w:rPr>
          <w:rStyle w:val="normaltextrun"/>
          <w:noProof/>
        </w:rPr>
        <w:t>u ilościowego określenia rocznego zapotrzebowania mniejszych wysp Morza Egejskiego.</w:t>
      </w:r>
      <w:r w:rsidR="00201A9A" w:rsidRPr="00201A9A">
        <w:rPr>
          <w:rStyle w:val="normaltextrun"/>
          <w:noProof/>
        </w:rPr>
        <w:t xml:space="preserve"> </w:t>
      </w:r>
    </w:p>
    <w:p w14:paraId="7D1338A1" w14:textId="2603B713" w:rsidR="006B30B4" w:rsidRPr="00201A9A" w:rsidRDefault="006B30B4" w:rsidP="003E2902">
      <w:pPr>
        <w:pStyle w:val="NumPar10000000"/>
        <w:numPr>
          <w:ilvl w:val="0"/>
          <w:numId w:val="112"/>
        </w:numPr>
        <w:rPr>
          <w:noProof/>
        </w:rPr>
      </w:pPr>
      <w:r w:rsidRPr="00201A9A">
        <w:rPr>
          <w:rStyle w:val="normaltextrun"/>
          <w:noProof/>
        </w:rPr>
        <w:t>Maksymalna ilość produktów rolnych,</w:t>
      </w:r>
      <w:r w:rsidR="00201A9A" w:rsidRPr="00201A9A">
        <w:rPr>
          <w:rStyle w:val="normaltextrun"/>
          <w:noProof/>
        </w:rPr>
        <w:t xml:space="preserve"> o któ</w:t>
      </w:r>
      <w:r w:rsidRPr="00201A9A">
        <w:rPr>
          <w:rStyle w:val="normaltextrun"/>
          <w:noProof/>
        </w:rPr>
        <w:t>rych mowa</w:t>
      </w:r>
      <w:r w:rsidR="00201A9A" w:rsidRPr="00201A9A">
        <w:rPr>
          <w:rStyle w:val="normaltextrun"/>
          <w:noProof/>
        </w:rPr>
        <w:t xml:space="preserve"> w aka</w:t>
      </w:r>
      <w:r w:rsidRPr="00201A9A">
        <w:rPr>
          <w:rStyle w:val="normaltextrun"/>
          <w:noProof/>
        </w:rPr>
        <w:t>picie pierwszym, obejmuje również ilości tych produktów potrzebne przedsiębiorstwom zajmującym się pakowaniem</w:t>
      </w:r>
      <w:r w:rsidR="00201A9A" w:rsidRPr="00201A9A">
        <w:rPr>
          <w:rStyle w:val="normaltextrun"/>
          <w:noProof/>
        </w:rPr>
        <w:t xml:space="preserve"> i prz</w:t>
      </w:r>
      <w:r w:rsidRPr="00201A9A">
        <w:rPr>
          <w:rStyle w:val="normaltextrun"/>
          <w:noProof/>
        </w:rPr>
        <w:t>etwórstwem produktów przeznaczonych na rynek lokalny, wywożonych do pozostałych państw Unii lub do państw trzecich</w:t>
      </w:r>
      <w:r w:rsidR="00201A9A" w:rsidRPr="00201A9A">
        <w:rPr>
          <w:rStyle w:val="normaltextrun"/>
          <w:noProof/>
        </w:rPr>
        <w:t xml:space="preserve"> w ram</w:t>
      </w:r>
      <w:r w:rsidRPr="00201A9A">
        <w:rPr>
          <w:rStyle w:val="normaltextrun"/>
          <w:noProof/>
        </w:rPr>
        <w:t>ach handlu regionalnego lub</w:t>
      </w:r>
      <w:r w:rsidR="00201A9A" w:rsidRPr="00201A9A">
        <w:rPr>
          <w:rStyle w:val="normaltextrun"/>
          <w:noProof/>
        </w:rPr>
        <w:t xml:space="preserve"> w ram</w:t>
      </w:r>
      <w:r w:rsidRPr="00201A9A">
        <w:rPr>
          <w:rStyle w:val="normaltextrun"/>
          <w:noProof/>
        </w:rPr>
        <w:t>ach tradycyjnej wymiany handlowej. Maksymalną ilość produktów,</w:t>
      </w:r>
      <w:r w:rsidR="00201A9A" w:rsidRPr="00201A9A">
        <w:rPr>
          <w:rStyle w:val="normaltextrun"/>
          <w:noProof/>
        </w:rPr>
        <w:t xml:space="preserve"> o któ</w:t>
      </w:r>
      <w:r w:rsidRPr="00201A9A">
        <w:rPr>
          <w:rStyle w:val="normaltextrun"/>
          <w:noProof/>
        </w:rPr>
        <w:t>rych mowa</w:t>
      </w:r>
      <w:r w:rsidR="00201A9A" w:rsidRPr="00201A9A">
        <w:rPr>
          <w:rStyle w:val="normaltextrun"/>
          <w:noProof/>
        </w:rPr>
        <w:t xml:space="preserve"> w aka</w:t>
      </w:r>
      <w:r w:rsidRPr="00201A9A">
        <w:rPr>
          <w:rStyle w:val="normaltextrun"/>
          <w:noProof/>
        </w:rPr>
        <w:t>picie pierwszym, ustala się</w:t>
      </w:r>
      <w:r w:rsidR="00201A9A" w:rsidRPr="00201A9A">
        <w:rPr>
          <w:rStyle w:val="normaltextrun"/>
          <w:noProof/>
        </w:rPr>
        <w:t xml:space="preserve"> z uwz</w:t>
      </w:r>
      <w:r w:rsidRPr="00201A9A">
        <w:rPr>
          <w:rStyle w:val="normaltextrun"/>
          <w:noProof/>
        </w:rPr>
        <w:t>ględnieniem</w:t>
      </w:r>
      <w:r w:rsidR="00201A9A" w:rsidRPr="00201A9A">
        <w:rPr>
          <w:rStyle w:val="normaltextrun"/>
          <w:noProof/>
        </w:rPr>
        <w:t xml:space="preserve"> w szc</w:t>
      </w:r>
      <w:r w:rsidRPr="00201A9A">
        <w:rPr>
          <w:rStyle w:val="normaltextrun"/>
          <w:noProof/>
        </w:rPr>
        <w:t>zególności ilości tych produktów określonych</w:t>
      </w:r>
      <w:r w:rsidR="00201A9A" w:rsidRPr="00201A9A">
        <w:rPr>
          <w:rStyle w:val="normaltextrun"/>
          <w:noProof/>
        </w:rPr>
        <w:t xml:space="preserve"> w pro</w:t>
      </w:r>
      <w:r w:rsidRPr="00201A9A">
        <w:rPr>
          <w:rStyle w:val="normaltextrun"/>
          <w:noProof/>
        </w:rPr>
        <w:t>gnozowanych bilansach dostaw</w:t>
      </w:r>
      <w:r w:rsidR="00201A9A" w:rsidRPr="00201A9A">
        <w:rPr>
          <w:rStyle w:val="normaltextrun"/>
          <w:noProof/>
        </w:rPr>
        <w:t xml:space="preserve"> w pop</w:t>
      </w:r>
      <w:r w:rsidRPr="00201A9A">
        <w:rPr>
          <w:rStyle w:val="normaltextrun"/>
          <w:noProof/>
        </w:rPr>
        <w:t>rzednim okresie programowania.</w:t>
      </w:r>
      <w:r w:rsidR="00201A9A" w:rsidRPr="00201A9A">
        <w:rPr>
          <w:rStyle w:val="normaltextrun"/>
          <w:noProof/>
        </w:rPr>
        <w:t xml:space="preserve"> </w:t>
      </w:r>
    </w:p>
    <w:p w14:paraId="65708461" w14:textId="4EDB4B24" w:rsidR="006B30B4" w:rsidRPr="00201A9A" w:rsidRDefault="006B30B4" w:rsidP="003E2902">
      <w:pPr>
        <w:pStyle w:val="NumPar10000000"/>
        <w:numPr>
          <w:ilvl w:val="0"/>
          <w:numId w:val="112"/>
        </w:numPr>
        <w:rPr>
          <w:noProof/>
        </w:rPr>
      </w:pPr>
      <w:r w:rsidRPr="00201A9A">
        <w:rPr>
          <w:rStyle w:val="normaltextrun"/>
          <w:noProof/>
        </w:rPr>
        <w:t>Przyznaje się wsparcie na zaopatrzenie mniejszych wysp Morza Egejskiego</w:t>
      </w:r>
      <w:r w:rsidR="00201A9A" w:rsidRPr="00201A9A">
        <w:rPr>
          <w:rStyle w:val="normaltextrun"/>
          <w:noProof/>
        </w:rPr>
        <w:t xml:space="preserve"> w pro</w:t>
      </w:r>
      <w:r w:rsidRPr="00201A9A">
        <w:rPr>
          <w:rStyle w:val="normaltextrun"/>
          <w:noProof/>
        </w:rPr>
        <w:t>dukty unijne</w:t>
      </w:r>
      <w:r w:rsidR="00201A9A" w:rsidRPr="00201A9A">
        <w:rPr>
          <w:rStyle w:val="normaltextrun"/>
          <w:noProof/>
        </w:rPr>
        <w:t xml:space="preserve"> w cel</w:t>
      </w:r>
      <w:r w:rsidRPr="00201A9A">
        <w:rPr>
          <w:rStyle w:val="normaltextrun"/>
          <w:noProof/>
        </w:rPr>
        <w:t>u zapewnienia pokrycia szczególnego zapotrzebowania określonego zgodnie</w:t>
      </w:r>
      <w:r w:rsidR="00201A9A" w:rsidRPr="00201A9A">
        <w:rPr>
          <w:rStyle w:val="normaltextrun"/>
          <w:noProof/>
        </w:rPr>
        <w:t xml:space="preserve"> z ust</w:t>
      </w:r>
      <w:r w:rsidRPr="00201A9A">
        <w:rPr>
          <w:rStyle w:val="normaltextrun"/>
          <w:noProof/>
        </w:rPr>
        <w:t>.</w:t>
      </w:r>
      <w:r w:rsidR="00201A9A" w:rsidRPr="00201A9A">
        <w:rPr>
          <w:rStyle w:val="normaltextrun"/>
          <w:noProof/>
        </w:rPr>
        <w:t> </w:t>
      </w:r>
      <w:r w:rsidRPr="00201A9A">
        <w:rPr>
          <w:rStyle w:val="normaltextrun"/>
          <w:noProof/>
        </w:rPr>
        <w:t>2</w:t>
      </w:r>
      <w:r w:rsidR="00201A9A" w:rsidRPr="00201A9A">
        <w:rPr>
          <w:rStyle w:val="normaltextrun"/>
          <w:noProof/>
        </w:rPr>
        <w:t xml:space="preserve"> z uwz</w:t>
      </w:r>
      <w:r w:rsidRPr="00201A9A">
        <w:rPr>
          <w:rStyle w:val="normaltextrun"/>
          <w:noProof/>
        </w:rPr>
        <w:t>ględnieniem cen</w:t>
      </w:r>
      <w:r w:rsidR="00201A9A" w:rsidRPr="00201A9A">
        <w:rPr>
          <w:rStyle w:val="normaltextrun"/>
          <w:noProof/>
        </w:rPr>
        <w:t xml:space="preserve"> i jak</w:t>
      </w:r>
      <w:r w:rsidRPr="00201A9A">
        <w:rPr>
          <w:rStyle w:val="normaltextrun"/>
          <w:noProof/>
        </w:rPr>
        <w:t>ości oraz przy jednoczesnym zachowaniu udziału Unii</w:t>
      </w:r>
      <w:r w:rsidR="00201A9A" w:rsidRPr="00201A9A">
        <w:rPr>
          <w:rStyle w:val="normaltextrun"/>
          <w:noProof/>
        </w:rPr>
        <w:t xml:space="preserve"> w dos</w:t>
      </w:r>
      <w:r w:rsidRPr="00201A9A">
        <w:rPr>
          <w:rStyle w:val="normaltextrun"/>
          <w:noProof/>
        </w:rPr>
        <w:t>tawach tych produktów.</w:t>
      </w:r>
      <w:r w:rsidRPr="00201A9A">
        <w:rPr>
          <w:rStyle w:val="eop"/>
          <w:noProof/>
        </w:rPr>
        <w:t xml:space="preserve"> </w:t>
      </w:r>
    </w:p>
    <w:p w14:paraId="28935BE0" w14:textId="56CB2493" w:rsidR="006B30B4" w:rsidRPr="00201A9A" w:rsidRDefault="006B30B4" w:rsidP="003E2902">
      <w:pPr>
        <w:pStyle w:val="NumPar10000000"/>
        <w:numPr>
          <w:ilvl w:val="0"/>
          <w:numId w:val="112"/>
        </w:numPr>
        <w:rPr>
          <w:noProof/>
        </w:rPr>
      </w:pPr>
      <w:r w:rsidRPr="00201A9A">
        <w:rPr>
          <w:rStyle w:val="normaltextrun"/>
          <w:noProof/>
        </w:rPr>
        <w:t>Wsparcie nie przysługuje</w:t>
      </w:r>
      <w:r w:rsidR="00201A9A" w:rsidRPr="00201A9A">
        <w:rPr>
          <w:rStyle w:val="normaltextrun"/>
          <w:noProof/>
        </w:rPr>
        <w:t xml:space="preserve"> w prz</w:t>
      </w:r>
      <w:r w:rsidRPr="00201A9A">
        <w:rPr>
          <w:rStyle w:val="normaltextrun"/>
          <w:noProof/>
        </w:rPr>
        <w:t>ypadku dostaw produktów, które już wcześniej skorzystały ze szczególnego systemu dostaw na inne mniejsze wyspy Morza Egejskiego.</w:t>
      </w:r>
      <w:r w:rsidRPr="00201A9A">
        <w:rPr>
          <w:rStyle w:val="eop"/>
          <w:noProof/>
        </w:rPr>
        <w:t xml:space="preserve"> </w:t>
      </w:r>
    </w:p>
    <w:p w14:paraId="383863A9" w14:textId="21B4941C" w:rsidR="006B30B4" w:rsidRPr="00201A9A" w:rsidRDefault="006B30B4" w:rsidP="003E2902">
      <w:pPr>
        <w:pStyle w:val="NumPar10000000"/>
        <w:numPr>
          <w:ilvl w:val="0"/>
          <w:numId w:val="112"/>
        </w:numPr>
        <w:rPr>
          <w:noProof/>
        </w:rPr>
      </w:pPr>
      <w:r w:rsidRPr="00201A9A">
        <w:rPr>
          <w:rStyle w:val="normaltextrun"/>
          <w:noProof/>
        </w:rPr>
        <w:t>Szczególnym systemem dostaw objęte są tylko produkty</w:t>
      </w:r>
      <w:r w:rsidR="00201A9A" w:rsidRPr="00201A9A">
        <w:rPr>
          <w:rStyle w:val="normaltextrun"/>
          <w:noProof/>
        </w:rPr>
        <w:t xml:space="preserve"> o sol</w:t>
      </w:r>
      <w:r w:rsidRPr="00201A9A">
        <w:rPr>
          <w:rStyle w:val="normaltextrun"/>
          <w:noProof/>
        </w:rPr>
        <w:t>idnej</w:t>
      </w:r>
      <w:r w:rsidR="00201A9A" w:rsidRPr="00201A9A">
        <w:rPr>
          <w:rStyle w:val="normaltextrun"/>
          <w:noProof/>
        </w:rPr>
        <w:t xml:space="preserve"> i wła</w:t>
      </w:r>
      <w:r w:rsidRPr="00201A9A">
        <w:rPr>
          <w:rStyle w:val="normaltextrun"/>
          <w:noProof/>
        </w:rPr>
        <w:t xml:space="preserve">ściwej jakości handlowej. </w:t>
      </w:r>
    </w:p>
    <w:p w14:paraId="66542894" w14:textId="6B1F4807" w:rsidR="006B30B4" w:rsidRPr="00201A9A" w:rsidRDefault="006B30B4" w:rsidP="003E2902">
      <w:pPr>
        <w:pStyle w:val="NumPar10000000"/>
        <w:numPr>
          <w:ilvl w:val="0"/>
          <w:numId w:val="112"/>
        </w:numPr>
        <w:rPr>
          <w:rStyle w:val="normaltextrun"/>
          <w:noProof/>
        </w:rPr>
      </w:pPr>
      <w:r w:rsidRPr="00201A9A">
        <w:rPr>
          <w:rStyle w:val="normaltextrun"/>
          <w:noProof/>
        </w:rPr>
        <w:t>Wdrażając szczególny system dostaw, Grecja uwzględnia</w:t>
      </w:r>
      <w:r w:rsidR="00201A9A" w:rsidRPr="00201A9A">
        <w:rPr>
          <w:rStyle w:val="normaltextrun"/>
          <w:noProof/>
        </w:rPr>
        <w:t xml:space="preserve"> w szc</w:t>
      </w:r>
      <w:r w:rsidRPr="00201A9A">
        <w:rPr>
          <w:rStyle w:val="normaltextrun"/>
          <w:noProof/>
        </w:rPr>
        <w:t>zególności potrzebę zapewnienia, aby istniejąca produkcja lokalna nie była destabilizowana ani ograniczana</w:t>
      </w:r>
      <w:r w:rsidR="00201A9A" w:rsidRPr="00201A9A">
        <w:rPr>
          <w:rStyle w:val="normaltextrun"/>
          <w:noProof/>
        </w:rPr>
        <w:t xml:space="preserve"> w swo</w:t>
      </w:r>
      <w:r w:rsidRPr="00201A9A">
        <w:rPr>
          <w:rStyle w:val="normaltextrun"/>
          <w:noProof/>
        </w:rPr>
        <w:t>ich możliwościach rozwoju, oraz wymóg określony</w:t>
      </w:r>
      <w:r w:rsidR="00201A9A" w:rsidRPr="00201A9A">
        <w:rPr>
          <w:rStyle w:val="normaltextrun"/>
          <w:noProof/>
        </w:rPr>
        <w:t xml:space="preserve"> w ust</w:t>
      </w:r>
      <w:r w:rsidRPr="00201A9A">
        <w:rPr>
          <w:rStyle w:val="normaltextrun"/>
          <w:noProof/>
        </w:rPr>
        <w:t>.</w:t>
      </w:r>
      <w:r w:rsidR="00201A9A" w:rsidRPr="00201A9A">
        <w:rPr>
          <w:rStyle w:val="normaltextrun"/>
          <w:noProof/>
        </w:rPr>
        <w:t> </w:t>
      </w:r>
      <w:r w:rsidRPr="00201A9A">
        <w:rPr>
          <w:rStyle w:val="normaltextrun"/>
          <w:noProof/>
        </w:rPr>
        <w:t>5.</w:t>
      </w:r>
      <w:r w:rsidR="00201A9A" w:rsidRPr="00201A9A">
        <w:rPr>
          <w:rStyle w:val="normaltextrun"/>
          <w:noProof/>
        </w:rPr>
        <w:t xml:space="preserve"> </w:t>
      </w:r>
    </w:p>
    <w:p w14:paraId="45A59BF8" w14:textId="77777777" w:rsidR="006B30B4" w:rsidRPr="00201A9A" w:rsidRDefault="006B30B4" w:rsidP="005A28DE">
      <w:pPr>
        <w:pStyle w:val="Titrearticle"/>
        <w:spacing w:before="0"/>
        <w:rPr>
          <w:rStyle w:val="normaltextrun"/>
          <w:b/>
          <w:noProof/>
        </w:rPr>
      </w:pPr>
      <w:r w:rsidRPr="00201A9A">
        <w:rPr>
          <w:rStyle w:val="eop"/>
          <w:noProof/>
        </w:rPr>
        <w:t>Artykuł 44</w:t>
      </w:r>
      <w:r w:rsidRPr="00201A9A">
        <w:rPr>
          <w:noProof/>
        </w:rPr>
        <w:t xml:space="preserve"> </w:t>
      </w:r>
      <w:r w:rsidRPr="00201A9A">
        <w:rPr>
          <w:noProof/>
        </w:rPr>
        <w:br/>
      </w:r>
      <w:r w:rsidRPr="00201A9A">
        <w:rPr>
          <w:rStyle w:val="eop"/>
          <w:b/>
          <w:noProof/>
        </w:rPr>
        <w:t>Wsparcie na rzecz lokalnych produktów rolnych</w:t>
      </w:r>
    </w:p>
    <w:p w14:paraId="7D5D49A3" w14:textId="60BB109C" w:rsidR="006B30B4" w:rsidRPr="00201A9A" w:rsidRDefault="006B30B4" w:rsidP="003E2902">
      <w:pPr>
        <w:pStyle w:val="NumPar10000000"/>
        <w:numPr>
          <w:ilvl w:val="0"/>
          <w:numId w:val="107"/>
        </w:numPr>
        <w:rPr>
          <w:noProof/>
        </w:rPr>
      </w:pPr>
      <w:r w:rsidRPr="00201A9A">
        <w:rPr>
          <w:rStyle w:val="normaltextrun"/>
          <w:noProof/>
        </w:rPr>
        <w:t>Grecja przyznaje wsparcie na produkcję, przetwórstwo, wprowadzanie do obrotu</w:t>
      </w:r>
      <w:r w:rsidR="00201A9A" w:rsidRPr="00201A9A">
        <w:rPr>
          <w:rStyle w:val="normaltextrun"/>
          <w:noProof/>
        </w:rPr>
        <w:t xml:space="preserve"> i tra</w:t>
      </w:r>
      <w:r w:rsidRPr="00201A9A">
        <w:rPr>
          <w:rStyle w:val="normaltextrun"/>
          <w:noProof/>
        </w:rPr>
        <w:t>nsport nieprzetworzonych</w:t>
      </w:r>
      <w:r w:rsidR="00201A9A" w:rsidRPr="00201A9A">
        <w:rPr>
          <w:rStyle w:val="normaltextrun"/>
          <w:noProof/>
        </w:rPr>
        <w:t xml:space="preserve"> i prz</w:t>
      </w:r>
      <w:r w:rsidRPr="00201A9A">
        <w:rPr>
          <w:rStyle w:val="normaltextrun"/>
          <w:noProof/>
        </w:rPr>
        <w:t>etworzonych produktów rolnych na mniejszych wyspach Morza Egejskiego.</w:t>
      </w:r>
      <w:r w:rsidR="00201A9A" w:rsidRPr="00201A9A">
        <w:rPr>
          <w:rStyle w:val="normaltextrun"/>
          <w:noProof/>
        </w:rPr>
        <w:t xml:space="preserve"> </w:t>
      </w:r>
    </w:p>
    <w:p w14:paraId="7EDEFC87" w14:textId="5D0671DC" w:rsidR="006B30B4" w:rsidRPr="00201A9A" w:rsidRDefault="006B30B4" w:rsidP="003E2902">
      <w:pPr>
        <w:pStyle w:val="NumPar10000000"/>
        <w:numPr>
          <w:ilvl w:val="0"/>
          <w:numId w:val="112"/>
        </w:numPr>
        <w:rPr>
          <w:noProof/>
        </w:rPr>
      </w:pPr>
      <w:r w:rsidRPr="00201A9A">
        <w:rPr>
          <w:rStyle w:val="normaltextrun"/>
          <w:noProof/>
        </w:rPr>
        <w:t>Grecja opracowuje interwencje</w:t>
      </w:r>
      <w:r w:rsidR="00201A9A" w:rsidRPr="00201A9A">
        <w:rPr>
          <w:rStyle w:val="normaltextrun"/>
          <w:noProof/>
        </w:rPr>
        <w:t xml:space="preserve"> w tak</w:t>
      </w:r>
      <w:r w:rsidRPr="00201A9A">
        <w:rPr>
          <w:rStyle w:val="normaltextrun"/>
          <w:noProof/>
        </w:rPr>
        <w:t>i sposób, aby zapewnić ciągłość</w:t>
      </w:r>
      <w:r w:rsidR="00201A9A" w:rsidRPr="00201A9A">
        <w:rPr>
          <w:rStyle w:val="normaltextrun"/>
          <w:noProof/>
        </w:rPr>
        <w:t xml:space="preserve"> i roz</w:t>
      </w:r>
      <w:r w:rsidRPr="00201A9A">
        <w:rPr>
          <w:rStyle w:val="normaltextrun"/>
          <w:noProof/>
        </w:rPr>
        <w:t>wój lokalnej produkcji rolnej na mniejszych wyspach Morza Egejskiego.</w:t>
      </w:r>
      <w:r w:rsidRPr="00201A9A">
        <w:rPr>
          <w:rStyle w:val="eop"/>
          <w:noProof/>
        </w:rPr>
        <w:t xml:space="preserve"> </w:t>
      </w:r>
    </w:p>
    <w:p w14:paraId="4B8AD33C" w14:textId="767DBCCB" w:rsidR="006B30B4" w:rsidRPr="00201A9A" w:rsidRDefault="006B30B4" w:rsidP="003E2902">
      <w:pPr>
        <w:pStyle w:val="NumPar10000000"/>
        <w:numPr>
          <w:ilvl w:val="0"/>
          <w:numId w:val="112"/>
        </w:numPr>
        <w:rPr>
          <w:noProof/>
        </w:rPr>
      </w:pPr>
      <w:r w:rsidRPr="00201A9A">
        <w:rPr>
          <w:rStyle w:val="normaltextrun"/>
          <w:noProof/>
        </w:rPr>
        <w:t>Grecja zapewnia sprawiedliwy podział płatności. Grecja może ograniczyć kwotę wsparcia, które ma zostać przyznane beneficjentowi</w:t>
      </w:r>
      <w:r w:rsidR="00201A9A" w:rsidRPr="00201A9A">
        <w:rPr>
          <w:rStyle w:val="normaltextrun"/>
          <w:noProof/>
        </w:rPr>
        <w:t xml:space="preserve"> w dan</w:t>
      </w:r>
      <w:r w:rsidRPr="00201A9A">
        <w:rPr>
          <w:rStyle w:val="normaltextrun"/>
          <w:noProof/>
        </w:rPr>
        <w:t>ym roku kalendarzowym, lub skorzystać</w:t>
      </w:r>
      <w:r w:rsidR="00201A9A" w:rsidRPr="00201A9A">
        <w:rPr>
          <w:rStyle w:val="normaltextrun"/>
          <w:noProof/>
        </w:rPr>
        <w:t xml:space="preserve"> z pła</w:t>
      </w:r>
      <w:r w:rsidRPr="00201A9A">
        <w:rPr>
          <w:rStyle w:val="normaltextrun"/>
          <w:noProof/>
        </w:rPr>
        <w:t>tności degresywnych.</w:t>
      </w:r>
      <w:r w:rsidRPr="00201A9A">
        <w:rPr>
          <w:rStyle w:val="eop"/>
          <w:noProof/>
        </w:rPr>
        <w:t xml:space="preserve"> </w:t>
      </w:r>
    </w:p>
    <w:p w14:paraId="27D678F1" w14:textId="6BF77A52" w:rsidR="006B30B4" w:rsidRPr="00201A9A" w:rsidRDefault="006B30B4" w:rsidP="003E2902">
      <w:pPr>
        <w:pStyle w:val="NumPar10000000"/>
        <w:numPr>
          <w:ilvl w:val="0"/>
          <w:numId w:val="112"/>
        </w:numPr>
        <w:rPr>
          <w:noProof/>
        </w:rPr>
      </w:pPr>
      <w:r w:rsidRPr="00201A9A">
        <w:rPr>
          <w:rStyle w:val="normaltextrun"/>
          <w:noProof/>
        </w:rPr>
        <w:t>Grecja może przyznać wsparcie na wprowadzanie produktów do obrotu poza regionem,</w:t>
      </w:r>
      <w:r w:rsidR="00201A9A" w:rsidRPr="00201A9A">
        <w:rPr>
          <w:rStyle w:val="normaltextrun"/>
          <w:noProof/>
        </w:rPr>
        <w:t xml:space="preserve"> w któ</w:t>
      </w:r>
      <w:r w:rsidRPr="00201A9A">
        <w:rPr>
          <w:rStyle w:val="normaltextrun"/>
          <w:noProof/>
        </w:rPr>
        <w:t>rym zostały wyprodukowane. Wsparcie to nie może przekraczać 10</w:t>
      </w:r>
      <w:r w:rsidR="00201A9A" w:rsidRPr="00201A9A">
        <w:rPr>
          <w:rStyle w:val="normaltextrun"/>
          <w:noProof/>
        </w:rPr>
        <w:t> </w:t>
      </w:r>
      <w:r w:rsidRPr="00201A9A">
        <w:rPr>
          <w:rStyle w:val="normaltextrun"/>
          <w:noProof/>
        </w:rPr>
        <w:t>% wartości produkcji stanowiącej przedmiot obrotu dostarczonej do strefy przeznaczenia</w:t>
      </w:r>
      <w:r w:rsidR="00201A9A" w:rsidRPr="00201A9A">
        <w:rPr>
          <w:rStyle w:val="normaltextrun"/>
          <w:noProof/>
        </w:rPr>
        <w:t xml:space="preserve"> w dan</w:t>
      </w:r>
      <w:r w:rsidRPr="00201A9A">
        <w:rPr>
          <w:rStyle w:val="normaltextrun"/>
          <w:noProof/>
        </w:rPr>
        <w:t>ym roku kalendarzowym.</w:t>
      </w:r>
      <w:r w:rsidR="00201A9A" w:rsidRPr="00201A9A">
        <w:rPr>
          <w:rStyle w:val="normaltextrun"/>
          <w:noProof/>
        </w:rPr>
        <w:t xml:space="preserve"> </w:t>
      </w:r>
    </w:p>
    <w:p w14:paraId="69EA8EB7" w14:textId="5E486091" w:rsidR="006B30B4" w:rsidRPr="00201A9A" w:rsidRDefault="006B30B4" w:rsidP="003E2902">
      <w:pPr>
        <w:pStyle w:val="NumPar10000000"/>
        <w:numPr>
          <w:ilvl w:val="0"/>
          <w:numId w:val="112"/>
        </w:numPr>
        <w:rPr>
          <w:rStyle w:val="eop"/>
          <w:noProof/>
        </w:rPr>
      </w:pPr>
      <w:r w:rsidRPr="00201A9A">
        <w:rPr>
          <w:rStyle w:val="normaltextrun"/>
          <w:noProof/>
        </w:rPr>
        <w:t>W przypadku zmiany planu zgodnie</w:t>
      </w:r>
      <w:r w:rsidR="00201A9A" w:rsidRPr="00201A9A">
        <w:rPr>
          <w:rStyle w:val="normaltextrun"/>
          <w:noProof/>
        </w:rPr>
        <w:t xml:space="preserve"> z art</w:t>
      </w:r>
      <w:r w:rsidRPr="00201A9A">
        <w:rPr>
          <w:rStyle w:val="normaltextrun"/>
          <w:noProof/>
        </w:rPr>
        <w:t>.</w:t>
      </w:r>
      <w:r w:rsidR="00201A9A" w:rsidRPr="00201A9A">
        <w:rPr>
          <w:rStyle w:val="normaltextrun"/>
          <w:noProof/>
        </w:rPr>
        <w:t> </w:t>
      </w:r>
      <w:r w:rsidRPr="00201A9A">
        <w:rPr>
          <w:rStyle w:val="normaltextrun"/>
          <w:noProof/>
        </w:rPr>
        <w:t>24 [Zmiany planów] beneficjenci dotknięci wyjątkową klęską żywiołową lub poważnym zdarzeniem meteorologicznym mogą nadal korzystać ze wsparcia</w:t>
      </w:r>
      <w:r w:rsidR="00201A9A" w:rsidRPr="00201A9A">
        <w:rPr>
          <w:rStyle w:val="normaltextrun"/>
          <w:noProof/>
        </w:rPr>
        <w:t xml:space="preserve"> w for</w:t>
      </w:r>
      <w:r w:rsidRPr="00201A9A">
        <w:rPr>
          <w:rStyle w:val="normaltextrun"/>
          <w:noProof/>
        </w:rPr>
        <w:t>mie środków wspierających produkcję, przetwórstwo lub wprowadzanie do obrotu,</w:t>
      </w:r>
      <w:r w:rsidR="00201A9A" w:rsidRPr="00201A9A">
        <w:rPr>
          <w:rStyle w:val="normaltextrun"/>
          <w:noProof/>
        </w:rPr>
        <w:t xml:space="preserve"> o któ</w:t>
      </w:r>
      <w:r w:rsidRPr="00201A9A">
        <w:rPr>
          <w:rStyle w:val="normaltextrun"/>
          <w:noProof/>
        </w:rPr>
        <w:t>rych mowa</w:t>
      </w:r>
      <w:r w:rsidR="00201A9A" w:rsidRPr="00201A9A">
        <w:rPr>
          <w:rStyle w:val="normaltextrun"/>
          <w:noProof/>
        </w:rPr>
        <w:t xml:space="preserve"> w ust</w:t>
      </w:r>
      <w:r w:rsidRPr="00201A9A">
        <w:rPr>
          <w:rStyle w:val="normaltextrun"/>
          <w:noProof/>
        </w:rPr>
        <w:t>.</w:t>
      </w:r>
      <w:r w:rsidR="00201A9A" w:rsidRPr="00201A9A">
        <w:rPr>
          <w:rStyle w:val="normaltextrun"/>
          <w:noProof/>
        </w:rPr>
        <w:t> </w:t>
      </w:r>
      <w:r w:rsidRPr="00201A9A">
        <w:rPr>
          <w:rStyle w:val="normaltextrun"/>
          <w:noProof/>
        </w:rPr>
        <w:t>1, niezależnie od ich poziomu działalności przez cały okres przywracania do stanu poprzedniego, ale pod warunkiem formalnego zobowiązania do przywrócenia ich zdolności produkcji rolnej.</w:t>
      </w:r>
      <w:r w:rsidRPr="00201A9A">
        <w:rPr>
          <w:rStyle w:val="eop"/>
          <w:noProof/>
        </w:rPr>
        <w:t xml:space="preserve"> </w:t>
      </w:r>
    </w:p>
    <w:p w14:paraId="6671E229" w14:textId="0C943D2A" w:rsidR="006B30B4" w:rsidRPr="00201A9A" w:rsidRDefault="006B30B4" w:rsidP="004D4C26">
      <w:pPr>
        <w:pStyle w:val="Titlearticle"/>
        <w:rPr>
          <w:rStyle w:val="eop"/>
          <w:rFonts w:eastAsiaTheme="majorEastAsia"/>
          <w:b/>
          <w:noProof/>
        </w:rPr>
      </w:pPr>
      <w:r w:rsidRPr="00201A9A">
        <w:rPr>
          <w:rStyle w:val="eop"/>
          <w:noProof/>
        </w:rPr>
        <w:t>Artykuł 45</w:t>
      </w:r>
      <w:r w:rsidRPr="00201A9A">
        <w:rPr>
          <w:noProof/>
        </w:rPr>
        <w:t xml:space="preserve"> </w:t>
      </w:r>
      <w:r w:rsidRPr="00201A9A">
        <w:rPr>
          <w:noProof/>
        </w:rPr>
        <w:br/>
      </w:r>
      <w:r w:rsidRPr="00201A9A">
        <w:rPr>
          <w:rStyle w:val="eop"/>
          <w:b/>
          <w:noProof/>
        </w:rPr>
        <w:t>Kontrole</w:t>
      </w:r>
      <w:r w:rsidR="00201A9A" w:rsidRPr="00201A9A">
        <w:rPr>
          <w:rStyle w:val="eop"/>
          <w:b/>
          <w:noProof/>
        </w:rPr>
        <w:t xml:space="preserve"> i kar</w:t>
      </w:r>
      <w:r w:rsidRPr="00201A9A">
        <w:rPr>
          <w:rStyle w:val="eop"/>
          <w:b/>
          <w:noProof/>
        </w:rPr>
        <w:t>y</w:t>
      </w:r>
    </w:p>
    <w:p w14:paraId="39FE3D60" w14:textId="389FC773" w:rsidR="006B30B4" w:rsidRPr="00201A9A" w:rsidRDefault="006B30B4" w:rsidP="003E2902">
      <w:pPr>
        <w:pStyle w:val="NumPar10000000"/>
        <w:numPr>
          <w:ilvl w:val="0"/>
          <w:numId w:val="109"/>
        </w:numPr>
        <w:rPr>
          <w:rFonts w:eastAsiaTheme="majorEastAsia"/>
          <w:noProof/>
        </w:rPr>
      </w:pPr>
      <w:r w:rsidRPr="00201A9A">
        <w:rPr>
          <w:noProof/>
        </w:rPr>
        <w:t>W odniesieniu do szczególnych systemów dostaw Grecja przeprowadza kontrole</w:t>
      </w:r>
      <w:r w:rsidR="00201A9A" w:rsidRPr="00201A9A">
        <w:rPr>
          <w:noProof/>
        </w:rPr>
        <w:t xml:space="preserve"> w for</w:t>
      </w:r>
      <w:r w:rsidRPr="00201A9A">
        <w:rPr>
          <w:noProof/>
        </w:rPr>
        <w:t>mie kontroli administracyjnych, bezpośrednich</w:t>
      </w:r>
      <w:r w:rsidR="00201A9A" w:rsidRPr="00201A9A">
        <w:rPr>
          <w:noProof/>
        </w:rPr>
        <w:t xml:space="preserve"> i kon</w:t>
      </w:r>
      <w:r w:rsidRPr="00201A9A">
        <w:rPr>
          <w:noProof/>
        </w:rPr>
        <w:t xml:space="preserve">troli na miejscu. </w:t>
      </w:r>
    </w:p>
    <w:p w14:paraId="698556BA" w14:textId="7FA6D5D7" w:rsidR="006B30B4" w:rsidRPr="00201A9A" w:rsidRDefault="006B30B4" w:rsidP="003E2902">
      <w:pPr>
        <w:pStyle w:val="NumPar10000000"/>
        <w:numPr>
          <w:ilvl w:val="0"/>
          <w:numId w:val="112"/>
        </w:numPr>
        <w:rPr>
          <w:rFonts w:eastAsiaTheme="majorEastAsia"/>
          <w:noProof/>
        </w:rPr>
      </w:pPr>
      <w:r w:rsidRPr="00201A9A">
        <w:rPr>
          <w:noProof/>
        </w:rPr>
        <w:t>Kontrole administracyjne przywozu, wprowadzenia do obrotu, wywozu</w:t>
      </w:r>
      <w:r w:rsidR="00201A9A" w:rsidRPr="00201A9A">
        <w:rPr>
          <w:noProof/>
        </w:rPr>
        <w:t xml:space="preserve"> i wys</w:t>
      </w:r>
      <w:r w:rsidRPr="00201A9A">
        <w:rPr>
          <w:noProof/>
        </w:rPr>
        <w:t>yłki produktów rolnych są wyczerpujące</w:t>
      </w:r>
      <w:r w:rsidR="00201A9A" w:rsidRPr="00201A9A">
        <w:rPr>
          <w:noProof/>
        </w:rPr>
        <w:t xml:space="preserve"> i obe</w:t>
      </w:r>
      <w:r w:rsidRPr="00201A9A">
        <w:rPr>
          <w:noProof/>
        </w:rPr>
        <w:t>jmują kontrole krzyżowe</w:t>
      </w:r>
      <w:r w:rsidR="00201A9A" w:rsidRPr="00201A9A">
        <w:rPr>
          <w:noProof/>
        </w:rPr>
        <w:t xml:space="preserve"> z dok</w:t>
      </w:r>
      <w:r w:rsidRPr="00201A9A">
        <w:rPr>
          <w:noProof/>
        </w:rPr>
        <w:t>umentami uzupełniającymi. Kontrole bezpośrednie przeprowadzane na danych mniejszych wyspach Morza Egejskiego przy przywozie lub wprowadzaniu do obrotu produktów rolnych dotyczą reprezentatywnej próby co najmniej 5</w:t>
      </w:r>
      <w:r w:rsidR="00201A9A" w:rsidRPr="00201A9A">
        <w:rPr>
          <w:noProof/>
        </w:rPr>
        <w:t> </w:t>
      </w:r>
      <w:r w:rsidRPr="00201A9A">
        <w:rPr>
          <w:noProof/>
        </w:rPr>
        <w:t>% pozwoleń</w:t>
      </w:r>
      <w:r w:rsidR="00201A9A" w:rsidRPr="00201A9A">
        <w:rPr>
          <w:noProof/>
        </w:rPr>
        <w:t xml:space="preserve"> i świ</w:t>
      </w:r>
      <w:r w:rsidRPr="00201A9A">
        <w:rPr>
          <w:noProof/>
        </w:rPr>
        <w:t>adectw.</w:t>
      </w:r>
    </w:p>
    <w:p w14:paraId="3B5D0905" w14:textId="5EBCD5B4" w:rsidR="006B30B4" w:rsidRPr="00201A9A" w:rsidRDefault="006B30B4" w:rsidP="003E2902">
      <w:pPr>
        <w:pStyle w:val="NumPar10000000"/>
        <w:numPr>
          <w:ilvl w:val="0"/>
          <w:numId w:val="112"/>
        </w:numPr>
        <w:rPr>
          <w:rFonts w:eastAsiaTheme="majorEastAsia"/>
          <w:noProof/>
        </w:rPr>
      </w:pPr>
      <w:r w:rsidRPr="00201A9A">
        <w:rPr>
          <w:noProof/>
        </w:rPr>
        <w:t>W przypadku środków wspierających produkcję lokalną Grecja przeprowadza kontrole</w:t>
      </w:r>
      <w:r w:rsidR="00201A9A" w:rsidRPr="00201A9A">
        <w:rPr>
          <w:noProof/>
        </w:rPr>
        <w:t xml:space="preserve"> w for</w:t>
      </w:r>
      <w:r w:rsidRPr="00201A9A">
        <w:rPr>
          <w:noProof/>
        </w:rPr>
        <w:t>mie kontroli administracyjnych</w:t>
      </w:r>
      <w:r w:rsidR="00201A9A" w:rsidRPr="00201A9A">
        <w:rPr>
          <w:noProof/>
        </w:rPr>
        <w:t xml:space="preserve"> i kon</w:t>
      </w:r>
      <w:r w:rsidRPr="00201A9A">
        <w:rPr>
          <w:noProof/>
        </w:rPr>
        <w:t xml:space="preserve">troli na miejscu. </w:t>
      </w:r>
    </w:p>
    <w:p w14:paraId="7B2FCA6C" w14:textId="29F0EA47" w:rsidR="006B30B4" w:rsidRPr="00201A9A" w:rsidRDefault="006B30B4" w:rsidP="003E2902">
      <w:pPr>
        <w:pStyle w:val="NumPar10000000"/>
        <w:numPr>
          <w:ilvl w:val="0"/>
          <w:numId w:val="112"/>
        </w:numPr>
        <w:rPr>
          <w:rFonts w:eastAsiaTheme="majorEastAsia"/>
          <w:noProof/>
        </w:rPr>
      </w:pPr>
      <w:r w:rsidRPr="00201A9A">
        <w:rPr>
          <w:noProof/>
        </w:rPr>
        <w:t>Kontrole administracyjne są wyczerpujące</w:t>
      </w:r>
      <w:r w:rsidR="00201A9A" w:rsidRPr="00201A9A">
        <w:rPr>
          <w:noProof/>
        </w:rPr>
        <w:t xml:space="preserve"> i obe</w:t>
      </w:r>
      <w:r w:rsidRPr="00201A9A">
        <w:rPr>
          <w:noProof/>
        </w:rPr>
        <w:t>jmują kontrole krzyżowe między innymi</w:t>
      </w:r>
      <w:r w:rsidR="00201A9A" w:rsidRPr="00201A9A">
        <w:rPr>
          <w:noProof/>
        </w:rPr>
        <w:t xml:space="preserve"> z dan</w:t>
      </w:r>
      <w:r w:rsidRPr="00201A9A">
        <w:rPr>
          <w:noProof/>
        </w:rPr>
        <w:t>ymi ze zintegrowanego systemu zarządzania</w:t>
      </w:r>
      <w:r w:rsidR="00201A9A" w:rsidRPr="00201A9A">
        <w:rPr>
          <w:noProof/>
        </w:rPr>
        <w:t xml:space="preserve"> i kon</w:t>
      </w:r>
      <w:r w:rsidRPr="00201A9A">
        <w:rPr>
          <w:noProof/>
        </w:rPr>
        <w:t>troli.</w:t>
      </w:r>
    </w:p>
    <w:p w14:paraId="7375879E" w14:textId="0A23C767" w:rsidR="006B30B4" w:rsidRPr="00201A9A" w:rsidRDefault="006B30B4" w:rsidP="003E2902">
      <w:pPr>
        <w:pStyle w:val="NumPar10000000"/>
        <w:numPr>
          <w:ilvl w:val="0"/>
          <w:numId w:val="112"/>
        </w:numPr>
        <w:rPr>
          <w:rFonts w:eastAsiaTheme="majorEastAsia"/>
          <w:noProof/>
        </w:rPr>
      </w:pPr>
      <w:r w:rsidRPr="00201A9A">
        <w:rPr>
          <w:noProof/>
        </w:rPr>
        <w:t>Wnioskodawcy ubiegający się</w:t>
      </w:r>
      <w:r w:rsidR="00201A9A" w:rsidRPr="00201A9A">
        <w:rPr>
          <w:noProof/>
        </w:rPr>
        <w:t xml:space="preserve"> o pom</w:t>
      </w:r>
      <w:r w:rsidRPr="00201A9A">
        <w:rPr>
          <w:noProof/>
        </w:rPr>
        <w:t>oc na rzecz szczególnego systemu dostaw</w:t>
      </w:r>
      <w:r w:rsidR="00201A9A" w:rsidRPr="00201A9A">
        <w:rPr>
          <w:noProof/>
        </w:rPr>
        <w:t xml:space="preserve"> i wsp</w:t>
      </w:r>
      <w:r w:rsidRPr="00201A9A">
        <w:rPr>
          <w:noProof/>
        </w:rPr>
        <w:t>arcia produkcji lokalnej są wybierani do kontroli na miejscu przez właściwy organ na podstawie analizy ryzyka</w:t>
      </w:r>
      <w:r w:rsidR="00201A9A" w:rsidRPr="00201A9A">
        <w:rPr>
          <w:noProof/>
        </w:rPr>
        <w:t xml:space="preserve"> i rep</w:t>
      </w:r>
      <w:r w:rsidRPr="00201A9A">
        <w:rPr>
          <w:noProof/>
        </w:rPr>
        <w:t>rezentatywności złożonych wniosków</w:t>
      </w:r>
      <w:r w:rsidR="00201A9A" w:rsidRPr="00201A9A">
        <w:rPr>
          <w:noProof/>
        </w:rPr>
        <w:t xml:space="preserve"> o prz</w:t>
      </w:r>
      <w:r w:rsidRPr="00201A9A">
        <w:rPr>
          <w:noProof/>
        </w:rPr>
        <w:t>yznanie pomocy; właściwe organy przeprowadzają wyrywkowe kontrole na miejscu,</w:t>
      </w:r>
      <w:r w:rsidR="00201A9A" w:rsidRPr="00201A9A">
        <w:rPr>
          <w:noProof/>
        </w:rPr>
        <w:t xml:space="preserve"> w prz</w:t>
      </w:r>
      <w:r w:rsidRPr="00201A9A">
        <w:rPr>
          <w:noProof/>
        </w:rPr>
        <w:t>ypadku każdego działania,</w:t>
      </w:r>
      <w:r w:rsidR="00201A9A" w:rsidRPr="00201A9A">
        <w:rPr>
          <w:noProof/>
        </w:rPr>
        <w:t xml:space="preserve"> w odn</w:t>
      </w:r>
      <w:r w:rsidRPr="00201A9A">
        <w:rPr>
          <w:noProof/>
        </w:rPr>
        <w:t>iesieniu do przynajmniej 5</w:t>
      </w:r>
      <w:r w:rsidR="00201A9A" w:rsidRPr="00201A9A">
        <w:rPr>
          <w:noProof/>
        </w:rPr>
        <w:t> </w:t>
      </w:r>
      <w:r w:rsidRPr="00201A9A">
        <w:rPr>
          <w:noProof/>
        </w:rPr>
        <w:t>% złożonych wniosków</w:t>
      </w:r>
      <w:r w:rsidR="00201A9A" w:rsidRPr="00201A9A">
        <w:rPr>
          <w:noProof/>
        </w:rPr>
        <w:t xml:space="preserve"> o prz</w:t>
      </w:r>
      <w:r w:rsidRPr="00201A9A">
        <w:rPr>
          <w:noProof/>
        </w:rPr>
        <w:t>yznanie pomocy. Próba obejmuje ponadto przynajmniej 5</w:t>
      </w:r>
      <w:r w:rsidR="00201A9A" w:rsidRPr="00201A9A">
        <w:rPr>
          <w:noProof/>
        </w:rPr>
        <w:t> </w:t>
      </w:r>
      <w:r w:rsidRPr="00201A9A">
        <w:rPr>
          <w:noProof/>
        </w:rPr>
        <w:t>% kwoty, na którą opiewa pomoc</w:t>
      </w:r>
      <w:r w:rsidR="00201A9A" w:rsidRPr="00201A9A">
        <w:rPr>
          <w:noProof/>
        </w:rPr>
        <w:t xml:space="preserve"> w odn</w:t>
      </w:r>
      <w:r w:rsidRPr="00201A9A">
        <w:rPr>
          <w:noProof/>
        </w:rPr>
        <w:t>iesieniu do każdego działania.</w:t>
      </w:r>
    </w:p>
    <w:p w14:paraId="7EE0B84C" w14:textId="5EBEFA80" w:rsidR="006B30B4" w:rsidRPr="00201A9A" w:rsidRDefault="006B30B4" w:rsidP="005A28DE">
      <w:pPr>
        <w:pStyle w:val="Text1"/>
        <w:rPr>
          <w:noProof/>
        </w:rPr>
      </w:pPr>
      <w:r w:rsidRPr="00201A9A">
        <w:rPr>
          <w:noProof/>
        </w:rPr>
        <w:t>We wszystkich uzasadnionych przypadkach Grecja korzysta ze zintegrowanego systemu zarządzania</w:t>
      </w:r>
      <w:r w:rsidR="00201A9A" w:rsidRPr="00201A9A">
        <w:rPr>
          <w:noProof/>
        </w:rPr>
        <w:t xml:space="preserve"> i kon</w:t>
      </w:r>
      <w:r w:rsidRPr="00201A9A">
        <w:rPr>
          <w:noProof/>
        </w:rPr>
        <w:t>troli przewidzianego</w:t>
      </w:r>
      <w:r w:rsidR="00201A9A" w:rsidRPr="00201A9A">
        <w:rPr>
          <w:noProof/>
        </w:rPr>
        <w:t xml:space="preserve"> w art</w:t>
      </w:r>
      <w:r w:rsidRPr="00201A9A">
        <w:rPr>
          <w:noProof/>
        </w:rPr>
        <w:t>.</w:t>
      </w:r>
      <w:r w:rsidR="00201A9A" w:rsidRPr="00201A9A">
        <w:rPr>
          <w:noProof/>
        </w:rPr>
        <w:t> </w:t>
      </w:r>
      <w:r w:rsidRPr="00201A9A">
        <w:rPr>
          <w:noProof/>
        </w:rPr>
        <w:t>70.</w:t>
      </w:r>
    </w:p>
    <w:p w14:paraId="0E0B3E36" w14:textId="15CFABDA" w:rsidR="006B30B4" w:rsidRPr="00201A9A" w:rsidRDefault="006B30B4" w:rsidP="005A28DE">
      <w:pPr>
        <w:pStyle w:val="Text1"/>
        <w:rPr>
          <w:noProof/>
        </w:rPr>
      </w:pPr>
      <w:r w:rsidRPr="00201A9A">
        <w:rPr>
          <w:noProof/>
        </w:rPr>
        <w:t>Każda kontrola na miejscu jest przedmiotem sprawozdania</w:t>
      </w:r>
      <w:r w:rsidR="00201A9A" w:rsidRPr="00201A9A">
        <w:rPr>
          <w:noProof/>
        </w:rPr>
        <w:t xml:space="preserve"> z kon</w:t>
      </w:r>
      <w:r w:rsidRPr="00201A9A">
        <w:rPr>
          <w:noProof/>
        </w:rPr>
        <w:t>troli zawierającego szczegółowe informacje na temat przeprowadzonej kontroli.</w:t>
      </w:r>
    </w:p>
    <w:p w14:paraId="605E682B" w14:textId="77777777" w:rsidR="00E43C17" w:rsidRPr="00201A9A" w:rsidRDefault="39F95803" w:rsidP="00E43C17">
      <w:pPr>
        <w:pStyle w:val="SectionTitle"/>
        <w:rPr>
          <w:noProof/>
        </w:rPr>
      </w:pPr>
      <w:r w:rsidRPr="00201A9A">
        <w:rPr>
          <w:noProof/>
        </w:rPr>
        <w:t xml:space="preserve">TYTUŁ VI </w:t>
      </w:r>
      <w:r w:rsidRPr="00201A9A">
        <w:rPr>
          <w:noProof/>
        </w:rPr>
        <w:br/>
        <w:t xml:space="preserve">REGIONY NAJBARDZIEJ ODDALONE </w:t>
      </w:r>
    </w:p>
    <w:p w14:paraId="20CF2F8F" w14:textId="77777777" w:rsidR="00BA2AFB" w:rsidRPr="00201A9A" w:rsidRDefault="00BA2AFB" w:rsidP="00BA2AFB">
      <w:pPr>
        <w:pStyle w:val="Titrearticle"/>
        <w:rPr>
          <w:b/>
          <w:bCs/>
          <w:noProof/>
        </w:rPr>
      </w:pPr>
      <w:r w:rsidRPr="00201A9A">
        <w:rPr>
          <w:noProof/>
        </w:rPr>
        <w:t xml:space="preserve">Artykuł 46 </w:t>
      </w:r>
      <w:r w:rsidRPr="00201A9A">
        <w:rPr>
          <w:noProof/>
        </w:rPr>
        <w:br/>
      </w:r>
      <w:r w:rsidRPr="00201A9A">
        <w:rPr>
          <w:b/>
          <w:noProof/>
        </w:rPr>
        <w:t xml:space="preserve">Regiony najbardziej oddalone </w:t>
      </w:r>
    </w:p>
    <w:p w14:paraId="4760570B" w14:textId="09B4843C" w:rsidR="00715EB0" w:rsidRPr="00201A9A" w:rsidRDefault="00715EB0" w:rsidP="003E2902">
      <w:pPr>
        <w:pStyle w:val="NumPar10000000"/>
        <w:numPr>
          <w:ilvl w:val="0"/>
          <w:numId w:val="108"/>
        </w:numPr>
        <w:rPr>
          <w:noProof/>
        </w:rPr>
      </w:pPr>
      <w:r w:rsidRPr="00201A9A">
        <w:rPr>
          <w:noProof/>
        </w:rPr>
        <w:t>Zainteresowane państwa członkowskie przygotowują</w:t>
      </w:r>
      <w:r w:rsidR="00201A9A" w:rsidRPr="00201A9A">
        <w:rPr>
          <w:noProof/>
        </w:rPr>
        <w:t xml:space="preserve"> w ram</w:t>
      </w:r>
      <w:r w:rsidRPr="00201A9A">
        <w:rPr>
          <w:noProof/>
        </w:rPr>
        <w:t>ach swojego planu środki mające na celu zaradzenie stałym</w:t>
      </w:r>
      <w:r w:rsidR="00201A9A" w:rsidRPr="00201A9A">
        <w:rPr>
          <w:noProof/>
        </w:rPr>
        <w:t xml:space="preserve"> i str</w:t>
      </w:r>
      <w:r w:rsidRPr="00201A9A">
        <w:rPr>
          <w:noProof/>
        </w:rPr>
        <w:t>ukturalnym ograniczeniom regionów najbardziej oddalonych Unii, które poważnie ograniczają ich rozwój, zgodnie</w:t>
      </w:r>
      <w:r w:rsidR="00201A9A" w:rsidRPr="00201A9A">
        <w:rPr>
          <w:noProof/>
        </w:rPr>
        <w:t xml:space="preserve"> z art</w:t>
      </w:r>
      <w:r w:rsidRPr="00201A9A">
        <w:rPr>
          <w:noProof/>
        </w:rPr>
        <w:t>.</w:t>
      </w:r>
      <w:r w:rsidR="00201A9A" w:rsidRPr="00201A9A">
        <w:rPr>
          <w:noProof/>
        </w:rPr>
        <w:t> </w:t>
      </w:r>
      <w:r w:rsidRPr="00201A9A">
        <w:rPr>
          <w:noProof/>
        </w:rPr>
        <w:t>349 TFUE. Środki te mogą zostać wdrożone</w:t>
      </w:r>
      <w:r w:rsidR="00201A9A" w:rsidRPr="00201A9A">
        <w:rPr>
          <w:noProof/>
        </w:rPr>
        <w:t xml:space="preserve"> w spe</w:t>
      </w:r>
      <w:r w:rsidRPr="00201A9A">
        <w:rPr>
          <w:noProof/>
        </w:rPr>
        <w:t>cjalnym rozdziale. Środki te służą realizacji następujących celów:</w:t>
      </w:r>
    </w:p>
    <w:p w14:paraId="55F80F85" w14:textId="640A821A" w:rsidR="001F498F" w:rsidRPr="00201A9A" w:rsidRDefault="00201A9A" w:rsidP="00201A9A">
      <w:pPr>
        <w:pStyle w:val="Point1"/>
        <w:rPr>
          <w:noProof/>
        </w:rPr>
      </w:pPr>
      <w:r w:rsidRPr="00201A9A">
        <w:rPr>
          <w:noProof/>
        </w:rPr>
        <w:t>a)</w:t>
      </w:r>
      <w:r w:rsidRPr="00201A9A">
        <w:rPr>
          <w:noProof/>
        </w:rPr>
        <w:tab/>
      </w:r>
      <w:r w:rsidR="00715EB0" w:rsidRPr="00201A9A">
        <w:rPr>
          <w:noProof/>
        </w:rPr>
        <w:t>uwzględnieniu szczególnych potrzeb</w:t>
      </w:r>
      <w:r w:rsidRPr="00201A9A">
        <w:rPr>
          <w:noProof/>
        </w:rPr>
        <w:t xml:space="preserve"> i wyz</w:t>
      </w:r>
      <w:r w:rsidR="00715EB0" w:rsidRPr="00201A9A">
        <w:rPr>
          <w:noProof/>
        </w:rPr>
        <w:t>wań danych państw członkowskich, takich jak bezpieczeństwo żywnościowe, mieszkalnictwo, zrównoważony transport, gospodarka wodna</w:t>
      </w:r>
      <w:r w:rsidRPr="00201A9A">
        <w:rPr>
          <w:noProof/>
        </w:rPr>
        <w:t xml:space="preserve"> i gos</w:t>
      </w:r>
      <w:r w:rsidR="00715EB0" w:rsidRPr="00201A9A">
        <w:rPr>
          <w:noProof/>
        </w:rPr>
        <w:t>podarowanie odpadami, energetyka, zatrudnienie</w:t>
      </w:r>
      <w:r w:rsidRPr="00201A9A">
        <w:rPr>
          <w:noProof/>
        </w:rPr>
        <w:t xml:space="preserve"> i mob</w:t>
      </w:r>
      <w:r w:rsidR="00715EB0" w:rsidRPr="00201A9A">
        <w:rPr>
          <w:noProof/>
        </w:rPr>
        <w:t>ilność pracowników,</w:t>
      </w:r>
      <w:r w:rsidRPr="00201A9A">
        <w:rPr>
          <w:noProof/>
        </w:rPr>
        <w:t xml:space="preserve"> w szc</w:t>
      </w:r>
      <w:r w:rsidR="00715EB0" w:rsidRPr="00201A9A">
        <w:rPr>
          <w:noProof/>
        </w:rPr>
        <w:t>zególności osób młodych, dekarbonizacja, obieg zamknięty, edukacja</w:t>
      </w:r>
      <w:r w:rsidRPr="00201A9A">
        <w:rPr>
          <w:noProof/>
        </w:rPr>
        <w:t xml:space="preserve"> i umi</w:t>
      </w:r>
      <w:r w:rsidR="00715EB0" w:rsidRPr="00201A9A">
        <w:rPr>
          <w:noProof/>
        </w:rPr>
        <w:t>ejętności, włączenie społeczne, migracja, odporność na zmianę klimatu</w:t>
      </w:r>
      <w:r w:rsidRPr="00201A9A">
        <w:rPr>
          <w:noProof/>
        </w:rPr>
        <w:t xml:space="preserve"> i prz</w:t>
      </w:r>
      <w:r w:rsidR="00715EB0" w:rsidRPr="00201A9A">
        <w:rPr>
          <w:noProof/>
        </w:rPr>
        <w:t>ystosowanie się do niej, ochrona środowiska, niebieska gospodarka, dostęp do opieki zdrowotnej, energia, zrównoważony transport</w:t>
      </w:r>
      <w:r w:rsidRPr="00201A9A">
        <w:rPr>
          <w:noProof/>
        </w:rPr>
        <w:t xml:space="preserve"> i łąc</w:t>
      </w:r>
      <w:r w:rsidR="00715EB0" w:rsidRPr="00201A9A">
        <w:rPr>
          <w:noProof/>
        </w:rPr>
        <w:t>zność cyfrowa oraz rozwój gospodarczy,</w:t>
      </w:r>
      <w:r w:rsidRPr="00201A9A">
        <w:rPr>
          <w:noProof/>
        </w:rPr>
        <w:t xml:space="preserve"> w tym</w:t>
      </w:r>
      <w:r w:rsidR="00715EB0" w:rsidRPr="00201A9A">
        <w:rPr>
          <w:noProof/>
        </w:rPr>
        <w:t xml:space="preserve"> zrównoważona</w:t>
      </w:r>
      <w:r w:rsidRPr="00201A9A">
        <w:rPr>
          <w:noProof/>
        </w:rPr>
        <w:t xml:space="preserve"> i zdy</w:t>
      </w:r>
      <w:r w:rsidR="00715EB0" w:rsidRPr="00201A9A">
        <w:rPr>
          <w:noProof/>
        </w:rPr>
        <w:t>wersyfikowana niebieska gospodarka;</w:t>
      </w:r>
    </w:p>
    <w:p w14:paraId="287848F2" w14:textId="2691F120" w:rsidR="00715EB0" w:rsidRPr="00201A9A" w:rsidRDefault="00201A9A" w:rsidP="00201A9A">
      <w:pPr>
        <w:pStyle w:val="Point1"/>
        <w:rPr>
          <w:iCs/>
          <w:noProof/>
        </w:rPr>
      </w:pPr>
      <w:r w:rsidRPr="00201A9A">
        <w:rPr>
          <w:noProof/>
        </w:rPr>
        <w:t>b)</w:t>
      </w:r>
      <w:r w:rsidRPr="00201A9A">
        <w:rPr>
          <w:noProof/>
        </w:rPr>
        <w:tab/>
      </w:r>
      <w:r w:rsidR="00715EB0" w:rsidRPr="00201A9A">
        <w:rPr>
          <w:noProof/>
        </w:rPr>
        <w:t>zagwarantowaniu zaopatrzenia</w:t>
      </w:r>
      <w:r w:rsidRPr="00201A9A">
        <w:rPr>
          <w:noProof/>
        </w:rPr>
        <w:t xml:space="preserve"> w pod</w:t>
      </w:r>
      <w:r w:rsidR="00715EB0" w:rsidRPr="00201A9A">
        <w:rPr>
          <w:noProof/>
        </w:rPr>
        <w:t>stawowe produkty przeznaczone do spożycia przez ludzi lub do przetwórstwa</w:t>
      </w:r>
      <w:r w:rsidRPr="00201A9A">
        <w:rPr>
          <w:noProof/>
        </w:rPr>
        <w:t xml:space="preserve"> i sta</w:t>
      </w:r>
      <w:r w:rsidR="00715EB0" w:rsidRPr="00201A9A">
        <w:rPr>
          <w:noProof/>
        </w:rPr>
        <w:t>nowiące środki produkcji rolnej przez zmniejszenie dodatkowych kosztów poniesionych</w:t>
      </w:r>
      <w:r w:rsidRPr="00201A9A">
        <w:rPr>
          <w:noProof/>
        </w:rPr>
        <w:t xml:space="preserve"> w zwi</w:t>
      </w:r>
      <w:r w:rsidR="00715EB0" w:rsidRPr="00201A9A">
        <w:rPr>
          <w:noProof/>
        </w:rPr>
        <w:t>ązku</w:t>
      </w:r>
      <w:r w:rsidRPr="00201A9A">
        <w:rPr>
          <w:noProof/>
        </w:rPr>
        <w:t xml:space="preserve"> z ich</w:t>
      </w:r>
      <w:r w:rsidR="00715EB0" w:rsidRPr="00201A9A">
        <w:rPr>
          <w:noProof/>
        </w:rPr>
        <w:t xml:space="preserve"> najbardziej oddalonym położeniem lub wyspiarskim charakterem, bez szkody dla produkcji lokalnej</w:t>
      </w:r>
      <w:r w:rsidRPr="00201A9A">
        <w:rPr>
          <w:noProof/>
        </w:rPr>
        <w:t xml:space="preserve"> i jej</w:t>
      </w:r>
      <w:r w:rsidR="00715EB0" w:rsidRPr="00201A9A">
        <w:rPr>
          <w:noProof/>
        </w:rPr>
        <w:t xml:space="preserve"> rozwoju;</w:t>
      </w:r>
    </w:p>
    <w:p w14:paraId="29932769" w14:textId="48FD8A69" w:rsidR="00715EB0" w:rsidRPr="00201A9A" w:rsidRDefault="00201A9A" w:rsidP="00201A9A">
      <w:pPr>
        <w:pStyle w:val="Point1"/>
        <w:rPr>
          <w:noProof/>
        </w:rPr>
      </w:pPr>
      <w:r w:rsidRPr="00201A9A">
        <w:rPr>
          <w:noProof/>
        </w:rPr>
        <w:t>c)</w:t>
      </w:r>
      <w:r w:rsidRPr="00201A9A">
        <w:rPr>
          <w:noProof/>
        </w:rPr>
        <w:tab/>
      </w:r>
      <w:r w:rsidR="00715EB0" w:rsidRPr="00201A9A">
        <w:rPr>
          <w:noProof/>
        </w:rPr>
        <w:t>zabezpieczeniu długoterminowej przyszłości</w:t>
      </w:r>
      <w:r w:rsidRPr="00201A9A">
        <w:rPr>
          <w:noProof/>
        </w:rPr>
        <w:t xml:space="preserve"> i zap</w:t>
      </w:r>
      <w:r w:rsidR="00715EB0" w:rsidRPr="00201A9A">
        <w:rPr>
          <w:noProof/>
        </w:rPr>
        <w:t>ewnieniu rozwoju działalności rolnej oraz działalności</w:t>
      </w:r>
      <w:r w:rsidRPr="00201A9A">
        <w:rPr>
          <w:noProof/>
        </w:rPr>
        <w:t xml:space="preserve"> w zak</w:t>
      </w:r>
      <w:r w:rsidR="00715EB0" w:rsidRPr="00201A9A">
        <w:rPr>
          <w:noProof/>
        </w:rPr>
        <w:t>resie rybołówstwa</w:t>
      </w:r>
      <w:r w:rsidRPr="00201A9A">
        <w:rPr>
          <w:noProof/>
        </w:rPr>
        <w:t xml:space="preserve"> i akw</w:t>
      </w:r>
      <w:r w:rsidR="00715EB0" w:rsidRPr="00201A9A">
        <w:rPr>
          <w:noProof/>
        </w:rPr>
        <w:t>akultury,</w:t>
      </w:r>
      <w:r w:rsidRPr="00201A9A">
        <w:rPr>
          <w:noProof/>
        </w:rPr>
        <w:t xml:space="preserve"> w tym</w:t>
      </w:r>
      <w:r w:rsidR="00715EB0" w:rsidRPr="00201A9A">
        <w:rPr>
          <w:noProof/>
        </w:rPr>
        <w:t xml:space="preserve"> produkcji, przetwórstwa</w:t>
      </w:r>
      <w:r w:rsidRPr="00201A9A">
        <w:rPr>
          <w:noProof/>
        </w:rPr>
        <w:t xml:space="preserve"> i spr</w:t>
      </w:r>
      <w:r w:rsidR="00715EB0" w:rsidRPr="00201A9A">
        <w:rPr>
          <w:noProof/>
        </w:rPr>
        <w:t>zedaży lokalnych upraw</w:t>
      </w:r>
      <w:r w:rsidRPr="00201A9A">
        <w:rPr>
          <w:noProof/>
        </w:rPr>
        <w:t xml:space="preserve"> i pro</w:t>
      </w:r>
      <w:r w:rsidR="00715EB0" w:rsidRPr="00201A9A">
        <w:rPr>
          <w:noProof/>
        </w:rPr>
        <w:t>duktów oraz dywersyfikacji produkcji żywności, ze szczególnym uwzględnieniem bezpieczeństwa żywnościowego</w:t>
      </w:r>
      <w:r w:rsidRPr="00201A9A">
        <w:rPr>
          <w:noProof/>
        </w:rPr>
        <w:t xml:space="preserve"> i sam</w:t>
      </w:r>
      <w:r w:rsidR="00715EB0" w:rsidRPr="00201A9A">
        <w:rPr>
          <w:noProof/>
        </w:rPr>
        <w:t>owystarczalności,</w:t>
      </w:r>
      <w:r w:rsidRPr="00201A9A">
        <w:rPr>
          <w:noProof/>
        </w:rPr>
        <w:t xml:space="preserve"> a tak</w:t>
      </w:r>
      <w:r w:rsidR="00715EB0" w:rsidRPr="00201A9A">
        <w:rPr>
          <w:noProof/>
        </w:rPr>
        <w:t>że utrzymania</w:t>
      </w:r>
      <w:r w:rsidRPr="00201A9A">
        <w:rPr>
          <w:noProof/>
        </w:rPr>
        <w:t xml:space="preserve"> i wzm</w:t>
      </w:r>
      <w:r w:rsidR="00715EB0" w:rsidRPr="00201A9A">
        <w:rPr>
          <w:noProof/>
        </w:rPr>
        <w:t>ocnienia ich konkurencyjności.</w:t>
      </w:r>
    </w:p>
    <w:p w14:paraId="0D5BA32A" w14:textId="1DA436FF" w:rsidR="00715EB0" w:rsidRPr="00201A9A" w:rsidRDefault="00715EB0" w:rsidP="003E2902">
      <w:pPr>
        <w:pStyle w:val="NumPar10000000"/>
        <w:numPr>
          <w:ilvl w:val="0"/>
          <w:numId w:val="112"/>
        </w:numPr>
        <w:rPr>
          <w:iCs/>
          <w:noProof/>
        </w:rPr>
      </w:pPr>
      <w:r w:rsidRPr="00201A9A">
        <w:rPr>
          <w:noProof/>
        </w:rPr>
        <w:t>Ponadto rozdziały te obejmują również inne interwencje [wspierane ze środków określonych</w:t>
      </w:r>
      <w:r w:rsidR="00201A9A" w:rsidRPr="00201A9A">
        <w:rPr>
          <w:noProof/>
        </w:rPr>
        <w:t xml:space="preserve"> w art</w:t>
      </w:r>
      <w:r w:rsidRPr="00201A9A">
        <w:rPr>
          <w:noProof/>
        </w:rPr>
        <w:t>.</w:t>
      </w:r>
      <w:r w:rsidR="00201A9A" w:rsidRPr="00201A9A">
        <w:rPr>
          <w:noProof/>
        </w:rPr>
        <w:t> </w:t>
      </w:r>
      <w:r w:rsidRPr="00201A9A">
        <w:rPr>
          <w:noProof/>
        </w:rPr>
        <w:t>10 – Budżet],</w:t>
      </w:r>
      <w:r w:rsidR="00201A9A" w:rsidRPr="00201A9A">
        <w:rPr>
          <w:noProof/>
        </w:rPr>
        <w:t xml:space="preserve"> w tym</w:t>
      </w:r>
      <w:r w:rsidRPr="00201A9A">
        <w:rPr>
          <w:noProof/>
        </w:rPr>
        <w:t xml:space="preserve"> rekompensaty,</w:t>
      </w:r>
      <w:r w:rsidR="00201A9A" w:rsidRPr="00201A9A">
        <w:rPr>
          <w:noProof/>
        </w:rPr>
        <w:t xml:space="preserve"> w odn</w:t>
      </w:r>
      <w:r w:rsidRPr="00201A9A">
        <w:rPr>
          <w:noProof/>
        </w:rPr>
        <w:t xml:space="preserve">iesieniu do: </w:t>
      </w:r>
    </w:p>
    <w:p w14:paraId="0F8F48B2" w14:textId="1091EA1D" w:rsidR="00715EB0" w:rsidRPr="00201A9A" w:rsidRDefault="00201A9A" w:rsidP="00201A9A">
      <w:pPr>
        <w:pStyle w:val="Point1"/>
        <w:rPr>
          <w:noProof/>
        </w:rPr>
      </w:pPr>
      <w:r w:rsidRPr="00201A9A">
        <w:rPr>
          <w:noProof/>
        </w:rPr>
        <w:t>a)</w:t>
      </w:r>
      <w:r w:rsidRPr="00201A9A">
        <w:rPr>
          <w:noProof/>
        </w:rPr>
        <w:tab/>
      </w:r>
      <w:r w:rsidR="00715EB0" w:rsidRPr="00201A9A">
        <w:rPr>
          <w:noProof/>
        </w:rPr>
        <w:t>szczególnego systemu dostaw,</w:t>
      </w:r>
      <w:r w:rsidRPr="00201A9A">
        <w:rPr>
          <w:noProof/>
        </w:rPr>
        <w:t xml:space="preserve"> o któ</w:t>
      </w:r>
      <w:r w:rsidR="00715EB0" w:rsidRPr="00201A9A">
        <w:rPr>
          <w:noProof/>
        </w:rPr>
        <w:t>rym mowa</w:t>
      </w:r>
      <w:r w:rsidRPr="00201A9A">
        <w:rPr>
          <w:noProof/>
        </w:rPr>
        <w:t xml:space="preserve"> w art</w:t>
      </w:r>
      <w:r w:rsidR="00715EB0" w:rsidRPr="00201A9A">
        <w:rPr>
          <w:noProof/>
        </w:rPr>
        <w:t>.</w:t>
      </w:r>
      <w:r w:rsidRPr="00201A9A">
        <w:rPr>
          <w:noProof/>
        </w:rPr>
        <w:t> </w:t>
      </w:r>
      <w:r w:rsidR="00715EB0" w:rsidRPr="00201A9A">
        <w:rPr>
          <w:noProof/>
        </w:rPr>
        <w:t>47;</w:t>
      </w:r>
    </w:p>
    <w:p w14:paraId="06E47E41" w14:textId="2EC52B10" w:rsidR="00715EB0" w:rsidRPr="00201A9A" w:rsidRDefault="00201A9A" w:rsidP="00201A9A">
      <w:pPr>
        <w:pStyle w:val="Point1"/>
        <w:rPr>
          <w:noProof/>
        </w:rPr>
      </w:pPr>
      <w:r w:rsidRPr="00201A9A">
        <w:rPr>
          <w:noProof/>
        </w:rPr>
        <w:t>b)</w:t>
      </w:r>
      <w:r w:rsidRPr="00201A9A">
        <w:rPr>
          <w:noProof/>
        </w:rPr>
        <w:tab/>
      </w:r>
      <w:r w:rsidR="00715EB0" w:rsidRPr="00201A9A">
        <w:rPr>
          <w:noProof/>
        </w:rPr>
        <w:t>wsparcia specjalnego na rzecz lokalnej produkcji rolnej</w:t>
      </w:r>
      <w:r w:rsidRPr="00201A9A">
        <w:rPr>
          <w:noProof/>
        </w:rPr>
        <w:t xml:space="preserve"> i prz</w:t>
      </w:r>
      <w:r w:rsidR="00715EB0" w:rsidRPr="00201A9A">
        <w:rPr>
          <w:noProof/>
        </w:rPr>
        <w:t>etwórstwa rolnego,</w:t>
      </w:r>
      <w:r w:rsidRPr="00201A9A">
        <w:rPr>
          <w:noProof/>
        </w:rPr>
        <w:t xml:space="preserve"> o któ</w:t>
      </w:r>
      <w:r w:rsidR="00715EB0" w:rsidRPr="00201A9A">
        <w:rPr>
          <w:noProof/>
        </w:rPr>
        <w:t>rym mowa</w:t>
      </w:r>
      <w:r w:rsidRPr="00201A9A">
        <w:rPr>
          <w:noProof/>
        </w:rPr>
        <w:t xml:space="preserve"> w art</w:t>
      </w:r>
      <w:r w:rsidR="00715EB0" w:rsidRPr="00201A9A">
        <w:rPr>
          <w:noProof/>
        </w:rPr>
        <w:t>.</w:t>
      </w:r>
      <w:r w:rsidRPr="00201A9A">
        <w:rPr>
          <w:noProof/>
        </w:rPr>
        <w:t> </w:t>
      </w:r>
      <w:r w:rsidR="00715EB0" w:rsidRPr="00201A9A">
        <w:rPr>
          <w:noProof/>
        </w:rPr>
        <w:t>48;</w:t>
      </w:r>
    </w:p>
    <w:p w14:paraId="06CC2FD3" w14:textId="5552623F" w:rsidR="00715EB0" w:rsidRPr="00201A9A" w:rsidRDefault="00201A9A" w:rsidP="00201A9A">
      <w:pPr>
        <w:pStyle w:val="Point1"/>
        <w:rPr>
          <w:noProof/>
        </w:rPr>
      </w:pPr>
      <w:r w:rsidRPr="00201A9A">
        <w:rPr>
          <w:noProof/>
        </w:rPr>
        <w:t>c)</w:t>
      </w:r>
      <w:r w:rsidRPr="00201A9A">
        <w:rPr>
          <w:noProof/>
        </w:rPr>
        <w:tab/>
      </w:r>
      <w:r w:rsidR="00715EB0" w:rsidRPr="00201A9A">
        <w:rPr>
          <w:noProof/>
        </w:rPr>
        <w:t>propagowania równych warunków działania</w:t>
      </w:r>
      <w:r w:rsidRPr="00201A9A">
        <w:rPr>
          <w:noProof/>
        </w:rPr>
        <w:t xml:space="preserve"> w odn</w:t>
      </w:r>
      <w:r w:rsidR="00715EB0" w:rsidRPr="00201A9A">
        <w:rPr>
          <w:noProof/>
        </w:rPr>
        <w:t>iesieniu do produktów rybołówstwa</w:t>
      </w:r>
      <w:r w:rsidRPr="00201A9A">
        <w:rPr>
          <w:noProof/>
        </w:rPr>
        <w:t xml:space="preserve"> i akw</w:t>
      </w:r>
      <w:r w:rsidR="00715EB0" w:rsidRPr="00201A9A">
        <w:rPr>
          <w:noProof/>
        </w:rPr>
        <w:t>akultury</w:t>
      </w:r>
      <w:r w:rsidRPr="00201A9A">
        <w:rPr>
          <w:noProof/>
        </w:rPr>
        <w:t xml:space="preserve"> z reg</w:t>
      </w:r>
      <w:r w:rsidR="00715EB0" w:rsidRPr="00201A9A">
        <w:rPr>
          <w:noProof/>
        </w:rPr>
        <w:t>ionów najbardziej oddalonych;</w:t>
      </w:r>
    </w:p>
    <w:p w14:paraId="62536B92" w14:textId="7C4654D6" w:rsidR="00715EB0" w:rsidRPr="00201A9A" w:rsidRDefault="00201A9A" w:rsidP="00201A9A">
      <w:pPr>
        <w:pStyle w:val="Point1"/>
        <w:rPr>
          <w:noProof/>
        </w:rPr>
      </w:pPr>
      <w:r w:rsidRPr="00201A9A">
        <w:rPr>
          <w:noProof/>
        </w:rPr>
        <w:t>d)</w:t>
      </w:r>
      <w:r w:rsidRPr="00201A9A">
        <w:rPr>
          <w:noProof/>
        </w:rPr>
        <w:tab/>
      </w:r>
      <w:r w:rsidR="00715EB0" w:rsidRPr="00201A9A">
        <w:rPr>
          <w:noProof/>
        </w:rPr>
        <w:t>wsparcia specjalnego na rzecz lokalnej produkcji, przetwórstwa</w:t>
      </w:r>
      <w:r w:rsidRPr="00201A9A">
        <w:rPr>
          <w:noProof/>
        </w:rPr>
        <w:t xml:space="preserve"> i wpr</w:t>
      </w:r>
      <w:r w:rsidR="00715EB0" w:rsidRPr="00201A9A">
        <w:rPr>
          <w:noProof/>
        </w:rPr>
        <w:t>owadzania do obrotu</w:t>
      </w:r>
      <w:r w:rsidRPr="00201A9A">
        <w:rPr>
          <w:noProof/>
        </w:rPr>
        <w:t xml:space="preserve"> w sek</w:t>
      </w:r>
      <w:r w:rsidR="00715EB0" w:rsidRPr="00201A9A">
        <w:rPr>
          <w:noProof/>
        </w:rPr>
        <w:t>torze rybołówstwa</w:t>
      </w:r>
      <w:r w:rsidRPr="00201A9A">
        <w:rPr>
          <w:noProof/>
        </w:rPr>
        <w:t xml:space="preserve"> i akw</w:t>
      </w:r>
      <w:r w:rsidR="00715EB0" w:rsidRPr="00201A9A">
        <w:rPr>
          <w:noProof/>
        </w:rPr>
        <w:t>akultury,</w:t>
      </w:r>
      <w:r w:rsidRPr="00201A9A">
        <w:rPr>
          <w:noProof/>
        </w:rPr>
        <w:t xml:space="preserve"> o któ</w:t>
      </w:r>
      <w:r w:rsidR="00715EB0" w:rsidRPr="00201A9A">
        <w:rPr>
          <w:noProof/>
        </w:rPr>
        <w:t>rym mowa</w:t>
      </w:r>
      <w:r w:rsidRPr="00201A9A">
        <w:rPr>
          <w:noProof/>
        </w:rPr>
        <w:t xml:space="preserve"> w art</w:t>
      </w:r>
      <w:r w:rsidR="00715EB0" w:rsidRPr="00201A9A">
        <w:rPr>
          <w:noProof/>
        </w:rPr>
        <w:t>.</w:t>
      </w:r>
      <w:r w:rsidRPr="00201A9A">
        <w:rPr>
          <w:noProof/>
        </w:rPr>
        <w:t> </w:t>
      </w:r>
      <w:r w:rsidR="00715EB0" w:rsidRPr="00201A9A">
        <w:rPr>
          <w:noProof/>
        </w:rPr>
        <w:t>48;</w:t>
      </w:r>
    </w:p>
    <w:p w14:paraId="3552A98A" w14:textId="29DFB03B" w:rsidR="003D4582" w:rsidRPr="00201A9A" w:rsidRDefault="00201A9A" w:rsidP="00201A9A">
      <w:pPr>
        <w:pStyle w:val="Point1"/>
        <w:rPr>
          <w:iCs/>
          <w:noProof/>
        </w:rPr>
      </w:pPr>
      <w:r w:rsidRPr="00201A9A">
        <w:rPr>
          <w:noProof/>
        </w:rPr>
        <w:t>e)</w:t>
      </w:r>
      <w:r w:rsidRPr="00201A9A">
        <w:rPr>
          <w:noProof/>
        </w:rPr>
        <w:tab/>
      </w:r>
      <w:r w:rsidR="00715EB0" w:rsidRPr="00201A9A">
        <w:rPr>
          <w:noProof/>
        </w:rPr>
        <w:t>wsparcia specjalnego na rzecz rozwoju gospodarczego, społecznego</w:t>
      </w:r>
      <w:r w:rsidRPr="00201A9A">
        <w:rPr>
          <w:noProof/>
        </w:rPr>
        <w:t xml:space="preserve"> i ter</w:t>
      </w:r>
      <w:r w:rsidR="00715EB0" w:rsidRPr="00201A9A">
        <w:rPr>
          <w:noProof/>
        </w:rPr>
        <w:t>ytorialnego,</w:t>
      </w:r>
      <w:r w:rsidRPr="00201A9A">
        <w:rPr>
          <w:noProof/>
        </w:rPr>
        <w:t xml:space="preserve"> w szc</w:t>
      </w:r>
      <w:r w:rsidR="00715EB0" w:rsidRPr="00201A9A">
        <w:rPr>
          <w:noProof/>
        </w:rPr>
        <w:t>zególności</w:t>
      </w:r>
      <w:r w:rsidRPr="00201A9A">
        <w:rPr>
          <w:noProof/>
        </w:rPr>
        <w:t xml:space="preserve"> w cel</w:t>
      </w:r>
      <w:r w:rsidR="00715EB0" w:rsidRPr="00201A9A">
        <w:rPr>
          <w:noProof/>
        </w:rPr>
        <w:t>u zwiększenia dekarbonizacji transportu, czystej energii</w:t>
      </w:r>
      <w:r w:rsidRPr="00201A9A">
        <w:rPr>
          <w:noProof/>
        </w:rPr>
        <w:t xml:space="preserve"> i łąc</w:t>
      </w:r>
      <w:r w:rsidR="00715EB0" w:rsidRPr="00201A9A">
        <w:rPr>
          <w:noProof/>
        </w:rPr>
        <w:t>zności cyfrowej</w:t>
      </w:r>
      <w:r w:rsidRPr="00201A9A">
        <w:rPr>
          <w:noProof/>
        </w:rPr>
        <w:t xml:space="preserve"> z myś</w:t>
      </w:r>
      <w:r w:rsidR="00715EB0" w:rsidRPr="00201A9A">
        <w:rPr>
          <w:noProof/>
        </w:rPr>
        <w:t>lą</w:t>
      </w:r>
      <w:r w:rsidRPr="00201A9A">
        <w:rPr>
          <w:noProof/>
        </w:rPr>
        <w:t xml:space="preserve"> o zre</w:t>
      </w:r>
      <w:r w:rsidR="00715EB0" w:rsidRPr="00201A9A">
        <w:rPr>
          <w:noProof/>
        </w:rPr>
        <w:t>kompensowaniu dodatkowych kosztów związanych</w:t>
      </w:r>
      <w:r w:rsidRPr="00201A9A">
        <w:rPr>
          <w:noProof/>
        </w:rPr>
        <w:t xml:space="preserve"> z odd</w:t>
      </w:r>
      <w:r w:rsidR="00715EB0" w:rsidRPr="00201A9A">
        <w:rPr>
          <w:noProof/>
        </w:rPr>
        <w:t>aleniem zainteresowanych państw członkowskich oraz zapewnieniu równych warunków działania</w:t>
      </w:r>
      <w:r w:rsidRPr="00201A9A">
        <w:rPr>
          <w:noProof/>
        </w:rPr>
        <w:t xml:space="preserve"> z Eur</w:t>
      </w:r>
      <w:r w:rsidR="00715EB0" w:rsidRPr="00201A9A">
        <w:rPr>
          <w:noProof/>
        </w:rPr>
        <w:t>opą kontynentalną, które wesprą bezpieczeństwo</w:t>
      </w:r>
      <w:r w:rsidRPr="00201A9A">
        <w:rPr>
          <w:noProof/>
        </w:rPr>
        <w:t xml:space="preserve"> i odp</w:t>
      </w:r>
      <w:r w:rsidR="00715EB0" w:rsidRPr="00201A9A">
        <w:rPr>
          <w:noProof/>
        </w:rPr>
        <w:t>orność zainteresowanych państw członkowskich;</w:t>
      </w:r>
    </w:p>
    <w:p w14:paraId="3F3EE362" w14:textId="70B73F2D" w:rsidR="00715EB0" w:rsidRPr="00201A9A" w:rsidRDefault="00201A9A" w:rsidP="00201A9A">
      <w:pPr>
        <w:pStyle w:val="Point1"/>
        <w:rPr>
          <w:iCs/>
          <w:noProof/>
        </w:rPr>
      </w:pPr>
      <w:r w:rsidRPr="00201A9A">
        <w:rPr>
          <w:noProof/>
        </w:rPr>
        <w:t>f)</w:t>
      </w:r>
      <w:r w:rsidRPr="00201A9A">
        <w:rPr>
          <w:noProof/>
        </w:rPr>
        <w:tab/>
      </w:r>
      <w:r w:rsidR="003D4582" w:rsidRPr="00201A9A">
        <w:rPr>
          <w:noProof/>
        </w:rPr>
        <w:t>wsparcia specjalnego na rzecz zwiększenia dostępu do zatrudnienia</w:t>
      </w:r>
      <w:r w:rsidRPr="00201A9A">
        <w:rPr>
          <w:noProof/>
        </w:rPr>
        <w:t xml:space="preserve"> i mob</w:t>
      </w:r>
      <w:r w:rsidR="003D4582" w:rsidRPr="00201A9A">
        <w:rPr>
          <w:noProof/>
        </w:rPr>
        <w:t>ilności pracowników, edukacji, umiejętności</w:t>
      </w:r>
      <w:r w:rsidRPr="00201A9A">
        <w:rPr>
          <w:noProof/>
        </w:rPr>
        <w:t xml:space="preserve"> i włą</w:t>
      </w:r>
      <w:r w:rsidR="003D4582" w:rsidRPr="00201A9A">
        <w:rPr>
          <w:noProof/>
        </w:rPr>
        <w:t>czenia społecznego</w:t>
      </w:r>
      <w:r w:rsidRPr="00201A9A">
        <w:rPr>
          <w:noProof/>
        </w:rPr>
        <w:t xml:space="preserve"> w cel</w:t>
      </w:r>
      <w:r w:rsidR="003D4582" w:rsidRPr="00201A9A">
        <w:rPr>
          <w:noProof/>
        </w:rPr>
        <w:t>u zrekompensowaniu dodatkowych kosztów związanych</w:t>
      </w:r>
      <w:r w:rsidRPr="00201A9A">
        <w:rPr>
          <w:noProof/>
        </w:rPr>
        <w:t xml:space="preserve"> z odd</w:t>
      </w:r>
      <w:r w:rsidR="003D4582" w:rsidRPr="00201A9A">
        <w:rPr>
          <w:noProof/>
        </w:rPr>
        <w:t>aleniem zainteresowanych państw członkowskich oraz zapewnienia równych warunków działania</w:t>
      </w:r>
      <w:r w:rsidRPr="00201A9A">
        <w:rPr>
          <w:noProof/>
        </w:rPr>
        <w:t xml:space="preserve"> z Eur</w:t>
      </w:r>
      <w:r w:rsidR="003D4582" w:rsidRPr="00201A9A">
        <w:rPr>
          <w:noProof/>
        </w:rPr>
        <w:t>opą kontynentalną, które wesprą bezpieczeństwo</w:t>
      </w:r>
      <w:r w:rsidRPr="00201A9A">
        <w:rPr>
          <w:noProof/>
        </w:rPr>
        <w:t xml:space="preserve"> i odp</w:t>
      </w:r>
      <w:r w:rsidR="003D4582" w:rsidRPr="00201A9A">
        <w:rPr>
          <w:noProof/>
        </w:rPr>
        <w:t>orność zainteresowanych państw członkowskich;</w:t>
      </w:r>
    </w:p>
    <w:p w14:paraId="6AA5EEAE" w14:textId="6A8E2D11" w:rsidR="009A3B8C" w:rsidRPr="00201A9A" w:rsidRDefault="00201A9A" w:rsidP="00201A9A">
      <w:pPr>
        <w:pStyle w:val="Point1"/>
        <w:rPr>
          <w:iCs/>
          <w:noProof/>
        </w:rPr>
      </w:pPr>
      <w:r w:rsidRPr="00201A9A">
        <w:rPr>
          <w:noProof/>
        </w:rPr>
        <w:t>g)</w:t>
      </w:r>
      <w:r w:rsidRPr="00201A9A">
        <w:rPr>
          <w:noProof/>
        </w:rPr>
        <w:tab/>
      </w:r>
      <w:r w:rsidR="009A3B8C" w:rsidRPr="00201A9A">
        <w:rPr>
          <w:noProof/>
        </w:rPr>
        <w:t>wsparcia strukturalnego dla sektora rybołówstwa</w:t>
      </w:r>
      <w:r w:rsidRPr="00201A9A">
        <w:rPr>
          <w:noProof/>
        </w:rPr>
        <w:t xml:space="preserve"> i akw</w:t>
      </w:r>
      <w:r w:rsidR="009A3B8C" w:rsidRPr="00201A9A">
        <w:rPr>
          <w:noProof/>
        </w:rPr>
        <w:t>akultury</w:t>
      </w:r>
      <w:r w:rsidRPr="00201A9A">
        <w:rPr>
          <w:noProof/>
        </w:rPr>
        <w:t xml:space="preserve"> w cel</w:t>
      </w:r>
      <w:r w:rsidR="009A3B8C" w:rsidRPr="00201A9A">
        <w:rPr>
          <w:noProof/>
        </w:rPr>
        <w:t>u zrekompensowaniu dodatkowych kosztów ponoszonych przez sektor rybołówstwa</w:t>
      </w:r>
      <w:r w:rsidRPr="00201A9A">
        <w:rPr>
          <w:noProof/>
        </w:rPr>
        <w:t xml:space="preserve"> i sek</w:t>
      </w:r>
      <w:r w:rsidR="009A3B8C" w:rsidRPr="00201A9A">
        <w:rPr>
          <w:noProof/>
        </w:rPr>
        <w:t>tor akwakultury,</w:t>
      </w:r>
      <w:r w:rsidRPr="00201A9A">
        <w:rPr>
          <w:noProof/>
        </w:rPr>
        <w:t xml:space="preserve"> w tym</w:t>
      </w:r>
      <w:r w:rsidR="009A3B8C" w:rsidRPr="00201A9A">
        <w:rPr>
          <w:noProof/>
        </w:rPr>
        <w:t xml:space="preserve"> metody jego obliczania, oraz wszelkich innych inwestycji</w:t>
      </w:r>
      <w:r w:rsidRPr="00201A9A">
        <w:rPr>
          <w:noProof/>
        </w:rPr>
        <w:t xml:space="preserve"> w zró</w:t>
      </w:r>
      <w:r w:rsidR="009A3B8C" w:rsidRPr="00201A9A">
        <w:rPr>
          <w:noProof/>
        </w:rPr>
        <w:t>wnoważoną niebieską gospodarkę niezbędnych do osiągnięcia zrównoważonego rozwoju obszarów przybrzeżnych.</w:t>
      </w:r>
    </w:p>
    <w:p w14:paraId="7AC27F5F" w14:textId="77777777" w:rsidR="00EF2731" w:rsidRPr="00201A9A" w:rsidRDefault="00EF2731" w:rsidP="00EF2731">
      <w:pPr>
        <w:pStyle w:val="Titrearticle"/>
        <w:rPr>
          <w:b/>
          <w:bCs/>
          <w:noProof/>
        </w:rPr>
      </w:pPr>
      <w:r w:rsidRPr="00201A9A">
        <w:rPr>
          <w:noProof/>
        </w:rPr>
        <w:t xml:space="preserve">Artykuł 47 </w:t>
      </w:r>
      <w:r w:rsidRPr="00201A9A">
        <w:rPr>
          <w:noProof/>
        </w:rPr>
        <w:br/>
      </w:r>
      <w:r w:rsidRPr="00201A9A">
        <w:rPr>
          <w:b/>
          <w:noProof/>
        </w:rPr>
        <w:t>Szczególny system dostaw</w:t>
      </w:r>
    </w:p>
    <w:p w14:paraId="129D4A83" w14:textId="45B5B811" w:rsidR="007775A4" w:rsidRPr="00201A9A" w:rsidRDefault="007775A4" w:rsidP="003E2902">
      <w:pPr>
        <w:pStyle w:val="NumPar10000000"/>
        <w:numPr>
          <w:ilvl w:val="0"/>
          <w:numId w:val="41"/>
        </w:numPr>
        <w:rPr>
          <w:noProof/>
        </w:rPr>
      </w:pPr>
      <w:r w:rsidRPr="00201A9A">
        <w:rPr>
          <w:noProof/>
        </w:rPr>
        <w:t>Można wprowadzić szczególny system dostaw produktów wymienionych</w:t>
      </w:r>
      <w:r w:rsidR="00201A9A" w:rsidRPr="00201A9A">
        <w:rPr>
          <w:noProof/>
        </w:rPr>
        <w:t xml:space="preserve"> w zał</w:t>
      </w:r>
      <w:r w:rsidRPr="00201A9A">
        <w:rPr>
          <w:noProof/>
        </w:rPr>
        <w:t>ączniku I do TFUE, mających zasadnicze znaczenie</w:t>
      </w:r>
      <w:r w:rsidR="00201A9A" w:rsidRPr="00201A9A">
        <w:rPr>
          <w:noProof/>
        </w:rPr>
        <w:t xml:space="preserve"> w reg</w:t>
      </w:r>
      <w:r w:rsidRPr="00201A9A">
        <w:rPr>
          <w:noProof/>
        </w:rPr>
        <w:t>ionach najbardziej oddalonych</w:t>
      </w:r>
      <w:r w:rsidR="00201A9A" w:rsidRPr="00201A9A">
        <w:rPr>
          <w:noProof/>
        </w:rPr>
        <w:t xml:space="preserve"> i prz</w:t>
      </w:r>
      <w:r w:rsidRPr="00201A9A">
        <w:rPr>
          <w:noProof/>
        </w:rPr>
        <w:t>eznaczonych do spożycia przez ludzi, do wytwarzania innych produktów lub wykorzystywanych jako środki produkcji rolnej.</w:t>
      </w:r>
      <w:r w:rsidR="00201A9A" w:rsidRPr="00201A9A">
        <w:rPr>
          <w:noProof/>
        </w:rPr>
        <w:t xml:space="preserve"> </w:t>
      </w:r>
    </w:p>
    <w:p w14:paraId="374045C1" w14:textId="6859636C" w:rsidR="00581CD7" w:rsidRPr="00201A9A" w:rsidRDefault="007775A4" w:rsidP="003E2902">
      <w:pPr>
        <w:pStyle w:val="NumPar10000000"/>
        <w:numPr>
          <w:ilvl w:val="0"/>
          <w:numId w:val="41"/>
        </w:numPr>
        <w:rPr>
          <w:noProof/>
        </w:rPr>
      </w:pPr>
      <w:r w:rsidRPr="00201A9A">
        <w:rPr>
          <w:noProof/>
        </w:rPr>
        <w:t>Dane państwo członkowskie ustala, na szczeblu geograficznym, jaki uważa za najwłaściwszy, maksymalną ilość każdego produktu wymienionego</w:t>
      </w:r>
      <w:r w:rsidR="00201A9A" w:rsidRPr="00201A9A">
        <w:rPr>
          <w:noProof/>
        </w:rPr>
        <w:t xml:space="preserve"> w zał</w:t>
      </w:r>
      <w:r w:rsidRPr="00201A9A">
        <w:rPr>
          <w:noProof/>
        </w:rPr>
        <w:t>ączniku I do TFUE</w:t>
      </w:r>
      <w:r w:rsidR="00201A9A" w:rsidRPr="00201A9A">
        <w:rPr>
          <w:noProof/>
        </w:rPr>
        <w:t xml:space="preserve"> w cel</w:t>
      </w:r>
      <w:r w:rsidRPr="00201A9A">
        <w:rPr>
          <w:noProof/>
        </w:rPr>
        <w:t>u ilościowego określenia rocznego zapotrzebowania każdego regionu najbardziej oddalonego na dostawy.</w:t>
      </w:r>
    </w:p>
    <w:p w14:paraId="37C0BF80" w14:textId="54BA891F" w:rsidR="00581CD7" w:rsidRPr="00201A9A" w:rsidRDefault="00581CD7" w:rsidP="00581CD7">
      <w:pPr>
        <w:pStyle w:val="Text1"/>
        <w:rPr>
          <w:noProof/>
        </w:rPr>
      </w:pPr>
      <w:r w:rsidRPr="00201A9A">
        <w:rPr>
          <w:noProof/>
        </w:rPr>
        <w:t>Maksymalna ilość produktów obejmuje również ilości tych produktów potrzebne przedsiębiorstwom zajmującym się pakowaniem</w:t>
      </w:r>
      <w:r w:rsidR="00201A9A" w:rsidRPr="00201A9A">
        <w:rPr>
          <w:noProof/>
        </w:rPr>
        <w:t xml:space="preserve"> i prz</w:t>
      </w:r>
      <w:r w:rsidRPr="00201A9A">
        <w:rPr>
          <w:noProof/>
        </w:rPr>
        <w:t>etwórstwem produktów przeznaczonych na rynek lokalny, wywożonych do pozostałych państw Unii lub do państw trzecich</w:t>
      </w:r>
      <w:r w:rsidR="00201A9A" w:rsidRPr="00201A9A">
        <w:rPr>
          <w:noProof/>
        </w:rPr>
        <w:t xml:space="preserve"> w ram</w:t>
      </w:r>
      <w:r w:rsidRPr="00201A9A">
        <w:rPr>
          <w:noProof/>
        </w:rPr>
        <w:t>ach handlu regionalnego lub</w:t>
      </w:r>
      <w:r w:rsidR="00201A9A" w:rsidRPr="00201A9A">
        <w:rPr>
          <w:noProof/>
        </w:rPr>
        <w:t xml:space="preserve"> w ram</w:t>
      </w:r>
      <w:r w:rsidRPr="00201A9A">
        <w:rPr>
          <w:noProof/>
        </w:rPr>
        <w:t>ach tradycyjnej wymiany handlowej. Maksymalną ilość produktów ustala się</w:t>
      </w:r>
      <w:r w:rsidR="00201A9A" w:rsidRPr="00201A9A">
        <w:rPr>
          <w:noProof/>
        </w:rPr>
        <w:t xml:space="preserve"> z uwz</w:t>
      </w:r>
      <w:r w:rsidRPr="00201A9A">
        <w:rPr>
          <w:noProof/>
        </w:rPr>
        <w:t>ględnieniem</w:t>
      </w:r>
      <w:r w:rsidR="00201A9A" w:rsidRPr="00201A9A">
        <w:rPr>
          <w:noProof/>
        </w:rPr>
        <w:t xml:space="preserve"> w szc</w:t>
      </w:r>
      <w:r w:rsidRPr="00201A9A">
        <w:rPr>
          <w:noProof/>
        </w:rPr>
        <w:t>zególności ilości tych produktów określonych</w:t>
      </w:r>
      <w:r w:rsidR="00201A9A" w:rsidRPr="00201A9A">
        <w:rPr>
          <w:noProof/>
        </w:rPr>
        <w:t xml:space="preserve"> w pro</w:t>
      </w:r>
      <w:r w:rsidRPr="00201A9A">
        <w:rPr>
          <w:noProof/>
        </w:rPr>
        <w:t>gnozowanych bilansach dostaw</w:t>
      </w:r>
      <w:r w:rsidR="00201A9A" w:rsidRPr="00201A9A">
        <w:rPr>
          <w:noProof/>
        </w:rPr>
        <w:t xml:space="preserve"> w pop</w:t>
      </w:r>
      <w:r w:rsidRPr="00201A9A">
        <w:rPr>
          <w:noProof/>
        </w:rPr>
        <w:t>rzednim okresie programowania.</w:t>
      </w:r>
    </w:p>
    <w:p w14:paraId="787F68CA" w14:textId="3772C659" w:rsidR="007775A4" w:rsidRPr="00201A9A" w:rsidRDefault="007775A4" w:rsidP="00A364BE">
      <w:pPr>
        <w:pStyle w:val="Text1"/>
        <w:ind w:left="851"/>
        <w:rPr>
          <w:noProof/>
        </w:rPr>
      </w:pPr>
      <w:r w:rsidRPr="00201A9A">
        <w:rPr>
          <w:noProof/>
        </w:rPr>
        <w:t>Ocena zapotrzebowania przedsiębiorstw zajmujących się pakowaniem lub przetwórstwem produktów przeznaczonych na rynek lokalny, wysyłanych do pozostałej części Unii lub wywożonych do państw trzecich</w:t>
      </w:r>
      <w:r w:rsidR="00201A9A" w:rsidRPr="00201A9A">
        <w:rPr>
          <w:noProof/>
        </w:rPr>
        <w:t xml:space="preserve"> w ram</w:t>
      </w:r>
      <w:r w:rsidRPr="00201A9A">
        <w:rPr>
          <w:noProof/>
        </w:rPr>
        <w:t>ach handlu regionalnego lub</w:t>
      </w:r>
      <w:r w:rsidR="00201A9A" w:rsidRPr="00201A9A">
        <w:rPr>
          <w:noProof/>
        </w:rPr>
        <w:t xml:space="preserve"> w ram</w:t>
      </w:r>
      <w:r w:rsidRPr="00201A9A">
        <w:rPr>
          <w:noProof/>
        </w:rPr>
        <w:t>ach tradycyjnej wymiany handlowej może być przedmiotem oddzielnego prognozowanego bilansu. </w:t>
      </w:r>
    </w:p>
    <w:p w14:paraId="4AE3FEAD" w14:textId="4B385C8D" w:rsidR="00581CD7" w:rsidRPr="00201A9A" w:rsidRDefault="00581CD7" w:rsidP="003E2902">
      <w:pPr>
        <w:pStyle w:val="NumPar10000000"/>
        <w:numPr>
          <w:ilvl w:val="0"/>
          <w:numId w:val="41"/>
        </w:numPr>
        <w:rPr>
          <w:noProof/>
        </w:rPr>
      </w:pPr>
      <w:r w:rsidRPr="00201A9A">
        <w:rPr>
          <w:noProof/>
        </w:rPr>
        <w:t>Należności celne nie mają zastosowania do bezpośredniego przywozu</w:t>
      </w:r>
      <w:r w:rsidR="00201A9A" w:rsidRPr="00201A9A">
        <w:rPr>
          <w:noProof/>
        </w:rPr>
        <w:t xml:space="preserve"> z pań</w:t>
      </w:r>
      <w:r w:rsidRPr="00201A9A">
        <w:rPr>
          <w:noProof/>
        </w:rPr>
        <w:t>stw trzecich do regionów najbardziej oddalonych produktów objętych szczególnymi systemami dostaw, które mieszczą się</w:t>
      </w:r>
      <w:r w:rsidR="00201A9A" w:rsidRPr="00201A9A">
        <w:rPr>
          <w:noProof/>
        </w:rPr>
        <w:t xml:space="preserve"> w mak</w:t>
      </w:r>
      <w:r w:rsidRPr="00201A9A">
        <w:rPr>
          <w:noProof/>
        </w:rPr>
        <w:t>symalnej ilości określonej</w:t>
      </w:r>
      <w:r w:rsidR="00201A9A" w:rsidRPr="00201A9A">
        <w:rPr>
          <w:noProof/>
        </w:rPr>
        <w:t xml:space="preserve"> w pla</w:t>
      </w:r>
      <w:r w:rsidRPr="00201A9A">
        <w:rPr>
          <w:noProof/>
        </w:rPr>
        <w:t>nach PKR zgodnie</w:t>
      </w:r>
      <w:r w:rsidR="00201A9A" w:rsidRPr="00201A9A">
        <w:rPr>
          <w:noProof/>
        </w:rPr>
        <w:t xml:space="preserve"> z ust</w:t>
      </w:r>
      <w:r w:rsidRPr="00201A9A">
        <w:rPr>
          <w:noProof/>
        </w:rPr>
        <w:t>.</w:t>
      </w:r>
      <w:r w:rsidR="00201A9A" w:rsidRPr="00201A9A">
        <w:rPr>
          <w:noProof/>
        </w:rPr>
        <w:t> </w:t>
      </w:r>
      <w:r w:rsidRPr="00201A9A">
        <w:rPr>
          <w:noProof/>
        </w:rPr>
        <w:t>2.</w:t>
      </w:r>
    </w:p>
    <w:p w14:paraId="27ADFEE7" w14:textId="644C9313" w:rsidR="007775A4" w:rsidRPr="00201A9A" w:rsidRDefault="00581CD7" w:rsidP="00A364BE">
      <w:pPr>
        <w:pStyle w:val="Text1"/>
        <w:ind w:left="851"/>
        <w:rPr>
          <w:noProof/>
        </w:rPr>
      </w:pPr>
      <w:r w:rsidRPr="00201A9A">
        <w:rPr>
          <w:noProof/>
        </w:rPr>
        <w:t>Do celów niniejszego artykułu produkty podlegające procedurom uszlachetniania czynnego lub składowaniu celnemu na obszarze celnym Unii uznaje się za produkty przywożone bezpośrednio</w:t>
      </w:r>
      <w:r w:rsidR="00201A9A" w:rsidRPr="00201A9A">
        <w:rPr>
          <w:noProof/>
        </w:rPr>
        <w:t xml:space="preserve"> z pań</w:t>
      </w:r>
      <w:r w:rsidRPr="00201A9A">
        <w:rPr>
          <w:noProof/>
        </w:rPr>
        <w:t>stw trzecich. </w:t>
      </w:r>
    </w:p>
    <w:p w14:paraId="5918A567" w14:textId="164D8E0B" w:rsidR="007775A4" w:rsidRPr="00201A9A" w:rsidRDefault="00581CD7" w:rsidP="003E2902">
      <w:pPr>
        <w:pStyle w:val="NumPar10000000"/>
        <w:numPr>
          <w:ilvl w:val="0"/>
          <w:numId w:val="41"/>
        </w:numPr>
        <w:rPr>
          <w:noProof/>
        </w:rPr>
      </w:pPr>
      <w:r w:rsidRPr="00201A9A">
        <w:rPr>
          <w:noProof/>
        </w:rPr>
        <w:t>Przyznaje się wsparcie na zaopatrzenie regionów najbardziej oddalonych</w:t>
      </w:r>
      <w:r w:rsidR="00201A9A" w:rsidRPr="00201A9A">
        <w:rPr>
          <w:noProof/>
        </w:rPr>
        <w:t xml:space="preserve"> w pro</w:t>
      </w:r>
      <w:r w:rsidRPr="00201A9A">
        <w:rPr>
          <w:noProof/>
        </w:rPr>
        <w:t>dukty unijne</w:t>
      </w:r>
      <w:r w:rsidR="00201A9A" w:rsidRPr="00201A9A">
        <w:rPr>
          <w:noProof/>
        </w:rPr>
        <w:t xml:space="preserve"> w cel</w:t>
      </w:r>
      <w:r w:rsidRPr="00201A9A">
        <w:rPr>
          <w:noProof/>
        </w:rPr>
        <w:t>u zapewnienia pokrycia szczególnego zapotrzebowania określonego zgodnie</w:t>
      </w:r>
      <w:r w:rsidR="00201A9A" w:rsidRPr="00201A9A">
        <w:rPr>
          <w:noProof/>
        </w:rPr>
        <w:t xml:space="preserve"> z ust</w:t>
      </w:r>
      <w:r w:rsidRPr="00201A9A">
        <w:rPr>
          <w:noProof/>
        </w:rPr>
        <w:t>.</w:t>
      </w:r>
      <w:r w:rsidR="00201A9A" w:rsidRPr="00201A9A">
        <w:rPr>
          <w:noProof/>
        </w:rPr>
        <w:t> </w:t>
      </w:r>
      <w:r w:rsidRPr="00201A9A">
        <w:rPr>
          <w:noProof/>
        </w:rPr>
        <w:t>2</w:t>
      </w:r>
      <w:r w:rsidR="00201A9A" w:rsidRPr="00201A9A">
        <w:rPr>
          <w:noProof/>
        </w:rPr>
        <w:t xml:space="preserve"> z uwz</w:t>
      </w:r>
      <w:r w:rsidRPr="00201A9A">
        <w:rPr>
          <w:noProof/>
        </w:rPr>
        <w:t>ględnieniem cen</w:t>
      </w:r>
      <w:r w:rsidR="00201A9A" w:rsidRPr="00201A9A">
        <w:rPr>
          <w:noProof/>
        </w:rPr>
        <w:t xml:space="preserve"> i jak</w:t>
      </w:r>
      <w:r w:rsidRPr="00201A9A">
        <w:rPr>
          <w:noProof/>
        </w:rPr>
        <w:t>ości oraz przy jednoczesnym zachowaniu udziału Unii</w:t>
      </w:r>
      <w:r w:rsidR="00201A9A" w:rsidRPr="00201A9A">
        <w:rPr>
          <w:noProof/>
        </w:rPr>
        <w:t xml:space="preserve"> w dos</w:t>
      </w:r>
      <w:r w:rsidRPr="00201A9A">
        <w:rPr>
          <w:noProof/>
        </w:rPr>
        <w:t>tawach tych produktów. </w:t>
      </w:r>
    </w:p>
    <w:p w14:paraId="218E572E" w14:textId="603BD678" w:rsidR="007775A4" w:rsidRPr="00201A9A" w:rsidRDefault="00581CD7" w:rsidP="00A364BE">
      <w:pPr>
        <w:pStyle w:val="Text1"/>
        <w:ind w:left="851"/>
        <w:rPr>
          <w:noProof/>
        </w:rPr>
      </w:pPr>
      <w:r w:rsidRPr="00201A9A">
        <w:rPr>
          <w:noProof/>
        </w:rPr>
        <w:t>Nie przyznaje się żadnego wsparcia na zaopatrzenie</w:t>
      </w:r>
      <w:r w:rsidR="00201A9A" w:rsidRPr="00201A9A">
        <w:rPr>
          <w:noProof/>
        </w:rPr>
        <w:t xml:space="preserve"> w pro</w:t>
      </w:r>
      <w:r w:rsidRPr="00201A9A">
        <w:rPr>
          <w:noProof/>
        </w:rPr>
        <w:t>dukty, które były objęte już szczególnymi systemami dostaw</w:t>
      </w:r>
      <w:r w:rsidR="00201A9A" w:rsidRPr="00201A9A">
        <w:rPr>
          <w:noProof/>
        </w:rPr>
        <w:t xml:space="preserve"> w inn</w:t>
      </w:r>
      <w:r w:rsidRPr="00201A9A">
        <w:rPr>
          <w:noProof/>
        </w:rPr>
        <w:t>ym regionie najbardziej oddalonym. </w:t>
      </w:r>
    </w:p>
    <w:p w14:paraId="6CB355BA" w14:textId="50FC2368" w:rsidR="007775A4" w:rsidRPr="00201A9A" w:rsidRDefault="007775A4" w:rsidP="003E2902">
      <w:pPr>
        <w:pStyle w:val="NumPar10000000"/>
        <w:numPr>
          <w:ilvl w:val="0"/>
          <w:numId w:val="41"/>
        </w:numPr>
        <w:rPr>
          <w:noProof/>
        </w:rPr>
      </w:pPr>
      <w:r w:rsidRPr="00201A9A">
        <w:rPr>
          <w:noProof/>
        </w:rPr>
        <w:t>Szczególnymi systemami dostaw objęte są tylko produkty</w:t>
      </w:r>
      <w:r w:rsidR="00201A9A" w:rsidRPr="00201A9A">
        <w:rPr>
          <w:noProof/>
        </w:rPr>
        <w:t xml:space="preserve"> o sol</w:t>
      </w:r>
      <w:r w:rsidRPr="00201A9A">
        <w:rPr>
          <w:noProof/>
        </w:rPr>
        <w:t>idnej</w:t>
      </w:r>
      <w:r w:rsidR="00201A9A" w:rsidRPr="00201A9A">
        <w:rPr>
          <w:noProof/>
        </w:rPr>
        <w:t xml:space="preserve"> i wła</w:t>
      </w:r>
      <w:r w:rsidRPr="00201A9A">
        <w:rPr>
          <w:noProof/>
        </w:rPr>
        <w:t>ściwej jakości handlowej. Produkty</w:t>
      </w:r>
      <w:r w:rsidR="00201A9A" w:rsidRPr="00201A9A">
        <w:rPr>
          <w:noProof/>
        </w:rPr>
        <w:t xml:space="preserve"> z kra</w:t>
      </w:r>
      <w:r w:rsidRPr="00201A9A">
        <w:rPr>
          <w:noProof/>
        </w:rPr>
        <w:t>jów trzecich zapewniają poziom gwarancji równoważny</w:t>
      </w:r>
      <w:r w:rsidR="00201A9A" w:rsidRPr="00201A9A">
        <w:rPr>
          <w:noProof/>
        </w:rPr>
        <w:t xml:space="preserve"> z poz</w:t>
      </w:r>
      <w:r w:rsidRPr="00201A9A">
        <w:rPr>
          <w:noProof/>
        </w:rPr>
        <w:t>iomem produktów wytworzonych</w:t>
      </w:r>
      <w:r w:rsidR="00201A9A" w:rsidRPr="00201A9A">
        <w:rPr>
          <w:noProof/>
        </w:rPr>
        <w:t xml:space="preserve"> w opa</w:t>
      </w:r>
      <w:r w:rsidRPr="00201A9A">
        <w:rPr>
          <w:noProof/>
        </w:rPr>
        <w:t>rciu</w:t>
      </w:r>
      <w:r w:rsidR="00201A9A" w:rsidRPr="00201A9A">
        <w:rPr>
          <w:noProof/>
        </w:rPr>
        <w:t xml:space="preserve"> o uni</w:t>
      </w:r>
      <w:r w:rsidRPr="00201A9A">
        <w:rPr>
          <w:noProof/>
        </w:rPr>
        <w:t>jne standardy</w:t>
      </w:r>
      <w:r w:rsidR="00201A9A" w:rsidRPr="00201A9A">
        <w:rPr>
          <w:noProof/>
        </w:rPr>
        <w:t xml:space="preserve"> w zak</w:t>
      </w:r>
      <w:r w:rsidRPr="00201A9A">
        <w:rPr>
          <w:noProof/>
        </w:rPr>
        <w:t>resie zdrowia zwierząt</w:t>
      </w:r>
      <w:r w:rsidR="00201A9A" w:rsidRPr="00201A9A">
        <w:rPr>
          <w:noProof/>
        </w:rPr>
        <w:t xml:space="preserve"> i roś</w:t>
      </w:r>
      <w:r w:rsidRPr="00201A9A">
        <w:rPr>
          <w:noProof/>
        </w:rPr>
        <w:t>lin.</w:t>
      </w:r>
    </w:p>
    <w:p w14:paraId="36ECAE7E" w14:textId="0615AEB3" w:rsidR="007775A4" w:rsidRPr="00201A9A" w:rsidRDefault="00581CD7" w:rsidP="003E2902">
      <w:pPr>
        <w:pStyle w:val="NumPar10000000"/>
        <w:numPr>
          <w:ilvl w:val="0"/>
          <w:numId w:val="41"/>
        </w:numPr>
        <w:rPr>
          <w:noProof/>
        </w:rPr>
      </w:pPr>
      <w:r w:rsidRPr="00201A9A">
        <w:rPr>
          <w:noProof/>
        </w:rPr>
        <w:t>Wdrażając szczególne systemy dostaw, państwa członkowskie uwzględniają</w:t>
      </w:r>
      <w:r w:rsidR="00201A9A" w:rsidRPr="00201A9A">
        <w:rPr>
          <w:noProof/>
        </w:rPr>
        <w:t xml:space="preserve"> w szc</w:t>
      </w:r>
      <w:r w:rsidRPr="00201A9A">
        <w:rPr>
          <w:noProof/>
        </w:rPr>
        <w:t>zególności potrzebę zapewnienia, aby istniejąca produkcja lokalna nie była destabilizowana ani ograniczana</w:t>
      </w:r>
      <w:r w:rsidR="00201A9A" w:rsidRPr="00201A9A">
        <w:rPr>
          <w:noProof/>
        </w:rPr>
        <w:t xml:space="preserve"> w swo</w:t>
      </w:r>
      <w:r w:rsidRPr="00201A9A">
        <w:rPr>
          <w:noProof/>
        </w:rPr>
        <w:t>ich możliwościach rozwoju, oraz wymóg określony</w:t>
      </w:r>
      <w:r w:rsidR="00201A9A" w:rsidRPr="00201A9A">
        <w:rPr>
          <w:noProof/>
        </w:rPr>
        <w:t xml:space="preserve"> w ust</w:t>
      </w:r>
      <w:r w:rsidRPr="00201A9A">
        <w:rPr>
          <w:noProof/>
        </w:rPr>
        <w:t>.</w:t>
      </w:r>
      <w:r w:rsidR="00201A9A" w:rsidRPr="00201A9A">
        <w:rPr>
          <w:noProof/>
        </w:rPr>
        <w:t> </w:t>
      </w:r>
      <w:r w:rsidRPr="00201A9A">
        <w:rPr>
          <w:noProof/>
        </w:rPr>
        <w:t xml:space="preserve">6. </w:t>
      </w:r>
    </w:p>
    <w:p w14:paraId="30EEDD3C" w14:textId="76F06B75" w:rsidR="00166EDF" w:rsidRPr="00201A9A" w:rsidRDefault="00194506" w:rsidP="003E2902">
      <w:pPr>
        <w:pStyle w:val="NumPar10000000"/>
        <w:numPr>
          <w:ilvl w:val="0"/>
          <w:numId w:val="41"/>
        </w:numPr>
        <w:rPr>
          <w:noProof/>
        </w:rPr>
      </w:pPr>
      <w:r w:rsidRPr="00201A9A">
        <w:rPr>
          <w:noProof/>
        </w:rPr>
        <w:t>Państwa członkowskie przeprowadzają kontrole</w:t>
      </w:r>
      <w:r w:rsidR="00201A9A" w:rsidRPr="00201A9A">
        <w:rPr>
          <w:noProof/>
        </w:rPr>
        <w:t xml:space="preserve"> w for</w:t>
      </w:r>
      <w:r w:rsidRPr="00201A9A">
        <w:rPr>
          <w:noProof/>
        </w:rPr>
        <w:t>mie kontroli administracyjnych, bezpośrednich</w:t>
      </w:r>
      <w:r w:rsidR="00201A9A" w:rsidRPr="00201A9A">
        <w:rPr>
          <w:noProof/>
        </w:rPr>
        <w:t xml:space="preserve"> i kon</w:t>
      </w:r>
      <w:r w:rsidRPr="00201A9A">
        <w:rPr>
          <w:noProof/>
        </w:rPr>
        <w:t>troli na miejscu. Kontrole administracyjne przywozu, wprowadzenia do obrotu, wywozu</w:t>
      </w:r>
      <w:r w:rsidR="00201A9A" w:rsidRPr="00201A9A">
        <w:rPr>
          <w:noProof/>
        </w:rPr>
        <w:t xml:space="preserve"> i wys</w:t>
      </w:r>
      <w:r w:rsidRPr="00201A9A">
        <w:rPr>
          <w:noProof/>
        </w:rPr>
        <w:t>yłki produktów są wyczerpujące</w:t>
      </w:r>
      <w:r w:rsidR="00201A9A" w:rsidRPr="00201A9A">
        <w:rPr>
          <w:noProof/>
        </w:rPr>
        <w:t xml:space="preserve"> i obe</w:t>
      </w:r>
      <w:r w:rsidRPr="00201A9A">
        <w:rPr>
          <w:noProof/>
        </w:rPr>
        <w:t>jmują kontrole krzyżowe</w:t>
      </w:r>
      <w:r w:rsidR="00201A9A" w:rsidRPr="00201A9A">
        <w:rPr>
          <w:noProof/>
        </w:rPr>
        <w:t xml:space="preserve"> z dok</w:t>
      </w:r>
      <w:r w:rsidRPr="00201A9A">
        <w:rPr>
          <w:noProof/>
        </w:rPr>
        <w:t>umentami uzupełniającymi. Kontrole bezpośrednie przeprowadzane</w:t>
      </w:r>
      <w:r w:rsidR="00201A9A" w:rsidRPr="00201A9A">
        <w:rPr>
          <w:noProof/>
        </w:rPr>
        <w:t xml:space="preserve"> w dan</w:t>
      </w:r>
      <w:r w:rsidRPr="00201A9A">
        <w:rPr>
          <w:noProof/>
        </w:rPr>
        <w:t>ym regionie najbardziej oddalonym przy przywozie lub wywozie produktów dotyczą reprezentatywnej próby co najmniej 5</w:t>
      </w:r>
      <w:r w:rsidR="00201A9A" w:rsidRPr="00201A9A">
        <w:rPr>
          <w:noProof/>
        </w:rPr>
        <w:t> </w:t>
      </w:r>
      <w:r w:rsidRPr="00201A9A">
        <w:rPr>
          <w:noProof/>
        </w:rPr>
        <w:t>% pozwoleń</w:t>
      </w:r>
      <w:r w:rsidR="00201A9A" w:rsidRPr="00201A9A">
        <w:rPr>
          <w:noProof/>
        </w:rPr>
        <w:t xml:space="preserve"> i świ</w:t>
      </w:r>
      <w:r w:rsidRPr="00201A9A">
        <w:rPr>
          <w:noProof/>
        </w:rPr>
        <w:t>adectw.</w:t>
      </w:r>
    </w:p>
    <w:p w14:paraId="56AA08E2" w14:textId="3276B45D" w:rsidR="007775A4" w:rsidRPr="00201A9A" w:rsidRDefault="00EF2731" w:rsidP="007775A4">
      <w:pPr>
        <w:pStyle w:val="Titrearticle"/>
        <w:rPr>
          <w:noProof/>
        </w:rPr>
      </w:pPr>
      <w:r w:rsidRPr="00201A9A">
        <w:rPr>
          <w:noProof/>
        </w:rPr>
        <w:t xml:space="preserve">Artykuł 48 </w:t>
      </w:r>
      <w:r w:rsidRPr="00201A9A">
        <w:rPr>
          <w:noProof/>
        </w:rPr>
        <w:br/>
      </w:r>
      <w:r w:rsidRPr="00201A9A">
        <w:rPr>
          <w:b/>
          <w:noProof/>
        </w:rPr>
        <w:t>Wsparcie na rzecz lokalnych produktów rolnych, produktów rybołówstwa</w:t>
      </w:r>
      <w:r w:rsidR="00201A9A" w:rsidRPr="00201A9A">
        <w:rPr>
          <w:b/>
          <w:noProof/>
        </w:rPr>
        <w:t xml:space="preserve"> i akw</w:t>
      </w:r>
      <w:r w:rsidRPr="00201A9A">
        <w:rPr>
          <w:b/>
          <w:noProof/>
        </w:rPr>
        <w:t>akultury</w:t>
      </w:r>
    </w:p>
    <w:p w14:paraId="5423A7E2" w14:textId="17CCC225" w:rsidR="007775A4" w:rsidRPr="00201A9A" w:rsidRDefault="007775A4" w:rsidP="003E2902">
      <w:pPr>
        <w:pStyle w:val="NumPar10000000"/>
        <w:numPr>
          <w:ilvl w:val="0"/>
          <w:numId w:val="42"/>
        </w:numPr>
        <w:rPr>
          <w:noProof/>
        </w:rPr>
      </w:pPr>
      <w:r w:rsidRPr="00201A9A">
        <w:rPr>
          <w:noProof/>
        </w:rPr>
        <w:t>Każde odnośne państwo członkowskie określa, według kryteriów ustanowionych zgodnie</w:t>
      </w:r>
      <w:r w:rsidR="00201A9A" w:rsidRPr="00201A9A">
        <w:rPr>
          <w:noProof/>
        </w:rPr>
        <w:t xml:space="preserve"> z ust</w:t>
      </w:r>
      <w:r w:rsidRPr="00201A9A">
        <w:rPr>
          <w:noProof/>
        </w:rPr>
        <w:t>.</w:t>
      </w:r>
      <w:r w:rsidR="00201A9A" w:rsidRPr="00201A9A">
        <w:rPr>
          <w:noProof/>
        </w:rPr>
        <w:t> </w:t>
      </w:r>
      <w:r w:rsidRPr="00201A9A">
        <w:rPr>
          <w:noProof/>
        </w:rPr>
        <w:t>7 niniejszego artykułu, dla każdego</w:t>
      </w:r>
      <w:r w:rsidR="00201A9A" w:rsidRPr="00201A9A">
        <w:rPr>
          <w:noProof/>
        </w:rPr>
        <w:t xml:space="preserve"> z reg</w:t>
      </w:r>
      <w:r w:rsidRPr="00201A9A">
        <w:rPr>
          <w:noProof/>
        </w:rPr>
        <w:t>ionów najbardziej oddalonych wykaz produktów rolnych, produktów rybołówstwa</w:t>
      </w:r>
      <w:r w:rsidR="00201A9A" w:rsidRPr="00201A9A">
        <w:rPr>
          <w:noProof/>
        </w:rPr>
        <w:t xml:space="preserve"> i akw</w:t>
      </w:r>
      <w:r w:rsidRPr="00201A9A">
        <w:rPr>
          <w:noProof/>
        </w:rPr>
        <w:t>akultury oraz ilości tych produktów, które kwalifikują się do rekompensaty</w:t>
      </w:r>
      <w:r w:rsidR="00201A9A" w:rsidRPr="00201A9A">
        <w:rPr>
          <w:noProof/>
        </w:rPr>
        <w:t xml:space="preserve"> z tyt</w:t>
      </w:r>
      <w:r w:rsidRPr="00201A9A">
        <w:rPr>
          <w:noProof/>
        </w:rPr>
        <w:t>ułu dodatkowych kosztów poniesionych przez operatorów.</w:t>
      </w:r>
    </w:p>
    <w:p w14:paraId="76EC6483" w14:textId="6A783FD5" w:rsidR="007775A4" w:rsidRPr="00201A9A" w:rsidRDefault="007775A4" w:rsidP="003E2902">
      <w:pPr>
        <w:pStyle w:val="NumPar10000000"/>
        <w:numPr>
          <w:ilvl w:val="0"/>
          <w:numId w:val="41"/>
        </w:numPr>
        <w:rPr>
          <w:noProof/>
        </w:rPr>
      </w:pPr>
      <w:r w:rsidRPr="00201A9A">
        <w:rPr>
          <w:noProof/>
        </w:rPr>
        <w:t>Wykaz,</w:t>
      </w:r>
      <w:r w:rsidR="00201A9A" w:rsidRPr="00201A9A">
        <w:rPr>
          <w:noProof/>
        </w:rPr>
        <w:t xml:space="preserve"> o któ</w:t>
      </w:r>
      <w:r w:rsidRPr="00201A9A">
        <w:rPr>
          <w:noProof/>
        </w:rPr>
        <w:t>rym mowa</w:t>
      </w:r>
      <w:r w:rsidR="00201A9A" w:rsidRPr="00201A9A">
        <w:rPr>
          <w:noProof/>
        </w:rPr>
        <w:t xml:space="preserve"> w ust</w:t>
      </w:r>
      <w:r w:rsidRPr="00201A9A">
        <w:rPr>
          <w:noProof/>
        </w:rPr>
        <w:t>.</w:t>
      </w:r>
      <w:r w:rsidR="00201A9A" w:rsidRPr="00201A9A">
        <w:rPr>
          <w:noProof/>
        </w:rPr>
        <w:t> </w:t>
      </w:r>
      <w:r w:rsidRPr="00201A9A">
        <w:rPr>
          <w:noProof/>
        </w:rPr>
        <w:t>1, zawiera co najmniej następujące elementy: </w:t>
      </w:r>
    </w:p>
    <w:p w14:paraId="65D8E681" w14:textId="7DAA2F77" w:rsidR="007775A4" w:rsidRPr="00201A9A" w:rsidRDefault="00201A9A" w:rsidP="00201A9A">
      <w:pPr>
        <w:pStyle w:val="Point1"/>
        <w:rPr>
          <w:noProof/>
        </w:rPr>
      </w:pPr>
      <w:r w:rsidRPr="00201A9A">
        <w:rPr>
          <w:noProof/>
        </w:rPr>
        <w:t>a)</w:t>
      </w:r>
      <w:r w:rsidRPr="00201A9A">
        <w:rPr>
          <w:noProof/>
        </w:rPr>
        <w:tab/>
      </w:r>
      <w:r w:rsidR="007775A4" w:rsidRPr="00201A9A">
        <w:rPr>
          <w:noProof/>
        </w:rPr>
        <w:t xml:space="preserve">opis przewidzianych interwencji; </w:t>
      </w:r>
    </w:p>
    <w:p w14:paraId="4D0FD8E0" w14:textId="2A4D2C8C" w:rsidR="007775A4" w:rsidRPr="00201A9A" w:rsidRDefault="00201A9A" w:rsidP="00201A9A">
      <w:pPr>
        <w:pStyle w:val="Point1"/>
        <w:rPr>
          <w:noProof/>
        </w:rPr>
      </w:pPr>
      <w:r w:rsidRPr="00201A9A">
        <w:rPr>
          <w:noProof/>
        </w:rPr>
        <w:t>b)</w:t>
      </w:r>
      <w:r w:rsidRPr="00201A9A">
        <w:rPr>
          <w:noProof/>
        </w:rPr>
        <w:tab/>
      </w:r>
      <w:r w:rsidR="007775A4" w:rsidRPr="00201A9A">
        <w:rPr>
          <w:noProof/>
        </w:rPr>
        <w:t>wykaz pomocy stanowiącej interwencje</w:t>
      </w:r>
      <w:r w:rsidRPr="00201A9A">
        <w:rPr>
          <w:noProof/>
        </w:rPr>
        <w:t xml:space="preserve"> z zak</w:t>
      </w:r>
      <w:r w:rsidR="007775A4" w:rsidRPr="00201A9A">
        <w:rPr>
          <w:noProof/>
        </w:rPr>
        <w:t>resu wsparcia dochodów zgodnie</w:t>
      </w:r>
      <w:r w:rsidRPr="00201A9A">
        <w:rPr>
          <w:noProof/>
        </w:rPr>
        <w:t xml:space="preserve"> z art</w:t>
      </w:r>
      <w:r w:rsidR="007775A4" w:rsidRPr="00201A9A">
        <w:rPr>
          <w:noProof/>
        </w:rPr>
        <w:t>.</w:t>
      </w:r>
      <w:r w:rsidRPr="00201A9A">
        <w:rPr>
          <w:noProof/>
        </w:rPr>
        <w:t> </w:t>
      </w:r>
      <w:r w:rsidR="007775A4" w:rsidRPr="00201A9A">
        <w:rPr>
          <w:noProof/>
        </w:rPr>
        <w:t>35 ust.</w:t>
      </w:r>
      <w:r w:rsidRPr="00201A9A">
        <w:rPr>
          <w:noProof/>
        </w:rPr>
        <w:t> </w:t>
      </w:r>
      <w:r w:rsidR="007775A4" w:rsidRPr="00201A9A">
        <w:rPr>
          <w:noProof/>
        </w:rPr>
        <w:t>1; </w:t>
      </w:r>
    </w:p>
    <w:p w14:paraId="73FFE66F" w14:textId="17754C48" w:rsidR="007775A4" w:rsidRPr="00201A9A" w:rsidRDefault="00201A9A" w:rsidP="00201A9A">
      <w:pPr>
        <w:pStyle w:val="Point1"/>
        <w:rPr>
          <w:noProof/>
        </w:rPr>
      </w:pPr>
      <w:r w:rsidRPr="00201A9A">
        <w:rPr>
          <w:noProof/>
        </w:rPr>
        <w:t>c)</w:t>
      </w:r>
      <w:r w:rsidRPr="00201A9A">
        <w:rPr>
          <w:noProof/>
        </w:rPr>
        <w:tab/>
      </w:r>
      <w:r w:rsidR="007775A4" w:rsidRPr="00201A9A">
        <w:rPr>
          <w:noProof/>
        </w:rPr>
        <w:t>kwotę pomocy ustaloną</w:t>
      </w:r>
      <w:r w:rsidRPr="00201A9A">
        <w:rPr>
          <w:noProof/>
        </w:rPr>
        <w:t xml:space="preserve"> w prz</w:t>
      </w:r>
      <w:r w:rsidR="007775A4" w:rsidRPr="00201A9A">
        <w:rPr>
          <w:noProof/>
        </w:rPr>
        <w:t>ypadku każdej interwencji</w:t>
      </w:r>
      <w:r w:rsidRPr="00201A9A">
        <w:rPr>
          <w:noProof/>
        </w:rPr>
        <w:t xml:space="preserve"> i prz</w:t>
      </w:r>
      <w:r w:rsidR="007775A4" w:rsidRPr="00201A9A">
        <w:rPr>
          <w:noProof/>
        </w:rPr>
        <w:t>ewidywaną kwotę</w:t>
      </w:r>
      <w:r w:rsidRPr="00201A9A">
        <w:rPr>
          <w:noProof/>
        </w:rPr>
        <w:t xml:space="preserve"> w prz</w:t>
      </w:r>
      <w:r w:rsidR="007775A4" w:rsidRPr="00201A9A">
        <w:rPr>
          <w:noProof/>
        </w:rPr>
        <w:t>ypadku każdego działania</w:t>
      </w:r>
      <w:r w:rsidRPr="00201A9A">
        <w:rPr>
          <w:noProof/>
        </w:rPr>
        <w:t xml:space="preserve"> w cel</w:t>
      </w:r>
      <w:r w:rsidR="007775A4" w:rsidRPr="00201A9A">
        <w:rPr>
          <w:noProof/>
        </w:rPr>
        <w:t>u osiągnięcia jednego lub większej liczby celów programu. </w:t>
      </w:r>
    </w:p>
    <w:p w14:paraId="3B382118" w14:textId="0E2A33BA" w:rsidR="007775A4" w:rsidRPr="00201A9A" w:rsidRDefault="007775A4" w:rsidP="003E2902">
      <w:pPr>
        <w:pStyle w:val="NumPar10000000"/>
        <w:numPr>
          <w:ilvl w:val="0"/>
          <w:numId w:val="41"/>
        </w:numPr>
        <w:rPr>
          <w:noProof/>
        </w:rPr>
      </w:pPr>
      <w:r w:rsidRPr="00201A9A">
        <w:rPr>
          <w:noProof/>
        </w:rPr>
        <w:t>Interwencje mogą obejmować wsparcie na rzecz produkcji, przetwórstwa, wprowadzania do obrotu</w:t>
      </w:r>
      <w:r w:rsidR="00201A9A" w:rsidRPr="00201A9A">
        <w:rPr>
          <w:noProof/>
        </w:rPr>
        <w:t xml:space="preserve"> i tra</w:t>
      </w:r>
      <w:r w:rsidRPr="00201A9A">
        <w:rPr>
          <w:noProof/>
        </w:rPr>
        <w:t>nsportu nieprzetworzonych</w:t>
      </w:r>
      <w:r w:rsidR="00201A9A" w:rsidRPr="00201A9A">
        <w:rPr>
          <w:noProof/>
        </w:rPr>
        <w:t xml:space="preserve"> i prz</w:t>
      </w:r>
      <w:r w:rsidRPr="00201A9A">
        <w:rPr>
          <w:noProof/>
        </w:rPr>
        <w:t>etworzonych produktów rolnych, produktów rybołówstwa</w:t>
      </w:r>
      <w:r w:rsidR="00201A9A" w:rsidRPr="00201A9A">
        <w:rPr>
          <w:noProof/>
        </w:rPr>
        <w:t xml:space="preserve"> i akw</w:t>
      </w:r>
      <w:r w:rsidRPr="00201A9A">
        <w:rPr>
          <w:noProof/>
        </w:rPr>
        <w:t>akultury</w:t>
      </w:r>
      <w:r w:rsidR="00201A9A" w:rsidRPr="00201A9A">
        <w:rPr>
          <w:noProof/>
        </w:rPr>
        <w:t xml:space="preserve"> w reg</w:t>
      </w:r>
      <w:r w:rsidRPr="00201A9A">
        <w:rPr>
          <w:noProof/>
        </w:rPr>
        <w:t>ionach najbardziej oddalonych.</w:t>
      </w:r>
    </w:p>
    <w:p w14:paraId="735A576E" w14:textId="26686297" w:rsidR="002F311F" w:rsidRPr="00201A9A" w:rsidRDefault="007775A4" w:rsidP="005A28DE">
      <w:pPr>
        <w:pStyle w:val="Text1"/>
        <w:rPr>
          <w:noProof/>
        </w:rPr>
      </w:pPr>
      <w:r w:rsidRPr="00201A9A">
        <w:rPr>
          <w:noProof/>
        </w:rPr>
        <w:t>Przy ustalaniu wykazów</w:t>
      </w:r>
      <w:r w:rsidR="00201A9A" w:rsidRPr="00201A9A">
        <w:rPr>
          <w:noProof/>
        </w:rPr>
        <w:t xml:space="preserve"> i ilo</w:t>
      </w:r>
      <w:r w:rsidRPr="00201A9A">
        <w:rPr>
          <w:noProof/>
        </w:rPr>
        <w:t>ści,</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państwa członkowskie uwzględniają wszystkie istotne czynniki,</w:t>
      </w:r>
      <w:r w:rsidR="00201A9A" w:rsidRPr="00201A9A">
        <w:rPr>
          <w:noProof/>
        </w:rPr>
        <w:t xml:space="preserve"> w szc</w:t>
      </w:r>
      <w:r w:rsidRPr="00201A9A">
        <w:rPr>
          <w:noProof/>
        </w:rPr>
        <w:t>zególności dodatkowe koszty ponoszone przez operatorów</w:t>
      </w:r>
      <w:r w:rsidR="00201A9A" w:rsidRPr="00201A9A">
        <w:rPr>
          <w:noProof/>
        </w:rPr>
        <w:t xml:space="preserve"> w reg</w:t>
      </w:r>
      <w:r w:rsidRPr="00201A9A">
        <w:rPr>
          <w:noProof/>
        </w:rPr>
        <w:t>ionach najbardziej oddalonych oraz konieczność zapewnienia, aby rekompensata była zgodna</w:t>
      </w:r>
      <w:r w:rsidR="00201A9A" w:rsidRPr="00201A9A">
        <w:rPr>
          <w:noProof/>
        </w:rPr>
        <w:t xml:space="preserve"> z prz</w:t>
      </w:r>
      <w:r w:rsidRPr="00201A9A">
        <w:rPr>
          <w:noProof/>
        </w:rPr>
        <w:t>episami wspólnej polityki rolnej</w:t>
      </w:r>
      <w:r w:rsidR="00201A9A" w:rsidRPr="00201A9A">
        <w:rPr>
          <w:noProof/>
        </w:rPr>
        <w:t xml:space="preserve"> i wsp</w:t>
      </w:r>
      <w:r w:rsidRPr="00201A9A">
        <w:rPr>
          <w:noProof/>
        </w:rPr>
        <w:t>ólnej polityki rybołówstwa.</w:t>
      </w:r>
      <w:r w:rsidR="00201A9A" w:rsidRPr="00201A9A">
        <w:rPr>
          <w:noProof/>
        </w:rPr>
        <w:t xml:space="preserve"> </w:t>
      </w:r>
    </w:p>
    <w:p w14:paraId="6BD8FC43" w14:textId="110E11AF" w:rsidR="002F311F" w:rsidRPr="00201A9A" w:rsidRDefault="002F311F" w:rsidP="003E2902">
      <w:pPr>
        <w:pStyle w:val="NumPar10000000"/>
        <w:numPr>
          <w:ilvl w:val="0"/>
          <w:numId w:val="41"/>
        </w:numPr>
        <w:rPr>
          <w:noProof/>
        </w:rPr>
      </w:pPr>
      <w:r w:rsidRPr="00201A9A">
        <w:rPr>
          <w:noProof/>
        </w:rPr>
        <w:t>Państwa członkowskie zapewniają sprawiedliwy podział płatności. Państwa członkowskie mogą ograniczyć kwotę wsparcia, które ma zostać przyznane beneficjentowi</w:t>
      </w:r>
      <w:r w:rsidR="00201A9A" w:rsidRPr="00201A9A">
        <w:rPr>
          <w:noProof/>
        </w:rPr>
        <w:t xml:space="preserve"> w dan</w:t>
      </w:r>
      <w:r w:rsidRPr="00201A9A">
        <w:rPr>
          <w:noProof/>
        </w:rPr>
        <w:t>ym roku kalendarzowym, lub skorzystać</w:t>
      </w:r>
      <w:r w:rsidR="00201A9A" w:rsidRPr="00201A9A">
        <w:rPr>
          <w:noProof/>
        </w:rPr>
        <w:t xml:space="preserve"> z pła</w:t>
      </w:r>
      <w:r w:rsidRPr="00201A9A">
        <w:rPr>
          <w:noProof/>
        </w:rPr>
        <w:t>tności degresywnych.</w:t>
      </w:r>
    </w:p>
    <w:p w14:paraId="7E52865B" w14:textId="1FCDED1C" w:rsidR="00AF7282" w:rsidRPr="00201A9A" w:rsidRDefault="000128C8" w:rsidP="003E2902">
      <w:pPr>
        <w:pStyle w:val="NumPar10000000"/>
        <w:numPr>
          <w:ilvl w:val="0"/>
          <w:numId w:val="41"/>
        </w:numPr>
        <w:rPr>
          <w:noProof/>
        </w:rPr>
      </w:pPr>
      <w:r w:rsidRPr="00201A9A">
        <w:rPr>
          <w:noProof/>
        </w:rPr>
        <w:t>Rekompensaty nie przyznaje się dla produktów rybołówstwa</w:t>
      </w:r>
      <w:r w:rsidR="00201A9A" w:rsidRPr="00201A9A">
        <w:rPr>
          <w:noProof/>
        </w:rPr>
        <w:t xml:space="preserve"> i akw</w:t>
      </w:r>
      <w:r w:rsidRPr="00201A9A">
        <w:rPr>
          <w:noProof/>
        </w:rPr>
        <w:t>akultury:</w:t>
      </w:r>
    </w:p>
    <w:p w14:paraId="3EF9402D" w14:textId="4653FB0C" w:rsidR="00FD2200" w:rsidRPr="00201A9A" w:rsidRDefault="00201A9A" w:rsidP="00201A9A">
      <w:pPr>
        <w:pStyle w:val="Point1"/>
        <w:rPr>
          <w:noProof/>
        </w:rPr>
      </w:pPr>
      <w:r w:rsidRPr="00201A9A">
        <w:rPr>
          <w:noProof/>
        </w:rPr>
        <w:t>a)</w:t>
      </w:r>
      <w:r w:rsidRPr="00201A9A">
        <w:rPr>
          <w:noProof/>
        </w:rPr>
        <w:tab/>
      </w:r>
      <w:r w:rsidR="001A665E" w:rsidRPr="00201A9A">
        <w:rPr>
          <w:noProof/>
        </w:rPr>
        <w:t>złowionych przez statki państw trzecich,</w:t>
      </w:r>
      <w:r w:rsidRPr="00201A9A">
        <w:rPr>
          <w:noProof/>
        </w:rPr>
        <w:t xml:space="preserve"> z wyj</w:t>
      </w:r>
      <w:r w:rsidR="001A665E" w:rsidRPr="00201A9A">
        <w:rPr>
          <w:noProof/>
        </w:rPr>
        <w:t>ątkiem statków rybackich pływających pod banderą Wenezueli</w:t>
      </w:r>
      <w:r w:rsidRPr="00201A9A">
        <w:rPr>
          <w:noProof/>
        </w:rPr>
        <w:t xml:space="preserve"> i pro</w:t>
      </w:r>
      <w:r w:rsidR="001A665E" w:rsidRPr="00201A9A">
        <w:rPr>
          <w:noProof/>
        </w:rPr>
        <w:t>wadzących działalność na wodach Unii, zgodnie</w:t>
      </w:r>
      <w:r w:rsidRPr="00201A9A">
        <w:rPr>
          <w:noProof/>
        </w:rPr>
        <w:t xml:space="preserve"> z dec</w:t>
      </w:r>
      <w:r w:rsidR="001A665E" w:rsidRPr="00201A9A">
        <w:rPr>
          <w:noProof/>
        </w:rPr>
        <w:t>yzją Rady (UE) 2015/1565 (37);</w:t>
      </w:r>
    </w:p>
    <w:p w14:paraId="7B1FE692" w14:textId="78B15794" w:rsidR="00063923" w:rsidRPr="00201A9A" w:rsidRDefault="00201A9A" w:rsidP="00201A9A">
      <w:pPr>
        <w:pStyle w:val="Point1"/>
        <w:rPr>
          <w:noProof/>
        </w:rPr>
      </w:pPr>
      <w:r w:rsidRPr="00201A9A">
        <w:rPr>
          <w:noProof/>
        </w:rPr>
        <w:t>b)</w:t>
      </w:r>
      <w:r w:rsidRPr="00201A9A">
        <w:rPr>
          <w:noProof/>
        </w:rPr>
        <w:tab/>
      </w:r>
      <w:r w:rsidR="003F505C" w:rsidRPr="00201A9A">
        <w:rPr>
          <w:noProof/>
        </w:rPr>
        <w:t>złowionych przez unijne statki rybackie, które nie są zarejestrowane</w:t>
      </w:r>
      <w:r w:rsidRPr="00201A9A">
        <w:rPr>
          <w:noProof/>
        </w:rPr>
        <w:t xml:space="preserve"> w jed</w:t>
      </w:r>
      <w:r w:rsidR="003F505C" w:rsidRPr="00201A9A">
        <w:rPr>
          <w:noProof/>
        </w:rPr>
        <w:t>nym</w:t>
      </w:r>
      <w:r w:rsidRPr="00201A9A">
        <w:rPr>
          <w:noProof/>
        </w:rPr>
        <w:t xml:space="preserve"> z por</w:t>
      </w:r>
      <w:r w:rsidR="003F505C" w:rsidRPr="00201A9A">
        <w:rPr>
          <w:noProof/>
        </w:rPr>
        <w:t>tów znajdujących się</w:t>
      </w:r>
      <w:r w:rsidRPr="00201A9A">
        <w:rPr>
          <w:noProof/>
        </w:rPr>
        <w:t xml:space="preserve"> w reg</w:t>
      </w:r>
      <w:r w:rsidR="003F505C" w:rsidRPr="00201A9A">
        <w:rPr>
          <w:noProof/>
        </w:rPr>
        <w:t>ionach najbardziej oddalonych;</w:t>
      </w:r>
    </w:p>
    <w:p w14:paraId="11DD6248" w14:textId="5A0EBA22" w:rsidR="003F505C" w:rsidRPr="00201A9A" w:rsidRDefault="00201A9A" w:rsidP="00201A9A">
      <w:pPr>
        <w:pStyle w:val="Point1"/>
        <w:rPr>
          <w:noProof/>
        </w:rPr>
      </w:pPr>
      <w:r w:rsidRPr="00201A9A">
        <w:rPr>
          <w:noProof/>
        </w:rPr>
        <w:t>c)</w:t>
      </w:r>
      <w:r w:rsidRPr="00201A9A">
        <w:rPr>
          <w:noProof/>
        </w:rPr>
        <w:tab/>
      </w:r>
      <w:r w:rsidR="003E72F3" w:rsidRPr="00201A9A">
        <w:rPr>
          <w:noProof/>
        </w:rPr>
        <w:t>przywiezionych</w:t>
      </w:r>
      <w:r w:rsidRPr="00201A9A">
        <w:rPr>
          <w:noProof/>
        </w:rPr>
        <w:t xml:space="preserve"> z pań</w:t>
      </w:r>
      <w:r w:rsidR="003E72F3" w:rsidRPr="00201A9A">
        <w:rPr>
          <w:noProof/>
        </w:rPr>
        <w:t>stw trzecich.</w:t>
      </w:r>
    </w:p>
    <w:p w14:paraId="751025B7" w14:textId="5941C5B8" w:rsidR="007214B5" w:rsidRPr="00201A9A" w:rsidRDefault="00625A2F" w:rsidP="003E2902">
      <w:pPr>
        <w:pStyle w:val="NumPar10000000"/>
        <w:numPr>
          <w:ilvl w:val="0"/>
          <w:numId w:val="41"/>
        </w:numPr>
        <w:rPr>
          <w:noProof/>
        </w:rPr>
      </w:pPr>
      <w:r w:rsidRPr="00201A9A">
        <w:rPr>
          <w:noProof/>
        </w:rPr>
        <w:t>Ust. 5 lit.</w:t>
      </w:r>
      <w:r w:rsidR="00201A9A" w:rsidRPr="00201A9A">
        <w:rPr>
          <w:noProof/>
        </w:rPr>
        <w:t> </w:t>
      </w:r>
      <w:r w:rsidRPr="00201A9A">
        <w:rPr>
          <w:noProof/>
        </w:rPr>
        <w:t>b) nie ma zastosowania, jeżeli istniejący potencjał przemysłu przetwórczego</w:t>
      </w:r>
      <w:r w:rsidR="00201A9A" w:rsidRPr="00201A9A">
        <w:rPr>
          <w:noProof/>
        </w:rPr>
        <w:t xml:space="preserve"> w dan</w:t>
      </w:r>
      <w:r w:rsidRPr="00201A9A">
        <w:rPr>
          <w:noProof/>
        </w:rPr>
        <w:t>ym regionie najbardziej oddalonym jest większy niż ilość dostarczonego surowca.</w:t>
      </w:r>
    </w:p>
    <w:p w14:paraId="0783DB37" w14:textId="46FA8E20" w:rsidR="007775A4" w:rsidRPr="00201A9A" w:rsidRDefault="007775A4" w:rsidP="003E2902">
      <w:pPr>
        <w:pStyle w:val="NumPar10000000"/>
        <w:numPr>
          <w:ilvl w:val="0"/>
          <w:numId w:val="41"/>
        </w:numPr>
        <w:rPr>
          <w:noProof/>
        </w:rPr>
      </w:pPr>
      <w:r w:rsidRPr="00201A9A">
        <w:rPr>
          <w:noProof/>
        </w:rPr>
        <w:t>Komisja jest uprawniona do przyjmowania zgodnie</w:t>
      </w:r>
      <w:r w:rsidR="00201A9A" w:rsidRPr="00201A9A">
        <w:rPr>
          <w:noProof/>
        </w:rPr>
        <w:t xml:space="preserve"> z art</w:t>
      </w:r>
      <w:r w:rsidRPr="00201A9A">
        <w:rPr>
          <w:noProof/>
        </w:rPr>
        <w:t>.</w:t>
      </w:r>
      <w:r w:rsidR="00201A9A" w:rsidRPr="00201A9A">
        <w:rPr>
          <w:noProof/>
        </w:rPr>
        <w:t> </w:t>
      </w:r>
      <w:r w:rsidRPr="00201A9A">
        <w:rPr>
          <w:noProof/>
        </w:rPr>
        <w:t>86</w:t>
      </w:r>
      <w:r w:rsidR="00201A9A" w:rsidRPr="00201A9A">
        <w:rPr>
          <w:noProof/>
        </w:rPr>
        <w:t xml:space="preserve"> i 8</w:t>
      </w:r>
      <w:r w:rsidRPr="00201A9A">
        <w:rPr>
          <w:noProof/>
        </w:rPr>
        <w:t>7 aktów delegowanych uzupełniających niniejsze rozporządzenie poprzez ustanowienie kryteriów obliczania kosztów dodatkowych wynikających ze szczególnych cech charakterystycznych odnośnych regionów.</w:t>
      </w:r>
    </w:p>
    <w:p w14:paraId="687D78A9" w14:textId="77777777" w:rsidR="002714BB" w:rsidRPr="00201A9A" w:rsidRDefault="002714BB" w:rsidP="002714BB">
      <w:pPr>
        <w:pStyle w:val="SectionTitle"/>
        <w:rPr>
          <w:noProof/>
        </w:rPr>
      </w:pPr>
      <w:r w:rsidRPr="00201A9A">
        <w:rPr>
          <w:noProof/>
        </w:rPr>
        <w:t xml:space="preserve">TYTUŁ VII </w:t>
      </w:r>
      <w:r w:rsidRPr="00201A9A">
        <w:rPr>
          <w:noProof/>
        </w:rPr>
        <w:br/>
        <w:t>ZARZĄDZANIE PLANEM</w:t>
      </w:r>
    </w:p>
    <w:p w14:paraId="308AE7A0" w14:textId="201819B8" w:rsidR="0049006B" w:rsidRPr="00201A9A" w:rsidRDefault="0049006B" w:rsidP="0049006B">
      <w:pPr>
        <w:pStyle w:val="ChapterTitle0"/>
        <w:rPr>
          <w:noProof/>
        </w:rPr>
      </w:pPr>
      <w:r w:rsidRPr="00201A9A">
        <w:rPr>
          <w:noProof/>
        </w:rPr>
        <w:t xml:space="preserve">ROZDZIAŁ 1 </w:t>
      </w:r>
      <w:r w:rsidRPr="00201A9A">
        <w:rPr>
          <w:noProof/>
        </w:rPr>
        <w:br/>
        <w:t>Organy odpowiedzialne za plan</w:t>
      </w:r>
      <w:r w:rsidR="00201A9A" w:rsidRPr="00201A9A">
        <w:rPr>
          <w:noProof/>
        </w:rPr>
        <w:t xml:space="preserve"> i ich</w:t>
      </w:r>
      <w:r w:rsidRPr="00201A9A">
        <w:rPr>
          <w:noProof/>
        </w:rPr>
        <w:t xml:space="preserve"> funkcje</w:t>
      </w:r>
    </w:p>
    <w:p w14:paraId="5BE4C51B" w14:textId="77777777" w:rsidR="006D4DFA" w:rsidRPr="00201A9A" w:rsidRDefault="006D4DFA" w:rsidP="006D4DFA">
      <w:pPr>
        <w:pStyle w:val="Titrearticle"/>
        <w:rPr>
          <w:noProof/>
        </w:rPr>
      </w:pPr>
      <w:r w:rsidRPr="00201A9A">
        <w:rPr>
          <w:noProof/>
        </w:rPr>
        <w:t xml:space="preserve">Artykuł 49 </w:t>
      </w:r>
      <w:r w:rsidRPr="00201A9A">
        <w:rPr>
          <w:noProof/>
        </w:rPr>
        <w:br/>
      </w:r>
      <w:r w:rsidRPr="00201A9A">
        <w:rPr>
          <w:b/>
          <w:noProof/>
        </w:rPr>
        <w:t>Organy odpowiedzialne za plan</w:t>
      </w:r>
    </w:p>
    <w:p w14:paraId="726A90CB" w14:textId="1667CC35" w:rsidR="0049006B" w:rsidRPr="00201A9A" w:rsidRDefault="0049006B" w:rsidP="003E2902">
      <w:pPr>
        <w:pStyle w:val="NumPar10000000"/>
        <w:numPr>
          <w:ilvl w:val="0"/>
          <w:numId w:val="43"/>
        </w:numPr>
        <w:rPr>
          <w:noProof/>
        </w:rPr>
      </w:pPr>
      <w:r w:rsidRPr="00201A9A">
        <w:rPr>
          <w:noProof/>
        </w:rPr>
        <w:t>Do celów art.</w:t>
      </w:r>
      <w:r w:rsidR="00201A9A" w:rsidRPr="00201A9A">
        <w:rPr>
          <w:noProof/>
        </w:rPr>
        <w:t> </w:t>
      </w:r>
      <w:r w:rsidRPr="00201A9A">
        <w:rPr>
          <w:noProof/>
        </w:rPr>
        <w:t>63 ust.</w:t>
      </w:r>
      <w:r w:rsidR="00201A9A" w:rsidRPr="00201A9A">
        <w:rPr>
          <w:noProof/>
        </w:rPr>
        <w:t> </w:t>
      </w:r>
      <w:r w:rsidRPr="00201A9A">
        <w:rPr>
          <w:noProof/>
        </w:rPr>
        <w:t>3 rozporządzenia (UE, Euratom) 2024/2509 każde państwo członkowskie wyznacza – na potrzeby planu – jedną lub kilka instytucji zarządzających, jedną lub kilka agencji płatniczych oraz jedną lub kilka instytucji audytowych. Wyznaczone organy muszą spełniać odpowiednie kluczowe wymogi określone</w:t>
      </w:r>
      <w:r w:rsidR="00201A9A" w:rsidRPr="00201A9A">
        <w:rPr>
          <w:noProof/>
        </w:rPr>
        <w:t xml:space="preserve"> w zał</w:t>
      </w:r>
      <w:r w:rsidRPr="00201A9A">
        <w:rPr>
          <w:noProof/>
        </w:rPr>
        <w:t>ączniku IV do niniejszego rozporządzenia. Wszystkie organy wyznaczone do celów niniejszego artykułu muszą mieć możliwość wymiany informacji</w:t>
      </w:r>
      <w:r w:rsidR="00201A9A" w:rsidRPr="00201A9A">
        <w:rPr>
          <w:noProof/>
        </w:rPr>
        <w:t xml:space="preserve"> z Kom</w:t>
      </w:r>
      <w:r w:rsidRPr="00201A9A">
        <w:rPr>
          <w:noProof/>
        </w:rPr>
        <w:t>isją.</w:t>
      </w:r>
    </w:p>
    <w:p w14:paraId="7D41C2D7" w14:textId="78A1AC69" w:rsidR="0049006B" w:rsidRPr="00201A9A" w:rsidRDefault="006B6E38" w:rsidP="003E2902">
      <w:pPr>
        <w:pStyle w:val="NumPar10000000"/>
        <w:numPr>
          <w:ilvl w:val="0"/>
          <w:numId w:val="41"/>
        </w:numPr>
        <w:rPr>
          <w:noProof/>
        </w:rPr>
      </w:pPr>
      <w:r w:rsidRPr="00201A9A">
        <w:rPr>
          <w:noProof/>
        </w:rPr>
        <w:t>W przypadku gdy państwo członkowskie powierza realizację planu organom odpowiedzialnym za wdrażanie polityki spójności, WPR lub Europejskiego Funduszu Morskiego, Rybackiego</w:t>
      </w:r>
      <w:r w:rsidR="00201A9A" w:rsidRPr="00201A9A">
        <w:rPr>
          <w:noProof/>
        </w:rPr>
        <w:t xml:space="preserve"> i Akw</w:t>
      </w:r>
      <w:r w:rsidRPr="00201A9A">
        <w:rPr>
          <w:noProof/>
        </w:rPr>
        <w:t>akultury</w:t>
      </w:r>
      <w:r w:rsidR="00201A9A" w:rsidRPr="00201A9A">
        <w:rPr>
          <w:noProof/>
        </w:rPr>
        <w:t xml:space="preserve"> w okr</w:t>
      </w:r>
      <w:r w:rsidRPr="00201A9A">
        <w:rPr>
          <w:noProof/>
        </w:rPr>
        <w:t>esie programowania 2021–2027 i na podstawie wszystkich dostępnych wyników audytów Komisja nie zakwestionowała skutecznego funkcjonowania tych organów, uznaje się, że organy te spełniają kluczowe wymogi.</w:t>
      </w:r>
      <w:r w:rsidR="00201A9A" w:rsidRPr="00201A9A">
        <w:rPr>
          <w:noProof/>
        </w:rPr>
        <w:t xml:space="preserve"> </w:t>
      </w:r>
    </w:p>
    <w:p w14:paraId="5EDC9F20" w14:textId="0891E16A" w:rsidR="0049006B" w:rsidRPr="00201A9A" w:rsidRDefault="0049006B" w:rsidP="003E2902">
      <w:pPr>
        <w:pStyle w:val="NumPar10000000"/>
        <w:numPr>
          <w:ilvl w:val="0"/>
          <w:numId w:val="41"/>
        </w:numPr>
        <w:rPr>
          <w:rFonts w:eastAsia="Aptos"/>
          <w:noProof/>
        </w:rPr>
      </w:pPr>
      <w:r w:rsidRPr="00201A9A">
        <w:rPr>
          <w:noProof/>
        </w:rPr>
        <w:t>W przypadku gdy państwo członkowskie wyznacza więcej niż jedną instytucję zarządzającą, ustanawia ono organ koordynujący. Instytucji zarządzającej można powierzyć wykonywanie niektórych funkcji organu koordynującego. Uzgodnienia pomiędzy organem koordynującym</w:t>
      </w:r>
      <w:r w:rsidR="00201A9A" w:rsidRPr="00201A9A">
        <w:rPr>
          <w:noProof/>
        </w:rPr>
        <w:t xml:space="preserve"> a ins</w:t>
      </w:r>
      <w:r w:rsidRPr="00201A9A">
        <w:rPr>
          <w:noProof/>
        </w:rPr>
        <w:t>tytucją zarządzającą dokumentuje się</w:t>
      </w:r>
      <w:r w:rsidR="00201A9A" w:rsidRPr="00201A9A">
        <w:rPr>
          <w:noProof/>
        </w:rPr>
        <w:t xml:space="preserve"> w for</w:t>
      </w:r>
      <w:r w:rsidRPr="00201A9A">
        <w:rPr>
          <w:noProof/>
        </w:rPr>
        <w:t xml:space="preserve">mie pisemnej. </w:t>
      </w:r>
    </w:p>
    <w:p w14:paraId="50D1738D" w14:textId="55D78655" w:rsidR="0049006B" w:rsidRPr="00201A9A" w:rsidRDefault="0049006B" w:rsidP="003E2902">
      <w:pPr>
        <w:pStyle w:val="NumPar10000000"/>
        <w:numPr>
          <w:ilvl w:val="0"/>
          <w:numId w:val="41"/>
        </w:numPr>
        <w:rPr>
          <w:noProof/>
        </w:rPr>
      </w:pPr>
      <w:r w:rsidRPr="00201A9A">
        <w:rPr>
          <w:noProof/>
        </w:rPr>
        <w:t>Instytucja zarządzająca może wyznaczyć co najmniej jedną instytucję pośredniczącą do wykonywania niektórych zadań na jej odpowiedzialność. Uzgodnienia pomiędzy instytucją zarządzającą</w:t>
      </w:r>
      <w:r w:rsidR="00201A9A" w:rsidRPr="00201A9A">
        <w:rPr>
          <w:noProof/>
        </w:rPr>
        <w:t xml:space="preserve"> a ins</w:t>
      </w:r>
      <w:r w:rsidRPr="00201A9A">
        <w:rPr>
          <w:noProof/>
        </w:rPr>
        <w:t>tytucjami pośredniczącymi dokumentuje się</w:t>
      </w:r>
      <w:r w:rsidR="00201A9A" w:rsidRPr="00201A9A">
        <w:rPr>
          <w:noProof/>
        </w:rPr>
        <w:t xml:space="preserve"> w for</w:t>
      </w:r>
      <w:r w:rsidRPr="00201A9A">
        <w:rPr>
          <w:noProof/>
        </w:rPr>
        <w:t>mie pisemnej. Zadań przekazanych instytucjom pośredniczącym nie powierza się dalej innym organom.</w:t>
      </w:r>
    </w:p>
    <w:p w14:paraId="0E4ADBC4" w14:textId="3E0B9C48" w:rsidR="0049006B" w:rsidRPr="00201A9A" w:rsidRDefault="0049006B" w:rsidP="003E2902">
      <w:pPr>
        <w:pStyle w:val="NumPar10000000"/>
        <w:numPr>
          <w:ilvl w:val="0"/>
          <w:numId w:val="41"/>
        </w:numPr>
        <w:rPr>
          <w:noProof/>
        </w:rPr>
      </w:pPr>
      <w:r w:rsidRPr="00201A9A">
        <w:rPr>
          <w:noProof/>
        </w:rPr>
        <w:t>Instytucja audytowa jest organem publicznym, funkcjonalnie niezależnym od podmiotów poddanych audytowi. Prace audytowe mogą być prowadzone przez podmiot publiczny lub prywatny inny niż instytucja audytowa na jej odpowiedzialność</w:t>
      </w:r>
      <w:r w:rsidR="00201A9A" w:rsidRPr="00201A9A">
        <w:rPr>
          <w:noProof/>
        </w:rPr>
        <w:t>. W prz</w:t>
      </w:r>
      <w:r w:rsidRPr="00201A9A">
        <w:rPr>
          <w:noProof/>
        </w:rPr>
        <w:t>ypadku gdy państwo członkowskie wyznacza więcej niż jedną instytucję audytową, ustanawia ono mechanizmy koordynacji służące przygotowaniu rocznej opinii audytowej</w:t>
      </w:r>
      <w:r w:rsidR="00201A9A" w:rsidRPr="00201A9A">
        <w:rPr>
          <w:noProof/>
        </w:rPr>
        <w:t xml:space="preserve"> i pod</w:t>
      </w:r>
      <w:r w:rsidRPr="00201A9A">
        <w:rPr>
          <w:noProof/>
        </w:rPr>
        <w:t>sumowania audytów,</w:t>
      </w:r>
      <w:r w:rsidR="00201A9A" w:rsidRPr="00201A9A">
        <w:rPr>
          <w:noProof/>
        </w:rPr>
        <w:t xml:space="preserve"> o któ</w:t>
      </w:r>
      <w:r w:rsidRPr="00201A9A">
        <w:rPr>
          <w:noProof/>
        </w:rPr>
        <w:t>rych to mechanizmach jest mowa</w:t>
      </w:r>
      <w:r w:rsidR="00201A9A" w:rsidRPr="00201A9A">
        <w:rPr>
          <w:noProof/>
        </w:rPr>
        <w:t xml:space="preserve"> w art</w:t>
      </w:r>
      <w:r w:rsidRPr="00201A9A">
        <w:rPr>
          <w:noProof/>
        </w:rPr>
        <w:t>.</w:t>
      </w:r>
      <w:r w:rsidR="00201A9A" w:rsidRPr="00201A9A">
        <w:rPr>
          <w:noProof/>
        </w:rPr>
        <w:t> </w:t>
      </w:r>
      <w:r w:rsidRPr="00201A9A">
        <w:rPr>
          <w:noProof/>
        </w:rPr>
        <w:t>53 [Funkcje instytucji audytowej].</w:t>
      </w:r>
    </w:p>
    <w:p w14:paraId="68DDA520" w14:textId="30B0A539" w:rsidR="0049006B" w:rsidRPr="00201A9A" w:rsidRDefault="0049006B" w:rsidP="003E2902">
      <w:pPr>
        <w:pStyle w:val="NumPar10000000"/>
        <w:numPr>
          <w:ilvl w:val="0"/>
          <w:numId w:val="41"/>
        </w:numPr>
        <w:rPr>
          <w:noProof/>
        </w:rPr>
      </w:pPr>
      <w:r w:rsidRPr="00201A9A">
        <w:rPr>
          <w:noProof/>
        </w:rPr>
        <w:t>Państwa członkowskie zapewniają, aby przestrzegana była zasada rozdziału funkcji pomiędzy organami wyznaczonymi na potrzeby planu</w:t>
      </w:r>
      <w:r w:rsidR="00201A9A" w:rsidRPr="00201A9A">
        <w:rPr>
          <w:noProof/>
        </w:rPr>
        <w:t xml:space="preserve"> i w obr</w:t>
      </w:r>
      <w:r w:rsidRPr="00201A9A">
        <w:rPr>
          <w:noProof/>
        </w:rPr>
        <w:t>ębie tych organów. </w:t>
      </w:r>
    </w:p>
    <w:p w14:paraId="1A149BF0" w14:textId="123C0972" w:rsidR="0049006B" w:rsidRPr="00201A9A" w:rsidRDefault="0049006B" w:rsidP="003E2902">
      <w:pPr>
        <w:pStyle w:val="NumPar10000000"/>
        <w:numPr>
          <w:ilvl w:val="0"/>
          <w:numId w:val="41"/>
        </w:numPr>
        <w:rPr>
          <w:noProof/>
        </w:rPr>
      </w:pPr>
      <w:r w:rsidRPr="00201A9A">
        <w:rPr>
          <w:noProof/>
        </w:rPr>
        <w:t>Państwa członkowskie akredytują agencje płatnicze odpowiedzialne za zarządzanie środkami,</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35 ust.</w:t>
      </w:r>
      <w:r w:rsidR="00201A9A" w:rsidRPr="00201A9A">
        <w:rPr>
          <w:noProof/>
        </w:rPr>
        <w:t> </w:t>
      </w:r>
      <w:r w:rsidRPr="00201A9A">
        <w:rPr>
          <w:noProof/>
        </w:rPr>
        <w:t>1,</w:t>
      </w:r>
      <w:r w:rsidR="00201A9A" w:rsidRPr="00201A9A">
        <w:rPr>
          <w:noProof/>
        </w:rPr>
        <w:t xml:space="preserve"> i dzi</w:t>
      </w:r>
      <w:r w:rsidRPr="00201A9A">
        <w:rPr>
          <w:noProof/>
        </w:rPr>
        <w:t>ałaniami Unii,</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lit.</w:t>
      </w:r>
      <w:r w:rsidR="00201A9A" w:rsidRPr="00201A9A">
        <w:rPr>
          <w:noProof/>
        </w:rPr>
        <w:t> </w:t>
      </w:r>
      <w:r w:rsidRPr="00201A9A">
        <w:rPr>
          <w:noProof/>
        </w:rPr>
        <w:t>h) i j) załącznika XV do niniejszego rozporządzenia [Działania Unii], wdrażanymi</w:t>
      </w:r>
      <w:r w:rsidR="00201A9A" w:rsidRPr="00201A9A">
        <w:rPr>
          <w:noProof/>
        </w:rPr>
        <w:t xml:space="preserve"> w ram</w:t>
      </w:r>
      <w:r w:rsidRPr="00201A9A">
        <w:rPr>
          <w:noProof/>
        </w:rPr>
        <w:t>ach zarządzania dzielonego, oraz za kontrolę tych środków</w:t>
      </w:r>
      <w:r w:rsidR="00201A9A" w:rsidRPr="00201A9A">
        <w:rPr>
          <w:noProof/>
        </w:rPr>
        <w:t xml:space="preserve"> i dzi</w:t>
      </w:r>
      <w:r w:rsidRPr="00201A9A">
        <w:rPr>
          <w:noProof/>
        </w:rPr>
        <w:t>ałań oraz mogą powierzyć ich funkcje,</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52 [funkcje agencji płatniczej], instytucji zarządzającej lub innemu podmiotowi.</w:t>
      </w:r>
    </w:p>
    <w:p w14:paraId="23AEFB77" w14:textId="76D688FC" w:rsidR="0049006B" w:rsidRPr="00201A9A" w:rsidRDefault="0049006B" w:rsidP="003E2902">
      <w:pPr>
        <w:pStyle w:val="NumPar10000000"/>
        <w:numPr>
          <w:ilvl w:val="0"/>
          <w:numId w:val="41"/>
        </w:numPr>
        <w:rPr>
          <w:noProof/>
        </w:rPr>
      </w:pPr>
      <w:r w:rsidRPr="00201A9A">
        <w:rPr>
          <w:noProof/>
        </w:rPr>
        <w:t>Instytucje zarządzające</w:t>
      </w:r>
      <w:r w:rsidR="00201A9A" w:rsidRPr="00201A9A">
        <w:rPr>
          <w:noProof/>
        </w:rPr>
        <w:t xml:space="preserve"> i aud</w:t>
      </w:r>
      <w:r w:rsidRPr="00201A9A">
        <w:rPr>
          <w:noProof/>
        </w:rPr>
        <w:t>ytowe mogą być odpowiedzialne za jeden lub kilka rozdziałów planu. Dysponują one odpowiednimi zasobami do wykonywania swoich zadań. </w:t>
      </w:r>
    </w:p>
    <w:p w14:paraId="0AF1BD54" w14:textId="0CDA0CC9" w:rsidR="0049006B" w:rsidRPr="00201A9A" w:rsidRDefault="0049006B" w:rsidP="003E2902">
      <w:pPr>
        <w:pStyle w:val="NumPar10000000"/>
        <w:numPr>
          <w:ilvl w:val="0"/>
          <w:numId w:val="41"/>
        </w:numPr>
        <w:rPr>
          <w:noProof/>
        </w:rPr>
      </w:pPr>
      <w:r w:rsidRPr="00201A9A">
        <w:rPr>
          <w:noProof/>
        </w:rPr>
        <w:t>Wykonując swoje funkcje, organy odpowiedzialne za plan mogą korzystać</w:t>
      </w:r>
      <w:r w:rsidR="00201A9A" w:rsidRPr="00201A9A">
        <w:rPr>
          <w:noProof/>
        </w:rPr>
        <w:t xml:space="preserve"> z jed</w:t>
      </w:r>
      <w:r w:rsidRPr="00201A9A">
        <w:rPr>
          <w:noProof/>
        </w:rPr>
        <w:t>nolitego zintegrowanego</w:t>
      </w:r>
      <w:r w:rsidR="00201A9A" w:rsidRPr="00201A9A">
        <w:rPr>
          <w:noProof/>
        </w:rPr>
        <w:t xml:space="preserve"> i int</w:t>
      </w:r>
      <w:r w:rsidRPr="00201A9A">
        <w:rPr>
          <w:noProof/>
        </w:rPr>
        <w:t>eroperacyjnego systemu informowania</w:t>
      </w:r>
      <w:r w:rsidR="00201A9A" w:rsidRPr="00201A9A">
        <w:rPr>
          <w:noProof/>
        </w:rPr>
        <w:t xml:space="preserve"> i mon</w:t>
      </w:r>
      <w:r w:rsidRPr="00201A9A">
        <w:rPr>
          <w:noProof/>
        </w:rPr>
        <w:t>itorowania, obejmującego jednolite narzędzie do eksploracji danych</w:t>
      </w:r>
      <w:r w:rsidR="00201A9A" w:rsidRPr="00201A9A">
        <w:rPr>
          <w:noProof/>
        </w:rPr>
        <w:t xml:space="preserve"> i pun</w:t>
      </w:r>
      <w:r w:rsidRPr="00201A9A">
        <w:rPr>
          <w:noProof/>
        </w:rPr>
        <w:t>ktowej oceny ryzyka,</w:t>
      </w:r>
      <w:r w:rsidR="00201A9A" w:rsidRPr="00201A9A">
        <w:rPr>
          <w:noProof/>
        </w:rPr>
        <w:t xml:space="preserve"> o któ</w:t>
      </w:r>
      <w:r w:rsidRPr="00201A9A">
        <w:rPr>
          <w:noProof/>
        </w:rPr>
        <w:t>rym mowa</w:t>
      </w:r>
      <w:r w:rsidR="00201A9A" w:rsidRPr="00201A9A">
        <w:rPr>
          <w:noProof/>
        </w:rPr>
        <w:t xml:space="preserve"> w art</w:t>
      </w:r>
      <w:r w:rsidRPr="00201A9A">
        <w:rPr>
          <w:noProof/>
        </w:rPr>
        <w:t>.</w:t>
      </w:r>
      <w:r w:rsidR="00201A9A" w:rsidRPr="00201A9A">
        <w:rPr>
          <w:noProof/>
        </w:rPr>
        <w:t> </w:t>
      </w:r>
      <w:r w:rsidRPr="00201A9A">
        <w:rPr>
          <w:noProof/>
        </w:rPr>
        <w:t>36 ust.</w:t>
      </w:r>
      <w:r w:rsidR="00201A9A" w:rsidRPr="00201A9A">
        <w:rPr>
          <w:noProof/>
        </w:rPr>
        <w:t> </w:t>
      </w:r>
      <w:r w:rsidRPr="00201A9A">
        <w:rPr>
          <w:noProof/>
        </w:rPr>
        <w:t>2 lit.</w:t>
      </w:r>
      <w:r w:rsidR="00201A9A" w:rsidRPr="00201A9A">
        <w:rPr>
          <w:noProof/>
        </w:rPr>
        <w:t> </w:t>
      </w:r>
      <w:r w:rsidRPr="00201A9A">
        <w:rPr>
          <w:noProof/>
        </w:rPr>
        <w:t>d) rozporządzenia (UE, Euratom) 2024/2509, na potrzeby uzyskania dostępu do odpowiednich danych</w:t>
      </w:r>
      <w:r w:rsidR="00201A9A" w:rsidRPr="00201A9A">
        <w:rPr>
          <w:noProof/>
        </w:rPr>
        <w:t xml:space="preserve"> i ich</w:t>
      </w:r>
      <w:r w:rsidRPr="00201A9A">
        <w:rPr>
          <w:noProof/>
        </w:rPr>
        <w:t xml:space="preserve"> analizowania</w:t>
      </w:r>
      <w:r w:rsidR="00201A9A" w:rsidRPr="00201A9A">
        <w:rPr>
          <w:noProof/>
        </w:rPr>
        <w:t xml:space="preserve"> z myś</w:t>
      </w:r>
      <w:r w:rsidRPr="00201A9A">
        <w:rPr>
          <w:noProof/>
        </w:rPr>
        <w:t>lą</w:t>
      </w:r>
      <w:r w:rsidR="00201A9A" w:rsidRPr="00201A9A">
        <w:rPr>
          <w:noProof/>
        </w:rPr>
        <w:t xml:space="preserve"> o pow</w:t>
      </w:r>
      <w:r w:rsidRPr="00201A9A">
        <w:rPr>
          <w:noProof/>
        </w:rPr>
        <w:t>szechnym zastosowaniu przez państwa członkowskie.</w:t>
      </w:r>
    </w:p>
    <w:p w14:paraId="76F902B9" w14:textId="34C73ED6" w:rsidR="0049006B" w:rsidRPr="00201A9A" w:rsidRDefault="0049006B" w:rsidP="003E2902">
      <w:pPr>
        <w:pStyle w:val="NumPar10000000"/>
        <w:numPr>
          <w:ilvl w:val="0"/>
          <w:numId w:val="41"/>
        </w:numPr>
        <w:rPr>
          <w:noProof/>
        </w:rPr>
      </w:pPr>
      <w:r w:rsidRPr="00201A9A">
        <w:rPr>
          <w:noProof/>
        </w:rPr>
        <w:t>Raz</w:t>
      </w:r>
      <w:r w:rsidR="00201A9A" w:rsidRPr="00201A9A">
        <w:rPr>
          <w:noProof/>
        </w:rPr>
        <w:t xml:space="preserve"> w rok</w:t>
      </w:r>
      <w:r w:rsidRPr="00201A9A">
        <w:rPr>
          <w:noProof/>
        </w:rPr>
        <w:t>u organizowane są coroczne spotkania</w:t>
      </w:r>
      <w:r w:rsidR="00201A9A" w:rsidRPr="00201A9A">
        <w:rPr>
          <w:noProof/>
        </w:rPr>
        <w:t xml:space="preserve"> w spr</w:t>
      </w:r>
      <w:r w:rsidRPr="00201A9A">
        <w:rPr>
          <w:noProof/>
        </w:rPr>
        <w:t>awie przeglądu</w:t>
      </w:r>
      <w:r w:rsidR="00201A9A" w:rsidRPr="00201A9A">
        <w:rPr>
          <w:noProof/>
        </w:rPr>
        <w:t xml:space="preserve"> z udz</w:t>
      </w:r>
      <w:r w:rsidRPr="00201A9A">
        <w:rPr>
          <w:noProof/>
        </w:rPr>
        <w:t>iałem Komisji</w:t>
      </w:r>
      <w:r w:rsidR="00201A9A" w:rsidRPr="00201A9A">
        <w:rPr>
          <w:noProof/>
        </w:rPr>
        <w:t xml:space="preserve"> i dan</w:t>
      </w:r>
      <w:r w:rsidRPr="00201A9A">
        <w:rPr>
          <w:noProof/>
        </w:rPr>
        <w:t>ego państwa członkowskiego</w:t>
      </w:r>
      <w:r w:rsidR="00201A9A" w:rsidRPr="00201A9A">
        <w:rPr>
          <w:noProof/>
        </w:rPr>
        <w:t xml:space="preserve"> w cel</w:t>
      </w:r>
      <w:r w:rsidRPr="00201A9A">
        <w:rPr>
          <w:noProof/>
        </w:rPr>
        <w:t>u przeanalizowania wykonania planu lub jego rozdziałów</w:t>
      </w:r>
      <w:r w:rsidR="00201A9A" w:rsidRPr="00201A9A">
        <w:rPr>
          <w:noProof/>
        </w:rPr>
        <w:t>. W spo</w:t>
      </w:r>
      <w:r w:rsidRPr="00201A9A">
        <w:rPr>
          <w:noProof/>
        </w:rPr>
        <w:t>tkaniach</w:t>
      </w:r>
      <w:r w:rsidR="00201A9A" w:rsidRPr="00201A9A">
        <w:rPr>
          <w:noProof/>
        </w:rPr>
        <w:t xml:space="preserve"> w spr</w:t>
      </w:r>
      <w:r w:rsidRPr="00201A9A">
        <w:rPr>
          <w:noProof/>
        </w:rPr>
        <w:t>awie przeglądu uczestniczą odpowiednie instytucje</w:t>
      </w:r>
      <w:r w:rsidR="00201A9A" w:rsidRPr="00201A9A">
        <w:rPr>
          <w:noProof/>
        </w:rPr>
        <w:t xml:space="preserve"> i org</w:t>
      </w:r>
      <w:r w:rsidRPr="00201A9A">
        <w:rPr>
          <w:noProof/>
        </w:rPr>
        <w:t>an koordynujący. Wyniki spotkania</w:t>
      </w:r>
      <w:r w:rsidR="00201A9A" w:rsidRPr="00201A9A">
        <w:rPr>
          <w:noProof/>
        </w:rPr>
        <w:t xml:space="preserve"> w spr</w:t>
      </w:r>
      <w:r w:rsidRPr="00201A9A">
        <w:rPr>
          <w:noProof/>
        </w:rPr>
        <w:t>awie przeglądu dokumentuje się</w:t>
      </w:r>
      <w:r w:rsidR="00201A9A" w:rsidRPr="00201A9A">
        <w:rPr>
          <w:noProof/>
        </w:rPr>
        <w:t xml:space="preserve"> w for</w:t>
      </w:r>
      <w:r w:rsidRPr="00201A9A">
        <w:rPr>
          <w:noProof/>
        </w:rPr>
        <w:t>mie pisemnej. Państwo członkowskie podejmuje działania następcze związane</w:t>
      </w:r>
      <w:r w:rsidR="00201A9A" w:rsidRPr="00201A9A">
        <w:rPr>
          <w:noProof/>
        </w:rPr>
        <w:t xml:space="preserve"> z pod</w:t>
      </w:r>
      <w:r w:rsidRPr="00201A9A">
        <w:rPr>
          <w:noProof/>
        </w:rPr>
        <w:t>niesionymi podczas spotkania</w:t>
      </w:r>
      <w:r w:rsidR="00201A9A" w:rsidRPr="00201A9A">
        <w:rPr>
          <w:noProof/>
        </w:rPr>
        <w:t xml:space="preserve"> w spr</w:t>
      </w:r>
      <w:r w:rsidRPr="00201A9A">
        <w:rPr>
          <w:noProof/>
        </w:rPr>
        <w:t>awie przeglądu kwestiami, które mają wpływ na wdrażanie planu lub jego jednego lub kilku rozdziałów,</w:t>
      </w:r>
      <w:r w:rsidR="00201A9A" w:rsidRPr="00201A9A">
        <w:rPr>
          <w:noProof/>
        </w:rPr>
        <w:t xml:space="preserve"> i w ter</w:t>
      </w:r>
      <w:r w:rsidRPr="00201A9A">
        <w:rPr>
          <w:noProof/>
        </w:rPr>
        <w:t>minie trzech miesięcy informuje Komisję</w:t>
      </w:r>
      <w:r w:rsidR="00201A9A" w:rsidRPr="00201A9A">
        <w:rPr>
          <w:noProof/>
        </w:rPr>
        <w:t xml:space="preserve"> o pod</w:t>
      </w:r>
      <w:r w:rsidRPr="00201A9A">
        <w:rPr>
          <w:noProof/>
        </w:rPr>
        <w:t>jętych środkach.</w:t>
      </w:r>
    </w:p>
    <w:p w14:paraId="49EA70C9" w14:textId="611C3401" w:rsidR="0049006B" w:rsidRPr="00201A9A" w:rsidRDefault="006D4DFA" w:rsidP="0049006B">
      <w:pPr>
        <w:pStyle w:val="Titrearticle"/>
        <w:rPr>
          <w:b/>
          <w:bCs/>
          <w:noProof/>
        </w:rPr>
      </w:pPr>
      <w:r w:rsidRPr="00201A9A">
        <w:rPr>
          <w:noProof/>
        </w:rPr>
        <w:t xml:space="preserve">Artykuł 50 </w:t>
      </w:r>
      <w:r w:rsidRPr="00201A9A">
        <w:rPr>
          <w:noProof/>
        </w:rPr>
        <w:br/>
      </w:r>
      <w:r w:rsidRPr="00201A9A">
        <w:rPr>
          <w:b/>
          <w:noProof/>
        </w:rPr>
        <w:t>Funkcje organu koordynującego</w:t>
      </w:r>
      <w:r w:rsidR="00201A9A" w:rsidRPr="00201A9A">
        <w:rPr>
          <w:b/>
          <w:noProof/>
        </w:rPr>
        <w:t xml:space="preserve"> </w:t>
      </w:r>
    </w:p>
    <w:p w14:paraId="41F5B958" w14:textId="77777777" w:rsidR="0049006B" w:rsidRPr="00201A9A" w:rsidRDefault="0049006B" w:rsidP="00B939FF">
      <w:pPr>
        <w:rPr>
          <w:noProof/>
        </w:rPr>
      </w:pPr>
      <w:r w:rsidRPr="00201A9A">
        <w:rPr>
          <w:noProof/>
        </w:rPr>
        <w:t>Organ koordynujący jest odpowiedzialny za: </w:t>
      </w:r>
    </w:p>
    <w:p w14:paraId="0AD43525" w14:textId="3623CB1C" w:rsidR="0049006B" w:rsidRPr="00201A9A" w:rsidRDefault="00201A9A" w:rsidP="00201A9A">
      <w:pPr>
        <w:pStyle w:val="Point0"/>
        <w:rPr>
          <w:noProof/>
        </w:rPr>
      </w:pPr>
      <w:r w:rsidRPr="00201A9A">
        <w:rPr>
          <w:noProof/>
        </w:rPr>
        <w:t>a)</w:t>
      </w:r>
      <w:r w:rsidRPr="00201A9A">
        <w:rPr>
          <w:noProof/>
        </w:rPr>
        <w:tab/>
      </w:r>
      <w:r w:rsidR="0049006B" w:rsidRPr="00201A9A">
        <w:rPr>
          <w:noProof/>
        </w:rPr>
        <w:t>monitorowanie wdrażania planu przy jednoczesnym zapewnieniu należytych praktyk zarządzania</w:t>
      </w:r>
      <w:r w:rsidRPr="00201A9A">
        <w:rPr>
          <w:noProof/>
        </w:rPr>
        <w:t xml:space="preserve"> i utr</w:t>
      </w:r>
      <w:r w:rsidR="0049006B" w:rsidRPr="00201A9A">
        <w:rPr>
          <w:noProof/>
        </w:rPr>
        <w:t>zymania odpowiednich zdolności administracyjnych przez organy odpowiedzialne za plan; </w:t>
      </w:r>
    </w:p>
    <w:p w14:paraId="0A078D8F" w14:textId="51EBC80B" w:rsidR="0049006B" w:rsidRPr="00201A9A" w:rsidRDefault="00201A9A" w:rsidP="00201A9A">
      <w:pPr>
        <w:pStyle w:val="Point0"/>
        <w:rPr>
          <w:noProof/>
        </w:rPr>
      </w:pPr>
      <w:r w:rsidRPr="00201A9A">
        <w:rPr>
          <w:noProof/>
        </w:rPr>
        <w:t>b)</w:t>
      </w:r>
      <w:r w:rsidRPr="00201A9A">
        <w:rPr>
          <w:noProof/>
        </w:rPr>
        <w:tab/>
      </w:r>
      <w:r w:rsidR="0049006B" w:rsidRPr="00201A9A">
        <w:rPr>
          <w:noProof/>
        </w:rPr>
        <w:t>zapewnienie spójności we wdrażaniu poszczególnych rozdziałów planu; </w:t>
      </w:r>
    </w:p>
    <w:p w14:paraId="5ECE5481" w14:textId="47551D00" w:rsidR="0049006B" w:rsidRPr="00201A9A" w:rsidRDefault="00201A9A" w:rsidP="00201A9A">
      <w:pPr>
        <w:pStyle w:val="Point0"/>
        <w:rPr>
          <w:noProof/>
        </w:rPr>
      </w:pPr>
      <w:r w:rsidRPr="00201A9A">
        <w:rPr>
          <w:noProof/>
        </w:rPr>
        <w:t>c)</w:t>
      </w:r>
      <w:r w:rsidRPr="00201A9A">
        <w:rPr>
          <w:noProof/>
        </w:rPr>
        <w:tab/>
      </w:r>
      <w:r w:rsidR="0049006B" w:rsidRPr="00201A9A">
        <w:rPr>
          <w:noProof/>
        </w:rPr>
        <w:t>składanie do Komisji wniosków</w:t>
      </w:r>
      <w:r w:rsidRPr="00201A9A">
        <w:rPr>
          <w:noProof/>
        </w:rPr>
        <w:t xml:space="preserve"> o pła</w:t>
      </w:r>
      <w:r w:rsidR="0049006B" w:rsidRPr="00201A9A">
        <w:rPr>
          <w:noProof/>
        </w:rPr>
        <w:t>tność dotyczących planu zgodnie</w:t>
      </w:r>
      <w:r w:rsidRPr="00201A9A">
        <w:rPr>
          <w:noProof/>
        </w:rPr>
        <w:t xml:space="preserve"> z art</w:t>
      </w:r>
      <w:r w:rsidR="0049006B" w:rsidRPr="00201A9A">
        <w:rPr>
          <w:noProof/>
        </w:rPr>
        <w:t>.</w:t>
      </w:r>
      <w:r w:rsidRPr="00201A9A">
        <w:rPr>
          <w:noProof/>
        </w:rPr>
        <w:t> </w:t>
      </w:r>
      <w:r w:rsidR="0049006B" w:rsidRPr="00201A9A">
        <w:rPr>
          <w:noProof/>
        </w:rPr>
        <w:t>65; </w:t>
      </w:r>
    </w:p>
    <w:p w14:paraId="2C8CC37D" w14:textId="4D530978" w:rsidR="0049006B" w:rsidRPr="00201A9A" w:rsidRDefault="00201A9A" w:rsidP="00201A9A">
      <w:pPr>
        <w:pStyle w:val="Point0"/>
        <w:rPr>
          <w:noProof/>
        </w:rPr>
      </w:pPr>
      <w:r w:rsidRPr="00201A9A">
        <w:rPr>
          <w:noProof/>
        </w:rPr>
        <w:t>d)</w:t>
      </w:r>
      <w:r w:rsidRPr="00201A9A">
        <w:rPr>
          <w:noProof/>
        </w:rPr>
        <w:tab/>
      </w:r>
      <w:r w:rsidR="0049006B" w:rsidRPr="00201A9A">
        <w:rPr>
          <w:noProof/>
        </w:rPr>
        <w:t>przedkładanie prognozowanych kwot wniosków</w:t>
      </w:r>
      <w:r w:rsidRPr="00201A9A">
        <w:rPr>
          <w:noProof/>
        </w:rPr>
        <w:t xml:space="preserve"> o pła</w:t>
      </w:r>
      <w:r w:rsidR="0049006B" w:rsidRPr="00201A9A">
        <w:rPr>
          <w:noProof/>
        </w:rPr>
        <w:t>tność na bieżący</w:t>
      </w:r>
      <w:r w:rsidRPr="00201A9A">
        <w:rPr>
          <w:noProof/>
        </w:rPr>
        <w:t xml:space="preserve"> i kol</w:t>
      </w:r>
      <w:r w:rsidR="0049006B" w:rsidRPr="00201A9A">
        <w:rPr>
          <w:noProof/>
        </w:rPr>
        <w:t>ejny rok kalendarzowy do dnia 31 stycznia i do dnia 30 lipca zgodnie</w:t>
      </w:r>
      <w:r w:rsidRPr="00201A9A">
        <w:rPr>
          <w:noProof/>
        </w:rPr>
        <w:t xml:space="preserve"> z wzo</w:t>
      </w:r>
      <w:r w:rsidR="0049006B" w:rsidRPr="00201A9A">
        <w:rPr>
          <w:noProof/>
        </w:rPr>
        <w:t>rem zawartym</w:t>
      </w:r>
      <w:r w:rsidRPr="00201A9A">
        <w:rPr>
          <w:noProof/>
        </w:rPr>
        <w:t xml:space="preserve"> w zał</w:t>
      </w:r>
      <w:r w:rsidR="0049006B" w:rsidRPr="00201A9A">
        <w:rPr>
          <w:noProof/>
        </w:rPr>
        <w:t>ączniku X [Prognozy dotyczące płatności]; </w:t>
      </w:r>
    </w:p>
    <w:p w14:paraId="2F345818" w14:textId="5CA1D5D7" w:rsidR="0049006B" w:rsidRPr="00201A9A" w:rsidRDefault="00201A9A" w:rsidP="00201A9A">
      <w:pPr>
        <w:pStyle w:val="Point0"/>
        <w:rPr>
          <w:noProof/>
        </w:rPr>
      </w:pPr>
      <w:r w:rsidRPr="00201A9A">
        <w:rPr>
          <w:noProof/>
        </w:rPr>
        <w:t>e)</w:t>
      </w:r>
      <w:r w:rsidRPr="00201A9A">
        <w:rPr>
          <w:noProof/>
        </w:rPr>
        <w:tab/>
      </w:r>
      <w:r w:rsidR="0049006B" w:rsidRPr="00201A9A">
        <w:rPr>
          <w:noProof/>
        </w:rPr>
        <w:t>przedłożenie deklaracji zarządczej,</w:t>
      </w:r>
      <w:r w:rsidRPr="00201A9A">
        <w:rPr>
          <w:noProof/>
        </w:rPr>
        <w:t xml:space="preserve"> o któ</w:t>
      </w:r>
      <w:r w:rsidR="0049006B" w:rsidRPr="00201A9A">
        <w:rPr>
          <w:noProof/>
        </w:rPr>
        <w:t>rej mowa</w:t>
      </w:r>
      <w:r w:rsidRPr="00201A9A">
        <w:rPr>
          <w:noProof/>
        </w:rPr>
        <w:t xml:space="preserve"> w art</w:t>
      </w:r>
      <w:r w:rsidR="0049006B" w:rsidRPr="00201A9A">
        <w:rPr>
          <w:noProof/>
        </w:rPr>
        <w:t>.</w:t>
      </w:r>
      <w:r w:rsidRPr="00201A9A">
        <w:rPr>
          <w:noProof/>
        </w:rPr>
        <w:t> </w:t>
      </w:r>
      <w:r w:rsidR="0049006B" w:rsidRPr="00201A9A">
        <w:rPr>
          <w:noProof/>
        </w:rPr>
        <w:t>59 ust.</w:t>
      </w:r>
      <w:r w:rsidRPr="00201A9A">
        <w:rPr>
          <w:noProof/>
        </w:rPr>
        <w:t> </w:t>
      </w:r>
      <w:r w:rsidR="0049006B" w:rsidRPr="00201A9A">
        <w:rPr>
          <w:noProof/>
        </w:rPr>
        <w:t>1 lit.</w:t>
      </w:r>
      <w:r w:rsidRPr="00201A9A">
        <w:rPr>
          <w:noProof/>
        </w:rPr>
        <w:t> </w:t>
      </w:r>
      <w:r w:rsidR="0049006B" w:rsidRPr="00201A9A">
        <w:rPr>
          <w:noProof/>
        </w:rPr>
        <w:t>c) [Roczny pakiet dokumentów dotyczących poświadczenia wiarygodności], zgodnie</w:t>
      </w:r>
      <w:r w:rsidRPr="00201A9A">
        <w:rPr>
          <w:noProof/>
        </w:rPr>
        <w:t xml:space="preserve"> z wzo</w:t>
      </w:r>
      <w:r w:rsidR="0049006B" w:rsidRPr="00201A9A">
        <w:rPr>
          <w:noProof/>
        </w:rPr>
        <w:t>rem określonym</w:t>
      </w:r>
      <w:r w:rsidRPr="00201A9A">
        <w:rPr>
          <w:noProof/>
        </w:rPr>
        <w:t xml:space="preserve"> w zał</w:t>
      </w:r>
      <w:r w:rsidR="0049006B" w:rsidRPr="00201A9A">
        <w:rPr>
          <w:noProof/>
        </w:rPr>
        <w:t>ączniku XII [deklaracja zarządcza], podpisanej przez instytucję zarządzającą lub agencję płatniczą;</w:t>
      </w:r>
    </w:p>
    <w:p w14:paraId="062467B7" w14:textId="6F27554F" w:rsidR="0049006B" w:rsidRPr="00201A9A" w:rsidRDefault="00201A9A" w:rsidP="00201A9A">
      <w:pPr>
        <w:pStyle w:val="Point0"/>
        <w:rPr>
          <w:noProof/>
        </w:rPr>
      </w:pPr>
      <w:r w:rsidRPr="00201A9A">
        <w:rPr>
          <w:noProof/>
        </w:rPr>
        <w:t>f)</w:t>
      </w:r>
      <w:r w:rsidRPr="00201A9A">
        <w:rPr>
          <w:noProof/>
        </w:rPr>
        <w:tab/>
      </w:r>
      <w:r w:rsidR="0049006B" w:rsidRPr="00201A9A">
        <w:rPr>
          <w:noProof/>
        </w:rPr>
        <w:t>koordynowanie</w:t>
      </w:r>
      <w:r w:rsidRPr="00201A9A">
        <w:rPr>
          <w:noProof/>
        </w:rPr>
        <w:t xml:space="preserve"> i prz</w:t>
      </w:r>
      <w:r w:rsidR="0049006B" w:rsidRPr="00201A9A">
        <w:rPr>
          <w:noProof/>
        </w:rPr>
        <w:t>edkładanie Komisji wszystkich żądanych dokumentów stanowiących część rocznego pakietu dokumentów dotyczących poświadczenia wiarygodności,</w:t>
      </w:r>
      <w:r w:rsidRPr="00201A9A">
        <w:rPr>
          <w:noProof/>
        </w:rPr>
        <w:t xml:space="preserve"> o któ</w:t>
      </w:r>
      <w:r w:rsidR="0049006B" w:rsidRPr="00201A9A">
        <w:rPr>
          <w:noProof/>
        </w:rPr>
        <w:t>rym mowa</w:t>
      </w:r>
      <w:r w:rsidRPr="00201A9A">
        <w:rPr>
          <w:noProof/>
        </w:rPr>
        <w:t xml:space="preserve"> w art</w:t>
      </w:r>
      <w:r w:rsidR="0049006B" w:rsidRPr="00201A9A">
        <w:rPr>
          <w:noProof/>
        </w:rPr>
        <w:t>.</w:t>
      </w:r>
      <w:r w:rsidRPr="00201A9A">
        <w:rPr>
          <w:noProof/>
        </w:rPr>
        <w:t> </w:t>
      </w:r>
      <w:r w:rsidR="0049006B" w:rsidRPr="00201A9A">
        <w:rPr>
          <w:noProof/>
        </w:rPr>
        <w:t>59 [roczny pakiet]; </w:t>
      </w:r>
    </w:p>
    <w:p w14:paraId="3DAB8689" w14:textId="2EB99058" w:rsidR="0049006B" w:rsidRPr="00201A9A" w:rsidRDefault="00201A9A" w:rsidP="00201A9A">
      <w:pPr>
        <w:pStyle w:val="Point0"/>
        <w:rPr>
          <w:noProof/>
        </w:rPr>
      </w:pPr>
      <w:r w:rsidRPr="00201A9A">
        <w:rPr>
          <w:noProof/>
        </w:rPr>
        <w:t>g)</w:t>
      </w:r>
      <w:r w:rsidRPr="00201A9A">
        <w:rPr>
          <w:noProof/>
        </w:rPr>
        <w:tab/>
      </w:r>
      <w:r w:rsidR="0049006B" w:rsidRPr="00201A9A">
        <w:rPr>
          <w:noProof/>
        </w:rPr>
        <w:t>zapewnienie przepływów finansowych do instytucji zarządzających, zagwarantowanie, że wraz</w:t>
      </w:r>
      <w:r w:rsidRPr="00201A9A">
        <w:rPr>
          <w:noProof/>
        </w:rPr>
        <w:t xml:space="preserve"> z każ</w:t>
      </w:r>
      <w:r w:rsidR="0049006B" w:rsidRPr="00201A9A">
        <w:rPr>
          <w:noProof/>
        </w:rPr>
        <w:t>dą płatnością dokonaną przez Komisję instytucje te otrzymają należne im kwoty,</w:t>
      </w:r>
      <w:r w:rsidRPr="00201A9A">
        <w:rPr>
          <w:noProof/>
        </w:rPr>
        <w:t xml:space="preserve"> w zal</w:t>
      </w:r>
      <w:r w:rsidR="0049006B" w:rsidRPr="00201A9A">
        <w:rPr>
          <w:noProof/>
        </w:rPr>
        <w:t>eżności od postępów we wdrażaniu środków zawartych</w:t>
      </w:r>
      <w:r w:rsidRPr="00201A9A">
        <w:rPr>
          <w:noProof/>
        </w:rPr>
        <w:t xml:space="preserve"> w ich</w:t>
      </w:r>
      <w:r w:rsidR="0049006B" w:rsidRPr="00201A9A">
        <w:rPr>
          <w:noProof/>
        </w:rPr>
        <w:t xml:space="preserve"> odpowiednich rozdziałach</w:t>
      </w:r>
      <w:r w:rsidRPr="00201A9A">
        <w:rPr>
          <w:noProof/>
        </w:rPr>
        <w:t xml:space="preserve"> i z uwz</w:t>
      </w:r>
      <w:r w:rsidR="0049006B" w:rsidRPr="00201A9A">
        <w:rPr>
          <w:noProof/>
        </w:rPr>
        <w:t>ględnieniem ewentualnych korekt finansowych wynikających</w:t>
      </w:r>
      <w:r w:rsidRPr="00201A9A">
        <w:rPr>
          <w:noProof/>
        </w:rPr>
        <w:t xml:space="preserve"> z wyk</w:t>
      </w:r>
      <w:r w:rsidR="0049006B" w:rsidRPr="00201A9A">
        <w:rPr>
          <w:noProof/>
        </w:rPr>
        <w:t>onania ich rozdziałów, oraz że do końca okresu otrzymają one kwotę co najmniej równoważną ich wkładowi Unii;</w:t>
      </w:r>
    </w:p>
    <w:p w14:paraId="7855124E" w14:textId="725AA2A7" w:rsidR="00B32979" w:rsidRPr="00201A9A" w:rsidRDefault="00201A9A" w:rsidP="00201A9A">
      <w:pPr>
        <w:pStyle w:val="Point0"/>
        <w:rPr>
          <w:noProof/>
        </w:rPr>
      </w:pPr>
      <w:r w:rsidRPr="00201A9A">
        <w:rPr>
          <w:noProof/>
        </w:rPr>
        <w:t>h)</w:t>
      </w:r>
      <w:r w:rsidRPr="00201A9A">
        <w:rPr>
          <w:noProof/>
        </w:rPr>
        <w:tab/>
      </w:r>
      <w:r w:rsidR="00B32979" w:rsidRPr="00201A9A">
        <w:rPr>
          <w:noProof/>
        </w:rPr>
        <w:t>zapewnienie ram służących wzmocnieniu zdolności administracyjnych organów, zainteresowanych stron, partnerów</w:t>
      </w:r>
      <w:r w:rsidRPr="00201A9A">
        <w:rPr>
          <w:noProof/>
        </w:rPr>
        <w:t xml:space="preserve"> i ben</w:t>
      </w:r>
      <w:r w:rsidR="00B32979" w:rsidRPr="00201A9A">
        <w:rPr>
          <w:noProof/>
        </w:rPr>
        <w:t>eficjentów na szczeblu krajowym</w:t>
      </w:r>
      <w:r w:rsidRPr="00201A9A">
        <w:rPr>
          <w:noProof/>
        </w:rPr>
        <w:t xml:space="preserve"> i lok</w:t>
      </w:r>
      <w:r w:rsidR="00B32979" w:rsidRPr="00201A9A">
        <w:rPr>
          <w:noProof/>
        </w:rPr>
        <w:t>alnym oraz promowanie uczenia się polityki</w:t>
      </w:r>
      <w:r w:rsidRPr="00201A9A">
        <w:rPr>
          <w:noProof/>
        </w:rPr>
        <w:t xml:space="preserve"> i eks</w:t>
      </w:r>
      <w:r w:rsidR="00B32979" w:rsidRPr="00201A9A">
        <w:rPr>
          <w:noProof/>
        </w:rPr>
        <w:t>perymentów</w:t>
      </w:r>
      <w:r w:rsidRPr="00201A9A">
        <w:rPr>
          <w:noProof/>
        </w:rPr>
        <w:t xml:space="preserve"> w zak</w:t>
      </w:r>
      <w:r w:rsidR="00B32979" w:rsidRPr="00201A9A">
        <w:rPr>
          <w:noProof/>
        </w:rPr>
        <w:t>resie polityki;</w:t>
      </w:r>
    </w:p>
    <w:p w14:paraId="72AC20AF" w14:textId="73D2E00F" w:rsidR="0049006B" w:rsidRPr="00201A9A" w:rsidRDefault="00201A9A" w:rsidP="00201A9A">
      <w:pPr>
        <w:pStyle w:val="Point0"/>
        <w:rPr>
          <w:noProof/>
        </w:rPr>
      </w:pPr>
      <w:r w:rsidRPr="00201A9A">
        <w:rPr>
          <w:noProof/>
        </w:rPr>
        <w:t>i)</w:t>
      </w:r>
      <w:r w:rsidRPr="00201A9A">
        <w:rPr>
          <w:noProof/>
        </w:rPr>
        <w:tab/>
      </w:r>
      <w:r w:rsidR="0049006B" w:rsidRPr="00201A9A">
        <w:rPr>
          <w:noProof/>
        </w:rPr>
        <w:t>wspieranie prac komitetu koordynującego poprzez dostarczanie niezbędnych informacji</w:t>
      </w:r>
      <w:r w:rsidRPr="00201A9A">
        <w:rPr>
          <w:noProof/>
        </w:rPr>
        <w:t xml:space="preserve"> i zap</w:t>
      </w:r>
      <w:r w:rsidR="0049006B" w:rsidRPr="00201A9A">
        <w:rPr>
          <w:noProof/>
        </w:rPr>
        <w:t>ewnianie działań następczych</w:t>
      </w:r>
      <w:r w:rsidRPr="00201A9A">
        <w:rPr>
          <w:noProof/>
        </w:rPr>
        <w:t xml:space="preserve"> w zwi</w:t>
      </w:r>
      <w:r w:rsidR="0049006B" w:rsidRPr="00201A9A">
        <w:rPr>
          <w:noProof/>
        </w:rPr>
        <w:t>ązku</w:t>
      </w:r>
      <w:r w:rsidRPr="00201A9A">
        <w:rPr>
          <w:noProof/>
        </w:rPr>
        <w:t xml:space="preserve"> z dec</w:t>
      </w:r>
      <w:r w:rsidR="0049006B" w:rsidRPr="00201A9A">
        <w:rPr>
          <w:noProof/>
        </w:rPr>
        <w:t>yzjami</w:t>
      </w:r>
      <w:r w:rsidRPr="00201A9A">
        <w:rPr>
          <w:noProof/>
        </w:rPr>
        <w:t xml:space="preserve"> i zal</w:t>
      </w:r>
      <w:r w:rsidR="0049006B" w:rsidRPr="00201A9A">
        <w:rPr>
          <w:noProof/>
        </w:rPr>
        <w:t>eceniami komitetu monitorującego prace koordynacyjne; </w:t>
      </w:r>
    </w:p>
    <w:p w14:paraId="506EDE92" w14:textId="53454669" w:rsidR="0049006B" w:rsidRPr="00201A9A" w:rsidRDefault="00201A9A" w:rsidP="00201A9A">
      <w:pPr>
        <w:pStyle w:val="Point0"/>
        <w:rPr>
          <w:noProof/>
        </w:rPr>
      </w:pPr>
      <w:r w:rsidRPr="00201A9A">
        <w:rPr>
          <w:noProof/>
        </w:rPr>
        <w:t>j)</w:t>
      </w:r>
      <w:r w:rsidRPr="00201A9A">
        <w:rPr>
          <w:noProof/>
        </w:rPr>
        <w:tab/>
      </w:r>
      <w:r w:rsidR="0049006B" w:rsidRPr="00201A9A">
        <w:rPr>
          <w:noProof/>
        </w:rPr>
        <w:t>informowanie obywateli Unii</w:t>
      </w:r>
      <w:r w:rsidRPr="00201A9A">
        <w:rPr>
          <w:noProof/>
        </w:rPr>
        <w:t xml:space="preserve"> o cel</w:t>
      </w:r>
      <w:r w:rsidR="0049006B" w:rsidRPr="00201A9A">
        <w:rPr>
          <w:noProof/>
        </w:rPr>
        <w:t>ach</w:t>
      </w:r>
      <w:r w:rsidRPr="00201A9A">
        <w:rPr>
          <w:noProof/>
        </w:rPr>
        <w:t xml:space="preserve"> i wyn</w:t>
      </w:r>
      <w:r w:rsidR="0049006B" w:rsidRPr="00201A9A">
        <w:rPr>
          <w:noProof/>
        </w:rPr>
        <w:t>ikach planu PKR zgodnie</w:t>
      </w:r>
      <w:r w:rsidRPr="00201A9A">
        <w:rPr>
          <w:noProof/>
        </w:rPr>
        <w:t xml:space="preserve"> z art</w:t>
      </w:r>
      <w:r w:rsidR="0049006B" w:rsidRPr="00201A9A">
        <w:rPr>
          <w:noProof/>
        </w:rPr>
        <w:t>.</w:t>
      </w:r>
      <w:r w:rsidRPr="00201A9A">
        <w:rPr>
          <w:noProof/>
        </w:rPr>
        <w:t> </w:t>
      </w:r>
      <w:r w:rsidR="0049006B" w:rsidRPr="00201A9A">
        <w:rPr>
          <w:noProof/>
        </w:rPr>
        <w:t>18 rozporządzenia [rozporządzenie</w:t>
      </w:r>
      <w:r w:rsidRPr="00201A9A">
        <w:rPr>
          <w:noProof/>
        </w:rPr>
        <w:t xml:space="preserve"> w spr</w:t>
      </w:r>
      <w:r w:rsidR="0049006B" w:rsidRPr="00201A9A">
        <w:rPr>
          <w:noProof/>
        </w:rPr>
        <w:t>awie wykonania] za pośrednictwem jednego portalu internetowego, który zapewnia dostęp do wszystkich rozdziałów planu partnerstwa krajowego</w:t>
      </w:r>
      <w:r w:rsidRPr="00201A9A">
        <w:rPr>
          <w:noProof/>
        </w:rPr>
        <w:t xml:space="preserve"> i reg</w:t>
      </w:r>
      <w:r w:rsidR="0049006B" w:rsidRPr="00201A9A">
        <w:rPr>
          <w:noProof/>
        </w:rPr>
        <w:t>ionalnego zgodnie</w:t>
      </w:r>
      <w:r w:rsidRPr="00201A9A">
        <w:rPr>
          <w:noProof/>
        </w:rPr>
        <w:t xml:space="preserve"> z art</w:t>
      </w:r>
      <w:r w:rsidR="0049006B" w:rsidRPr="00201A9A">
        <w:rPr>
          <w:noProof/>
        </w:rPr>
        <w:t>.</w:t>
      </w:r>
      <w:r w:rsidRPr="00201A9A">
        <w:rPr>
          <w:noProof/>
        </w:rPr>
        <w:t> </w:t>
      </w:r>
      <w:r w:rsidR="0049006B" w:rsidRPr="00201A9A">
        <w:rPr>
          <w:noProof/>
        </w:rPr>
        <w:t>64 ust.</w:t>
      </w:r>
      <w:r w:rsidRPr="00201A9A">
        <w:rPr>
          <w:noProof/>
        </w:rPr>
        <w:t> </w:t>
      </w:r>
      <w:r w:rsidR="0049006B" w:rsidRPr="00201A9A">
        <w:rPr>
          <w:noProof/>
        </w:rPr>
        <w:t>1.</w:t>
      </w:r>
    </w:p>
    <w:p w14:paraId="485D70C3" w14:textId="77777777" w:rsidR="006D4DFA" w:rsidRPr="00201A9A" w:rsidRDefault="006D4DFA" w:rsidP="006D4DFA">
      <w:pPr>
        <w:pStyle w:val="Titrearticle"/>
        <w:rPr>
          <w:b/>
          <w:noProof/>
        </w:rPr>
      </w:pPr>
      <w:r w:rsidRPr="00201A9A">
        <w:rPr>
          <w:noProof/>
        </w:rPr>
        <w:t xml:space="preserve">Artykuł 51 </w:t>
      </w:r>
      <w:r w:rsidRPr="00201A9A">
        <w:rPr>
          <w:noProof/>
        </w:rPr>
        <w:br/>
      </w:r>
      <w:r w:rsidRPr="00201A9A">
        <w:rPr>
          <w:b/>
          <w:noProof/>
        </w:rPr>
        <w:t>Funkcje instytucji zarządzającej</w:t>
      </w:r>
    </w:p>
    <w:p w14:paraId="43BBCDFE" w14:textId="7E24EA94" w:rsidR="00410938" w:rsidRPr="00201A9A" w:rsidRDefault="00410938" w:rsidP="003E2902">
      <w:pPr>
        <w:pStyle w:val="NumPar10000000"/>
        <w:numPr>
          <w:ilvl w:val="0"/>
          <w:numId w:val="62"/>
        </w:numPr>
        <w:rPr>
          <w:noProof/>
        </w:rPr>
      </w:pPr>
      <w:r w:rsidRPr="00201A9A">
        <w:rPr>
          <w:noProof/>
        </w:rPr>
        <w:t>Instytucja zarządzająca odpowiada za zarządzanie planem lub jego częścią</w:t>
      </w:r>
      <w:r w:rsidR="00201A9A" w:rsidRPr="00201A9A">
        <w:rPr>
          <w:noProof/>
        </w:rPr>
        <w:t xml:space="preserve"> z myś</w:t>
      </w:r>
      <w:r w:rsidRPr="00201A9A">
        <w:rPr>
          <w:noProof/>
        </w:rPr>
        <w:t>lą</w:t>
      </w:r>
      <w:r w:rsidR="00201A9A" w:rsidRPr="00201A9A">
        <w:rPr>
          <w:noProof/>
        </w:rPr>
        <w:t xml:space="preserve"> o rea</w:t>
      </w:r>
      <w:r w:rsidRPr="00201A9A">
        <w:rPr>
          <w:noProof/>
        </w:rPr>
        <w:t>lizacji jego celów. Pełni ona następujące funkcje: </w:t>
      </w:r>
    </w:p>
    <w:p w14:paraId="16DA6B5B" w14:textId="451095C2" w:rsidR="00410938" w:rsidRPr="00201A9A" w:rsidRDefault="00201A9A" w:rsidP="00201A9A">
      <w:pPr>
        <w:pStyle w:val="Point1"/>
        <w:rPr>
          <w:noProof/>
        </w:rPr>
      </w:pPr>
      <w:r w:rsidRPr="00201A9A">
        <w:rPr>
          <w:noProof/>
        </w:rPr>
        <w:t>a)</w:t>
      </w:r>
      <w:r w:rsidRPr="00201A9A">
        <w:rPr>
          <w:noProof/>
        </w:rPr>
        <w:tab/>
      </w:r>
      <w:r w:rsidR="00410938" w:rsidRPr="00201A9A">
        <w:rPr>
          <w:noProof/>
        </w:rPr>
        <w:t>wybiera operacje</w:t>
      </w:r>
      <w:r w:rsidRPr="00201A9A">
        <w:rPr>
          <w:noProof/>
        </w:rPr>
        <w:t xml:space="preserve"> w cel</w:t>
      </w:r>
      <w:r w:rsidR="00410938" w:rsidRPr="00201A9A">
        <w:rPr>
          <w:noProof/>
        </w:rPr>
        <w:t>u maksymalizacji wkładu planu</w:t>
      </w:r>
      <w:r w:rsidRPr="00201A9A">
        <w:rPr>
          <w:noProof/>
        </w:rPr>
        <w:t xml:space="preserve"> w osi</w:t>
      </w:r>
      <w:r w:rsidR="00410938" w:rsidRPr="00201A9A">
        <w:rPr>
          <w:noProof/>
        </w:rPr>
        <w:t>ągnięcie celów Funduszu, zdefiniowane na poziomie rozdziałów planu</w:t>
      </w:r>
      <w:r w:rsidRPr="00201A9A">
        <w:rPr>
          <w:noProof/>
        </w:rPr>
        <w:t xml:space="preserve"> i śro</w:t>
      </w:r>
      <w:r w:rsidR="00410938" w:rsidRPr="00201A9A">
        <w:rPr>
          <w:noProof/>
        </w:rPr>
        <w:t>dków, poprzez określenie</w:t>
      </w:r>
      <w:r w:rsidRPr="00201A9A">
        <w:rPr>
          <w:noProof/>
        </w:rPr>
        <w:t xml:space="preserve"> i sto</w:t>
      </w:r>
      <w:r w:rsidR="00410938" w:rsidRPr="00201A9A">
        <w:rPr>
          <w:noProof/>
        </w:rPr>
        <w:t>sowanie kryteriów</w:t>
      </w:r>
      <w:r w:rsidRPr="00201A9A">
        <w:rPr>
          <w:noProof/>
        </w:rPr>
        <w:t xml:space="preserve"> i pro</w:t>
      </w:r>
      <w:r w:rsidR="00410938" w:rsidRPr="00201A9A">
        <w:rPr>
          <w:noProof/>
        </w:rPr>
        <w:t>cedur, które są niedyskryminacyjne</w:t>
      </w:r>
      <w:r w:rsidRPr="00201A9A">
        <w:rPr>
          <w:noProof/>
        </w:rPr>
        <w:t xml:space="preserve"> i prz</w:t>
      </w:r>
      <w:r w:rsidR="00410938" w:rsidRPr="00201A9A">
        <w:rPr>
          <w:noProof/>
        </w:rPr>
        <w:t xml:space="preserve">ejrzyste; </w:t>
      </w:r>
    </w:p>
    <w:p w14:paraId="545552FB" w14:textId="5BAF4E94" w:rsidR="00144291" w:rsidRPr="00201A9A" w:rsidRDefault="00201A9A" w:rsidP="00201A9A">
      <w:pPr>
        <w:pStyle w:val="Point1"/>
        <w:rPr>
          <w:iCs/>
          <w:noProof/>
        </w:rPr>
      </w:pPr>
      <w:r w:rsidRPr="00201A9A">
        <w:rPr>
          <w:noProof/>
        </w:rPr>
        <w:t>b)</w:t>
      </w:r>
      <w:r w:rsidRPr="00201A9A">
        <w:rPr>
          <w:noProof/>
        </w:rPr>
        <w:tab/>
      </w:r>
      <w:r w:rsidR="00C96D01" w:rsidRPr="00201A9A">
        <w:rPr>
          <w:noProof/>
        </w:rPr>
        <w:t>przeprowadza weryfikacje zarządcze</w:t>
      </w:r>
      <w:r w:rsidRPr="00201A9A">
        <w:rPr>
          <w:noProof/>
        </w:rPr>
        <w:t xml:space="preserve"> w cel</w:t>
      </w:r>
      <w:r w:rsidR="00C96D01" w:rsidRPr="00201A9A">
        <w:rPr>
          <w:noProof/>
        </w:rPr>
        <w:t>u zapewnienia osiągnięcia kamieni milowych</w:t>
      </w:r>
      <w:r w:rsidRPr="00201A9A">
        <w:rPr>
          <w:noProof/>
        </w:rPr>
        <w:t xml:space="preserve"> i war</w:t>
      </w:r>
      <w:r w:rsidR="00C96D01" w:rsidRPr="00201A9A">
        <w:rPr>
          <w:noProof/>
        </w:rPr>
        <w:t>tości docelowych określonych</w:t>
      </w:r>
      <w:r w:rsidRPr="00201A9A">
        <w:rPr>
          <w:noProof/>
        </w:rPr>
        <w:t xml:space="preserve"> w pla</w:t>
      </w:r>
      <w:r w:rsidR="00C96D01" w:rsidRPr="00201A9A">
        <w:rPr>
          <w:noProof/>
        </w:rPr>
        <w:t>nie oraz skutecznego wykorzystania środków finansowych zgodnie</w:t>
      </w:r>
      <w:r w:rsidRPr="00201A9A">
        <w:rPr>
          <w:noProof/>
        </w:rPr>
        <w:t xml:space="preserve"> z maj</w:t>
      </w:r>
      <w:r w:rsidR="00C96D01" w:rsidRPr="00201A9A">
        <w:rPr>
          <w:noProof/>
        </w:rPr>
        <w:t>ącym zastosowanie prawem; do celów sporządzenia deklaracji zarządczej instytucja zarządzająca nie ma obowiązku weryfikacji kosztów leżących</w:t>
      </w:r>
      <w:r w:rsidRPr="00201A9A">
        <w:rPr>
          <w:noProof/>
        </w:rPr>
        <w:t xml:space="preserve"> u pod</w:t>
      </w:r>
      <w:r w:rsidR="00C96D01" w:rsidRPr="00201A9A">
        <w:rPr>
          <w:noProof/>
        </w:rPr>
        <w:t>staw operacji;</w:t>
      </w:r>
      <w:r w:rsidR="00C96D01" w:rsidRPr="00201A9A">
        <w:rPr>
          <w:i/>
          <w:noProof/>
        </w:rPr>
        <w:t xml:space="preserve"> </w:t>
      </w:r>
    </w:p>
    <w:p w14:paraId="685D479D" w14:textId="3930D3E5" w:rsidR="00410938" w:rsidRPr="00201A9A" w:rsidRDefault="00201A9A" w:rsidP="00201A9A">
      <w:pPr>
        <w:pStyle w:val="Point1"/>
        <w:rPr>
          <w:noProof/>
        </w:rPr>
      </w:pPr>
      <w:r w:rsidRPr="00201A9A">
        <w:rPr>
          <w:noProof/>
        </w:rPr>
        <w:t>c)</w:t>
      </w:r>
      <w:r w:rsidRPr="00201A9A">
        <w:rPr>
          <w:noProof/>
        </w:rPr>
        <w:tab/>
      </w:r>
      <w:r w:rsidR="00B2674C" w:rsidRPr="00201A9A">
        <w:rPr>
          <w:noProof/>
        </w:rPr>
        <w:t>stosuje skuteczne</w:t>
      </w:r>
      <w:r w:rsidRPr="00201A9A">
        <w:rPr>
          <w:noProof/>
        </w:rPr>
        <w:t xml:space="preserve"> i pro</w:t>
      </w:r>
      <w:r w:rsidR="00B2674C" w:rsidRPr="00201A9A">
        <w:rPr>
          <w:noProof/>
        </w:rPr>
        <w:t>porcjonalne środki</w:t>
      </w:r>
      <w:r w:rsidRPr="00201A9A">
        <w:rPr>
          <w:noProof/>
        </w:rPr>
        <w:t xml:space="preserve"> i pro</w:t>
      </w:r>
      <w:r w:rsidR="00B2674C" w:rsidRPr="00201A9A">
        <w:rPr>
          <w:noProof/>
        </w:rPr>
        <w:t>cedury,</w:t>
      </w:r>
      <w:r w:rsidRPr="00201A9A">
        <w:rPr>
          <w:noProof/>
        </w:rPr>
        <w:t xml:space="preserve"> z uwz</w:t>
      </w:r>
      <w:r w:rsidR="00B2674C" w:rsidRPr="00201A9A">
        <w:rPr>
          <w:noProof/>
        </w:rPr>
        <w:t>ględnieniem zidentyfikowanego ryzyka,</w:t>
      </w:r>
      <w:r w:rsidRPr="00201A9A">
        <w:rPr>
          <w:noProof/>
        </w:rPr>
        <w:t xml:space="preserve"> w cel</w:t>
      </w:r>
      <w:r w:rsidR="00B2674C" w:rsidRPr="00201A9A">
        <w:rPr>
          <w:noProof/>
        </w:rPr>
        <w:t>u zapobiegania nieprawidłowościom,</w:t>
      </w:r>
      <w:r w:rsidRPr="00201A9A">
        <w:rPr>
          <w:noProof/>
        </w:rPr>
        <w:t xml:space="preserve"> w tym</w:t>
      </w:r>
      <w:r w:rsidR="00B2674C" w:rsidRPr="00201A9A">
        <w:rPr>
          <w:noProof/>
        </w:rPr>
        <w:t xml:space="preserve"> nadużyciom finansowym, korupcji, konfliktom interesów</w:t>
      </w:r>
      <w:r w:rsidRPr="00201A9A">
        <w:rPr>
          <w:noProof/>
        </w:rPr>
        <w:t xml:space="preserve"> i pod</w:t>
      </w:r>
      <w:r w:rsidR="00B2674C" w:rsidRPr="00201A9A">
        <w:rPr>
          <w:noProof/>
        </w:rPr>
        <w:t>wójnemu finansowaniu, oraz ich wykrywania</w:t>
      </w:r>
      <w:r w:rsidRPr="00201A9A">
        <w:rPr>
          <w:noProof/>
        </w:rPr>
        <w:t xml:space="preserve"> i eli</w:t>
      </w:r>
      <w:r w:rsidR="00B2674C" w:rsidRPr="00201A9A">
        <w:rPr>
          <w:noProof/>
        </w:rPr>
        <w:t>minowania,</w:t>
      </w:r>
      <w:r w:rsidRPr="00201A9A">
        <w:rPr>
          <w:noProof/>
        </w:rPr>
        <w:t xml:space="preserve"> a tak</w:t>
      </w:r>
      <w:r w:rsidR="00B2674C" w:rsidRPr="00201A9A">
        <w:rPr>
          <w:noProof/>
        </w:rPr>
        <w:t>że</w:t>
      </w:r>
      <w:r w:rsidRPr="00201A9A">
        <w:rPr>
          <w:noProof/>
        </w:rPr>
        <w:t xml:space="preserve"> w cel</w:t>
      </w:r>
      <w:r w:rsidR="00B2674C" w:rsidRPr="00201A9A">
        <w:rPr>
          <w:noProof/>
        </w:rPr>
        <w:t>u zapewnienia zgodności podstawowych operacji</w:t>
      </w:r>
      <w:r w:rsidRPr="00201A9A">
        <w:rPr>
          <w:noProof/>
        </w:rPr>
        <w:t xml:space="preserve"> z maj</w:t>
      </w:r>
      <w:r w:rsidR="00B2674C" w:rsidRPr="00201A9A">
        <w:rPr>
          <w:noProof/>
        </w:rPr>
        <w:t>ącym zastosowanie prawem, zgodnie</w:t>
      </w:r>
      <w:r w:rsidRPr="00201A9A">
        <w:rPr>
          <w:noProof/>
        </w:rPr>
        <w:t xml:space="preserve"> z odp</w:t>
      </w:r>
      <w:r w:rsidR="00B2674C" w:rsidRPr="00201A9A">
        <w:rPr>
          <w:noProof/>
        </w:rPr>
        <w:t>owiednimi kluczowymi wymogami określonymi</w:t>
      </w:r>
      <w:r w:rsidRPr="00201A9A">
        <w:rPr>
          <w:noProof/>
        </w:rPr>
        <w:t xml:space="preserve"> w zał</w:t>
      </w:r>
      <w:r w:rsidR="00B2674C" w:rsidRPr="00201A9A">
        <w:rPr>
          <w:noProof/>
        </w:rPr>
        <w:t>ączniku IV [kluczowe wymogi]; </w:t>
      </w:r>
    </w:p>
    <w:p w14:paraId="5D914978" w14:textId="65DED3F3" w:rsidR="00410938" w:rsidRPr="00201A9A" w:rsidRDefault="00201A9A" w:rsidP="00201A9A">
      <w:pPr>
        <w:pStyle w:val="Point1"/>
        <w:rPr>
          <w:noProof/>
        </w:rPr>
      </w:pPr>
      <w:r w:rsidRPr="00201A9A">
        <w:rPr>
          <w:noProof/>
        </w:rPr>
        <w:t>d)</w:t>
      </w:r>
      <w:r w:rsidRPr="00201A9A">
        <w:rPr>
          <w:noProof/>
        </w:rPr>
        <w:tab/>
      </w:r>
      <w:r w:rsidR="00B2674C" w:rsidRPr="00201A9A">
        <w:rPr>
          <w:noProof/>
        </w:rPr>
        <w:t>wspiera prace komitetu monitorującego poprzez terminowe dostarczanie niezbędnych informacji oraz podejmowanie działań następczych</w:t>
      </w:r>
      <w:r w:rsidRPr="00201A9A">
        <w:rPr>
          <w:noProof/>
        </w:rPr>
        <w:t xml:space="preserve"> w zwi</w:t>
      </w:r>
      <w:r w:rsidR="00B2674C" w:rsidRPr="00201A9A">
        <w:rPr>
          <w:noProof/>
        </w:rPr>
        <w:t>ązku</w:t>
      </w:r>
      <w:r w:rsidRPr="00201A9A">
        <w:rPr>
          <w:noProof/>
        </w:rPr>
        <w:t xml:space="preserve"> z dec</w:t>
      </w:r>
      <w:r w:rsidR="00B2674C" w:rsidRPr="00201A9A">
        <w:rPr>
          <w:noProof/>
        </w:rPr>
        <w:t>yzjami</w:t>
      </w:r>
      <w:r w:rsidRPr="00201A9A">
        <w:rPr>
          <w:noProof/>
        </w:rPr>
        <w:t xml:space="preserve"> i zal</w:t>
      </w:r>
      <w:r w:rsidR="00B2674C" w:rsidRPr="00201A9A">
        <w:rPr>
          <w:noProof/>
        </w:rPr>
        <w:t>eceniami komitetu monitorującego; </w:t>
      </w:r>
    </w:p>
    <w:p w14:paraId="29BC6EF7" w14:textId="32CE0368" w:rsidR="00410938" w:rsidRPr="00201A9A" w:rsidRDefault="00201A9A" w:rsidP="00201A9A">
      <w:pPr>
        <w:pStyle w:val="Point1"/>
        <w:rPr>
          <w:noProof/>
        </w:rPr>
      </w:pPr>
      <w:r w:rsidRPr="00201A9A">
        <w:rPr>
          <w:noProof/>
        </w:rPr>
        <w:t>e)</w:t>
      </w:r>
      <w:r w:rsidRPr="00201A9A">
        <w:rPr>
          <w:noProof/>
        </w:rPr>
        <w:tab/>
      </w:r>
      <w:r w:rsidR="00B2674C" w:rsidRPr="00201A9A">
        <w:rPr>
          <w:noProof/>
        </w:rPr>
        <w:t>w stosownych przypadkach nadzoruje instytucje pośredniczące, przy jednoczesnym zapewnieniu należytych praktyk zarządzania</w:t>
      </w:r>
      <w:r w:rsidRPr="00201A9A">
        <w:rPr>
          <w:noProof/>
        </w:rPr>
        <w:t xml:space="preserve"> i utr</w:t>
      </w:r>
      <w:r w:rsidR="00B2674C" w:rsidRPr="00201A9A">
        <w:rPr>
          <w:noProof/>
        </w:rPr>
        <w:t>zymania odpowiednich zdolności administracyjnych; </w:t>
      </w:r>
    </w:p>
    <w:p w14:paraId="3CF9C290" w14:textId="0FB6D706" w:rsidR="00CF1B33" w:rsidRPr="00201A9A" w:rsidRDefault="00201A9A" w:rsidP="00201A9A">
      <w:pPr>
        <w:pStyle w:val="Point1"/>
        <w:rPr>
          <w:noProof/>
        </w:rPr>
      </w:pPr>
      <w:r w:rsidRPr="00201A9A">
        <w:rPr>
          <w:noProof/>
        </w:rPr>
        <w:t>f)</w:t>
      </w:r>
      <w:r w:rsidRPr="00201A9A">
        <w:rPr>
          <w:noProof/>
        </w:rPr>
        <w:tab/>
      </w:r>
      <w:r w:rsidR="00CF1B33" w:rsidRPr="00201A9A">
        <w:rPr>
          <w:noProof/>
        </w:rPr>
        <w:t>wzmacnia zdolności administracyjne instytucji pośredniczących (w stosownych przypadkach)</w:t>
      </w:r>
      <w:r w:rsidRPr="00201A9A">
        <w:rPr>
          <w:noProof/>
        </w:rPr>
        <w:t xml:space="preserve"> i ben</w:t>
      </w:r>
      <w:r w:rsidR="00CF1B33" w:rsidRPr="00201A9A">
        <w:rPr>
          <w:noProof/>
        </w:rPr>
        <w:t>eficjentów oraz promuje uczenie się polityki</w:t>
      </w:r>
      <w:r w:rsidRPr="00201A9A">
        <w:rPr>
          <w:noProof/>
        </w:rPr>
        <w:t xml:space="preserve"> i eks</w:t>
      </w:r>
      <w:r w:rsidR="00CF1B33" w:rsidRPr="00201A9A">
        <w:rPr>
          <w:noProof/>
        </w:rPr>
        <w:t>perymenty</w:t>
      </w:r>
      <w:r w:rsidRPr="00201A9A">
        <w:rPr>
          <w:noProof/>
        </w:rPr>
        <w:t xml:space="preserve"> w zak</w:t>
      </w:r>
      <w:r w:rsidR="00CF1B33" w:rsidRPr="00201A9A">
        <w:rPr>
          <w:noProof/>
        </w:rPr>
        <w:t>resie polityki</w:t>
      </w:r>
      <w:r w:rsidR="00CF1B33" w:rsidRPr="00201A9A">
        <w:rPr>
          <w:noProof/>
          <w:u w:val="single"/>
        </w:rPr>
        <w:t>;</w:t>
      </w:r>
    </w:p>
    <w:p w14:paraId="54A9D711" w14:textId="157387D9" w:rsidR="00410938" w:rsidRPr="00201A9A" w:rsidRDefault="00201A9A" w:rsidP="00201A9A">
      <w:pPr>
        <w:pStyle w:val="Point1"/>
        <w:rPr>
          <w:noProof/>
        </w:rPr>
      </w:pPr>
      <w:r w:rsidRPr="00201A9A">
        <w:rPr>
          <w:noProof/>
        </w:rPr>
        <w:t>g)</w:t>
      </w:r>
      <w:r w:rsidRPr="00201A9A">
        <w:rPr>
          <w:noProof/>
        </w:rPr>
        <w:tab/>
      </w:r>
      <w:r w:rsidR="00B2674C" w:rsidRPr="00201A9A">
        <w:rPr>
          <w:noProof/>
        </w:rPr>
        <w:t>zapewnia, aby beneficjent otrzymał kwotę należną</w:t>
      </w:r>
      <w:r w:rsidRPr="00201A9A">
        <w:rPr>
          <w:noProof/>
        </w:rPr>
        <w:t xml:space="preserve"> w zwi</w:t>
      </w:r>
      <w:r w:rsidR="00B2674C" w:rsidRPr="00201A9A">
        <w:rPr>
          <w:noProof/>
        </w:rPr>
        <w:t>ązku</w:t>
      </w:r>
      <w:r w:rsidRPr="00201A9A">
        <w:rPr>
          <w:noProof/>
        </w:rPr>
        <w:t xml:space="preserve"> z rea</w:t>
      </w:r>
      <w:r w:rsidR="00B2674C" w:rsidRPr="00201A9A">
        <w:rPr>
          <w:noProof/>
        </w:rPr>
        <w:t>lizacją środka</w:t>
      </w:r>
      <w:r w:rsidRPr="00201A9A">
        <w:rPr>
          <w:noProof/>
        </w:rPr>
        <w:t xml:space="preserve"> w cał</w:t>
      </w:r>
      <w:r w:rsidR="00B2674C" w:rsidRPr="00201A9A">
        <w:rPr>
          <w:noProof/>
        </w:rPr>
        <w:t>ości</w:t>
      </w:r>
      <w:r w:rsidRPr="00201A9A">
        <w:rPr>
          <w:noProof/>
        </w:rPr>
        <w:t xml:space="preserve"> i nie</w:t>
      </w:r>
      <w:r w:rsidR="00B2674C" w:rsidRPr="00201A9A">
        <w:rPr>
          <w:noProof/>
        </w:rPr>
        <w:t xml:space="preserve"> później niż </w:t>
      </w:r>
      <w:r w:rsidR="00B2674C" w:rsidRPr="00201A9A">
        <w:rPr>
          <w:noProof/>
          <w:u w:val="single"/>
        </w:rPr>
        <w:t>[</w:t>
      </w:r>
      <w:r w:rsidR="00B2674C" w:rsidRPr="00201A9A">
        <w:rPr>
          <w:noProof/>
        </w:rPr>
        <w:t>80</w:t>
      </w:r>
      <w:r w:rsidR="00B2674C" w:rsidRPr="00201A9A">
        <w:rPr>
          <w:noProof/>
          <w:u w:val="single"/>
        </w:rPr>
        <w:t>]</w:t>
      </w:r>
      <w:r w:rsidR="00B2674C" w:rsidRPr="00201A9A">
        <w:rPr>
          <w:noProof/>
        </w:rPr>
        <w:t xml:space="preserve"> dni od dnia przedłożenia wniosku</w:t>
      </w:r>
      <w:r w:rsidRPr="00201A9A">
        <w:rPr>
          <w:noProof/>
        </w:rPr>
        <w:t xml:space="preserve"> o pła</w:t>
      </w:r>
      <w:r w:rsidR="00B2674C" w:rsidRPr="00201A9A">
        <w:rPr>
          <w:noProof/>
        </w:rPr>
        <w:t>tność przez beneficjenta; oraz</w:t>
      </w:r>
      <w:r w:rsidRPr="00201A9A">
        <w:rPr>
          <w:noProof/>
        </w:rPr>
        <w:t xml:space="preserve"> w prz</w:t>
      </w:r>
      <w:r w:rsidR="00B2674C" w:rsidRPr="00201A9A">
        <w:rPr>
          <w:noProof/>
        </w:rPr>
        <w:t>ypadku interwencji,</w:t>
      </w:r>
      <w:r w:rsidRPr="00201A9A">
        <w:rPr>
          <w:noProof/>
        </w:rPr>
        <w:t xml:space="preserve"> o któ</w:t>
      </w:r>
      <w:r w:rsidR="00B2674C" w:rsidRPr="00201A9A">
        <w:rPr>
          <w:noProof/>
        </w:rPr>
        <w:t>rych mowa</w:t>
      </w:r>
      <w:r w:rsidRPr="00201A9A">
        <w:rPr>
          <w:noProof/>
        </w:rPr>
        <w:t xml:space="preserve"> w art</w:t>
      </w:r>
      <w:r w:rsidR="00B2674C" w:rsidRPr="00201A9A">
        <w:rPr>
          <w:noProof/>
        </w:rPr>
        <w:t>.</w:t>
      </w:r>
      <w:r w:rsidRPr="00201A9A">
        <w:rPr>
          <w:noProof/>
        </w:rPr>
        <w:t> </w:t>
      </w:r>
      <w:r w:rsidR="00B2674C" w:rsidRPr="00201A9A">
        <w:rPr>
          <w:noProof/>
        </w:rPr>
        <w:t>35 lit.</w:t>
      </w:r>
      <w:r w:rsidRPr="00201A9A">
        <w:rPr>
          <w:noProof/>
        </w:rPr>
        <w:t> </w:t>
      </w:r>
      <w:r w:rsidR="00B2674C" w:rsidRPr="00201A9A">
        <w:rPr>
          <w:noProof/>
        </w:rPr>
        <w:t>a)–g), o), p) i r) [rodzaje interwencji], zapewnia, aby płatność na rzecz beneficjentów miała miejsce nie później niż</w:t>
      </w:r>
      <w:r w:rsidRPr="00201A9A">
        <w:rPr>
          <w:noProof/>
        </w:rPr>
        <w:t xml:space="preserve"> w dni</w:t>
      </w:r>
      <w:r w:rsidR="00B2674C" w:rsidRPr="00201A9A">
        <w:rPr>
          <w:noProof/>
        </w:rPr>
        <w:t>u 30 czerwca roku następującego po roku przedłożenia wniosku</w:t>
      </w:r>
      <w:r w:rsidRPr="00201A9A">
        <w:rPr>
          <w:noProof/>
        </w:rPr>
        <w:t xml:space="preserve"> o pła</w:t>
      </w:r>
      <w:r w:rsidR="00B2674C" w:rsidRPr="00201A9A">
        <w:rPr>
          <w:noProof/>
        </w:rPr>
        <w:t>tność. Bieg terminu może zostać wstrzymany, jeżeli informacje przedstawione przez beneficjenta nie pozwalają instytucji zarządzającej ustalić, czy kwota jest należna; </w:t>
      </w:r>
    </w:p>
    <w:p w14:paraId="12AC8F54" w14:textId="644C4DE8" w:rsidR="00410938" w:rsidRPr="00201A9A" w:rsidRDefault="00201A9A" w:rsidP="00201A9A">
      <w:pPr>
        <w:pStyle w:val="Point1"/>
        <w:rPr>
          <w:noProof/>
        </w:rPr>
      </w:pPr>
      <w:r w:rsidRPr="00201A9A">
        <w:rPr>
          <w:noProof/>
        </w:rPr>
        <w:t>h)</w:t>
      </w:r>
      <w:r w:rsidRPr="00201A9A">
        <w:rPr>
          <w:noProof/>
        </w:rPr>
        <w:tab/>
      </w:r>
      <w:r w:rsidR="00B2674C" w:rsidRPr="00201A9A">
        <w:rPr>
          <w:noProof/>
        </w:rPr>
        <w:t>rejestruje</w:t>
      </w:r>
      <w:r w:rsidRPr="00201A9A">
        <w:rPr>
          <w:noProof/>
        </w:rPr>
        <w:t xml:space="preserve"> i prz</w:t>
      </w:r>
      <w:r w:rsidR="00B2674C" w:rsidRPr="00201A9A">
        <w:rPr>
          <w:noProof/>
        </w:rPr>
        <w:t>echowuje</w:t>
      </w:r>
      <w:r w:rsidRPr="00201A9A">
        <w:rPr>
          <w:noProof/>
        </w:rPr>
        <w:t xml:space="preserve"> w for</w:t>
      </w:r>
      <w:r w:rsidR="00B2674C" w:rsidRPr="00201A9A">
        <w:rPr>
          <w:noProof/>
        </w:rPr>
        <w:t>mie elektronicznej dane niezbędne do monitorowania, oceny, zarządzania finansowego, weryfikacji</w:t>
      </w:r>
      <w:r w:rsidRPr="00201A9A">
        <w:rPr>
          <w:noProof/>
        </w:rPr>
        <w:t xml:space="preserve"> i aud</w:t>
      </w:r>
      <w:r w:rsidR="00B2674C" w:rsidRPr="00201A9A">
        <w:rPr>
          <w:noProof/>
        </w:rPr>
        <w:t>ytów, zgodnie</w:t>
      </w:r>
      <w:r w:rsidRPr="00201A9A">
        <w:rPr>
          <w:noProof/>
        </w:rPr>
        <w:t xml:space="preserve"> z art</w:t>
      </w:r>
      <w:r w:rsidR="00B2674C" w:rsidRPr="00201A9A">
        <w:rPr>
          <w:noProof/>
        </w:rPr>
        <w:t>.</w:t>
      </w:r>
      <w:r w:rsidRPr="00201A9A">
        <w:rPr>
          <w:noProof/>
        </w:rPr>
        <w:t> </w:t>
      </w:r>
      <w:r w:rsidR="00B2674C" w:rsidRPr="00201A9A">
        <w:rPr>
          <w:noProof/>
        </w:rPr>
        <w:t>58 [Obowiązki państwa członkowskiego]</w:t>
      </w:r>
      <w:r w:rsidRPr="00201A9A">
        <w:rPr>
          <w:noProof/>
        </w:rPr>
        <w:t xml:space="preserve"> i zał</w:t>
      </w:r>
      <w:r w:rsidR="00B2674C" w:rsidRPr="00201A9A">
        <w:rPr>
          <w:noProof/>
        </w:rPr>
        <w:t>ącznikiem IV [kluczowe wymogi],</w:t>
      </w:r>
      <w:r w:rsidRPr="00201A9A">
        <w:rPr>
          <w:noProof/>
        </w:rPr>
        <w:t xml:space="preserve"> a tak</w:t>
      </w:r>
      <w:r w:rsidR="00B2674C" w:rsidRPr="00201A9A">
        <w:rPr>
          <w:noProof/>
        </w:rPr>
        <w:t>że zapewnia bezpieczeństwo, integralność</w:t>
      </w:r>
      <w:r w:rsidRPr="00201A9A">
        <w:rPr>
          <w:noProof/>
        </w:rPr>
        <w:t xml:space="preserve"> i pou</w:t>
      </w:r>
      <w:r w:rsidR="00B2674C" w:rsidRPr="00201A9A">
        <w:rPr>
          <w:noProof/>
        </w:rPr>
        <w:t>fność danych oraz uwierzytelnianie użytkowników; </w:t>
      </w:r>
    </w:p>
    <w:p w14:paraId="01034F6E" w14:textId="41F95D65" w:rsidR="00410938" w:rsidRPr="00201A9A" w:rsidRDefault="00201A9A" w:rsidP="00201A9A">
      <w:pPr>
        <w:pStyle w:val="Point1"/>
        <w:rPr>
          <w:noProof/>
        </w:rPr>
      </w:pPr>
      <w:r w:rsidRPr="00201A9A">
        <w:rPr>
          <w:noProof/>
        </w:rPr>
        <w:t>i)</w:t>
      </w:r>
      <w:r w:rsidRPr="00201A9A">
        <w:rPr>
          <w:noProof/>
        </w:rPr>
        <w:tab/>
      </w:r>
      <w:r w:rsidR="003776B3" w:rsidRPr="00201A9A">
        <w:rPr>
          <w:noProof/>
        </w:rPr>
        <w:t>zapewnia, aby każdy beneficjent otrzymał dokument określający warunki wsparcia; plan finansowy, limity wykonania oraz,</w:t>
      </w:r>
      <w:r w:rsidRPr="00201A9A">
        <w:rPr>
          <w:noProof/>
        </w:rPr>
        <w:t xml:space="preserve"> w sto</w:t>
      </w:r>
      <w:r w:rsidR="003776B3" w:rsidRPr="00201A9A">
        <w:rPr>
          <w:noProof/>
        </w:rPr>
        <w:t xml:space="preserve">sownych przypadkach, sposób stosowania warunków płatności; </w:t>
      </w:r>
    </w:p>
    <w:p w14:paraId="770ACE21" w14:textId="0C7844E4" w:rsidR="00410938" w:rsidRPr="00201A9A" w:rsidRDefault="00201A9A" w:rsidP="00201A9A">
      <w:pPr>
        <w:pStyle w:val="Point1"/>
        <w:rPr>
          <w:noProof/>
        </w:rPr>
      </w:pPr>
      <w:r w:rsidRPr="00201A9A">
        <w:rPr>
          <w:noProof/>
        </w:rPr>
        <w:t>j)</w:t>
      </w:r>
      <w:r w:rsidRPr="00201A9A">
        <w:rPr>
          <w:noProof/>
        </w:rPr>
        <w:tab/>
      </w:r>
      <w:r w:rsidR="00180B44" w:rsidRPr="00201A9A">
        <w:rPr>
          <w:noProof/>
        </w:rPr>
        <w:t>zapewnia, aby beneficjenci wywiązywali się</w:t>
      </w:r>
      <w:r w:rsidRPr="00201A9A">
        <w:rPr>
          <w:noProof/>
        </w:rPr>
        <w:t xml:space="preserve"> z obo</w:t>
      </w:r>
      <w:r w:rsidR="00180B44" w:rsidRPr="00201A9A">
        <w:rPr>
          <w:noProof/>
        </w:rPr>
        <w:t>wiązku zapewnienia widoczności wsparcia Unii, zgodnie</w:t>
      </w:r>
      <w:r w:rsidRPr="00201A9A">
        <w:rPr>
          <w:noProof/>
        </w:rPr>
        <w:t xml:space="preserve"> z art</w:t>
      </w:r>
      <w:r w:rsidR="00180B44" w:rsidRPr="00201A9A">
        <w:rPr>
          <w:noProof/>
        </w:rPr>
        <w:t>.</w:t>
      </w:r>
      <w:r w:rsidRPr="00201A9A">
        <w:rPr>
          <w:noProof/>
        </w:rPr>
        <w:t> </w:t>
      </w:r>
      <w:r w:rsidR="00180B44" w:rsidRPr="00201A9A">
        <w:rPr>
          <w:noProof/>
        </w:rPr>
        <w:t>18 rozporządzenia (UE, Euratom) XX [rozporządzenie</w:t>
      </w:r>
      <w:r w:rsidRPr="00201A9A">
        <w:rPr>
          <w:noProof/>
        </w:rPr>
        <w:t xml:space="preserve"> w spr</w:t>
      </w:r>
      <w:r w:rsidR="00180B44" w:rsidRPr="00201A9A">
        <w:rPr>
          <w:noProof/>
        </w:rPr>
        <w:t>awie wykonania];</w:t>
      </w:r>
    </w:p>
    <w:p w14:paraId="7492B768" w14:textId="4E8AD532" w:rsidR="00410938" w:rsidRPr="00201A9A" w:rsidRDefault="00201A9A" w:rsidP="00201A9A">
      <w:pPr>
        <w:pStyle w:val="Point1"/>
        <w:rPr>
          <w:noProof/>
        </w:rPr>
      </w:pPr>
      <w:r w:rsidRPr="00201A9A">
        <w:rPr>
          <w:noProof/>
        </w:rPr>
        <w:t>k)</w:t>
      </w:r>
      <w:r w:rsidRPr="00201A9A">
        <w:rPr>
          <w:noProof/>
        </w:rPr>
        <w:tab/>
      </w:r>
      <w:r w:rsidR="00180B44" w:rsidRPr="00201A9A">
        <w:rPr>
          <w:noProof/>
        </w:rPr>
        <w:t>podpisuje deklarację zarządczą,</w:t>
      </w:r>
      <w:r w:rsidRPr="00201A9A">
        <w:rPr>
          <w:noProof/>
        </w:rPr>
        <w:t xml:space="preserve"> o któ</w:t>
      </w:r>
      <w:r w:rsidR="00180B44" w:rsidRPr="00201A9A">
        <w:rPr>
          <w:noProof/>
        </w:rPr>
        <w:t>rej mowa</w:t>
      </w:r>
      <w:r w:rsidRPr="00201A9A">
        <w:rPr>
          <w:noProof/>
        </w:rPr>
        <w:t xml:space="preserve"> w art</w:t>
      </w:r>
      <w:r w:rsidR="00180B44" w:rsidRPr="00201A9A">
        <w:rPr>
          <w:noProof/>
        </w:rPr>
        <w:t>.</w:t>
      </w:r>
      <w:r w:rsidRPr="00201A9A">
        <w:rPr>
          <w:noProof/>
        </w:rPr>
        <w:t> </w:t>
      </w:r>
      <w:r w:rsidR="00180B44" w:rsidRPr="00201A9A">
        <w:rPr>
          <w:noProof/>
        </w:rPr>
        <w:t>59 ust.</w:t>
      </w:r>
      <w:r w:rsidRPr="00201A9A">
        <w:rPr>
          <w:noProof/>
        </w:rPr>
        <w:t> </w:t>
      </w:r>
      <w:r w:rsidR="00180B44" w:rsidRPr="00201A9A">
        <w:rPr>
          <w:noProof/>
        </w:rPr>
        <w:t>1 lit.</w:t>
      </w:r>
      <w:r w:rsidRPr="00201A9A">
        <w:rPr>
          <w:noProof/>
        </w:rPr>
        <w:t> </w:t>
      </w:r>
      <w:r w:rsidR="00180B44" w:rsidRPr="00201A9A">
        <w:rPr>
          <w:noProof/>
        </w:rPr>
        <w:t>a) ust.</w:t>
      </w:r>
      <w:r w:rsidRPr="00201A9A">
        <w:rPr>
          <w:noProof/>
        </w:rPr>
        <w:t> </w:t>
      </w:r>
      <w:r w:rsidR="00180B44" w:rsidRPr="00201A9A">
        <w:rPr>
          <w:noProof/>
        </w:rPr>
        <w:t>1 lit.</w:t>
      </w:r>
      <w:r w:rsidRPr="00201A9A">
        <w:rPr>
          <w:noProof/>
        </w:rPr>
        <w:t> </w:t>
      </w:r>
      <w:r w:rsidR="00180B44" w:rsidRPr="00201A9A">
        <w:rPr>
          <w:noProof/>
        </w:rPr>
        <w:t>c) pkt</w:t>
      </w:r>
      <w:r w:rsidRPr="00201A9A">
        <w:rPr>
          <w:noProof/>
        </w:rPr>
        <w:t> </w:t>
      </w:r>
      <w:r w:rsidR="00180B44" w:rsidRPr="00201A9A">
        <w:rPr>
          <w:noProof/>
        </w:rPr>
        <w:t>1 lit.</w:t>
      </w:r>
      <w:r w:rsidRPr="00201A9A">
        <w:rPr>
          <w:noProof/>
        </w:rPr>
        <w:t> </w:t>
      </w:r>
      <w:r w:rsidR="00180B44" w:rsidRPr="00201A9A">
        <w:rPr>
          <w:noProof/>
        </w:rPr>
        <w:t>a) [Roczny pakiet dokumentów dotyczących poświadczenia wiarygodności], zgodnie ze wzorem określonym</w:t>
      </w:r>
      <w:r w:rsidRPr="00201A9A">
        <w:rPr>
          <w:noProof/>
        </w:rPr>
        <w:t xml:space="preserve"> w zał</w:t>
      </w:r>
      <w:r w:rsidR="00180B44" w:rsidRPr="00201A9A">
        <w:rPr>
          <w:noProof/>
        </w:rPr>
        <w:t>ączniku XII [deklaracja zarządcza];</w:t>
      </w:r>
    </w:p>
    <w:p w14:paraId="3B92FA0E" w14:textId="73EE3D71" w:rsidR="00410938" w:rsidRPr="00201A9A" w:rsidRDefault="00201A9A" w:rsidP="00201A9A">
      <w:pPr>
        <w:pStyle w:val="Point1"/>
        <w:rPr>
          <w:noProof/>
        </w:rPr>
      </w:pPr>
      <w:r w:rsidRPr="00201A9A">
        <w:rPr>
          <w:noProof/>
        </w:rPr>
        <w:t>l)</w:t>
      </w:r>
      <w:r w:rsidRPr="00201A9A">
        <w:rPr>
          <w:noProof/>
        </w:rPr>
        <w:tab/>
      </w:r>
      <w:r w:rsidR="00410938" w:rsidRPr="00201A9A">
        <w:rPr>
          <w:noProof/>
        </w:rPr>
        <w:t>przekazuje informacje na temat postępów we wdrażaniu środków przewidzianych</w:t>
      </w:r>
      <w:r w:rsidRPr="00201A9A">
        <w:rPr>
          <w:noProof/>
        </w:rPr>
        <w:t xml:space="preserve"> w pla</w:t>
      </w:r>
      <w:r w:rsidR="00410938" w:rsidRPr="00201A9A">
        <w:rPr>
          <w:noProof/>
        </w:rPr>
        <w:t>nie zgodnie</w:t>
      </w:r>
      <w:r w:rsidRPr="00201A9A">
        <w:rPr>
          <w:noProof/>
        </w:rPr>
        <w:t xml:space="preserve"> z art</w:t>
      </w:r>
      <w:r w:rsidR="00410938" w:rsidRPr="00201A9A">
        <w:rPr>
          <w:noProof/>
        </w:rPr>
        <w:t>.</w:t>
      </w:r>
      <w:r w:rsidRPr="00201A9A">
        <w:rPr>
          <w:noProof/>
        </w:rPr>
        <w:t> </w:t>
      </w:r>
      <w:r w:rsidR="00410938" w:rsidRPr="00201A9A">
        <w:rPr>
          <w:noProof/>
        </w:rPr>
        <w:t>58 [Obowiązki państw członkowskich]</w:t>
      </w:r>
      <w:r w:rsidRPr="00201A9A">
        <w:rPr>
          <w:noProof/>
        </w:rPr>
        <w:t xml:space="preserve"> i zał</w:t>
      </w:r>
      <w:r w:rsidR="00410938" w:rsidRPr="00201A9A">
        <w:rPr>
          <w:noProof/>
        </w:rPr>
        <w:t>ącznikiem IX [Składanie sprawozdań</w:t>
      </w:r>
      <w:r w:rsidRPr="00201A9A">
        <w:rPr>
          <w:noProof/>
        </w:rPr>
        <w:t xml:space="preserve"> z pos</w:t>
      </w:r>
      <w:r w:rsidR="00410938" w:rsidRPr="00201A9A">
        <w:rPr>
          <w:noProof/>
        </w:rPr>
        <w:t>tępów we wdrażaniu środków].</w:t>
      </w:r>
    </w:p>
    <w:p w14:paraId="108FCCDF" w14:textId="1A4E1E82" w:rsidR="00410938" w:rsidRPr="00201A9A" w:rsidRDefault="00410938" w:rsidP="003E2902">
      <w:pPr>
        <w:pStyle w:val="NumPar10000000"/>
        <w:numPr>
          <w:ilvl w:val="0"/>
          <w:numId w:val="62"/>
        </w:numPr>
        <w:rPr>
          <w:noProof/>
        </w:rPr>
      </w:pPr>
      <w:r w:rsidRPr="00201A9A">
        <w:rPr>
          <w:noProof/>
        </w:rPr>
        <w:t>Weryfikacje zarządcze,</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lit.</w:t>
      </w:r>
      <w:r w:rsidR="00201A9A" w:rsidRPr="00201A9A">
        <w:rPr>
          <w:noProof/>
        </w:rPr>
        <w:t> </w:t>
      </w:r>
      <w:r w:rsidRPr="00201A9A">
        <w:rPr>
          <w:noProof/>
        </w:rPr>
        <w:t xml:space="preserve">b), opierają się na analizie ryzyka i są proporcjonalne do ryzyk stwierdzonych </w:t>
      </w:r>
      <w:r w:rsidRPr="00201A9A">
        <w:rPr>
          <w:i/>
          <w:noProof/>
        </w:rPr>
        <w:t>ex ante</w:t>
      </w:r>
      <w:r w:rsidRPr="00201A9A">
        <w:rPr>
          <w:noProof/>
        </w:rPr>
        <w:t xml:space="preserve"> i na piśmie. </w:t>
      </w:r>
    </w:p>
    <w:p w14:paraId="77B33C0F" w14:textId="73B764B1" w:rsidR="00410938" w:rsidRPr="00201A9A" w:rsidRDefault="00410938" w:rsidP="003E2902">
      <w:pPr>
        <w:pStyle w:val="NumPar10000000"/>
        <w:numPr>
          <w:ilvl w:val="0"/>
          <w:numId w:val="62"/>
        </w:numPr>
        <w:rPr>
          <w:noProof/>
        </w:rPr>
      </w:pPr>
      <w:r w:rsidRPr="00201A9A">
        <w:rPr>
          <w:noProof/>
        </w:rPr>
        <w:t>Weryfikacje zarządcze obejmują kontrole administracyjne</w:t>
      </w:r>
      <w:r w:rsidR="00201A9A" w:rsidRPr="00201A9A">
        <w:rPr>
          <w:noProof/>
        </w:rPr>
        <w:t xml:space="preserve"> w odn</w:t>
      </w:r>
      <w:r w:rsidRPr="00201A9A">
        <w:rPr>
          <w:noProof/>
        </w:rPr>
        <w:t>iesieniu do wniosków</w:t>
      </w:r>
      <w:r w:rsidR="00201A9A" w:rsidRPr="00201A9A">
        <w:rPr>
          <w:noProof/>
        </w:rPr>
        <w:t xml:space="preserve"> o pła</w:t>
      </w:r>
      <w:r w:rsidRPr="00201A9A">
        <w:rPr>
          <w:noProof/>
        </w:rPr>
        <w:t>tność przedłożonych przez beneficjentów oraz kontrole na miejscu przeprowadzone</w:t>
      </w:r>
      <w:r w:rsidR="00201A9A" w:rsidRPr="00201A9A">
        <w:rPr>
          <w:noProof/>
        </w:rPr>
        <w:t xml:space="preserve"> w odn</w:t>
      </w:r>
      <w:r w:rsidRPr="00201A9A">
        <w:rPr>
          <w:noProof/>
        </w:rPr>
        <w:t>iesieniu do operacji. Weryfikacje te przeprowadza się przed przedłożeniem rocznego pakietu dokumentów dotyczących poświadczenia wiarygodności zgodnie</w:t>
      </w:r>
      <w:r w:rsidR="00201A9A" w:rsidRPr="00201A9A">
        <w:rPr>
          <w:noProof/>
        </w:rPr>
        <w:t xml:space="preserve"> z art</w:t>
      </w:r>
      <w:r w:rsidRPr="00201A9A">
        <w:rPr>
          <w:noProof/>
        </w:rPr>
        <w:t>.</w:t>
      </w:r>
      <w:r w:rsidR="00201A9A" w:rsidRPr="00201A9A">
        <w:rPr>
          <w:noProof/>
        </w:rPr>
        <w:t> </w:t>
      </w:r>
      <w:r w:rsidRPr="00201A9A">
        <w:rPr>
          <w:noProof/>
        </w:rPr>
        <w:t>59. </w:t>
      </w:r>
    </w:p>
    <w:p w14:paraId="3213FC5E" w14:textId="77777777" w:rsidR="006D4DFA" w:rsidRPr="00201A9A" w:rsidRDefault="006D4DFA" w:rsidP="006D4DFA">
      <w:pPr>
        <w:pStyle w:val="Titrearticle"/>
        <w:rPr>
          <w:noProof/>
        </w:rPr>
      </w:pPr>
      <w:r w:rsidRPr="00201A9A">
        <w:rPr>
          <w:noProof/>
        </w:rPr>
        <w:t xml:space="preserve">Artykuł 52 </w:t>
      </w:r>
      <w:r w:rsidRPr="00201A9A">
        <w:rPr>
          <w:noProof/>
        </w:rPr>
        <w:br/>
      </w:r>
      <w:r w:rsidRPr="00201A9A">
        <w:rPr>
          <w:b/>
          <w:noProof/>
        </w:rPr>
        <w:t>Funkcje agencji płatniczej</w:t>
      </w:r>
      <w:r w:rsidRPr="00201A9A">
        <w:rPr>
          <w:noProof/>
        </w:rPr>
        <w:t xml:space="preserve"> </w:t>
      </w:r>
    </w:p>
    <w:p w14:paraId="43C571CC" w14:textId="59EE2787" w:rsidR="00410938" w:rsidRPr="00201A9A" w:rsidRDefault="00410938" w:rsidP="003E2902">
      <w:pPr>
        <w:pStyle w:val="NumPar10000000"/>
        <w:numPr>
          <w:ilvl w:val="0"/>
          <w:numId w:val="63"/>
        </w:numPr>
        <w:rPr>
          <w:noProof/>
        </w:rPr>
      </w:pPr>
      <w:r w:rsidRPr="00201A9A">
        <w:rPr>
          <w:noProof/>
        </w:rPr>
        <w:t>Agencja płatnicza dysponuje strukturą administracyjną</w:t>
      </w:r>
      <w:r w:rsidR="00201A9A" w:rsidRPr="00201A9A">
        <w:rPr>
          <w:noProof/>
        </w:rPr>
        <w:t xml:space="preserve"> i sys</w:t>
      </w:r>
      <w:r w:rsidRPr="00201A9A">
        <w:rPr>
          <w:noProof/>
        </w:rPr>
        <w:t>temem kontroli wewnętrznej, który jest zgodny</w:t>
      </w:r>
      <w:r w:rsidR="00201A9A" w:rsidRPr="00201A9A">
        <w:rPr>
          <w:noProof/>
        </w:rPr>
        <w:t xml:space="preserve"> z uzn</w:t>
      </w:r>
      <w:r w:rsidRPr="00201A9A">
        <w:rPr>
          <w:noProof/>
        </w:rPr>
        <w:t>anymi na szczeblu międzynarodowym standardami kontroli wewnętrznej</w:t>
      </w:r>
      <w:r w:rsidR="00201A9A" w:rsidRPr="00201A9A">
        <w:rPr>
          <w:noProof/>
        </w:rPr>
        <w:t xml:space="preserve"> i któ</w:t>
      </w:r>
      <w:r w:rsidRPr="00201A9A">
        <w:rPr>
          <w:noProof/>
        </w:rPr>
        <w:t>ry zapewnia wystarczające gwarancje, że płatności są dokonywane legalnie</w:t>
      </w:r>
      <w:r w:rsidR="00201A9A" w:rsidRPr="00201A9A">
        <w:rPr>
          <w:noProof/>
        </w:rPr>
        <w:t xml:space="preserve"> i pra</w:t>
      </w:r>
      <w:r w:rsidRPr="00201A9A">
        <w:rPr>
          <w:noProof/>
        </w:rPr>
        <w:t xml:space="preserve">widłowo i że są właściwie rozliczane. </w:t>
      </w:r>
    </w:p>
    <w:p w14:paraId="08AB7C2D" w14:textId="67CD4D06" w:rsidR="00410938" w:rsidRPr="00201A9A" w:rsidRDefault="006F460D" w:rsidP="003E2902">
      <w:pPr>
        <w:pStyle w:val="NumPar10000000"/>
        <w:numPr>
          <w:ilvl w:val="0"/>
          <w:numId w:val="62"/>
        </w:numPr>
        <w:rPr>
          <w:noProof/>
        </w:rPr>
      </w:pPr>
      <w:r w:rsidRPr="00201A9A">
        <w:rPr>
          <w:noProof/>
        </w:rPr>
        <w:t>Każde państwo członkowskie,</w:t>
      </w:r>
      <w:r w:rsidR="00201A9A" w:rsidRPr="00201A9A">
        <w:rPr>
          <w:noProof/>
        </w:rPr>
        <w:t xml:space="preserve"> z uwz</w:t>
      </w:r>
      <w:r w:rsidRPr="00201A9A">
        <w:rPr>
          <w:noProof/>
        </w:rPr>
        <w:t>ględnieniem swoich postanowień instytucjonalnych, ogranicza liczbę akredytowanych agencji płatniczych do jednej agencji płatniczej na poziomie krajowym lub,</w:t>
      </w:r>
      <w:r w:rsidR="00201A9A" w:rsidRPr="00201A9A">
        <w:rPr>
          <w:noProof/>
        </w:rPr>
        <w:t xml:space="preserve"> w sto</w:t>
      </w:r>
      <w:r w:rsidRPr="00201A9A">
        <w:rPr>
          <w:noProof/>
        </w:rPr>
        <w:t>sownych przypadkach, do jednej agencji na region.</w:t>
      </w:r>
    </w:p>
    <w:p w14:paraId="35C76E64" w14:textId="42D9D51A" w:rsidR="00410938" w:rsidRPr="00201A9A" w:rsidRDefault="00410938" w:rsidP="003E2902">
      <w:pPr>
        <w:pStyle w:val="NumPar10000000"/>
        <w:numPr>
          <w:ilvl w:val="0"/>
          <w:numId w:val="62"/>
        </w:numPr>
        <w:rPr>
          <w:noProof/>
        </w:rPr>
      </w:pPr>
      <w:r w:rsidRPr="00201A9A">
        <w:rPr>
          <w:noProof/>
        </w:rPr>
        <w:t>W odniesieniu do środków,</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35 [rodzaj interwencji</w:t>
      </w:r>
      <w:r w:rsidR="00201A9A" w:rsidRPr="00201A9A">
        <w:rPr>
          <w:noProof/>
        </w:rPr>
        <w:t xml:space="preserve"> w ram</w:t>
      </w:r>
      <w:r w:rsidRPr="00201A9A">
        <w:rPr>
          <w:noProof/>
        </w:rPr>
        <w:t>ach WPR], agencja płatnicza wykonuje zadania instytucji zarządzającej wymienione</w:t>
      </w:r>
      <w:r w:rsidR="00201A9A" w:rsidRPr="00201A9A">
        <w:rPr>
          <w:noProof/>
        </w:rPr>
        <w:t xml:space="preserve"> w art</w:t>
      </w:r>
      <w:r w:rsidRPr="00201A9A">
        <w:rPr>
          <w:noProof/>
        </w:rPr>
        <w:t>.</w:t>
      </w:r>
      <w:r w:rsidR="00201A9A" w:rsidRPr="00201A9A">
        <w:rPr>
          <w:noProof/>
        </w:rPr>
        <w:t> </w:t>
      </w:r>
      <w:r w:rsidRPr="00201A9A">
        <w:rPr>
          <w:noProof/>
        </w:rPr>
        <w:t>51 ust.</w:t>
      </w:r>
      <w:r w:rsidR="00201A9A" w:rsidRPr="00201A9A">
        <w:rPr>
          <w:noProof/>
        </w:rPr>
        <w:t> </w:t>
      </w:r>
      <w:r w:rsidRPr="00201A9A">
        <w:rPr>
          <w:noProof/>
        </w:rPr>
        <w:t>1 [instytucja zarządzająca], lit.</w:t>
      </w:r>
      <w:r w:rsidR="00201A9A" w:rsidRPr="00201A9A">
        <w:rPr>
          <w:noProof/>
        </w:rPr>
        <w:t> </w:t>
      </w:r>
      <w:r w:rsidRPr="00201A9A">
        <w:rPr>
          <w:noProof/>
        </w:rPr>
        <w:t>b), c), f), g), h), i), j) i k) oraz ust.</w:t>
      </w:r>
      <w:r w:rsidR="00201A9A" w:rsidRPr="00201A9A">
        <w:rPr>
          <w:noProof/>
        </w:rPr>
        <w:t> </w:t>
      </w:r>
      <w:r w:rsidRPr="00201A9A">
        <w:rPr>
          <w:noProof/>
        </w:rPr>
        <w:t>2</w:t>
      </w:r>
      <w:r w:rsidR="00201A9A" w:rsidRPr="00201A9A">
        <w:rPr>
          <w:noProof/>
        </w:rPr>
        <w:t xml:space="preserve"> i 3</w:t>
      </w:r>
      <w:r w:rsidRPr="00201A9A">
        <w:rPr>
          <w:noProof/>
        </w:rPr>
        <w:t xml:space="preserve"> tego artykułu.</w:t>
      </w:r>
    </w:p>
    <w:p w14:paraId="3EE2B3F7" w14:textId="6E3CEB0F" w:rsidR="00410938" w:rsidRPr="00201A9A" w:rsidRDefault="00410938" w:rsidP="0022256C">
      <w:pPr>
        <w:pStyle w:val="Text1"/>
        <w:ind w:left="851"/>
        <w:rPr>
          <w:noProof/>
        </w:rPr>
      </w:pPr>
      <w:r w:rsidRPr="00201A9A">
        <w:rPr>
          <w:noProof/>
        </w:rPr>
        <w:t>Agencja płatnicza może delegować wykonywanie swoich zadań,</w:t>
      </w:r>
      <w:r w:rsidR="00201A9A" w:rsidRPr="00201A9A">
        <w:rPr>
          <w:noProof/>
        </w:rPr>
        <w:t xml:space="preserve"> z wyj</w:t>
      </w:r>
      <w:r w:rsidRPr="00201A9A">
        <w:rPr>
          <w:noProof/>
        </w:rPr>
        <w:t>ątkiem dokonywania płatności.</w:t>
      </w:r>
    </w:p>
    <w:p w14:paraId="1A1EE911" w14:textId="18700623" w:rsidR="00410938" w:rsidRPr="00201A9A" w:rsidRDefault="00410938" w:rsidP="003E2902">
      <w:pPr>
        <w:pStyle w:val="NumPar10000000"/>
        <w:numPr>
          <w:ilvl w:val="0"/>
          <w:numId w:val="62"/>
        </w:numPr>
        <w:rPr>
          <w:noProof/>
        </w:rPr>
      </w:pPr>
      <w:r w:rsidRPr="00201A9A">
        <w:rPr>
          <w:noProof/>
        </w:rPr>
        <w:t>Agencja płatnicza przekazuje organowi koordynującemu niezbędne informacje do celów art.</w:t>
      </w:r>
      <w:r w:rsidR="00201A9A" w:rsidRPr="00201A9A">
        <w:rPr>
          <w:noProof/>
        </w:rPr>
        <w:t> </w:t>
      </w:r>
      <w:r w:rsidRPr="00201A9A">
        <w:rPr>
          <w:noProof/>
        </w:rPr>
        <w:t>50 lit.</w:t>
      </w:r>
      <w:r w:rsidR="00201A9A" w:rsidRPr="00201A9A">
        <w:rPr>
          <w:noProof/>
        </w:rPr>
        <w:t> </w:t>
      </w:r>
      <w:r w:rsidRPr="00201A9A">
        <w:rPr>
          <w:noProof/>
        </w:rPr>
        <w:t>c), e) i f) rozporządzenia [organ koordynujący].</w:t>
      </w:r>
    </w:p>
    <w:p w14:paraId="2EDFFEF4" w14:textId="3162FCFD" w:rsidR="00410938" w:rsidRPr="00201A9A" w:rsidRDefault="00410938" w:rsidP="0022256C">
      <w:pPr>
        <w:pStyle w:val="Text1"/>
        <w:ind w:left="851"/>
        <w:rPr>
          <w:noProof/>
        </w:rPr>
      </w:pPr>
      <w:r w:rsidRPr="00201A9A">
        <w:rPr>
          <w:noProof/>
        </w:rPr>
        <w:t>Osoba kierująca agencją płatniczą sporządza</w:t>
      </w:r>
      <w:r w:rsidR="00201A9A" w:rsidRPr="00201A9A">
        <w:rPr>
          <w:noProof/>
        </w:rPr>
        <w:t xml:space="preserve"> i prz</w:t>
      </w:r>
      <w:r w:rsidRPr="00201A9A">
        <w:rPr>
          <w:noProof/>
        </w:rPr>
        <w:t>ekazuje organowi koordynującemu deklarację zarządczą,</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59 ust.</w:t>
      </w:r>
      <w:r w:rsidR="00201A9A" w:rsidRPr="00201A9A">
        <w:rPr>
          <w:noProof/>
        </w:rPr>
        <w:t> </w:t>
      </w:r>
      <w:r w:rsidRPr="00201A9A">
        <w:rPr>
          <w:noProof/>
        </w:rPr>
        <w:t>1 lit.</w:t>
      </w:r>
      <w:r w:rsidR="00201A9A" w:rsidRPr="00201A9A">
        <w:rPr>
          <w:noProof/>
        </w:rPr>
        <w:t> </w:t>
      </w:r>
      <w:r w:rsidRPr="00201A9A">
        <w:rPr>
          <w:noProof/>
        </w:rPr>
        <w:t>c) niniejszego rozporządzenia [Przedłożenie rocznego pakietu dokumentów dotyczących poświadczenia wiarygodności].</w:t>
      </w:r>
    </w:p>
    <w:p w14:paraId="62449EF2" w14:textId="118335A1" w:rsidR="00410938" w:rsidRPr="00201A9A" w:rsidRDefault="00462E4D" w:rsidP="003E2902">
      <w:pPr>
        <w:pStyle w:val="NumPar10000000"/>
        <w:numPr>
          <w:ilvl w:val="0"/>
          <w:numId w:val="62"/>
        </w:numPr>
        <w:rPr>
          <w:noProof/>
        </w:rPr>
      </w:pPr>
      <w:r w:rsidRPr="00201A9A">
        <w:rPr>
          <w:noProof/>
        </w:rPr>
        <w:t>Każde państwo członkowskie stale monitoruje zgodność agencji płatniczej</w:t>
      </w:r>
      <w:r w:rsidR="00201A9A" w:rsidRPr="00201A9A">
        <w:rPr>
          <w:noProof/>
        </w:rPr>
        <w:t xml:space="preserve"> z wym</w:t>
      </w:r>
      <w:r w:rsidRPr="00201A9A">
        <w:rPr>
          <w:noProof/>
        </w:rPr>
        <w:t>ogami określonymi</w:t>
      </w:r>
      <w:r w:rsidR="00201A9A" w:rsidRPr="00201A9A">
        <w:rPr>
          <w:noProof/>
        </w:rPr>
        <w:t xml:space="preserve"> w ust</w:t>
      </w:r>
      <w:r w:rsidRPr="00201A9A">
        <w:rPr>
          <w:noProof/>
        </w:rPr>
        <w:t>.</w:t>
      </w:r>
      <w:r w:rsidR="00201A9A" w:rsidRPr="00201A9A">
        <w:rPr>
          <w:noProof/>
        </w:rPr>
        <w:t> </w:t>
      </w:r>
      <w:r w:rsidRPr="00201A9A">
        <w:rPr>
          <w:noProof/>
        </w:rPr>
        <w:t>1</w:t>
      </w:r>
      <w:r w:rsidR="00201A9A" w:rsidRPr="00201A9A">
        <w:rPr>
          <w:noProof/>
        </w:rPr>
        <w:t xml:space="preserve"> i odp</w:t>
      </w:r>
      <w:r w:rsidRPr="00201A9A">
        <w:rPr>
          <w:noProof/>
        </w:rPr>
        <w:t>owiada za wydawanie, przegląd</w:t>
      </w:r>
      <w:r w:rsidR="00201A9A" w:rsidRPr="00201A9A">
        <w:rPr>
          <w:noProof/>
        </w:rPr>
        <w:t xml:space="preserve"> i cof</w:t>
      </w:r>
      <w:r w:rsidRPr="00201A9A">
        <w:rPr>
          <w:noProof/>
        </w:rPr>
        <w:t xml:space="preserve">anie akredytacji dla agencji płatniczych. </w:t>
      </w:r>
    </w:p>
    <w:p w14:paraId="7D928E9D" w14:textId="5F49E4DA" w:rsidR="00410938" w:rsidRPr="00201A9A" w:rsidRDefault="00410938" w:rsidP="0022256C">
      <w:pPr>
        <w:pStyle w:val="Text1"/>
        <w:ind w:left="851"/>
        <w:rPr>
          <w:noProof/>
        </w:rPr>
      </w:pPr>
      <w:r w:rsidRPr="00201A9A">
        <w:rPr>
          <w:noProof/>
        </w:rPr>
        <w:t>Jeżeli państwo członkowskie ustaliło, że akredytowana agencja płatnicza nie spełnia już co najmniej jednego</w:t>
      </w:r>
      <w:r w:rsidR="00201A9A" w:rsidRPr="00201A9A">
        <w:rPr>
          <w:noProof/>
        </w:rPr>
        <w:t xml:space="preserve"> z wym</w:t>
      </w:r>
      <w:r w:rsidRPr="00201A9A">
        <w:rPr>
          <w:noProof/>
        </w:rPr>
        <w:t>ogów określonych</w:t>
      </w:r>
      <w:r w:rsidR="00201A9A" w:rsidRPr="00201A9A">
        <w:rPr>
          <w:noProof/>
        </w:rPr>
        <w:t xml:space="preserve"> w ust</w:t>
      </w:r>
      <w:r w:rsidRPr="00201A9A">
        <w:rPr>
          <w:noProof/>
        </w:rPr>
        <w:t>.</w:t>
      </w:r>
      <w:r w:rsidR="00201A9A" w:rsidRPr="00201A9A">
        <w:rPr>
          <w:noProof/>
        </w:rPr>
        <w:t> </w:t>
      </w:r>
      <w:r w:rsidRPr="00201A9A">
        <w:rPr>
          <w:noProof/>
        </w:rPr>
        <w:t>1</w:t>
      </w:r>
      <w:r w:rsidR="00201A9A" w:rsidRPr="00201A9A">
        <w:rPr>
          <w:noProof/>
        </w:rPr>
        <w:t xml:space="preserve"> w spo</w:t>
      </w:r>
      <w:r w:rsidRPr="00201A9A">
        <w:rPr>
          <w:noProof/>
        </w:rPr>
        <w:t>sób, który wpływa na realizację jej zadań, państwo członkowskie poddaje bezzwłocznie akredytację agencji płatniczej okresowi próbnemu. Opracowuje ono plan działań wraz</w:t>
      </w:r>
      <w:r w:rsidR="00201A9A" w:rsidRPr="00201A9A">
        <w:rPr>
          <w:noProof/>
        </w:rPr>
        <w:t xml:space="preserve"> z ich</w:t>
      </w:r>
      <w:r w:rsidRPr="00201A9A">
        <w:rPr>
          <w:noProof/>
        </w:rPr>
        <w:t xml:space="preserve"> harmonogramem, zmierzający do usunięcia stwierdzonych niedociągnięć</w:t>
      </w:r>
      <w:r w:rsidR="00201A9A" w:rsidRPr="00201A9A">
        <w:rPr>
          <w:noProof/>
        </w:rPr>
        <w:t xml:space="preserve"> w ter</w:t>
      </w:r>
      <w:r w:rsidRPr="00201A9A">
        <w:rPr>
          <w:noProof/>
        </w:rPr>
        <w:t>minie wyznaczonym</w:t>
      </w:r>
      <w:r w:rsidR="00201A9A" w:rsidRPr="00201A9A">
        <w:rPr>
          <w:noProof/>
        </w:rPr>
        <w:t xml:space="preserve"> w zal</w:t>
      </w:r>
      <w:r w:rsidRPr="00201A9A">
        <w:rPr>
          <w:noProof/>
        </w:rPr>
        <w:t>eżności od wagi problemu. Termin ten nie przekracza 12 miesięcy od dnia,</w:t>
      </w:r>
      <w:r w:rsidR="00201A9A" w:rsidRPr="00201A9A">
        <w:rPr>
          <w:noProof/>
        </w:rPr>
        <w:t xml:space="preserve"> w któ</w:t>
      </w:r>
      <w:r w:rsidRPr="00201A9A">
        <w:rPr>
          <w:noProof/>
        </w:rPr>
        <w:t>rym akredytacja zostaje poddana okresowi próbnemu</w:t>
      </w:r>
      <w:r w:rsidR="00201A9A" w:rsidRPr="00201A9A">
        <w:rPr>
          <w:noProof/>
        </w:rPr>
        <w:t>. W nal</w:t>
      </w:r>
      <w:r w:rsidRPr="00201A9A">
        <w:rPr>
          <w:noProof/>
        </w:rPr>
        <w:t>eżycie uzasadnionych przypadkach Komisja może, na wniosek zainteresowanego państwa członkowskiego, zdecydować</w:t>
      </w:r>
      <w:r w:rsidR="00201A9A" w:rsidRPr="00201A9A">
        <w:rPr>
          <w:noProof/>
        </w:rPr>
        <w:t xml:space="preserve"> o prz</w:t>
      </w:r>
      <w:r w:rsidRPr="00201A9A">
        <w:rPr>
          <w:noProof/>
        </w:rPr>
        <w:t>edłużeniu tego terminu.</w:t>
      </w:r>
    </w:p>
    <w:p w14:paraId="7A762208" w14:textId="77777777" w:rsidR="006D4DFA" w:rsidRPr="00201A9A" w:rsidRDefault="006D4DFA" w:rsidP="006D4DFA">
      <w:pPr>
        <w:pStyle w:val="Titrearticle"/>
        <w:rPr>
          <w:b/>
          <w:noProof/>
        </w:rPr>
      </w:pPr>
      <w:r w:rsidRPr="00201A9A">
        <w:rPr>
          <w:noProof/>
        </w:rPr>
        <w:t xml:space="preserve">Artykuł 53 </w:t>
      </w:r>
      <w:r w:rsidRPr="00201A9A">
        <w:rPr>
          <w:noProof/>
        </w:rPr>
        <w:br/>
      </w:r>
      <w:r w:rsidRPr="00201A9A">
        <w:rPr>
          <w:b/>
          <w:noProof/>
        </w:rPr>
        <w:t>Funkcje instytucji audytowej</w:t>
      </w:r>
    </w:p>
    <w:p w14:paraId="210476A2" w14:textId="6F62D326" w:rsidR="00410938" w:rsidRPr="00201A9A" w:rsidRDefault="00410938" w:rsidP="003E2902">
      <w:pPr>
        <w:pStyle w:val="NumPar10000000"/>
        <w:numPr>
          <w:ilvl w:val="0"/>
          <w:numId w:val="44"/>
        </w:numPr>
        <w:rPr>
          <w:noProof/>
        </w:rPr>
      </w:pPr>
      <w:r w:rsidRPr="00201A9A">
        <w:rPr>
          <w:noProof/>
        </w:rPr>
        <w:t>Instytucja audytowa jest odpowiedzialna za przeprowadzanie audytów dotyczących osiągnięcia kamieni milowych</w:t>
      </w:r>
      <w:r w:rsidR="00201A9A" w:rsidRPr="00201A9A">
        <w:rPr>
          <w:noProof/>
        </w:rPr>
        <w:t xml:space="preserve"> i war</w:t>
      </w:r>
      <w:r w:rsidRPr="00201A9A">
        <w:rPr>
          <w:noProof/>
        </w:rPr>
        <w:t>tości docelowych oraz audytów systemów</w:t>
      </w:r>
      <w:r w:rsidR="00201A9A" w:rsidRPr="00201A9A">
        <w:rPr>
          <w:noProof/>
        </w:rPr>
        <w:t xml:space="preserve"> w cel</w:t>
      </w:r>
      <w:r w:rsidRPr="00201A9A">
        <w:rPr>
          <w:noProof/>
        </w:rPr>
        <w:t>u dostarczenia Komisji poświadczenia dotyczącego skutecznego funkcjonowania systemów zarządzania</w:t>
      </w:r>
      <w:r w:rsidR="00201A9A" w:rsidRPr="00201A9A">
        <w:rPr>
          <w:noProof/>
        </w:rPr>
        <w:t xml:space="preserve"> i kon</w:t>
      </w:r>
      <w:r w:rsidRPr="00201A9A">
        <w:rPr>
          <w:noProof/>
        </w:rPr>
        <w:t>troli,</w:t>
      </w:r>
      <w:r w:rsidR="00201A9A" w:rsidRPr="00201A9A">
        <w:rPr>
          <w:noProof/>
        </w:rPr>
        <w:t xml:space="preserve"> w tym</w:t>
      </w:r>
      <w:r w:rsidRPr="00201A9A">
        <w:rPr>
          <w:noProof/>
        </w:rPr>
        <w:t xml:space="preserve"> tego, czy systemy zarządzania</w:t>
      </w:r>
      <w:r w:rsidR="00201A9A" w:rsidRPr="00201A9A">
        <w:rPr>
          <w:noProof/>
        </w:rPr>
        <w:t xml:space="preserve"> i kon</w:t>
      </w:r>
      <w:r w:rsidRPr="00201A9A">
        <w:rPr>
          <w:noProof/>
        </w:rPr>
        <w:t>troli zapewniają legalność</w:t>
      </w:r>
      <w:r w:rsidR="00201A9A" w:rsidRPr="00201A9A">
        <w:rPr>
          <w:noProof/>
        </w:rPr>
        <w:t xml:space="preserve"> i pra</w:t>
      </w:r>
      <w:r w:rsidRPr="00201A9A">
        <w:rPr>
          <w:noProof/>
        </w:rPr>
        <w:t>widłowość operacji leżących</w:t>
      </w:r>
      <w:r w:rsidR="00201A9A" w:rsidRPr="00201A9A">
        <w:rPr>
          <w:noProof/>
        </w:rPr>
        <w:t xml:space="preserve"> u pod</w:t>
      </w:r>
      <w:r w:rsidRPr="00201A9A">
        <w:rPr>
          <w:noProof/>
        </w:rPr>
        <w:t>staw rozliczeń oraz skuteczną</w:t>
      </w:r>
      <w:r w:rsidR="00201A9A" w:rsidRPr="00201A9A">
        <w:rPr>
          <w:noProof/>
        </w:rPr>
        <w:t xml:space="preserve"> i ter</w:t>
      </w:r>
      <w:r w:rsidRPr="00201A9A">
        <w:rPr>
          <w:noProof/>
        </w:rPr>
        <w:t>minową ochronę interesów finansowych Unii. Audyty dają pewność co do skutecznego wykorzystania środków finansowych zgodnie</w:t>
      </w:r>
      <w:r w:rsidR="00201A9A" w:rsidRPr="00201A9A">
        <w:rPr>
          <w:noProof/>
        </w:rPr>
        <w:t xml:space="preserve"> z maj</w:t>
      </w:r>
      <w:r w:rsidRPr="00201A9A">
        <w:rPr>
          <w:noProof/>
        </w:rPr>
        <w:t>ącym zastosowanie prawem.</w:t>
      </w:r>
    </w:p>
    <w:p w14:paraId="4347E3B7" w14:textId="77777777" w:rsidR="00410938" w:rsidRPr="00201A9A" w:rsidRDefault="00410938" w:rsidP="003E2902">
      <w:pPr>
        <w:pStyle w:val="NumPar10000000"/>
        <w:numPr>
          <w:ilvl w:val="0"/>
          <w:numId w:val="62"/>
        </w:numPr>
        <w:rPr>
          <w:noProof/>
        </w:rPr>
      </w:pPr>
      <w:r w:rsidRPr="00201A9A">
        <w:rPr>
          <w:noProof/>
        </w:rPr>
        <w:t>Instytucja audytowa sporządza: </w:t>
      </w:r>
    </w:p>
    <w:p w14:paraId="37F7CC88" w14:textId="47F888A2" w:rsidR="00410938" w:rsidRPr="00201A9A" w:rsidRDefault="00201A9A" w:rsidP="00201A9A">
      <w:pPr>
        <w:pStyle w:val="Point1"/>
        <w:rPr>
          <w:rFonts w:eastAsia="Times New Roman"/>
          <w:noProof/>
        </w:rPr>
      </w:pPr>
      <w:r w:rsidRPr="00201A9A">
        <w:rPr>
          <w:noProof/>
        </w:rPr>
        <w:t>a)</w:t>
      </w:r>
      <w:r w:rsidRPr="00201A9A">
        <w:rPr>
          <w:noProof/>
        </w:rPr>
        <w:tab/>
      </w:r>
      <w:r w:rsidR="00410938" w:rsidRPr="00201A9A">
        <w:rPr>
          <w:noProof/>
        </w:rPr>
        <w:t>roczną opinię audytową do celów art.</w:t>
      </w:r>
      <w:r w:rsidRPr="00201A9A">
        <w:rPr>
          <w:noProof/>
        </w:rPr>
        <w:t> </w:t>
      </w:r>
      <w:r w:rsidR="00410938" w:rsidRPr="00201A9A">
        <w:rPr>
          <w:noProof/>
        </w:rPr>
        <w:t>63 ust.</w:t>
      </w:r>
      <w:r w:rsidRPr="00201A9A">
        <w:rPr>
          <w:noProof/>
        </w:rPr>
        <w:t> </w:t>
      </w:r>
      <w:r w:rsidR="00410938" w:rsidRPr="00201A9A">
        <w:rPr>
          <w:noProof/>
        </w:rPr>
        <w:t>7 rozporządzenia (UE, Euratom) 2024/2509 zgodnie ze wzorem określonym</w:t>
      </w:r>
      <w:r w:rsidRPr="00201A9A">
        <w:rPr>
          <w:noProof/>
        </w:rPr>
        <w:t xml:space="preserve"> w zał</w:t>
      </w:r>
      <w:r w:rsidR="00410938" w:rsidRPr="00201A9A">
        <w:rPr>
          <w:noProof/>
        </w:rPr>
        <w:t>ączniku XIII do niniejszego rozporządzenia,</w:t>
      </w:r>
      <w:r w:rsidRPr="00201A9A">
        <w:rPr>
          <w:noProof/>
        </w:rPr>
        <w:t xml:space="preserve"> w któ</w:t>
      </w:r>
      <w:r w:rsidR="00410938" w:rsidRPr="00201A9A">
        <w:rPr>
          <w:noProof/>
        </w:rPr>
        <w:t>rej określa się, czy:</w:t>
      </w:r>
    </w:p>
    <w:p w14:paraId="386E4A35" w14:textId="414D9E8A" w:rsidR="00410938" w:rsidRPr="00201A9A" w:rsidRDefault="00410938" w:rsidP="003E2902">
      <w:pPr>
        <w:pStyle w:val="Point2n"/>
        <w:numPr>
          <w:ilvl w:val="0"/>
          <w:numId w:val="26"/>
        </w:numPr>
        <w:jc w:val="both"/>
        <w:rPr>
          <w:noProof/>
        </w:rPr>
      </w:pPr>
      <w:r w:rsidRPr="00201A9A">
        <w:rPr>
          <w:noProof/>
        </w:rPr>
        <w:t>dane podane we wnioskach</w:t>
      </w:r>
      <w:r w:rsidR="00201A9A" w:rsidRPr="00201A9A">
        <w:rPr>
          <w:noProof/>
        </w:rPr>
        <w:t xml:space="preserve"> o pła</w:t>
      </w:r>
      <w:r w:rsidRPr="00201A9A">
        <w:rPr>
          <w:noProof/>
        </w:rPr>
        <w:t>tność złożonych za okres referencyjny,</w:t>
      </w:r>
      <w:r w:rsidR="00201A9A" w:rsidRPr="00201A9A">
        <w:rPr>
          <w:noProof/>
        </w:rPr>
        <w:t xml:space="preserve"> o któ</w:t>
      </w:r>
      <w:r w:rsidRPr="00201A9A">
        <w:rPr>
          <w:noProof/>
        </w:rPr>
        <w:t>rym mowa</w:t>
      </w:r>
      <w:r w:rsidR="00201A9A" w:rsidRPr="00201A9A">
        <w:rPr>
          <w:noProof/>
        </w:rPr>
        <w:t xml:space="preserve"> w art</w:t>
      </w:r>
      <w:r w:rsidRPr="00201A9A">
        <w:rPr>
          <w:noProof/>
        </w:rPr>
        <w:t>.</w:t>
      </w:r>
      <w:r w:rsidR="00201A9A" w:rsidRPr="00201A9A">
        <w:rPr>
          <w:noProof/>
        </w:rPr>
        <w:t> </w:t>
      </w:r>
      <w:r w:rsidRPr="00201A9A">
        <w:rPr>
          <w:noProof/>
        </w:rPr>
        <w:t>59 ust.</w:t>
      </w:r>
      <w:r w:rsidR="00201A9A" w:rsidRPr="00201A9A">
        <w:rPr>
          <w:noProof/>
        </w:rPr>
        <w:t> </w:t>
      </w:r>
      <w:r w:rsidRPr="00201A9A">
        <w:rPr>
          <w:noProof/>
        </w:rPr>
        <w:t>1 lit.</w:t>
      </w:r>
      <w:r w:rsidR="00201A9A" w:rsidRPr="00201A9A">
        <w:rPr>
          <w:noProof/>
        </w:rPr>
        <w:t> </w:t>
      </w:r>
      <w:r w:rsidRPr="00201A9A">
        <w:rPr>
          <w:noProof/>
        </w:rPr>
        <w:t>a), [pakiet dokumentów dotyczących poświadczenia wiarygodności] są kompletne, dokładne</w:t>
      </w:r>
      <w:r w:rsidR="00201A9A" w:rsidRPr="00201A9A">
        <w:rPr>
          <w:noProof/>
        </w:rPr>
        <w:t xml:space="preserve"> i wia</w:t>
      </w:r>
      <w:r w:rsidRPr="00201A9A">
        <w:rPr>
          <w:noProof/>
        </w:rPr>
        <w:t>rygodne;</w:t>
      </w:r>
    </w:p>
    <w:p w14:paraId="7A21B40F" w14:textId="4EF4BA3C" w:rsidR="00410938" w:rsidRPr="00201A9A" w:rsidRDefault="00410938" w:rsidP="009A005E">
      <w:pPr>
        <w:pStyle w:val="Point2n"/>
        <w:jc w:val="both"/>
        <w:rPr>
          <w:noProof/>
        </w:rPr>
      </w:pPr>
      <w:r w:rsidRPr="00201A9A">
        <w:rPr>
          <w:noProof/>
        </w:rPr>
        <w:t>systemy zarządzania</w:t>
      </w:r>
      <w:r w:rsidR="00201A9A" w:rsidRPr="00201A9A">
        <w:rPr>
          <w:noProof/>
        </w:rPr>
        <w:t xml:space="preserve"> i kon</w:t>
      </w:r>
      <w:r w:rsidRPr="00201A9A">
        <w:rPr>
          <w:noProof/>
        </w:rPr>
        <w:t>troli funkcjonują prawidłowo oraz zapewniają skuteczną</w:t>
      </w:r>
      <w:r w:rsidR="00201A9A" w:rsidRPr="00201A9A">
        <w:rPr>
          <w:noProof/>
        </w:rPr>
        <w:t xml:space="preserve"> i ter</w:t>
      </w:r>
      <w:r w:rsidRPr="00201A9A">
        <w:rPr>
          <w:noProof/>
        </w:rPr>
        <w:t>minową ochronę interesów finansowych Unii oraz legalność</w:t>
      </w:r>
      <w:r w:rsidR="00201A9A" w:rsidRPr="00201A9A">
        <w:rPr>
          <w:noProof/>
        </w:rPr>
        <w:t xml:space="preserve"> i pra</w:t>
      </w:r>
      <w:r w:rsidRPr="00201A9A">
        <w:rPr>
          <w:noProof/>
        </w:rPr>
        <w:t>widłowość operacji leżących</w:t>
      </w:r>
      <w:r w:rsidR="00201A9A" w:rsidRPr="00201A9A">
        <w:rPr>
          <w:noProof/>
        </w:rPr>
        <w:t xml:space="preserve"> u pod</w:t>
      </w:r>
      <w:r w:rsidRPr="00201A9A">
        <w:rPr>
          <w:noProof/>
        </w:rPr>
        <w:t xml:space="preserve">staw rozliczeń; </w:t>
      </w:r>
    </w:p>
    <w:p w14:paraId="7A05975C" w14:textId="43A56BD0" w:rsidR="002F16B5" w:rsidRPr="00201A9A" w:rsidRDefault="008C5B8F" w:rsidP="00AF7FE3">
      <w:pPr>
        <w:pStyle w:val="Point2n"/>
        <w:jc w:val="both"/>
        <w:rPr>
          <w:noProof/>
        </w:rPr>
      </w:pPr>
      <w:r w:rsidRPr="00201A9A">
        <w:rPr>
          <w:noProof/>
        </w:rPr>
        <w:t>wykorzystanie środków finansowych jest zgodne</w:t>
      </w:r>
      <w:r w:rsidR="00201A9A" w:rsidRPr="00201A9A">
        <w:rPr>
          <w:noProof/>
        </w:rPr>
        <w:t xml:space="preserve"> z maj</w:t>
      </w:r>
      <w:r w:rsidRPr="00201A9A">
        <w:rPr>
          <w:noProof/>
        </w:rPr>
        <w:t>ącym zastosowanie prawem;</w:t>
      </w:r>
    </w:p>
    <w:p w14:paraId="438CA4A0" w14:textId="0B1A9D13" w:rsidR="00410938" w:rsidRPr="00201A9A" w:rsidRDefault="00410938" w:rsidP="00AF7FE3">
      <w:pPr>
        <w:pStyle w:val="Point2n"/>
        <w:jc w:val="both"/>
        <w:rPr>
          <w:noProof/>
        </w:rPr>
      </w:pPr>
      <w:r w:rsidRPr="00201A9A">
        <w:rPr>
          <w:noProof/>
        </w:rPr>
        <w:t>audyt podaje</w:t>
      </w:r>
      <w:r w:rsidR="00201A9A" w:rsidRPr="00201A9A">
        <w:rPr>
          <w:noProof/>
        </w:rPr>
        <w:t xml:space="preserve"> w wąt</w:t>
      </w:r>
      <w:r w:rsidRPr="00201A9A">
        <w:rPr>
          <w:noProof/>
        </w:rPr>
        <w:t>pliwość stwierdzenia zawarte</w:t>
      </w:r>
      <w:r w:rsidR="00201A9A" w:rsidRPr="00201A9A">
        <w:rPr>
          <w:noProof/>
        </w:rPr>
        <w:t xml:space="preserve"> w dek</w:t>
      </w:r>
      <w:r w:rsidRPr="00201A9A">
        <w:rPr>
          <w:noProof/>
        </w:rPr>
        <w:t>laracji zarządczej.</w:t>
      </w:r>
    </w:p>
    <w:p w14:paraId="05945FE0" w14:textId="6C9425BB" w:rsidR="00410938" w:rsidRPr="00201A9A" w:rsidRDefault="00201A9A" w:rsidP="00201A9A">
      <w:pPr>
        <w:pStyle w:val="Point1"/>
        <w:rPr>
          <w:noProof/>
        </w:rPr>
      </w:pPr>
      <w:r w:rsidRPr="00201A9A">
        <w:rPr>
          <w:noProof/>
        </w:rPr>
        <w:t>b)</w:t>
      </w:r>
      <w:r w:rsidRPr="00201A9A">
        <w:rPr>
          <w:noProof/>
        </w:rPr>
        <w:tab/>
      </w:r>
      <w:r w:rsidR="00815D0C" w:rsidRPr="00201A9A">
        <w:rPr>
          <w:noProof/>
        </w:rPr>
        <w:t>podsumowanie przeprowadzonych audytów,</w:t>
      </w:r>
      <w:r w:rsidRPr="00201A9A">
        <w:rPr>
          <w:noProof/>
        </w:rPr>
        <w:t xml:space="preserve"> o któ</w:t>
      </w:r>
      <w:r w:rsidR="00815D0C" w:rsidRPr="00201A9A">
        <w:rPr>
          <w:noProof/>
        </w:rPr>
        <w:t>rych mowa</w:t>
      </w:r>
      <w:r w:rsidRPr="00201A9A">
        <w:rPr>
          <w:noProof/>
        </w:rPr>
        <w:t xml:space="preserve"> w art</w:t>
      </w:r>
      <w:r w:rsidR="00815D0C" w:rsidRPr="00201A9A">
        <w:rPr>
          <w:noProof/>
        </w:rPr>
        <w:t>.</w:t>
      </w:r>
      <w:r w:rsidRPr="00201A9A">
        <w:rPr>
          <w:noProof/>
        </w:rPr>
        <w:t> </w:t>
      </w:r>
      <w:r w:rsidR="00815D0C" w:rsidRPr="00201A9A">
        <w:rPr>
          <w:noProof/>
        </w:rPr>
        <w:t>59 ust.</w:t>
      </w:r>
      <w:r w:rsidRPr="00201A9A">
        <w:rPr>
          <w:noProof/>
        </w:rPr>
        <w:t> </w:t>
      </w:r>
      <w:r w:rsidR="00815D0C" w:rsidRPr="00201A9A">
        <w:rPr>
          <w:noProof/>
        </w:rPr>
        <w:t>1 lit.</w:t>
      </w:r>
      <w:r w:rsidRPr="00201A9A">
        <w:rPr>
          <w:noProof/>
        </w:rPr>
        <w:t> </w:t>
      </w:r>
      <w:r w:rsidR="00815D0C" w:rsidRPr="00201A9A">
        <w:rPr>
          <w:noProof/>
        </w:rPr>
        <w:t>b), [Pakiet dokumentów dotyczących poświadczenia wiarygodności],</w:t>
      </w:r>
      <w:r w:rsidRPr="00201A9A">
        <w:rPr>
          <w:noProof/>
        </w:rPr>
        <w:t xml:space="preserve"> w tym</w:t>
      </w:r>
      <w:r w:rsidR="00815D0C" w:rsidRPr="00201A9A">
        <w:rPr>
          <w:noProof/>
        </w:rPr>
        <w:t xml:space="preserve"> analizę charakteru</w:t>
      </w:r>
      <w:r w:rsidRPr="00201A9A">
        <w:rPr>
          <w:noProof/>
        </w:rPr>
        <w:t xml:space="preserve"> i zak</w:t>
      </w:r>
      <w:r w:rsidR="00815D0C" w:rsidRPr="00201A9A">
        <w:rPr>
          <w:noProof/>
        </w:rPr>
        <w:t xml:space="preserve">resu stwierdzonych niedociągnięć oraz wszelkich podjętych lub planowanych działań naprawczych; </w:t>
      </w:r>
    </w:p>
    <w:p w14:paraId="282ECE5F" w14:textId="514C15FA" w:rsidR="00410938" w:rsidRPr="00201A9A" w:rsidRDefault="00410938" w:rsidP="0035702B">
      <w:pPr>
        <w:pStyle w:val="Text1"/>
        <w:ind w:left="993" w:hanging="1"/>
        <w:rPr>
          <w:noProof/>
        </w:rPr>
      </w:pPr>
      <w:r w:rsidRPr="00201A9A">
        <w:rPr>
          <w:noProof/>
        </w:rPr>
        <w:t>Prace audytowe prowadzone są zgodnie</w:t>
      </w:r>
      <w:r w:rsidR="00201A9A" w:rsidRPr="00201A9A">
        <w:rPr>
          <w:noProof/>
        </w:rPr>
        <w:t xml:space="preserve"> z prz</w:t>
      </w:r>
      <w:r w:rsidRPr="00201A9A">
        <w:rPr>
          <w:noProof/>
        </w:rPr>
        <w:t>yjętymi na szczeblu międzynarodowym standardami audytu. </w:t>
      </w:r>
    </w:p>
    <w:p w14:paraId="26AFDC9E" w14:textId="4D8765CB" w:rsidR="00410938" w:rsidRPr="00201A9A" w:rsidRDefault="00410938" w:rsidP="003E2902">
      <w:pPr>
        <w:pStyle w:val="NumPar10000000"/>
        <w:numPr>
          <w:ilvl w:val="0"/>
          <w:numId w:val="62"/>
        </w:numPr>
        <w:rPr>
          <w:noProof/>
        </w:rPr>
      </w:pPr>
      <w:r w:rsidRPr="00201A9A">
        <w:rPr>
          <w:noProof/>
        </w:rPr>
        <w:t>Instytucja audytowa przygotowuje strategię audytu</w:t>
      </w:r>
      <w:r w:rsidR="00201A9A" w:rsidRPr="00201A9A">
        <w:rPr>
          <w:noProof/>
        </w:rPr>
        <w:t xml:space="preserve"> w opa</w:t>
      </w:r>
      <w:r w:rsidRPr="00201A9A">
        <w:rPr>
          <w:noProof/>
        </w:rPr>
        <w:t>rciu</w:t>
      </w:r>
      <w:r w:rsidR="00201A9A" w:rsidRPr="00201A9A">
        <w:rPr>
          <w:noProof/>
        </w:rPr>
        <w:t xml:space="preserve"> o oce</w:t>
      </w:r>
      <w:r w:rsidRPr="00201A9A">
        <w:rPr>
          <w:noProof/>
        </w:rPr>
        <w:t>nę ryzyka, biorąc pod uwagę opis systemu zarządzania</w:t>
      </w:r>
      <w:r w:rsidR="00201A9A" w:rsidRPr="00201A9A">
        <w:rPr>
          <w:noProof/>
        </w:rPr>
        <w:t xml:space="preserve"> i kon</w:t>
      </w:r>
      <w:r w:rsidRPr="00201A9A">
        <w:rPr>
          <w:noProof/>
        </w:rPr>
        <w:t>troli przedstawiony zgodnie</w:t>
      </w:r>
      <w:r w:rsidR="00201A9A" w:rsidRPr="00201A9A">
        <w:rPr>
          <w:noProof/>
        </w:rPr>
        <w:t xml:space="preserve"> z wym</w:t>
      </w:r>
      <w:r w:rsidRPr="00201A9A">
        <w:rPr>
          <w:noProof/>
        </w:rPr>
        <w:t>ogami art.</w:t>
      </w:r>
      <w:r w:rsidR="00201A9A" w:rsidRPr="00201A9A">
        <w:rPr>
          <w:noProof/>
        </w:rPr>
        <w:t> </w:t>
      </w:r>
      <w:r w:rsidRPr="00201A9A">
        <w:rPr>
          <w:noProof/>
        </w:rPr>
        <w:t>22 ust.</w:t>
      </w:r>
      <w:r w:rsidR="00201A9A" w:rsidRPr="00201A9A">
        <w:rPr>
          <w:noProof/>
        </w:rPr>
        <w:t> </w:t>
      </w:r>
      <w:r w:rsidRPr="00201A9A">
        <w:rPr>
          <w:noProof/>
        </w:rPr>
        <w:t>2 lit.</w:t>
      </w:r>
      <w:r w:rsidR="00201A9A" w:rsidRPr="00201A9A">
        <w:rPr>
          <w:noProof/>
        </w:rPr>
        <w:t> </w:t>
      </w:r>
      <w:r w:rsidRPr="00201A9A">
        <w:rPr>
          <w:noProof/>
        </w:rPr>
        <w:t>m), obejmującą audyty systemu</w:t>
      </w:r>
      <w:r w:rsidR="00201A9A" w:rsidRPr="00201A9A">
        <w:rPr>
          <w:noProof/>
        </w:rPr>
        <w:t xml:space="preserve"> i aud</w:t>
      </w:r>
      <w:r w:rsidRPr="00201A9A">
        <w:rPr>
          <w:noProof/>
        </w:rPr>
        <w:t>yty dotyczące kamieni milowych</w:t>
      </w:r>
      <w:r w:rsidR="00201A9A" w:rsidRPr="00201A9A">
        <w:rPr>
          <w:noProof/>
        </w:rPr>
        <w:t xml:space="preserve"> i war</w:t>
      </w:r>
      <w:r w:rsidRPr="00201A9A">
        <w:rPr>
          <w:noProof/>
        </w:rPr>
        <w:t>tości docelowych oraz skuteczne wykorzystanie środków finansowych zgodnie</w:t>
      </w:r>
      <w:r w:rsidR="00201A9A" w:rsidRPr="00201A9A">
        <w:rPr>
          <w:noProof/>
        </w:rPr>
        <w:t xml:space="preserve"> z maj</w:t>
      </w:r>
      <w:r w:rsidRPr="00201A9A">
        <w:rPr>
          <w:noProof/>
        </w:rPr>
        <w:t>ącym zastosowanie prawem. Wszystkie nowo wyznaczone instytucje zarządzające podlegają audytowi systemu przed złożeniem pierwszego wniosku</w:t>
      </w:r>
      <w:r w:rsidR="00201A9A" w:rsidRPr="00201A9A">
        <w:rPr>
          <w:noProof/>
        </w:rPr>
        <w:t xml:space="preserve"> o pła</w:t>
      </w:r>
      <w:r w:rsidRPr="00201A9A">
        <w:rPr>
          <w:noProof/>
        </w:rPr>
        <w:t>tność. </w:t>
      </w:r>
    </w:p>
    <w:p w14:paraId="43AF6587" w14:textId="77777777" w:rsidR="00410938" w:rsidRPr="00201A9A" w:rsidRDefault="004B7D1A" w:rsidP="003E2902">
      <w:pPr>
        <w:pStyle w:val="NumPar10000000"/>
        <w:numPr>
          <w:ilvl w:val="0"/>
          <w:numId w:val="62"/>
        </w:numPr>
        <w:rPr>
          <w:noProof/>
        </w:rPr>
      </w:pPr>
      <w:r w:rsidRPr="00201A9A">
        <w:rPr>
          <w:noProof/>
        </w:rPr>
        <w:t xml:space="preserve">Instytucja audytowa nie ma obowiązku weryfikacji podstawowych kosztów operacji do celów swoich prac audytowych. </w:t>
      </w:r>
    </w:p>
    <w:p w14:paraId="3AD6B480" w14:textId="77777777" w:rsidR="00410938" w:rsidRPr="00201A9A" w:rsidRDefault="00410938" w:rsidP="00410938">
      <w:pPr>
        <w:pStyle w:val="ChapterTitle0"/>
        <w:rPr>
          <w:noProof/>
        </w:rPr>
      </w:pPr>
      <w:r w:rsidRPr="00201A9A">
        <w:rPr>
          <w:noProof/>
        </w:rPr>
        <w:t xml:space="preserve">ROZDZIAŁ II </w:t>
      </w:r>
      <w:r w:rsidRPr="00201A9A">
        <w:rPr>
          <w:noProof/>
        </w:rPr>
        <w:br/>
        <w:t>Ustalenia dotyczące monitorowania</w:t>
      </w:r>
    </w:p>
    <w:p w14:paraId="59D75EC7" w14:textId="4C4ACE45" w:rsidR="00410938" w:rsidRPr="00201A9A" w:rsidRDefault="00410938" w:rsidP="00410938">
      <w:pPr>
        <w:pStyle w:val="Titrearticle"/>
        <w:rPr>
          <w:b/>
          <w:noProof/>
          <w:color w:val="0000FF"/>
        </w:rPr>
      </w:pPr>
      <w:r w:rsidRPr="00201A9A">
        <w:rPr>
          <w:noProof/>
        </w:rPr>
        <w:t xml:space="preserve">Artykuł 54 </w:t>
      </w:r>
      <w:r w:rsidRPr="00201A9A">
        <w:rPr>
          <w:noProof/>
        </w:rPr>
        <w:br/>
      </w:r>
      <w:r w:rsidRPr="00201A9A">
        <w:rPr>
          <w:b/>
          <w:noProof/>
        </w:rPr>
        <w:t>Komitet monitorujący</w:t>
      </w:r>
      <w:r w:rsidR="00201A9A" w:rsidRPr="00201A9A">
        <w:rPr>
          <w:b/>
          <w:noProof/>
        </w:rPr>
        <w:t xml:space="preserve"> i kom</w:t>
      </w:r>
      <w:r w:rsidRPr="00201A9A">
        <w:rPr>
          <w:b/>
          <w:noProof/>
        </w:rPr>
        <w:t>itet koordynujący</w:t>
      </w:r>
    </w:p>
    <w:p w14:paraId="365BCEB0" w14:textId="3EABFEA5" w:rsidR="00410938" w:rsidRPr="00201A9A" w:rsidRDefault="00410938" w:rsidP="003E2902">
      <w:pPr>
        <w:pStyle w:val="NumPar10000000"/>
        <w:numPr>
          <w:ilvl w:val="0"/>
          <w:numId w:val="45"/>
        </w:numPr>
        <w:rPr>
          <w:noProof/>
        </w:rPr>
      </w:pPr>
      <w:r w:rsidRPr="00201A9A">
        <w:rPr>
          <w:noProof/>
        </w:rPr>
        <w:t>Każde państwo członkowskie powołuje co najmniej jeden komitet monitorujący na potrzeby rozdziałów planu PKR, stosownie do danego rozdziału. Należy uwzględnić wszystkie rozdziały planu. Ten sam komitet monitorujący może zająć się więcej niż jednym rozdziałem.</w:t>
      </w:r>
      <w:r w:rsidR="00201A9A" w:rsidRPr="00201A9A">
        <w:rPr>
          <w:noProof/>
        </w:rPr>
        <w:t xml:space="preserve"> </w:t>
      </w:r>
    </w:p>
    <w:p w14:paraId="7B14F9F8" w14:textId="44FE31C2" w:rsidR="00410938" w:rsidRPr="00201A9A" w:rsidRDefault="00410938" w:rsidP="003E2902">
      <w:pPr>
        <w:pStyle w:val="NumPar10000000"/>
        <w:numPr>
          <w:ilvl w:val="0"/>
          <w:numId w:val="45"/>
        </w:numPr>
        <w:rPr>
          <w:noProof/>
        </w:rPr>
      </w:pPr>
      <w:r w:rsidRPr="00201A9A">
        <w:rPr>
          <w:noProof/>
        </w:rPr>
        <w:t>W przypadku gdy państwo członkowskie powołuje więcej niż jeden komitet monitorujący, ustanawia ono również komitet koordynujący, który zapewnia przegląd</w:t>
      </w:r>
      <w:r w:rsidR="00201A9A" w:rsidRPr="00201A9A">
        <w:rPr>
          <w:noProof/>
        </w:rPr>
        <w:t xml:space="preserve"> i mon</w:t>
      </w:r>
      <w:r w:rsidRPr="00201A9A">
        <w:rPr>
          <w:noProof/>
        </w:rPr>
        <w:t>itorowanie wdrażania planu, po konsultacji</w:t>
      </w:r>
      <w:r w:rsidR="00201A9A" w:rsidRPr="00201A9A">
        <w:rPr>
          <w:noProof/>
        </w:rPr>
        <w:t xml:space="preserve"> z wła</w:t>
      </w:r>
      <w:r w:rsidRPr="00201A9A">
        <w:rPr>
          <w:noProof/>
        </w:rPr>
        <w:t>ściwymi organami zarządzającymi każdym</w:t>
      </w:r>
      <w:r w:rsidR="00201A9A" w:rsidRPr="00201A9A">
        <w:rPr>
          <w:noProof/>
        </w:rPr>
        <w:t xml:space="preserve"> z roz</w:t>
      </w:r>
      <w:r w:rsidRPr="00201A9A">
        <w:rPr>
          <w:noProof/>
        </w:rPr>
        <w:t>działów planu PKR,</w:t>
      </w:r>
      <w:r w:rsidR="00201A9A" w:rsidRPr="00201A9A">
        <w:rPr>
          <w:noProof/>
        </w:rPr>
        <w:t xml:space="preserve"> w ter</w:t>
      </w:r>
      <w:r w:rsidRPr="00201A9A">
        <w:rPr>
          <w:noProof/>
        </w:rPr>
        <w:t>minie trzech miesięcy od dnia powiadomienia danego państwa członkowskiego</w:t>
      </w:r>
      <w:r w:rsidR="00201A9A" w:rsidRPr="00201A9A">
        <w:rPr>
          <w:noProof/>
        </w:rPr>
        <w:t xml:space="preserve"> o dec</w:t>
      </w:r>
      <w:r w:rsidRPr="00201A9A">
        <w:rPr>
          <w:noProof/>
        </w:rPr>
        <w:t>yzji zatwierdzającej plan PKR. Komitet koordynujący zatwierdza wszystkie elementy wymienione</w:t>
      </w:r>
      <w:r w:rsidR="00201A9A" w:rsidRPr="00201A9A">
        <w:rPr>
          <w:noProof/>
        </w:rPr>
        <w:t xml:space="preserve"> w art</w:t>
      </w:r>
      <w:r w:rsidRPr="00201A9A">
        <w:rPr>
          <w:noProof/>
        </w:rPr>
        <w:t>.</w:t>
      </w:r>
      <w:r w:rsidR="00201A9A" w:rsidRPr="00201A9A">
        <w:rPr>
          <w:noProof/>
        </w:rPr>
        <w:t> </w:t>
      </w:r>
      <w:r w:rsidRPr="00201A9A">
        <w:rPr>
          <w:noProof/>
        </w:rPr>
        <w:t>56 ust.</w:t>
      </w:r>
      <w:r w:rsidR="00201A9A" w:rsidRPr="00201A9A">
        <w:rPr>
          <w:noProof/>
        </w:rPr>
        <w:t> </w:t>
      </w:r>
      <w:r w:rsidRPr="00201A9A">
        <w:rPr>
          <w:noProof/>
        </w:rPr>
        <w:t>1 [funkcje komitetu monitorującego]. </w:t>
      </w:r>
    </w:p>
    <w:p w14:paraId="6EC69C99" w14:textId="1B35AEFC" w:rsidR="00410938" w:rsidRPr="00201A9A" w:rsidRDefault="00410938" w:rsidP="003E2902">
      <w:pPr>
        <w:pStyle w:val="NumPar10000000"/>
        <w:numPr>
          <w:ilvl w:val="0"/>
          <w:numId w:val="45"/>
        </w:numPr>
        <w:rPr>
          <w:noProof/>
        </w:rPr>
      </w:pPr>
      <w:r w:rsidRPr="00201A9A">
        <w:rPr>
          <w:noProof/>
        </w:rPr>
        <w:t>Przepisy ustanowione</w:t>
      </w:r>
      <w:r w:rsidR="00201A9A" w:rsidRPr="00201A9A">
        <w:rPr>
          <w:noProof/>
        </w:rPr>
        <w:t xml:space="preserve"> w art</w:t>
      </w:r>
      <w:r w:rsidRPr="00201A9A">
        <w:rPr>
          <w:noProof/>
        </w:rPr>
        <w:t>.</w:t>
      </w:r>
      <w:r w:rsidR="00201A9A" w:rsidRPr="00201A9A">
        <w:rPr>
          <w:noProof/>
        </w:rPr>
        <w:t> </w:t>
      </w:r>
      <w:r w:rsidRPr="00201A9A">
        <w:rPr>
          <w:noProof/>
        </w:rPr>
        <w:t>55</w:t>
      </w:r>
      <w:r w:rsidR="00201A9A" w:rsidRPr="00201A9A">
        <w:rPr>
          <w:noProof/>
        </w:rPr>
        <w:t xml:space="preserve"> i 5</w:t>
      </w:r>
      <w:r w:rsidRPr="00201A9A">
        <w:rPr>
          <w:noProof/>
        </w:rPr>
        <w:t>6 stosuje się do komitetu koordynującego</w:t>
      </w:r>
      <w:r w:rsidR="00201A9A" w:rsidRPr="00201A9A">
        <w:rPr>
          <w:noProof/>
        </w:rPr>
        <w:t xml:space="preserve"> i kom</w:t>
      </w:r>
      <w:r w:rsidRPr="00201A9A">
        <w:rPr>
          <w:noProof/>
        </w:rPr>
        <w:t>itetu monitorującego.</w:t>
      </w:r>
      <w:r w:rsidR="00201A9A" w:rsidRPr="00201A9A">
        <w:rPr>
          <w:noProof/>
        </w:rPr>
        <w:t xml:space="preserve"> </w:t>
      </w:r>
    </w:p>
    <w:p w14:paraId="54727D03" w14:textId="593AF665" w:rsidR="00410938" w:rsidRPr="00201A9A" w:rsidRDefault="00410938" w:rsidP="003E2902">
      <w:pPr>
        <w:pStyle w:val="NumPar10000000"/>
        <w:numPr>
          <w:ilvl w:val="0"/>
          <w:numId w:val="45"/>
        </w:numPr>
        <w:rPr>
          <w:noProof/>
        </w:rPr>
      </w:pPr>
      <w:r w:rsidRPr="00201A9A">
        <w:rPr>
          <w:noProof/>
        </w:rPr>
        <w:t>Każdy komitet monitorujący</w:t>
      </w:r>
      <w:r w:rsidR="00201A9A" w:rsidRPr="00201A9A">
        <w:rPr>
          <w:noProof/>
        </w:rPr>
        <w:t xml:space="preserve"> i kom</w:t>
      </w:r>
      <w:r w:rsidRPr="00201A9A">
        <w:rPr>
          <w:noProof/>
        </w:rPr>
        <w:t>itet koordynujący przyjmują swój regulamin zawierający przepisy dotyczące zapobiegania występowaniu wszelkich konfliktów interesów oraz dotyczące stosowania zasady przejrzystości.</w:t>
      </w:r>
      <w:r w:rsidR="00201A9A" w:rsidRPr="00201A9A">
        <w:rPr>
          <w:noProof/>
        </w:rPr>
        <w:t xml:space="preserve"> </w:t>
      </w:r>
    </w:p>
    <w:p w14:paraId="4732B76D" w14:textId="22DE3C73" w:rsidR="00410938" w:rsidRPr="00201A9A" w:rsidRDefault="00410938" w:rsidP="003E2902">
      <w:pPr>
        <w:pStyle w:val="NumPar10000000"/>
        <w:numPr>
          <w:ilvl w:val="0"/>
          <w:numId w:val="45"/>
        </w:numPr>
        <w:rPr>
          <w:noProof/>
        </w:rPr>
      </w:pPr>
      <w:r w:rsidRPr="00201A9A">
        <w:rPr>
          <w:noProof/>
        </w:rPr>
        <w:t>Komitet monitorujący zbiera się co najmniej raz</w:t>
      </w:r>
      <w:r w:rsidR="00201A9A" w:rsidRPr="00201A9A">
        <w:rPr>
          <w:noProof/>
        </w:rPr>
        <w:t xml:space="preserve"> w rok</w:t>
      </w:r>
      <w:r w:rsidRPr="00201A9A">
        <w:rPr>
          <w:noProof/>
        </w:rPr>
        <w:t>u</w:t>
      </w:r>
      <w:r w:rsidR="00201A9A" w:rsidRPr="00201A9A">
        <w:rPr>
          <w:noProof/>
        </w:rPr>
        <w:t xml:space="preserve"> i dok</w:t>
      </w:r>
      <w:r w:rsidRPr="00201A9A">
        <w:rPr>
          <w:noProof/>
        </w:rPr>
        <w:t>onuje przeglądu wdrażania rozdziału lub rozdziałów planu PKR, za które odpowiada,</w:t>
      </w:r>
      <w:r w:rsidR="00201A9A" w:rsidRPr="00201A9A">
        <w:rPr>
          <w:noProof/>
        </w:rPr>
        <w:t xml:space="preserve"> w tym</w:t>
      </w:r>
      <w:r w:rsidRPr="00201A9A">
        <w:rPr>
          <w:noProof/>
        </w:rPr>
        <w:t xml:space="preserve"> wszystkich kwestii mających wpływ na postępy</w:t>
      </w:r>
      <w:r w:rsidR="00201A9A" w:rsidRPr="00201A9A">
        <w:rPr>
          <w:noProof/>
        </w:rPr>
        <w:t xml:space="preserve"> w osi</w:t>
      </w:r>
      <w:r w:rsidRPr="00201A9A">
        <w:rPr>
          <w:noProof/>
        </w:rPr>
        <w:t>ąganiu ich celów.</w:t>
      </w:r>
      <w:r w:rsidR="00201A9A" w:rsidRPr="00201A9A">
        <w:rPr>
          <w:noProof/>
        </w:rPr>
        <w:t xml:space="preserve"> </w:t>
      </w:r>
    </w:p>
    <w:p w14:paraId="7FB3BA8B" w14:textId="3391A688" w:rsidR="00410938" w:rsidRPr="00201A9A" w:rsidRDefault="00410938" w:rsidP="003E2902">
      <w:pPr>
        <w:pStyle w:val="NumPar10000000"/>
        <w:numPr>
          <w:ilvl w:val="0"/>
          <w:numId w:val="45"/>
        </w:numPr>
        <w:rPr>
          <w:noProof/>
        </w:rPr>
      </w:pPr>
      <w:r w:rsidRPr="00201A9A">
        <w:rPr>
          <w:noProof/>
        </w:rPr>
        <w:t>Regulamin komitetu monitorującego oraz dane</w:t>
      </w:r>
      <w:r w:rsidR="00201A9A" w:rsidRPr="00201A9A">
        <w:rPr>
          <w:noProof/>
        </w:rPr>
        <w:t xml:space="preserve"> i inf</w:t>
      </w:r>
      <w:r w:rsidRPr="00201A9A">
        <w:rPr>
          <w:noProof/>
        </w:rPr>
        <w:t>ormacje wymieniane</w:t>
      </w:r>
      <w:r w:rsidR="00201A9A" w:rsidRPr="00201A9A">
        <w:rPr>
          <w:noProof/>
        </w:rPr>
        <w:t xml:space="preserve"> z kom</w:t>
      </w:r>
      <w:r w:rsidRPr="00201A9A">
        <w:rPr>
          <w:noProof/>
        </w:rPr>
        <w:t>itetem monitorującym publikuje się na stronie internetowej,</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64. </w:t>
      </w:r>
    </w:p>
    <w:p w14:paraId="2D08608E" w14:textId="77777777" w:rsidR="00410938" w:rsidRPr="00201A9A" w:rsidRDefault="00410938" w:rsidP="00410938">
      <w:pPr>
        <w:pStyle w:val="Titrearticle"/>
        <w:rPr>
          <w:noProof/>
        </w:rPr>
      </w:pPr>
      <w:r w:rsidRPr="00201A9A">
        <w:rPr>
          <w:noProof/>
        </w:rPr>
        <w:t xml:space="preserve">Artykuł 55 </w:t>
      </w:r>
      <w:r w:rsidRPr="00201A9A">
        <w:rPr>
          <w:noProof/>
        </w:rPr>
        <w:br/>
      </w:r>
      <w:r w:rsidRPr="00201A9A">
        <w:rPr>
          <w:b/>
          <w:noProof/>
        </w:rPr>
        <w:t>Skład komitetu monitorującego</w:t>
      </w:r>
    </w:p>
    <w:p w14:paraId="356CFD61" w14:textId="2D8B6B3D" w:rsidR="00410938" w:rsidRPr="00201A9A" w:rsidRDefault="00D133EE" w:rsidP="003E2902">
      <w:pPr>
        <w:pStyle w:val="NumPar10000000"/>
        <w:numPr>
          <w:ilvl w:val="0"/>
          <w:numId w:val="46"/>
        </w:numPr>
        <w:rPr>
          <w:noProof/>
        </w:rPr>
      </w:pPr>
      <w:r w:rsidRPr="00201A9A">
        <w:rPr>
          <w:noProof/>
        </w:rPr>
        <w:t>Każde państwo członkowskie określa,</w:t>
      </w:r>
      <w:r w:rsidR="00201A9A" w:rsidRPr="00201A9A">
        <w:rPr>
          <w:noProof/>
        </w:rPr>
        <w:t xml:space="preserve"> w dro</w:t>
      </w:r>
      <w:r w:rsidRPr="00201A9A">
        <w:rPr>
          <w:noProof/>
        </w:rPr>
        <w:t>dze procedury publicznej oraz</w:t>
      </w:r>
      <w:r w:rsidR="00201A9A" w:rsidRPr="00201A9A">
        <w:rPr>
          <w:noProof/>
        </w:rPr>
        <w:t xml:space="preserve"> w opa</w:t>
      </w:r>
      <w:r w:rsidRPr="00201A9A">
        <w:rPr>
          <w:noProof/>
        </w:rPr>
        <w:t>rciu</w:t>
      </w:r>
      <w:r w:rsidR="00201A9A" w:rsidRPr="00201A9A">
        <w:rPr>
          <w:noProof/>
        </w:rPr>
        <w:t xml:space="preserve"> o obi</w:t>
      </w:r>
      <w:r w:rsidRPr="00201A9A">
        <w:rPr>
          <w:noProof/>
        </w:rPr>
        <w:t>ektywne</w:t>
      </w:r>
      <w:r w:rsidR="00201A9A" w:rsidRPr="00201A9A">
        <w:rPr>
          <w:noProof/>
        </w:rPr>
        <w:t xml:space="preserve"> i prz</w:t>
      </w:r>
      <w:r w:rsidRPr="00201A9A">
        <w:rPr>
          <w:noProof/>
        </w:rPr>
        <w:t>ejrzyste kryteria, skład</w:t>
      </w:r>
      <w:r w:rsidR="00201A9A" w:rsidRPr="00201A9A">
        <w:rPr>
          <w:noProof/>
        </w:rPr>
        <w:t xml:space="preserve"> i wie</w:t>
      </w:r>
      <w:r w:rsidRPr="00201A9A">
        <w:rPr>
          <w:noProof/>
        </w:rPr>
        <w:t>lkość komitetu monitorującego, zapewniając wyważoną reprezentację odpowiednich organów państw członkowskich</w:t>
      </w:r>
      <w:r w:rsidR="00201A9A" w:rsidRPr="00201A9A">
        <w:rPr>
          <w:noProof/>
        </w:rPr>
        <w:t xml:space="preserve"> i ins</w:t>
      </w:r>
      <w:r w:rsidRPr="00201A9A">
        <w:rPr>
          <w:noProof/>
        </w:rPr>
        <w:t>tytucji pośredniczących oraz przedstawicieli partnerów,</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6 [partnerstwo]. Liczba takich partnerów jest równa liczbie członków należących do wspomnianych organów lub instytucji pośredniczących lub od niej wyższa.</w:t>
      </w:r>
      <w:r w:rsidR="00201A9A" w:rsidRPr="00201A9A">
        <w:rPr>
          <w:noProof/>
        </w:rPr>
        <w:t xml:space="preserve"> </w:t>
      </w:r>
    </w:p>
    <w:p w14:paraId="31414B41" w14:textId="51B6181E" w:rsidR="00410938" w:rsidRPr="00201A9A" w:rsidRDefault="00410938" w:rsidP="0035702B">
      <w:pPr>
        <w:pStyle w:val="Text1"/>
        <w:ind w:left="851"/>
        <w:rPr>
          <w:noProof/>
        </w:rPr>
      </w:pPr>
      <w:r w:rsidRPr="00201A9A">
        <w:rPr>
          <w:noProof/>
        </w:rPr>
        <w:t>Skład komitetu monitorującego uwzględnia rozdział lub rozdziały planu, za które komitet monitorujący jest odpowiedzialny. Skład</w:t>
      </w:r>
      <w:r w:rsidR="00201A9A" w:rsidRPr="00201A9A">
        <w:rPr>
          <w:noProof/>
        </w:rPr>
        <w:t xml:space="preserve"> i wie</w:t>
      </w:r>
      <w:r w:rsidRPr="00201A9A">
        <w:rPr>
          <w:noProof/>
        </w:rPr>
        <w:t>lkość komitetu monitorującego umożliwiają mu sprawne</w:t>
      </w:r>
      <w:r w:rsidR="00201A9A" w:rsidRPr="00201A9A">
        <w:rPr>
          <w:noProof/>
        </w:rPr>
        <w:t xml:space="preserve"> i sku</w:t>
      </w:r>
      <w:r w:rsidRPr="00201A9A">
        <w:rPr>
          <w:noProof/>
        </w:rPr>
        <w:t>teczne wykonywanie jego prac.</w:t>
      </w:r>
      <w:r w:rsidR="00201A9A" w:rsidRPr="00201A9A">
        <w:rPr>
          <w:noProof/>
        </w:rPr>
        <w:t xml:space="preserve"> </w:t>
      </w:r>
    </w:p>
    <w:p w14:paraId="30F0CE5C" w14:textId="072D23D9" w:rsidR="00410938" w:rsidRPr="00201A9A" w:rsidRDefault="00410938" w:rsidP="0035702B">
      <w:pPr>
        <w:pStyle w:val="Text1"/>
        <w:ind w:left="851"/>
        <w:rPr>
          <w:noProof/>
        </w:rPr>
      </w:pPr>
      <w:r w:rsidRPr="00201A9A">
        <w:rPr>
          <w:noProof/>
        </w:rPr>
        <w:t>Każdy członek komitetu monitorującego ma jeden głos.</w:t>
      </w:r>
      <w:r w:rsidR="00201A9A" w:rsidRPr="00201A9A">
        <w:rPr>
          <w:noProof/>
        </w:rPr>
        <w:t xml:space="preserve"> </w:t>
      </w:r>
    </w:p>
    <w:p w14:paraId="21297FC8" w14:textId="18899408" w:rsidR="00410938" w:rsidRPr="00201A9A" w:rsidRDefault="00410938" w:rsidP="0035702B">
      <w:pPr>
        <w:pStyle w:val="Text1"/>
        <w:ind w:left="851"/>
        <w:rPr>
          <w:noProof/>
        </w:rPr>
      </w:pPr>
      <w:r w:rsidRPr="00201A9A">
        <w:rPr>
          <w:noProof/>
        </w:rPr>
        <w:t>Państwo członkowskie publikuje i co roku aktualizuje wykaz członków komitetu monitorującego na stronie internetowej,</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64.</w:t>
      </w:r>
      <w:r w:rsidR="00201A9A" w:rsidRPr="00201A9A">
        <w:rPr>
          <w:noProof/>
        </w:rPr>
        <w:t xml:space="preserve"> </w:t>
      </w:r>
    </w:p>
    <w:p w14:paraId="5017E5C2" w14:textId="427AD5A5" w:rsidR="00410938" w:rsidRPr="00201A9A" w:rsidRDefault="00410938" w:rsidP="003E2902">
      <w:pPr>
        <w:pStyle w:val="NumPar10000000"/>
        <w:numPr>
          <w:ilvl w:val="0"/>
          <w:numId w:val="45"/>
        </w:numPr>
        <w:rPr>
          <w:noProof/>
        </w:rPr>
      </w:pPr>
      <w:r w:rsidRPr="00201A9A">
        <w:rPr>
          <w:noProof/>
        </w:rPr>
        <w:t>Przedstawiciele Komisji uczestniczą</w:t>
      </w:r>
      <w:r w:rsidR="00201A9A" w:rsidRPr="00201A9A">
        <w:rPr>
          <w:noProof/>
        </w:rPr>
        <w:t xml:space="preserve"> w pra</w:t>
      </w:r>
      <w:r w:rsidRPr="00201A9A">
        <w:rPr>
          <w:noProof/>
        </w:rPr>
        <w:t>cach komitetu monitorującego, pełniąc rolę doradczą.</w:t>
      </w:r>
      <w:r w:rsidR="00201A9A" w:rsidRPr="00201A9A">
        <w:rPr>
          <w:noProof/>
        </w:rPr>
        <w:t xml:space="preserve"> </w:t>
      </w:r>
    </w:p>
    <w:p w14:paraId="3FD635F8" w14:textId="77777777" w:rsidR="00410938" w:rsidRPr="00201A9A" w:rsidRDefault="00410938" w:rsidP="00410938">
      <w:pPr>
        <w:pStyle w:val="Titrearticle"/>
        <w:rPr>
          <w:noProof/>
        </w:rPr>
      </w:pPr>
      <w:r w:rsidRPr="00201A9A">
        <w:rPr>
          <w:noProof/>
        </w:rPr>
        <w:t xml:space="preserve">Artykuł 56 </w:t>
      </w:r>
      <w:r w:rsidRPr="00201A9A">
        <w:rPr>
          <w:noProof/>
        </w:rPr>
        <w:br/>
      </w:r>
      <w:r w:rsidRPr="00201A9A">
        <w:rPr>
          <w:b/>
          <w:noProof/>
        </w:rPr>
        <w:t>Funkcje komitetu monitorującego</w:t>
      </w:r>
    </w:p>
    <w:p w14:paraId="17E1338D" w14:textId="4F2310E2" w:rsidR="00410938" w:rsidRPr="00201A9A" w:rsidRDefault="00410938" w:rsidP="003E2902">
      <w:pPr>
        <w:pStyle w:val="NumPar10000000"/>
        <w:numPr>
          <w:ilvl w:val="0"/>
          <w:numId w:val="47"/>
        </w:numPr>
        <w:rPr>
          <w:noProof/>
        </w:rPr>
      </w:pPr>
      <w:r w:rsidRPr="00201A9A">
        <w:rPr>
          <w:noProof/>
        </w:rPr>
        <w:t>Komitet monitorujący analizuje:</w:t>
      </w:r>
      <w:r w:rsidR="00201A9A" w:rsidRPr="00201A9A">
        <w:rPr>
          <w:noProof/>
        </w:rPr>
        <w:t xml:space="preserve"> </w:t>
      </w:r>
    </w:p>
    <w:p w14:paraId="35837480" w14:textId="409961A7" w:rsidR="00410938" w:rsidRPr="00201A9A" w:rsidRDefault="00201A9A" w:rsidP="00201A9A">
      <w:pPr>
        <w:pStyle w:val="Point1"/>
        <w:rPr>
          <w:noProof/>
        </w:rPr>
      </w:pPr>
      <w:r w:rsidRPr="00201A9A">
        <w:rPr>
          <w:noProof/>
        </w:rPr>
        <w:t>a)</w:t>
      </w:r>
      <w:r w:rsidRPr="00201A9A">
        <w:rPr>
          <w:noProof/>
        </w:rPr>
        <w:tab/>
      </w:r>
      <w:r w:rsidR="00410938" w:rsidRPr="00201A9A">
        <w:rPr>
          <w:noProof/>
        </w:rPr>
        <w:t>postępy we wdrażaniu środków zawartych</w:t>
      </w:r>
      <w:r w:rsidRPr="00201A9A">
        <w:rPr>
          <w:noProof/>
        </w:rPr>
        <w:t xml:space="preserve"> w roz</w:t>
      </w:r>
      <w:r w:rsidR="00410938" w:rsidRPr="00201A9A">
        <w:rPr>
          <w:noProof/>
        </w:rPr>
        <w:t>dziale planu;</w:t>
      </w:r>
      <w:r w:rsidRPr="00201A9A">
        <w:rPr>
          <w:noProof/>
        </w:rPr>
        <w:t xml:space="preserve"> </w:t>
      </w:r>
    </w:p>
    <w:p w14:paraId="0F1928E5" w14:textId="6548BF60" w:rsidR="00410938" w:rsidRPr="00201A9A" w:rsidRDefault="00201A9A" w:rsidP="00201A9A">
      <w:pPr>
        <w:pStyle w:val="Point1"/>
        <w:rPr>
          <w:noProof/>
        </w:rPr>
      </w:pPr>
      <w:r w:rsidRPr="00201A9A">
        <w:rPr>
          <w:noProof/>
        </w:rPr>
        <w:t>b)</w:t>
      </w:r>
      <w:r w:rsidRPr="00201A9A">
        <w:rPr>
          <w:noProof/>
        </w:rPr>
        <w:tab/>
      </w:r>
      <w:r w:rsidR="00410938" w:rsidRPr="00201A9A">
        <w:rPr>
          <w:noProof/>
        </w:rPr>
        <w:t>wszelkie kwestie mające wpływ na wykonanie rozdziału</w:t>
      </w:r>
      <w:r w:rsidRPr="00201A9A">
        <w:rPr>
          <w:noProof/>
        </w:rPr>
        <w:t xml:space="preserve"> i śro</w:t>
      </w:r>
      <w:r w:rsidR="00410938" w:rsidRPr="00201A9A">
        <w:rPr>
          <w:noProof/>
        </w:rPr>
        <w:t>dki podjęte</w:t>
      </w:r>
      <w:r w:rsidRPr="00201A9A">
        <w:rPr>
          <w:noProof/>
        </w:rPr>
        <w:t xml:space="preserve"> w cel</w:t>
      </w:r>
      <w:r w:rsidR="00410938" w:rsidRPr="00201A9A">
        <w:rPr>
          <w:noProof/>
        </w:rPr>
        <w:t>u zaradzenia tym kwestiom; </w:t>
      </w:r>
    </w:p>
    <w:p w14:paraId="53429D3A" w14:textId="18B0D6DD" w:rsidR="00410938" w:rsidRPr="00201A9A" w:rsidRDefault="00201A9A" w:rsidP="00201A9A">
      <w:pPr>
        <w:pStyle w:val="Point1"/>
        <w:rPr>
          <w:noProof/>
        </w:rPr>
      </w:pPr>
      <w:r w:rsidRPr="00201A9A">
        <w:rPr>
          <w:noProof/>
        </w:rPr>
        <w:t>c)</w:t>
      </w:r>
      <w:r w:rsidRPr="00201A9A">
        <w:rPr>
          <w:noProof/>
        </w:rPr>
        <w:tab/>
      </w:r>
      <w:r w:rsidR="00410938" w:rsidRPr="00201A9A">
        <w:rPr>
          <w:noProof/>
        </w:rPr>
        <w:t>spełnienie warunków horyzontalnych dotyczących państwa prawnego</w:t>
      </w:r>
      <w:r w:rsidRPr="00201A9A">
        <w:rPr>
          <w:noProof/>
        </w:rPr>
        <w:t xml:space="preserve"> i Kar</w:t>
      </w:r>
      <w:r w:rsidR="00410938" w:rsidRPr="00201A9A">
        <w:rPr>
          <w:noProof/>
        </w:rPr>
        <w:t>ty określonych</w:t>
      </w:r>
      <w:r w:rsidRPr="00201A9A">
        <w:rPr>
          <w:noProof/>
        </w:rPr>
        <w:t xml:space="preserve"> w art</w:t>
      </w:r>
      <w:r w:rsidR="00410938" w:rsidRPr="00201A9A">
        <w:rPr>
          <w:noProof/>
        </w:rPr>
        <w:t>.</w:t>
      </w:r>
      <w:r w:rsidRPr="00201A9A">
        <w:rPr>
          <w:noProof/>
        </w:rPr>
        <w:t> </w:t>
      </w:r>
      <w:r w:rsidR="00410938" w:rsidRPr="00201A9A">
        <w:rPr>
          <w:noProof/>
        </w:rPr>
        <w:t>8</w:t>
      </w:r>
      <w:r w:rsidRPr="00201A9A">
        <w:rPr>
          <w:noProof/>
        </w:rPr>
        <w:t xml:space="preserve"> i 9</w:t>
      </w:r>
      <w:r w:rsidR="00410938" w:rsidRPr="00201A9A">
        <w:rPr>
          <w:noProof/>
        </w:rPr>
        <w:t xml:space="preserve"> [Warunki horyzontalne dotyczące państwa prawnego</w:t>
      </w:r>
      <w:r w:rsidRPr="00201A9A">
        <w:rPr>
          <w:noProof/>
        </w:rPr>
        <w:t xml:space="preserve"> i Kar</w:t>
      </w:r>
      <w:r w:rsidR="00410938" w:rsidRPr="00201A9A">
        <w:rPr>
          <w:noProof/>
        </w:rPr>
        <w:t>ty] oraz ich stosowanie przez cały okres programowania;</w:t>
      </w:r>
    </w:p>
    <w:p w14:paraId="3D969136" w14:textId="0CCDAF50" w:rsidR="00410938" w:rsidRPr="00201A9A" w:rsidRDefault="00201A9A" w:rsidP="00201A9A">
      <w:pPr>
        <w:pStyle w:val="Point1"/>
        <w:rPr>
          <w:noProof/>
        </w:rPr>
      </w:pPr>
      <w:r w:rsidRPr="00201A9A">
        <w:rPr>
          <w:noProof/>
        </w:rPr>
        <w:t>d)</w:t>
      </w:r>
      <w:r w:rsidRPr="00201A9A">
        <w:rPr>
          <w:noProof/>
        </w:rPr>
        <w:tab/>
      </w:r>
      <w:r w:rsidR="00410938" w:rsidRPr="00201A9A">
        <w:rPr>
          <w:noProof/>
        </w:rPr>
        <w:t>postęp dokonany</w:t>
      </w:r>
      <w:r w:rsidRPr="00201A9A">
        <w:rPr>
          <w:noProof/>
        </w:rPr>
        <w:t xml:space="preserve"> w prz</w:t>
      </w:r>
      <w:r w:rsidR="00410938" w:rsidRPr="00201A9A">
        <w:rPr>
          <w:noProof/>
        </w:rPr>
        <w:t>eprowadzaniu ocen, sprawozdań podsumowujących oceny, ich wyników</w:t>
      </w:r>
      <w:r w:rsidRPr="00201A9A">
        <w:rPr>
          <w:noProof/>
        </w:rPr>
        <w:t xml:space="preserve"> i wsz</w:t>
      </w:r>
      <w:r w:rsidR="00410938" w:rsidRPr="00201A9A">
        <w:rPr>
          <w:noProof/>
        </w:rPr>
        <w:t>elkich działań następczych podjętych na ich podstawie;</w:t>
      </w:r>
      <w:r w:rsidRPr="00201A9A">
        <w:rPr>
          <w:noProof/>
        </w:rPr>
        <w:t xml:space="preserve"> </w:t>
      </w:r>
    </w:p>
    <w:p w14:paraId="544DA7F9" w14:textId="75C5DC43" w:rsidR="00410938" w:rsidRPr="00201A9A" w:rsidRDefault="00201A9A" w:rsidP="00201A9A">
      <w:pPr>
        <w:pStyle w:val="Point1"/>
        <w:rPr>
          <w:noProof/>
        </w:rPr>
      </w:pPr>
      <w:r w:rsidRPr="00201A9A">
        <w:rPr>
          <w:noProof/>
        </w:rPr>
        <w:t>e)</w:t>
      </w:r>
      <w:r w:rsidRPr="00201A9A">
        <w:rPr>
          <w:noProof/>
        </w:rPr>
        <w:tab/>
      </w:r>
      <w:r w:rsidR="00410938" w:rsidRPr="00201A9A">
        <w:rPr>
          <w:noProof/>
        </w:rPr>
        <w:t>wdrażanie działań informacyjnych, komunikacyjnych</w:t>
      </w:r>
      <w:r w:rsidRPr="00201A9A">
        <w:rPr>
          <w:noProof/>
        </w:rPr>
        <w:t xml:space="preserve"> i dzi</w:t>
      </w:r>
      <w:r w:rsidR="00410938" w:rsidRPr="00201A9A">
        <w:rPr>
          <w:noProof/>
        </w:rPr>
        <w:t>ałań na rzecz widoczności</w:t>
      </w:r>
      <w:r w:rsidRPr="00201A9A">
        <w:rPr>
          <w:noProof/>
        </w:rPr>
        <w:t xml:space="preserve"> w odn</w:t>
      </w:r>
      <w:r w:rsidR="00410938" w:rsidRPr="00201A9A">
        <w:rPr>
          <w:noProof/>
        </w:rPr>
        <w:t>iesieniu do reform</w:t>
      </w:r>
      <w:r w:rsidRPr="00201A9A">
        <w:rPr>
          <w:noProof/>
        </w:rPr>
        <w:t xml:space="preserve"> i inw</w:t>
      </w:r>
      <w:r w:rsidR="00410938" w:rsidRPr="00201A9A">
        <w:rPr>
          <w:noProof/>
        </w:rPr>
        <w:t>estycji oraz innych interwencji ujętych</w:t>
      </w:r>
      <w:r w:rsidRPr="00201A9A">
        <w:rPr>
          <w:noProof/>
        </w:rPr>
        <w:t xml:space="preserve"> w roz</w:t>
      </w:r>
      <w:r w:rsidR="00410938" w:rsidRPr="00201A9A">
        <w:rPr>
          <w:noProof/>
        </w:rPr>
        <w:t>dziale;</w:t>
      </w:r>
      <w:r w:rsidRPr="00201A9A">
        <w:rPr>
          <w:noProof/>
        </w:rPr>
        <w:t xml:space="preserve"> </w:t>
      </w:r>
    </w:p>
    <w:p w14:paraId="4231CFC0" w14:textId="059F6499" w:rsidR="00410938" w:rsidRPr="00201A9A" w:rsidRDefault="00201A9A" w:rsidP="00201A9A">
      <w:pPr>
        <w:pStyle w:val="Point1"/>
        <w:rPr>
          <w:noProof/>
        </w:rPr>
      </w:pPr>
      <w:r w:rsidRPr="00201A9A">
        <w:rPr>
          <w:noProof/>
        </w:rPr>
        <w:t>f)</w:t>
      </w:r>
      <w:r w:rsidRPr="00201A9A">
        <w:rPr>
          <w:noProof/>
        </w:rPr>
        <w:tab/>
      </w:r>
      <w:r w:rsidR="00410938" w:rsidRPr="00201A9A">
        <w:rPr>
          <w:noProof/>
        </w:rPr>
        <w:t>w stosownych przypadkach, postępy</w:t>
      </w:r>
      <w:r w:rsidRPr="00201A9A">
        <w:rPr>
          <w:noProof/>
        </w:rPr>
        <w:t xml:space="preserve"> w bud</w:t>
      </w:r>
      <w:r w:rsidR="00410938" w:rsidRPr="00201A9A">
        <w:rPr>
          <w:noProof/>
        </w:rPr>
        <w:t>owaniu zdolności administracyjnych instytucji publicznych, partnerów</w:t>
      </w:r>
      <w:r w:rsidRPr="00201A9A">
        <w:rPr>
          <w:noProof/>
        </w:rPr>
        <w:t xml:space="preserve"> i ben</w:t>
      </w:r>
      <w:r w:rsidR="00410938" w:rsidRPr="00201A9A">
        <w:rPr>
          <w:noProof/>
        </w:rPr>
        <w:t>eficjentów; </w:t>
      </w:r>
    </w:p>
    <w:p w14:paraId="0BFBDFDB" w14:textId="646C9F9C" w:rsidR="00410938" w:rsidRPr="00201A9A" w:rsidRDefault="00201A9A" w:rsidP="00201A9A">
      <w:pPr>
        <w:pStyle w:val="Point1"/>
        <w:rPr>
          <w:noProof/>
        </w:rPr>
      </w:pPr>
      <w:r w:rsidRPr="00201A9A">
        <w:rPr>
          <w:noProof/>
        </w:rPr>
        <w:t>g)</w:t>
      </w:r>
      <w:r w:rsidRPr="00201A9A">
        <w:rPr>
          <w:noProof/>
        </w:rPr>
        <w:tab/>
      </w:r>
      <w:r w:rsidR="00E9440C" w:rsidRPr="00201A9A">
        <w:rPr>
          <w:noProof/>
        </w:rPr>
        <w:t>skuteczne funkcjonowanie partnerstwa</w:t>
      </w:r>
      <w:r w:rsidRPr="00201A9A">
        <w:rPr>
          <w:noProof/>
        </w:rPr>
        <w:t xml:space="preserve"> w odn</w:t>
      </w:r>
      <w:r w:rsidR="00E9440C" w:rsidRPr="00201A9A">
        <w:rPr>
          <w:noProof/>
        </w:rPr>
        <w:t>iesieniu do rozdziału lub rozdziałów planu, za które komitet monitorujący odpowiada.</w:t>
      </w:r>
      <w:r w:rsidRPr="00201A9A">
        <w:rPr>
          <w:noProof/>
        </w:rPr>
        <w:t xml:space="preserve"> </w:t>
      </w:r>
    </w:p>
    <w:p w14:paraId="58C785A3" w14:textId="19396BF6" w:rsidR="00410938" w:rsidRPr="00201A9A" w:rsidRDefault="00410938" w:rsidP="003E2902">
      <w:pPr>
        <w:pStyle w:val="NumPar10000000"/>
        <w:numPr>
          <w:ilvl w:val="0"/>
          <w:numId w:val="45"/>
        </w:numPr>
        <w:rPr>
          <w:noProof/>
        </w:rPr>
      </w:pPr>
      <w:r w:rsidRPr="00201A9A">
        <w:rPr>
          <w:noProof/>
        </w:rPr>
        <w:t>Komitet monitorujący zatwierdza</w:t>
      </w:r>
      <w:r w:rsidR="00201A9A" w:rsidRPr="00201A9A">
        <w:rPr>
          <w:noProof/>
        </w:rPr>
        <w:t xml:space="preserve"> w odn</w:t>
      </w:r>
      <w:r w:rsidRPr="00201A9A">
        <w:rPr>
          <w:noProof/>
        </w:rPr>
        <w:t>iesieniu do rozdziału lub rozdziałów, za które odpowiada:</w:t>
      </w:r>
      <w:r w:rsidR="00201A9A" w:rsidRPr="00201A9A">
        <w:rPr>
          <w:noProof/>
        </w:rPr>
        <w:t xml:space="preserve"> </w:t>
      </w:r>
    </w:p>
    <w:p w14:paraId="795E9714" w14:textId="55AEF0F7" w:rsidR="00410938" w:rsidRPr="00201A9A" w:rsidRDefault="00201A9A" w:rsidP="00201A9A">
      <w:pPr>
        <w:pStyle w:val="Point1"/>
        <w:rPr>
          <w:noProof/>
        </w:rPr>
      </w:pPr>
      <w:r w:rsidRPr="00201A9A">
        <w:rPr>
          <w:noProof/>
        </w:rPr>
        <w:t>a)</w:t>
      </w:r>
      <w:r w:rsidRPr="00201A9A">
        <w:rPr>
          <w:noProof/>
        </w:rPr>
        <w:tab/>
      </w:r>
      <w:r w:rsidR="00410938" w:rsidRPr="00201A9A">
        <w:rPr>
          <w:noProof/>
        </w:rPr>
        <w:t>wszelkie wnioski dotyczące zmiany rozdziału lub rozdziałów planu PKR, za który odpowiada,</w:t>
      </w:r>
      <w:r w:rsidRPr="00201A9A">
        <w:rPr>
          <w:noProof/>
        </w:rPr>
        <w:t xml:space="preserve"> z wyj</w:t>
      </w:r>
      <w:r w:rsidR="00410938" w:rsidRPr="00201A9A">
        <w:rPr>
          <w:noProof/>
        </w:rPr>
        <w:t>ątkiem zmian na podstawie art.</w:t>
      </w:r>
      <w:r w:rsidRPr="00201A9A">
        <w:rPr>
          <w:noProof/>
        </w:rPr>
        <w:t> </w:t>
      </w:r>
      <w:r w:rsidR="00410938" w:rsidRPr="00201A9A">
        <w:rPr>
          <w:noProof/>
        </w:rPr>
        <w:t>34 [działania Unii, Instrument UE].</w:t>
      </w:r>
    </w:p>
    <w:p w14:paraId="3CD6C471" w14:textId="0EB697F5" w:rsidR="00410938" w:rsidRPr="00201A9A" w:rsidRDefault="00201A9A" w:rsidP="00201A9A">
      <w:pPr>
        <w:pStyle w:val="Point1"/>
        <w:rPr>
          <w:noProof/>
        </w:rPr>
      </w:pPr>
      <w:r w:rsidRPr="00201A9A">
        <w:rPr>
          <w:noProof/>
        </w:rPr>
        <w:t>b)</w:t>
      </w:r>
      <w:r w:rsidRPr="00201A9A">
        <w:rPr>
          <w:noProof/>
        </w:rPr>
        <w:tab/>
      </w:r>
      <w:r w:rsidR="00410938" w:rsidRPr="00201A9A">
        <w:rPr>
          <w:noProof/>
        </w:rPr>
        <w:t>metodykę, kryteria</w:t>
      </w:r>
      <w:r w:rsidRPr="00201A9A">
        <w:rPr>
          <w:noProof/>
        </w:rPr>
        <w:t xml:space="preserve"> i pro</w:t>
      </w:r>
      <w:r w:rsidR="00410938" w:rsidRPr="00201A9A">
        <w:rPr>
          <w:noProof/>
        </w:rPr>
        <w:t>cedury wyboru operacji,</w:t>
      </w:r>
      <w:r w:rsidRPr="00201A9A">
        <w:rPr>
          <w:noProof/>
        </w:rPr>
        <w:t xml:space="preserve"> w tym</w:t>
      </w:r>
      <w:r w:rsidR="00410938" w:rsidRPr="00201A9A">
        <w:rPr>
          <w:noProof/>
        </w:rPr>
        <w:t xml:space="preserve"> wszelkie ich zmiany. Zastosowane kryteria</w:t>
      </w:r>
      <w:r w:rsidRPr="00201A9A">
        <w:rPr>
          <w:noProof/>
        </w:rPr>
        <w:t xml:space="preserve"> i pro</w:t>
      </w:r>
      <w:r w:rsidR="00410938" w:rsidRPr="00201A9A">
        <w:rPr>
          <w:noProof/>
        </w:rPr>
        <w:t>cedury muszą być niedyskryminujące, włączające</w:t>
      </w:r>
      <w:r w:rsidRPr="00201A9A">
        <w:rPr>
          <w:noProof/>
        </w:rPr>
        <w:t xml:space="preserve"> i prz</w:t>
      </w:r>
      <w:r w:rsidR="00410938" w:rsidRPr="00201A9A">
        <w:rPr>
          <w:noProof/>
        </w:rPr>
        <w:t>ejrzyste, muszą zapewniać dostępność dla osób</w:t>
      </w:r>
      <w:r w:rsidRPr="00201A9A">
        <w:rPr>
          <w:noProof/>
        </w:rPr>
        <w:t xml:space="preserve"> z nie</w:t>
      </w:r>
      <w:r w:rsidR="00410938" w:rsidRPr="00201A9A">
        <w:rPr>
          <w:noProof/>
        </w:rPr>
        <w:t>pełnosprawnościami</w:t>
      </w:r>
      <w:r w:rsidRPr="00201A9A">
        <w:rPr>
          <w:noProof/>
        </w:rPr>
        <w:t xml:space="preserve"> i rów</w:t>
      </w:r>
      <w:r w:rsidR="00410938" w:rsidRPr="00201A9A">
        <w:rPr>
          <w:noProof/>
        </w:rPr>
        <w:t>ność płci oraz muszą uwzględniać Kartę praw podstawowych Unii Europejskiej;</w:t>
      </w:r>
    </w:p>
    <w:p w14:paraId="163AE55D" w14:textId="7E86FB6C" w:rsidR="00410938" w:rsidRPr="00201A9A" w:rsidRDefault="00201A9A" w:rsidP="00201A9A">
      <w:pPr>
        <w:pStyle w:val="Point1"/>
        <w:rPr>
          <w:noProof/>
        </w:rPr>
      </w:pPr>
      <w:r w:rsidRPr="00201A9A">
        <w:rPr>
          <w:noProof/>
        </w:rPr>
        <w:t>c)</w:t>
      </w:r>
      <w:r w:rsidRPr="00201A9A">
        <w:rPr>
          <w:noProof/>
        </w:rPr>
        <w:tab/>
      </w:r>
      <w:r w:rsidR="00410938" w:rsidRPr="00201A9A">
        <w:rPr>
          <w:noProof/>
        </w:rPr>
        <w:t>plan oceny</w:t>
      </w:r>
      <w:r w:rsidRPr="00201A9A">
        <w:rPr>
          <w:noProof/>
        </w:rPr>
        <w:t xml:space="preserve"> i wsz</w:t>
      </w:r>
      <w:r w:rsidR="00410938" w:rsidRPr="00201A9A">
        <w:rPr>
          <w:noProof/>
        </w:rPr>
        <w:t>elkie zmiany</w:t>
      </w:r>
      <w:r w:rsidRPr="00201A9A">
        <w:rPr>
          <w:noProof/>
        </w:rPr>
        <w:t xml:space="preserve"> w tym</w:t>
      </w:r>
      <w:r w:rsidR="00410938" w:rsidRPr="00201A9A">
        <w:rPr>
          <w:noProof/>
        </w:rPr>
        <w:t xml:space="preserve"> planie;</w:t>
      </w:r>
    </w:p>
    <w:p w14:paraId="6C7DF11B" w14:textId="051FCE42" w:rsidR="00410938" w:rsidRPr="00201A9A" w:rsidRDefault="00201A9A" w:rsidP="00201A9A">
      <w:pPr>
        <w:pStyle w:val="Point1"/>
        <w:rPr>
          <w:noProof/>
        </w:rPr>
      </w:pPr>
      <w:r w:rsidRPr="00201A9A">
        <w:rPr>
          <w:noProof/>
        </w:rPr>
        <w:t>d)</w:t>
      </w:r>
      <w:r w:rsidRPr="00201A9A">
        <w:rPr>
          <w:noProof/>
        </w:rPr>
        <w:tab/>
      </w:r>
      <w:r w:rsidR="00410938" w:rsidRPr="00201A9A">
        <w:rPr>
          <w:noProof/>
        </w:rPr>
        <w:t>strategię komunikacji;</w:t>
      </w:r>
    </w:p>
    <w:p w14:paraId="36978E39" w14:textId="7FB2A660" w:rsidR="00410938" w:rsidRPr="00201A9A" w:rsidRDefault="00201A9A" w:rsidP="00201A9A">
      <w:pPr>
        <w:pStyle w:val="Point1"/>
        <w:rPr>
          <w:noProof/>
        </w:rPr>
      </w:pPr>
      <w:r w:rsidRPr="00201A9A">
        <w:rPr>
          <w:noProof/>
        </w:rPr>
        <w:t>e)</w:t>
      </w:r>
      <w:r w:rsidRPr="00201A9A">
        <w:rPr>
          <w:noProof/>
        </w:rPr>
        <w:tab/>
      </w:r>
      <w:r w:rsidR="00410938" w:rsidRPr="00201A9A">
        <w:rPr>
          <w:noProof/>
        </w:rPr>
        <w:t>strategie rozwoju terytorialnego.</w:t>
      </w:r>
      <w:r w:rsidRPr="00201A9A">
        <w:rPr>
          <w:noProof/>
        </w:rPr>
        <w:t xml:space="preserve"> </w:t>
      </w:r>
    </w:p>
    <w:p w14:paraId="6F37EC75" w14:textId="1CADC908" w:rsidR="00410938" w:rsidRPr="00201A9A" w:rsidRDefault="00410938" w:rsidP="003E2902">
      <w:pPr>
        <w:pStyle w:val="NumPar10000000"/>
        <w:numPr>
          <w:ilvl w:val="0"/>
          <w:numId w:val="45"/>
        </w:numPr>
        <w:rPr>
          <w:noProof/>
        </w:rPr>
      </w:pPr>
      <w:r w:rsidRPr="00201A9A">
        <w:rPr>
          <w:noProof/>
        </w:rPr>
        <w:t>Komitet koordynujący analizuje</w:t>
      </w:r>
      <w:r w:rsidR="00201A9A" w:rsidRPr="00201A9A">
        <w:rPr>
          <w:noProof/>
        </w:rPr>
        <w:t xml:space="preserve"> i zat</w:t>
      </w:r>
      <w:r w:rsidRPr="00201A9A">
        <w:rPr>
          <w:noProof/>
        </w:rPr>
        <w:t>wierdza te same elementy, które zostały wymienione</w:t>
      </w:r>
      <w:r w:rsidR="00201A9A" w:rsidRPr="00201A9A">
        <w:rPr>
          <w:noProof/>
        </w:rPr>
        <w:t xml:space="preserve"> w pop</w:t>
      </w:r>
      <w:r w:rsidRPr="00201A9A">
        <w:rPr>
          <w:noProof/>
        </w:rPr>
        <w:t>rzednim ustępie, ale na poziomie planu</w:t>
      </w:r>
      <w:r w:rsidR="00201A9A" w:rsidRPr="00201A9A">
        <w:rPr>
          <w:noProof/>
        </w:rPr>
        <w:t>. W prz</w:t>
      </w:r>
      <w:r w:rsidRPr="00201A9A">
        <w:rPr>
          <w:noProof/>
        </w:rPr>
        <w:t xml:space="preserve">ypadku rozbieżnych opinii decydująca jest opinia komitetu monitorującego odpowiedzialnego za dany rozdział. </w:t>
      </w:r>
    </w:p>
    <w:p w14:paraId="4F7736D8" w14:textId="24A79D51" w:rsidR="009E129B" w:rsidRPr="00201A9A" w:rsidRDefault="00410938" w:rsidP="003E2902">
      <w:pPr>
        <w:pStyle w:val="NumPar10000000"/>
        <w:numPr>
          <w:ilvl w:val="0"/>
          <w:numId w:val="45"/>
        </w:numPr>
        <w:rPr>
          <w:noProof/>
        </w:rPr>
      </w:pPr>
      <w:r w:rsidRPr="00201A9A">
        <w:rPr>
          <w:noProof/>
        </w:rPr>
        <w:t>W przypadku opóźnień lub wyzwań związanych</w:t>
      </w:r>
      <w:r w:rsidR="00201A9A" w:rsidRPr="00201A9A">
        <w:rPr>
          <w:noProof/>
        </w:rPr>
        <w:t xml:space="preserve"> z wdr</w:t>
      </w:r>
      <w:r w:rsidRPr="00201A9A">
        <w:rPr>
          <w:noProof/>
        </w:rPr>
        <w:t>ażaniem różnych rozdziałów planu komitet koordynujący może wydawać zalecenia dla organów zarządzających rozdziałami planu dotyczące poprawy skuteczności tych rozdziałów</w:t>
      </w:r>
      <w:r w:rsidR="00201A9A" w:rsidRPr="00201A9A">
        <w:rPr>
          <w:noProof/>
        </w:rPr>
        <w:t xml:space="preserve"> w osi</w:t>
      </w:r>
      <w:r w:rsidRPr="00201A9A">
        <w:rPr>
          <w:noProof/>
        </w:rPr>
        <w:t>ąganiu ich celów,</w:t>
      </w:r>
      <w:r w:rsidR="00201A9A" w:rsidRPr="00201A9A">
        <w:rPr>
          <w:noProof/>
        </w:rPr>
        <w:t xml:space="preserve"> w tym</w:t>
      </w:r>
      <w:r w:rsidRPr="00201A9A">
        <w:rPr>
          <w:noProof/>
        </w:rPr>
        <w:t xml:space="preserve"> wszelkich działań naprawczych, jakie muszą podjąć organy. </w:t>
      </w:r>
    </w:p>
    <w:p w14:paraId="2B7FDD81" w14:textId="6E6A2FEC" w:rsidR="00670CA6" w:rsidRPr="00201A9A" w:rsidRDefault="00670CA6" w:rsidP="006125B0">
      <w:pPr>
        <w:pStyle w:val="Titrearticle"/>
        <w:rPr>
          <w:b/>
          <w:noProof/>
        </w:rPr>
      </w:pPr>
      <w:r w:rsidRPr="00201A9A">
        <w:rPr>
          <w:noProof/>
        </w:rPr>
        <w:t xml:space="preserve">Artykuł 57 </w:t>
      </w:r>
      <w:r w:rsidRPr="00201A9A">
        <w:rPr>
          <w:noProof/>
        </w:rPr>
        <w:br/>
      </w:r>
      <w:r w:rsidRPr="00201A9A">
        <w:rPr>
          <w:b/>
          <w:noProof/>
        </w:rPr>
        <w:t>Europejska</w:t>
      </w:r>
      <w:r w:rsidR="00201A9A" w:rsidRPr="00201A9A">
        <w:rPr>
          <w:b/>
          <w:noProof/>
        </w:rPr>
        <w:t xml:space="preserve"> i kra</w:t>
      </w:r>
      <w:r w:rsidRPr="00201A9A">
        <w:rPr>
          <w:b/>
          <w:noProof/>
        </w:rPr>
        <w:t>jowa sieć WPR</w:t>
      </w:r>
    </w:p>
    <w:p w14:paraId="636159F4" w14:textId="48949A79" w:rsidR="00045B7D" w:rsidRPr="00201A9A" w:rsidRDefault="00F36AD5" w:rsidP="003E2902">
      <w:pPr>
        <w:pStyle w:val="NumPar10000000"/>
        <w:numPr>
          <w:ilvl w:val="0"/>
          <w:numId w:val="120"/>
        </w:numPr>
        <w:rPr>
          <w:noProof/>
        </w:rPr>
      </w:pPr>
      <w:r w:rsidRPr="00201A9A">
        <w:rPr>
          <w:noProof/>
        </w:rPr>
        <w:t>Najpóźniej 12 miesięcy po zatwierdzeniu przez Komisję planu każde państwo członkowskie tworzy</w:t>
      </w:r>
      <w:r w:rsidR="00201A9A" w:rsidRPr="00201A9A">
        <w:rPr>
          <w:noProof/>
        </w:rPr>
        <w:t xml:space="preserve"> i wsp</w:t>
      </w:r>
      <w:r w:rsidRPr="00201A9A">
        <w:rPr>
          <w:noProof/>
        </w:rPr>
        <w:t>iera krajową sieć WPR („krajowa sieć WPR”) na potrzeby kontaktów na szczeblu krajowym między organizacjami</w:t>
      </w:r>
      <w:r w:rsidR="00201A9A" w:rsidRPr="00201A9A">
        <w:rPr>
          <w:noProof/>
        </w:rPr>
        <w:t xml:space="preserve"> i org</w:t>
      </w:r>
      <w:r w:rsidRPr="00201A9A">
        <w:rPr>
          <w:noProof/>
        </w:rPr>
        <w:t>anami administracji, doradcami, naukowcami</w:t>
      </w:r>
      <w:r w:rsidR="00201A9A" w:rsidRPr="00201A9A">
        <w:rPr>
          <w:noProof/>
        </w:rPr>
        <w:t xml:space="preserve"> i inn</w:t>
      </w:r>
      <w:r w:rsidRPr="00201A9A">
        <w:rPr>
          <w:noProof/>
        </w:rPr>
        <w:t>ymi podmiotami zaangażowanymi</w:t>
      </w:r>
      <w:r w:rsidR="00201A9A" w:rsidRPr="00201A9A">
        <w:rPr>
          <w:noProof/>
        </w:rPr>
        <w:t xml:space="preserve"> w inn</w:t>
      </w:r>
      <w:r w:rsidRPr="00201A9A">
        <w:rPr>
          <w:noProof/>
        </w:rPr>
        <w:t>owacje oraz innymi podmiotami</w:t>
      </w:r>
      <w:r w:rsidR="00201A9A" w:rsidRPr="00201A9A">
        <w:rPr>
          <w:noProof/>
        </w:rPr>
        <w:t xml:space="preserve"> w dzi</w:t>
      </w:r>
      <w:r w:rsidRPr="00201A9A">
        <w:rPr>
          <w:noProof/>
        </w:rPr>
        <w:t>edzinie rolnictwa</w:t>
      </w:r>
      <w:r w:rsidR="00201A9A" w:rsidRPr="00201A9A">
        <w:rPr>
          <w:noProof/>
        </w:rPr>
        <w:t xml:space="preserve"> i roz</w:t>
      </w:r>
      <w:r w:rsidRPr="00201A9A">
        <w:rPr>
          <w:noProof/>
        </w:rPr>
        <w:t>woju obszarów wiejskich. Krajowa sieć WPR opiera się na dotychczasowych doświadczeniach</w:t>
      </w:r>
      <w:r w:rsidR="00201A9A" w:rsidRPr="00201A9A">
        <w:rPr>
          <w:noProof/>
        </w:rPr>
        <w:t xml:space="preserve"> i pra</w:t>
      </w:r>
      <w:r w:rsidRPr="00201A9A">
        <w:rPr>
          <w:noProof/>
        </w:rPr>
        <w:t>ktykach</w:t>
      </w:r>
      <w:r w:rsidR="00201A9A" w:rsidRPr="00201A9A">
        <w:rPr>
          <w:noProof/>
        </w:rPr>
        <w:t xml:space="preserve"> w zak</w:t>
      </w:r>
      <w:r w:rsidRPr="00201A9A">
        <w:rPr>
          <w:noProof/>
        </w:rPr>
        <w:t>resie tworzenia sieci kontaktów</w:t>
      </w:r>
      <w:r w:rsidR="00201A9A" w:rsidRPr="00201A9A">
        <w:rPr>
          <w:noProof/>
        </w:rPr>
        <w:t xml:space="preserve"> w pań</w:t>
      </w:r>
      <w:r w:rsidRPr="00201A9A">
        <w:rPr>
          <w:noProof/>
        </w:rPr>
        <w:t>stwach członkowskich.</w:t>
      </w:r>
    </w:p>
    <w:p w14:paraId="28C4D968" w14:textId="50B2B2BC" w:rsidR="007C51E8" w:rsidRPr="00201A9A" w:rsidRDefault="007451EE" w:rsidP="003E2902">
      <w:pPr>
        <w:pStyle w:val="NumPar10000000"/>
        <w:numPr>
          <w:ilvl w:val="0"/>
          <w:numId w:val="120"/>
        </w:numPr>
        <w:rPr>
          <w:noProof/>
        </w:rPr>
      </w:pPr>
      <w:r w:rsidRPr="00201A9A">
        <w:rPr>
          <w:noProof/>
        </w:rPr>
        <w:t>W celu objęcia krajowych sieci, organizacji</w:t>
      </w:r>
      <w:r w:rsidR="00201A9A" w:rsidRPr="00201A9A">
        <w:rPr>
          <w:noProof/>
        </w:rPr>
        <w:t xml:space="preserve"> i str</w:t>
      </w:r>
      <w:r w:rsidRPr="00201A9A">
        <w:rPr>
          <w:noProof/>
        </w:rPr>
        <w:t>uktur administracyjnych</w:t>
      </w:r>
      <w:r w:rsidR="00201A9A" w:rsidRPr="00201A9A">
        <w:rPr>
          <w:noProof/>
        </w:rPr>
        <w:t xml:space="preserve"> z sek</w:t>
      </w:r>
      <w:r w:rsidRPr="00201A9A">
        <w:rPr>
          <w:noProof/>
        </w:rPr>
        <w:t>tora rolnictwa</w:t>
      </w:r>
      <w:r w:rsidR="00201A9A" w:rsidRPr="00201A9A">
        <w:rPr>
          <w:noProof/>
        </w:rPr>
        <w:t xml:space="preserve"> i roz</w:t>
      </w:r>
      <w:r w:rsidRPr="00201A9A">
        <w:rPr>
          <w:noProof/>
        </w:rPr>
        <w:t>woju obszarów wiejskich jedną siecią kontaktów na poziomie Unii Komisja powołuje europejską sieć ds. wspólnej polityki rolnej („europejska sieć WPR”).</w:t>
      </w:r>
    </w:p>
    <w:p w14:paraId="22D5369C" w14:textId="4AB8480E" w:rsidR="007C51E8" w:rsidRPr="00201A9A" w:rsidRDefault="007C51E8" w:rsidP="003E2902">
      <w:pPr>
        <w:pStyle w:val="NumPar10000000"/>
        <w:numPr>
          <w:ilvl w:val="0"/>
          <w:numId w:val="45"/>
        </w:numPr>
        <w:rPr>
          <w:noProof/>
        </w:rPr>
      </w:pPr>
      <w:r w:rsidRPr="00201A9A">
        <w:rPr>
          <w:noProof/>
        </w:rPr>
        <w:t>Cele krajowych</w:t>
      </w:r>
      <w:r w:rsidR="00201A9A" w:rsidRPr="00201A9A">
        <w:rPr>
          <w:noProof/>
        </w:rPr>
        <w:t xml:space="preserve"> i eur</w:t>
      </w:r>
      <w:r w:rsidRPr="00201A9A">
        <w:rPr>
          <w:noProof/>
        </w:rPr>
        <w:t xml:space="preserve">opejskich sieci WPR są następujące: </w:t>
      </w:r>
    </w:p>
    <w:p w14:paraId="689CD19E" w14:textId="7CEDABF5" w:rsidR="007C51E8" w:rsidRPr="00201A9A" w:rsidRDefault="00201A9A" w:rsidP="00201A9A">
      <w:pPr>
        <w:pStyle w:val="Point1"/>
        <w:rPr>
          <w:noProof/>
        </w:rPr>
      </w:pPr>
      <w:r w:rsidRPr="00201A9A">
        <w:rPr>
          <w:noProof/>
        </w:rPr>
        <w:t>a)</w:t>
      </w:r>
      <w:r w:rsidRPr="00201A9A">
        <w:rPr>
          <w:noProof/>
        </w:rPr>
        <w:tab/>
      </w:r>
      <w:r w:rsidR="007C51E8" w:rsidRPr="00201A9A">
        <w:rPr>
          <w:noProof/>
        </w:rPr>
        <w:t>zaangażowanie zainteresowanych stron</w:t>
      </w:r>
      <w:r w:rsidRPr="00201A9A">
        <w:rPr>
          <w:noProof/>
        </w:rPr>
        <w:t xml:space="preserve"> w pro</w:t>
      </w:r>
      <w:r w:rsidR="007C51E8" w:rsidRPr="00201A9A">
        <w:rPr>
          <w:noProof/>
        </w:rPr>
        <w:t>jektowanie</w:t>
      </w:r>
      <w:r w:rsidRPr="00201A9A">
        <w:rPr>
          <w:noProof/>
        </w:rPr>
        <w:t xml:space="preserve"> i wdr</w:t>
      </w:r>
      <w:r w:rsidR="007C51E8" w:rsidRPr="00201A9A">
        <w:rPr>
          <w:noProof/>
        </w:rPr>
        <w:t>ażanie interwencji</w:t>
      </w:r>
      <w:r w:rsidRPr="00201A9A">
        <w:rPr>
          <w:noProof/>
        </w:rPr>
        <w:t xml:space="preserve"> w ram</w:t>
      </w:r>
      <w:r w:rsidR="007C51E8" w:rsidRPr="00201A9A">
        <w:rPr>
          <w:noProof/>
        </w:rPr>
        <w:t>ach WPR</w:t>
      </w:r>
      <w:r w:rsidRPr="00201A9A">
        <w:rPr>
          <w:noProof/>
        </w:rPr>
        <w:t xml:space="preserve"> w ram</w:t>
      </w:r>
      <w:r w:rsidR="007C51E8" w:rsidRPr="00201A9A">
        <w:rPr>
          <w:noProof/>
        </w:rPr>
        <w:t xml:space="preserve">ach planu PKR; </w:t>
      </w:r>
    </w:p>
    <w:p w14:paraId="63227728" w14:textId="7BC5162E" w:rsidR="007C51E8" w:rsidRPr="00201A9A" w:rsidRDefault="00201A9A" w:rsidP="00201A9A">
      <w:pPr>
        <w:pStyle w:val="Point1"/>
        <w:rPr>
          <w:noProof/>
        </w:rPr>
      </w:pPr>
      <w:r w:rsidRPr="00201A9A">
        <w:rPr>
          <w:noProof/>
        </w:rPr>
        <w:t>b)</w:t>
      </w:r>
      <w:r w:rsidRPr="00201A9A">
        <w:rPr>
          <w:noProof/>
        </w:rPr>
        <w:tab/>
      </w:r>
      <w:r w:rsidR="007C51E8" w:rsidRPr="00201A9A">
        <w:rPr>
          <w:noProof/>
        </w:rPr>
        <w:t>wspieranie administracji państw członkowskich we wdrażaniu interwencji</w:t>
      </w:r>
      <w:r w:rsidRPr="00201A9A">
        <w:rPr>
          <w:noProof/>
        </w:rPr>
        <w:t xml:space="preserve"> w ram</w:t>
      </w:r>
      <w:r w:rsidR="007C51E8" w:rsidRPr="00201A9A">
        <w:rPr>
          <w:noProof/>
        </w:rPr>
        <w:t xml:space="preserve">ach WPR; </w:t>
      </w:r>
    </w:p>
    <w:p w14:paraId="3C4234CA" w14:textId="2712B9E4" w:rsidR="007C51E8" w:rsidRPr="00201A9A" w:rsidRDefault="00201A9A" w:rsidP="00201A9A">
      <w:pPr>
        <w:pStyle w:val="Point1"/>
        <w:rPr>
          <w:noProof/>
        </w:rPr>
      </w:pPr>
      <w:r w:rsidRPr="00201A9A">
        <w:rPr>
          <w:noProof/>
        </w:rPr>
        <w:t>c)</w:t>
      </w:r>
      <w:r w:rsidRPr="00201A9A">
        <w:rPr>
          <w:noProof/>
        </w:rPr>
        <w:tab/>
      </w:r>
      <w:r w:rsidR="007C51E8" w:rsidRPr="00201A9A">
        <w:rPr>
          <w:noProof/>
        </w:rPr>
        <w:t>poprawa jakości planów PKR,</w:t>
      </w:r>
      <w:r w:rsidRPr="00201A9A">
        <w:rPr>
          <w:noProof/>
        </w:rPr>
        <w:t xml:space="preserve"> a w szc</w:t>
      </w:r>
      <w:r w:rsidR="007C51E8" w:rsidRPr="00201A9A">
        <w:rPr>
          <w:noProof/>
        </w:rPr>
        <w:t>zególności zawartych</w:t>
      </w:r>
      <w:r w:rsidRPr="00201A9A">
        <w:rPr>
          <w:noProof/>
        </w:rPr>
        <w:t xml:space="preserve"> w nic</w:t>
      </w:r>
      <w:r w:rsidR="007C51E8" w:rsidRPr="00201A9A">
        <w:rPr>
          <w:noProof/>
        </w:rPr>
        <w:t>h środków związanych</w:t>
      </w:r>
      <w:r w:rsidRPr="00201A9A">
        <w:rPr>
          <w:noProof/>
        </w:rPr>
        <w:t xml:space="preserve"> z rol</w:t>
      </w:r>
      <w:r w:rsidR="007C51E8" w:rsidRPr="00201A9A">
        <w:rPr>
          <w:noProof/>
        </w:rPr>
        <w:t xml:space="preserve">nictwem, oraz upowszechnianie wyników; </w:t>
      </w:r>
    </w:p>
    <w:p w14:paraId="52EFFB81" w14:textId="544ADB84" w:rsidR="007C51E8" w:rsidRPr="00201A9A" w:rsidRDefault="00201A9A" w:rsidP="00201A9A">
      <w:pPr>
        <w:pStyle w:val="Point1"/>
        <w:rPr>
          <w:noProof/>
        </w:rPr>
      </w:pPr>
      <w:r w:rsidRPr="00201A9A">
        <w:rPr>
          <w:noProof/>
        </w:rPr>
        <w:t>d)</w:t>
      </w:r>
      <w:r w:rsidRPr="00201A9A">
        <w:rPr>
          <w:noProof/>
        </w:rPr>
        <w:tab/>
      </w:r>
      <w:r w:rsidR="007C51E8" w:rsidRPr="00201A9A">
        <w:rPr>
          <w:noProof/>
        </w:rPr>
        <w:t>wspieranie innowacji, wzajemnego uczenia się</w:t>
      </w:r>
      <w:r w:rsidRPr="00201A9A">
        <w:rPr>
          <w:noProof/>
        </w:rPr>
        <w:t xml:space="preserve"> i wym</w:t>
      </w:r>
      <w:r w:rsidR="007C51E8" w:rsidRPr="00201A9A">
        <w:rPr>
          <w:noProof/>
        </w:rPr>
        <w:t xml:space="preserve">iany wiedzy; </w:t>
      </w:r>
    </w:p>
    <w:p w14:paraId="5B9060B3" w14:textId="761172D7" w:rsidR="007C51E8" w:rsidRPr="00201A9A" w:rsidRDefault="00201A9A" w:rsidP="00201A9A">
      <w:pPr>
        <w:pStyle w:val="Point1"/>
        <w:rPr>
          <w:noProof/>
        </w:rPr>
      </w:pPr>
      <w:r w:rsidRPr="00201A9A">
        <w:rPr>
          <w:noProof/>
        </w:rPr>
        <w:t>e)</w:t>
      </w:r>
      <w:r w:rsidRPr="00201A9A">
        <w:rPr>
          <w:noProof/>
        </w:rPr>
        <w:tab/>
      </w:r>
      <w:r w:rsidR="007C51E8" w:rsidRPr="00201A9A">
        <w:rPr>
          <w:noProof/>
        </w:rPr>
        <w:t>zwiększenie zdolności</w:t>
      </w:r>
      <w:r w:rsidRPr="00201A9A">
        <w:rPr>
          <w:noProof/>
        </w:rPr>
        <w:t xml:space="preserve"> w zak</w:t>
      </w:r>
      <w:r w:rsidR="007C51E8" w:rsidRPr="00201A9A">
        <w:rPr>
          <w:noProof/>
        </w:rPr>
        <w:t>resie monitorowania</w:t>
      </w:r>
      <w:r w:rsidRPr="00201A9A">
        <w:rPr>
          <w:noProof/>
        </w:rPr>
        <w:t xml:space="preserve"> i oce</w:t>
      </w:r>
      <w:r w:rsidR="007C51E8" w:rsidRPr="00201A9A">
        <w:rPr>
          <w:noProof/>
        </w:rPr>
        <w:t xml:space="preserve">ny; </w:t>
      </w:r>
    </w:p>
    <w:p w14:paraId="4CDA8EE4" w14:textId="54DC4249" w:rsidR="007C51E8" w:rsidRPr="00201A9A" w:rsidRDefault="00201A9A" w:rsidP="00201A9A">
      <w:pPr>
        <w:pStyle w:val="Point1"/>
        <w:rPr>
          <w:noProof/>
        </w:rPr>
      </w:pPr>
      <w:r w:rsidRPr="00201A9A">
        <w:rPr>
          <w:noProof/>
        </w:rPr>
        <w:t>f)</w:t>
      </w:r>
      <w:r w:rsidRPr="00201A9A">
        <w:rPr>
          <w:noProof/>
        </w:rPr>
        <w:tab/>
      </w:r>
      <w:r w:rsidR="007C51E8" w:rsidRPr="00201A9A">
        <w:rPr>
          <w:noProof/>
        </w:rPr>
        <w:t>rozpowszechnianie informacji na temat WPR</w:t>
      </w:r>
      <w:r w:rsidRPr="00201A9A">
        <w:rPr>
          <w:noProof/>
        </w:rPr>
        <w:t xml:space="preserve"> i moż</w:t>
      </w:r>
      <w:r w:rsidR="007C51E8" w:rsidRPr="00201A9A">
        <w:rPr>
          <w:noProof/>
        </w:rPr>
        <w:t xml:space="preserve">liwości finansowania; </w:t>
      </w:r>
    </w:p>
    <w:p w14:paraId="77A88ED3" w14:textId="328B2AD3" w:rsidR="00D939BF" w:rsidRPr="00201A9A" w:rsidRDefault="00201A9A" w:rsidP="00201A9A">
      <w:pPr>
        <w:pStyle w:val="Point1"/>
        <w:rPr>
          <w:noProof/>
        </w:rPr>
      </w:pPr>
      <w:r w:rsidRPr="00201A9A">
        <w:rPr>
          <w:noProof/>
        </w:rPr>
        <w:t>g)</w:t>
      </w:r>
      <w:r w:rsidRPr="00201A9A">
        <w:rPr>
          <w:noProof/>
        </w:rPr>
        <w:tab/>
      </w:r>
      <w:r w:rsidR="007C51E8" w:rsidRPr="00201A9A">
        <w:rPr>
          <w:noProof/>
        </w:rPr>
        <w:t>przyczynianie się do dalszego rozwoju WPR.</w:t>
      </w:r>
    </w:p>
    <w:p w14:paraId="187C383B" w14:textId="1BE77919" w:rsidR="00D939BF" w:rsidRPr="00201A9A" w:rsidRDefault="00D939BF" w:rsidP="003E2902">
      <w:pPr>
        <w:pStyle w:val="NumPar10000000"/>
        <w:numPr>
          <w:ilvl w:val="0"/>
          <w:numId w:val="45"/>
        </w:numPr>
        <w:rPr>
          <w:noProof/>
        </w:rPr>
      </w:pPr>
      <w:r w:rsidRPr="00201A9A">
        <w:rPr>
          <w:noProof/>
        </w:rPr>
        <w:t>Aby osiągnąć cele,</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 xml:space="preserve">6, sieci: </w:t>
      </w:r>
    </w:p>
    <w:p w14:paraId="7085E168" w14:textId="21291873" w:rsidR="00D939BF" w:rsidRPr="00201A9A" w:rsidRDefault="00201A9A" w:rsidP="00201A9A">
      <w:pPr>
        <w:pStyle w:val="Point1"/>
        <w:rPr>
          <w:noProof/>
        </w:rPr>
      </w:pPr>
      <w:r w:rsidRPr="00201A9A">
        <w:rPr>
          <w:noProof/>
        </w:rPr>
        <w:t>a)</w:t>
      </w:r>
      <w:r w:rsidRPr="00201A9A">
        <w:rPr>
          <w:noProof/>
        </w:rPr>
        <w:tab/>
      </w:r>
      <w:r w:rsidR="00D939BF" w:rsidRPr="00201A9A">
        <w:rPr>
          <w:noProof/>
        </w:rPr>
        <w:t>gromadzą, analizują</w:t>
      </w:r>
      <w:r w:rsidRPr="00201A9A">
        <w:rPr>
          <w:noProof/>
        </w:rPr>
        <w:t xml:space="preserve"> i roz</w:t>
      </w:r>
      <w:r w:rsidR="00D939BF" w:rsidRPr="00201A9A">
        <w:rPr>
          <w:noProof/>
        </w:rPr>
        <w:t>powszechniają informacje na temat dobrych praktyk dotyczących WPR, jak również analizy zmian</w:t>
      </w:r>
      <w:r w:rsidRPr="00201A9A">
        <w:rPr>
          <w:noProof/>
        </w:rPr>
        <w:t xml:space="preserve"> w rol</w:t>
      </w:r>
      <w:r w:rsidR="00D939BF" w:rsidRPr="00201A9A">
        <w:rPr>
          <w:noProof/>
        </w:rPr>
        <w:t xml:space="preserve">nictwie i na obszarach wiejskich; </w:t>
      </w:r>
    </w:p>
    <w:p w14:paraId="5B2558E7" w14:textId="71730318" w:rsidR="00D939BF" w:rsidRPr="00201A9A" w:rsidRDefault="00201A9A" w:rsidP="00201A9A">
      <w:pPr>
        <w:pStyle w:val="Point1"/>
        <w:rPr>
          <w:noProof/>
        </w:rPr>
      </w:pPr>
      <w:r w:rsidRPr="00201A9A">
        <w:rPr>
          <w:noProof/>
        </w:rPr>
        <w:t>b)</w:t>
      </w:r>
      <w:r w:rsidRPr="00201A9A">
        <w:rPr>
          <w:noProof/>
        </w:rPr>
        <w:tab/>
      </w:r>
      <w:r w:rsidR="00D939BF" w:rsidRPr="00201A9A">
        <w:rPr>
          <w:noProof/>
        </w:rPr>
        <w:t>budują zdolności administracji państw członkowskich</w:t>
      </w:r>
      <w:r w:rsidRPr="00201A9A">
        <w:rPr>
          <w:noProof/>
        </w:rPr>
        <w:t xml:space="preserve"> i inn</w:t>
      </w:r>
      <w:r w:rsidR="00D939BF" w:rsidRPr="00201A9A">
        <w:rPr>
          <w:noProof/>
        </w:rPr>
        <w:t>ych podmiotów zaangażowanych we wdrażanie, monitorowanie</w:t>
      </w:r>
      <w:r w:rsidRPr="00201A9A">
        <w:rPr>
          <w:noProof/>
        </w:rPr>
        <w:t xml:space="preserve"> i oce</w:t>
      </w:r>
      <w:r w:rsidR="00D939BF" w:rsidRPr="00201A9A">
        <w:rPr>
          <w:noProof/>
        </w:rPr>
        <w:t xml:space="preserve">nę planów PKR dotyczących WPR; </w:t>
      </w:r>
    </w:p>
    <w:p w14:paraId="42D07527" w14:textId="0DE4A018" w:rsidR="00D939BF" w:rsidRPr="00201A9A" w:rsidRDefault="00201A9A" w:rsidP="00201A9A">
      <w:pPr>
        <w:pStyle w:val="Point1"/>
        <w:rPr>
          <w:noProof/>
        </w:rPr>
      </w:pPr>
      <w:r w:rsidRPr="00201A9A">
        <w:rPr>
          <w:noProof/>
        </w:rPr>
        <w:t>c)</w:t>
      </w:r>
      <w:r w:rsidRPr="00201A9A">
        <w:rPr>
          <w:noProof/>
        </w:rPr>
        <w:tab/>
      </w:r>
      <w:r w:rsidR="00D939BF" w:rsidRPr="00201A9A">
        <w:rPr>
          <w:noProof/>
        </w:rPr>
        <w:t>ułatwiają wymiany, wzajemne uczenie się</w:t>
      </w:r>
      <w:r w:rsidRPr="00201A9A">
        <w:rPr>
          <w:noProof/>
        </w:rPr>
        <w:t xml:space="preserve"> i two</w:t>
      </w:r>
      <w:r w:rsidR="00D939BF" w:rsidRPr="00201A9A">
        <w:rPr>
          <w:noProof/>
        </w:rPr>
        <w:t>rzenie sieci kontaktów,</w:t>
      </w:r>
      <w:r w:rsidRPr="00201A9A">
        <w:rPr>
          <w:noProof/>
        </w:rPr>
        <w:t xml:space="preserve"> w tym</w:t>
      </w:r>
      <w:r w:rsidR="00D939BF" w:rsidRPr="00201A9A">
        <w:rPr>
          <w:noProof/>
        </w:rPr>
        <w:t>,</w:t>
      </w:r>
      <w:r w:rsidRPr="00201A9A">
        <w:rPr>
          <w:noProof/>
        </w:rPr>
        <w:t xml:space="preserve"> w sto</w:t>
      </w:r>
      <w:r w:rsidR="00D939BF" w:rsidRPr="00201A9A">
        <w:rPr>
          <w:noProof/>
        </w:rPr>
        <w:t>sownych przypadkach, prowadzenie wymian</w:t>
      </w:r>
      <w:r w:rsidRPr="00201A9A">
        <w:rPr>
          <w:noProof/>
        </w:rPr>
        <w:t xml:space="preserve"> z sie</w:t>
      </w:r>
      <w:r w:rsidR="00D939BF" w:rsidRPr="00201A9A">
        <w:rPr>
          <w:noProof/>
        </w:rPr>
        <w:t>ciami kontaktów</w:t>
      </w:r>
      <w:r w:rsidRPr="00201A9A">
        <w:rPr>
          <w:noProof/>
        </w:rPr>
        <w:t xml:space="preserve"> w pań</w:t>
      </w:r>
      <w:r w:rsidR="00D939BF" w:rsidRPr="00201A9A">
        <w:rPr>
          <w:noProof/>
        </w:rPr>
        <w:t xml:space="preserve">stwach trzecich; </w:t>
      </w:r>
    </w:p>
    <w:p w14:paraId="522B2DD6" w14:textId="4CAB8012" w:rsidR="00831110" w:rsidRPr="00201A9A" w:rsidRDefault="00201A9A" w:rsidP="00201A9A">
      <w:pPr>
        <w:pStyle w:val="Point1"/>
        <w:rPr>
          <w:noProof/>
        </w:rPr>
      </w:pPr>
      <w:r w:rsidRPr="00201A9A">
        <w:rPr>
          <w:noProof/>
        </w:rPr>
        <w:t>d)</w:t>
      </w:r>
      <w:r w:rsidRPr="00201A9A">
        <w:rPr>
          <w:noProof/>
        </w:rPr>
        <w:tab/>
      </w:r>
      <w:r w:rsidR="00D939BF" w:rsidRPr="00201A9A">
        <w:rPr>
          <w:noProof/>
        </w:rPr>
        <w:t>wspierają tworzenie sieci kontaktów</w:t>
      </w:r>
      <w:r w:rsidRPr="00201A9A">
        <w:rPr>
          <w:noProof/>
        </w:rPr>
        <w:t xml:space="preserve"> w ram</w:t>
      </w:r>
      <w:r w:rsidR="00D939BF" w:rsidRPr="00201A9A">
        <w:rPr>
          <w:noProof/>
        </w:rPr>
        <w:t>ach finansowanych projektów współpracy, takich jak lokalne grupy działania,</w:t>
      </w:r>
      <w:r w:rsidRPr="00201A9A">
        <w:rPr>
          <w:noProof/>
        </w:rPr>
        <w:t xml:space="preserve"> o któ</w:t>
      </w:r>
      <w:r w:rsidR="00D939BF" w:rsidRPr="00201A9A">
        <w:rPr>
          <w:noProof/>
        </w:rPr>
        <w:t>rych mowa</w:t>
      </w:r>
      <w:r w:rsidRPr="00201A9A">
        <w:rPr>
          <w:noProof/>
        </w:rPr>
        <w:t xml:space="preserve"> w art</w:t>
      </w:r>
      <w:r w:rsidR="00D939BF" w:rsidRPr="00201A9A">
        <w:rPr>
          <w:noProof/>
        </w:rPr>
        <w:t>.</w:t>
      </w:r>
      <w:r w:rsidRPr="00201A9A">
        <w:rPr>
          <w:noProof/>
        </w:rPr>
        <w:t> </w:t>
      </w:r>
      <w:r w:rsidR="00D939BF" w:rsidRPr="00201A9A">
        <w:rPr>
          <w:noProof/>
        </w:rPr>
        <w:t>77 [</w:t>
      </w:r>
      <w:r w:rsidR="00D939BF" w:rsidRPr="00201A9A">
        <w:rPr>
          <w:i/>
          <w:noProof/>
        </w:rPr>
        <w:t>LEADER</w:t>
      </w:r>
      <w:r w:rsidR="00D939BF" w:rsidRPr="00201A9A">
        <w:rPr>
          <w:noProof/>
        </w:rPr>
        <w:t>], grupy operacyjne EPI-AGRI,</w:t>
      </w:r>
      <w:r w:rsidRPr="00201A9A">
        <w:rPr>
          <w:noProof/>
        </w:rPr>
        <w:t xml:space="preserve"> o któ</w:t>
      </w:r>
      <w:r w:rsidR="00D939BF" w:rsidRPr="00201A9A">
        <w:rPr>
          <w:noProof/>
        </w:rPr>
        <w:t>rych mowa</w:t>
      </w:r>
      <w:r w:rsidRPr="00201A9A">
        <w:rPr>
          <w:noProof/>
        </w:rPr>
        <w:t xml:space="preserve"> w art</w:t>
      </w:r>
      <w:r w:rsidR="00D939BF" w:rsidRPr="00201A9A">
        <w:rPr>
          <w:noProof/>
        </w:rPr>
        <w:t>.</w:t>
      </w:r>
      <w:r w:rsidRPr="00201A9A">
        <w:rPr>
          <w:noProof/>
        </w:rPr>
        <w:t> </w:t>
      </w:r>
      <w:r w:rsidR="00D939BF" w:rsidRPr="00201A9A">
        <w:rPr>
          <w:noProof/>
        </w:rPr>
        <w:t>19 rozporządzenia (UE) 202X/XXXX [rozporządzenie</w:t>
      </w:r>
      <w:r w:rsidRPr="00201A9A">
        <w:rPr>
          <w:noProof/>
        </w:rPr>
        <w:t xml:space="preserve"> w spr</w:t>
      </w:r>
      <w:r w:rsidR="00D939BF" w:rsidRPr="00201A9A">
        <w:rPr>
          <w:noProof/>
        </w:rPr>
        <w:t>awie WPR], oraz promują powiązania</w:t>
      </w:r>
      <w:r w:rsidRPr="00201A9A">
        <w:rPr>
          <w:noProof/>
        </w:rPr>
        <w:t xml:space="preserve"> z inn</w:t>
      </w:r>
      <w:r w:rsidR="00D939BF" w:rsidRPr="00201A9A">
        <w:rPr>
          <w:noProof/>
        </w:rPr>
        <w:t>ymi strategiami finansowanymi przez Unię.</w:t>
      </w:r>
    </w:p>
    <w:p w14:paraId="5D8A4E52" w14:textId="58337C08" w:rsidR="006653B7" w:rsidRPr="00201A9A" w:rsidRDefault="00831110" w:rsidP="003E2902">
      <w:pPr>
        <w:pStyle w:val="NumPar10000000"/>
        <w:numPr>
          <w:ilvl w:val="0"/>
          <w:numId w:val="45"/>
        </w:numPr>
        <w:rPr>
          <w:noProof/>
        </w:rPr>
      </w:pPr>
      <w:r w:rsidRPr="00201A9A">
        <w:rPr>
          <w:noProof/>
        </w:rPr>
        <w:t>Europejska sieć WPR</w:t>
      </w:r>
      <w:r w:rsidR="00201A9A" w:rsidRPr="00201A9A">
        <w:rPr>
          <w:noProof/>
        </w:rPr>
        <w:t xml:space="preserve"> i kra</w:t>
      </w:r>
      <w:r w:rsidRPr="00201A9A">
        <w:rPr>
          <w:noProof/>
        </w:rPr>
        <w:t>jowe sieci WPR współpracują</w:t>
      </w:r>
      <w:r w:rsidR="00201A9A" w:rsidRPr="00201A9A">
        <w:rPr>
          <w:noProof/>
        </w:rPr>
        <w:t xml:space="preserve"> i pro</w:t>
      </w:r>
      <w:r w:rsidRPr="00201A9A">
        <w:rPr>
          <w:noProof/>
        </w:rPr>
        <w:t>wadzą wspólne działania na rzecz osiągnięcia celów,</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 xml:space="preserve">3. Europejska sieć WPR stosuje wyróżniającą się identyfikację wizualną. </w:t>
      </w:r>
    </w:p>
    <w:p w14:paraId="1DEB88FE" w14:textId="77777777" w:rsidR="00410938" w:rsidRPr="00201A9A" w:rsidRDefault="00410938" w:rsidP="00410938">
      <w:pPr>
        <w:pStyle w:val="SectionTitle"/>
        <w:rPr>
          <w:noProof/>
        </w:rPr>
      </w:pPr>
      <w:r w:rsidRPr="00201A9A">
        <w:rPr>
          <w:noProof/>
        </w:rPr>
        <w:t xml:space="preserve">TYTUŁ X </w:t>
      </w:r>
      <w:r w:rsidRPr="00201A9A">
        <w:rPr>
          <w:noProof/>
        </w:rPr>
        <w:br/>
        <w:t>ZASADY ZARZĄDZANIA I PRZEPISY FINANSOWE</w:t>
      </w:r>
    </w:p>
    <w:p w14:paraId="6FF32CA5" w14:textId="77777777" w:rsidR="00410938" w:rsidRPr="00201A9A" w:rsidRDefault="00410938" w:rsidP="00410938">
      <w:pPr>
        <w:pStyle w:val="ChapterTitle0"/>
        <w:rPr>
          <w:noProof/>
        </w:rPr>
      </w:pPr>
      <w:r w:rsidRPr="00201A9A">
        <w:rPr>
          <w:noProof/>
        </w:rPr>
        <w:t xml:space="preserve">ROZDZIAŁ I </w:t>
      </w:r>
      <w:r w:rsidRPr="00201A9A">
        <w:rPr>
          <w:noProof/>
        </w:rPr>
        <w:br/>
        <w:t>Ogólne zasady zarządzania</w:t>
      </w:r>
    </w:p>
    <w:p w14:paraId="5F04B4DE" w14:textId="77777777" w:rsidR="00410938" w:rsidRPr="00201A9A" w:rsidRDefault="00410938" w:rsidP="00410938">
      <w:pPr>
        <w:pStyle w:val="Titrearticle"/>
        <w:rPr>
          <w:b/>
          <w:noProof/>
        </w:rPr>
      </w:pPr>
      <w:r w:rsidRPr="00201A9A">
        <w:rPr>
          <w:noProof/>
        </w:rPr>
        <w:t xml:space="preserve">Artykuł 58 </w:t>
      </w:r>
      <w:r w:rsidRPr="00201A9A">
        <w:rPr>
          <w:noProof/>
        </w:rPr>
        <w:br/>
      </w:r>
      <w:r w:rsidRPr="00201A9A">
        <w:rPr>
          <w:b/>
          <w:noProof/>
        </w:rPr>
        <w:t>Obowiązki państw członkowskich</w:t>
      </w:r>
    </w:p>
    <w:p w14:paraId="529B9D76" w14:textId="3F4C3E6E" w:rsidR="00410938" w:rsidRPr="00201A9A" w:rsidRDefault="00410938" w:rsidP="003E2902">
      <w:pPr>
        <w:pStyle w:val="NumPar10000000"/>
        <w:numPr>
          <w:ilvl w:val="0"/>
          <w:numId w:val="48"/>
        </w:numPr>
        <w:rPr>
          <w:noProof/>
        </w:rPr>
      </w:pPr>
      <w:r w:rsidRPr="00201A9A">
        <w:rPr>
          <w:noProof/>
        </w:rPr>
        <w:t>Państwa członkowskie podejmują odpowiednie środki</w:t>
      </w:r>
      <w:r w:rsidR="00201A9A" w:rsidRPr="00201A9A">
        <w:rPr>
          <w:noProof/>
        </w:rPr>
        <w:t xml:space="preserve"> w cel</w:t>
      </w:r>
      <w:r w:rsidRPr="00201A9A">
        <w:rPr>
          <w:noProof/>
        </w:rPr>
        <w:t>u ochrony interesów finansowych Unii</w:t>
      </w:r>
      <w:r w:rsidR="00201A9A" w:rsidRPr="00201A9A">
        <w:rPr>
          <w:noProof/>
        </w:rPr>
        <w:t xml:space="preserve"> i zap</w:t>
      </w:r>
      <w:r w:rsidRPr="00201A9A">
        <w:rPr>
          <w:noProof/>
        </w:rPr>
        <w:t>ewnienia, aby wykorzystanie środków finansowych</w:t>
      </w:r>
      <w:r w:rsidR="00201A9A" w:rsidRPr="00201A9A">
        <w:rPr>
          <w:noProof/>
        </w:rPr>
        <w:t xml:space="preserve"> w ram</w:t>
      </w:r>
      <w:r w:rsidRPr="00201A9A">
        <w:rPr>
          <w:noProof/>
        </w:rPr>
        <w:t>ach wdrażania planów było zgodne</w:t>
      </w:r>
      <w:r w:rsidR="00201A9A" w:rsidRPr="00201A9A">
        <w:rPr>
          <w:noProof/>
        </w:rPr>
        <w:t xml:space="preserve"> z maj</w:t>
      </w:r>
      <w:r w:rsidRPr="00201A9A">
        <w:rPr>
          <w:noProof/>
        </w:rPr>
        <w:t>ącym zastosowanie prawem,</w:t>
      </w:r>
      <w:r w:rsidR="00201A9A" w:rsidRPr="00201A9A">
        <w:rPr>
          <w:noProof/>
        </w:rPr>
        <w:t xml:space="preserve"> w tym z obo</w:t>
      </w:r>
      <w:r w:rsidRPr="00201A9A">
        <w:rPr>
          <w:noProof/>
        </w:rPr>
        <w:t>wiązującymi przepisami dotyczącymi zamówień publicznych</w:t>
      </w:r>
      <w:r w:rsidR="00201A9A" w:rsidRPr="00201A9A">
        <w:rPr>
          <w:noProof/>
        </w:rPr>
        <w:t xml:space="preserve"> i zas</w:t>
      </w:r>
      <w:r w:rsidRPr="00201A9A">
        <w:rPr>
          <w:noProof/>
        </w:rPr>
        <w:t>adami pomocy państwa</w:t>
      </w:r>
      <w:r w:rsidR="00201A9A" w:rsidRPr="00201A9A">
        <w:rPr>
          <w:noProof/>
        </w:rPr>
        <w:t>. W szc</w:t>
      </w:r>
      <w:r w:rsidRPr="00201A9A">
        <w:rPr>
          <w:noProof/>
        </w:rPr>
        <w:t>zególności zapewniają one zapobieganie nieprawidłowościom,</w:t>
      </w:r>
      <w:r w:rsidR="00201A9A" w:rsidRPr="00201A9A">
        <w:rPr>
          <w:noProof/>
        </w:rPr>
        <w:t xml:space="preserve"> w tym</w:t>
      </w:r>
      <w:r w:rsidRPr="00201A9A">
        <w:rPr>
          <w:noProof/>
        </w:rPr>
        <w:t xml:space="preserve"> nadużyciom finansowym, korupcji</w:t>
      </w:r>
      <w:r w:rsidR="00201A9A" w:rsidRPr="00201A9A">
        <w:rPr>
          <w:noProof/>
        </w:rPr>
        <w:t xml:space="preserve"> i kon</w:t>
      </w:r>
      <w:r w:rsidRPr="00201A9A">
        <w:rPr>
          <w:noProof/>
        </w:rPr>
        <w:t>fliktom interesów, ich wykrywanie, korygowanie</w:t>
      </w:r>
      <w:r w:rsidR="00201A9A" w:rsidRPr="00201A9A">
        <w:rPr>
          <w:noProof/>
        </w:rPr>
        <w:t xml:space="preserve"> i zgł</w:t>
      </w:r>
      <w:r w:rsidRPr="00201A9A">
        <w:rPr>
          <w:noProof/>
        </w:rPr>
        <w:t>aszanie.</w:t>
      </w:r>
      <w:r w:rsidR="00201A9A" w:rsidRPr="00201A9A">
        <w:rPr>
          <w:noProof/>
        </w:rPr>
        <w:t xml:space="preserve"> </w:t>
      </w:r>
    </w:p>
    <w:p w14:paraId="36F49887" w14:textId="3AF35121" w:rsidR="00410938" w:rsidRPr="00201A9A" w:rsidRDefault="00410938" w:rsidP="003E2902">
      <w:pPr>
        <w:pStyle w:val="NumPar10000000"/>
        <w:numPr>
          <w:ilvl w:val="0"/>
          <w:numId w:val="45"/>
        </w:numPr>
        <w:rPr>
          <w:noProof/>
        </w:rPr>
      </w:pPr>
      <w:r w:rsidRPr="00201A9A">
        <w:rPr>
          <w:noProof/>
        </w:rPr>
        <w:t>Do celów ust.</w:t>
      </w:r>
      <w:r w:rsidR="00201A9A" w:rsidRPr="00201A9A">
        <w:rPr>
          <w:noProof/>
        </w:rPr>
        <w:t> </w:t>
      </w:r>
      <w:r w:rsidRPr="00201A9A">
        <w:rPr>
          <w:noProof/>
        </w:rPr>
        <w:t>1 państwa członkowskie:</w:t>
      </w:r>
      <w:r w:rsidR="00201A9A" w:rsidRPr="00201A9A">
        <w:rPr>
          <w:noProof/>
        </w:rPr>
        <w:t xml:space="preserve"> </w:t>
      </w:r>
    </w:p>
    <w:p w14:paraId="608C32A8" w14:textId="6589756D" w:rsidR="00410938" w:rsidRPr="00201A9A" w:rsidRDefault="00201A9A" w:rsidP="00201A9A">
      <w:pPr>
        <w:pStyle w:val="Point1"/>
        <w:rPr>
          <w:noProof/>
        </w:rPr>
      </w:pPr>
      <w:r w:rsidRPr="00201A9A">
        <w:rPr>
          <w:noProof/>
        </w:rPr>
        <w:t>a)</w:t>
      </w:r>
      <w:r w:rsidRPr="00201A9A">
        <w:rPr>
          <w:noProof/>
        </w:rPr>
        <w:tab/>
      </w:r>
      <w:r w:rsidR="00410938" w:rsidRPr="00201A9A">
        <w:rPr>
          <w:noProof/>
        </w:rPr>
        <w:t>ustanawiają skuteczne</w:t>
      </w:r>
      <w:r w:rsidRPr="00201A9A">
        <w:rPr>
          <w:noProof/>
        </w:rPr>
        <w:t xml:space="preserve"> i wyd</w:t>
      </w:r>
      <w:r w:rsidR="00410938" w:rsidRPr="00201A9A">
        <w:rPr>
          <w:noProof/>
        </w:rPr>
        <w:t>ajne systemy zarządzania</w:t>
      </w:r>
      <w:r w:rsidRPr="00201A9A">
        <w:rPr>
          <w:noProof/>
        </w:rPr>
        <w:t xml:space="preserve"> i kon</w:t>
      </w:r>
      <w:r w:rsidR="00410938" w:rsidRPr="00201A9A">
        <w:rPr>
          <w:noProof/>
        </w:rPr>
        <w:t>troli na potrzeby swoich planów zgodnie</w:t>
      </w:r>
      <w:r w:rsidRPr="00201A9A">
        <w:rPr>
          <w:noProof/>
        </w:rPr>
        <w:t xml:space="preserve"> z klu</w:t>
      </w:r>
      <w:r w:rsidR="00410938" w:rsidRPr="00201A9A">
        <w:rPr>
          <w:noProof/>
        </w:rPr>
        <w:t>czowymi wymogami określonymi</w:t>
      </w:r>
      <w:r w:rsidRPr="00201A9A">
        <w:rPr>
          <w:noProof/>
        </w:rPr>
        <w:t xml:space="preserve"> w zał</w:t>
      </w:r>
      <w:r w:rsidR="00410938" w:rsidRPr="00201A9A">
        <w:rPr>
          <w:noProof/>
        </w:rPr>
        <w:t>ączniku IV oraz zapewniają ich właściwe funkcjonowanie zgodnie</w:t>
      </w:r>
      <w:r w:rsidRPr="00201A9A">
        <w:rPr>
          <w:noProof/>
        </w:rPr>
        <w:t xml:space="preserve"> z zas</w:t>
      </w:r>
      <w:r w:rsidR="00410938" w:rsidRPr="00201A9A">
        <w:rPr>
          <w:noProof/>
        </w:rPr>
        <w:t>adą należytego zarządzania finansami; </w:t>
      </w:r>
    </w:p>
    <w:p w14:paraId="7D803909" w14:textId="2C5A50AD" w:rsidR="00410938" w:rsidRPr="00201A9A" w:rsidRDefault="00201A9A" w:rsidP="00201A9A">
      <w:pPr>
        <w:pStyle w:val="Point1"/>
        <w:rPr>
          <w:noProof/>
        </w:rPr>
      </w:pPr>
      <w:r w:rsidRPr="00201A9A">
        <w:rPr>
          <w:noProof/>
        </w:rPr>
        <w:t>b)</w:t>
      </w:r>
      <w:r w:rsidRPr="00201A9A">
        <w:rPr>
          <w:noProof/>
        </w:rPr>
        <w:tab/>
      </w:r>
      <w:r w:rsidR="00410938" w:rsidRPr="00201A9A">
        <w:rPr>
          <w:noProof/>
        </w:rPr>
        <w:t>zapewniają</w:t>
      </w:r>
      <w:r w:rsidRPr="00201A9A">
        <w:rPr>
          <w:noProof/>
        </w:rPr>
        <w:t xml:space="preserve"> i reg</w:t>
      </w:r>
      <w:r w:rsidR="00410938" w:rsidRPr="00201A9A">
        <w:rPr>
          <w:noProof/>
        </w:rPr>
        <w:t>ularnie sprawdzają, czy udzielone wsparcie zostało właściwie wykorzystane do osiągnięcia ustalonych kamieni milowych</w:t>
      </w:r>
      <w:r w:rsidRPr="00201A9A">
        <w:rPr>
          <w:noProof/>
        </w:rPr>
        <w:t xml:space="preserve"> i war</w:t>
      </w:r>
      <w:r w:rsidR="00410938" w:rsidRPr="00201A9A">
        <w:rPr>
          <w:noProof/>
        </w:rPr>
        <w:t>tości docelowych lub produktów, oraz podejmują wszelkie odpowiednie działania</w:t>
      </w:r>
      <w:r w:rsidRPr="00201A9A">
        <w:rPr>
          <w:noProof/>
        </w:rPr>
        <w:t xml:space="preserve"> w cel</w:t>
      </w:r>
      <w:r w:rsidR="00410938" w:rsidRPr="00201A9A">
        <w:rPr>
          <w:noProof/>
        </w:rPr>
        <w:t>u zapewnienia, aby wykorzystanie środków finansowych</w:t>
      </w:r>
      <w:r w:rsidRPr="00201A9A">
        <w:rPr>
          <w:noProof/>
        </w:rPr>
        <w:t xml:space="preserve"> w ram</w:t>
      </w:r>
      <w:r w:rsidR="00410938" w:rsidRPr="00201A9A">
        <w:rPr>
          <w:noProof/>
        </w:rPr>
        <w:t>ach realizacji planów było zgodne</w:t>
      </w:r>
      <w:r w:rsidRPr="00201A9A">
        <w:rPr>
          <w:noProof/>
        </w:rPr>
        <w:t xml:space="preserve"> z maj</w:t>
      </w:r>
      <w:r w:rsidR="00410938" w:rsidRPr="00201A9A">
        <w:rPr>
          <w:noProof/>
        </w:rPr>
        <w:t>ącym zastosowanie prawem; </w:t>
      </w:r>
    </w:p>
    <w:p w14:paraId="3B18FE96" w14:textId="3B0D254A" w:rsidR="00410938" w:rsidRPr="00201A9A" w:rsidRDefault="00201A9A" w:rsidP="00201A9A">
      <w:pPr>
        <w:pStyle w:val="Point1"/>
        <w:rPr>
          <w:noProof/>
        </w:rPr>
      </w:pPr>
      <w:r w:rsidRPr="00201A9A">
        <w:rPr>
          <w:noProof/>
        </w:rPr>
        <w:t>c)</w:t>
      </w:r>
      <w:r w:rsidRPr="00201A9A">
        <w:rPr>
          <w:noProof/>
        </w:rPr>
        <w:tab/>
      </w:r>
      <w:r w:rsidR="00410938" w:rsidRPr="00201A9A">
        <w:rPr>
          <w:noProof/>
        </w:rPr>
        <w:t>wprowadzają odpowiednie środki</w:t>
      </w:r>
      <w:r w:rsidRPr="00201A9A">
        <w:rPr>
          <w:noProof/>
        </w:rPr>
        <w:t xml:space="preserve"> w cel</w:t>
      </w:r>
      <w:r w:rsidR="00410938" w:rsidRPr="00201A9A">
        <w:rPr>
          <w:noProof/>
        </w:rPr>
        <w:t>u zapobiegania nieprawidłowościom,</w:t>
      </w:r>
      <w:r w:rsidRPr="00201A9A">
        <w:rPr>
          <w:noProof/>
        </w:rPr>
        <w:t xml:space="preserve"> w tym</w:t>
      </w:r>
      <w:r w:rsidR="00410938" w:rsidRPr="00201A9A">
        <w:rPr>
          <w:noProof/>
        </w:rPr>
        <w:t xml:space="preserve"> nadużyciom finansowym, korupcji</w:t>
      </w:r>
      <w:r w:rsidRPr="00201A9A">
        <w:rPr>
          <w:noProof/>
        </w:rPr>
        <w:t xml:space="preserve"> i kon</w:t>
      </w:r>
      <w:r w:rsidR="00410938" w:rsidRPr="00201A9A">
        <w:rPr>
          <w:noProof/>
        </w:rPr>
        <w:t>fliktom interesów, oraz wykrywania</w:t>
      </w:r>
      <w:r w:rsidRPr="00201A9A">
        <w:rPr>
          <w:noProof/>
        </w:rPr>
        <w:t xml:space="preserve"> i eli</w:t>
      </w:r>
      <w:r w:rsidR="00410938" w:rsidRPr="00201A9A">
        <w:rPr>
          <w:noProof/>
        </w:rPr>
        <w:t>minowania tych zjawisk,</w:t>
      </w:r>
      <w:r w:rsidRPr="00201A9A">
        <w:rPr>
          <w:noProof/>
        </w:rPr>
        <w:t xml:space="preserve"> </w:t>
      </w:r>
      <w:r w:rsidRPr="00201A9A">
        <w:rPr>
          <w:noProof/>
          <w:u w:val="single"/>
        </w:rPr>
        <w:t>w</w:t>
      </w:r>
      <w:r w:rsidRPr="00201A9A">
        <w:rPr>
          <w:noProof/>
        </w:rPr>
        <w:t> </w:t>
      </w:r>
      <w:r w:rsidRPr="00201A9A">
        <w:rPr>
          <w:noProof/>
          <w:u w:val="single"/>
        </w:rPr>
        <w:t>tym z wyk</w:t>
      </w:r>
      <w:r w:rsidR="00410938" w:rsidRPr="00201A9A">
        <w:rPr>
          <w:noProof/>
          <w:u w:val="single"/>
        </w:rPr>
        <w:t>orzystaniem narzędzi eksploracji danych</w:t>
      </w:r>
      <w:r w:rsidR="00410938" w:rsidRPr="00201A9A">
        <w:rPr>
          <w:noProof/>
        </w:rPr>
        <w:t>;</w:t>
      </w:r>
    </w:p>
    <w:p w14:paraId="48EBA51F" w14:textId="2EDAD549" w:rsidR="00410938" w:rsidRPr="00201A9A" w:rsidRDefault="00201A9A" w:rsidP="00201A9A">
      <w:pPr>
        <w:pStyle w:val="Point1"/>
        <w:rPr>
          <w:noProof/>
        </w:rPr>
      </w:pPr>
      <w:r w:rsidRPr="00201A9A">
        <w:rPr>
          <w:noProof/>
        </w:rPr>
        <w:t>d)</w:t>
      </w:r>
      <w:r w:rsidRPr="00201A9A">
        <w:rPr>
          <w:noProof/>
        </w:rPr>
        <w:tab/>
      </w:r>
      <w:r w:rsidR="00410938" w:rsidRPr="00201A9A">
        <w:rPr>
          <w:noProof/>
        </w:rPr>
        <w:t>stosują środki naprawcze</w:t>
      </w:r>
      <w:r w:rsidRPr="00201A9A">
        <w:rPr>
          <w:noProof/>
        </w:rPr>
        <w:t xml:space="preserve"> w prz</w:t>
      </w:r>
      <w:r w:rsidR="00410938" w:rsidRPr="00201A9A">
        <w:rPr>
          <w:noProof/>
        </w:rPr>
        <w:t>ypadku nieprzestrzegania mającego zastosowanie prawa; </w:t>
      </w:r>
    </w:p>
    <w:p w14:paraId="132A6DEE" w14:textId="001D0348" w:rsidR="00410938" w:rsidRPr="00201A9A" w:rsidRDefault="00201A9A" w:rsidP="00201A9A">
      <w:pPr>
        <w:pStyle w:val="Point1"/>
        <w:rPr>
          <w:noProof/>
        </w:rPr>
      </w:pPr>
      <w:r w:rsidRPr="00201A9A">
        <w:rPr>
          <w:noProof/>
        </w:rPr>
        <w:t>e)</w:t>
      </w:r>
      <w:r w:rsidRPr="00201A9A">
        <w:rPr>
          <w:noProof/>
        </w:rPr>
        <w:tab/>
      </w:r>
      <w:r w:rsidR="00410938" w:rsidRPr="00201A9A">
        <w:rPr>
          <w:noProof/>
        </w:rPr>
        <w:t>zapewniają unikanie podwójnego finansowania</w:t>
      </w:r>
      <w:r w:rsidRPr="00201A9A">
        <w:rPr>
          <w:noProof/>
        </w:rPr>
        <w:t xml:space="preserve"> z bud</w:t>
      </w:r>
      <w:r w:rsidR="00410938" w:rsidRPr="00201A9A">
        <w:rPr>
          <w:noProof/>
        </w:rPr>
        <w:t>żetu Unii oraz podejmują natychmiastowe działania mające na celu skorygowanie wszelkich przypadków podwójnego finansowania poprzez anulowanie najnowszych środków finansowych przydzielonych na daną operację; </w:t>
      </w:r>
    </w:p>
    <w:p w14:paraId="5DC80ADE" w14:textId="6286F5AC" w:rsidR="00410938" w:rsidRPr="00201A9A" w:rsidRDefault="00201A9A" w:rsidP="00201A9A">
      <w:pPr>
        <w:pStyle w:val="Point1"/>
        <w:rPr>
          <w:noProof/>
        </w:rPr>
      </w:pPr>
      <w:r w:rsidRPr="00201A9A">
        <w:rPr>
          <w:noProof/>
        </w:rPr>
        <w:t>f)</w:t>
      </w:r>
      <w:r w:rsidRPr="00201A9A">
        <w:rPr>
          <w:noProof/>
        </w:rPr>
        <w:tab/>
      </w:r>
      <w:r w:rsidR="00410938" w:rsidRPr="00201A9A">
        <w:rPr>
          <w:noProof/>
        </w:rPr>
        <w:t>zapewniają zgodność</w:t>
      </w:r>
      <w:r w:rsidRPr="00201A9A">
        <w:rPr>
          <w:noProof/>
        </w:rPr>
        <w:t xml:space="preserve"> z obo</w:t>
      </w:r>
      <w:r w:rsidR="00410938" w:rsidRPr="00201A9A">
        <w:rPr>
          <w:noProof/>
        </w:rPr>
        <w:t>wiązkami określonymi</w:t>
      </w:r>
      <w:r w:rsidRPr="00201A9A">
        <w:rPr>
          <w:noProof/>
        </w:rPr>
        <w:t xml:space="preserve"> w art</w:t>
      </w:r>
      <w:r w:rsidR="00410938" w:rsidRPr="00201A9A">
        <w:rPr>
          <w:noProof/>
        </w:rPr>
        <w:t>.</w:t>
      </w:r>
      <w:r w:rsidRPr="00201A9A">
        <w:rPr>
          <w:noProof/>
        </w:rPr>
        <w:t> </w:t>
      </w:r>
      <w:r w:rsidR="00410938" w:rsidRPr="00201A9A">
        <w:rPr>
          <w:noProof/>
        </w:rPr>
        <w:t>130 rozporządzenia (UE, Euratom) 2024/2509;</w:t>
      </w:r>
    </w:p>
    <w:p w14:paraId="5E55C475" w14:textId="40C2F263" w:rsidR="00410938" w:rsidRPr="00201A9A" w:rsidRDefault="00201A9A" w:rsidP="00201A9A">
      <w:pPr>
        <w:pStyle w:val="Point1"/>
        <w:rPr>
          <w:rFonts w:eastAsia="Times New Roman"/>
          <w:noProof/>
        </w:rPr>
      </w:pPr>
      <w:r w:rsidRPr="00201A9A">
        <w:rPr>
          <w:noProof/>
        </w:rPr>
        <w:t>g)</w:t>
      </w:r>
      <w:r w:rsidRPr="00201A9A">
        <w:rPr>
          <w:noProof/>
        </w:rPr>
        <w:tab/>
      </w:r>
      <w:r w:rsidR="00410938" w:rsidRPr="00201A9A">
        <w:rPr>
          <w:noProof/>
        </w:rPr>
        <w:t>zapewniają zgłaszanie</w:t>
      </w:r>
      <w:r w:rsidRPr="00201A9A">
        <w:rPr>
          <w:noProof/>
        </w:rPr>
        <w:t xml:space="preserve"> w ust</w:t>
      </w:r>
      <w:r w:rsidR="00410938" w:rsidRPr="00201A9A">
        <w:rPr>
          <w:noProof/>
        </w:rPr>
        <w:t>anowionym przez Komisję systemie zarządzania nieprawidłowościami (IMS) wszystkich przypadków podejrzenia nadużycia finansowego, korupcji</w:t>
      </w:r>
      <w:r w:rsidRPr="00201A9A">
        <w:rPr>
          <w:noProof/>
        </w:rPr>
        <w:t xml:space="preserve"> i nie</w:t>
      </w:r>
      <w:r w:rsidR="00410938" w:rsidRPr="00201A9A">
        <w:rPr>
          <w:noProof/>
        </w:rPr>
        <w:t>prawidłowości,</w:t>
      </w:r>
      <w:r w:rsidRPr="00201A9A">
        <w:rPr>
          <w:noProof/>
        </w:rPr>
        <w:t xml:space="preserve"> w tym</w:t>
      </w:r>
      <w:r w:rsidR="00410938" w:rsidRPr="00201A9A">
        <w:rPr>
          <w:noProof/>
        </w:rPr>
        <w:t xml:space="preserve"> konfliktu interesów, podwójnego finansowania</w:t>
      </w:r>
      <w:r w:rsidRPr="00201A9A">
        <w:rPr>
          <w:noProof/>
        </w:rPr>
        <w:t xml:space="preserve"> i inn</w:t>
      </w:r>
      <w:r w:rsidR="00410938" w:rsidRPr="00201A9A">
        <w:rPr>
          <w:noProof/>
        </w:rPr>
        <w:t>ych naruszeń mającego zastosowanie prawa; co roku Komisja podsumowuje</w:t>
      </w:r>
      <w:r w:rsidRPr="00201A9A">
        <w:rPr>
          <w:noProof/>
        </w:rPr>
        <w:t xml:space="preserve"> i pub</w:t>
      </w:r>
      <w:r w:rsidR="00410938" w:rsidRPr="00201A9A">
        <w:rPr>
          <w:noProof/>
        </w:rPr>
        <w:t>likuje te informacje oraz przekazuje je Parlamentowi Europejskiemu;</w:t>
      </w:r>
    </w:p>
    <w:p w14:paraId="1B5EA63B" w14:textId="503B52C6" w:rsidR="00410938" w:rsidRPr="00201A9A" w:rsidRDefault="00201A9A" w:rsidP="00201A9A">
      <w:pPr>
        <w:pStyle w:val="Point1"/>
        <w:rPr>
          <w:noProof/>
        </w:rPr>
      </w:pPr>
      <w:r w:rsidRPr="00201A9A">
        <w:rPr>
          <w:noProof/>
        </w:rPr>
        <w:t>h)</w:t>
      </w:r>
      <w:r w:rsidRPr="00201A9A">
        <w:rPr>
          <w:noProof/>
        </w:rPr>
        <w:tab/>
      </w:r>
      <w:r w:rsidR="00410938" w:rsidRPr="00201A9A">
        <w:rPr>
          <w:noProof/>
        </w:rPr>
        <w:t>zapewniają, aby Komisja, OLAF, Trybunał Obrachunkowy oraz,</w:t>
      </w:r>
      <w:r w:rsidRPr="00201A9A">
        <w:rPr>
          <w:noProof/>
        </w:rPr>
        <w:t xml:space="preserve"> w prz</w:t>
      </w:r>
      <w:r w:rsidR="00410938" w:rsidRPr="00201A9A">
        <w:rPr>
          <w:noProof/>
        </w:rPr>
        <w:t>ypadku państw członkowskich, które uczestniczą we wzmocnionej współpracy na podstawie rozporządzenia (UE) 2017/1939, EPPO:</w:t>
      </w:r>
      <w:r w:rsidRPr="00201A9A">
        <w:rPr>
          <w:noProof/>
        </w:rPr>
        <w:t xml:space="preserve"> </w:t>
      </w:r>
    </w:p>
    <w:p w14:paraId="191BE43A" w14:textId="2E4971F9" w:rsidR="00410938" w:rsidRPr="00201A9A" w:rsidRDefault="00410938" w:rsidP="003E2902">
      <w:pPr>
        <w:pStyle w:val="Point2n"/>
        <w:numPr>
          <w:ilvl w:val="0"/>
          <w:numId w:val="27"/>
        </w:numPr>
        <w:spacing w:line="240" w:lineRule="auto"/>
        <w:jc w:val="both"/>
        <w:rPr>
          <w:noProof/>
        </w:rPr>
      </w:pPr>
      <w:r w:rsidRPr="00201A9A">
        <w:rPr>
          <w:noProof/>
        </w:rPr>
        <w:t>mogli wykonywać swoje odpowiednie kompetencje przewidziane</w:t>
      </w:r>
      <w:r w:rsidR="00201A9A" w:rsidRPr="00201A9A">
        <w:rPr>
          <w:noProof/>
        </w:rPr>
        <w:t xml:space="preserve"> w art</w:t>
      </w:r>
      <w:r w:rsidRPr="00201A9A">
        <w:rPr>
          <w:noProof/>
        </w:rPr>
        <w:t>.</w:t>
      </w:r>
      <w:r w:rsidR="00201A9A" w:rsidRPr="00201A9A">
        <w:rPr>
          <w:noProof/>
        </w:rPr>
        <w:t> </w:t>
      </w:r>
      <w:r w:rsidRPr="00201A9A">
        <w:rPr>
          <w:noProof/>
        </w:rPr>
        <w:t>129 ust.</w:t>
      </w:r>
      <w:r w:rsidR="00201A9A" w:rsidRPr="00201A9A">
        <w:rPr>
          <w:noProof/>
        </w:rPr>
        <w:t> </w:t>
      </w:r>
      <w:r w:rsidRPr="00201A9A">
        <w:rPr>
          <w:noProof/>
        </w:rPr>
        <w:t>1 rozporządzenia (UE, Euratom) 2024/2509,</w:t>
      </w:r>
      <w:r w:rsidR="00201A9A" w:rsidRPr="00201A9A">
        <w:rPr>
          <w:noProof/>
        </w:rPr>
        <w:t xml:space="preserve"> w tym</w:t>
      </w:r>
      <w:r w:rsidRPr="00201A9A">
        <w:rPr>
          <w:noProof/>
        </w:rPr>
        <w:t xml:space="preserve"> poprzez wyraźne zobowiązanie odbiorców środków finansowych Unii do przewidzenia lub zapewnienia niezbędnych praw</w:t>
      </w:r>
      <w:r w:rsidR="00201A9A" w:rsidRPr="00201A9A">
        <w:rPr>
          <w:noProof/>
        </w:rPr>
        <w:t xml:space="preserve"> i dos</w:t>
      </w:r>
      <w:r w:rsidRPr="00201A9A">
        <w:rPr>
          <w:noProof/>
        </w:rPr>
        <w:t xml:space="preserve">tępu; </w:t>
      </w:r>
    </w:p>
    <w:p w14:paraId="5E0F40C9" w14:textId="51E9F914" w:rsidR="00410938" w:rsidRPr="00201A9A" w:rsidRDefault="00410938" w:rsidP="003E2902">
      <w:pPr>
        <w:pStyle w:val="Point2n"/>
        <w:numPr>
          <w:ilvl w:val="0"/>
          <w:numId w:val="27"/>
        </w:numPr>
        <w:spacing w:line="240" w:lineRule="auto"/>
        <w:jc w:val="both"/>
        <w:rPr>
          <w:noProof/>
        </w:rPr>
      </w:pPr>
      <w:r w:rsidRPr="00201A9A">
        <w:rPr>
          <w:noProof/>
        </w:rPr>
        <w:t>uzyskali dostęp do danych,</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63 [w sprawie gromadzenia</w:t>
      </w:r>
      <w:r w:rsidR="00201A9A" w:rsidRPr="00201A9A">
        <w:rPr>
          <w:noProof/>
        </w:rPr>
        <w:t xml:space="preserve"> i pub</w:t>
      </w:r>
      <w:r w:rsidRPr="00201A9A">
        <w:rPr>
          <w:noProof/>
        </w:rPr>
        <w:t>likacji danych],</w:t>
      </w:r>
      <w:r w:rsidR="00201A9A" w:rsidRPr="00201A9A">
        <w:rPr>
          <w:noProof/>
        </w:rPr>
        <w:t xml:space="preserve"> w ram</w:t>
      </w:r>
      <w:r w:rsidRPr="00201A9A">
        <w:rPr>
          <w:noProof/>
        </w:rPr>
        <w:t>ach wykonywania swoich odpowiednich kompetencji.</w:t>
      </w:r>
    </w:p>
    <w:p w14:paraId="0A35564F" w14:textId="40266834" w:rsidR="00410938" w:rsidRPr="00201A9A" w:rsidRDefault="00201A9A" w:rsidP="00201A9A">
      <w:pPr>
        <w:pStyle w:val="Point1"/>
        <w:rPr>
          <w:noProof/>
        </w:rPr>
      </w:pPr>
      <w:r w:rsidRPr="00201A9A">
        <w:rPr>
          <w:noProof/>
        </w:rPr>
        <w:t>i)</w:t>
      </w:r>
      <w:r w:rsidRPr="00201A9A">
        <w:rPr>
          <w:noProof/>
        </w:rPr>
        <w:tab/>
      </w:r>
      <w:r w:rsidR="00410938" w:rsidRPr="00201A9A">
        <w:rPr>
          <w:noProof/>
        </w:rPr>
        <w:t>posiadają systemy</w:t>
      </w:r>
      <w:r w:rsidRPr="00201A9A">
        <w:rPr>
          <w:noProof/>
        </w:rPr>
        <w:t xml:space="preserve"> i pro</w:t>
      </w:r>
      <w:r w:rsidR="00410938" w:rsidRPr="00201A9A">
        <w:rPr>
          <w:noProof/>
        </w:rPr>
        <w:t>cedury zapewniające przechowywanie na odpowiednim poziomie przez okres dziesięciu lat od dnia 31 grudnia roku,</w:t>
      </w:r>
      <w:r w:rsidRPr="00201A9A">
        <w:rPr>
          <w:noProof/>
        </w:rPr>
        <w:t xml:space="preserve"> w któ</w:t>
      </w:r>
      <w:r w:rsidR="00410938" w:rsidRPr="00201A9A">
        <w:rPr>
          <w:noProof/>
        </w:rPr>
        <w:t>rym dokonano ostatniej płatności Komisji na rzecz państwa członkowskiego, wszystkich dokumentów potwierdzających niezbędnych do celów ścieżki audytu związanej ze środkiem wspieranym przez Fundusz;</w:t>
      </w:r>
      <w:r w:rsidRPr="00201A9A">
        <w:rPr>
          <w:noProof/>
        </w:rPr>
        <w:t xml:space="preserve"> w prz</w:t>
      </w:r>
      <w:r w:rsidR="00410938" w:rsidRPr="00201A9A">
        <w:rPr>
          <w:noProof/>
        </w:rPr>
        <w:t>ypadku wszczęcia procedury odwoławczej, wniesienia odwołania lub wszczęcia postępowania sądowego dokumenty potwierdzające przechowuje się do czasu zakończenia tych procedur lub wszelkich późniejszych procedur odzyskiwania środków;</w:t>
      </w:r>
    </w:p>
    <w:p w14:paraId="3B3CCEC5" w14:textId="74CEA40C" w:rsidR="00410938" w:rsidRPr="00201A9A" w:rsidRDefault="00201A9A" w:rsidP="00201A9A">
      <w:pPr>
        <w:pStyle w:val="Point1"/>
        <w:rPr>
          <w:noProof/>
        </w:rPr>
      </w:pPr>
      <w:r w:rsidRPr="00201A9A">
        <w:rPr>
          <w:noProof/>
        </w:rPr>
        <w:t>j)</w:t>
      </w:r>
      <w:r w:rsidRPr="00201A9A">
        <w:rPr>
          <w:noProof/>
        </w:rPr>
        <w:tab/>
      </w:r>
      <w:r w:rsidR="00410938" w:rsidRPr="00201A9A">
        <w:rPr>
          <w:noProof/>
        </w:rPr>
        <w:t>przyjmują rozwiązania mające na celu zapewnienie skutecznego rozpatrywania skarg dotyczących wykorzystania Funduszu, zgodnie ze swoimi ramami instytucjonalnymi</w:t>
      </w:r>
      <w:r w:rsidRPr="00201A9A">
        <w:rPr>
          <w:noProof/>
        </w:rPr>
        <w:t xml:space="preserve"> i pra</w:t>
      </w:r>
      <w:r w:rsidR="00410938" w:rsidRPr="00201A9A">
        <w:rPr>
          <w:noProof/>
        </w:rPr>
        <w:t>wnymi, oraz badają, na wniosek Komisji, skargi złożone do Komisji</w:t>
      </w:r>
      <w:r w:rsidRPr="00201A9A">
        <w:rPr>
          <w:noProof/>
        </w:rPr>
        <w:t xml:space="preserve"> w kwe</w:t>
      </w:r>
      <w:r w:rsidR="00410938" w:rsidRPr="00201A9A">
        <w:rPr>
          <w:noProof/>
        </w:rPr>
        <w:t>stiach objętych zakresem ich planu PKR</w:t>
      </w:r>
      <w:r w:rsidRPr="00201A9A">
        <w:rPr>
          <w:noProof/>
        </w:rPr>
        <w:t xml:space="preserve"> i inf</w:t>
      </w:r>
      <w:r w:rsidR="00410938" w:rsidRPr="00201A9A">
        <w:rPr>
          <w:noProof/>
        </w:rPr>
        <w:t>ormują Komisję</w:t>
      </w:r>
      <w:r w:rsidRPr="00201A9A">
        <w:rPr>
          <w:noProof/>
        </w:rPr>
        <w:t xml:space="preserve"> o wyn</w:t>
      </w:r>
      <w:r w:rsidR="00410938" w:rsidRPr="00201A9A">
        <w:rPr>
          <w:noProof/>
        </w:rPr>
        <w:t>ikach tych badań; </w:t>
      </w:r>
    </w:p>
    <w:p w14:paraId="26D52CA4" w14:textId="24C134EE" w:rsidR="00410938" w:rsidRPr="00201A9A" w:rsidRDefault="00201A9A" w:rsidP="00201A9A">
      <w:pPr>
        <w:pStyle w:val="Point1"/>
        <w:rPr>
          <w:noProof/>
        </w:rPr>
      </w:pPr>
      <w:r w:rsidRPr="00201A9A">
        <w:rPr>
          <w:noProof/>
        </w:rPr>
        <w:t>k)</w:t>
      </w:r>
      <w:r w:rsidRPr="00201A9A">
        <w:rPr>
          <w:noProof/>
        </w:rPr>
        <w:tab/>
      </w:r>
      <w:r w:rsidR="00410938" w:rsidRPr="00201A9A">
        <w:rPr>
          <w:noProof/>
        </w:rPr>
        <w:t>zapewniają, aby wszelka wymiana informacji między beneficjentami finansowania</w:t>
      </w:r>
      <w:r w:rsidRPr="00201A9A">
        <w:rPr>
          <w:noProof/>
        </w:rPr>
        <w:t xml:space="preserve"> a org</w:t>
      </w:r>
      <w:r w:rsidR="00410938" w:rsidRPr="00201A9A">
        <w:rPr>
          <w:noProof/>
        </w:rPr>
        <w:t>anami odpowiedzialnymi za plan PKR,</w:t>
      </w:r>
      <w:r w:rsidRPr="00201A9A">
        <w:rPr>
          <w:noProof/>
        </w:rPr>
        <w:t xml:space="preserve"> a tak</w:t>
      </w:r>
      <w:r w:rsidR="00410938" w:rsidRPr="00201A9A">
        <w:rPr>
          <w:noProof/>
        </w:rPr>
        <w:t>że</w:t>
      </w:r>
      <w:r w:rsidRPr="00201A9A">
        <w:rPr>
          <w:noProof/>
        </w:rPr>
        <w:t xml:space="preserve"> z Kom</w:t>
      </w:r>
      <w:r w:rsidR="00410938" w:rsidRPr="00201A9A">
        <w:rPr>
          <w:noProof/>
        </w:rPr>
        <w:t>isją, odbywała się za pomocą systemów elektronicznej wymiany danych, które obejmują między innymi stosowanie automatycznych</w:t>
      </w:r>
      <w:r w:rsidRPr="00201A9A">
        <w:rPr>
          <w:noProof/>
        </w:rPr>
        <w:t xml:space="preserve"> i int</w:t>
      </w:r>
      <w:r w:rsidR="00410938" w:rsidRPr="00201A9A">
        <w:rPr>
          <w:noProof/>
        </w:rPr>
        <w:t>eraktywnych formularzy</w:t>
      </w:r>
      <w:r w:rsidRPr="00201A9A">
        <w:rPr>
          <w:noProof/>
        </w:rPr>
        <w:t xml:space="preserve"> i obl</w:t>
      </w:r>
      <w:r w:rsidR="00410938" w:rsidRPr="00201A9A">
        <w:rPr>
          <w:noProof/>
        </w:rPr>
        <w:t>iczeń, zapewniają rejestrowanie</w:t>
      </w:r>
      <w:r w:rsidRPr="00201A9A">
        <w:rPr>
          <w:noProof/>
        </w:rPr>
        <w:t xml:space="preserve"> i prz</w:t>
      </w:r>
      <w:r w:rsidR="00410938" w:rsidRPr="00201A9A">
        <w:rPr>
          <w:noProof/>
        </w:rPr>
        <w:t>echowywanie danych, tak aby umożliwić zarówno weryfikacje administracyjne wniosków</w:t>
      </w:r>
      <w:r w:rsidRPr="00201A9A">
        <w:rPr>
          <w:noProof/>
        </w:rPr>
        <w:t xml:space="preserve"> o pła</w:t>
      </w:r>
      <w:r w:rsidR="00410938" w:rsidRPr="00201A9A">
        <w:rPr>
          <w:noProof/>
        </w:rPr>
        <w:t>tność przedłożonych przez beneficjentów, jak</w:t>
      </w:r>
      <w:r w:rsidRPr="00201A9A">
        <w:rPr>
          <w:noProof/>
        </w:rPr>
        <w:t xml:space="preserve"> i aud</w:t>
      </w:r>
      <w:r w:rsidR="00410938" w:rsidRPr="00201A9A">
        <w:rPr>
          <w:noProof/>
        </w:rPr>
        <w:t>ytów, oraz umożliwiają automatyczną synchronizację</w:t>
      </w:r>
      <w:r w:rsidRPr="00201A9A">
        <w:rPr>
          <w:noProof/>
        </w:rPr>
        <w:t xml:space="preserve"> i prz</w:t>
      </w:r>
      <w:r w:rsidR="00410938" w:rsidRPr="00201A9A">
        <w:rPr>
          <w:noProof/>
        </w:rPr>
        <w:t>ekazywanie danych między systemami beneficjentów</w:t>
      </w:r>
      <w:r w:rsidRPr="00201A9A">
        <w:rPr>
          <w:noProof/>
        </w:rPr>
        <w:t xml:space="preserve"> a sys</w:t>
      </w:r>
      <w:r w:rsidR="00410938" w:rsidRPr="00201A9A">
        <w:rPr>
          <w:noProof/>
        </w:rPr>
        <w:t>temami państw członkowskich;</w:t>
      </w:r>
    </w:p>
    <w:p w14:paraId="5B1E5795" w14:textId="3ED1CD33" w:rsidR="00410938" w:rsidRPr="00201A9A" w:rsidRDefault="00201A9A" w:rsidP="00201A9A">
      <w:pPr>
        <w:pStyle w:val="Point1"/>
        <w:rPr>
          <w:noProof/>
        </w:rPr>
      </w:pPr>
      <w:bookmarkStart w:id="12" w:name="_Hlk201151219"/>
      <w:r w:rsidRPr="00201A9A">
        <w:rPr>
          <w:noProof/>
        </w:rPr>
        <w:t>l)</w:t>
      </w:r>
      <w:r w:rsidRPr="00201A9A">
        <w:rPr>
          <w:noProof/>
        </w:rPr>
        <w:tab/>
      </w:r>
      <w:r w:rsidR="00410938" w:rsidRPr="00201A9A">
        <w:rPr>
          <w:noProof/>
        </w:rPr>
        <w:t>zapewniają, aby wszelka oficjalna wymiana informacji</w:t>
      </w:r>
      <w:r w:rsidRPr="00201A9A">
        <w:rPr>
          <w:noProof/>
        </w:rPr>
        <w:t xml:space="preserve"> z Kom</w:t>
      </w:r>
      <w:r w:rsidR="00410938" w:rsidRPr="00201A9A">
        <w:rPr>
          <w:noProof/>
        </w:rPr>
        <w:t>isją odbywała się za pomocą systemu elektronicznej wymiany danych,</w:t>
      </w:r>
      <w:r w:rsidRPr="00201A9A">
        <w:rPr>
          <w:noProof/>
        </w:rPr>
        <w:t xml:space="preserve"> o któ</w:t>
      </w:r>
      <w:r w:rsidR="00410938" w:rsidRPr="00201A9A">
        <w:rPr>
          <w:noProof/>
        </w:rPr>
        <w:t>rym mowa</w:t>
      </w:r>
      <w:r w:rsidRPr="00201A9A">
        <w:rPr>
          <w:noProof/>
        </w:rPr>
        <w:t xml:space="preserve"> w zał</w:t>
      </w:r>
      <w:r w:rsidR="00410938" w:rsidRPr="00201A9A">
        <w:rPr>
          <w:noProof/>
        </w:rPr>
        <w:t>ączniku XVI [SFC2028: system elektronicznej wymiany danych między państwami członkowskimi</w:t>
      </w:r>
      <w:r w:rsidRPr="00201A9A">
        <w:rPr>
          <w:noProof/>
        </w:rPr>
        <w:t xml:space="preserve"> a Kom</w:t>
      </w:r>
      <w:r w:rsidR="00410938" w:rsidRPr="00201A9A">
        <w:rPr>
          <w:noProof/>
        </w:rPr>
        <w:t>isją]</w:t>
      </w:r>
      <w:bookmarkEnd w:id="12"/>
      <w:r w:rsidR="00410938" w:rsidRPr="00201A9A">
        <w:rPr>
          <w:noProof/>
        </w:rPr>
        <w:t>. Państwa członkowskie nie mają obowiązku weryfikacji podstawowych kosztów operacji oraz środków przy ocenie osiągnięcia kamieni milowych</w:t>
      </w:r>
      <w:r w:rsidRPr="00201A9A">
        <w:rPr>
          <w:noProof/>
        </w:rPr>
        <w:t xml:space="preserve"> i war</w:t>
      </w:r>
      <w:r w:rsidR="00410938" w:rsidRPr="00201A9A">
        <w:rPr>
          <w:noProof/>
        </w:rPr>
        <w:t>tości docelowych.</w:t>
      </w:r>
    </w:p>
    <w:p w14:paraId="3612DE53" w14:textId="4C1C354E" w:rsidR="00410938" w:rsidRPr="00201A9A" w:rsidRDefault="00410938" w:rsidP="003E2902">
      <w:pPr>
        <w:pStyle w:val="NumPar10000000"/>
        <w:numPr>
          <w:ilvl w:val="0"/>
          <w:numId w:val="45"/>
        </w:numPr>
        <w:rPr>
          <w:noProof/>
        </w:rPr>
      </w:pPr>
      <w:r w:rsidRPr="00201A9A">
        <w:rPr>
          <w:noProof/>
        </w:rPr>
        <w:t>Do dnia 15 lutego każdego roku państwa członkowskie informują Komisję</w:t>
      </w:r>
      <w:r w:rsidR="00201A9A" w:rsidRPr="00201A9A">
        <w:rPr>
          <w:noProof/>
        </w:rPr>
        <w:t xml:space="preserve"> o pos</w:t>
      </w:r>
      <w:r w:rsidRPr="00201A9A">
        <w:rPr>
          <w:noProof/>
        </w:rPr>
        <w:t>tępach</w:t>
      </w:r>
      <w:r w:rsidR="00201A9A" w:rsidRPr="00201A9A">
        <w:rPr>
          <w:noProof/>
        </w:rPr>
        <w:t xml:space="preserve"> w osi</w:t>
      </w:r>
      <w:r w:rsidRPr="00201A9A">
        <w:rPr>
          <w:noProof/>
        </w:rPr>
        <w:t>ąganiu celów określonych</w:t>
      </w:r>
      <w:r w:rsidR="00201A9A" w:rsidRPr="00201A9A">
        <w:rPr>
          <w:noProof/>
        </w:rPr>
        <w:t xml:space="preserve"> w pla</w:t>
      </w:r>
      <w:r w:rsidRPr="00201A9A">
        <w:rPr>
          <w:noProof/>
        </w:rPr>
        <w:t>nach,</w:t>
      </w:r>
      <w:r w:rsidR="00201A9A" w:rsidRPr="00201A9A">
        <w:rPr>
          <w:noProof/>
        </w:rPr>
        <w:t xml:space="preserve"> z ilo</w:t>
      </w:r>
      <w:r w:rsidRPr="00201A9A">
        <w:rPr>
          <w:noProof/>
        </w:rPr>
        <w:t>ściowym określeniem osiągnięcia każdej wartości docelowej</w:t>
      </w:r>
      <w:r w:rsidR="00201A9A" w:rsidRPr="00201A9A">
        <w:rPr>
          <w:noProof/>
        </w:rPr>
        <w:t xml:space="preserve"> i każ</w:t>
      </w:r>
      <w:r w:rsidRPr="00201A9A">
        <w:rPr>
          <w:noProof/>
        </w:rPr>
        <w:t>dego kamienia milowego, oraz</w:t>
      </w:r>
      <w:r w:rsidR="00201A9A" w:rsidRPr="00201A9A">
        <w:rPr>
          <w:noProof/>
        </w:rPr>
        <w:t xml:space="preserve"> o pos</w:t>
      </w:r>
      <w:r w:rsidRPr="00201A9A">
        <w:rPr>
          <w:noProof/>
        </w:rPr>
        <w:t>tępach osiągniętych</w:t>
      </w:r>
      <w:r w:rsidR="00201A9A" w:rsidRPr="00201A9A">
        <w:rPr>
          <w:noProof/>
        </w:rPr>
        <w:t xml:space="preserve"> w odn</w:t>
      </w:r>
      <w:r w:rsidRPr="00201A9A">
        <w:rPr>
          <w:noProof/>
        </w:rPr>
        <w:t>iesieniu do wspieranych</w:t>
      </w:r>
      <w:r w:rsidR="00201A9A" w:rsidRPr="00201A9A">
        <w:rPr>
          <w:noProof/>
        </w:rPr>
        <w:t xml:space="preserve"> w ram</w:t>
      </w:r>
      <w:r w:rsidRPr="00201A9A">
        <w:rPr>
          <w:noProof/>
        </w:rPr>
        <w:t>ach planów interwencji opartych na produktach. Informacje te przekazuje się zgodnie ze wzorem określonym</w:t>
      </w:r>
      <w:r w:rsidR="00201A9A" w:rsidRPr="00201A9A">
        <w:rPr>
          <w:noProof/>
        </w:rPr>
        <w:t xml:space="preserve"> w zał</w:t>
      </w:r>
      <w:r w:rsidRPr="00201A9A">
        <w:rPr>
          <w:noProof/>
        </w:rPr>
        <w:t>ączniku IX [Składanie sprawozdań</w:t>
      </w:r>
      <w:r w:rsidR="00201A9A" w:rsidRPr="00201A9A">
        <w:rPr>
          <w:noProof/>
        </w:rPr>
        <w:t xml:space="preserve"> z pos</w:t>
      </w:r>
      <w:r w:rsidRPr="00201A9A">
        <w:rPr>
          <w:noProof/>
        </w:rPr>
        <w:t>tępów we wdrażaniu środków]. Jeżeli</w:t>
      </w:r>
      <w:r w:rsidR="00201A9A" w:rsidRPr="00201A9A">
        <w:rPr>
          <w:noProof/>
        </w:rPr>
        <w:t xml:space="preserve"> w sys</w:t>
      </w:r>
      <w:r w:rsidRPr="00201A9A">
        <w:rPr>
          <w:noProof/>
        </w:rPr>
        <w:t>temach sprawozdawczości</w:t>
      </w:r>
      <w:r w:rsidR="00201A9A" w:rsidRPr="00201A9A">
        <w:rPr>
          <w:noProof/>
        </w:rPr>
        <w:t xml:space="preserve"> z pos</w:t>
      </w:r>
      <w:r w:rsidRPr="00201A9A">
        <w:rPr>
          <w:noProof/>
        </w:rPr>
        <w:t>tępów nie jest dostępne ilościowe określenie postępów</w:t>
      </w:r>
      <w:r w:rsidR="00201A9A" w:rsidRPr="00201A9A">
        <w:rPr>
          <w:noProof/>
        </w:rPr>
        <w:t xml:space="preserve"> w osi</w:t>
      </w:r>
      <w:r w:rsidRPr="00201A9A">
        <w:rPr>
          <w:noProof/>
        </w:rPr>
        <w:t>ąganiu kamieni milowych</w:t>
      </w:r>
      <w:r w:rsidR="00201A9A" w:rsidRPr="00201A9A">
        <w:rPr>
          <w:noProof/>
        </w:rPr>
        <w:t xml:space="preserve"> i war</w:t>
      </w:r>
      <w:r w:rsidRPr="00201A9A">
        <w:rPr>
          <w:noProof/>
        </w:rPr>
        <w:t>tości docelowych, państwo członkowskie przedstawia oszacowanie osiągniętych postępów zgodnie ze wzorem określonym</w:t>
      </w:r>
      <w:r w:rsidR="00201A9A" w:rsidRPr="00201A9A">
        <w:rPr>
          <w:noProof/>
        </w:rPr>
        <w:t xml:space="preserve"> w zał</w:t>
      </w:r>
      <w:r w:rsidRPr="00201A9A">
        <w:rPr>
          <w:noProof/>
        </w:rPr>
        <w:t>ączniku IX [Składanie sprawozdań</w:t>
      </w:r>
      <w:r w:rsidR="00201A9A" w:rsidRPr="00201A9A">
        <w:rPr>
          <w:noProof/>
        </w:rPr>
        <w:t xml:space="preserve"> z pos</w:t>
      </w:r>
      <w:r w:rsidRPr="00201A9A">
        <w:rPr>
          <w:noProof/>
        </w:rPr>
        <w:t>tępów we wdrażaniu środków]. Udostępniane informacje obejmują postępy do końca roku N i są przedkładane</w:t>
      </w:r>
      <w:r w:rsidR="00201A9A" w:rsidRPr="00201A9A">
        <w:rPr>
          <w:noProof/>
        </w:rPr>
        <w:t xml:space="preserve"> w ram</w:t>
      </w:r>
      <w:r w:rsidRPr="00201A9A">
        <w:rPr>
          <w:noProof/>
        </w:rPr>
        <w:t>ach rocznego pakietu dokumentów dotyczących poświadczenia wiarygodności,</w:t>
      </w:r>
      <w:r w:rsidR="00201A9A" w:rsidRPr="00201A9A">
        <w:rPr>
          <w:noProof/>
        </w:rPr>
        <w:t xml:space="preserve"> o któ</w:t>
      </w:r>
      <w:r w:rsidRPr="00201A9A">
        <w:rPr>
          <w:noProof/>
        </w:rPr>
        <w:t>rym mowa</w:t>
      </w:r>
      <w:r w:rsidR="00201A9A" w:rsidRPr="00201A9A">
        <w:rPr>
          <w:noProof/>
        </w:rPr>
        <w:t xml:space="preserve"> w art</w:t>
      </w:r>
      <w:r w:rsidRPr="00201A9A">
        <w:rPr>
          <w:noProof/>
        </w:rPr>
        <w:t>.</w:t>
      </w:r>
      <w:r w:rsidR="00201A9A" w:rsidRPr="00201A9A">
        <w:rPr>
          <w:noProof/>
        </w:rPr>
        <w:t> </w:t>
      </w:r>
      <w:r w:rsidRPr="00201A9A">
        <w:rPr>
          <w:noProof/>
        </w:rPr>
        <w:t>57 ust.</w:t>
      </w:r>
      <w:r w:rsidR="00201A9A" w:rsidRPr="00201A9A">
        <w:rPr>
          <w:noProof/>
        </w:rPr>
        <w:t> </w:t>
      </w:r>
      <w:r w:rsidRPr="00201A9A">
        <w:rPr>
          <w:noProof/>
        </w:rPr>
        <w:t>1 lit.</w:t>
      </w:r>
      <w:r w:rsidR="00201A9A" w:rsidRPr="00201A9A">
        <w:rPr>
          <w:noProof/>
        </w:rPr>
        <w:t> </w:t>
      </w:r>
      <w:r w:rsidRPr="00201A9A">
        <w:rPr>
          <w:noProof/>
        </w:rPr>
        <w:t>a).</w:t>
      </w:r>
    </w:p>
    <w:p w14:paraId="0CE7DEE9" w14:textId="26F205AA" w:rsidR="00410938" w:rsidRPr="00201A9A" w:rsidRDefault="00410938" w:rsidP="003E2902">
      <w:pPr>
        <w:pStyle w:val="NumPar10000000"/>
        <w:numPr>
          <w:ilvl w:val="0"/>
          <w:numId w:val="45"/>
        </w:numPr>
        <w:rPr>
          <w:noProof/>
        </w:rPr>
      </w:pPr>
      <w:r w:rsidRPr="00201A9A">
        <w:rPr>
          <w:noProof/>
        </w:rPr>
        <w:t>Komisja jest uprawniona do przyjmowania aktów delegowanych zgodnie</w:t>
      </w:r>
      <w:r w:rsidR="00201A9A" w:rsidRPr="00201A9A">
        <w:rPr>
          <w:noProof/>
        </w:rPr>
        <w:t xml:space="preserve"> z art</w:t>
      </w:r>
      <w:r w:rsidRPr="00201A9A">
        <w:rPr>
          <w:noProof/>
        </w:rPr>
        <w:t>.</w:t>
      </w:r>
      <w:r w:rsidR="00201A9A" w:rsidRPr="00201A9A">
        <w:rPr>
          <w:noProof/>
        </w:rPr>
        <w:t> </w:t>
      </w:r>
      <w:r w:rsidRPr="00201A9A">
        <w:rPr>
          <w:noProof/>
        </w:rPr>
        <w:t>86 [akty delegowane] uzupełniających ust.</w:t>
      </w:r>
      <w:r w:rsidR="00201A9A" w:rsidRPr="00201A9A">
        <w:rPr>
          <w:noProof/>
        </w:rPr>
        <w:t> </w:t>
      </w:r>
      <w:r w:rsidRPr="00201A9A">
        <w:rPr>
          <w:noProof/>
        </w:rPr>
        <w:t>2 lit.</w:t>
      </w:r>
      <w:r w:rsidR="00201A9A" w:rsidRPr="00201A9A">
        <w:rPr>
          <w:noProof/>
        </w:rPr>
        <w:t> </w:t>
      </w:r>
      <w:r w:rsidRPr="00201A9A">
        <w:rPr>
          <w:noProof/>
        </w:rPr>
        <w:t>g) niniejszego artykułu</w:t>
      </w:r>
      <w:r w:rsidR="00201A9A" w:rsidRPr="00201A9A">
        <w:rPr>
          <w:noProof/>
        </w:rPr>
        <w:t xml:space="preserve"> o prz</w:t>
      </w:r>
      <w:r w:rsidRPr="00201A9A">
        <w:rPr>
          <w:noProof/>
        </w:rPr>
        <w:t>episy dotyczące kryteriów określania przypadków podejrzenia nadużycia finansowego, korupcji</w:t>
      </w:r>
      <w:r w:rsidR="00201A9A" w:rsidRPr="00201A9A">
        <w:rPr>
          <w:noProof/>
        </w:rPr>
        <w:t xml:space="preserve"> i nie</w:t>
      </w:r>
      <w:r w:rsidRPr="00201A9A">
        <w:rPr>
          <w:noProof/>
        </w:rPr>
        <w:t>prawidłowości, które należy zgłosić, oraz</w:t>
      </w:r>
      <w:r w:rsidR="00201A9A" w:rsidRPr="00201A9A">
        <w:rPr>
          <w:noProof/>
        </w:rPr>
        <w:t xml:space="preserve"> o prz</w:t>
      </w:r>
      <w:r w:rsidRPr="00201A9A">
        <w:rPr>
          <w:noProof/>
        </w:rPr>
        <w:t>episy dotyczące danych, które należy przekazać</w:t>
      </w:r>
      <w:r w:rsidR="00201A9A" w:rsidRPr="00201A9A">
        <w:rPr>
          <w:noProof/>
        </w:rPr>
        <w:t xml:space="preserve"> w tym</w:t>
      </w:r>
      <w:r w:rsidRPr="00201A9A">
        <w:rPr>
          <w:noProof/>
        </w:rPr>
        <w:t xml:space="preserve"> kontekście.</w:t>
      </w:r>
    </w:p>
    <w:p w14:paraId="365F526F" w14:textId="77777777" w:rsidR="00410938" w:rsidRPr="00201A9A" w:rsidRDefault="00410938" w:rsidP="00410938">
      <w:pPr>
        <w:pStyle w:val="Titrearticle"/>
        <w:rPr>
          <w:noProof/>
        </w:rPr>
      </w:pPr>
      <w:r w:rsidRPr="00201A9A">
        <w:rPr>
          <w:noProof/>
        </w:rPr>
        <w:t xml:space="preserve">Artykuł 59 </w:t>
      </w:r>
      <w:r w:rsidRPr="00201A9A">
        <w:rPr>
          <w:noProof/>
        </w:rPr>
        <w:br/>
      </w:r>
      <w:r w:rsidRPr="00201A9A">
        <w:rPr>
          <w:b/>
          <w:noProof/>
        </w:rPr>
        <w:t>Przedłożenie rocznego pakietu dokumentów dotyczących poświadczenia wiarygodności</w:t>
      </w:r>
    </w:p>
    <w:p w14:paraId="01EA323D" w14:textId="24148E38" w:rsidR="00410938" w:rsidRPr="00201A9A" w:rsidRDefault="00410938" w:rsidP="003E2902">
      <w:pPr>
        <w:pStyle w:val="NumPar10000000"/>
        <w:numPr>
          <w:ilvl w:val="0"/>
          <w:numId w:val="49"/>
        </w:numPr>
        <w:rPr>
          <w:noProof/>
        </w:rPr>
      </w:pPr>
      <w:r w:rsidRPr="00201A9A">
        <w:rPr>
          <w:noProof/>
        </w:rPr>
        <w:t>Do celów art.</w:t>
      </w:r>
      <w:r w:rsidR="00201A9A" w:rsidRPr="00201A9A">
        <w:rPr>
          <w:noProof/>
        </w:rPr>
        <w:t> </w:t>
      </w:r>
      <w:r w:rsidRPr="00201A9A">
        <w:rPr>
          <w:noProof/>
        </w:rPr>
        <w:t>63 rozporządzenia (UE, Euratom) 2024/2509 państwa członkowskie przedkładają Komisji do dnia 15 lutego każdego roku następującego po</w:t>
      </w:r>
      <w:r w:rsidR="00201A9A" w:rsidRPr="00201A9A">
        <w:rPr>
          <w:noProof/>
        </w:rPr>
        <w:t> </w:t>
      </w:r>
      <w:r w:rsidRPr="00201A9A">
        <w:rPr>
          <w:noProof/>
        </w:rPr>
        <w:t>2028</w:t>
      </w:r>
      <w:r w:rsidR="00201A9A" w:rsidRPr="00201A9A">
        <w:rPr>
          <w:noProof/>
        </w:rPr>
        <w:t> </w:t>
      </w:r>
      <w:r w:rsidRPr="00201A9A">
        <w:rPr>
          <w:noProof/>
        </w:rPr>
        <w:t>r. następujące dokumenty („roczny pakiet dokumentów dotyczących poświadczenia wiarygodności”):</w:t>
      </w:r>
      <w:r w:rsidR="00201A9A" w:rsidRPr="00201A9A">
        <w:rPr>
          <w:noProof/>
        </w:rPr>
        <w:t xml:space="preserve"> </w:t>
      </w:r>
    </w:p>
    <w:p w14:paraId="1095ED55" w14:textId="617C1A3B" w:rsidR="00410938" w:rsidRPr="00201A9A" w:rsidRDefault="00201A9A" w:rsidP="00201A9A">
      <w:pPr>
        <w:pStyle w:val="Point1"/>
        <w:rPr>
          <w:noProof/>
        </w:rPr>
      </w:pPr>
      <w:r w:rsidRPr="00201A9A">
        <w:rPr>
          <w:noProof/>
        </w:rPr>
        <w:t>a)</w:t>
      </w:r>
      <w:r w:rsidRPr="00201A9A">
        <w:rPr>
          <w:noProof/>
        </w:rPr>
        <w:tab/>
      </w:r>
      <w:r w:rsidR="004C5322" w:rsidRPr="00201A9A">
        <w:rPr>
          <w:noProof/>
        </w:rPr>
        <w:t>sprawozdanie</w:t>
      </w:r>
      <w:r w:rsidRPr="00201A9A">
        <w:rPr>
          <w:noProof/>
        </w:rPr>
        <w:t xml:space="preserve"> z pos</w:t>
      </w:r>
      <w:r w:rsidR="004C5322" w:rsidRPr="00201A9A">
        <w:rPr>
          <w:noProof/>
        </w:rPr>
        <w:t>tępów we wdrażaniu środków przewidzianych</w:t>
      </w:r>
      <w:r w:rsidRPr="00201A9A">
        <w:rPr>
          <w:noProof/>
        </w:rPr>
        <w:t xml:space="preserve"> w pla</w:t>
      </w:r>
      <w:r w:rsidR="004C5322" w:rsidRPr="00201A9A">
        <w:rPr>
          <w:noProof/>
        </w:rPr>
        <w:t>nie określonym</w:t>
      </w:r>
      <w:r w:rsidRPr="00201A9A">
        <w:rPr>
          <w:noProof/>
        </w:rPr>
        <w:t xml:space="preserve"> w art</w:t>
      </w:r>
      <w:r w:rsidR="004C5322" w:rsidRPr="00201A9A">
        <w:rPr>
          <w:noProof/>
        </w:rPr>
        <w:t>.</w:t>
      </w:r>
      <w:r w:rsidRPr="00201A9A">
        <w:rPr>
          <w:noProof/>
        </w:rPr>
        <w:t> </w:t>
      </w:r>
      <w:r w:rsidR="004C5322" w:rsidRPr="00201A9A">
        <w:rPr>
          <w:noProof/>
        </w:rPr>
        <w:t>58 ust.</w:t>
      </w:r>
      <w:r w:rsidRPr="00201A9A">
        <w:rPr>
          <w:noProof/>
        </w:rPr>
        <w:t> </w:t>
      </w:r>
      <w:r w:rsidR="004C5322" w:rsidRPr="00201A9A">
        <w:rPr>
          <w:noProof/>
        </w:rPr>
        <w:t>4 [Obowiązki państw członkowskich], zgodnie ze wzorem określonym</w:t>
      </w:r>
      <w:r w:rsidRPr="00201A9A">
        <w:rPr>
          <w:noProof/>
        </w:rPr>
        <w:t xml:space="preserve"> w zał</w:t>
      </w:r>
      <w:r w:rsidR="004C5322" w:rsidRPr="00201A9A">
        <w:rPr>
          <w:noProof/>
        </w:rPr>
        <w:t>ączniku IX [Składanie sprawozdań</w:t>
      </w:r>
      <w:r w:rsidRPr="00201A9A">
        <w:rPr>
          <w:noProof/>
        </w:rPr>
        <w:t xml:space="preserve"> z pos</w:t>
      </w:r>
      <w:r w:rsidR="004C5322" w:rsidRPr="00201A9A">
        <w:rPr>
          <w:noProof/>
        </w:rPr>
        <w:t>tępów we wdrażaniu środków], odnoszące się do wniosków</w:t>
      </w:r>
      <w:r w:rsidRPr="00201A9A">
        <w:rPr>
          <w:noProof/>
        </w:rPr>
        <w:t xml:space="preserve"> o pła</w:t>
      </w:r>
      <w:r w:rsidR="004C5322" w:rsidRPr="00201A9A">
        <w:rPr>
          <w:noProof/>
        </w:rPr>
        <w:t>tność złożonych</w:t>
      </w:r>
      <w:r w:rsidRPr="00201A9A">
        <w:rPr>
          <w:noProof/>
        </w:rPr>
        <w:t xml:space="preserve"> w pop</w:t>
      </w:r>
      <w:r w:rsidR="004C5322" w:rsidRPr="00201A9A">
        <w:rPr>
          <w:noProof/>
        </w:rPr>
        <w:t xml:space="preserve">rzednim roku budżetowym; </w:t>
      </w:r>
    </w:p>
    <w:p w14:paraId="62BE9EEF" w14:textId="40217DD1" w:rsidR="00410938" w:rsidRPr="00201A9A" w:rsidRDefault="00201A9A" w:rsidP="00201A9A">
      <w:pPr>
        <w:pStyle w:val="Point1"/>
        <w:rPr>
          <w:noProof/>
        </w:rPr>
      </w:pPr>
      <w:r w:rsidRPr="00201A9A">
        <w:rPr>
          <w:noProof/>
        </w:rPr>
        <w:t>b)</w:t>
      </w:r>
      <w:r w:rsidRPr="00201A9A">
        <w:rPr>
          <w:noProof/>
        </w:rPr>
        <w:tab/>
      </w:r>
      <w:r w:rsidR="00410938" w:rsidRPr="00201A9A">
        <w:rPr>
          <w:noProof/>
        </w:rPr>
        <w:t>podsumowanie audytów,</w:t>
      </w:r>
      <w:r w:rsidRPr="00201A9A">
        <w:rPr>
          <w:noProof/>
        </w:rPr>
        <w:t xml:space="preserve"> o któ</w:t>
      </w:r>
      <w:r w:rsidR="00410938" w:rsidRPr="00201A9A">
        <w:rPr>
          <w:noProof/>
        </w:rPr>
        <w:t>rym mowa</w:t>
      </w:r>
      <w:r w:rsidRPr="00201A9A">
        <w:rPr>
          <w:noProof/>
        </w:rPr>
        <w:t xml:space="preserve"> w art</w:t>
      </w:r>
      <w:r w:rsidR="00410938" w:rsidRPr="00201A9A">
        <w:rPr>
          <w:noProof/>
        </w:rPr>
        <w:t>.</w:t>
      </w:r>
      <w:r w:rsidRPr="00201A9A">
        <w:rPr>
          <w:noProof/>
        </w:rPr>
        <w:t> </w:t>
      </w:r>
      <w:r w:rsidR="00410938" w:rsidRPr="00201A9A">
        <w:rPr>
          <w:noProof/>
        </w:rPr>
        <w:t>53 ust.</w:t>
      </w:r>
      <w:r w:rsidRPr="00201A9A">
        <w:rPr>
          <w:noProof/>
        </w:rPr>
        <w:t> </w:t>
      </w:r>
      <w:r w:rsidR="00410938" w:rsidRPr="00201A9A">
        <w:rPr>
          <w:noProof/>
        </w:rPr>
        <w:t>2 lit.</w:t>
      </w:r>
      <w:r w:rsidRPr="00201A9A">
        <w:rPr>
          <w:noProof/>
        </w:rPr>
        <w:t> </w:t>
      </w:r>
      <w:r w:rsidR="00410938" w:rsidRPr="00201A9A">
        <w:rPr>
          <w:noProof/>
        </w:rPr>
        <w:t>b) [funkcje instytucji audytowej];</w:t>
      </w:r>
    </w:p>
    <w:p w14:paraId="45E42B7D" w14:textId="605889A4" w:rsidR="00410938" w:rsidRPr="00201A9A" w:rsidRDefault="00201A9A" w:rsidP="00201A9A">
      <w:pPr>
        <w:pStyle w:val="Point1"/>
        <w:rPr>
          <w:noProof/>
        </w:rPr>
      </w:pPr>
      <w:r w:rsidRPr="00201A9A">
        <w:rPr>
          <w:noProof/>
        </w:rPr>
        <w:t>c)</w:t>
      </w:r>
      <w:r w:rsidRPr="00201A9A">
        <w:rPr>
          <w:noProof/>
        </w:rPr>
        <w:tab/>
      </w:r>
      <w:r w:rsidR="00410938" w:rsidRPr="00201A9A">
        <w:rPr>
          <w:noProof/>
        </w:rPr>
        <w:t>deklarację zarządczą, zgodnie ze wzorem określonym</w:t>
      </w:r>
      <w:r w:rsidRPr="00201A9A">
        <w:rPr>
          <w:noProof/>
        </w:rPr>
        <w:t xml:space="preserve"> w zał</w:t>
      </w:r>
      <w:r w:rsidR="00410938" w:rsidRPr="00201A9A">
        <w:rPr>
          <w:noProof/>
        </w:rPr>
        <w:t>ączniku XII, stwierdzającą, że:</w:t>
      </w:r>
    </w:p>
    <w:p w14:paraId="5D652D21" w14:textId="4DA9FE80" w:rsidR="00410938" w:rsidRPr="00201A9A" w:rsidRDefault="00410938" w:rsidP="003E2902">
      <w:pPr>
        <w:pStyle w:val="Point2n"/>
        <w:numPr>
          <w:ilvl w:val="0"/>
          <w:numId w:val="37"/>
        </w:numPr>
        <w:spacing w:line="240" w:lineRule="auto"/>
        <w:jc w:val="both"/>
        <w:rPr>
          <w:noProof/>
        </w:rPr>
      </w:pPr>
      <w:r w:rsidRPr="00201A9A">
        <w:rPr>
          <w:noProof/>
        </w:rPr>
        <w:t>informacje załączone do wniosku(-ów)</w:t>
      </w:r>
      <w:r w:rsidR="00201A9A" w:rsidRPr="00201A9A">
        <w:rPr>
          <w:noProof/>
        </w:rPr>
        <w:t xml:space="preserve"> o pła</w:t>
      </w:r>
      <w:r w:rsidRPr="00201A9A">
        <w:rPr>
          <w:noProof/>
        </w:rPr>
        <w:t>tność są kompletne, dokładne</w:t>
      </w:r>
      <w:r w:rsidR="00201A9A" w:rsidRPr="00201A9A">
        <w:rPr>
          <w:noProof/>
        </w:rPr>
        <w:t xml:space="preserve"> i wia</w:t>
      </w:r>
      <w:r w:rsidRPr="00201A9A">
        <w:rPr>
          <w:noProof/>
        </w:rPr>
        <w:t xml:space="preserve">rygodne; </w:t>
      </w:r>
    </w:p>
    <w:p w14:paraId="0D813936" w14:textId="77777777" w:rsidR="00410938" w:rsidRPr="00201A9A" w:rsidRDefault="00410938" w:rsidP="005A28DE">
      <w:pPr>
        <w:pStyle w:val="Point2n"/>
        <w:spacing w:line="240" w:lineRule="auto"/>
        <w:jc w:val="both"/>
        <w:rPr>
          <w:noProof/>
        </w:rPr>
      </w:pPr>
      <w:r w:rsidRPr="00201A9A">
        <w:rPr>
          <w:noProof/>
        </w:rPr>
        <w:t xml:space="preserve">środki finansowe zostały właściwie wykorzystane; </w:t>
      </w:r>
    </w:p>
    <w:p w14:paraId="317C8783" w14:textId="10F92361" w:rsidR="00410938" w:rsidRPr="00201A9A" w:rsidRDefault="00410938" w:rsidP="005A28DE">
      <w:pPr>
        <w:pStyle w:val="Point2n"/>
        <w:spacing w:line="240" w:lineRule="auto"/>
        <w:jc w:val="both"/>
        <w:rPr>
          <w:noProof/>
        </w:rPr>
      </w:pPr>
      <w:r w:rsidRPr="00201A9A">
        <w:rPr>
          <w:noProof/>
        </w:rPr>
        <w:t>wprowadzone systemy zarządzania</w:t>
      </w:r>
      <w:r w:rsidR="00201A9A" w:rsidRPr="00201A9A">
        <w:rPr>
          <w:noProof/>
        </w:rPr>
        <w:t xml:space="preserve"> i kon</w:t>
      </w:r>
      <w:r w:rsidRPr="00201A9A">
        <w:rPr>
          <w:noProof/>
        </w:rPr>
        <w:t>troli funkcjonują prawidłowo</w:t>
      </w:r>
      <w:r w:rsidR="00201A9A" w:rsidRPr="00201A9A">
        <w:rPr>
          <w:noProof/>
        </w:rPr>
        <w:t xml:space="preserve"> i gwa</w:t>
      </w:r>
      <w:r w:rsidRPr="00201A9A">
        <w:rPr>
          <w:noProof/>
        </w:rPr>
        <w:t>rantują</w:t>
      </w:r>
      <w:r w:rsidR="00201A9A" w:rsidRPr="00201A9A">
        <w:rPr>
          <w:noProof/>
        </w:rPr>
        <w:t xml:space="preserve"> w nie</w:t>
      </w:r>
      <w:r w:rsidRPr="00201A9A">
        <w:rPr>
          <w:noProof/>
        </w:rPr>
        <w:t>zbędnym stopniu, że zarządzanie środkami finansowymi odbywało się zgodnie</w:t>
      </w:r>
      <w:r w:rsidR="00201A9A" w:rsidRPr="00201A9A">
        <w:rPr>
          <w:noProof/>
        </w:rPr>
        <w:t xml:space="preserve"> z wsz</w:t>
      </w:r>
      <w:r w:rsidRPr="00201A9A">
        <w:rPr>
          <w:noProof/>
        </w:rPr>
        <w:t>ystkimi przepisami mającego zastosowanie prawa,</w:t>
      </w:r>
      <w:r w:rsidR="00201A9A" w:rsidRPr="00201A9A">
        <w:rPr>
          <w:noProof/>
        </w:rPr>
        <w:t xml:space="preserve"> w tym z prz</w:t>
      </w:r>
      <w:r w:rsidRPr="00201A9A">
        <w:rPr>
          <w:noProof/>
        </w:rPr>
        <w:t>episami</w:t>
      </w:r>
      <w:r w:rsidR="00201A9A" w:rsidRPr="00201A9A">
        <w:rPr>
          <w:noProof/>
        </w:rPr>
        <w:t xml:space="preserve"> w zak</w:t>
      </w:r>
      <w:r w:rsidRPr="00201A9A">
        <w:rPr>
          <w:noProof/>
        </w:rPr>
        <w:t>resie zapobiegania konfliktom interesów, korupcji, podwójnego finansowania, nadużyciom finansowym</w:t>
      </w:r>
      <w:r w:rsidR="00201A9A" w:rsidRPr="00201A9A">
        <w:rPr>
          <w:noProof/>
        </w:rPr>
        <w:t xml:space="preserve"> i inn</w:t>
      </w:r>
      <w:r w:rsidRPr="00201A9A">
        <w:rPr>
          <w:noProof/>
        </w:rPr>
        <w:t>ym nieprawidłowościom oraz ich wykrywania, zgłaszania</w:t>
      </w:r>
      <w:r w:rsidR="00201A9A" w:rsidRPr="00201A9A">
        <w:rPr>
          <w:noProof/>
        </w:rPr>
        <w:t xml:space="preserve"> i kor</w:t>
      </w:r>
      <w:r w:rsidRPr="00201A9A">
        <w:rPr>
          <w:noProof/>
        </w:rPr>
        <w:t>ygowania,</w:t>
      </w:r>
      <w:r w:rsidR="00201A9A" w:rsidRPr="00201A9A">
        <w:rPr>
          <w:noProof/>
        </w:rPr>
        <w:t xml:space="preserve"> a tak</w:t>
      </w:r>
      <w:r w:rsidRPr="00201A9A">
        <w:rPr>
          <w:noProof/>
        </w:rPr>
        <w:t>że zgodnie</w:t>
      </w:r>
      <w:r w:rsidR="00201A9A" w:rsidRPr="00201A9A">
        <w:rPr>
          <w:noProof/>
        </w:rPr>
        <w:t xml:space="preserve"> z zas</w:t>
      </w:r>
      <w:r w:rsidRPr="00201A9A">
        <w:rPr>
          <w:noProof/>
        </w:rPr>
        <w:t xml:space="preserve">adą należytego zarządzania finansami; </w:t>
      </w:r>
    </w:p>
    <w:p w14:paraId="11677D97" w14:textId="2B91100E" w:rsidR="00410938" w:rsidRPr="00201A9A" w:rsidRDefault="00410938" w:rsidP="005A28DE">
      <w:pPr>
        <w:pStyle w:val="Point2n"/>
        <w:spacing w:line="240" w:lineRule="auto"/>
        <w:jc w:val="both"/>
        <w:rPr>
          <w:noProof/>
        </w:rPr>
      </w:pPr>
      <w:r w:rsidRPr="00201A9A">
        <w:rPr>
          <w:noProof/>
        </w:rPr>
        <w:t>informacje,</w:t>
      </w:r>
      <w:r w:rsidR="00201A9A" w:rsidRPr="00201A9A">
        <w:rPr>
          <w:noProof/>
        </w:rPr>
        <w:t xml:space="preserve"> o któ</w:t>
      </w:r>
      <w:r w:rsidRPr="00201A9A">
        <w:rPr>
          <w:noProof/>
        </w:rPr>
        <w:t>rych mowa</w:t>
      </w:r>
      <w:r w:rsidR="00201A9A" w:rsidRPr="00201A9A">
        <w:rPr>
          <w:noProof/>
        </w:rPr>
        <w:t xml:space="preserve"> w lit</w:t>
      </w:r>
      <w:r w:rsidRPr="00201A9A">
        <w:rPr>
          <w:noProof/>
        </w:rPr>
        <w:t>.</w:t>
      </w:r>
      <w:r w:rsidR="00201A9A" w:rsidRPr="00201A9A">
        <w:rPr>
          <w:noProof/>
        </w:rPr>
        <w:t> </w:t>
      </w:r>
      <w:r w:rsidRPr="00201A9A">
        <w:rPr>
          <w:noProof/>
        </w:rPr>
        <w:t>a), dają prawdziwy</w:t>
      </w:r>
      <w:r w:rsidR="00201A9A" w:rsidRPr="00201A9A">
        <w:rPr>
          <w:noProof/>
        </w:rPr>
        <w:t xml:space="preserve"> i rze</w:t>
      </w:r>
      <w:r w:rsidRPr="00201A9A">
        <w:rPr>
          <w:noProof/>
        </w:rPr>
        <w:t>telny obraz postępów we wdrażaniu;</w:t>
      </w:r>
    </w:p>
    <w:p w14:paraId="4A49CAE5" w14:textId="65CE8B3E" w:rsidR="00410938" w:rsidRPr="00201A9A" w:rsidRDefault="00201A9A" w:rsidP="00201A9A">
      <w:pPr>
        <w:pStyle w:val="Point1"/>
        <w:rPr>
          <w:noProof/>
        </w:rPr>
      </w:pPr>
      <w:r w:rsidRPr="00201A9A">
        <w:rPr>
          <w:noProof/>
        </w:rPr>
        <w:t>d)</w:t>
      </w:r>
      <w:r w:rsidRPr="00201A9A">
        <w:rPr>
          <w:noProof/>
        </w:rPr>
        <w:tab/>
      </w:r>
      <w:r w:rsidR="00B07468" w:rsidRPr="00201A9A">
        <w:rPr>
          <w:noProof/>
        </w:rPr>
        <w:t>roczną opinię audytową,</w:t>
      </w:r>
      <w:r w:rsidRPr="00201A9A">
        <w:rPr>
          <w:noProof/>
        </w:rPr>
        <w:t xml:space="preserve"> o któ</w:t>
      </w:r>
      <w:r w:rsidR="00B07468" w:rsidRPr="00201A9A">
        <w:rPr>
          <w:noProof/>
        </w:rPr>
        <w:t>rej mowa</w:t>
      </w:r>
      <w:r w:rsidRPr="00201A9A">
        <w:rPr>
          <w:noProof/>
        </w:rPr>
        <w:t xml:space="preserve"> w art</w:t>
      </w:r>
      <w:r w:rsidR="00B07468" w:rsidRPr="00201A9A">
        <w:rPr>
          <w:noProof/>
        </w:rPr>
        <w:t>.</w:t>
      </w:r>
      <w:r w:rsidRPr="00201A9A">
        <w:rPr>
          <w:noProof/>
        </w:rPr>
        <w:t> </w:t>
      </w:r>
      <w:r w:rsidR="00B07468" w:rsidRPr="00201A9A">
        <w:rPr>
          <w:noProof/>
        </w:rPr>
        <w:t>53 ust.</w:t>
      </w:r>
      <w:r w:rsidRPr="00201A9A">
        <w:rPr>
          <w:noProof/>
        </w:rPr>
        <w:t> </w:t>
      </w:r>
      <w:r w:rsidR="00B07468" w:rsidRPr="00201A9A">
        <w:rPr>
          <w:noProof/>
        </w:rPr>
        <w:t>2 [funkcje instytucji audytowej], zgodnie ze wzorem określonym</w:t>
      </w:r>
      <w:r w:rsidRPr="00201A9A">
        <w:rPr>
          <w:noProof/>
        </w:rPr>
        <w:t xml:space="preserve"> w zał</w:t>
      </w:r>
      <w:r w:rsidR="00B07468" w:rsidRPr="00201A9A">
        <w:rPr>
          <w:noProof/>
        </w:rPr>
        <w:t>ączniku XII. </w:t>
      </w:r>
    </w:p>
    <w:p w14:paraId="0BF98025" w14:textId="5B309BDB" w:rsidR="000C43F5" w:rsidRPr="00201A9A" w:rsidRDefault="000C43F5" w:rsidP="003E2902">
      <w:pPr>
        <w:pStyle w:val="NumPar10000000"/>
        <w:numPr>
          <w:ilvl w:val="0"/>
          <w:numId w:val="49"/>
        </w:numPr>
        <w:rPr>
          <w:noProof/>
        </w:rPr>
      </w:pPr>
      <w:r w:rsidRPr="00201A9A">
        <w:rPr>
          <w:noProof/>
        </w:rPr>
        <w:t>Komisja uwzględnia informacje przedstawione</w:t>
      </w:r>
      <w:r w:rsidR="00201A9A" w:rsidRPr="00201A9A">
        <w:rPr>
          <w:noProof/>
        </w:rPr>
        <w:t xml:space="preserve"> w roc</w:t>
      </w:r>
      <w:r w:rsidRPr="00201A9A">
        <w:rPr>
          <w:noProof/>
        </w:rPr>
        <w:t>znym pakiecie dokumentów dotyczących poświadczenia wiarygodności, aby zdecydować, czy którykolwiek ze środków określonych</w:t>
      </w:r>
      <w:r w:rsidR="00201A9A" w:rsidRPr="00201A9A">
        <w:rPr>
          <w:noProof/>
        </w:rPr>
        <w:t xml:space="preserve"> w art</w:t>
      </w:r>
      <w:r w:rsidRPr="00201A9A">
        <w:rPr>
          <w:noProof/>
        </w:rPr>
        <w:t>.</w:t>
      </w:r>
      <w:r w:rsidR="00201A9A" w:rsidRPr="00201A9A">
        <w:rPr>
          <w:noProof/>
        </w:rPr>
        <w:t> </w:t>
      </w:r>
      <w:r w:rsidRPr="00201A9A">
        <w:rPr>
          <w:noProof/>
        </w:rPr>
        <w:t>66, 67</w:t>
      </w:r>
      <w:r w:rsidR="00201A9A" w:rsidRPr="00201A9A">
        <w:rPr>
          <w:noProof/>
        </w:rPr>
        <w:t xml:space="preserve"> i 6</w:t>
      </w:r>
      <w:r w:rsidRPr="00201A9A">
        <w:rPr>
          <w:noProof/>
        </w:rPr>
        <w:t>8 [przerwy][zawieszenie płatności][korekty finansowe] jest konieczny.</w:t>
      </w:r>
    </w:p>
    <w:p w14:paraId="7DB5D3D2" w14:textId="2253B582" w:rsidR="00410938" w:rsidRPr="00201A9A" w:rsidRDefault="00410938" w:rsidP="003E2902">
      <w:pPr>
        <w:pStyle w:val="NumPar10000000"/>
        <w:numPr>
          <w:ilvl w:val="0"/>
          <w:numId w:val="49"/>
        </w:numPr>
        <w:rPr>
          <w:noProof/>
        </w:rPr>
      </w:pPr>
      <w:r w:rsidRPr="00201A9A">
        <w:rPr>
          <w:noProof/>
        </w:rPr>
        <w:t>Przedkładając ostateczny roczny pakiet dokumentów dotyczących poświadczenia wiarygodności za ostatni rok budżetowy, państwo członkowskie potwierdza, że łączne płatności Komisji nie przekraczają całkowitej kwoty wypłaconej przez państwo członkowskie na rzecz beneficjentów</w:t>
      </w:r>
      <w:r w:rsidR="00201A9A" w:rsidRPr="00201A9A">
        <w:rPr>
          <w:noProof/>
        </w:rPr>
        <w:t xml:space="preserve"> w ram</w:t>
      </w:r>
      <w:r w:rsidRPr="00201A9A">
        <w:rPr>
          <w:noProof/>
        </w:rPr>
        <w:t>ach wdrażania planu,</w:t>
      </w:r>
      <w:r w:rsidR="00201A9A" w:rsidRPr="00201A9A">
        <w:rPr>
          <w:noProof/>
        </w:rPr>
        <w:t xml:space="preserve"> z uwz</w:t>
      </w:r>
      <w:r w:rsidRPr="00201A9A">
        <w:rPr>
          <w:noProof/>
        </w:rPr>
        <w:t>ględnieniem wkładu krajowego. </w:t>
      </w:r>
    </w:p>
    <w:p w14:paraId="438C0AF6" w14:textId="77777777" w:rsidR="00410938" w:rsidRPr="00201A9A" w:rsidRDefault="00410938" w:rsidP="00410938">
      <w:pPr>
        <w:pStyle w:val="Titrearticle"/>
        <w:rPr>
          <w:noProof/>
        </w:rPr>
      </w:pPr>
      <w:r w:rsidRPr="00201A9A">
        <w:rPr>
          <w:noProof/>
        </w:rPr>
        <w:t xml:space="preserve">Artykuł 60 </w:t>
      </w:r>
      <w:r w:rsidRPr="00201A9A">
        <w:rPr>
          <w:noProof/>
        </w:rPr>
        <w:br/>
      </w:r>
      <w:r w:rsidRPr="00201A9A">
        <w:rPr>
          <w:b/>
          <w:noProof/>
        </w:rPr>
        <w:t>Obowiązki Komisji</w:t>
      </w:r>
    </w:p>
    <w:p w14:paraId="6E8D59F4" w14:textId="49EBAA1E" w:rsidR="00936FC4" w:rsidRPr="00201A9A" w:rsidRDefault="00936FC4" w:rsidP="003E2902">
      <w:pPr>
        <w:pStyle w:val="NumPar10000000"/>
        <w:numPr>
          <w:ilvl w:val="0"/>
          <w:numId w:val="50"/>
        </w:numPr>
        <w:rPr>
          <w:noProof/>
        </w:rPr>
      </w:pPr>
      <w:r w:rsidRPr="00201A9A">
        <w:rPr>
          <w:noProof/>
        </w:rPr>
        <w:t>Komisja uzyskuje wystarczającą pewność, że państwa członkowskie dysponują systemami zarządzania</w:t>
      </w:r>
      <w:r w:rsidR="00201A9A" w:rsidRPr="00201A9A">
        <w:rPr>
          <w:noProof/>
        </w:rPr>
        <w:t xml:space="preserve"> i kon</w:t>
      </w:r>
      <w:r w:rsidRPr="00201A9A">
        <w:rPr>
          <w:noProof/>
        </w:rPr>
        <w:t>troli zgodnymi</w:t>
      </w:r>
      <w:r w:rsidR="00201A9A" w:rsidRPr="00201A9A">
        <w:rPr>
          <w:noProof/>
        </w:rPr>
        <w:t xml:space="preserve"> z wym</w:t>
      </w:r>
      <w:r w:rsidRPr="00201A9A">
        <w:rPr>
          <w:noProof/>
        </w:rPr>
        <w:t>ogami określonymi</w:t>
      </w:r>
      <w:r w:rsidR="00201A9A" w:rsidRPr="00201A9A">
        <w:rPr>
          <w:noProof/>
        </w:rPr>
        <w:t xml:space="preserve"> w nin</w:t>
      </w:r>
      <w:r w:rsidRPr="00201A9A">
        <w:rPr>
          <w:noProof/>
        </w:rPr>
        <w:t>iejszym rozporządzeniu oraz że systemy te funkcjonują skutecznie</w:t>
      </w:r>
      <w:r w:rsidR="00201A9A" w:rsidRPr="00201A9A">
        <w:rPr>
          <w:noProof/>
        </w:rPr>
        <w:t xml:space="preserve"> i efe</w:t>
      </w:r>
      <w:r w:rsidRPr="00201A9A">
        <w:rPr>
          <w:noProof/>
        </w:rPr>
        <w:t>ktywnie</w:t>
      </w:r>
      <w:r w:rsidR="00201A9A" w:rsidRPr="00201A9A">
        <w:rPr>
          <w:noProof/>
        </w:rPr>
        <w:t xml:space="preserve"> w okr</w:t>
      </w:r>
      <w:r w:rsidRPr="00201A9A">
        <w:rPr>
          <w:noProof/>
        </w:rPr>
        <w:t>esie wdrażania planów.</w:t>
      </w:r>
      <w:r w:rsidR="00201A9A" w:rsidRPr="00201A9A">
        <w:rPr>
          <w:noProof/>
        </w:rPr>
        <w:t xml:space="preserve"> </w:t>
      </w:r>
    </w:p>
    <w:p w14:paraId="3FC0D6A2" w14:textId="34716C2A" w:rsidR="00936FC4" w:rsidRPr="00201A9A" w:rsidRDefault="00936FC4" w:rsidP="003E2902">
      <w:pPr>
        <w:pStyle w:val="NumPar10000000"/>
        <w:numPr>
          <w:ilvl w:val="0"/>
          <w:numId w:val="50"/>
        </w:numPr>
        <w:rPr>
          <w:noProof/>
        </w:rPr>
      </w:pPr>
      <w:r w:rsidRPr="00201A9A">
        <w:rPr>
          <w:noProof/>
        </w:rPr>
        <w:t>Komisja opracowuje – do celów własnych prac audytowych – strategię audytu oraz plan audytu oparte na ocenie ryzyka</w:t>
      </w:r>
      <w:r w:rsidR="00201A9A" w:rsidRPr="00201A9A">
        <w:rPr>
          <w:noProof/>
        </w:rPr>
        <w:t xml:space="preserve"> i zas</w:t>
      </w:r>
      <w:r w:rsidRPr="00201A9A">
        <w:rPr>
          <w:noProof/>
        </w:rPr>
        <w:t>adzie proporcjonalności.</w:t>
      </w:r>
      <w:r w:rsidR="00201A9A" w:rsidRPr="00201A9A">
        <w:rPr>
          <w:noProof/>
        </w:rPr>
        <w:t xml:space="preserve"> </w:t>
      </w:r>
    </w:p>
    <w:p w14:paraId="63F6DB64" w14:textId="4DD046F0" w:rsidR="00936FC4" w:rsidRPr="00201A9A" w:rsidRDefault="00936FC4" w:rsidP="003E2902">
      <w:pPr>
        <w:pStyle w:val="NumPar10000000"/>
        <w:numPr>
          <w:ilvl w:val="0"/>
          <w:numId w:val="50"/>
        </w:numPr>
        <w:rPr>
          <w:noProof/>
        </w:rPr>
      </w:pPr>
      <w:r w:rsidRPr="00201A9A">
        <w:rPr>
          <w:noProof/>
        </w:rPr>
        <w:t>Komisja</w:t>
      </w:r>
      <w:r w:rsidR="00201A9A" w:rsidRPr="00201A9A">
        <w:rPr>
          <w:noProof/>
        </w:rPr>
        <w:t xml:space="preserve"> i ins</w:t>
      </w:r>
      <w:r w:rsidRPr="00201A9A">
        <w:rPr>
          <w:noProof/>
        </w:rPr>
        <w:t>tytucja audytowa koordynują swoje prace audytowe. </w:t>
      </w:r>
    </w:p>
    <w:p w14:paraId="104B83AB" w14:textId="57DA9898" w:rsidR="00936FC4" w:rsidRPr="00201A9A" w:rsidRDefault="00936FC4" w:rsidP="003E2902">
      <w:pPr>
        <w:pStyle w:val="NumPar10000000"/>
        <w:numPr>
          <w:ilvl w:val="0"/>
          <w:numId w:val="50"/>
        </w:numPr>
        <w:rPr>
          <w:noProof/>
        </w:rPr>
      </w:pPr>
      <w:r w:rsidRPr="00201A9A">
        <w:rPr>
          <w:noProof/>
        </w:rPr>
        <w:t>Do celów przeprowadzania audytów urzędnicy Komisji lub ich upoważnieni przedstawiciele mają, zgodnie</w:t>
      </w:r>
      <w:r w:rsidR="00201A9A" w:rsidRPr="00201A9A">
        <w:rPr>
          <w:noProof/>
        </w:rPr>
        <w:t xml:space="preserve"> z art</w:t>
      </w:r>
      <w:r w:rsidRPr="00201A9A">
        <w:rPr>
          <w:noProof/>
        </w:rPr>
        <w:t>.</w:t>
      </w:r>
      <w:r w:rsidR="00201A9A" w:rsidRPr="00201A9A">
        <w:rPr>
          <w:noProof/>
        </w:rPr>
        <w:t> </w:t>
      </w:r>
      <w:r w:rsidRPr="00201A9A">
        <w:rPr>
          <w:noProof/>
        </w:rPr>
        <w:t>58 ust.</w:t>
      </w:r>
      <w:r w:rsidR="00201A9A" w:rsidRPr="00201A9A">
        <w:rPr>
          <w:noProof/>
        </w:rPr>
        <w:t> </w:t>
      </w:r>
      <w:r w:rsidRPr="00201A9A">
        <w:rPr>
          <w:noProof/>
        </w:rPr>
        <w:t>2 lit.</w:t>
      </w:r>
      <w:r w:rsidR="00201A9A" w:rsidRPr="00201A9A">
        <w:rPr>
          <w:noProof/>
        </w:rPr>
        <w:t> </w:t>
      </w:r>
      <w:r w:rsidRPr="00201A9A">
        <w:rPr>
          <w:noProof/>
        </w:rPr>
        <w:t>h) [obowiązki państw członkowskich], dostęp do wszystkich niezbędnych zapisów, dokumentów</w:t>
      </w:r>
      <w:r w:rsidR="00201A9A" w:rsidRPr="00201A9A">
        <w:rPr>
          <w:noProof/>
        </w:rPr>
        <w:t xml:space="preserve"> i met</w:t>
      </w:r>
      <w:r w:rsidRPr="00201A9A">
        <w:rPr>
          <w:noProof/>
        </w:rPr>
        <w:t>adanych, niezależnie od nośnika, na jakim są one przechowywane, odnoszących się do wdrażania planu,</w:t>
      </w:r>
      <w:r w:rsidR="00201A9A" w:rsidRPr="00201A9A">
        <w:rPr>
          <w:noProof/>
        </w:rPr>
        <w:t xml:space="preserve"> w tym</w:t>
      </w:r>
      <w:r w:rsidRPr="00201A9A">
        <w:rPr>
          <w:noProof/>
        </w:rPr>
        <w:t xml:space="preserve"> do operacji wspieranych</w:t>
      </w:r>
      <w:r w:rsidR="00201A9A" w:rsidRPr="00201A9A">
        <w:rPr>
          <w:noProof/>
        </w:rPr>
        <w:t xml:space="preserve"> z Fun</w:t>
      </w:r>
      <w:r w:rsidRPr="00201A9A">
        <w:rPr>
          <w:noProof/>
        </w:rPr>
        <w:t>duszu lub do systemów zarządzania</w:t>
      </w:r>
      <w:r w:rsidR="00201A9A" w:rsidRPr="00201A9A">
        <w:rPr>
          <w:noProof/>
        </w:rPr>
        <w:t xml:space="preserve"> i kon</w:t>
      </w:r>
      <w:r w:rsidRPr="00201A9A">
        <w:rPr>
          <w:noProof/>
        </w:rPr>
        <w:t>troli, oraz otrzymują kopie</w:t>
      </w:r>
      <w:r w:rsidR="00201A9A" w:rsidRPr="00201A9A">
        <w:rPr>
          <w:noProof/>
        </w:rPr>
        <w:t xml:space="preserve"> w kon</w:t>
      </w:r>
      <w:r w:rsidRPr="00201A9A">
        <w:rPr>
          <w:noProof/>
        </w:rPr>
        <w:t>kretnym wymaganym formacie. Urzędnicy Komisji lub ich upoważnieni przedstawiciele mogą żądać informacji uzupełniających</w:t>
      </w:r>
      <w:r w:rsidR="00201A9A" w:rsidRPr="00201A9A">
        <w:rPr>
          <w:noProof/>
        </w:rPr>
        <w:t xml:space="preserve"> i prz</w:t>
      </w:r>
      <w:r w:rsidRPr="00201A9A">
        <w:rPr>
          <w:noProof/>
        </w:rPr>
        <w:t>eprowadzać audyty na miejscu. </w:t>
      </w:r>
    </w:p>
    <w:p w14:paraId="3C06DFA8" w14:textId="7B89F1CB" w:rsidR="00936FC4" w:rsidRPr="00201A9A" w:rsidRDefault="00936FC4" w:rsidP="003E2902">
      <w:pPr>
        <w:pStyle w:val="NumPar10000000"/>
        <w:numPr>
          <w:ilvl w:val="0"/>
          <w:numId w:val="50"/>
        </w:numPr>
        <w:rPr>
          <w:noProof/>
        </w:rPr>
      </w:pPr>
      <w:r w:rsidRPr="00201A9A">
        <w:rPr>
          <w:noProof/>
        </w:rPr>
        <w:t>Komisja przeprowadza audyty podczas wdrażania Funduszu</w:t>
      </w:r>
      <w:r w:rsidR="00201A9A" w:rsidRPr="00201A9A">
        <w:rPr>
          <w:noProof/>
        </w:rPr>
        <w:t xml:space="preserve"> i w okr</w:t>
      </w:r>
      <w:r w:rsidRPr="00201A9A">
        <w:rPr>
          <w:noProof/>
        </w:rPr>
        <w:t>esie do trzech lat od daty płatności końcowej.</w:t>
      </w:r>
      <w:r w:rsidR="00201A9A" w:rsidRPr="00201A9A">
        <w:rPr>
          <w:noProof/>
        </w:rPr>
        <w:t xml:space="preserve"> </w:t>
      </w:r>
    </w:p>
    <w:p w14:paraId="6EBF1422" w14:textId="77777777" w:rsidR="00936FC4" w:rsidRPr="00201A9A" w:rsidRDefault="00936FC4" w:rsidP="003E2902">
      <w:pPr>
        <w:pStyle w:val="NumPar10000000"/>
        <w:numPr>
          <w:ilvl w:val="0"/>
          <w:numId w:val="50"/>
        </w:numPr>
        <w:rPr>
          <w:noProof/>
        </w:rPr>
      </w:pPr>
      <w:r w:rsidRPr="00201A9A">
        <w:rPr>
          <w:noProof/>
        </w:rPr>
        <w:t>Komisja nie ma obowiązku weryfikacji podstawowych kosztów operacji do celów swoich prac audytowych.</w:t>
      </w:r>
    </w:p>
    <w:p w14:paraId="33744FF8" w14:textId="77777777" w:rsidR="00410938" w:rsidRPr="00201A9A" w:rsidRDefault="00410938" w:rsidP="00410938">
      <w:pPr>
        <w:pStyle w:val="Titrearticle"/>
        <w:rPr>
          <w:noProof/>
        </w:rPr>
      </w:pPr>
      <w:r w:rsidRPr="00201A9A">
        <w:rPr>
          <w:noProof/>
        </w:rPr>
        <w:t xml:space="preserve">Artykuł 61 </w:t>
      </w:r>
      <w:r w:rsidRPr="00201A9A">
        <w:rPr>
          <w:noProof/>
        </w:rPr>
        <w:br/>
      </w:r>
      <w:r w:rsidRPr="00201A9A">
        <w:rPr>
          <w:b/>
          <w:noProof/>
        </w:rPr>
        <w:t>Podejście oparte na zasadzie jednego audytu</w:t>
      </w:r>
    </w:p>
    <w:p w14:paraId="102C9B10" w14:textId="124C1512" w:rsidR="00936FC4" w:rsidRPr="00201A9A" w:rsidRDefault="00936FC4" w:rsidP="003E2902">
      <w:pPr>
        <w:pStyle w:val="NumPar10000000"/>
        <w:numPr>
          <w:ilvl w:val="0"/>
          <w:numId w:val="51"/>
        </w:numPr>
        <w:rPr>
          <w:noProof/>
        </w:rPr>
      </w:pPr>
      <w:r w:rsidRPr="00201A9A">
        <w:rPr>
          <w:noProof/>
        </w:rPr>
        <w:t>Przeprowadzając audyty, Komisja</w:t>
      </w:r>
      <w:r w:rsidR="00201A9A" w:rsidRPr="00201A9A">
        <w:rPr>
          <w:noProof/>
        </w:rPr>
        <w:t xml:space="preserve"> i ins</w:t>
      </w:r>
      <w:r w:rsidRPr="00201A9A">
        <w:rPr>
          <w:noProof/>
        </w:rPr>
        <w:t>tytucje audytowe należycie uwzględniają zasadę jednego audytu</w:t>
      </w:r>
      <w:r w:rsidR="00201A9A" w:rsidRPr="00201A9A">
        <w:rPr>
          <w:noProof/>
        </w:rPr>
        <w:t xml:space="preserve"> i zas</w:t>
      </w:r>
      <w:r w:rsidRPr="00201A9A">
        <w:rPr>
          <w:noProof/>
        </w:rPr>
        <w:t>adę proporcjonalności</w:t>
      </w:r>
      <w:r w:rsidR="00201A9A" w:rsidRPr="00201A9A">
        <w:rPr>
          <w:noProof/>
        </w:rPr>
        <w:t xml:space="preserve"> w odn</w:t>
      </w:r>
      <w:r w:rsidRPr="00201A9A">
        <w:rPr>
          <w:noProof/>
        </w:rPr>
        <w:t xml:space="preserve">iesieniu do poziomu ryzyka dla budżetu Unii. </w:t>
      </w:r>
    </w:p>
    <w:p w14:paraId="1A45709C" w14:textId="6A7A737F" w:rsidR="00936FC4" w:rsidRPr="00201A9A" w:rsidRDefault="00936FC4" w:rsidP="003E2902">
      <w:pPr>
        <w:pStyle w:val="NumPar10000000"/>
        <w:numPr>
          <w:ilvl w:val="0"/>
          <w:numId w:val="50"/>
        </w:numPr>
        <w:rPr>
          <w:noProof/>
        </w:rPr>
      </w:pPr>
      <w:r w:rsidRPr="00201A9A">
        <w:rPr>
          <w:noProof/>
        </w:rPr>
        <w:t>Komisja</w:t>
      </w:r>
      <w:r w:rsidR="00201A9A" w:rsidRPr="00201A9A">
        <w:rPr>
          <w:noProof/>
        </w:rPr>
        <w:t xml:space="preserve"> i ins</w:t>
      </w:r>
      <w:r w:rsidRPr="00201A9A">
        <w:rPr>
          <w:noProof/>
        </w:rPr>
        <w:t>tytucje audytowe wykorzystują</w:t>
      </w:r>
      <w:r w:rsidR="00201A9A" w:rsidRPr="00201A9A">
        <w:rPr>
          <w:noProof/>
        </w:rPr>
        <w:t xml:space="preserve"> w pie</w:t>
      </w:r>
      <w:r w:rsidRPr="00201A9A">
        <w:rPr>
          <w:noProof/>
        </w:rPr>
        <w:t>rwszej kolejności wszystkie informacje</w:t>
      </w:r>
      <w:r w:rsidR="00201A9A" w:rsidRPr="00201A9A">
        <w:rPr>
          <w:noProof/>
        </w:rPr>
        <w:t xml:space="preserve"> i dok</w:t>
      </w:r>
      <w:r w:rsidRPr="00201A9A">
        <w:rPr>
          <w:noProof/>
        </w:rPr>
        <w:t>umentację,</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58 ust.</w:t>
      </w:r>
      <w:r w:rsidR="00201A9A" w:rsidRPr="00201A9A">
        <w:rPr>
          <w:noProof/>
        </w:rPr>
        <w:t> </w:t>
      </w:r>
      <w:r w:rsidRPr="00201A9A">
        <w:rPr>
          <w:noProof/>
        </w:rPr>
        <w:t>2 lit.</w:t>
      </w:r>
      <w:r w:rsidR="00201A9A" w:rsidRPr="00201A9A">
        <w:rPr>
          <w:noProof/>
        </w:rPr>
        <w:t> </w:t>
      </w:r>
      <w:r w:rsidRPr="00201A9A">
        <w:rPr>
          <w:noProof/>
        </w:rPr>
        <w:t>h) (Obowiązki państw członkowskich),</w:t>
      </w:r>
      <w:r w:rsidR="00201A9A" w:rsidRPr="00201A9A">
        <w:rPr>
          <w:noProof/>
        </w:rPr>
        <w:t xml:space="preserve"> w tym</w:t>
      </w:r>
      <w:r w:rsidRPr="00201A9A">
        <w:rPr>
          <w:noProof/>
        </w:rPr>
        <w:t xml:space="preserve"> wyniki weryfikacji zarządczych,</w:t>
      </w:r>
      <w:r w:rsidR="00201A9A" w:rsidRPr="00201A9A">
        <w:rPr>
          <w:noProof/>
        </w:rPr>
        <w:t xml:space="preserve"> i mog</w:t>
      </w:r>
      <w:r w:rsidRPr="00201A9A">
        <w:rPr>
          <w:noProof/>
        </w:rPr>
        <w:t>ą zwrócić się</w:t>
      </w:r>
      <w:r w:rsidR="00201A9A" w:rsidRPr="00201A9A">
        <w:rPr>
          <w:noProof/>
        </w:rPr>
        <w:t xml:space="preserve"> o prz</w:t>
      </w:r>
      <w:r w:rsidRPr="00201A9A">
        <w:rPr>
          <w:noProof/>
        </w:rPr>
        <w:t>ekazanie dodatkowych dokumentów</w:t>
      </w:r>
      <w:r w:rsidR="00201A9A" w:rsidRPr="00201A9A">
        <w:rPr>
          <w:noProof/>
        </w:rPr>
        <w:t xml:space="preserve"> i dow</w:t>
      </w:r>
      <w:r w:rsidRPr="00201A9A">
        <w:rPr>
          <w:noProof/>
        </w:rPr>
        <w:t>odów audytowych oraz uzyskać je od organów odpowiedzialnych za plan</w:t>
      </w:r>
      <w:r w:rsidR="00201A9A" w:rsidRPr="00201A9A">
        <w:rPr>
          <w:noProof/>
        </w:rPr>
        <w:t xml:space="preserve"> i dan</w:t>
      </w:r>
      <w:r w:rsidRPr="00201A9A">
        <w:rPr>
          <w:noProof/>
        </w:rPr>
        <w:t>ych beneficjentów</w:t>
      </w:r>
      <w:r w:rsidR="00201A9A" w:rsidRPr="00201A9A">
        <w:rPr>
          <w:noProof/>
        </w:rPr>
        <w:t xml:space="preserve"> w prz</w:t>
      </w:r>
      <w:r w:rsidRPr="00201A9A">
        <w:rPr>
          <w:noProof/>
        </w:rPr>
        <w:t>ypadku, gdy na podstawie profesjonalnego osądu Komisji</w:t>
      </w:r>
      <w:r w:rsidR="00201A9A" w:rsidRPr="00201A9A">
        <w:rPr>
          <w:noProof/>
        </w:rPr>
        <w:t xml:space="preserve"> i ins</w:t>
      </w:r>
      <w:r w:rsidRPr="00201A9A">
        <w:rPr>
          <w:noProof/>
        </w:rPr>
        <w:t>tytucji audytowych jest to niezbędne</w:t>
      </w:r>
      <w:r w:rsidR="00201A9A" w:rsidRPr="00201A9A">
        <w:rPr>
          <w:noProof/>
        </w:rPr>
        <w:t xml:space="preserve"> w cel</w:t>
      </w:r>
      <w:r w:rsidRPr="00201A9A">
        <w:rPr>
          <w:noProof/>
        </w:rPr>
        <w:t>u wsparcia rzetelnych wniosków</w:t>
      </w:r>
      <w:r w:rsidR="00201A9A" w:rsidRPr="00201A9A">
        <w:rPr>
          <w:noProof/>
        </w:rPr>
        <w:t xml:space="preserve"> z aud</w:t>
      </w:r>
      <w:r w:rsidRPr="00201A9A">
        <w:rPr>
          <w:noProof/>
        </w:rPr>
        <w:t>ytu.</w:t>
      </w:r>
      <w:r w:rsidR="00201A9A" w:rsidRPr="00201A9A">
        <w:rPr>
          <w:noProof/>
        </w:rPr>
        <w:t xml:space="preserve"> </w:t>
      </w:r>
    </w:p>
    <w:p w14:paraId="74FDC232" w14:textId="1E8A9386" w:rsidR="00936FC4" w:rsidRPr="00201A9A" w:rsidRDefault="00936FC4" w:rsidP="003E2902">
      <w:pPr>
        <w:pStyle w:val="NumPar10000000"/>
        <w:numPr>
          <w:ilvl w:val="0"/>
          <w:numId w:val="50"/>
        </w:numPr>
        <w:rPr>
          <w:noProof/>
        </w:rPr>
      </w:pPr>
      <w:r w:rsidRPr="00201A9A">
        <w:rPr>
          <w:noProof/>
        </w:rPr>
        <w:t>W odniesieniu do planów,</w:t>
      </w:r>
      <w:r w:rsidR="00201A9A" w:rsidRPr="00201A9A">
        <w:rPr>
          <w:noProof/>
        </w:rPr>
        <w:t xml:space="preserve"> w prz</w:t>
      </w:r>
      <w:r w:rsidRPr="00201A9A">
        <w:rPr>
          <w:noProof/>
        </w:rPr>
        <w:t>ypadku których Komisja stwierdzi, że opinia instytucji audytowej jest wiarygodna,</w:t>
      </w:r>
      <w:r w:rsidR="00201A9A" w:rsidRPr="00201A9A">
        <w:rPr>
          <w:noProof/>
        </w:rPr>
        <w:t xml:space="preserve"> a zai</w:t>
      </w:r>
      <w:r w:rsidRPr="00201A9A">
        <w:rPr>
          <w:noProof/>
        </w:rPr>
        <w:t>nteresowane państwo członkowskie bierze udział we wzmocnionej współpracy</w:t>
      </w:r>
      <w:r w:rsidR="00201A9A" w:rsidRPr="00201A9A">
        <w:rPr>
          <w:noProof/>
        </w:rPr>
        <w:t xml:space="preserve"> w zak</w:t>
      </w:r>
      <w:r w:rsidRPr="00201A9A">
        <w:rPr>
          <w:noProof/>
        </w:rPr>
        <w:t>resie ustanowienia EPPO, audyty prowadzone przez Komisję ograniczają się do kontroli prac instytucji audytowej.</w:t>
      </w:r>
      <w:r w:rsidR="00201A9A" w:rsidRPr="00201A9A">
        <w:rPr>
          <w:noProof/>
        </w:rPr>
        <w:t xml:space="preserve"> </w:t>
      </w:r>
    </w:p>
    <w:p w14:paraId="460FFAD7" w14:textId="5045ABFF" w:rsidR="00936FC4" w:rsidRPr="00201A9A" w:rsidRDefault="00936FC4" w:rsidP="003E2902">
      <w:pPr>
        <w:pStyle w:val="NumPar10000000"/>
        <w:numPr>
          <w:ilvl w:val="0"/>
          <w:numId w:val="50"/>
        </w:numPr>
        <w:rPr>
          <w:noProof/>
        </w:rPr>
      </w:pPr>
      <w:r w:rsidRPr="00201A9A">
        <w:rPr>
          <w:noProof/>
        </w:rPr>
        <w:t>Komisja</w:t>
      </w:r>
      <w:r w:rsidR="00201A9A" w:rsidRPr="00201A9A">
        <w:rPr>
          <w:noProof/>
        </w:rPr>
        <w:t xml:space="preserve"> i ins</w:t>
      </w:r>
      <w:r w:rsidRPr="00201A9A">
        <w:rPr>
          <w:noProof/>
        </w:rPr>
        <w:t>tytucja audytowa mogą podjąć decyzję</w:t>
      </w:r>
      <w:r w:rsidR="00201A9A" w:rsidRPr="00201A9A">
        <w:rPr>
          <w:noProof/>
        </w:rPr>
        <w:t xml:space="preserve"> o nie</w:t>
      </w:r>
      <w:r w:rsidRPr="00201A9A">
        <w:rPr>
          <w:noProof/>
        </w:rPr>
        <w:t>poddawaniu audytowi kamieni milowych</w:t>
      </w:r>
      <w:r w:rsidR="00201A9A" w:rsidRPr="00201A9A">
        <w:rPr>
          <w:noProof/>
        </w:rPr>
        <w:t xml:space="preserve"> i war</w:t>
      </w:r>
      <w:r w:rsidRPr="00201A9A">
        <w:rPr>
          <w:noProof/>
        </w:rPr>
        <w:t>tości docelowych</w:t>
      </w:r>
      <w:r w:rsidR="00201A9A" w:rsidRPr="00201A9A">
        <w:rPr>
          <w:noProof/>
        </w:rPr>
        <w:t xml:space="preserve"> w dow</w:t>
      </w:r>
      <w:r w:rsidRPr="00201A9A">
        <w:rPr>
          <w:noProof/>
        </w:rPr>
        <w:t>olnym roku, jeżeli zostały one już poddane audytowi przez Europejski Trybunał Obrachunkowy.</w:t>
      </w:r>
    </w:p>
    <w:p w14:paraId="6E16DB8D" w14:textId="7E4998AA" w:rsidR="00936FC4" w:rsidRPr="00201A9A" w:rsidRDefault="00936FC4" w:rsidP="003E2902">
      <w:pPr>
        <w:pStyle w:val="NumPar10000000"/>
        <w:numPr>
          <w:ilvl w:val="0"/>
          <w:numId w:val="50"/>
        </w:numPr>
        <w:rPr>
          <w:noProof/>
        </w:rPr>
      </w:pPr>
      <w:r w:rsidRPr="00201A9A">
        <w:rPr>
          <w:noProof/>
        </w:rPr>
        <w:t>Niezależnie od ust.</w:t>
      </w:r>
      <w:r w:rsidR="00201A9A" w:rsidRPr="00201A9A">
        <w:rPr>
          <w:noProof/>
        </w:rPr>
        <w:t> </w:t>
      </w:r>
      <w:r w:rsidRPr="00201A9A">
        <w:rPr>
          <w:noProof/>
        </w:rPr>
        <w:t>3 każdy kamień milowy</w:t>
      </w:r>
      <w:r w:rsidR="00201A9A" w:rsidRPr="00201A9A">
        <w:rPr>
          <w:noProof/>
        </w:rPr>
        <w:t xml:space="preserve"> i każ</w:t>
      </w:r>
      <w:r w:rsidRPr="00201A9A">
        <w:rPr>
          <w:noProof/>
        </w:rPr>
        <w:t>da wartość docelowa mogą podlegać więcej niż jednemu audytowi, jeżeli instytucja audytowa stwierdzi – na podstawie swojego profesjonalnego osądu – że sporządzenie ważnej opinii audytowej nie jest możliwe.</w:t>
      </w:r>
      <w:r w:rsidR="00201A9A" w:rsidRPr="00201A9A">
        <w:rPr>
          <w:noProof/>
        </w:rPr>
        <w:t xml:space="preserve"> </w:t>
      </w:r>
    </w:p>
    <w:p w14:paraId="7DF19B11" w14:textId="78DE1DDC" w:rsidR="00936FC4" w:rsidRPr="00201A9A" w:rsidRDefault="00936FC4" w:rsidP="003E2902">
      <w:pPr>
        <w:pStyle w:val="NumPar10000000"/>
        <w:numPr>
          <w:ilvl w:val="0"/>
          <w:numId w:val="50"/>
        </w:numPr>
        <w:rPr>
          <w:noProof/>
        </w:rPr>
      </w:pPr>
      <w:r w:rsidRPr="00201A9A">
        <w:rPr>
          <w:noProof/>
        </w:rPr>
        <w:t>Ust. 2 nie ma zastosowania,</w:t>
      </w:r>
      <w:r w:rsidR="00201A9A" w:rsidRPr="00201A9A">
        <w:rPr>
          <w:noProof/>
        </w:rPr>
        <w:t xml:space="preserve"> w prz</w:t>
      </w:r>
      <w:r w:rsidRPr="00201A9A">
        <w:rPr>
          <w:noProof/>
        </w:rPr>
        <w:t>ypadku gdy:</w:t>
      </w:r>
      <w:r w:rsidR="00201A9A" w:rsidRPr="00201A9A">
        <w:rPr>
          <w:noProof/>
        </w:rPr>
        <w:t xml:space="preserve"> </w:t>
      </w:r>
    </w:p>
    <w:p w14:paraId="38D6DC47" w14:textId="2C409236" w:rsidR="00936FC4" w:rsidRPr="00201A9A" w:rsidRDefault="00201A9A" w:rsidP="00201A9A">
      <w:pPr>
        <w:pStyle w:val="Point1"/>
        <w:rPr>
          <w:noProof/>
        </w:rPr>
      </w:pPr>
      <w:r w:rsidRPr="00201A9A">
        <w:rPr>
          <w:noProof/>
        </w:rPr>
        <w:t>a)</w:t>
      </w:r>
      <w:r w:rsidRPr="00201A9A">
        <w:rPr>
          <w:noProof/>
        </w:rPr>
        <w:tab/>
      </w:r>
      <w:r w:rsidR="00936FC4" w:rsidRPr="00201A9A">
        <w:rPr>
          <w:noProof/>
        </w:rPr>
        <w:t>istnieje szczególne ryzyko lub podejrzenie nadużycia finansowego, korupcji, konfliktu interesów lub innego poważnego naruszenia obowiązków państw członkowskich,</w:t>
      </w:r>
      <w:r w:rsidRPr="00201A9A">
        <w:rPr>
          <w:noProof/>
        </w:rPr>
        <w:t xml:space="preserve"> o któ</w:t>
      </w:r>
      <w:r w:rsidR="00936FC4" w:rsidRPr="00201A9A">
        <w:rPr>
          <w:noProof/>
        </w:rPr>
        <w:t>rych mowa</w:t>
      </w:r>
      <w:r w:rsidRPr="00201A9A">
        <w:rPr>
          <w:noProof/>
        </w:rPr>
        <w:t xml:space="preserve"> w art</w:t>
      </w:r>
      <w:r w:rsidR="00936FC4" w:rsidRPr="00201A9A">
        <w:rPr>
          <w:noProof/>
        </w:rPr>
        <w:t>.</w:t>
      </w:r>
      <w:r w:rsidRPr="00201A9A">
        <w:rPr>
          <w:noProof/>
        </w:rPr>
        <w:t> </w:t>
      </w:r>
      <w:r w:rsidR="00936FC4" w:rsidRPr="00201A9A">
        <w:rPr>
          <w:noProof/>
        </w:rPr>
        <w:t>58 [Obowiązki państw członkowskich];</w:t>
      </w:r>
      <w:r w:rsidRPr="00201A9A">
        <w:rPr>
          <w:noProof/>
        </w:rPr>
        <w:t xml:space="preserve"> </w:t>
      </w:r>
    </w:p>
    <w:p w14:paraId="25CD686F" w14:textId="5FFC81EC" w:rsidR="00936FC4" w:rsidRPr="00201A9A" w:rsidRDefault="00201A9A" w:rsidP="00201A9A">
      <w:pPr>
        <w:pStyle w:val="Point1"/>
        <w:rPr>
          <w:noProof/>
        </w:rPr>
      </w:pPr>
      <w:r w:rsidRPr="00201A9A">
        <w:rPr>
          <w:noProof/>
        </w:rPr>
        <w:t>b)</w:t>
      </w:r>
      <w:r w:rsidRPr="00201A9A">
        <w:rPr>
          <w:noProof/>
        </w:rPr>
        <w:tab/>
      </w:r>
      <w:r w:rsidR="00936FC4" w:rsidRPr="00201A9A">
        <w:rPr>
          <w:noProof/>
        </w:rPr>
        <w:t>konieczne jest ponowne przeprowadzenie prac instytucji audytowej</w:t>
      </w:r>
      <w:r w:rsidRPr="00201A9A">
        <w:rPr>
          <w:noProof/>
        </w:rPr>
        <w:t xml:space="preserve"> w cel</w:t>
      </w:r>
      <w:r w:rsidR="00936FC4" w:rsidRPr="00201A9A">
        <w:rPr>
          <w:noProof/>
        </w:rPr>
        <w:t>u uzyskania pewności co do jej skutecznego funkcjonowania</w:t>
      </w:r>
      <w:r w:rsidRPr="00201A9A">
        <w:rPr>
          <w:noProof/>
        </w:rPr>
        <w:t xml:space="preserve"> w nas</w:t>
      </w:r>
      <w:r w:rsidR="00936FC4" w:rsidRPr="00201A9A">
        <w:rPr>
          <w:noProof/>
        </w:rPr>
        <w:t>tępstwie oceny ryzyka dokonanej przez Komisję;</w:t>
      </w:r>
      <w:r w:rsidRPr="00201A9A">
        <w:rPr>
          <w:noProof/>
        </w:rPr>
        <w:t xml:space="preserve"> </w:t>
      </w:r>
    </w:p>
    <w:p w14:paraId="542C3F97" w14:textId="1EF2F40F" w:rsidR="00936FC4" w:rsidRPr="00201A9A" w:rsidRDefault="00201A9A" w:rsidP="00201A9A">
      <w:pPr>
        <w:pStyle w:val="Point1"/>
        <w:rPr>
          <w:noProof/>
        </w:rPr>
      </w:pPr>
      <w:r w:rsidRPr="00201A9A">
        <w:rPr>
          <w:noProof/>
        </w:rPr>
        <w:t>c)</w:t>
      </w:r>
      <w:r w:rsidRPr="00201A9A">
        <w:rPr>
          <w:noProof/>
        </w:rPr>
        <w:tab/>
      </w:r>
      <w:r w:rsidR="00936FC4" w:rsidRPr="00201A9A">
        <w:rPr>
          <w:noProof/>
        </w:rPr>
        <w:t>istnieją dowody na to, że funkcjonowanie instytucji audytowej nie spełnia kluczowych wymogów określonych</w:t>
      </w:r>
      <w:r w:rsidRPr="00201A9A">
        <w:rPr>
          <w:noProof/>
        </w:rPr>
        <w:t xml:space="preserve"> w art</w:t>
      </w:r>
      <w:r w:rsidR="00936FC4" w:rsidRPr="00201A9A">
        <w:rPr>
          <w:noProof/>
        </w:rPr>
        <w:t>.</w:t>
      </w:r>
      <w:r w:rsidRPr="00201A9A">
        <w:rPr>
          <w:noProof/>
        </w:rPr>
        <w:t> </w:t>
      </w:r>
      <w:r w:rsidR="00936FC4" w:rsidRPr="00201A9A">
        <w:rPr>
          <w:noProof/>
        </w:rPr>
        <w:t>53 [funkcje instytucji audytowej]</w:t>
      </w:r>
      <w:r w:rsidRPr="00201A9A">
        <w:rPr>
          <w:noProof/>
        </w:rPr>
        <w:t xml:space="preserve"> i zał</w:t>
      </w:r>
      <w:r w:rsidR="00936FC4" w:rsidRPr="00201A9A">
        <w:rPr>
          <w:noProof/>
        </w:rPr>
        <w:t>ączniku IV [Wymogi dotyczące audytu</w:t>
      </w:r>
      <w:r w:rsidRPr="00201A9A">
        <w:rPr>
          <w:noProof/>
        </w:rPr>
        <w:t xml:space="preserve"> i cer</w:t>
      </w:r>
      <w:r w:rsidR="00936FC4" w:rsidRPr="00201A9A">
        <w:rPr>
          <w:noProof/>
        </w:rPr>
        <w:t>tyfikacji].</w:t>
      </w:r>
    </w:p>
    <w:p w14:paraId="409078D2" w14:textId="4DF41A8D" w:rsidR="00936FC4" w:rsidRPr="00201A9A" w:rsidRDefault="00936FC4" w:rsidP="003E2902">
      <w:pPr>
        <w:pStyle w:val="NumPar10000000"/>
        <w:numPr>
          <w:ilvl w:val="0"/>
          <w:numId w:val="50"/>
        </w:numPr>
        <w:rPr>
          <w:noProof/>
        </w:rPr>
      </w:pPr>
      <w:r w:rsidRPr="00201A9A">
        <w:rPr>
          <w:noProof/>
        </w:rPr>
        <w:t>Komisja</w:t>
      </w:r>
      <w:r w:rsidR="00201A9A" w:rsidRPr="00201A9A">
        <w:rPr>
          <w:noProof/>
        </w:rPr>
        <w:t xml:space="preserve"> i ins</w:t>
      </w:r>
      <w:r w:rsidRPr="00201A9A">
        <w:rPr>
          <w:noProof/>
        </w:rPr>
        <w:t>tytucje audytowe spotykają się</w:t>
      </w:r>
      <w:r w:rsidR="00201A9A" w:rsidRPr="00201A9A">
        <w:rPr>
          <w:noProof/>
        </w:rPr>
        <w:t xml:space="preserve"> w reg</w:t>
      </w:r>
      <w:r w:rsidRPr="00201A9A">
        <w:rPr>
          <w:noProof/>
        </w:rPr>
        <w:t>ularnych odstępach czasu i,</w:t>
      </w:r>
      <w:r w:rsidR="00201A9A" w:rsidRPr="00201A9A">
        <w:rPr>
          <w:noProof/>
        </w:rPr>
        <w:t xml:space="preserve"> o ile</w:t>
      </w:r>
      <w:r w:rsidRPr="00201A9A">
        <w:rPr>
          <w:noProof/>
        </w:rPr>
        <w:t xml:space="preserve"> nie uzgodniono inaczej, co najmniej raz</w:t>
      </w:r>
      <w:r w:rsidR="00201A9A" w:rsidRPr="00201A9A">
        <w:rPr>
          <w:noProof/>
        </w:rPr>
        <w:t xml:space="preserve"> w rok</w:t>
      </w:r>
      <w:r w:rsidRPr="00201A9A">
        <w:rPr>
          <w:noProof/>
        </w:rPr>
        <w:t>u,</w:t>
      </w:r>
      <w:r w:rsidR="00201A9A" w:rsidRPr="00201A9A">
        <w:rPr>
          <w:noProof/>
        </w:rPr>
        <w:t xml:space="preserve"> w cel</w:t>
      </w:r>
      <w:r w:rsidRPr="00201A9A">
        <w:rPr>
          <w:noProof/>
        </w:rPr>
        <w:t>u przeglądu strategii audytu, rocznego sprawozdania</w:t>
      </w:r>
      <w:r w:rsidR="00201A9A" w:rsidRPr="00201A9A">
        <w:rPr>
          <w:noProof/>
        </w:rPr>
        <w:t xml:space="preserve"> z kon</w:t>
      </w:r>
      <w:r w:rsidRPr="00201A9A">
        <w:rPr>
          <w:noProof/>
        </w:rPr>
        <w:t>troli</w:t>
      </w:r>
      <w:r w:rsidR="00201A9A" w:rsidRPr="00201A9A">
        <w:rPr>
          <w:noProof/>
        </w:rPr>
        <w:t xml:space="preserve"> i opi</w:t>
      </w:r>
      <w:r w:rsidRPr="00201A9A">
        <w:rPr>
          <w:noProof/>
        </w:rPr>
        <w:t>nii audytowej,</w:t>
      </w:r>
      <w:r w:rsidR="00201A9A" w:rsidRPr="00201A9A">
        <w:rPr>
          <w:noProof/>
        </w:rPr>
        <w:t xml:space="preserve"> a tak</w:t>
      </w:r>
      <w:r w:rsidRPr="00201A9A">
        <w:rPr>
          <w:noProof/>
        </w:rPr>
        <w:t>że</w:t>
      </w:r>
      <w:r w:rsidR="00201A9A" w:rsidRPr="00201A9A">
        <w:rPr>
          <w:noProof/>
        </w:rPr>
        <w:t xml:space="preserve"> w cel</w:t>
      </w:r>
      <w:r w:rsidRPr="00201A9A">
        <w:rPr>
          <w:noProof/>
        </w:rPr>
        <w:t>u koordynacji swoich planów</w:t>
      </w:r>
      <w:r w:rsidR="00201A9A" w:rsidRPr="00201A9A">
        <w:rPr>
          <w:noProof/>
        </w:rPr>
        <w:t xml:space="preserve"> i met</w:t>
      </w:r>
      <w:r w:rsidRPr="00201A9A">
        <w:rPr>
          <w:noProof/>
        </w:rPr>
        <w:t>od audytowych oraz wymiany poglądów na temat kwestii związanych</w:t>
      </w:r>
      <w:r w:rsidR="00201A9A" w:rsidRPr="00201A9A">
        <w:rPr>
          <w:noProof/>
        </w:rPr>
        <w:t xml:space="preserve"> z pop</w:t>
      </w:r>
      <w:r w:rsidRPr="00201A9A">
        <w:rPr>
          <w:noProof/>
        </w:rPr>
        <w:t>rawą funkcjonowania systemów zarządzania</w:t>
      </w:r>
      <w:r w:rsidR="00201A9A" w:rsidRPr="00201A9A">
        <w:rPr>
          <w:noProof/>
        </w:rPr>
        <w:t xml:space="preserve"> i kon</w:t>
      </w:r>
      <w:r w:rsidRPr="00201A9A">
        <w:rPr>
          <w:noProof/>
        </w:rPr>
        <w:t>troli.</w:t>
      </w:r>
    </w:p>
    <w:p w14:paraId="0177D886" w14:textId="2DABFD93" w:rsidR="00410938" w:rsidRPr="00201A9A" w:rsidRDefault="00410938" w:rsidP="00410938">
      <w:pPr>
        <w:pStyle w:val="Titrearticle"/>
        <w:rPr>
          <w:noProof/>
        </w:rPr>
      </w:pPr>
      <w:r w:rsidRPr="00201A9A">
        <w:rPr>
          <w:noProof/>
        </w:rPr>
        <w:t xml:space="preserve">Artykuł 62 </w:t>
      </w:r>
      <w:r w:rsidRPr="00201A9A">
        <w:rPr>
          <w:noProof/>
        </w:rPr>
        <w:br/>
      </w:r>
      <w:r w:rsidRPr="00201A9A">
        <w:rPr>
          <w:b/>
          <w:noProof/>
        </w:rPr>
        <w:t>System kontroli na potrzeby odpowiedzialnego prowadzenia gospodarstwa</w:t>
      </w:r>
      <w:r w:rsidR="00201A9A" w:rsidRPr="00201A9A">
        <w:rPr>
          <w:b/>
          <w:noProof/>
        </w:rPr>
        <w:t xml:space="preserve"> i wsp</w:t>
      </w:r>
      <w:r w:rsidRPr="00201A9A">
        <w:rPr>
          <w:b/>
          <w:noProof/>
        </w:rPr>
        <w:t>ólnej polityki rybołówstwa</w:t>
      </w:r>
    </w:p>
    <w:p w14:paraId="6DBA440D" w14:textId="286F3782" w:rsidR="00F20B3B" w:rsidRPr="00201A9A" w:rsidRDefault="00F20B3B" w:rsidP="003E2902">
      <w:pPr>
        <w:pStyle w:val="NumPar10000000"/>
        <w:numPr>
          <w:ilvl w:val="0"/>
          <w:numId w:val="95"/>
        </w:numPr>
        <w:rPr>
          <w:iCs/>
          <w:noProof/>
        </w:rPr>
      </w:pPr>
      <w:r w:rsidRPr="00201A9A">
        <w:rPr>
          <w:noProof/>
        </w:rPr>
        <w:t>W ramach kontroli,</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58 [Obowiązki państw członkowskich], państwa członkowskie weryfikują zgodność beneficjentów</w:t>
      </w:r>
      <w:r w:rsidR="00201A9A" w:rsidRPr="00201A9A">
        <w:rPr>
          <w:noProof/>
        </w:rPr>
        <w:t xml:space="preserve"> z wym</w:t>
      </w:r>
      <w:r w:rsidRPr="00201A9A">
        <w:rPr>
          <w:noProof/>
        </w:rPr>
        <w:t>ogami dotyczącymi odpowiedzialnego prowadzenia gospodarstwa,</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 rozporządzenia (UE) 202X/XXXX [rozporządzenie</w:t>
      </w:r>
      <w:r w:rsidR="00201A9A" w:rsidRPr="00201A9A">
        <w:rPr>
          <w:noProof/>
        </w:rPr>
        <w:t xml:space="preserve"> w spr</w:t>
      </w:r>
      <w:r w:rsidRPr="00201A9A">
        <w:rPr>
          <w:noProof/>
        </w:rPr>
        <w:t>awie WPR], oraz</w:t>
      </w:r>
      <w:r w:rsidR="00201A9A" w:rsidRPr="00201A9A">
        <w:rPr>
          <w:noProof/>
        </w:rPr>
        <w:t xml:space="preserve"> z art</w:t>
      </w:r>
      <w:r w:rsidRPr="00201A9A">
        <w:rPr>
          <w:noProof/>
        </w:rPr>
        <w:t>. XX ust. XX rozporządzenia (UE) 202X/XXXX [rozporządzenie</w:t>
      </w:r>
      <w:r w:rsidR="00201A9A" w:rsidRPr="00201A9A">
        <w:rPr>
          <w:noProof/>
        </w:rPr>
        <w:t xml:space="preserve"> w spr</w:t>
      </w:r>
      <w:r w:rsidRPr="00201A9A">
        <w:rPr>
          <w:noProof/>
        </w:rPr>
        <w:t xml:space="preserve">awie WPRyb]. </w:t>
      </w:r>
    </w:p>
    <w:p w14:paraId="1DD1897B" w14:textId="59F7E057" w:rsidR="006A74AB" w:rsidRPr="00201A9A" w:rsidRDefault="006A74AB" w:rsidP="00036431">
      <w:pPr>
        <w:pStyle w:val="Text1"/>
        <w:rPr>
          <w:noProof/>
        </w:rPr>
      </w:pPr>
      <w:r w:rsidRPr="00201A9A">
        <w:rPr>
          <w:noProof/>
        </w:rPr>
        <w:t>W przypadku gdy obszar kwalifikujący się do wsparcia,</w:t>
      </w:r>
      <w:r w:rsidR="00201A9A" w:rsidRPr="00201A9A">
        <w:rPr>
          <w:noProof/>
        </w:rPr>
        <w:t xml:space="preserve"> o któ</w:t>
      </w:r>
      <w:r w:rsidRPr="00201A9A">
        <w:rPr>
          <w:noProof/>
        </w:rPr>
        <w:t>rym mowa</w:t>
      </w:r>
      <w:r w:rsidR="00201A9A" w:rsidRPr="00201A9A">
        <w:rPr>
          <w:noProof/>
        </w:rPr>
        <w:t xml:space="preserve"> w aka</w:t>
      </w:r>
      <w:r w:rsidRPr="00201A9A">
        <w:rPr>
          <w:noProof/>
        </w:rPr>
        <w:t>picie pierwszym, zgłoszony we wniosku geoprzestrzennym,</w:t>
      </w:r>
      <w:r w:rsidR="00201A9A" w:rsidRPr="00201A9A">
        <w:rPr>
          <w:noProof/>
        </w:rPr>
        <w:t xml:space="preserve"> o któ</w:t>
      </w:r>
      <w:r w:rsidRPr="00201A9A">
        <w:rPr>
          <w:noProof/>
        </w:rPr>
        <w:t>rym mowa</w:t>
      </w:r>
      <w:r w:rsidR="00201A9A" w:rsidRPr="00201A9A">
        <w:rPr>
          <w:noProof/>
        </w:rPr>
        <w:t xml:space="preserve"> w art</w:t>
      </w:r>
      <w:r w:rsidRPr="00201A9A">
        <w:rPr>
          <w:noProof/>
        </w:rPr>
        <w:t>.</w:t>
      </w:r>
      <w:r w:rsidR="00201A9A" w:rsidRPr="00201A9A">
        <w:rPr>
          <w:noProof/>
        </w:rPr>
        <w:t> </w:t>
      </w:r>
      <w:r w:rsidRPr="00201A9A">
        <w:rPr>
          <w:noProof/>
        </w:rPr>
        <w:t>70 [ZSZiK], nie przekracza 10 hektarów, beneficjenci są zwolnieni</w:t>
      </w:r>
      <w:r w:rsidR="00201A9A" w:rsidRPr="00201A9A">
        <w:rPr>
          <w:noProof/>
        </w:rPr>
        <w:t xml:space="preserve"> z kon</w:t>
      </w:r>
      <w:r w:rsidRPr="00201A9A">
        <w:rPr>
          <w:noProof/>
        </w:rPr>
        <w:t>troli</w:t>
      </w:r>
      <w:r w:rsidR="00201A9A" w:rsidRPr="00201A9A">
        <w:rPr>
          <w:noProof/>
        </w:rPr>
        <w:t xml:space="preserve"> i kar</w:t>
      </w:r>
      <w:r w:rsidRPr="00201A9A">
        <w:rPr>
          <w:noProof/>
        </w:rPr>
        <w:t xml:space="preserve"> przewidzianych</w:t>
      </w:r>
      <w:r w:rsidR="00201A9A" w:rsidRPr="00201A9A">
        <w:rPr>
          <w:noProof/>
        </w:rPr>
        <w:t xml:space="preserve"> w nin</w:t>
      </w:r>
      <w:r w:rsidRPr="00201A9A">
        <w:rPr>
          <w:noProof/>
        </w:rPr>
        <w:t>iejszym artykule.</w:t>
      </w:r>
      <w:r w:rsidR="00201A9A" w:rsidRPr="00201A9A">
        <w:rPr>
          <w:noProof/>
        </w:rPr>
        <w:t xml:space="preserve"> </w:t>
      </w:r>
    </w:p>
    <w:p w14:paraId="0A940223" w14:textId="55FB4624" w:rsidR="00465B34" w:rsidRPr="00201A9A" w:rsidRDefault="00465B34" w:rsidP="005A28DE">
      <w:pPr>
        <w:pStyle w:val="Text1"/>
        <w:rPr>
          <w:noProof/>
        </w:rPr>
      </w:pPr>
      <w:r w:rsidRPr="00201A9A">
        <w:rPr>
          <w:noProof/>
        </w:rPr>
        <w:t>W przypadku gdy beneficjent został wybrany do kontroli na miejscu dotyczącej wniosku</w:t>
      </w:r>
      <w:r w:rsidR="00201A9A" w:rsidRPr="00201A9A">
        <w:rPr>
          <w:noProof/>
        </w:rPr>
        <w:t xml:space="preserve"> o prz</w:t>
      </w:r>
      <w:r w:rsidRPr="00201A9A">
        <w:rPr>
          <w:noProof/>
        </w:rPr>
        <w:t>yznanie pomocy lub wniosku</w:t>
      </w:r>
      <w:r w:rsidR="00201A9A" w:rsidRPr="00201A9A">
        <w:rPr>
          <w:noProof/>
        </w:rPr>
        <w:t xml:space="preserve"> o pła</w:t>
      </w:r>
      <w:r w:rsidRPr="00201A9A">
        <w:rPr>
          <w:noProof/>
        </w:rPr>
        <w:t>tność, państwa członkowskie,</w:t>
      </w:r>
      <w:r w:rsidR="00201A9A" w:rsidRPr="00201A9A">
        <w:rPr>
          <w:noProof/>
        </w:rPr>
        <w:t xml:space="preserve"> w mia</w:t>
      </w:r>
      <w:r w:rsidRPr="00201A9A">
        <w:rPr>
          <w:noProof/>
        </w:rPr>
        <w:t>rę możliwości</w:t>
      </w:r>
      <w:r w:rsidR="00201A9A" w:rsidRPr="00201A9A">
        <w:rPr>
          <w:noProof/>
        </w:rPr>
        <w:t xml:space="preserve"> i z uwz</w:t>
      </w:r>
      <w:r w:rsidRPr="00201A9A">
        <w:rPr>
          <w:noProof/>
        </w:rPr>
        <w:t>ględnieniem powiązanego ryzyka, nie wybierają tego beneficjenta do kolejnej kontroli ani próby kontrolnej za ten rok,</w:t>
      </w:r>
      <w:r w:rsidR="00201A9A" w:rsidRPr="00201A9A">
        <w:rPr>
          <w:noProof/>
        </w:rPr>
        <w:t xml:space="preserve"> z wyj</w:t>
      </w:r>
      <w:r w:rsidRPr="00201A9A">
        <w:rPr>
          <w:noProof/>
        </w:rPr>
        <w:t>ątkiem sytuacji, gdy okoliczności wymagają przeprowadzenia więcej niż jednej kontroli na miejscu</w:t>
      </w:r>
      <w:r w:rsidR="00201A9A" w:rsidRPr="00201A9A">
        <w:rPr>
          <w:noProof/>
        </w:rPr>
        <w:t xml:space="preserve"> w cel</w:t>
      </w:r>
      <w:r w:rsidRPr="00201A9A">
        <w:rPr>
          <w:noProof/>
        </w:rPr>
        <w:t>u zapewnienia skutecznej ochrony interesów finansowych Unii. Przepis ten nie zmniejsza poziomu kontroli.</w:t>
      </w:r>
    </w:p>
    <w:p w14:paraId="6B22B302" w14:textId="197E4554" w:rsidR="00256F20" w:rsidRPr="00201A9A" w:rsidRDefault="00256F20" w:rsidP="003E2902">
      <w:pPr>
        <w:pStyle w:val="NumPar10000000"/>
        <w:numPr>
          <w:ilvl w:val="0"/>
          <w:numId w:val="95"/>
        </w:numPr>
        <w:rPr>
          <w:noProof/>
        </w:rPr>
      </w:pPr>
      <w:r w:rsidRPr="00201A9A">
        <w:rPr>
          <w:noProof/>
        </w:rPr>
        <w:t>Państwa członkowskie wykorzystują swoje systemy kontroli</w:t>
      </w:r>
      <w:r w:rsidR="00201A9A" w:rsidRPr="00201A9A">
        <w:rPr>
          <w:noProof/>
        </w:rPr>
        <w:t xml:space="preserve"> i egz</w:t>
      </w:r>
      <w:r w:rsidRPr="00201A9A">
        <w:rPr>
          <w:noProof/>
        </w:rPr>
        <w:t>ekwowania prawodawstwa</w:t>
      </w:r>
      <w:r w:rsidR="00201A9A" w:rsidRPr="00201A9A">
        <w:rPr>
          <w:noProof/>
        </w:rPr>
        <w:t xml:space="preserve"> w obs</w:t>
      </w:r>
      <w:r w:rsidRPr="00201A9A">
        <w:rPr>
          <w:noProof/>
        </w:rPr>
        <w:t>zarach klimatu</w:t>
      </w:r>
      <w:r w:rsidR="00201A9A" w:rsidRPr="00201A9A">
        <w:rPr>
          <w:noProof/>
        </w:rPr>
        <w:t xml:space="preserve"> i śro</w:t>
      </w:r>
      <w:r w:rsidRPr="00201A9A">
        <w:rPr>
          <w:noProof/>
        </w:rPr>
        <w:t>dowiska, zdrowia publicznego, zdrowia roślin</w:t>
      </w:r>
      <w:r w:rsidR="00201A9A" w:rsidRPr="00201A9A">
        <w:rPr>
          <w:noProof/>
        </w:rPr>
        <w:t xml:space="preserve"> i dob</w:t>
      </w:r>
      <w:r w:rsidRPr="00201A9A">
        <w:rPr>
          <w:noProof/>
        </w:rPr>
        <w:t>rostanu zwierząt, prawodawstwa</w:t>
      </w:r>
      <w:r w:rsidR="00201A9A" w:rsidRPr="00201A9A">
        <w:rPr>
          <w:noProof/>
        </w:rPr>
        <w:t xml:space="preserve"> w dzi</w:t>
      </w:r>
      <w:r w:rsidRPr="00201A9A">
        <w:rPr>
          <w:noProof/>
        </w:rPr>
        <w:t>edzinie polityki społecznej</w:t>
      </w:r>
      <w:r w:rsidR="00201A9A" w:rsidRPr="00201A9A">
        <w:rPr>
          <w:noProof/>
        </w:rPr>
        <w:t xml:space="preserve"> i zat</w:t>
      </w:r>
      <w:r w:rsidRPr="00201A9A">
        <w:rPr>
          <w:noProof/>
        </w:rPr>
        <w:t>rudnienia, mających zastosowanie norm pracy, rybołówstwa</w:t>
      </w:r>
      <w:r w:rsidR="00201A9A" w:rsidRPr="00201A9A">
        <w:rPr>
          <w:noProof/>
        </w:rPr>
        <w:t xml:space="preserve"> i akw</w:t>
      </w:r>
      <w:r w:rsidRPr="00201A9A">
        <w:rPr>
          <w:noProof/>
        </w:rPr>
        <w:t>akultury</w:t>
      </w:r>
      <w:r w:rsidR="00201A9A" w:rsidRPr="00201A9A">
        <w:rPr>
          <w:noProof/>
        </w:rPr>
        <w:t xml:space="preserve"> w cel</w:t>
      </w:r>
      <w:r w:rsidRPr="00201A9A">
        <w:rPr>
          <w:noProof/>
        </w:rPr>
        <w:t>u zapewnienia, aby beneficjenci wsparcia spełniali wymogi określone</w:t>
      </w:r>
      <w:r w:rsidR="00201A9A" w:rsidRPr="00201A9A">
        <w:rPr>
          <w:noProof/>
        </w:rPr>
        <w:t xml:space="preserve"> w aka</w:t>
      </w:r>
      <w:r w:rsidRPr="00201A9A">
        <w:rPr>
          <w:noProof/>
        </w:rPr>
        <w:t>picie pierwszym.</w:t>
      </w:r>
    </w:p>
    <w:p w14:paraId="2D3A39B5" w14:textId="7D24D4BD" w:rsidR="00256F20" w:rsidRPr="00201A9A" w:rsidRDefault="00256F20" w:rsidP="003E2902">
      <w:pPr>
        <w:pStyle w:val="NumPar10000000"/>
        <w:numPr>
          <w:ilvl w:val="0"/>
          <w:numId w:val="95"/>
        </w:numPr>
        <w:rPr>
          <w:noProof/>
        </w:rPr>
      </w:pPr>
      <w:r w:rsidRPr="00201A9A">
        <w:rPr>
          <w:noProof/>
        </w:rPr>
        <w:t>Instytucja zarządzająca lub agencja płatnicza są powiadamiane,</w:t>
      </w:r>
      <w:r w:rsidR="00201A9A" w:rsidRPr="00201A9A">
        <w:rPr>
          <w:noProof/>
        </w:rPr>
        <w:t xml:space="preserve"> w sto</w:t>
      </w:r>
      <w:r w:rsidRPr="00201A9A">
        <w:rPr>
          <w:noProof/>
        </w:rPr>
        <w:t>sownych przypadkach, co najmniej raz</w:t>
      </w:r>
      <w:r w:rsidR="00201A9A" w:rsidRPr="00201A9A">
        <w:rPr>
          <w:noProof/>
        </w:rPr>
        <w:t xml:space="preserve"> w rok</w:t>
      </w:r>
      <w:r w:rsidRPr="00201A9A">
        <w:rPr>
          <w:noProof/>
        </w:rPr>
        <w:t>u</w:t>
      </w:r>
      <w:r w:rsidR="00201A9A" w:rsidRPr="00201A9A">
        <w:rPr>
          <w:noProof/>
        </w:rPr>
        <w:t xml:space="preserve"> o prz</w:t>
      </w:r>
      <w:r w:rsidRPr="00201A9A">
        <w:rPr>
          <w:noProof/>
        </w:rPr>
        <w:t>ypadkach niezgodności, jeżeli</w:t>
      </w:r>
      <w:r w:rsidR="00201A9A" w:rsidRPr="00201A9A">
        <w:rPr>
          <w:noProof/>
        </w:rPr>
        <w:t xml:space="preserve"> w ram</w:t>
      </w:r>
      <w:r w:rsidRPr="00201A9A">
        <w:rPr>
          <w:noProof/>
        </w:rPr>
        <w:t>ach mających zastosowanie systemów kontroli</w:t>
      </w:r>
      <w:r w:rsidR="00201A9A" w:rsidRPr="00201A9A">
        <w:rPr>
          <w:noProof/>
        </w:rPr>
        <w:t xml:space="preserve"> i egz</w:t>
      </w:r>
      <w:r w:rsidRPr="00201A9A">
        <w:rPr>
          <w:noProof/>
        </w:rPr>
        <w:t>ekwowania prawodawstwa,</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2, podjęto wykonalne decyzje</w:t>
      </w:r>
      <w:r w:rsidR="00201A9A" w:rsidRPr="00201A9A">
        <w:rPr>
          <w:noProof/>
        </w:rPr>
        <w:t xml:space="preserve"> w tym</w:t>
      </w:r>
      <w:r w:rsidRPr="00201A9A">
        <w:rPr>
          <w:noProof/>
        </w:rPr>
        <w:t xml:space="preserve"> zakresie. Powiadomienie to obejmuje ocenę</w:t>
      </w:r>
      <w:r w:rsidR="00201A9A" w:rsidRPr="00201A9A">
        <w:rPr>
          <w:noProof/>
        </w:rPr>
        <w:t xml:space="preserve"> i gra</w:t>
      </w:r>
      <w:r w:rsidRPr="00201A9A">
        <w:rPr>
          <w:noProof/>
        </w:rPr>
        <w:t>dację wagi, skali, trwałości lub powtarzalności</w:t>
      </w:r>
      <w:r w:rsidR="00201A9A" w:rsidRPr="00201A9A">
        <w:rPr>
          <w:noProof/>
        </w:rPr>
        <w:t xml:space="preserve"> i umy</w:t>
      </w:r>
      <w:r w:rsidRPr="00201A9A">
        <w:rPr>
          <w:noProof/>
        </w:rPr>
        <w:t xml:space="preserve">ślności danej niezgodności. </w:t>
      </w:r>
    </w:p>
    <w:p w14:paraId="2DC49079" w14:textId="64A9F3C8" w:rsidR="00256F20" w:rsidRPr="00201A9A" w:rsidDel="006D017F" w:rsidRDefault="005C4C2F" w:rsidP="003E2902">
      <w:pPr>
        <w:pStyle w:val="NumPar10000000"/>
        <w:numPr>
          <w:ilvl w:val="0"/>
          <w:numId w:val="95"/>
        </w:numPr>
        <w:rPr>
          <w:noProof/>
        </w:rPr>
      </w:pPr>
      <w:r w:rsidRPr="00201A9A">
        <w:rPr>
          <w:noProof/>
        </w:rPr>
        <w:t>Kary administracyjne,</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5, mają zastosowanie wyłącznie</w:t>
      </w:r>
      <w:r w:rsidR="00201A9A" w:rsidRPr="00201A9A">
        <w:rPr>
          <w:noProof/>
        </w:rPr>
        <w:t xml:space="preserve"> w prz</w:t>
      </w:r>
      <w:r w:rsidRPr="00201A9A">
        <w:rPr>
          <w:noProof/>
        </w:rPr>
        <w:t>ypadku niezgodności</w:t>
      </w:r>
      <w:r w:rsidR="00201A9A" w:rsidRPr="00201A9A">
        <w:rPr>
          <w:noProof/>
        </w:rPr>
        <w:t xml:space="preserve"> z wym</w:t>
      </w:r>
      <w:r w:rsidRPr="00201A9A">
        <w:rPr>
          <w:noProof/>
        </w:rPr>
        <w:t>ogami dotyczącymi odpowiedzialnego prowadzenia gospodarstwa,</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 rozporządzenia XX [</w:t>
      </w:r>
      <w:r w:rsidRPr="00201A9A">
        <w:rPr>
          <w:i/>
          <w:noProof/>
        </w:rPr>
        <w:t>WPR, odpowiedzialne prowadzenie gospodarstwa</w:t>
      </w:r>
      <w:r w:rsidRPr="00201A9A">
        <w:rPr>
          <w:noProof/>
        </w:rPr>
        <w:t>],</w:t>
      </w:r>
      <w:r w:rsidR="00201A9A" w:rsidRPr="00201A9A">
        <w:rPr>
          <w:noProof/>
        </w:rPr>
        <w:t xml:space="preserve"> w prz</w:t>
      </w:r>
      <w:r w:rsidRPr="00201A9A">
        <w:rPr>
          <w:noProof/>
        </w:rPr>
        <w:t>ypadku gdy niezgodność ta jest wynikiem działania lub zaniechania, które można bezpośrednio przypisać danemu beneficjentowi, oraz</w:t>
      </w:r>
      <w:r w:rsidR="00201A9A" w:rsidRPr="00201A9A">
        <w:rPr>
          <w:noProof/>
        </w:rPr>
        <w:t xml:space="preserve"> w prz</w:t>
      </w:r>
      <w:r w:rsidRPr="00201A9A">
        <w:rPr>
          <w:noProof/>
        </w:rPr>
        <w:t>ypadku gdy spełniony jest co najmniej jeden</w:t>
      </w:r>
      <w:r w:rsidR="00201A9A" w:rsidRPr="00201A9A">
        <w:rPr>
          <w:noProof/>
        </w:rPr>
        <w:t xml:space="preserve"> z nas</w:t>
      </w:r>
      <w:r w:rsidRPr="00201A9A">
        <w:rPr>
          <w:noProof/>
        </w:rPr>
        <w:t xml:space="preserve">tępujących warunków: </w:t>
      </w:r>
    </w:p>
    <w:p w14:paraId="68E742E1" w14:textId="3D1A1511" w:rsidR="00256F20" w:rsidRPr="00201A9A" w:rsidDel="006D017F" w:rsidRDefault="00201A9A" w:rsidP="00201A9A">
      <w:pPr>
        <w:pStyle w:val="Point1"/>
        <w:rPr>
          <w:noProof/>
        </w:rPr>
      </w:pPr>
      <w:r w:rsidRPr="00201A9A">
        <w:rPr>
          <w:noProof/>
        </w:rPr>
        <w:t>a)</w:t>
      </w:r>
      <w:r w:rsidRPr="00201A9A">
        <w:rPr>
          <w:noProof/>
        </w:rPr>
        <w:tab/>
      </w:r>
      <w:r w:rsidR="00256F20" w:rsidRPr="00201A9A">
        <w:rPr>
          <w:noProof/>
        </w:rPr>
        <w:t>niezgodność związana jest</w:t>
      </w:r>
      <w:r w:rsidRPr="00201A9A">
        <w:rPr>
          <w:noProof/>
        </w:rPr>
        <w:t xml:space="preserve"> z dzi</w:t>
      </w:r>
      <w:r w:rsidR="00256F20" w:rsidRPr="00201A9A">
        <w:rPr>
          <w:noProof/>
        </w:rPr>
        <w:t>ałalnością rolniczą beneficjenta określoną przez państwa członkowskie</w:t>
      </w:r>
      <w:r w:rsidRPr="00201A9A">
        <w:rPr>
          <w:noProof/>
        </w:rPr>
        <w:t xml:space="preserve"> w ich</w:t>
      </w:r>
      <w:r w:rsidR="00256F20" w:rsidRPr="00201A9A">
        <w:rPr>
          <w:noProof/>
        </w:rPr>
        <w:t xml:space="preserve"> planach PKR zgodnie</w:t>
      </w:r>
      <w:r w:rsidRPr="00201A9A">
        <w:rPr>
          <w:noProof/>
        </w:rPr>
        <w:t xml:space="preserve"> z art</w:t>
      </w:r>
      <w:r w:rsidR="00256F20" w:rsidRPr="00201A9A">
        <w:rPr>
          <w:noProof/>
        </w:rPr>
        <w:t>.</w:t>
      </w:r>
      <w:r w:rsidRPr="00201A9A">
        <w:rPr>
          <w:noProof/>
        </w:rPr>
        <w:t> </w:t>
      </w:r>
      <w:r w:rsidR="00256F20" w:rsidRPr="00201A9A">
        <w:rPr>
          <w:noProof/>
        </w:rPr>
        <w:t>4 pkt</w:t>
      </w:r>
      <w:r w:rsidRPr="00201A9A">
        <w:rPr>
          <w:noProof/>
        </w:rPr>
        <w:t> </w:t>
      </w:r>
      <w:r w:rsidR="00256F20" w:rsidRPr="00201A9A">
        <w:rPr>
          <w:noProof/>
        </w:rPr>
        <w:t>21 lit.</w:t>
      </w:r>
      <w:r w:rsidRPr="00201A9A">
        <w:rPr>
          <w:noProof/>
        </w:rPr>
        <w:t> </w:t>
      </w:r>
      <w:r w:rsidR="00256F20" w:rsidRPr="00201A9A">
        <w:rPr>
          <w:noProof/>
        </w:rPr>
        <w:t>a) [</w:t>
      </w:r>
      <w:r w:rsidR="00256F20" w:rsidRPr="00201A9A">
        <w:rPr>
          <w:i/>
          <w:noProof/>
        </w:rPr>
        <w:t>ramowa definicja działalności rolniczej</w:t>
      </w:r>
      <w:r w:rsidR="00256F20" w:rsidRPr="00201A9A">
        <w:rPr>
          <w:noProof/>
        </w:rPr>
        <w:t xml:space="preserve">]; </w:t>
      </w:r>
    </w:p>
    <w:p w14:paraId="0AFD922D" w14:textId="1FE40924" w:rsidR="00256F20" w:rsidRPr="00201A9A" w:rsidDel="006D017F" w:rsidRDefault="00201A9A" w:rsidP="00201A9A">
      <w:pPr>
        <w:pStyle w:val="Point1"/>
        <w:rPr>
          <w:noProof/>
        </w:rPr>
      </w:pPr>
      <w:r w:rsidRPr="00201A9A">
        <w:rPr>
          <w:noProof/>
        </w:rPr>
        <w:t>b)</w:t>
      </w:r>
      <w:r w:rsidRPr="00201A9A">
        <w:rPr>
          <w:noProof/>
        </w:rPr>
        <w:tab/>
      </w:r>
      <w:r w:rsidR="00256F20" w:rsidRPr="00201A9A">
        <w:rPr>
          <w:noProof/>
        </w:rPr>
        <w:t>niezgodność dotyczy gospodarstwa</w:t>
      </w:r>
      <w:r w:rsidRPr="00201A9A">
        <w:rPr>
          <w:noProof/>
        </w:rPr>
        <w:t xml:space="preserve"> w roz</w:t>
      </w:r>
      <w:r w:rsidR="00256F20" w:rsidRPr="00201A9A">
        <w:rPr>
          <w:noProof/>
        </w:rPr>
        <w:t>umieniu art.</w:t>
      </w:r>
      <w:r w:rsidRPr="00201A9A">
        <w:rPr>
          <w:noProof/>
        </w:rPr>
        <w:t> </w:t>
      </w:r>
      <w:r w:rsidR="00256F20" w:rsidRPr="00201A9A">
        <w:rPr>
          <w:noProof/>
        </w:rPr>
        <w:t>4 pkt</w:t>
      </w:r>
      <w:r w:rsidRPr="00201A9A">
        <w:rPr>
          <w:noProof/>
        </w:rPr>
        <w:t> </w:t>
      </w:r>
      <w:r w:rsidR="00256F20" w:rsidRPr="00201A9A">
        <w:rPr>
          <w:noProof/>
        </w:rPr>
        <w:t>15 [</w:t>
      </w:r>
      <w:r w:rsidR="00256F20" w:rsidRPr="00201A9A">
        <w:rPr>
          <w:i/>
          <w:noProof/>
        </w:rPr>
        <w:t>definicja gospodarstwa</w:t>
      </w:r>
      <w:r w:rsidR="00256F20" w:rsidRPr="00201A9A">
        <w:rPr>
          <w:noProof/>
        </w:rPr>
        <w:t>] lub innych zarządzanych przez danego beneficjenta obszarów znajdujących się na terytorium tego samego państwa członkowskiego.</w:t>
      </w:r>
    </w:p>
    <w:p w14:paraId="3CDD730F" w14:textId="40CA88C7" w:rsidR="00256F20" w:rsidRPr="00201A9A" w:rsidDel="006D017F" w:rsidRDefault="00256F20" w:rsidP="00F46499">
      <w:pPr>
        <w:pStyle w:val="Text1"/>
        <w:rPr>
          <w:noProof/>
        </w:rPr>
      </w:pPr>
      <w:r w:rsidRPr="00201A9A">
        <w:rPr>
          <w:noProof/>
        </w:rPr>
        <w:t>Jeżeli jednak niezgodność dotyczy obszarów leśnych, nie stosuje się kar,</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5, jeżeli</w:t>
      </w:r>
      <w:r w:rsidR="00201A9A" w:rsidRPr="00201A9A">
        <w:rPr>
          <w:noProof/>
        </w:rPr>
        <w:t xml:space="preserve"> w odn</w:t>
      </w:r>
      <w:r w:rsidRPr="00201A9A">
        <w:rPr>
          <w:noProof/>
        </w:rPr>
        <w:t>iesieniu do danego obszaru nie wystąpiono</w:t>
      </w:r>
      <w:r w:rsidR="00201A9A" w:rsidRPr="00201A9A">
        <w:rPr>
          <w:noProof/>
        </w:rPr>
        <w:t xml:space="preserve"> o wsp</w:t>
      </w:r>
      <w:r w:rsidRPr="00201A9A">
        <w:rPr>
          <w:noProof/>
        </w:rPr>
        <w:t>arcie.</w:t>
      </w:r>
    </w:p>
    <w:p w14:paraId="1693CE75" w14:textId="6F1E0929" w:rsidR="00256F20" w:rsidRPr="00201A9A" w:rsidRDefault="00256F20" w:rsidP="003E2902">
      <w:pPr>
        <w:pStyle w:val="NumPar10000000"/>
        <w:numPr>
          <w:ilvl w:val="0"/>
          <w:numId w:val="95"/>
        </w:numPr>
        <w:rPr>
          <w:noProof/>
        </w:rPr>
      </w:pPr>
      <w:r w:rsidRPr="00201A9A">
        <w:rPr>
          <w:noProof/>
        </w:rPr>
        <w:t>Państwa członkowskie ustanawiają system kar administracyjnych mających zastosowanie do beneficjentów,</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4, którzy nie przestrzegają</w:t>
      </w:r>
      <w:r w:rsidR="00201A9A" w:rsidRPr="00201A9A">
        <w:rPr>
          <w:noProof/>
        </w:rPr>
        <w:t xml:space="preserve"> w dow</w:t>
      </w:r>
      <w:r w:rsidRPr="00201A9A">
        <w:rPr>
          <w:noProof/>
        </w:rPr>
        <w:t>olnym momencie</w:t>
      </w:r>
      <w:r w:rsidR="00201A9A" w:rsidRPr="00201A9A">
        <w:rPr>
          <w:noProof/>
        </w:rPr>
        <w:t xml:space="preserve"> w dan</w:t>
      </w:r>
      <w:r w:rsidRPr="00201A9A">
        <w:rPr>
          <w:noProof/>
        </w:rPr>
        <w:t>ym roku kalendarzowym wymogów dotyczących odpowiedzialnego prowadzenia gospodarstwa.</w:t>
      </w:r>
    </w:p>
    <w:p w14:paraId="3F642756" w14:textId="025ED4C7" w:rsidR="00256F20" w:rsidRPr="00201A9A" w:rsidRDefault="00465B34" w:rsidP="00F46499">
      <w:pPr>
        <w:pStyle w:val="Text1"/>
        <w:rPr>
          <w:noProof/>
        </w:rPr>
      </w:pPr>
      <w:r w:rsidRPr="00201A9A">
        <w:rPr>
          <w:noProof/>
        </w:rPr>
        <w:t>Kary polegają na zmniejszeniu lub wyłączeniu</w:t>
      </w:r>
      <w:r w:rsidR="00201A9A" w:rsidRPr="00201A9A">
        <w:rPr>
          <w:noProof/>
        </w:rPr>
        <w:t xml:space="preserve"> z cał</w:t>
      </w:r>
      <w:r w:rsidRPr="00201A9A">
        <w:rPr>
          <w:noProof/>
        </w:rPr>
        <w:t>kowitej kwoty płatności</w:t>
      </w:r>
      <w:r w:rsidR="00201A9A" w:rsidRPr="00201A9A">
        <w:rPr>
          <w:noProof/>
        </w:rPr>
        <w:t xml:space="preserve"> w ram</w:t>
      </w:r>
      <w:r w:rsidRPr="00201A9A">
        <w:rPr>
          <w:noProof/>
        </w:rPr>
        <w:t>ach środków wymienionych</w:t>
      </w:r>
      <w:r w:rsidR="00201A9A" w:rsidRPr="00201A9A">
        <w:rPr>
          <w:noProof/>
        </w:rPr>
        <w:t xml:space="preserve"> w art</w:t>
      </w:r>
      <w:r w:rsidRPr="00201A9A">
        <w:rPr>
          <w:noProof/>
        </w:rPr>
        <w:t>.</w:t>
      </w:r>
      <w:r w:rsidR="00201A9A" w:rsidRPr="00201A9A">
        <w:rPr>
          <w:noProof/>
        </w:rPr>
        <w:t> </w:t>
      </w:r>
      <w:r w:rsidRPr="00201A9A">
        <w:rPr>
          <w:noProof/>
        </w:rPr>
        <w:t>35 ust.</w:t>
      </w:r>
      <w:r w:rsidR="00201A9A" w:rsidRPr="00201A9A">
        <w:rPr>
          <w:noProof/>
        </w:rPr>
        <w:t> </w:t>
      </w:r>
      <w:r w:rsidRPr="00201A9A">
        <w:rPr>
          <w:noProof/>
        </w:rPr>
        <w:t>1 lit.</w:t>
      </w:r>
      <w:r w:rsidR="00201A9A" w:rsidRPr="00201A9A">
        <w:rPr>
          <w:noProof/>
        </w:rPr>
        <w:t> </w:t>
      </w:r>
      <w:r w:rsidRPr="00201A9A">
        <w:rPr>
          <w:noProof/>
        </w:rPr>
        <w:t>a)–f) oraz o) i p) rozporządzenia (UE) 202X/XXXX [rozporządzenie</w:t>
      </w:r>
      <w:r w:rsidR="00201A9A" w:rsidRPr="00201A9A">
        <w:rPr>
          <w:noProof/>
        </w:rPr>
        <w:t xml:space="preserve"> w spr</w:t>
      </w:r>
      <w:r w:rsidRPr="00201A9A">
        <w:rPr>
          <w:noProof/>
        </w:rPr>
        <w:t>awie WPR]</w:t>
      </w:r>
      <w:r w:rsidR="00201A9A" w:rsidRPr="00201A9A">
        <w:rPr>
          <w:noProof/>
        </w:rPr>
        <w:t xml:space="preserve"> w zak</w:t>
      </w:r>
      <w:r w:rsidRPr="00201A9A">
        <w:rPr>
          <w:noProof/>
        </w:rPr>
        <w:t>resie,</w:t>
      </w:r>
      <w:r w:rsidR="00201A9A" w:rsidRPr="00201A9A">
        <w:rPr>
          <w:noProof/>
        </w:rPr>
        <w:t xml:space="preserve"> w jak</w:t>
      </w:r>
      <w:r w:rsidRPr="00201A9A">
        <w:rPr>
          <w:noProof/>
        </w:rPr>
        <w:t>im dotyczą one wsparcia na rzecz lokalnych produktów rolnych, które to płatności zostały lub mają zostać przyznane danemu beneficjentowi</w:t>
      </w:r>
      <w:r w:rsidR="00201A9A" w:rsidRPr="00201A9A">
        <w:rPr>
          <w:noProof/>
        </w:rPr>
        <w:t xml:space="preserve"> w odn</w:t>
      </w:r>
      <w:r w:rsidRPr="00201A9A">
        <w:rPr>
          <w:noProof/>
        </w:rPr>
        <w:t>iesieniu do wniosków</w:t>
      </w:r>
      <w:r w:rsidR="00201A9A" w:rsidRPr="00201A9A">
        <w:rPr>
          <w:noProof/>
        </w:rPr>
        <w:t xml:space="preserve"> o prz</w:t>
      </w:r>
      <w:r w:rsidRPr="00201A9A">
        <w:rPr>
          <w:noProof/>
        </w:rPr>
        <w:t>yznanie pomocy, które ten beneficjent złożył lub złoży</w:t>
      </w:r>
      <w:r w:rsidR="00201A9A" w:rsidRPr="00201A9A">
        <w:rPr>
          <w:noProof/>
        </w:rPr>
        <w:t xml:space="preserve"> w rok</w:t>
      </w:r>
      <w:r w:rsidRPr="00201A9A">
        <w:rPr>
          <w:noProof/>
        </w:rPr>
        <w:t>u kalendarzowym,</w:t>
      </w:r>
      <w:r w:rsidR="00201A9A" w:rsidRPr="00201A9A">
        <w:rPr>
          <w:noProof/>
        </w:rPr>
        <w:t xml:space="preserve"> w któ</w:t>
      </w:r>
      <w:r w:rsidRPr="00201A9A">
        <w:rPr>
          <w:noProof/>
        </w:rPr>
        <w:t>rym stwierdzono niezgodność. Kary oblicza się na podstawie płatności, które zostały lub mają zostać przyznane</w:t>
      </w:r>
      <w:r w:rsidR="00201A9A" w:rsidRPr="00201A9A">
        <w:rPr>
          <w:noProof/>
        </w:rPr>
        <w:t xml:space="preserve"> w rok</w:t>
      </w:r>
      <w:r w:rsidRPr="00201A9A">
        <w:rPr>
          <w:noProof/>
        </w:rPr>
        <w:t>u kalendarzowym,</w:t>
      </w:r>
      <w:r w:rsidR="00201A9A" w:rsidRPr="00201A9A">
        <w:rPr>
          <w:noProof/>
        </w:rPr>
        <w:t xml:space="preserve"> w któ</w:t>
      </w:r>
      <w:r w:rsidRPr="00201A9A">
        <w:rPr>
          <w:noProof/>
        </w:rPr>
        <w:t>rym wystąpiła niezgodność. Niemniej jednak, gdy niemożliwe jest określenie roku kalendarzowego,</w:t>
      </w:r>
      <w:r w:rsidR="00201A9A" w:rsidRPr="00201A9A">
        <w:rPr>
          <w:noProof/>
        </w:rPr>
        <w:t xml:space="preserve"> w któ</w:t>
      </w:r>
      <w:r w:rsidRPr="00201A9A">
        <w:rPr>
          <w:noProof/>
        </w:rPr>
        <w:t>rym wystąpiła niezgodność, zmniejszenia lub wyłączenia są obliczane na podstawie płatności, które zostały lub mają zostać przyznane</w:t>
      </w:r>
      <w:r w:rsidR="00201A9A" w:rsidRPr="00201A9A">
        <w:rPr>
          <w:noProof/>
        </w:rPr>
        <w:t xml:space="preserve"> w rok</w:t>
      </w:r>
      <w:r w:rsidRPr="00201A9A">
        <w:rPr>
          <w:noProof/>
        </w:rPr>
        <w:t>u kalendarzowym,</w:t>
      </w:r>
      <w:r w:rsidR="00201A9A" w:rsidRPr="00201A9A">
        <w:rPr>
          <w:noProof/>
        </w:rPr>
        <w:t xml:space="preserve"> w któ</w:t>
      </w:r>
      <w:r w:rsidRPr="00201A9A">
        <w:rPr>
          <w:noProof/>
        </w:rPr>
        <w:t xml:space="preserve">rym niezgodność stwierdzono. </w:t>
      </w:r>
    </w:p>
    <w:p w14:paraId="0045D700" w14:textId="23D33FC1" w:rsidR="00256F20" w:rsidRPr="00201A9A" w:rsidRDefault="00465B34" w:rsidP="00F46499">
      <w:pPr>
        <w:pStyle w:val="Text1"/>
        <w:rPr>
          <w:noProof/>
        </w:rPr>
      </w:pPr>
      <w:r w:rsidRPr="00201A9A">
        <w:rPr>
          <w:noProof/>
        </w:rPr>
        <w:t>W celu obliczenia tych kar uwzględnia się wagę, skalę, trwały charakter lub powtarzalność stwierdzonej niezgodności oraz czy miała ona charakter umyślny, zgodnie</w:t>
      </w:r>
      <w:r w:rsidR="00201A9A" w:rsidRPr="00201A9A">
        <w:rPr>
          <w:noProof/>
        </w:rPr>
        <w:t xml:space="preserve"> z oce</w:t>
      </w:r>
      <w:r w:rsidRPr="00201A9A">
        <w:rPr>
          <w:noProof/>
        </w:rPr>
        <w:t>ną,</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3. Przy obliczaniu kar,</w:t>
      </w:r>
      <w:r w:rsidR="00201A9A" w:rsidRPr="00201A9A">
        <w:rPr>
          <w:noProof/>
        </w:rPr>
        <w:t xml:space="preserve"> o któ</w:t>
      </w:r>
      <w:r w:rsidRPr="00201A9A">
        <w:rPr>
          <w:noProof/>
        </w:rPr>
        <w:t>rych mowa</w:t>
      </w:r>
      <w:r w:rsidR="00201A9A" w:rsidRPr="00201A9A">
        <w:rPr>
          <w:noProof/>
        </w:rPr>
        <w:t xml:space="preserve"> w aka</w:t>
      </w:r>
      <w:r w:rsidRPr="00201A9A">
        <w:rPr>
          <w:noProof/>
        </w:rPr>
        <w:t>picie pierwszym, uwzględnia się karę nałożoną zgodnie</w:t>
      </w:r>
      <w:r w:rsidR="00201A9A" w:rsidRPr="00201A9A">
        <w:rPr>
          <w:noProof/>
        </w:rPr>
        <w:t xml:space="preserve"> z prz</w:t>
      </w:r>
      <w:r w:rsidRPr="00201A9A">
        <w:rPr>
          <w:noProof/>
        </w:rPr>
        <w:t>episami krajowymi wdrażającymi akty prawne wymienione</w:t>
      </w:r>
      <w:r w:rsidR="00201A9A" w:rsidRPr="00201A9A">
        <w:rPr>
          <w:noProof/>
        </w:rPr>
        <w:t xml:space="preserve"> w czę</w:t>
      </w:r>
      <w:r w:rsidRPr="00201A9A">
        <w:rPr>
          <w:noProof/>
        </w:rPr>
        <w:t>ściach A i B załącznika I do rozporządzenia XX [WPR] za to samo działanie lub zaniechanie ze strony rolnika lub innego beneficjenta.</w:t>
      </w:r>
      <w:r w:rsidR="00201A9A" w:rsidRPr="00201A9A">
        <w:rPr>
          <w:noProof/>
        </w:rPr>
        <w:t xml:space="preserve"> </w:t>
      </w:r>
    </w:p>
    <w:p w14:paraId="1255DCCA" w14:textId="620C3D9D" w:rsidR="00256F20" w:rsidRPr="00201A9A" w:rsidRDefault="00465B34" w:rsidP="00F46499">
      <w:pPr>
        <w:pStyle w:val="Text1"/>
        <w:rPr>
          <w:noProof/>
        </w:rPr>
      </w:pPr>
      <w:r w:rsidRPr="00201A9A">
        <w:rPr>
          <w:noProof/>
        </w:rPr>
        <w:t>Wydatki, które zostały zmniejszone</w:t>
      </w:r>
      <w:r w:rsidR="00201A9A" w:rsidRPr="00201A9A">
        <w:rPr>
          <w:noProof/>
        </w:rPr>
        <w:t xml:space="preserve"> w wyn</w:t>
      </w:r>
      <w:r w:rsidRPr="00201A9A">
        <w:rPr>
          <w:noProof/>
        </w:rPr>
        <w:t>iku zastosowania kary, uznaje się za zgodne</w:t>
      </w:r>
      <w:r w:rsidR="00201A9A" w:rsidRPr="00201A9A">
        <w:rPr>
          <w:noProof/>
        </w:rPr>
        <w:t xml:space="preserve"> z pra</w:t>
      </w:r>
      <w:r w:rsidRPr="00201A9A">
        <w:rPr>
          <w:noProof/>
        </w:rPr>
        <w:t>wem</w:t>
      </w:r>
      <w:r w:rsidR="00201A9A" w:rsidRPr="00201A9A">
        <w:rPr>
          <w:noProof/>
        </w:rPr>
        <w:t xml:space="preserve"> i pra</w:t>
      </w:r>
      <w:r w:rsidRPr="00201A9A">
        <w:rPr>
          <w:noProof/>
        </w:rPr>
        <w:t>widłowe. Zmniejszenie wynosi co do zasady 3</w:t>
      </w:r>
      <w:r w:rsidR="00201A9A" w:rsidRPr="00201A9A">
        <w:rPr>
          <w:noProof/>
        </w:rPr>
        <w:t> </w:t>
      </w:r>
      <w:r w:rsidRPr="00201A9A">
        <w:rPr>
          <w:noProof/>
        </w:rPr>
        <w:t>% całkowitej kwoty płatności</w:t>
      </w:r>
      <w:r w:rsidR="00201A9A" w:rsidRPr="00201A9A">
        <w:rPr>
          <w:noProof/>
        </w:rPr>
        <w:t>. W prz</w:t>
      </w:r>
      <w:r w:rsidRPr="00201A9A">
        <w:rPr>
          <w:noProof/>
        </w:rPr>
        <w:t>ypadku umyślnej niezgodności zmniejszenie wynosi co najmniej 15</w:t>
      </w:r>
      <w:r w:rsidR="00201A9A" w:rsidRPr="00201A9A">
        <w:rPr>
          <w:noProof/>
        </w:rPr>
        <w:t> </w:t>
      </w:r>
      <w:r w:rsidRPr="00201A9A">
        <w:rPr>
          <w:noProof/>
        </w:rPr>
        <w:t>% kwoty tych płatności.</w:t>
      </w:r>
    </w:p>
    <w:p w14:paraId="0303F74C" w14:textId="76737D2D" w:rsidR="009020DC" w:rsidRPr="00201A9A" w:rsidRDefault="009020DC" w:rsidP="009020DC">
      <w:pPr>
        <w:pStyle w:val="Text1"/>
        <w:rPr>
          <w:rFonts w:eastAsia="Times New Roman"/>
          <w:noProof/>
        </w:rPr>
      </w:pPr>
      <w:r w:rsidRPr="00201A9A">
        <w:rPr>
          <w:noProof/>
        </w:rPr>
        <w:t>Państwa członkowskie przewidują, że kary administracyjnej nie nakłada się</w:t>
      </w:r>
      <w:r w:rsidR="00201A9A" w:rsidRPr="00201A9A">
        <w:rPr>
          <w:noProof/>
        </w:rPr>
        <w:t xml:space="preserve"> w prz</w:t>
      </w:r>
      <w:r w:rsidRPr="00201A9A">
        <w:rPr>
          <w:noProof/>
        </w:rPr>
        <w:t>ypadkach gdy:</w:t>
      </w:r>
    </w:p>
    <w:p w14:paraId="4A32CC26" w14:textId="5F3AF5E7" w:rsidR="009020DC" w:rsidRPr="00201A9A" w:rsidRDefault="00201A9A" w:rsidP="00201A9A">
      <w:pPr>
        <w:pStyle w:val="Point1"/>
        <w:rPr>
          <w:noProof/>
        </w:rPr>
      </w:pPr>
      <w:r w:rsidRPr="00201A9A">
        <w:rPr>
          <w:noProof/>
        </w:rPr>
        <w:t>a)</w:t>
      </w:r>
      <w:r w:rsidRPr="00201A9A">
        <w:rPr>
          <w:noProof/>
        </w:rPr>
        <w:tab/>
      </w:r>
      <w:r w:rsidR="009020DC" w:rsidRPr="00201A9A">
        <w:rPr>
          <w:noProof/>
        </w:rPr>
        <w:t>niezgodność jest wynikiem działania siły wyższej lub nadzwyczajnych okoliczności;</w:t>
      </w:r>
    </w:p>
    <w:p w14:paraId="19CE99EB" w14:textId="3B60F9CA" w:rsidR="009020DC" w:rsidRPr="00201A9A" w:rsidRDefault="00201A9A" w:rsidP="00201A9A">
      <w:pPr>
        <w:pStyle w:val="Point1"/>
        <w:rPr>
          <w:noProof/>
        </w:rPr>
      </w:pPr>
      <w:r w:rsidRPr="00201A9A">
        <w:rPr>
          <w:noProof/>
        </w:rPr>
        <w:t>b)</w:t>
      </w:r>
      <w:r w:rsidRPr="00201A9A">
        <w:rPr>
          <w:noProof/>
        </w:rPr>
        <w:tab/>
      </w:r>
      <w:r w:rsidR="009020DC" w:rsidRPr="00201A9A">
        <w:rPr>
          <w:noProof/>
        </w:rPr>
        <w:t>niezgodność jest wynikiem nakazu wydanego przez organ publiczny.</w:t>
      </w:r>
    </w:p>
    <w:p w14:paraId="25F38D56" w14:textId="0EDC25B8" w:rsidR="00256F20" w:rsidRPr="00201A9A" w:rsidRDefault="00256F20" w:rsidP="003E2902">
      <w:pPr>
        <w:pStyle w:val="NumPar10000000"/>
        <w:numPr>
          <w:ilvl w:val="0"/>
          <w:numId w:val="95"/>
        </w:numPr>
        <w:rPr>
          <w:noProof/>
        </w:rPr>
      </w:pPr>
      <w:r w:rsidRPr="00201A9A">
        <w:rPr>
          <w:noProof/>
        </w:rPr>
        <w:t>W przypadku niezgodności</w:t>
      </w:r>
      <w:r w:rsidR="00201A9A" w:rsidRPr="00201A9A">
        <w:rPr>
          <w:noProof/>
        </w:rPr>
        <w:t xml:space="preserve"> z art</w:t>
      </w:r>
      <w:r w:rsidRPr="00201A9A">
        <w:rPr>
          <w:noProof/>
        </w:rPr>
        <w:t>. XX rozporządzenia (UE) XX [wspólna polityka rybołówstwa] wsparcie wypłacone beneficjentowi podlega odzyskaniu,</w:t>
      </w:r>
      <w:r w:rsidR="00201A9A" w:rsidRPr="00201A9A">
        <w:rPr>
          <w:noProof/>
        </w:rPr>
        <w:t xml:space="preserve"> a wni</w:t>
      </w:r>
      <w:r w:rsidRPr="00201A9A">
        <w:rPr>
          <w:noProof/>
        </w:rPr>
        <w:t>osek</w:t>
      </w:r>
      <w:r w:rsidR="00201A9A" w:rsidRPr="00201A9A">
        <w:rPr>
          <w:noProof/>
        </w:rPr>
        <w:t xml:space="preserve"> o wsp</w:t>
      </w:r>
      <w:r w:rsidRPr="00201A9A">
        <w:rPr>
          <w:noProof/>
        </w:rPr>
        <w:t>arcie złożony przez beneficjenta jest niedopuszczalny przez określony okres ustalony na podstawie ust.</w:t>
      </w:r>
      <w:r w:rsidR="00201A9A" w:rsidRPr="00201A9A">
        <w:rPr>
          <w:noProof/>
        </w:rPr>
        <w:t> </w:t>
      </w:r>
      <w:r w:rsidRPr="00201A9A">
        <w:rPr>
          <w:noProof/>
        </w:rPr>
        <w:t>8 niniejszego artykułu, jeżeli właściwy organ stwierdził</w:t>
      </w:r>
      <w:r w:rsidR="00201A9A" w:rsidRPr="00201A9A">
        <w:rPr>
          <w:noProof/>
        </w:rPr>
        <w:t xml:space="preserve"> w dro</w:t>
      </w:r>
      <w:r w:rsidRPr="00201A9A">
        <w:rPr>
          <w:noProof/>
        </w:rPr>
        <w:t>dze ostatecznej decyzji, że beneficjent ten dopuścił się nadużycia finansowego.</w:t>
      </w:r>
    </w:p>
    <w:p w14:paraId="0B81E23B" w14:textId="2893718D" w:rsidR="00BF3DCB" w:rsidRPr="00201A9A" w:rsidRDefault="006261A0" w:rsidP="003E2902">
      <w:pPr>
        <w:pStyle w:val="NumPar10000000"/>
        <w:numPr>
          <w:ilvl w:val="0"/>
          <w:numId w:val="95"/>
        </w:numPr>
        <w:rPr>
          <w:noProof/>
        </w:rPr>
      </w:pPr>
      <w:r w:rsidRPr="00201A9A">
        <w:rPr>
          <w:noProof/>
        </w:rPr>
        <w:t>Jeżeli</w:t>
      </w:r>
      <w:r w:rsidR="00201A9A" w:rsidRPr="00201A9A">
        <w:rPr>
          <w:noProof/>
        </w:rPr>
        <w:t xml:space="preserve"> w okr</w:t>
      </w:r>
      <w:r w:rsidRPr="00201A9A">
        <w:rPr>
          <w:noProof/>
        </w:rPr>
        <w:t>esie od złożenia wniosku do momentu upływu pięciu lat od ostatniej płatności wystąpi przypadek,</w:t>
      </w:r>
      <w:r w:rsidR="00201A9A" w:rsidRPr="00201A9A">
        <w:rPr>
          <w:noProof/>
        </w:rPr>
        <w:t xml:space="preserve"> o któ</w:t>
      </w:r>
      <w:r w:rsidRPr="00201A9A">
        <w:rPr>
          <w:noProof/>
        </w:rPr>
        <w:t>rym mowa</w:t>
      </w:r>
      <w:r w:rsidR="00201A9A" w:rsidRPr="00201A9A">
        <w:rPr>
          <w:noProof/>
        </w:rPr>
        <w:t xml:space="preserve"> w art</w:t>
      </w:r>
      <w:r w:rsidRPr="00201A9A">
        <w:rPr>
          <w:noProof/>
        </w:rPr>
        <w:t>. XX rozporządzenia (UE) XX [wspólna polityka rybołówstwa], wsparcie wypłacone beneficjentowi podlega odzyskaniu. Odzyskanie jest proporcjonalne do charakteru, wagi, czasu trwania</w:t>
      </w:r>
      <w:r w:rsidR="00201A9A" w:rsidRPr="00201A9A">
        <w:rPr>
          <w:noProof/>
        </w:rPr>
        <w:t xml:space="preserve"> i pow</w:t>
      </w:r>
      <w:r w:rsidRPr="00201A9A">
        <w:rPr>
          <w:noProof/>
        </w:rPr>
        <w:t>tarzalności poważnych naruszeń lub przestępstw popełnionych przez danego beneficjenta oraz do znaczenia wsparcia dla działalności gospodarczej tego beneficjenta.</w:t>
      </w:r>
    </w:p>
    <w:p w14:paraId="10D09793" w14:textId="3E603E40" w:rsidR="00256F20" w:rsidRPr="00201A9A" w:rsidRDefault="00256F20" w:rsidP="003E2902">
      <w:pPr>
        <w:pStyle w:val="NumPar10000000"/>
        <w:numPr>
          <w:ilvl w:val="0"/>
          <w:numId w:val="95"/>
        </w:numPr>
        <w:rPr>
          <w:noProof/>
        </w:rPr>
      </w:pPr>
      <w:r w:rsidRPr="00201A9A">
        <w:rPr>
          <w:noProof/>
        </w:rPr>
        <w:t>W celu zapewnienia równych warunków działania</w:t>
      </w:r>
      <w:r w:rsidR="00201A9A" w:rsidRPr="00201A9A">
        <w:rPr>
          <w:noProof/>
        </w:rPr>
        <w:t xml:space="preserve"> w pań</w:t>
      </w:r>
      <w:r w:rsidRPr="00201A9A">
        <w:rPr>
          <w:noProof/>
        </w:rPr>
        <w:t>stwach członkowskich oraz skuteczności, proporcjonalności</w:t>
      </w:r>
      <w:r w:rsidR="00201A9A" w:rsidRPr="00201A9A">
        <w:rPr>
          <w:noProof/>
        </w:rPr>
        <w:t xml:space="preserve"> i ods</w:t>
      </w:r>
      <w:r w:rsidRPr="00201A9A">
        <w:rPr>
          <w:noProof/>
        </w:rPr>
        <w:t>traszającego efektu kar,</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5, oraz odzyskiwania środków</w:t>
      </w:r>
      <w:r w:rsidR="00201A9A" w:rsidRPr="00201A9A">
        <w:rPr>
          <w:noProof/>
        </w:rPr>
        <w:t xml:space="preserve"> i nie</w:t>
      </w:r>
      <w:r w:rsidRPr="00201A9A">
        <w:rPr>
          <w:noProof/>
        </w:rPr>
        <w:t>dopuszczalności,</w:t>
      </w:r>
      <w:r w:rsidR="00201A9A" w:rsidRPr="00201A9A">
        <w:rPr>
          <w:noProof/>
        </w:rPr>
        <w:t xml:space="preserve"> o któ</w:t>
      </w:r>
      <w:r w:rsidRPr="00201A9A">
        <w:rPr>
          <w:noProof/>
        </w:rPr>
        <w:t>rych mowa</w:t>
      </w:r>
      <w:r w:rsidR="00201A9A" w:rsidRPr="00201A9A">
        <w:rPr>
          <w:noProof/>
        </w:rPr>
        <w:t xml:space="preserve"> w art</w:t>
      </w:r>
      <w:r w:rsidRPr="00201A9A">
        <w:rPr>
          <w:noProof/>
        </w:rPr>
        <w:t>. XX rozporządzenia (UE) XX [w sprawie wspólnej polityki rybołówstwa] oraz</w:t>
      </w:r>
      <w:r w:rsidR="00201A9A" w:rsidRPr="00201A9A">
        <w:rPr>
          <w:noProof/>
        </w:rPr>
        <w:t xml:space="preserve"> w ust</w:t>
      </w:r>
      <w:r w:rsidRPr="00201A9A">
        <w:rPr>
          <w:noProof/>
        </w:rPr>
        <w:t>.</w:t>
      </w:r>
      <w:r w:rsidR="00201A9A" w:rsidRPr="00201A9A">
        <w:rPr>
          <w:noProof/>
        </w:rPr>
        <w:t> </w:t>
      </w:r>
      <w:r w:rsidRPr="00201A9A">
        <w:rPr>
          <w:noProof/>
        </w:rPr>
        <w:t>6</w:t>
      </w:r>
      <w:r w:rsidR="00201A9A" w:rsidRPr="00201A9A">
        <w:rPr>
          <w:noProof/>
        </w:rPr>
        <w:t xml:space="preserve"> i 7</w:t>
      </w:r>
      <w:r w:rsidRPr="00201A9A">
        <w:rPr>
          <w:noProof/>
        </w:rPr>
        <w:t xml:space="preserve"> niniejszego artykułu, Komisja jest uprawniona do przyjmowania zgodnie</w:t>
      </w:r>
      <w:r w:rsidR="00201A9A" w:rsidRPr="00201A9A">
        <w:rPr>
          <w:noProof/>
        </w:rPr>
        <w:t xml:space="preserve"> z art</w:t>
      </w:r>
      <w:r w:rsidRPr="00201A9A">
        <w:rPr>
          <w:noProof/>
        </w:rPr>
        <w:t>.</w:t>
      </w:r>
      <w:r w:rsidR="00201A9A" w:rsidRPr="00201A9A">
        <w:rPr>
          <w:noProof/>
        </w:rPr>
        <w:t> </w:t>
      </w:r>
      <w:r w:rsidRPr="00201A9A">
        <w:rPr>
          <w:noProof/>
        </w:rPr>
        <w:t>86 aktów delegowanych uzupełniających niniejsze rozporządzenie o:</w:t>
      </w:r>
    </w:p>
    <w:p w14:paraId="2D53A756" w14:textId="65519B99" w:rsidR="00256F20" w:rsidRPr="00201A9A" w:rsidRDefault="00201A9A" w:rsidP="00201A9A">
      <w:pPr>
        <w:pStyle w:val="Point1"/>
        <w:rPr>
          <w:noProof/>
        </w:rPr>
      </w:pPr>
      <w:r w:rsidRPr="00201A9A">
        <w:rPr>
          <w:noProof/>
        </w:rPr>
        <w:t>a)</w:t>
      </w:r>
      <w:r w:rsidRPr="00201A9A">
        <w:rPr>
          <w:noProof/>
        </w:rPr>
        <w:tab/>
      </w:r>
      <w:r w:rsidR="00256F20" w:rsidRPr="00201A9A">
        <w:rPr>
          <w:noProof/>
        </w:rPr>
        <w:t>szczegółowe przepisy dotyczące stosowania</w:t>
      </w:r>
      <w:r w:rsidRPr="00201A9A">
        <w:rPr>
          <w:noProof/>
        </w:rPr>
        <w:t xml:space="preserve"> i obl</w:t>
      </w:r>
      <w:r w:rsidR="00256F20" w:rsidRPr="00201A9A">
        <w:rPr>
          <w:noProof/>
        </w:rPr>
        <w:t>iczania kar;</w:t>
      </w:r>
    </w:p>
    <w:p w14:paraId="7D476C46" w14:textId="055ABF96" w:rsidR="00256F20" w:rsidRPr="00201A9A" w:rsidRDefault="00201A9A" w:rsidP="00201A9A">
      <w:pPr>
        <w:pStyle w:val="Point1"/>
        <w:rPr>
          <w:noProof/>
        </w:rPr>
      </w:pPr>
      <w:r w:rsidRPr="00201A9A">
        <w:rPr>
          <w:noProof/>
        </w:rPr>
        <w:t>b)</w:t>
      </w:r>
      <w:r w:rsidRPr="00201A9A">
        <w:rPr>
          <w:noProof/>
        </w:rPr>
        <w:tab/>
      </w:r>
      <w:r w:rsidR="00256F20" w:rsidRPr="00201A9A">
        <w:rPr>
          <w:noProof/>
        </w:rPr>
        <w:t>określenie progu determinującego niedopuszczalność oraz okresu niedopuszczalności,</w:t>
      </w:r>
      <w:r w:rsidRPr="00201A9A">
        <w:rPr>
          <w:noProof/>
        </w:rPr>
        <w:t xml:space="preserve"> a tak</w:t>
      </w:r>
      <w:r w:rsidR="00256F20" w:rsidRPr="00201A9A">
        <w:rPr>
          <w:noProof/>
        </w:rPr>
        <w:t>że zasad odzyskiwania przyznanego wsparcia,</w:t>
      </w:r>
      <w:r w:rsidRPr="00201A9A">
        <w:rPr>
          <w:noProof/>
        </w:rPr>
        <w:t xml:space="preserve"> w tym</w:t>
      </w:r>
      <w:r w:rsidR="00256F20" w:rsidRPr="00201A9A">
        <w:rPr>
          <w:noProof/>
        </w:rPr>
        <w:t xml:space="preserve"> progów uruchomienia odzyskania. </w:t>
      </w:r>
    </w:p>
    <w:p w14:paraId="3811B80F" w14:textId="2A94B386" w:rsidR="00256F20" w:rsidRPr="00201A9A" w:rsidRDefault="00410938" w:rsidP="00256F20">
      <w:pPr>
        <w:pStyle w:val="Titrearticle"/>
        <w:rPr>
          <w:noProof/>
          <w:color w:val="0000FF"/>
        </w:rPr>
      </w:pPr>
      <w:r w:rsidRPr="00201A9A">
        <w:rPr>
          <w:noProof/>
        </w:rPr>
        <w:t xml:space="preserve">Artykuł 63 </w:t>
      </w:r>
      <w:r w:rsidRPr="00201A9A">
        <w:rPr>
          <w:noProof/>
        </w:rPr>
        <w:br/>
      </w:r>
      <w:r w:rsidRPr="00201A9A">
        <w:rPr>
          <w:b/>
          <w:noProof/>
        </w:rPr>
        <w:t>Gromadzenie</w:t>
      </w:r>
      <w:r w:rsidR="00201A9A" w:rsidRPr="00201A9A">
        <w:rPr>
          <w:b/>
          <w:noProof/>
        </w:rPr>
        <w:t xml:space="preserve"> i rej</w:t>
      </w:r>
      <w:r w:rsidRPr="00201A9A">
        <w:rPr>
          <w:b/>
          <w:noProof/>
        </w:rPr>
        <w:t>estrowanie danych</w:t>
      </w:r>
    </w:p>
    <w:p w14:paraId="1ACEF064" w14:textId="7DFCAC10" w:rsidR="00256F20" w:rsidRPr="00201A9A" w:rsidRDefault="00256F20" w:rsidP="003E2902">
      <w:pPr>
        <w:pStyle w:val="NumPar10000000"/>
        <w:numPr>
          <w:ilvl w:val="0"/>
          <w:numId w:val="96"/>
        </w:numPr>
        <w:rPr>
          <w:noProof/>
        </w:rPr>
      </w:pPr>
      <w:r w:rsidRPr="00201A9A">
        <w:rPr>
          <w:noProof/>
        </w:rPr>
        <w:t>Do celów audytu</w:t>
      </w:r>
      <w:r w:rsidR="00201A9A" w:rsidRPr="00201A9A">
        <w:rPr>
          <w:noProof/>
        </w:rPr>
        <w:t xml:space="preserve"> i kon</w:t>
      </w:r>
      <w:r w:rsidRPr="00201A9A">
        <w:rPr>
          <w:noProof/>
        </w:rPr>
        <w:t>troli, przejrzystości oraz monitorowania</w:t>
      </w:r>
      <w:r w:rsidR="00201A9A" w:rsidRPr="00201A9A">
        <w:rPr>
          <w:noProof/>
        </w:rPr>
        <w:t xml:space="preserve"> i oce</w:t>
      </w:r>
      <w:r w:rsidRPr="00201A9A">
        <w:rPr>
          <w:noProof/>
        </w:rPr>
        <w:t>ny wyników państwa członkowskie gromadzą, rejestrują</w:t>
      </w:r>
      <w:r w:rsidR="00201A9A" w:rsidRPr="00201A9A">
        <w:rPr>
          <w:noProof/>
        </w:rPr>
        <w:t xml:space="preserve"> i prz</w:t>
      </w:r>
      <w:r w:rsidRPr="00201A9A">
        <w:rPr>
          <w:noProof/>
        </w:rPr>
        <w:t>echowują</w:t>
      </w:r>
      <w:r w:rsidR="00201A9A" w:rsidRPr="00201A9A">
        <w:rPr>
          <w:noProof/>
        </w:rPr>
        <w:t xml:space="preserve"> w for</w:t>
      </w:r>
      <w:r w:rsidRPr="00201A9A">
        <w:rPr>
          <w:noProof/>
        </w:rPr>
        <w:t>mie elektronicznej informacje,</w:t>
      </w:r>
      <w:r w:rsidR="00201A9A" w:rsidRPr="00201A9A">
        <w:rPr>
          <w:noProof/>
        </w:rPr>
        <w:t xml:space="preserve"> o któ</w:t>
      </w:r>
      <w:r w:rsidRPr="00201A9A">
        <w:rPr>
          <w:noProof/>
        </w:rPr>
        <w:t>rych mowa</w:t>
      </w:r>
      <w:r w:rsidR="00201A9A" w:rsidRPr="00201A9A">
        <w:rPr>
          <w:noProof/>
        </w:rPr>
        <w:t xml:space="preserve"> w lit</w:t>
      </w:r>
      <w:r w:rsidRPr="00201A9A">
        <w:rPr>
          <w:noProof/>
        </w:rPr>
        <w:t>.</w:t>
      </w:r>
      <w:r w:rsidR="00201A9A" w:rsidRPr="00201A9A">
        <w:rPr>
          <w:noProof/>
        </w:rPr>
        <w:t> </w:t>
      </w:r>
      <w:r w:rsidRPr="00201A9A">
        <w:rPr>
          <w:noProof/>
        </w:rPr>
        <w:t>a)–g), zapewniając jednocześnie bezpieczeństwo, integralność</w:t>
      </w:r>
      <w:r w:rsidR="00201A9A" w:rsidRPr="00201A9A">
        <w:rPr>
          <w:noProof/>
        </w:rPr>
        <w:t xml:space="preserve"> i pou</w:t>
      </w:r>
      <w:r w:rsidRPr="00201A9A">
        <w:rPr>
          <w:noProof/>
        </w:rPr>
        <w:t>fność danych oraz uwierzytelnianie użytkowników,</w:t>
      </w:r>
      <w:r w:rsidR="00201A9A" w:rsidRPr="00201A9A">
        <w:rPr>
          <w:noProof/>
        </w:rPr>
        <w:t xml:space="preserve"> a tak</w:t>
      </w:r>
      <w:r w:rsidRPr="00201A9A">
        <w:rPr>
          <w:noProof/>
        </w:rPr>
        <w:t>że umożliwiając automatyczną wymianę danych</w:t>
      </w:r>
      <w:r w:rsidR="00201A9A" w:rsidRPr="00201A9A">
        <w:rPr>
          <w:noProof/>
        </w:rPr>
        <w:t xml:space="preserve"> z sys</w:t>
      </w:r>
      <w:r w:rsidRPr="00201A9A">
        <w:rPr>
          <w:noProof/>
        </w:rPr>
        <w:t xml:space="preserve">temem elektronicznym określonym przez Komisję: </w:t>
      </w:r>
    </w:p>
    <w:p w14:paraId="0FE8F71C" w14:textId="33718CDF" w:rsidR="00256F20" w:rsidRPr="00201A9A" w:rsidRDefault="00201A9A" w:rsidP="00201A9A">
      <w:pPr>
        <w:pStyle w:val="Point1"/>
        <w:rPr>
          <w:noProof/>
        </w:rPr>
      </w:pPr>
      <w:r w:rsidRPr="00201A9A">
        <w:rPr>
          <w:noProof/>
        </w:rPr>
        <w:t>a)</w:t>
      </w:r>
      <w:r w:rsidRPr="00201A9A">
        <w:rPr>
          <w:noProof/>
        </w:rPr>
        <w:tab/>
      </w:r>
      <w:r w:rsidR="00256F20" w:rsidRPr="00201A9A">
        <w:rPr>
          <w:noProof/>
        </w:rPr>
        <w:t>na temat beneficjenta:</w:t>
      </w:r>
      <w:r w:rsidRPr="00201A9A">
        <w:rPr>
          <w:noProof/>
        </w:rPr>
        <w:t xml:space="preserve"> </w:t>
      </w:r>
    </w:p>
    <w:p w14:paraId="775CAB49" w14:textId="77777777" w:rsidR="00256F20" w:rsidRPr="00201A9A" w:rsidRDefault="00A04B5C" w:rsidP="003E2902">
      <w:pPr>
        <w:pStyle w:val="Point2n"/>
        <w:numPr>
          <w:ilvl w:val="0"/>
          <w:numId w:val="28"/>
        </w:numPr>
        <w:spacing w:line="240" w:lineRule="auto"/>
        <w:jc w:val="both"/>
        <w:rPr>
          <w:noProof/>
        </w:rPr>
      </w:pPr>
      <w:r w:rsidRPr="00201A9A">
        <w:rPr>
          <w:noProof/>
        </w:rPr>
        <w:t xml:space="preserve">czy beneficjent jest podmiotem prawa publicznego czy prywatnego, podmiotem posiadającym osobowość prawną czy jej nieposiadającym, osobą fizyczną, czy grupą osób fizycznych; </w:t>
      </w:r>
    </w:p>
    <w:p w14:paraId="3923FF9D" w14:textId="1E8302CD" w:rsidR="00256F20" w:rsidRPr="00201A9A" w:rsidRDefault="00A04B5C" w:rsidP="005A28DE">
      <w:pPr>
        <w:pStyle w:val="Point2n"/>
        <w:spacing w:line="240" w:lineRule="auto"/>
        <w:jc w:val="both"/>
        <w:rPr>
          <w:noProof/>
        </w:rPr>
      </w:pPr>
      <w:r w:rsidRPr="00201A9A">
        <w:rPr>
          <w:noProof/>
        </w:rPr>
        <w:t>pełną nazwę prawną, adres</w:t>
      </w:r>
      <w:r w:rsidR="00201A9A" w:rsidRPr="00201A9A">
        <w:rPr>
          <w:noProof/>
        </w:rPr>
        <w:t xml:space="preserve"> i num</w:t>
      </w:r>
      <w:r w:rsidRPr="00201A9A">
        <w:rPr>
          <w:noProof/>
        </w:rPr>
        <w:t xml:space="preserve">er identyfikacyjny VAT lub numer identyfikacji podatkowej podmiotu, jeśli są dostępne, lub inny niepowtarzalny identyfikator ustanowiony na poziomie krajowym; </w:t>
      </w:r>
    </w:p>
    <w:p w14:paraId="3511F9AF" w14:textId="7D2221B0" w:rsidR="00896E98" w:rsidRPr="00201A9A" w:rsidRDefault="00A04B5C" w:rsidP="005A28DE">
      <w:pPr>
        <w:pStyle w:val="Point2n"/>
        <w:spacing w:line="240" w:lineRule="auto"/>
        <w:jc w:val="both"/>
        <w:rPr>
          <w:noProof/>
        </w:rPr>
      </w:pPr>
      <w:r w:rsidRPr="00201A9A">
        <w:rPr>
          <w:noProof/>
        </w:rPr>
        <w:t>w przypadku osoby fizycznej – imię</w:t>
      </w:r>
      <w:r w:rsidR="00201A9A" w:rsidRPr="00201A9A">
        <w:rPr>
          <w:noProof/>
        </w:rPr>
        <w:t xml:space="preserve"> i naz</w:t>
      </w:r>
      <w:r w:rsidRPr="00201A9A">
        <w:rPr>
          <w:noProof/>
        </w:rPr>
        <w:t>wisko, datę urodzenia, miejscowość</w:t>
      </w:r>
      <w:r w:rsidR="00201A9A" w:rsidRPr="00201A9A">
        <w:rPr>
          <w:noProof/>
        </w:rPr>
        <w:t xml:space="preserve"> i kra</w:t>
      </w:r>
      <w:r w:rsidRPr="00201A9A">
        <w:rPr>
          <w:noProof/>
        </w:rPr>
        <w:t>jowy numer identyfikacyjny;</w:t>
      </w:r>
    </w:p>
    <w:p w14:paraId="0DA48BA3" w14:textId="7F7EF750" w:rsidR="00256F20" w:rsidRPr="00201A9A" w:rsidRDefault="00A04B5C" w:rsidP="005A28DE">
      <w:pPr>
        <w:pStyle w:val="Point2n"/>
        <w:spacing w:line="240" w:lineRule="auto"/>
        <w:jc w:val="both"/>
        <w:rPr>
          <w:noProof/>
        </w:rPr>
      </w:pPr>
      <w:r w:rsidRPr="00201A9A">
        <w:rPr>
          <w:noProof/>
        </w:rPr>
        <w:t>informacje na temat wszystkich beneficjentów rzeczywistych beneficjenta, jeżeli istnieją, zgodnie</w:t>
      </w:r>
      <w:r w:rsidR="00201A9A" w:rsidRPr="00201A9A">
        <w:rPr>
          <w:noProof/>
        </w:rPr>
        <w:t xml:space="preserve"> z def</w:t>
      </w:r>
      <w:r w:rsidRPr="00201A9A">
        <w:rPr>
          <w:noProof/>
        </w:rPr>
        <w:t>inicją</w:t>
      </w:r>
      <w:r w:rsidR="00201A9A" w:rsidRPr="00201A9A">
        <w:rPr>
          <w:noProof/>
        </w:rPr>
        <w:t xml:space="preserve"> w art</w:t>
      </w:r>
      <w:r w:rsidRPr="00201A9A">
        <w:rPr>
          <w:noProof/>
        </w:rPr>
        <w:t>.</w:t>
      </w:r>
      <w:r w:rsidR="00201A9A" w:rsidRPr="00201A9A">
        <w:rPr>
          <w:noProof/>
        </w:rPr>
        <w:t> </w:t>
      </w:r>
      <w:r w:rsidRPr="00201A9A">
        <w:rPr>
          <w:noProof/>
        </w:rPr>
        <w:t>4 pkt</w:t>
      </w:r>
      <w:r w:rsidR="00201A9A" w:rsidRPr="00201A9A">
        <w:rPr>
          <w:noProof/>
        </w:rPr>
        <w:t> </w:t>
      </w:r>
      <w:r w:rsidRPr="00201A9A">
        <w:rPr>
          <w:noProof/>
        </w:rPr>
        <w:t>6 dyrektywy Parlamentu Europejskiego</w:t>
      </w:r>
      <w:r w:rsidR="00201A9A" w:rsidRPr="00201A9A">
        <w:rPr>
          <w:noProof/>
        </w:rPr>
        <w:t xml:space="preserve"> i Rad</w:t>
      </w:r>
      <w:r w:rsidRPr="00201A9A">
        <w:rPr>
          <w:noProof/>
        </w:rPr>
        <w:t>y (UE) 2015/849</w:t>
      </w:r>
      <w:r w:rsidRPr="00201A9A">
        <w:rPr>
          <w:rStyle w:val="FootnoteReference"/>
          <w:noProof/>
        </w:rPr>
        <w:footnoteReference w:id="24"/>
      </w:r>
      <w:r w:rsidRPr="00201A9A">
        <w:rPr>
          <w:noProof/>
        </w:rPr>
        <w:t>, tzn. imię (imiona)</w:t>
      </w:r>
      <w:r w:rsidR="00201A9A" w:rsidRPr="00201A9A">
        <w:rPr>
          <w:noProof/>
        </w:rPr>
        <w:t xml:space="preserve"> i naz</w:t>
      </w:r>
      <w:r w:rsidRPr="00201A9A">
        <w:rPr>
          <w:noProof/>
        </w:rPr>
        <w:t xml:space="preserve">wisko(-a), datę(-y) urodzenia oraz numer(-y) rejestracyjny(-e) VAT lub numer(-y) identyfikacji podatkowej, jeśli są dostępne, lub inny niepowtarzalny identyfikator ustanowiony na poziomie krajowym; </w:t>
      </w:r>
    </w:p>
    <w:p w14:paraId="7C8DB69E" w14:textId="590A7D4C" w:rsidR="00256F20" w:rsidRPr="00201A9A" w:rsidRDefault="00A04B5C" w:rsidP="005A28DE">
      <w:pPr>
        <w:pStyle w:val="Point2n"/>
        <w:spacing w:line="240" w:lineRule="auto"/>
        <w:jc w:val="both"/>
        <w:rPr>
          <w:noProof/>
        </w:rPr>
      </w:pPr>
      <w:r w:rsidRPr="00201A9A">
        <w:rPr>
          <w:noProof/>
        </w:rPr>
        <w:t>kwotę wkładu Unii, na którą zaciągnięto zobowiązania</w:t>
      </w:r>
      <w:r w:rsidR="00201A9A" w:rsidRPr="00201A9A">
        <w:rPr>
          <w:noProof/>
        </w:rPr>
        <w:t xml:space="preserve"> w dok</w:t>
      </w:r>
      <w:r w:rsidRPr="00201A9A">
        <w:rPr>
          <w:noProof/>
        </w:rPr>
        <w:t>umencie określającym warunki wsparcia;</w:t>
      </w:r>
    </w:p>
    <w:p w14:paraId="63A3B366" w14:textId="48ACE2A0" w:rsidR="00256F20" w:rsidRPr="00201A9A" w:rsidRDefault="00256F20" w:rsidP="005A28DE">
      <w:pPr>
        <w:pStyle w:val="Point2n"/>
        <w:spacing w:line="240" w:lineRule="auto"/>
        <w:jc w:val="both"/>
        <w:rPr>
          <w:noProof/>
        </w:rPr>
      </w:pPr>
      <w:r w:rsidRPr="00201A9A">
        <w:rPr>
          <w:noProof/>
        </w:rPr>
        <w:t>wskazanie powiązanego środka</w:t>
      </w:r>
      <w:r w:rsidR="00201A9A" w:rsidRPr="00201A9A">
        <w:rPr>
          <w:noProof/>
        </w:rPr>
        <w:t xml:space="preserve"> w ram</w:t>
      </w:r>
      <w:r w:rsidRPr="00201A9A">
        <w:rPr>
          <w:noProof/>
        </w:rPr>
        <w:t>ach planu wraz</w:t>
      </w:r>
      <w:r w:rsidR="00201A9A" w:rsidRPr="00201A9A">
        <w:rPr>
          <w:noProof/>
        </w:rPr>
        <w:t xml:space="preserve"> z num</w:t>
      </w:r>
      <w:r w:rsidRPr="00201A9A">
        <w:rPr>
          <w:noProof/>
        </w:rPr>
        <w:t>erem porządkowym działania</w:t>
      </w:r>
      <w:r w:rsidR="00201A9A" w:rsidRPr="00201A9A">
        <w:rPr>
          <w:noProof/>
        </w:rPr>
        <w:t xml:space="preserve"> i ide</w:t>
      </w:r>
      <w:r w:rsidRPr="00201A9A">
        <w:rPr>
          <w:noProof/>
        </w:rPr>
        <w:t>ntyfikatorem operacji;</w:t>
      </w:r>
    </w:p>
    <w:p w14:paraId="1A262E64" w14:textId="36CDF845" w:rsidR="00256F20" w:rsidRPr="00201A9A" w:rsidRDefault="00A04B5C" w:rsidP="005A28DE">
      <w:pPr>
        <w:pStyle w:val="Point2n"/>
        <w:spacing w:line="240" w:lineRule="auto"/>
        <w:jc w:val="both"/>
        <w:rPr>
          <w:noProof/>
        </w:rPr>
      </w:pPr>
      <w:r w:rsidRPr="00201A9A">
        <w:rPr>
          <w:noProof/>
        </w:rPr>
        <w:t>w odniesieniu do instrumentów finansowych – informacje na temat tego, czy beneficjent jest podmiotem wdrażającym fundusz powierniczy lub –</w:t>
      </w:r>
      <w:r w:rsidR="00201A9A" w:rsidRPr="00201A9A">
        <w:rPr>
          <w:noProof/>
        </w:rPr>
        <w:t xml:space="preserve"> w prz</w:t>
      </w:r>
      <w:r w:rsidRPr="00201A9A">
        <w:rPr>
          <w:noProof/>
        </w:rPr>
        <w:t>ypadku braku struktury funduszu powierniczego – podmiotem wdrażającym fundusz szczegółowy lub –</w:t>
      </w:r>
      <w:r w:rsidR="00201A9A" w:rsidRPr="00201A9A">
        <w:rPr>
          <w:noProof/>
        </w:rPr>
        <w:t xml:space="preserve"> w prz</w:t>
      </w:r>
      <w:r w:rsidRPr="00201A9A">
        <w:rPr>
          <w:noProof/>
        </w:rPr>
        <w:t xml:space="preserve">ypadku gdy instytucja zarządzająca wdraża instrument finansowy bezpośrednio – informacje na temat instytucji zarządzającej; </w:t>
      </w:r>
    </w:p>
    <w:p w14:paraId="45CE801B" w14:textId="7AD21847" w:rsidR="0026039F" w:rsidRPr="00201A9A" w:rsidRDefault="0026039F" w:rsidP="005A28DE">
      <w:pPr>
        <w:pStyle w:val="Point2n"/>
        <w:spacing w:line="240" w:lineRule="auto"/>
        <w:jc w:val="both"/>
        <w:rPr>
          <w:noProof/>
        </w:rPr>
      </w:pPr>
      <w:r w:rsidRPr="00201A9A">
        <w:rPr>
          <w:noProof/>
        </w:rPr>
        <w:t>w odniesieniu do interwencji</w:t>
      </w:r>
      <w:r w:rsidR="00201A9A" w:rsidRPr="00201A9A">
        <w:rPr>
          <w:noProof/>
        </w:rPr>
        <w:t xml:space="preserve"> w ram</w:t>
      </w:r>
      <w:r w:rsidRPr="00201A9A">
        <w:rPr>
          <w:noProof/>
        </w:rPr>
        <w:t>ach WPR,</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35 ust.</w:t>
      </w:r>
      <w:r w:rsidR="00201A9A" w:rsidRPr="00201A9A">
        <w:rPr>
          <w:noProof/>
        </w:rPr>
        <w:t> </w:t>
      </w:r>
      <w:r w:rsidRPr="00201A9A">
        <w:rPr>
          <w:noProof/>
        </w:rPr>
        <w:t xml:space="preserve">1: </w:t>
      </w:r>
    </w:p>
    <w:p w14:paraId="1E15541E" w14:textId="7106787B" w:rsidR="00FB1C43" w:rsidRPr="00201A9A" w:rsidRDefault="3BF0EBC8" w:rsidP="2B51165D">
      <w:pPr>
        <w:pStyle w:val="Bullet3"/>
        <w:rPr>
          <w:noProof/>
        </w:rPr>
      </w:pPr>
      <w:r w:rsidRPr="00201A9A">
        <w:rPr>
          <w:noProof/>
        </w:rPr>
        <w:t>płeć, czy beneficjent jest rolnikiem, posiadaczem lasu, młodym rolnikiem, nowo założonym przedsiębiorstwem;</w:t>
      </w:r>
      <w:r w:rsidR="00201A9A" w:rsidRPr="00201A9A">
        <w:rPr>
          <w:noProof/>
        </w:rPr>
        <w:t xml:space="preserve"> w prz</w:t>
      </w:r>
      <w:r w:rsidRPr="00201A9A">
        <w:rPr>
          <w:noProof/>
        </w:rPr>
        <w:t>ypadku interwencji sektorowych – rodzaj organizacji producentów;</w:t>
      </w:r>
    </w:p>
    <w:p w14:paraId="3348C13D" w14:textId="0B117CC0" w:rsidR="00D76AB2" w:rsidRPr="00201A9A" w:rsidRDefault="00D91745" w:rsidP="003E2902">
      <w:pPr>
        <w:pStyle w:val="Bullet3"/>
        <w:numPr>
          <w:ilvl w:val="0"/>
          <w:numId w:val="29"/>
        </w:numPr>
        <w:rPr>
          <w:noProof/>
        </w:rPr>
      </w:pPr>
      <w:r w:rsidRPr="00201A9A">
        <w:rPr>
          <w:noProof/>
        </w:rPr>
        <w:t>geolokalizację gospodarstwa, czy gospodarstwo znajduje się na obszarze</w:t>
      </w:r>
      <w:r w:rsidR="00201A9A" w:rsidRPr="00201A9A">
        <w:rPr>
          <w:noProof/>
        </w:rPr>
        <w:t xml:space="preserve"> z ogr</w:t>
      </w:r>
      <w:r w:rsidRPr="00201A9A">
        <w:rPr>
          <w:noProof/>
        </w:rPr>
        <w:t>aniczeniami naturalnymi lub szczególnymi,</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8 rozporządzenia (UE) 202/XXXX [rozporządzenie</w:t>
      </w:r>
      <w:r w:rsidR="00201A9A" w:rsidRPr="00201A9A">
        <w:rPr>
          <w:noProof/>
        </w:rPr>
        <w:t xml:space="preserve"> w spr</w:t>
      </w:r>
      <w:r w:rsidRPr="00201A9A">
        <w:rPr>
          <w:noProof/>
        </w:rPr>
        <w:t>awie WPR][Płatność dla obszarów</w:t>
      </w:r>
      <w:r w:rsidR="00201A9A" w:rsidRPr="00201A9A">
        <w:rPr>
          <w:noProof/>
        </w:rPr>
        <w:t xml:space="preserve"> z ogr</w:t>
      </w:r>
      <w:r w:rsidRPr="00201A9A">
        <w:rPr>
          <w:noProof/>
        </w:rPr>
        <w:t>aniczeniami naturalnymi lub innymi szczególnymi ograniczeniami dla danego obszaru],</w:t>
      </w:r>
      <w:r w:rsidR="00201A9A" w:rsidRPr="00201A9A">
        <w:rPr>
          <w:noProof/>
        </w:rPr>
        <w:t xml:space="preserve"> w str</w:t>
      </w:r>
      <w:r w:rsidRPr="00201A9A">
        <w:rPr>
          <w:noProof/>
        </w:rPr>
        <w:t>efie narażonej na zanieczyszczenia azotanami</w:t>
      </w:r>
      <w:r w:rsidRPr="00201A9A">
        <w:rPr>
          <w:rStyle w:val="FootnoteReference"/>
          <w:noProof/>
        </w:rPr>
        <w:footnoteReference w:id="25"/>
      </w:r>
      <w:r w:rsidRPr="00201A9A">
        <w:rPr>
          <w:noProof/>
        </w:rPr>
        <w:t>, na obszarze Natura 2000,</w:t>
      </w:r>
      <w:r w:rsidR="00201A9A" w:rsidRPr="00201A9A">
        <w:rPr>
          <w:noProof/>
        </w:rPr>
        <w:t xml:space="preserve"> o któ</w:t>
      </w:r>
      <w:r w:rsidRPr="00201A9A">
        <w:rPr>
          <w:noProof/>
        </w:rPr>
        <w:t>rym mowa</w:t>
      </w:r>
      <w:r w:rsidR="00201A9A" w:rsidRPr="00201A9A">
        <w:rPr>
          <w:noProof/>
        </w:rPr>
        <w:t xml:space="preserve"> w art</w:t>
      </w:r>
      <w:r w:rsidRPr="00201A9A">
        <w:rPr>
          <w:noProof/>
        </w:rPr>
        <w:t>.</w:t>
      </w:r>
      <w:r w:rsidR="00201A9A" w:rsidRPr="00201A9A">
        <w:rPr>
          <w:noProof/>
        </w:rPr>
        <w:t> </w:t>
      </w:r>
      <w:r w:rsidRPr="00201A9A">
        <w:rPr>
          <w:noProof/>
        </w:rPr>
        <w:t>9 tego rozporządzenia [Wsparcie</w:t>
      </w:r>
      <w:r w:rsidR="00201A9A" w:rsidRPr="00201A9A">
        <w:rPr>
          <w:noProof/>
        </w:rPr>
        <w:t xml:space="preserve"> z tyt</w:t>
      </w:r>
      <w:r w:rsidRPr="00201A9A">
        <w:rPr>
          <w:noProof/>
        </w:rPr>
        <w:t>ułu strat wynikających</w:t>
      </w:r>
      <w:r w:rsidR="00201A9A" w:rsidRPr="00201A9A">
        <w:rPr>
          <w:noProof/>
        </w:rPr>
        <w:t xml:space="preserve"> z okr</w:t>
      </w:r>
      <w:r w:rsidRPr="00201A9A">
        <w:rPr>
          <w:noProof/>
        </w:rPr>
        <w:t>eślonych obowiązkowych wymogów];</w:t>
      </w:r>
      <w:r w:rsidR="00201A9A" w:rsidRPr="00201A9A">
        <w:rPr>
          <w:noProof/>
        </w:rPr>
        <w:t xml:space="preserve"> </w:t>
      </w:r>
    </w:p>
    <w:p w14:paraId="092A1FCC" w14:textId="3A1EEF91" w:rsidR="00D91745" w:rsidRPr="00201A9A" w:rsidRDefault="00D76AB2" w:rsidP="00E305E4">
      <w:pPr>
        <w:pStyle w:val="Bullet3"/>
        <w:rPr>
          <w:noProof/>
        </w:rPr>
      </w:pPr>
      <w:r w:rsidRPr="00201A9A">
        <w:rPr>
          <w:noProof/>
        </w:rPr>
        <w:t>typ rolniczy</w:t>
      </w:r>
      <w:r w:rsidRPr="00201A9A">
        <w:rPr>
          <w:rStyle w:val="FootnoteReference"/>
          <w:noProof/>
        </w:rPr>
        <w:footnoteReference w:id="26"/>
      </w:r>
      <w:r w:rsidRPr="00201A9A">
        <w:rPr>
          <w:noProof/>
        </w:rPr>
        <w:t>, czy</w:t>
      </w:r>
      <w:r w:rsidR="00201A9A" w:rsidRPr="00201A9A">
        <w:rPr>
          <w:noProof/>
        </w:rPr>
        <w:t xml:space="preserve"> w gos</w:t>
      </w:r>
      <w:r w:rsidRPr="00201A9A">
        <w:rPr>
          <w:noProof/>
        </w:rPr>
        <w:t>podarstwie prowadzi się produkcję ekologiczną</w:t>
      </w:r>
      <w:r w:rsidRPr="00201A9A">
        <w:rPr>
          <w:rStyle w:val="FootnoteReference"/>
          <w:noProof/>
        </w:rPr>
        <w:footnoteReference w:id="27"/>
      </w:r>
      <w:r w:rsidRPr="00201A9A">
        <w:rPr>
          <w:noProof/>
        </w:rPr>
        <w:t>, całkowitą liczbę hektarów gruntów ornych, trwałych użytków zielonych,</w:t>
      </w:r>
      <w:r w:rsidR="00201A9A" w:rsidRPr="00201A9A">
        <w:rPr>
          <w:noProof/>
        </w:rPr>
        <w:t xml:space="preserve"> z upr</w:t>
      </w:r>
      <w:r w:rsidRPr="00201A9A">
        <w:rPr>
          <w:noProof/>
        </w:rPr>
        <w:t>awami trwałymi, na których nie jest prowadzona działalność rolnicza, ale które nadal kwalifikują się do wsparcia, całkowitą liczbę hektarów objętych odpowiedzialnym prowadzeniem gospodarstwa,</w:t>
      </w:r>
      <w:r w:rsidR="00201A9A" w:rsidRPr="00201A9A">
        <w:rPr>
          <w:noProof/>
        </w:rPr>
        <w:t xml:space="preserve"> w tym</w:t>
      </w:r>
      <w:r w:rsidRPr="00201A9A">
        <w:rPr>
          <w:noProof/>
        </w:rPr>
        <w:t xml:space="preserve"> praktyki chronione;</w:t>
      </w:r>
    </w:p>
    <w:p w14:paraId="30129865" w14:textId="78361F6A" w:rsidR="00256F20" w:rsidRPr="00201A9A" w:rsidRDefault="00201A9A" w:rsidP="00201A9A">
      <w:pPr>
        <w:pStyle w:val="Point1"/>
        <w:rPr>
          <w:noProof/>
        </w:rPr>
      </w:pPr>
      <w:r w:rsidRPr="00201A9A">
        <w:rPr>
          <w:noProof/>
        </w:rPr>
        <w:t>b)</w:t>
      </w:r>
      <w:r w:rsidRPr="00201A9A">
        <w:rPr>
          <w:noProof/>
        </w:rPr>
        <w:tab/>
      </w:r>
      <w:r w:rsidR="00256F20" w:rsidRPr="00201A9A">
        <w:rPr>
          <w:noProof/>
        </w:rPr>
        <w:t>na temat odbiorcy</w:t>
      </w:r>
      <w:r w:rsidRPr="00201A9A">
        <w:rPr>
          <w:noProof/>
        </w:rPr>
        <w:t xml:space="preserve"> i odb</w:t>
      </w:r>
      <w:r w:rsidR="00256F20" w:rsidRPr="00201A9A">
        <w:rPr>
          <w:noProof/>
        </w:rPr>
        <w:t xml:space="preserve">iorcy końcowego: </w:t>
      </w:r>
    </w:p>
    <w:p w14:paraId="546D38E0" w14:textId="173893F0" w:rsidR="00256F20" w:rsidRPr="00201A9A" w:rsidRDefault="00E1129D" w:rsidP="003E2902">
      <w:pPr>
        <w:pStyle w:val="Point2n"/>
        <w:numPr>
          <w:ilvl w:val="0"/>
          <w:numId w:val="30"/>
        </w:numPr>
        <w:spacing w:line="240" w:lineRule="auto"/>
        <w:jc w:val="both"/>
        <w:rPr>
          <w:noProof/>
        </w:rPr>
      </w:pPr>
      <w:r w:rsidRPr="00201A9A">
        <w:rPr>
          <w:noProof/>
        </w:rPr>
        <w:t>czy odbiorca lub odbiorca końcowy jest osobą fizyczną czy prawną,</w:t>
      </w:r>
      <w:r w:rsidR="00201A9A" w:rsidRPr="00201A9A">
        <w:rPr>
          <w:noProof/>
        </w:rPr>
        <w:t xml:space="preserve"> a w prz</w:t>
      </w:r>
      <w:r w:rsidRPr="00201A9A">
        <w:rPr>
          <w:noProof/>
        </w:rPr>
        <w:t xml:space="preserve">ypadku osoby prawnej – czy jest podmiotem prawa publicznego czy prywatnego; </w:t>
      </w:r>
    </w:p>
    <w:p w14:paraId="7D2BCF93" w14:textId="19926403" w:rsidR="00256F20" w:rsidRPr="00201A9A" w:rsidRDefault="00E1129D" w:rsidP="005A28DE">
      <w:pPr>
        <w:pStyle w:val="Point2n"/>
        <w:spacing w:line="240" w:lineRule="auto"/>
        <w:jc w:val="both"/>
        <w:rPr>
          <w:noProof/>
        </w:rPr>
      </w:pPr>
      <w:r w:rsidRPr="00201A9A">
        <w:rPr>
          <w:noProof/>
        </w:rPr>
        <w:t>w przypadku osoby prawnej – pełną nazwę prawną odbiorcy lub odbiorcy końcowego oraz ich numer identyfikacyjny VAT lub numer identyfikacji podatkowej, jeśli są dostępne, lub inny niepowtarzalny identyfikator ustanowiony na poziomie krajowym,</w:t>
      </w:r>
      <w:r w:rsidR="00201A9A" w:rsidRPr="00201A9A">
        <w:rPr>
          <w:noProof/>
        </w:rPr>
        <w:t xml:space="preserve"> a w prz</w:t>
      </w:r>
      <w:r w:rsidRPr="00201A9A">
        <w:rPr>
          <w:noProof/>
        </w:rPr>
        <w:t>ypadku osoby fizycznej – imię</w:t>
      </w:r>
      <w:r w:rsidR="00201A9A" w:rsidRPr="00201A9A">
        <w:rPr>
          <w:noProof/>
        </w:rPr>
        <w:t xml:space="preserve"> i naz</w:t>
      </w:r>
      <w:r w:rsidRPr="00201A9A">
        <w:rPr>
          <w:noProof/>
        </w:rPr>
        <w:t>wisko odbiorcy, datę urodzenia</w:t>
      </w:r>
      <w:r w:rsidR="00201A9A" w:rsidRPr="00201A9A">
        <w:rPr>
          <w:noProof/>
        </w:rPr>
        <w:t xml:space="preserve"> i num</w:t>
      </w:r>
      <w:r w:rsidRPr="00201A9A">
        <w:rPr>
          <w:noProof/>
        </w:rPr>
        <w:t xml:space="preserve">er identyfikacji podatkowej, jeśli jest dostępny, lub inny niepowtarzalny identyfikator; </w:t>
      </w:r>
    </w:p>
    <w:p w14:paraId="14C73151" w14:textId="433D92D7" w:rsidR="008808CF" w:rsidRPr="00201A9A" w:rsidRDefault="68D45096" w:rsidP="005A28DE">
      <w:pPr>
        <w:pStyle w:val="Point2n"/>
        <w:spacing w:line="240" w:lineRule="auto"/>
        <w:jc w:val="both"/>
        <w:rPr>
          <w:noProof/>
        </w:rPr>
      </w:pPr>
      <w:r w:rsidRPr="00201A9A">
        <w:rPr>
          <w:noProof/>
        </w:rPr>
        <w:t>w odniesieniu do instrumentów finansowych dotyczących interwencji wspierających wspólną politykę rolną wdrażanych</w:t>
      </w:r>
      <w:r w:rsidR="00201A9A" w:rsidRPr="00201A9A">
        <w:rPr>
          <w:noProof/>
        </w:rPr>
        <w:t xml:space="preserve"> w ram</w:t>
      </w:r>
      <w:r w:rsidRPr="00201A9A">
        <w:rPr>
          <w:noProof/>
        </w:rPr>
        <w:t>ach zarządzania dzielonego – płeć, czy odbiorca końcowy jest rolnikiem, posiadaczem lasu, młodym rolnikiem, nowo założonym przedsiębiorstwem, oraz liczbę umów podpisanych między odbiorcą końcowym</w:t>
      </w:r>
      <w:r w:rsidR="00201A9A" w:rsidRPr="00201A9A">
        <w:rPr>
          <w:noProof/>
        </w:rPr>
        <w:t xml:space="preserve"> a ban</w:t>
      </w:r>
      <w:r w:rsidRPr="00201A9A">
        <w:rPr>
          <w:noProof/>
        </w:rPr>
        <w:t>kiem;</w:t>
      </w:r>
    </w:p>
    <w:p w14:paraId="38BBAE18" w14:textId="18056363" w:rsidR="00256F20" w:rsidRPr="00201A9A" w:rsidRDefault="00E1129D" w:rsidP="005A28DE">
      <w:pPr>
        <w:pStyle w:val="Point2n"/>
        <w:spacing w:line="240" w:lineRule="auto"/>
        <w:jc w:val="both"/>
        <w:rPr>
          <w:noProof/>
        </w:rPr>
      </w:pPr>
      <w:r w:rsidRPr="00201A9A">
        <w:rPr>
          <w:noProof/>
        </w:rPr>
        <w:t>dane umożliwiające lokalizację odbiorcy lub odbiorcy końcowego, tzn. adres odbiorcy, jeżeli odbiorca lub odbiorca końcowy jest osobą prawną; region na poziomie NUTS 2, jeżeli odbiorca lub odbiorca końcowy jest osobą fizyczną i ma miejsce zamieszkania na terenie Unii, lub kraj, jeżeli odbiorca lub odbiorca końcowy jest osobą fizyczną</w:t>
      </w:r>
      <w:r w:rsidR="00201A9A" w:rsidRPr="00201A9A">
        <w:rPr>
          <w:noProof/>
        </w:rPr>
        <w:t xml:space="preserve"> i nie</w:t>
      </w:r>
      <w:r w:rsidRPr="00201A9A">
        <w:rPr>
          <w:noProof/>
        </w:rPr>
        <w:t xml:space="preserve"> ma miejsca zamieszkania na terenie Unii; </w:t>
      </w:r>
    </w:p>
    <w:p w14:paraId="13129501" w14:textId="062E9E69" w:rsidR="00256F20" w:rsidRPr="00201A9A" w:rsidRDefault="00E1129D" w:rsidP="005A28DE">
      <w:pPr>
        <w:pStyle w:val="Point2n"/>
        <w:spacing w:line="240" w:lineRule="auto"/>
        <w:jc w:val="both"/>
        <w:rPr>
          <w:noProof/>
        </w:rPr>
      </w:pPr>
      <w:r w:rsidRPr="00201A9A">
        <w:rPr>
          <w:noProof/>
        </w:rPr>
        <w:t>informacje na temat wszystkich beneficjentów rzeczywistych odbiorcy lub odbiorcy końcowego, jeżeli istnieją, zgodnie</w:t>
      </w:r>
      <w:r w:rsidR="00201A9A" w:rsidRPr="00201A9A">
        <w:rPr>
          <w:noProof/>
        </w:rPr>
        <w:t xml:space="preserve"> z def</w:t>
      </w:r>
      <w:r w:rsidRPr="00201A9A">
        <w:rPr>
          <w:noProof/>
        </w:rPr>
        <w:t>inicją</w:t>
      </w:r>
      <w:r w:rsidR="00201A9A" w:rsidRPr="00201A9A">
        <w:rPr>
          <w:noProof/>
        </w:rPr>
        <w:t xml:space="preserve"> w art</w:t>
      </w:r>
      <w:r w:rsidRPr="00201A9A">
        <w:rPr>
          <w:noProof/>
        </w:rPr>
        <w:t>.</w:t>
      </w:r>
      <w:r w:rsidR="00201A9A" w:rsidRPr="00201A9A">
        <w:rPr>
          <w:noProof/>
        </w:rPr>
        <w:t> </w:t>
      </w:r>
      <w:r w:rsidRPr="00201A9A">
        <w:rPr>
          <w:noProof/>
        </w:rPr>
        <w:t>3 pkt</w:t>
      </w:r>
      <w:r w:rsidR="00201A9A" w:rsidRPr="00201A9A">
        <w:rPr>
          <w:noProof/>
        </w:rPr>
        <w:t> </w:t>
      </w:r>
      <w:r w:rsidRPr="00201A9A">
        <w:rPr>
          <w:noProof/>
        </w:rPr>
        <w:t>6 dyrektywy (UE) 2015/849, tzn. imię (imiona)</w:t>
      </w:r>
      <w:r w:rsidR="00201A9A" w:rsidRPr="00201A9A">
        <w:rPr>
          <w:noProof/>
        </w:rPr>
        <w:t xml:space="preserve"> i naz</w:t>
      </w:r>
      <w:r w:rsidRPr="00201A9A">
        <w:rPr>
          <w:noProof/>
        </w:rPr>
        <w:t xml:space="preserve">wisko(-a), datę (daty) urodzenia oraz numer(-y) rejestracyjny(-e) VAT lub numer(-y) identyfikacji podatkowej, jeśli są dostępne, lub inny niepowtarzalny identyfikator ustanowiony na poziomie krajowym; </w:t>
      </w:r>
    </w:p>
    <w:p w14:paraId="4AEB0960" w14:textId="1FCF2E71" w:rsidR="00256F20" w:rsidRPr="00201A9A" w:rsidRDefault="00E1129D" w:rsidP="005A28DE">
      <w:pPr>
        <w:pStyle w:val="Point2n"/>
        <w:spacing w:line="240" w:lineRule="auto"/>
        <w:jc w:val="both"/>
        <w:rPr>
          <w:noProof/>
        </w:rPr>
      </w:pPr>
      <w:r w:rsidRPr="00201A9A">
        <w:rPr>
          <w:noProof/>
        </w:rPr>
        <w:t>kwotę wkładu Unii, na którą zaciągnięto zobowiązania, wskazanie powiązanego środka</w:t>
      </w:r>
      <w:r w:rsidR="00201A9A" w:rsidRPr="00201A9A">
        <w:rPr>
          <w:noProof/>
        </w:rPr>
        <w:t xml:space="preserve"> w ram</w:t>
      </w:r>
      <w:r w:rsidRPr="00201A9A">
        <w:rPr>
          <w:noProof/>
        </w:rPr>
        <w:t>ach planu oraz identyfikator operacji;</w:t>
      </w:r>
    </w:p>
    <w:p w14:paraId="35D382B0" w14:textId="521BE26D" w:rsidR="00256F20" w:rsidRPr="00201A9A" w:rsidRDefault="00201A9A" w:rsidP="00201A9A">
      <w:pPr>
        <w:pStyle w:val="Point1"/>
        <w:rPr>
          <w:noProof/>
        </w:rPr>
      </w:pPr>
      <w:r w:rsidRPr="00201A9A">
        <w:rPr>
          <w:noProof/>
        </w:rPr>
        <w:t>c)</w:t>
      </w:r>
      <w:r w:rsidRPr="00201A9A">
        <w:rPr>
          <w:noProof/>
        </w:rPr>
        <w:tab/>
      </w:r>
      <w:r w:rsidR="00256F20" w:rsidRPr="00201A9A">
        <w:rPr>
          <w:noProof/>
        </w:rPr>
        <w:t xml:space="preserve">na temat wykonawcy: </w:t>
      </w:r>
    </w:p>
    <w:p w14:paraId="0E497979" w14:textId="08DC8D9D" w:rsidR="00256F20" w:rsidRPr="00201A9A" w:rsidRDefault="00E1129D" w:rsidP="003E2902">
      <w:pPr>
        <w:pStyle w:val="Point2n"/>
        <w:numPr>
          <w:ilvl w:val="0"/>
          <w:numId w:val="31"/>
        </w:numPr>
        <w:spacing w:line="240" w:lineRule="auto"/>
        <w:jc w:val="both"/>
        <w:rPr>
          <w:noProof/>
        </w:rPr>
      </w:pPr>
      <w:r w:rsidRPr="00201A9A">
        <w:rPr>
          <w:noProof/>
        </w:rPr>
        <w:t>nazwę</w:t>
      </w:r>
      <w:r w:rsidR="00201A9A" w:rsidRPr="00201A9A">
        <w:rPr>
          <w:noProof/>
        </w:rPr>
        <w:t xml:space="preserve"> i num</w:t>
      </w:r>
      <w:r w:rsidRPr="00201A9A">
        <w:rPr>
          <w:noProof/>
        </w:rPr>
        <w:t>er rejestracyjny VAT lub numer identyfikacji podatkowej;</w:t>
      </w:r>
    </w:p>
    <w:p w14:paraId="33C5E123" w14:textId="6E060C17" w:rsidR="00256F20" w:rsidRPr="00201A9A" w:rsidRDefault="00E1129D" w:rsidP="005A28DE">
      <w:pPr>
        <w:pStyle w:val="Point2n"/>
        <w:spacing w:line="240" w:lineRule="auto"/>
        <w:jc w:val="both"/>
        <w:rPr>
          <w:noProof/>
        </w:rPr>
      </w:pPr>
      <w:r w:rsidRPr="00201A9A">
        <w:rPr>
          <w:noProof/>
        </w:rPr>
        <w:t>informacje na temat wszystkich beneficjentów rzeczywistych wykonawcy, jeżeli istnieją, zgodnie</w:t>
      </w:r>
      <w:r w:rsidR="00201A9A" w:rsidRPr="00201A9A">
        <w:rPr>
          <w:noProof/>
        </w:rPr>
        <w:t xml:space="preserve"> z def</w:t>
      </w:r>
      <w:r w:rsidRPr="00201A9A">
        <w:rPr>
          <w:noProof/>
        </w:rPr>
        <w:t>inicją</w:t>
      </w:r>
      <w:r w:rsidR="00201A9A" w:rsidRPr="00201A9A">
        <w:rPr>
          <w:noProof/>
        </w:rPr>
        <w:t xml:space="preserve"> w art</w:t>
      </w:r>
      <w:r w:rsidRPr="00201A9A">
        <w:rPr>
          <w:noProof/>
        </w:rPr>
        <w:t>.</w:t>
      </w:r>
      <w:r w:rsidR="00201A9A" w:rsidRPr="00201A9A">
        <w:rPr>
          <w:noProof/>
        </w:rPr>
        <w:t> </w:t>
      </w:r>
      <w:r w:rsidRPr="00201A9A">
        <w:rPr>
          <w:noProof/>
        </w:rPr>
        <w:t>3 pkt</w:t>
      </w:r>
      <w:r w:rsidR="00201A9A" w:rsidRPr="00201A9A">
        <w:rPr>
          <w:noProof/>
        </w:rPr>
        <w:t> </w:t>
      </w:r>
      <w:r w:rsidRPr="00201A9A">
        <w:rPr>
          <w:noProof/>
        </w:rPr>
        <w:t>6 dyrektywy (UE) 2015/849, tzn. imię (imiona)</w:t>
      </w:r>
      <w:r w:rsidR="00201A9A" w:rsidRPr="00201A9A">
        <w:rPr>
          <w:noProof/>
        </w:rPr>
        <w:t xml:space="preserve"> i naz</w:t>
      </w:r>
      <w:r w:rsidRPr="00201A9A">
        <w:rPr>
          <w:noProof/>
        </w:rPr>
        <w:t xml:space="preserve">wisko(-a), datę (daty) urodzenia oraz numer(-y) rejestracyjny(-e) VAT lub numer(-y) identyfikacji podatkowej, jeśli są dostępne, lub inny niepowtarzalny identyfikator ustanowiony na poziomie krajowym; </w:t>
      </w:r>
    </w:p>
    <w:p w14:paraId="495ACECF" w14:textId="77777777" w:rsidR="00256F20" w:rsidRPr="00201A9A" w:rsidRDefault="00E1129D" w:rsidP="005A28DE">
      <w:pPr>
        <w:pStyle w:val="Point2n"/>
        <w:spacing w:line="240" w:lineRule="auto"/>
        <w:jc w:val="both"/>
        <w:rPr>
          <w:noProof/>
        </w:rPr>
      </w:pPr>
      <w:r w:rsidRPr="00201A9A">
        <w:rPr>
          <w:noProof/>
        </w:rPr>
        <w:t xml:space="preserve">informacje na temat wszystkich umów, tzn. nazwę, datę, numer referencyjny, kwotę umowy oraz odpowiedni identyfikator lub numer identyfikacyjny; </w:t>
      </w:r>
    </w:p>
    <w:p w14:paraId="3BBCC5E6" w14:textId="385D32D4" w:rsidR="00256F20" w:rsidRPr="00201A9A" w:rsidRDefault="00E1129D" w:rsidP="005A28DE">
      <w:pPr>
        <w:pStyle w:val="Point2n"/>
        <w:spacing w:line="240" w:lineRule="auto"/>
        <w:jc w:val="both"/>
        <w:rPr>
          <w:noProof/>
        </w:rPr>
      </w:pPr>
      <w:r w:rsidRPr="00201A9A">
        <w:rPr>
          <w:noProof/>
        </w:rPr>
        <w:t>wskazanie powiązanego środka</w:t>
      </w:r>
      <w:r w:rsidR="00201A9A" w:rsidRPr="00201A9A">
        <w:rPr>
          <w:noProof/>
        </w:rPr>
        <w:t xml:space="preserve"> w ram</w:t>
      </w:r>
      <w:r w:rsidRPr="00201A9A">
        <w:rPr>
          <w:noProof/>
        </w:rPr>
        <w:t>ach planu wraz</w:t>
      </w:r>
      <w:r w:rsidR="00201A9A" w:rsidRPr="00201A9A">
        <w:rPr>
          <w:noProof/>
        </w:rPr>
        <w:t xml:space="preserve"> z num</w:t>
      </w:r>
      <w:r w:rsidRPr="00201A9A">
        <w:rPr>
          <w:noProof/>
        </w:rPr>
        <w:t>erem porządkowym działania</w:t>
      </w:r>
      <w:r w:rsidR="00201A9A" w:rsidRPr="00201A9A">
        <w:rPr>
          <w:noProof/>
        </w:rPr>
        <w:t xml:space="preserve"> i ide</w:t>
      </w:r>
      <w:r w:rsidRPr="00201A9A">
        <w:rPr>
          <w:noProof/>
        </w:rPr>
        <w:t>ntyfikatorem operacji.</w:t>
      </w:r>
    </w:p>
    <w:p w14:paraId="5400D535" w14:textId="183B8F50" w:rsidR="00256F20" w:rsidRPr="00201A9A" w:rsidRDefault="00201A9A" w:rsidP="00201A9A">
      <w:pPr>
        <w:pStyle w:val="Point1"/>
        <w:rPr>
          <w:noProof/>
        </w:rPr>
      </w:pPr>
      <w:r w:rsidRPr="00201A9A">
        <w:rPr>
          <w:noProof/>
        </w:rPr>
        <w:t>d)</w:t>
      </w:r>
      <w:r w:rsidRPr="00201A9A">
        <w:rPr>
          <w:noProof/>
        </w:rPr>
        <w:tab/>
      </w:r>
      <w:r w:rsidR="00256F20" w:rsidRPr="00201A9A">
        <w:rPr>
          <w:noProof/>
        </w:rPr>
        <w:t xml:space="preserve">na temat podwykonawcy: </w:t>
      </w:r>
    </w:p>
    <w:p w14:paraId="3F002520" w14:textId="77777777" w:rsidR="00256F20" w:rsidRPr="00201A9A" w:rsidRDefault="00E1129D" w:rsidP="003E2902">
      <w:pPr>
        <w:pStyle w:val="Point2n"/>
        <w:numPr>
          <w:ilvl w:val="0"/>
          <w:numId w:val="32"/>
        </w:numPr>
        <w:spacing w:line="240" w:lineRule="auto"/>
        <w:jc w:val="both"/>
        <w:rPr>
          <w:noProof/>
        </w:rPr>
      </w:pPr>
      <w:r w:rsidRPr="00201A9A">
        <w:rPr>
          <w:noProof/>
        </w:rPr>
        <w:t>nazwę, numer rejestracyjny VAT lub numer identyfikacji podatkowej;</w:t>
      </w:r>
    </w:p>
    <w:p w14:paraId="039D126C" w14:textId="4001620F" w:rsidR="00256F20" w:rsidRPr="00201A9A" w:rsidRDefault="00E1129D" w:rsidP="005A28DE">
      <w:pPr>
        <w:pStyle w:val="Point2n"/>
        <w:spacing w:line="240" w:lineRule="auto"/>
        <w:jc w:val="both"/>
        <w:rPr>
          <w:noProof/>
        </w:rPr>
      </w:pPr>
      <w:r w:rsidRPr="00201A9A">
        <w:rPr>
          <w:noProof/>
        </w:rPr>
        <w:t>informacje na temat umowy</w:t>
      </w:r>
      <w:r w:rsidR="00201A9A" w:rsidRPr="00201A9A">
        <w:rPr>
          <w:noProof/>
        </w:rPr>
        <w:t xml:space="preserve"> o pod</w:t>
      </w:r>
      <w:r w:rsidRPr="00201A9A">
        <w:rPr>
          <w:noProof/>
        </w:rPr>
        <w:t xml:space="preserve">wykonawstwo, tzn. nazwę, datę, numer referencyjny, kwotę umowy oraz odpowiedni identyfikator lub numer identyfikacyjny; </w:t>
      </w:r>
    </w:p>
    <w:p w14:paraId="3BD86BE3" w14:textId="02EBCA20" w:rsidR="00256F20" w:rsidRPr="00201A9A" w:rsidRDefault="00E1129D" w:rsidP="005A28DE">
      <w:pPr>
        <w:pStyle w:val="Point2n"/>
        <w:spacing w:line="240" w:lineRule="auto"/>
        <w:jc w:val="both"/>
        <w:rPr>
          <w:noProof/>
        </w:rPr>
      </w:pPr>
      <w:r w:rsidRPr="00201A9A">
        <w:rPr>
          <w:noProof/>
        </w:rPr>
        <w:t>wskazanie powiązanego środka</w:t>
      </w:r>
      <w:r w:rsidR="00201A9A" w:rsidRPr="00201A9A">
        <w:rPr>
          <w:noProof/>
        </w:rPr>
        <w:t xml:space="preserve"> i ope</w:t>
      </w:r>
      <w:r w:rsidRPr="00201A9A">
        <w:rPr>
          <w:noProof/>
        </w:rPr>
        <w:t>racji</w:t>
      </w:r>
      <w:r w:rsidR="00201A9A" w:rsidRPr="00201A9A">
        <w:rPr>
          <w:noProof/>
        </w:rPr>
        <w:t xml:space="preserve"> w ram</w:t>
      </w:r>
      <w:r w:rsidRPr="00201A9A">
        <w:rPr>
          <w:noProof/>
        </w:rPr>
        <w:t>ach planu wraz</w:t>
      </w:r>
      <w:r w:rsidR="00201A9A" w:rsidRPr="00201A9A">
        <w:rPr>
          <w:noProof/>
        </w:rPr>
        <w:t xml:space="preserve"> z num</w:t>
      </w:r>
      <w:r w:rsidRPr="00201A9A">
        <w:rPr>
          <w:noProof/>
        </w:rPr>
        <w:t>erem porządkowym działania</w:t>
      </w:r>
      <w:r w:rsidR="00201A9A" w:rsidRPr="00201A9A">
        <w:rPr>
          <w:noProof/>
        </w:rPr>
        <w:t xml:space="preserve"> i ide</w:t>
      </w:r>
      <w:r w:rsidRPr="00201A9A">
        <w:rPr>
          <w:noProof/>
        </w:rPr>
        <w:t>ntyfikatorem operacji.</w:t>
      </w:r>
    </w:p>
    <w:p w14:paraId="78AFB535" w14:textId="3AF9ED1B" w:rsidR="00256F20" w:rsidRPr="00201A9A" w:rsidRDefault="00201A9A" w:rsidP="00201A9A">
      <w:pPr>
        <w:pStyle w:val="Point1"/>
        <w:rPr>
          <w:noProof/>
        </w:rPr>
      </w:pPr>
      <w:r w:rsidRPr="00201A9A">
        <w:rPr>
          <w:noProof/>
        </w:rPr>
        <w:t>e)</w:t>
      </w:r>
      <w:r w:rsidRPr="00201A9A">
        <w:rPr>
          <w:noProof/>
        </w:rPr>
        <w:tab/>
      </w:r>
      <w:r w:rsidR="00256F20" w:rsidRPr="00201A9A">
        <w:rPr>
          <w:noProof/>
        </w:rPr>
        <w:t xml:space="preserve">na temat operacji: </w:t>
      </w:r>
    </w:p>
    <w:p w14:paraId="07C7B8FB" w14:textId="04BE0971" w:rsidR="00256F20" w:rsidRPr="00201A9A" w:rsidRDefault="00E1129D" w:rsidP="003E2902">
      <w:pPr>
        <w:pStyle w:val="Point2n"/>
        <w:numPr>
          <w:ilvl w:val="0"/>
          <w:numId w:val="128"/>
        </w:numPr>
        <w:spacing w:line="240" w:lineRule="auto"/>
        <w:jc w:val="both"/>
        <w:rPr>
          <w:noProof/>
        </w:rPr>
      </w:pPr>
      <w:r w:rsidRPr="00201A9A">
        <w:rPr>
          <w:noProof/>
        </w:rPr>
        <w:t>nazwę</w:t>
      </w:r>
      <w:r w:rsidR="00201A9A" w:rsidRPr="00201A9A">
        <w:rPr>
          <w:noProof/>
        </w:rPr>
        <w:t xml:space="preserve"> i nie</w:t>
      </w:r>
      <w:r w:rsidRPr="00201A9A">
        <w:rPr>
          <w:noProof/>
        </w:rPr>
        <w:t>powtarzalny identyfikator oraz geolokalizację operacji lub,</w:t>
      </w:r>
      <w:r w:rsidR="00201A9A" w:rsidRPr="00201A9A">
        <w:rPr>
          <w:noProof/>
        </w:rPr>
        <w:t xml:space="preserve"> w prz</w:t>
      </w:r>
      <w:r w:rsidRPr="00201A9A">
        <w:rPr>
          <w:noProof/>
        </w:rPr>
        <w:t>ypadku operacji mobilnych, operacji realizowanych</w:t>
      </w:r>
      <w:r w:rsidR="00201A9A" w:rsidRPr="00201A9A">
        <w:rPr>
          <w:noProof/>
        </w:rPr>
        <w:t xml:space="preserve"> w chm</w:t>
      </w:r>
      <w:r w:rsidRPr="00201A9A">
        <w:rPr>
          <w:noProof/>
        </w:rPr>
        <w:t xml:space="preserve">urze lub operacji obejmujących kilka lokalizacji – lokalizację beneficjenta; </w:t>
      </w:r>
    </w:p>
    <w:p w14:paraId="14101914" w14:textId="51ED784A" w:rsidR="00256F20" w:rsidRPr="00201A9A" w:rsidRDefault="00802C4B" w:rsidP="005A28DE">
      <w:pPr>
        <w:pStyle w:val="Point2n"/>
        <w:spacing w:line="240" w:lineRule="auto"/>
        <w:jc w:val="both"/>
        <w:rPr>
          <w:noProof/>
        </w:rPr>
      </w:pPr>
      <w:r w:rsidRPr="00201A9A">
        <w:rPr>
          <w:noProof/>
        </w:rPr>
        <w:t>krótki opis</w:t>
      </w:r>
      <w:r w:rsidR="00201A9A" w:rsidRPr="00201A9A">
        <w:rPr>
          <w:noProof/>
        </w:rPr>
        <w:t xml:space="preserve"> i cel</w:t>
      </w:r>
      <w:r w:rsidRPr="00201A9A">
        <w:rPr>
          <w:noProof/>
        </w:rPr>
        <w:t>e operacji,</w:t>
      </w:r>
      <w:r w:rsidR="00201A9A" w:rsidRPr="00201A9A">
        <w:rPr>
          <w:noProof/>
        </w:rPr>
        <w:t xml:space="preserve"> z wyj</w:t>
      </w:r>
      <w:r w:rsidRPr="00201A9A">
        <w:rPr>
          <w:noProof/>
        </w:rPr>
        <w:t>ątkiem interwencji</w:t>
      </w:r>
      <w:r w:rsidR="00201A9A" w:rsidRPr="00201A9A">
        <w:rPr>
          <w:noProof/>
        </w:rPr>
        <w:t xml:space="preserve"> w ram</w:t>
      </w:r>
      <w:r w:rsidRPr="00201A9A">
        <w:rPr>
          <w:noProof/>
        </w:rPr>
        <w:t>ach WPR,</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35 ust.</w:t>
      </w:r>
      <w:r w:rsidR="00201A9A" w:rsidRPr="00201A9A">
        <w:rPr>
          <w:noProof/>
        </w:rPr>
        <w:t> </w:t>
      </w:r>
      <w:r w:rsidRPr="00201A9A">
        <w:rPr>
          <w:noProof/>
        </w:rPr>
        <w:t>1 lit.</w:t>
      </w:r>
      <w:r w:rsidR="00201A9A" w:rsidRPr="00201A9A">
        <w:rPr>
          <w:noProof/>
        </w:rPr>
        <w:t> </w:t>
      </w:r>
      <w:r w:rsidRPr="00201A9A">
        <w:rPr>
          <w:noProof/>
        </w:rPr>
        <w:t>a)–g), o) i p);</w:t>
      </w:r>
    </w:p>
    <w:p w14:paraId="489EC7F7" w14:textId="6ED017E8" w:rsidR="00256F20" w:rsidRPr="00201A9A" w:rsidRDefault="00802C4B" w:rsidP="005A28DE">
      <w:pPr>
        <w:pStyle w:val="Point2n"/>
        <w:spacing w:line="240" w:lineRule="auto"/>
        <w:jc w:val="both"/>
        <w:rPr>
          <w:noProof/>
        </w:rPr>
      </w:pPr>
      <w:r w:rsidRPr="00201A9A">
        <w:rPr>
          <w:noProof/>
        </w:rPr>
        <w:t>niepowtarzalny identyfikator zaproszenia lub zaproszeń do składania wniosków</w:t>
      </w:r>
      <w:r w:rsidR="00201A9A" w:rsidRPr="00201A9A">
        <w:rPr>
          <w:noProof/>
        </w:rPr>
        <w:t xml:space="preserve"> i ofe</w:t>
      </w:r>
      <w:r w:rsidRPr="00201A9A">
        <w:rPr>
          <w:noProof/>
        </w:rPr>
        <w:t>rt,</w:t>
      </w:r>
      <w:r w:rsidR="00201A9A" w:rsidRPr="00201A9A">
        <w:rPr>
          <w:noProof/>
        </w:rPr>
        <w:t xml:space="preserve"> w ram</w:t>
      </w:r>
      <w:r w:rsidRPr="00201A9A">
        <w:rPr>
          <w:noProof/>
        </w:rPr>
        <w:t>ach których wybrano operację, oraz powiązane informacje zgodnie</w:t>
      </w:r>
      <w:r w:rsidR="00201A9A" w:rsidRPr="00201A9A">
        <w:rPr>
          <w:noProof/>
        </w:rPr>
        <w:t xml:space="preserve"> z art</w:t>
      </w:r>
      <w:r w:rsidRPr="00201A9A">
        <w:rPr>
          <w:noProof/>
        </w:rPr>
        <w:t>.</w:t>
      </w:r>
      <w:r w:rsidR="00201A9A" w:rsidRPr="00201A9A">
        <w:rPr>
          <w:noProof/>
        </w:rPr>
        <w:t> </w:t>
      </w:r>
      <w:r w:rsidRPr="00201A9A">
        <w:rPr>
          <w:noProof/>
        </w:rPr>
        <w:t>12 ust.</w:t>
      </w:r>
      <w:r w:rsidR="00201A9A" w:rsidRPr="00201A9A">
        <w:rPr>
          <w:noProof/>
        </w:rPr>
        <w:t> </w:t>
      </w:r>
      <w:r w:rsidRPr="00201A9A">
        <w:rPr>
          <w:noProof/>
        </w:rPr>
        <w:t>4 rozporządzenia (UE) [rozporządzenie</w:t>
      </w:r>
      <w:r w:rsidR="00201A9A" w:rsidRPr="00201A9A">
        <w:rPr>
          <w:noProof/>
        </w:rPr>
        <w:t xml:space="preserve"> w spr</w:t>
      </w:r>
      <w:r w:rsidRPr="00201A9A">
        <w:rPr>
          <w:noProof/>
        </w:rPr>
        <w:t>awie wykonania];</w:t>
      </w:r>
    </w:p>
    <w:p w14:paraId="0E6A3550" w14:textId="280241E8" w:rsidR="00256F20" w:rsidRPr="00201A9A" w:rsidRDefault="00802C4B" w:rsidP="005A28DE">
      <w:pPr>
        <w:pStyle w:val="Point2n"/>
        <w:spacing w:line="240" w:lineRule="auto"/>
        <w:jc w:val="both"/>
        <w:rPr>
          <w:noProof/>
        </w:rPr>
      </w:pPr>
      <w:r w:rsidRPr="00201A9A">
        <w:rPr>
          <w:noProof/>
        </w:rPr>
        <w:t>data złożenia wniosku</w:t>
      </w:r>
      <w:r w:rsidR="00201A9A" w:rsidRPr="00201A9A">
        <w:rPr>
          <w:noProof/>
        </w:rPr>
        <w:t xml:space="preserve"> o fin</w:t>
      </w:r>
      <w:r w:rsidRPr="00201A9A">
        <w:rPr>
          <w:noProof/>
        </w:rPr>
        <w:t>ansowanie</w:t>
      </w:r>
      <w:r w:rsidR="00201A9A" w:rsidRPr="00201A9A">
        <w:rPr>
          <w:noProof/>
        </w:rPr>
        <w:t xml:space="preserve"> i dat</w:t>
      </w:r>
      <w:r w:rsidRPr="00201A9A">
        <w:rPr>
          <w:noProof/>
        </w:rPr>
        <w:t xml:space="preserve">a dokumentu określającego warunki wsparcia; </w:t>
      </w:r>
    </w:p>
    <w:p w14:paraId="1B8BE4BA" w14:textId="449672D1" w:rsidR="00256F20" w:rsidRPr="00201A9A" w:rsidRDefault="00802C4B" w:rsidP="005A28DE">
      <w:pPr>
        <w:pStyle w:val="Point2n"/>
        <w:spacing w:line="240" w:lineRule="auto"/>
        <w:jc w:val="both"/>
        <w:rPr>
          <w:noProof/>
        </w:rPr>
      </w:pPr>
      <w:r w:rsidRPr="00201A9A">
        <w:rPr>
          <w:noProof/>
        </w:rPr>
        <w:t>kwota wkładu Unii podana</w:t>
      </w:r>
      <w:r w:rsidR="00201A9A" w:rsidRPr="00201A9A">
        <w:rPr>
          <w:noProof/>
        </w:rPr>
        <w:t xml:space="preserve"> w dok</w:t>
      </w:r>
      <w:r w:rsidRPr="00201A9A">
        <w:rPr>
          <w:noProof/>
        </w:rPr>
        <w:t xml:space="preserve">umencie określającym warunki wsparcia </w:t>
      </w:r>
    </w:p>
    <w:p w14:paraId="60D282EB" w14:textId="49920385" w:rsidR="00256F20" w:rsidRPr="00201A9A" w:rsidRDefault="00F54856" w:rsidP="005A28DE">
      <w:pPr>
        <w:pStyle w:val="Point2n"/>
        <w:spacing w:line="240" w:lineRule="auto"/>
        <w:jc w:val="both"/>
        <w:rPr>
          <w:noProof/>
        </w:rPr>
      </w:pPr>
      <w:r w:rsidRPr="00201A9A">
        <w:rPr>
          <w:noProof/>
        </w:rPr>
        <w:t>kwota wypłacona beneficjentowi</w:t>
      </w:r>
      <w:r w:rsidR="00201A9A" w:rsidRPr="00201A9A">
        <w:rPr>
          <w:noProof/>
        </w:rPr>
        <w:t xml:space="preserve"> w zwi</w:t>
      </w:r>
      <w:r w:rsidRPr="00201A9A">
        <w:rPr>
          <w:noProof/>
        </w:rPr>
        <w:t>ązku</w:t>
      </w:r>
      <w:r w:rsidR="00201A9A" w:rsidRPr="00201A9A">
        <w:rPr>
          <w:noProof/>
        </w:rPr>
        <w:t xml:space="preserve"> z ope</w:t>
      </w:r>
      <w:r w:rsidRPr="00201A9A">
        <w:rPr>
          <w:noProof/>
        </w:rPr>
        <w:t xml:space="preserve">racją; </w:t>
      </w:r>
    </w:p>
    <w:p w14:paraId="06F558ED" w14:textId="533E142D" w:rsidR="00303424" w:rsidRPr="00201A9A" w:rsidRDefault="001F772D" w:rsidP="005A28DE">
      <w:pPr>
        <w:pStyle w:val="Point2n"/>
        <w:spacing w:line="240" w:lineRule="auto"/>
        <w:jc w:val="both"/>
        <w:rPr>
          <w:noProof/>
        </w:rPr>
      </w:pPr>
      <w:r w:rsidRPr="00201A9A">
        <w:rPr>
          <w:noProof/>
        </w:rPr>
        <w:t>stawka współfinansowania mająca zastosowanie do powiązanego rozdziału planu oraz,</w:t>
      </w:r>
      <w:r w:rsidR="00201A9A" w:rsidRPr="00201A9A">
        <w:rPr>
          <w:noProof/>
        </w:rPr>
        <w:t xml:space="preserve"> w sto</w:t>
      </w:r>
      <w:r w:rsidRPr="00201A9A">
        <w:rPr>
          <w:noProof/>
        </w:rPr>
        <w:t>sownych przypadkach, dodatkowe finansowanie krajowe;</w:t>
      </w:r>
    </w:p>
    <w:p w14:paraId="0D6130A0" w14:textId="76D21464" w:rsidR="00256F20" w:rsidRPr="00201A9A" w:rsidRDefault="00802C4B" w:rsidP="005A28DE">
      <w:pPr>
        <w:pStyle w:val="Point2n"/>
        <w:spacing w:line="240" w:lineRule="auto"/>
        <w:jc w:val="both"/>
        <w:rPr>
          <w:noProof/>
        </w:rPr>
      </w:pPr>
      <w:r w:rsidRPr="00201A9A">
        <w:rPr>
          <w:noProof/>
        </w:rPr>
        <w:t>data rozpoczęcia</w:t>
      </w:r>
      <w:r w:rsidR="00201A9A" w:rsidRPr="00201A9A">
        <w:rPr>
          <w:noProof/>
        </w:rPr>
        <w:t xml:space="preserve"> i zak</w:t>
      </w:r>
      <w:r w:rsidRPr="00201A9A">
        <w:rPr>
          <w:noProof/>
        </w:rPr>
        <w:t>ończenia operacji wskazana</w:t>
      </w:r>
      <w:r w:rsidR="00201A9A" w:rsidRPr="00201A9A">
        <w:rPr>
          <w:noProof/>
        </w:rPr>
        <w:t xml:space="preserve"> w dok</w:t>
      </w:r>
      <w:r w:rsidRPr="00201A9A">
        <w:rPr>
          <w:noProof/>
        </w:rPr>
        <w:t xml:space="preserve">umencie określającym warunki wsparcia; </w:t>
      </w:r>
    </w:p>
    <w:p w14:paraId="64932A43" w14:textId="40D166E6" w:rsidR="00256F20" w:rsidRPr="00201A9A" w:rsidRDefault="00F54856" w:rsidP="005A28DE">
      <w:pPr>
        <w:pStyle w:val="Point2n"/>
        <w:spacing w:line="240" w:lineRule="auto"/>
        <w:jc w:val="both"/>
        <w:rPr>
          <w:noProof/>
        </w:rPr>
      </w:pPr>
      <w:r w:rsidRPr="00201A9A">
        <w:rPr>
          <w:noProof/>
        </w:rPr>
        <w:t>faktyczna data, kiedy operacja została fizycznie ukończona lub</w:t>
      </w:r>
      <w:r w:rsidR="00201A9A" w:rsidRPr="00201A9A">
        <w:rPr>
          <w:noProof/>
        </w:rPr>
        <w:t xml:space="preserve"> w peł</w:t>
      </w:r>
      <w:r w:rsidRPr="00201A9A">
        <w:rPr>
          <w:noProof/>
        </w:rPr>
        <w:t xml:space="preserve">ni wdrożona; </w:t>
      </w:r>
    </w:p>
    <w:p w14:paraId="7CC938C2" w14:textId="48425AF5" w:rsidR="00256F20" w:rsidRPr="00201A9A" w:rsidRDefault="00F54856" w:rsidP="005A28DE">
      <w:pPr>
        <w:pStyle w:val="Point2n"/>
        <w:spacing w:line="240" w:lineRule="auto"/>
        <w:jc w:val="both"/>
        <w:rPr>
          <w:noProof/>
        </w:rPr>
      </w:pPr>
      <w:r w:rsidRPr="00201A9A">
        <w:rPr>
          <w:noProof/>
        </w:rPr>
        <w:t>waluta operacji wskazana</w:t>
      </w:r>
      <w:r w:rsidR="00201A9A" w:rsidRPr="00201A9A">
        <w:rPr>
          <w:noProof/>
        </w:rPr>
        <w:t xml:space="preserve"> w dok</w:t>
      </w:r>
      <w:r w:rsidRPr="00201A9A">
        <w:rPr>
          <w:noProof/>
        </w:rPr>
        <w:t xml:space="preserve">umencie określającym warunki wsparcia; </w:t>
      </w:r>
    </w:p>
    <w:p w14:paraId="4E93644F" w14:textId="51152564" w:rsidR="00256F20" w:rsidRPr="00201A9A" w:rsidRDefault="00F54856" w:rsidP="005A28DE">
      <w:pPr>
        <w:pStyle w:val="Point2n"/>
        <w:spacing w:line="240" w:lineRule="auto"/>
        <w:jc w:val="both"/>
        <w:rPr>
          <w:noProof/>
        </w:rPr>
      </w:pPr>
      <w:r w:rsidRPr="00201A9A">
        <w:rPr>
          <w:noProof/>
        </w:rPr>
        <w:t>niepowtarzalny identyfikator planu,</w:t>
      </w:r>
      <w:r w:rsidR="00201A9A" w:rsidRPr="00201A9A">
        <w:rPr>
          <w:noProof/>
        </w:rPr>
        <w:t xml:space="preserve"> w ram</w:t>
      </w:r>
      <w:r w:rsidRPr="00201A9A">
        <w:rPr>
          <w:noProof/>
        </w:rPr>
        <w:t xml:space="preserve">ach którego wspierana jest operacja; </w:t>
      </w:r>
    </w:p>
    <w:p w14:paraId="077C1207" w14:textId="706C4646" w:rsidR="00256F20" w:rsidRPr="00201A9A" w:rsidRDefault="00F54856" w:rsidP="005A28DE">
      <w:pPr>
        <w:pStyle w:val="Point2n"/>
        <w:spacing w:line="240" w:lineRule="auto"/>
        <w:jc w:val="both"/>
        <w:rPr>
          <w:noProof/>
        </w:rPr>
      </w:pPr>
      <w:r w:rsidRPr="00201A9A">
        <w:rPr>
          <w:noProof/>
        </w:rPr>
        <w:t>informacje na temat tego, czy</w:t>
      </w:r>
      <w:r w:rsidR="00201A9A" w:rsidRPr="00201A9A">
        <w:rPr>
          <w:noProof/>
        </w:rPr>
        <w:t xml:space="preserve"> w ope</w:t>
      </w:r>
      <w:r w:rsidRPr="00201A9A">
        <w:rPr>
          <w:noProof/>
        </w:rPr>
        <w:t>racji uczestniczy państwo trzecie lub czy operacja jest wdrażana</w:t>
      </w:r>
      <w:r w:rsidR="00201A9A" w:rsidRPr="00201A9A">
        <w:rPr>
          <w:noProof/>
        </w:rPr>
        <w:t xml:space="preserve"> w pań</w:t>
      </w:r>
      <w:r w:rsidRPr="00201A9A">
        <w:rPr>
          <w:noProof/>
        </w:rPr>
        <w:t xml:space="preserve">stwie trzecim; jeżeli tak, dane identyfikacyjne tego państwa trzeciego; </w:t>
      </w:r>
    </w:p>
    <w:p w14:paraId="3DCC5C87" w14:textId="3CCEC56F" w:rsidR="00655039" w:rsidRPr="00201A9A" w:rsidRDefault="001F5C70" w:rsidP="005A28DE">
      <w:pPr>
        <w:pStyle w:val="Point2n"/>
        <w:spacing w:line="240" w:lineRule="auto"/>
        <w:jc w:val="both"/>
        <w:rPr>
          <w:noProof/>
        </w:rPr>
      </w:pPr>
      <w:r w:rsidRPr="00201A9A">
        <w:rPr>
          <w:noProof/>
        </w:rPr>
        <w:t>numer porządkowy środka, kamienia milowego</w:t>
      </w:r>
      <w:r w:rsidR="00201A9A" w:rsidRPr="00201A9A">
        <w:rPr>
          <w:noProof/>
        </w:rPr>
        <w:t xml:space="preserve"> i war</w:t>
      </w:r>
      <w:r w:rsidRPr="00201A9A">
        <w:rPr>
          <w:noProof/>
        </w:rPr>
        <w:t>tości docelowej, zakresu interwencji</w:t>
      </w:r>
      <w:r w:rsidR="00201A9A" w:rsidRPr="00201A9A">
        <w:rPr>
          <w:noProof/>
        </w:rPr>
        <w:t xml:space="preserve"> i wsk</w:t>
      </w:r>
      <w:r w:rsidRPr="00201A9A">
        <w:rPr>
          <w:noProof/>
        </w:rPr>
        <w:t>aźników wykonania zgodnie</w:t>
      </w:r>
      <w:r w:rsidR="00201A9A" w:rsidRPr="00201A9A">
        <w:rPr>
          <w:noProof/>
        </w:rPr>
        <w:t xml:space="preserve"> z art</w:t>
      </w:r>
      <w:r w:rsidRPr="00201A9A">
        <w:rPr>
          <w:noProof/>
        </w:rPr>
        <w:t>.</w:t>
      </w:r>
      <w:r w:rsidR="00201A9A" w:rsidRPr="00201A9A">
        <w:rPr>
          <w:noProof/>
        </w:rPr>
        <w:t> </w:t>
      </w:r>
      <w:r w:rsidRPr="00201A9A">
        <w:rPr>
          <w:noProof/>
        </w:rPr>
        <w:t>14 rozporządzenia [rozporządzenie</w:t>
      </w:r>
      <w:r w:rsidR="00201A9A" w:rsidRPr="00201A9A">
        <w:rPr>
          <w:noProof/>
        </w:rPr>
        <w:t xml:space="preserve"> w spr</w:t>
      </w:r>
      <w:r w:rsidRPr="00201A9A">
        <w:rPr>
          <w:noProof/>
        </w:rPr>
        <w:t>awie wykonania], do których osiągnięcia przyczynia się operacja, oraz postępy</w:t>
      </w:r>
      <w:r w:rsidR="00201A9A" w:rsidRPr="00201A9A">
        <w:rPr>
          <w:noProof/>
        </w:rPr>
        <w:t xml:space="preserve"> w osi</w:t>
      </w:r>
      <w:r w:rsidRPr="00201A9A">
        <w:rPr>
          <w:noProof/>
        </w:rPr>
        <w:t>ągnięciach</w:t>
      </w:r>
      <w:r w:rsidR="00201A9A" w:rsidRPr="00201A9A">
        <w:rPr>
          <w:noProof/>
        </w:rPr>
        <w:t xml:space="preserve"> i w odn</w:t>
      </w:r>
      <w:r w:rsidRPr="00201A9A">
        <w:rPr>
          <w:noProof/>
        </w:rPr>
        <w:t xml:space="preserve">iesieniu do poszczególnych wskaźników; </w:t>
      </w:r>
    </w:p>
    <w:p w14:paraId="6406738B" w14:textId="39B93E8A" w:rsidR="00256F20" w:rsidRPr="00201A9A" w:rsidRDefault="1D7424B5" w:rsidP="005A28DE">
      <w:pPr>
        <w:pStyle w:val="Point2n"/>
        <w:spacing w:line="240" w:lineRule="auto"/>
        <w:jc w:val="both"/>
        <w:rPr>
          <w:noProof/>
        </w:rPr>
      </w:pPr>
      <w:r w:rsidRPr="00201A9A">
        <w:rPr>
          <w:noProof/>
        </w:rPr>
        <w:t>w odniesieniu do interwencji</w:t>
      </w:r>
      <w:r w:rsidR="00201A9A" w:rsidRPr="00201A9A">
        <w:rPr>
          <w:noProof/>
        </w:rPr>
        <w:t xml:space="preserve"> w ram</w:t>
      </w:r>
      <w:r w:rsidRPr="00201A9A">
        <w:rPr>
          <w:noProof/>
        </w:rPr>
        <w:t>ach WPR,</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35 ust.</w:t>
      </w:r>
      <w:r w:rsidR="00201A9A" w:rsidRPr="00201A9A">
        <w:rPr>
          <w:noProof/>
        </w:rPr>
        <w:t> </w:t>
      </w:r>
      <w:r w:rsidRPr="00201A9A">
        <w:rPr>
          <w:noProof/>
        </w:rPr>
        <w:t>1: kwalifikowalny obszar,</w:t>
      </w:r>
      <w:r w:rsidR="00201A9A" w:rsidRPr="00201A9A">
        <w:rPr>
          <w:noProof/>
        </w:rPr>
        <w:t xml:space="preserve"> w sto</w:t>
      </w:r>
      <w:r w:rsidRPr="00201A9A">
        <w:rPr>
          <w:noProof/>
        </w:rPr>
        <w:t xml:space="preserve">sownych przypadkach objęte praktyki rolnicze, czy dana praktyka rolnicza jest nowo wdrożona, sektor rolny, grupa rolników lub obszar objęty pomocą, rodzaj obszaru objętego wsparciem, ubezpieczony obszar, liczba zwierząt lub kapitał, kategoria inwestycji, rodzaj szkolenia; </w:t>
      </w:r>
    </w:p>
    <w:p w14:paraId="668B86CB" w14:textId="2996F4EA" w:rsidR="00256F20" w:rsidRPr="00201A9A" w:rsidRDefault="001F5C70" w:rsidP="005A28DE">
      <w:pPr>
        <w:pStyle w:val="Point2n"/>
        <w:spacing w:line="240" w:lineRule="auto"/>
        <w:jc w:val="both"/>
        <w:rPr>
          <w:noProof/>
        </w:rPr>
      </w:pPr>
      <w:r w:rsidRPr="00201A9A">
        <w:rPr>
          <w:noProof/>
        </w:rPr>
        <w:t>informacje na temat tego, czy instrument finansowy jest połączony ze wsparciem</w:t>
      </w:r>
      <w:r w:rsidR="00201A9A" w:rsidRPr="00201A9A">
        <w:rPr>
          <w:noProof/>
        </w:rPr>
        <w:t xml:space="preserve"> z pro</w:t>
      </w:r>
      <w:r w:rsidRPr="00201A9A">
        <w:rPr>
          <w:noProof/>
        </w:rPr>
        <w:t>gramu</w:t>
      </w:r>
      <w:r w:rsidR="00201A9A" w:rsidRPr="00201A9A">
        <w:rPr>
          <w:noProof/>
        </w:rPr>
        <w:t xml:space="preserve"> w for</w:t>
      </w:r>
      <w:r w:rsidRPr="00201A9A">
        <w:rPr>
          <w:noProof/>
        </w:rPr>
        <w:t>mie dotacji</w:t>
      </w:r>
      <w:r w:rsidR="00201A9A" w:rsidRPr="00201A9A">
        <w:rPr>
          <w:noProof/>
        </w:rPr>
        <w:t xml:space="preserve"> w roz</w:t>
      </w:r>
      <w:r w:rsidRPr="00201A9A">
        <w:rPr>
          <w:noProof/>
        </w:rPr>
        <w:t>umieniu art.</w:t>
      </w:r>
      <w:r w:rsidR="00201A9A" w:rsidRPr="00201A9A">
        <w:rPr>
          <w:noProof/>
        </w:rPr>
        <w:t> </w:t>
      </w:r>
      <w:r w:rsidRPr="00201A9A">
        <w:rPr>
          <w:noProof/>
        </w:rPr>
        <w:t xml:space="preserve">71; </w:t>
      </w:r>
    </w:p>
    <w:p w14:paraId="11BEF7C9" w14:textId="19A1642C" w:rsidR="00256F20" w:rsidRPr="00201A9A" w:rsidRDefault="001F5C70" w:rsidP="005A28DE">
      <w:pPr>
        <w:pStyle w:val="Point2n"/>
        <w:spacing w:line="240" w:lineRule="auto"/>
        <w:jc w:val="both"/>
        <w:rPr>
          <w:noProof/>
        </w:rPr>
      </w:pPr>
      <w:r w:rsidRPr="00201A9A">
        <w:rPr>
          <w:noProof/>
        </w:rPr>
        <w:t>informacje na temat tego, czy operacja instrumentu finansowego jest wdrażana</w:t>
      </w:r>
      <w:r w:rsidR="00201A9A" w:rsidRPr="00201A9A">
        <w:rPr>
          <w:noProof/>
        </w:rPr>
        <w:t xml:space="preserve"> w kol</w:t>
      </w:r>
      <w:r w:rsidRPr="00201A9A">
        <w:rPr>
          <w:noProof/>
        </w:rPr>
        <w:t>ejnych okresach programowania,</w:t>
      </w:r>
      <w:r w:rsidR="00201A9A" w:rsidRPr="00201A9A">
        <w:rPr>
          <w:noProof/>
        </w:rPr>
        <w:t xml:space="preserve"> o któ</w:t>
      </w:r>
      <w:r w:rsidRPr="00201A9A">
        <w:rPr>
          <w:noProof/>
        </w:rPr>
        <w:t>rych mowa poniżej: okres programowania 2021–2027</w:t>
      </w:r>
      <w:r w:rsidR="00201A9A" w:rsidRPr="00201A9A">
        <w:rPr>
          <w:noProof/>
        </w:rPr>
        <w:t xml:space="preserve"> i nas</w:t>
      </w:r>
      <w:r w:rsidRPr="00201A9A">
        <w:rPr>
          <w:noProof/>
        </w:rPr>
        <w:t>tępujący po nim okres programowania 2027–2034;</w:t>
      </w:r>
    </w:p>
    <w:p w14:paraId="66348BEB" w14:textId="17AB1971" w:rsidR="00256F20" w:rsidRPr="00201A9A" w:rsidRDefault="001F5C70" w:rsidP="005A28DE">
      <w:pPr>
        <w:pStyle w:val="Point2n"/>
        <w:spacing w:line="240" w:lineRule="auto"/>
        <w:jc w:val="both"/>
        <w:rPr>
          <w:noProof/>
        </w:rPr>
      </w:pPr>
      <w:r w:rsidRPr="00201A9A">
        <w:rPr>
          <w:noProof/>
        </w:rPr>
        <w:t>w przypadku gdy instrument finansowy jest zorganizowany za pośrednictwem funduszu powierniczego informacje na temat podmiotu wdrażającego fundusz szczegółowy</w:t>
      </w:r>
      <w:r w:rsidR="00201A9A" w:rsidRPr="00201A9A">
        <w:rPr>
          <w:noProof/>
        </w:rPr>
        <w:t xml:space="preserve"> w ram</w:t>
      </w:r>
      <w:r w:rsidRPr="00201A9A">
        <w:rPr>
          <w:noProof/>
        </w:rPr>
        <w:t xml:space="preserve">ach funduszu powierniczego; </w:t>
      </w:r>
    </w:p>
    <w:p w14:paraId="08E8B587" w14:textId="074C2723" w:rsidR="00256F20" w:rsidRPr="00201A9A" w:rsidRDefault="001F5C70" w:rsidP="005A28DE">
      <w:pPr>
        <w:pStyle w:val="Point2n"/>
        <w:spacing w:line="240" w:lineRule="auto"/>
        <w:jc w:val="both"/>
        <w:rPr>
          <w:noProof/>
        </w:rPr>
      </w:pPr>
      <w:r w:rsidRPr="00201A9A">
        <w:rPr>
          <w:noProof/>
        </w:rPr>
        <w:t>w odniesieniu do operacji instrumentu finansowego – kwota zasobów prywatnych</w:t>
      </w:r>
      <w:r w:rsidR="00201A9A" w:rsidRPr="00201A9A">
        <w:rPr>
          <w:noProof/>
        </w:rPr>
        <w:t xml:space="preserve"> i pub</w:t>
      </w:r>
      <w:r w:rsidRPr="00201A9A">
        <w:rPr>
          <w:noProof/>
        </w:rPr>
        <w:t>licznych uruchomionych</w:t>
      </w:r>
      <w:r w:rsidR="00201A9A" w:rsidRPr="00201A9A">
        <w:rPr>
          <w:noProof/>
        </w:rPr>
        <w:t xml:space="preserve"> w uzu</w:t>
      </w:r>
      <w:r w:rsidRPr="00201A9A">
        <w:rPr>
          <w:noProof/>
        </w:rPr>
        <w:t>pełnieniu środków pochodzących Funduszy, według produktu: pożyczki; gwarancje: kapitał własny lub quasi-kapitał własny; dotacje</w:t>
      </w:r>
      <w:r w:rsidR="00201A9A" w:rsidRPr="00201A9A">
        <w:rPr>
          <w:noProof/>
        </w:rPr>
        <w:t xml:space="preserve"> w ram</w:t>
      </w:r>
      <w:r w:rsidRPr="00201A9A">
        <w:rPr>
          <w:noProof/>
        </w:rPr>
        <w:t xml:space="preserve">ach operacji instrumentu finansowego; </w:t>
      </w:r>
    </w:p>
    <w:p w14:paraId="6288B8E2" w14:textId="0CB38C6C" w:rsidR="006838D5" w:rsidRPr="00201A9A" w:rsidRDefault="00201A9A" w:rsidP="00201A9A">
      <w:pPr>
        <w:pStyle w:val="Point1"/>
        <w:rPr>
          <w:noProof/>
        </w:rPr>
      </w:pPr>
      <w:r w:rsidRPr="00201A9A">
        <w:rPr>
          <w:noProof/>
        </w:rPr>
        <w:t>f)</w:t>
      </w:r>
      <w:r w:rsidRPr="00201A9A">
        <w:rPr>
          <w:noProof/>
        </w:rPr>
        <w:tab/>
      </w:r>
      <w:r w:rsidR="005A381C" w:rsidRPr="00201A9A">
        <w:rPr>
          <w:noProof/>
        </w:rPr>
        <w:t>w kwestii rozwoju lokalnego kierowanego przez społeczność,</w:t>
      </w:r>
      <w:r w:rsidRPr="00201A9A">
        <w:rPr>
          <w:noProof/>
        </w:rPr>
        <w:t xml:space="preserve"> w odn</w:t>
      </w:r>
      <w:r w:rsidR="005A381C" w:rsidRPr="00201A9A">
        <w:rPr>
          <w:noProof/>
        </w:rPr>
        <w:t>iesieniu do każdej lokalnej grupy działania:</w:t>
      </w:r>
    </w:p>
    <w:p w14:paraId="3229A2D3" w14:textId="26913271" w:rsidR="002E66FA" w:rsidRPr="00201A9A" w:rsidRDefault="002E66FA" w:rsidP="003E2902">
      <w:pPr>
        <w:pStyle w:val="Point2n"/>
        <w:numPr>
          <w:ilvl w:val="0"/>
          <w:numId w:val="129"/>
        </w:numPr>
        <w:spacing w:line="240" w:lineRule="auto"/>
        <w:jc w:val="both"/>
        <w:rPr>
          <w:noProof/>
        </w:rPr>
      </w:pPr>
      <w:r w:rsidRPr="00201A9A">
        <w:rPr>
          <w:noProof/>
        </w:rPr>
        <w:t>liczba członków</w:t>
      </w:r>
      <w:r w:rsidR="00201A9A" w:rsidRPr="00201A9A">
        <w:rPr>
          <w:noProof/>
        </w:rPr>
        <w:t xml:space="preserve"> w pod</w:t>
      </w:r>
      <w:r w:rsidRPr="00201A9A">
        <w:rPr>
          <w:noProof/>
        </w:rPr>
        <w:t>ziale na kategorie, liczba członków uczestniczących</w:t>
      </w:r>
      <w:r w:rsidR="00201A9A" w:rsidRPr="00201A9A">
        <w:rPr>
          <w:noProof/>
        </w:rPr>
        <w:t xml:space="preserve"> w pro</w:t>
      </w:r>
      <w:r w:rsidRPr="00201A9A">
        <w:rPr>
          <w:noProof/>
        </w:rPr>
        <w:t>cesie decyzyjnym według kategorii</w:t>
      </w:r>
      <w:r w:rsidR="00201A9A" w:rsidRPr="00201A9A">
        <w:rPr>
          <w:noProof/>
        </w:rPr>
        <w:t xml:space="preserve"> i płc</w:t>
      </w:r>
      <w:r w:rsidRPr="00201A9A">
        <w:rPr>
          <w:noProof/>
        </w:rPr>
        <w:t>i, włączenie osób młodych</w:t>
      </w:r>
      <w:r w:rsidR="00201A9A" w:rsidRPr="00201A9A">
        <w:rPr>
          <w:noProof/>
        </w:rPr>
        <w:t xml:space="preserve"> w pro</w:t>
      </w:r>
      <w:r w:rsidRPr="00201A9A">
        <w:rPr>
          <w:noProof/>
        </w:rPr>
        <w:t xml:space="preserve">ces decyzyjny; </w:t>
      </w:r>
    </w:p>
    <w:p w14:paraId="025841A3" w14:textId="1C62A8D2" w:rsidR="002E66FA" w:rsidRPr="00201A9A" w:rsidRDefault="002E66FA" w:rsidP="005A28DE">
      <w:pPr>
        <w:pStyle w:val="Point2n"/>
        <w:spacing w:line="240" w:lineRule="auto"/>
        <w:jc w:val="both"/>
        <w:rPr>
          <w:noProof/>
        </w:rPr>
      </w:pPr>
      <w:r w:rsidRPr="00201A9A">
        <w:rPr>
          <w:noProof/>
        </w:rPr>
        <w:t>liczba zrealizowanych działań według rodzaju beneficjenta</w:t>
      </w:r>
      <w:r w:rsidR="00201A9A" w:rsidRPr="00201A9A">
        <w:rPr>
          <w:noProof/>
        </w:rPr>
        <w:t xml:space="preserve"> i wed</w:t>
      </w:r>
      <w:r w:rsidRPr="00201A9A">
        <w:rPr>
          <w:noProof/>
        </w:rPr>
        <w:t>ług obszaru, liczba działań obejmujących innowacje; kwota wkładu Unii, na którą zaciągnięto zobowiązania</w:t>
      </w:r>
      <w:r w:rsidR="00201A9A" w:rsidRPr="00201A9A">
        <w:rPr>
          <w:noProof/>
        </w:rPr>
        <w:t xml:space="preserve"> i któ</w:t>
      </w:r>
      <w:r w:rsidRPr="00201A9A">
        <w:rPr>
          <w:noProof/>
        </w:rPr>
        <w:t>rą wypłacono na rzecz działań</w:t>
      </w:r>
      <w:r w:rsidR="00201A9A" w:rsidRPr="00201A9A">
        <w:rPr>
          <w:noProof/>
        </w:rPr>
        <w:t xml:space="preserve"> w zak</w:t>
      </w:r>
      <w:r w:rsidRPr="00201A9A">
        <w:rPr>
          <w:noProof/>
        </w:rPr>
        <w:t>resie budowania zdolności</w:t>
      </w:r>
      <w:r w:rsidR="00201A9A" w:rsidRPr="00201A9A">
        <w:rPr>
          <w:noProof/>
        </w:rPr>
        <w:t xml:space="preserve"> i dzi</w:t>
      </w:r>
      <w:r w:rsidRPr="00201A9A">
        <w:rPr>
          <w:noProof/>
        </w:rPr>
        <w:t>ałań przygotowawczych oraz na rzecz zarządzania strategią, jej monitorowania</w:t>
      </w:r>
      <w:r w:rsidR="00201A9A" w:rsidRPr="00201A9A">
        <w:rPr>
          <w:noProof/>
        </w:rPr>
        <w:t xml:space="preserve"> i oce</w:t>
      </w:r>
      <w:r w:rsidRPr="00201A9A">
        <w:rPr>
          <w:noProof/>
        </w:rPr>
        <w:t>ny oraz jej animowanie;</w:t>
      </w:r>
    </w:p>
    <w:p w14:paraId="0EDABA8C" w14:textId="2F7F4799" w:rsidR="002E66FA" w:rsidRPr="00201A9A" w:rsidRDefault="002E66FA" w:rsidP="005A28DE">
      <w:pPr>
        <w:pStyle w:val="Point2n"/>
        <w:spacing w:line="240" w:lineRule="auto"/>
        <w:jc w:val="both"/>
        <w:rPr>
          <w:noProof/>
        </w:rPr>
      </w:pPr>
      <w:r w:rsidRPr="00201A9A">
        <w:rPr>
          <w:noProof/>
        </w:rPr>
        <w:t>wsparcie lokalnych grup działania przeznaczone na rozwój regionalny, zatrudnienie</w:t>
      </w:r>
      <w:r w:rsidR="00201A9A" w:rsidRPr="00201A9A">
        <w:rPr>
          <w:noProof/>
        </w:rPr>
        <w:t xml:space="preserve"> i pol</w:t>
      </w:r>
      <w:r w:rsidRPr="00201A9A">
        <w:rPr>
          <w:noProof/>
        </w:rPr>
        <w:t>itykę społeczną lub na rozwój społeczności nadbrzeżnych</w:t>
      </w:r>
      <w:r w:rsidR="00201A9A" w:rsidRPr="00201A9A">
        <w:rPr>
          <w:noProof/>
        </w:rPr>
        <w:t xml:space="preserve"> i spo</w:t>
      </w:r>
      <w:r w:rsidRPr="00201A9A">
        <w:rPr>
          <w:noProof/>
        </w:rPr>
        <w:t>łeczności zajmujących się akwakulturą;</w:t>
      </w:r>
    </w:p>
    <w:p w14:paraId="78334667" w14:textId="1289DBDF" w:rsidR="0069738B" w:rsidRPr="00201A9A" w:rsidRDefault="00201A9A" w:rsidP="00201A9A">
      <w:pPr>
        <w:pStyle w:val="Point1"/>
        <w:rPr>
          <w:noProof/>
        </w:rPr>
      </w:pPr>
      <w:r w:rsidRPr="00201A9A">
        <w:rPr>
          <w:noProof/>
        </w:rPr>
        <w:t>g)</w:t>
      </w:r>
      <w:r w:rsidRPr="00201A9A">
        <w:rPr>
          <w:noProof/>
        </w:rPr>
        <w:tab/>
      </w:r>
      <w:r w:rsidR="0069738B" w:rsidRPr="00201A9A">
        <w:rPr>
          <w:noProof/>
        </w:rPr>
        <w:t>w odniesieniu do każdej grupy operacyjnej EPI-AGRI:</w:t>
      </w:r>
    </w:p>
    <w:p w14:paraId="6220E171" w14:textId="0C09FF79" w:rsidR="0069738B" w:rsidRPr="00201A9A" w:rsidRDefault="0069738B" w:rsidP="003E2902">
      <w:pPr>
        <w:pStyle w:val="Point2n"/>
        <w:numPr>
          <w:ilvl w:val="0"/>
          <w:numId w:val="33"/>
        </w:numPr>
        <w:spacing w:line="240" w:lineRule="auto"/>
        <w:jc w:val="both"/>
        <w:rPr>
          <w:noProof/>
        </w:rPr>
      </w:pPr>
      <w:r w:rsidRPr="00201A9A">
        <w:rPr>
          <w:noProof/>
        </w:rPr>
        <w:t>tytuł projektu; koordynator projektu</w:t>
      </w:r>
      <w:r w:rsidR="00201A9A" w:rsidRPr="00201A9A">
        <w:rPr>
          <w:noProof/>
        </w:rPr>
        <w:t xml:space="preserve"> i par</w:t>
      </w:r>
      <w:r w:rsidRPr="00201A9A">
        <w:rPr>
          <w:noProof/>
        </w:rPr>
        <w:t>tner (partnerzy); rodzaj partnera, nazwa, adres, adres e-mail</w:t>
      </w:r>
      <w:r w:rsidR="00201A9A" w:rsidRPr="00201A9A">
        <w:rPr>
          <w:noProof/>
        </w:rPr>
        <w:t xml:space="preserve"> i num</w:t>
      </w:r>
      <w:r w:rsidRPr="00201A9A">
        <w:rPr>
          <w:noProof/>
        </w:rPr>
        <w:t>er telefonu; data rozpoczęcia</w:t>
      </w:r>
      <w:r w:rsidR="00201A9A" w:rsidRPr="00201A9A">
        <w:rPr>
          <w:noProof/>
        </w:rPr>
        <w:t xml:space="preserve"> i zak</w:t>
      </w:r>
      <w:r w:rsidRPr="00201A9A">
        <w:rPr>
          <w:noProof/>
        </w:rPr>
        <w:t>ończenia, cele</w:t>
      </w:r>
      <w:r w:rsidR="00201A9A" w:rsidRPr="00201A9A">
        <w:rPr>
          <w:noProof/>
        </w:rPr>
        <w:t xml:space="preserve"> i cha</w:t>
      </w:r>
      <w:r w:rsidRPr="00201A9A">
        <w:rPr>
          <w:noProof/>
        </w:rPr>
        <w:t>rakter projektu; kluczowe obszary tematyczne; zakres terytorialny, położenie geograficzne; „podsumowanie (podsumowania) praktyki” wraz</w:t>
      </w:r>
      <w:r w:rsidR="00201A9A" w:rsidRPr="00201A9A">
        <w:rPr>
          <w:noProof/>
        </w:rPr>
        <w:t xml:space="preserve"> z głó</w:t>
      </w:r>
      <w:r w:rsidRPr="00201A9A">
        <w:rPr>
          <w:noProof/>
        </w:rPr>
        <w:t>wnymi ustaleniami projektu; wkład projektu</w:t>
      </w:r>
      <w:r w:rsidR="00201A9A" w:rsidRPr="00201A9A">
        <w:rPr>
          <w:noProof/>
        </w:rPr>
        <w:t xml:space="preserve"> w osi</w:t>
      </w:r>
      <w:r w:rsidRPr="00201A9A">
        <w:rPr>
          <w:noProof/>
        </w:rPr>
        <w:t>ągnięcie celów szczegółowych WPR; sprawozdanie końcowe;</w:t>
      </w:r>
    </w:p>
    <w:p w14:paraId="227587FD" w14:textId="0CD21AB1" w:rsidR="00EC49A1" w:rsidRPr="00201A9A" w:rsidRDefault="0069738B" w:rsidP="005A28DE">
      <w:pPr>
        <w:pStyle w:val="Point2n"/>
        <w:spacing w:line="240" w:lineRule="auto"/>
        <w:jc w:val="both"/>
        <w:rPr>
          <w:noProof/>
        </w:rPr>
      </w:pPr>
      <w:r w:rsidRPr="00201A9A">
        <w:rPr>
          <w:noProof/>
        </w:rPr>
        <w:t>w stosownych przypadkach, dodatkowe źródło lub źródła finansowania</w:t>
      </w:r>
      <w:r w:rsidR="00201A9A" w:rsidRPr="00201A9A">
        <w:rPr>
          <w:noProof/>
        </w:rPr>
        <w:t xml:space="preserve"> w sto</w:t>
      </w:r>
      <w:r w:rsidRPr="00201A9A">
        <w:rPr>
          <w:noProof/>
        </w:rPr>
        <w:t>sunku do wkładu Unii</w:t>
      </w:r>
      <w:r w:rsidR="00201A9A" w:rsidRPr="00201A9A">
        <w:rPr>
          <w:noProof/>
        </w:rPr>
        <w:t xml:space="preserve"> i wsp</w:t>
      </w:r>
      <w:r w:rsidRPr="00201A9A">
        <w:rPr>
          <w:noProof/>
        </w:rPr>
        <w:t>ółfinansowania.</w:t>
      </w:r>
    </w:p>
    <w:p w14:paraId="11EEC9E2" w14:textId="6CBB2C5C" w:rsidR="00256F20" w:rsidRPr="00201A9A" w:rsidRDefault="00256F20" w:rsidP="003E2902">
      <w:pPr>
        <w:pStyle w:val="NumPar10000000"/>
        <w:numPr>
          <w:ilvl w:val="0"/>
          <w:numId w:val="95"/>
        </w:numPr>
        <w:rPr>
          <w:noProof/>
        </w:rPr>
      </w:pPr>
      <w:r w:rsidRPr="00201A9A">
        <w:rPr>
          <w:noProof/>
        </w:rPr>
        <w:t>Państwa członkowskie udostępniają Komisji informacje,</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dwa razy</w:t>
      </w:r>
      <w:r w:rsidR="00201A9A" w:rsidRPr="00201A9A">
        <w:rPr>
          <w:noProof/>
        </w:rPr>
        <w:t xml:space="preserve"> w rok</w:t>
      </w:r>
      <w:r w:rsidRPr="00201A9A">
        <w:rPr>
          <w:noProof/>
        </w:rPr>
        <w:t>u za pośrednictwem rozwiązań</w:t>
      </w:r>
      <w:r w:rsidR="00201A9A" w:rsidRPr="00201A9A">
        <w:rPr>
          <w:noProof/>
        </w:rPr>
        <w:t xml:space="preserve"> w zak</w:t>
      </w:r>
      <w:r w:rsidRPr="00201A9A">
        <w:rPr>
          <w:noProof/>
        </w:rPr>
        <w:t>resie automatycznej wymiany danych.</w:t>
      </w:r>
    </w:p>
    <w:p w14:paraId="10C395D5" w14:textId="0D88B6A0" w:rsidR="26AF278B" w:rsidRPr="00201A9A" w:rsidRDefault="001A31BD" w:rsidP="003E2902">
      <w:pPr>
        <w:pStyle w:val="NumPar10000000"/>
        <w:numPr>
          <w:ilvl w:val="0"/>
          <w:numId w:val="95"/>
        </w:numPr>
        <w:rPr>
          <w:noProof/>
          <w:sz w:val="22"/>
        </w:rPr>
      </w:pPr>
      <w:r w:rsidRPr="00201A9A">
        <w:rPr>
          <w:noProof/>
        </w:rPr>
        <w:t>W odniesieniu do danych,</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związanych</w:t>
      </w:r>
      <w:r w:rsidR="00201A9A" w:rsidRPr="00201A9A">
        <w:rPr>
          <w:noProof/>
        </w:rPr>
        <w:t xml:space="preserve"> z int</w:t>
      </w:r>
      <w:r w:rsidRPr="00201A9A">
        <w:rPr>
          <w:noProof/>
        </w:rPr>
        <w:t>erwencjami</w:t>
      </w:r>
      <w:r w:rsidR="00201A9A" w:rsidRPr="00201A9A">
        <w:rPr>
          <w:noProof/>
        </w:rPr>
        <w:t xml:space="preserve"> w ram</w:t>
      </w:r>
      <w:r w:rsidRPr="00201A9A">
        <w:rPr>
          <w:noProof/>
        </w:rPr>
        <w:t>ach WPR, państwa członkowskie udostępniają Komisji co roku, najpóźniej do dnia 31 października roku N, informacje dotyczące płatności obszarowych</w:t>
      </w:r>
      <w:r w:rsidR="00201A9A" w:rsidRPr="00201A9A">
        <w:rPr>
          <w:noProof/>
        </w:rPr>
        <w:t xml:space="preserve"> i pła</w:t>
      </w:r>
      <w:r w:rsidRPr="00201A9A">
        <w:rPr>
          <w:noProof/>
        </w:rPr>
        <w:t>tności</w:t>
      </w:r>
      <w:r w:rsidR="00201A9A" w:rsidRPr="00201A9A">
        <w:rPr>
          <w:noProof/>
        </w:rPr>
        <w:t xml:space="preserve"> z tyt</w:t>
      </w:r>
      <w:r w:rsidRPr="00201A9A">
        <w:rPr>
          <w:noProof/>
        </w:rPr>
        <w:t>ułu zwierząt dokonanych</w:t>
      </w:r>
      <w:r w:rsidR="00201A9A" w:rsidRPr="00201A9A">
        <w:rPr>
          <w:noProof/>
        </w:rPr>
        <w:t xml:space="preserve"> w rok</w:t>
      </w:r>
      <w:r w:rsidRPr="00201A9A">
        <w:rPr>
          <w:noProof/>
        </w:rPr>
        <w:t>u składania wniosków N-1, interwencji sektorowych wdrożonych</w:t>
      </w:r>
      <w:r w:rsidR="00201A9A" w:rsidRPr="00201A9A">
        <w:rPr>
          <w:noProof/>
        </w:rPr>
        <w:t xml:space="preserve"> w rok</w:t>
      </w:r>
      <w:r w:rsidRPr="00201A9A">
        <w:rPr>
          <w:noProof/>
        </w:rPr>
        <w:t>u kalendarzowym N-1 oraz,</w:t>
      </w:r>
      <w:r w:rsidR="00201A9A" w:rsidRPr="00201A9A">
        <w:rPr>
          <w:noProof/>
        </w:rPr>
        <w:t xml:space="preserve"> w sto</w:t>
      </w:r>
      <w:r w:rsidRPr="00201A9A">
        <w:rPr>
          <w:noProof/>
        </w:rPr>
        <w:t>sownych przypadkach, wszelkich innych interwencji.</w:t>
      </w:r>
    </w:p>
    <w:p w14:paraId="3A57BEBB" w14:textId="76468CEB" w:rsidR="00D761DA" w:rsidRPr="00201A9A" w:rsidRDefault="00E13D48" w:rsidP="003E2902">
      <w:pPr>
        <w:pStyle w:val="NumPar10000000"/>
        <w:numPr>
          <w:ilvl w:val="0"/>
          <w:numId w:val="95"/>
        </w:numPr>
        <w:rPr>
          <w:noProof/>
        </w:rPr>
      </w:pPr>
      <w:r w:rsidRPr="00201A9A">
        <w:rPr>
          <w:noProof/>
        </w:rPr>
        <w:t>Państwa członkowskie ustanawiają swoje systemy gromadzenia danych</w:t>
      </w:r>
      <w:r w:rsidR="00201A9A" w:rsidRPr="00201A9A">
        <w:rPr>
          <w:noProof/>
        </w:rPr>
        <w:t xml:space="preserve"> w tak</w:t>
      </w:r>
      <w:r w:rsidRPr="00201A9A">
        <w:rPr>
          <w:noProof/>
        </w:rPr>
        <w:t>i sposób, aby były dostosowane do technologii cyfrowych</w:t>
      </w:r>
      <w:r w:rsidR="00201A9A" w:rsidRPr="00201A9A">
        <w:rPr>
          <w:noProof/>
        </w:rPr>
        <w:t xml:space="preserve"> i int</w:t>
      </w:r>
      <w:r w:rsidRPr="00201A9A">
        <w:rPr>
          <w:noProof/>
        </w:rPr>
        <w:t>eroperacyjne,</w:t>
      </w:r>
      <w:r w:rsidR="00201A9A" w:rsidRPr="00201A9A">
        <w:rPr>
          <w:noProof/>
        </w:rPr>
        <w:t xml:space="preserve"> w opa</w:t>
      </w:r>
      <w:r w:rsidRPr="00201A9A">
        <w:rPr>
          <w:noProof/>
        </w:rPr>
        <w:t>rciu</w:t>
      </w:r>
      <w:r w:rsidR="00201A9A" w:rsidRPr="00201A9A">
        <w:rPr>
          <w:noProof/>
        </w:rPr>
        <w:t xml:space="preserve"> o zas</w:t>
      </w:r>
      <w:r w:rsidRPr="00201A9A">
        <w:rPr>
          <w:noProof/>
        </w:rPr>
        <w:t>adę, że dane są gromadzone tylko raz</w:t>
      </w:r>
      <w:r w:rsidR="00201A9A" w:rsidRPr="00201A9A">
        <w:rPr>
          <w:noProof/>
        </w:rPr>
        <w:t xml:space="preserve"> i pon</w:t>
      </w:r>
      <w:r w:rsidRPr="00201A9A">
        <w:rPr>
          <w:noProof/>
        </w:rPr>
        <w:t>ownie wykorzystywane. Państwa członkowskie zapewniają, aby beneficjenci, odbiorcy końcowi, wykonawcy</w:t>
      </w:r>
      <w:r w:rsidR="00201A9A" w:rsidRPr="00201A9A">
        <w:rPr>
          <w:noProof/>
        </w:rPr>
        <w:t xml:space="preserve"> i pod</w:t>
      </w:r>
      <w:r w:rsidRPr="00201A9A">
        <w:rPr>
          <w:noProof/>
        </w:rPr>
        <w:t>wykonawcy</w:t>
      </w:r>
      <w:r w:rsidR="00201A9A" w:rsidRPr="00201A9A">
        <w:rPr>
          <w:noProof/>
        </w:rPr>
        <w:t xml:space="preserve"> w mia</w:t>
      </w:r>
      <w:r w:rsidRPr="00201A9A">
        <w:rPr>
          <w:noProof/>
        </w:rPr>
        <w:t>rę możliwości nie byli zmuszani do wielokrotnego podawania tych samych danych, mieli dostęp do wszystkich związanych</w:t>
      </w:r>
      <w:r w:rsidR="00201A9A" w:rsidRPr="00201A9A">
        <w:rPr>
          <w:noProof/>
        </w:rPr>
        <w:t xml:space="preserve"> z nim</w:t>
      </w:r>
      <w:r w:rsidRPr="00201A9A">
        <w:rPr>
          <w:noProof/>
        </w:rPr>
        <w:t>i istotnych danych</w:t>
      </w:r>
      <w:r w:rsidR="00201A9A" w:rsidRPr="00201A9A">
        <w:rPr>
          <w:noProof/>
        </w:rPr>
        <w:t xml:space="preserve"> i mog</w:t>
      </w:r>
      <w:r w:rsidRPr="00201A9A">
        <w:rPr>
          <w:noProof/>
        </w:rPr>
        <w:t>li</w:t>
      </w:r>
      <w:r w:rsidR="00201A9A" w:rsidRPr="00201A9A">
        <w:rPr>
          <w:noProof/>
        </w:rPr>
        <w:t xml:space="preserve"> z łat</w:t>
      </w:r>
      <w:r w:rsidRPr="00201A9A">
        <w:rPr>
          <w:noProof/>
        </w:rPr>
        <w:t>wością ponownie wykorzystać te dane do wypełniania</w:t>
      </w:r>
      <w:r w:rsidR="00201A9A" w:rsidRPr="00201A9A">
        <w:rPr>
          <w:noProof/>
        </w:rPr>
        <w:t xml:space="preserve"> i skł</w:t>
      </w:r>
      <w:r w:rsidRPr="00201A9A">
        <w:rPr>
          <w:noProof/>
        </w:rPr>
        <w:t>adania wniosków</w:t>
      </w:r>
      <w:r w:rsidR="00201A9A" w:rsidRPr="00201A9A">
        <w:rPr>
          <w:noProof/>
        </w:rPr>
        <w:t>. W mia</w:t>
      </w:r>
      <w:r w:rsidRPr="00201A9A">
        <w:rPr>
          <w:noProof/>
        </w:rPr>
        <w:t>rę możliwości państwa członkowskie ponownie wykorzystują istniejące rejestry</w:t>
      </w:r>
      <w:r w:rsidR="00201A9A" w:rsidRPr="00201A9A">
        <w:rPr>
          <w:noProof/>
        </w:rPr>
        <w:t xml:space="preserve"> i baz</w:t>
      </w:r>
      <w:r w:rsidRPr="00201A9A">
        <w:rPr>
          <w:noProof/>
        </w:rPr>
        <w:t>y danych.</w:t>
      </w:r>
    </w:p>
    <w:p w14:paraId="533CE82B" w14:textId="654567E5" w:rsidR="00256F20" w:rsidRPr="00201A9A" w:rsidRDefault="00256F20" w:rsidP="003E2902">
      <w:pPr>
        <w:pStyle w:val="NumPar10000000"/>
        <w:numPr>
          <w:ilvl w:val="0"/>
          <w:numId w:val="95"/>
        </w:numPr>
        <w:rPr>
          <w:noProof/>
        </w:rPr>
      </w:pPr>
      <w:bookmarkStart w:id="13" w:name="_Hlk203488886"/>
      <w:r w:rsidRPr="00201A9A">
        <w:rPr>
          <w:noProof/>
        </w:rPr>
        <w:t>Komisja jest uprawniona do przyjmowania aktów delegowanych zgodnie</w:t>
      </w:r>
      <w:r w:rsidR="00201A9A" w:rsidRPr="00201A9A">
        <w:rPr>
          <w:noProof/>
        </w:rPr>
        <w:t xml:space="preserve"> z art</w:t>
      </w:r>
      <w:r w:rsidRPr="00201A9A">
        <w:rPr>
          <w:noProof/>
        </w:rPr>
        <w:t>.</w:t>
      </w:r>
      <w:r w:rsidR="00201A9A" w:rsidRPr="00201A9A">
        <w:rPr>
          <w:noProof/>
        </w:rPr>
        <w:t> </w:t>
      </w:r>
      <w:r w:rsidRPr="00201A9A">
        <w:rPr>
          <w:noProof/>
        </w:rPr>
        <w:t>86 [Wykonywanie przekazanych uprawnień]</w:t>
      </w:r>
      <w:r w:rsidR="00201A9A" w:rsidRPr="00201A9A">
        <w:rPr>
          <w:noProof/>
        </w:rPr>
        <w:t xml:space="preserve"> w cel</w:t>
      </w:r>
      <w:r w:rsidRPr="00201A9A">
        <w:rPr>
          <w:noProof/>
        </w:rPr>
        <w:t>u zmiany kategorii danych określonych</w:t>
      </w:r>
      <w:r w:rsidR="00201A9A" w:rsidRPr="00201A9A">
        <w:rPr>
          <w:noProof/>
        </w:rPr>
        <w:t xml:space="preserve"> w ust</w:t>
      </w:r>
      <w:r w:rsidRPr="00201A9A">
        <w:rPr>
          <w:noProof/>
        </w:rPr>
        <w:t xml:space="preserve">. </w:t>
      </w:r>
      <w:bookmarkEnd w:id="13"/>
    </w:p>
    <w:p w14:paraId="62A3AA76" w14:textId="77777777" w:rsidR="00410938" w:rsidRPr="00201A9A" w:rsidRDefault="00410938" w:rsidP="00936FC4">
      <w:pPr>
        <w:pStyle w:val="Titrearticle"/>
        <w:rPr>
          <w:noProof/>
        </w:rPr>
      </w:pPr>
      <w:r w:rsidRPr="00201A9A">
        <w:rPr>
          <w:noProof/>
        </w:rPr>
        <w:t xml:space="preserve">Artykuł 64 </w:t>
      </w:r>
      <w:r w:rsidRPr="00201A9A">
        <w:rPr>
          <w:noProof/>
        </w:rPr>
        <w:br/>
      </w:r>
      <w:r w:rsidRPr="00201A9A">
        <w:rPr>
          <w:b/>
          <w:noProof/>
        </w:rPr>
        <w:t>Przejrzystość</w:t>
      </w:r>
    </w:p>
    <w:p w14:paraId="3BCF5FD6" w14:textId="47CE9812" w:rsidR="00256F20" w:rsidRPr="00201A9A" w:rsidRDefault="00256F20" w:rsidP="003E2902">
      <w:pPr>
        <w:pStyle w:val="NumPar10000000"/>
        <w:numPr>
          <w:ilvl w:val="0"/>
          <w:numId w:val="52"/>
        </w:numPr>
        <w:rPr>
          <w:noProof/>
        </w:rPr>
      </w:pPr>
      <w:r w:rsidRPr="00201A9A">
        <w:rPr>
          <w:noProof/>
        </w:rPr>
        <w:t>W terminie sześciu miesięcy od przyjęcia decyzji Rady,</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23 [Wniosek Komisji</w:t>
      </w:r>
      <w:r w:rsidR="00201A9A" w:rsidRPr="00201A9A">
        <w:rPr>
          <w:noProof/>
        </w:rPr>
        <w:t xml:space="preserve"> i dec</w:t>
      </w:r>
      <w:r w:rsidRPr="00201A9A">
        <w:rPr>
          <w:noProof/>
        </w:rPr>
        <w:t>yzja wykonawcza Rady], państwo członkowskie zapewnia uruchomienie strony internetowej, na której dostępne są informacje na temat wsparcia udzielanego na podstawie niniejszego rozporządzenia, obejmujące cele planu, działania realizowane</w:t>
      </w:r>
      <w:r w:rsidR="00201A9A" w:rsidRPr="00201A9A">
        <w:rPr>
          <w:noProof/>
        </w:rPr>
        <w:t xml:space="preserve"> w jeg</w:t>
      </w:r>
      <w:r w:rsidRPr="00201A9A">
        <w:rPr>
          <w:noProof/>
        </w:rPr>
        <w:t>o ramach, dostępne możliwości finansowania</w:t>
      </w:r>
      <w:r w:rsidR="00201A9A" w:rsidRPr="00201A9A">
        <w:rPr>
          <w:noProof/>
        </w:rPr>
        <w:t xml:space="preserve"> i osi</w:t>
      </w:r>
      <w:r w:rsidRPr="00201A9A">
        <w:rPr>
          <w:noProof/>
        </w:rPr>
        <w:t>ągnięcia.</w:t>
      </w:r>
    </w:p>
    <w:p w14:paraId="1D9C6EF5" w14:textId="1C4B636F" w:rsidR="00827D98" w:rsidRPr="00201A9A" w:rsidRDefault="00256F20" w:rsidP="003E2902">
      <w:pPr>
        <w:pStyle w:val="NumPar10000000"/>
        <w:numPr>
          <w:ilvl w:val="0"/>
          <w:numId w:val="95"/>
        </w:numPr>
        <w:rPr>
          <w:noProof/>
        </w:rPr>
      </w:pPr>
      <w:r w:rsidRPr="00201A9A">
        <w:rPr>
          <w:noProof/>
        </w:rPr>
        <w:t>Państwo członkowskie zapewnia publikację informacji określonych</w:t>
      </w:r>
      <w:r w:rsidR="00201A9A" w:rsidRPr="00201A9A">
        <w:rPr>
          <w:noProof/>
        </w:rPr>
        <w:t xml:space="preserve"> w art</w:t>
      </w:r>
      <w:r w:rsidRPr="00201A9A">
        <w:rPr>
          <w:noProof/>
        </w:rPr>
        <w:t>.</w:t>
      </w:r>
      <w:r w:rsidR="00201A9A" w:rsidRPr="00201A9A">
        <w:rPr>
          <w:noProof/>
        </w:rPr>
        <w:t> </w:t>
      </w:r>
      <w:r w:rsidRPr="00201A9A">
        <w:rPr>
          <w:noProof/>
        </w:rPr>
        <w:t>63 ust.</w:t>
      </w:r>
      <w:r w:rsidR="00201A9A" w:rsidRPr="00201A9A">
        <w:rPr>
          <w:noProof/>
        </w:rPr>
        <w:t> </w:t>
      </w:r>
      <w:r w:rsidRPr="00201A9A">
        <w:rPr>
          <w:noProof/>
        </w:rPr>
        <w:t>1 [Gromadzenie</w:t>
      </w:r>
      <w:r w:rsidR="00201A9A" w:rsidRPr="00201A9A">
        <w:rPr>
          <w:noProof/>
        </w:rPr>
        <w:t xml:space="preserve"> i rej</w:t>
      </w:r>
      <w:r w:rsidRPr="00201A9A">
        <w:rPr>
          <w:noProof/>
        </w:rPr>
        <w:t>estrowanie danych] na stronie internetowej,</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1 niniejszego artykułu,</w:t>
      </w:r>
      <w:r w:rsidR="00201A9A" w:rsidRPr="00201A9A">
        <w:rPr>
          <w:noProof/>
        </w:rPr>
        <w:t xml:space="preserve"> z zas</w:t>
      </w:r>
      <w:r w:rsidRPr="00201A9A">
        <w:rPr>
          <w:noProof/>
        </w:rPr>
        <w:t>trzeżeniem ochrony danych osobowych</w:t>
      </w:r>
      <w:r w:rsidR="00201A9A" w:rsidRPr="00201A9A">
        <w:rPr>
          <w:noProof/>
        </w:rPr>
        <w:t xml:space="preserve"> i wyj</w:t>
      </w:r>
      <w:r w:rsidRPr="00201A9A">
        <w:rPr>
          <w:noProof/>
        </w:rPr>
        <w:t>ątków wymienionych</w:t>
      </w:r>
      <w:r w:rsidR="00201A9A" w:rsidRPr="00201A9A">
        <w:rPr>
          <w:noProof/>
        </w:rPr>
        <w:t xml:space="preserve"> w ust</w:t>
      </w:r>
      <w:r w:rsidRPr="00201A9A">
        <w:rPr>
          <w:noProof/>
        </w:rPr>
        <w:t>.</w:t>
      </w:r>
      <w:r w:rsidR="00201A9A" w:rsidRPr="00201A9A">
        <w:rPr>
          <w:noProof/>
        </w:rPr>
        <w:t> </w:t>
      </w:r>
      <w:r w:rsidRPr="00201A9A">
        <w:rPr>
          <w:noProof/>
        </w:rPr>
        <w:t>5 niniejszego artykułu. Informacje te są aktualizowane co najmniej co sześć miesięcy.</w:t>
      </w:r>
    </w:p>
    <w:p w14:paraId="15597B28" w14:textId="6047C0CE" w:rsidR="00B2691D" w:rsidRPr="00201A9A" w:rsidRDefault="008442B5" w:rsidP="00B2691D">
      <w:pPr>
        <w:pStyle w:val="Text1"/>
        <w:rPr>
          <w:noProof/>
        </w:rPr>
      </w:pPr>
      <w:r w:rsidRPr="00201A9A">
        <w:rPr>
          <w:noProof/>
        </w:rPr>
        <w:t>Na zasadzie odstępstwa od akapitu pierwszego,</w:t>
      </w:r>
      <w:r w:rsidR="00201A9A" w:rsidRPr="00201A9A">
        <w:rPr>
          <w:noProof/>
        </w:rPr>
        <w:t xml:space="preserve"> w odn</w:t>
      </w:r>
      <w:r w:rsidRPr="00201A9A">
        <w:rPr>
          <w:noProof/>
        </w:rPr>
        <w:t>iesieniu do interwencji</w:t>
      </w:r>
      <w:r w:rsidR="00201A9A" w:rsidRPr="00201A9A">
        <w:rPr>
          <w:noProof/>
        </w:rPr>
        <w:t xml:space="preserve"> w ram</w:t>
      </w:r>
      <w:r w:rsidRPr="00201A9A">
        <w:rPr>
          <w:noProof/>
        </w:rPr>
        <w:t>ach WPR,</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35 ust.</w:t>
      </w:r>
      <w:r w:rsidR="00201A9A" w:rsidRPr="00201A9A">
        <w:rPr>
          <w:noProof/>
        </w:rPr>
        <w:t> </w:t>
      </w:r>
      <w:r w:rsidRPr="00201A9A">
        <w:rPr>
          <w:noProof/>
        </w:rPr>
        <w:t>1, państwa członkowskie zapewniają do dnia 31 maja roku N+1 publikację informacji,</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63 ust.</w:t>
      </w:r>
      <w:r w:rsidR="00201A9A" w:rsidRPr="00201A9A">
        <w:rPr>
          <w:noProof/>
        </w:rPr>
        <w:t> </w:t>
      </w:r>
      <w:r w:rsidRPr="00201A9A">
        <w:rPr>
          <w:noProof/>
        </w:rPr>
        <w:t>3 [Gromadzenie</w:t>
      </w:r>
      <w:r w:rsidR="00201A9A" w:rsidRPr="00201A9A">
        <w:rPr>
          <w:noProof/>
        </w:rPr>
        <w:t xml:space="preserve"> i rej</w:t>
      </w:r>
      <w:r w:rsidRPr="00201A9A">
        <w:rPr>
          <w:noProof/>
        </w:rPr>
        <w:t>estrowanie danych],</w:t>
      </w:r>
      <w:r w:rsidR="00201A9A" w:rsidRPr="00201A9A">
        <w:rPr>
          <w:noProof/>
        </w:rPr>
        <w:t xml:space="preserve"> z wyj</w:t>
      </w:r>
      <w:r w:rsidRPr="00201A9A">
        <w:rPr>
          <w:noProof/>
        </w:rPr>
        <w:t>ątkiem danych,</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lit.</w:t>
      </w:r>
      <w:r w:rsidR="00201A9A" w:rsidRPr="00201A9A">
        <w:rPr>
          <w:noProof/>
        </w:rPr>
        <w:t> </w:t>
      </w:r>
      <w:r w:rsidRPr="00201A9A">
        <w:rPr>
          <w:noProof/>
        </w:rPr>
        <w:t>a) pkt (iv), lit.</w:t>
      </w:r>
      <w:r w:rsidR="00201A9A" w:rsidRPr="00201A9A">
        <w:rPr>
          <w:noProof/>
        </w:rPr>
        <w:t> </w:t>
      </w:r>
      <w:r w:rsidRPr="00201A9A">
        <w:rPr>
          <w:noProof/>
        </w:rPr>
        <w:t>a) pkt (ix)</w:t>
      </w:r>
      <w:r w:rsidR="00201A9A" w:rsidRPr="00201A9A">
        <w:rPr>
          <w:noProof/>
        </w:rPr>
        <w:t xml:space="preserve"> i lit</w:t>
      </w:r>
      <w:r w:rsidRPr="00201A9A">
        <w:rPr>
          <w:noProof/>
        </w:rPr>
        <w:t>.</w:t>
      </w:r>
      <w:r w:rsidR="00201A9A" w:rsidRPr="00201A9A">
        <w:rPr>
          <w:noProof/>
        </w:rPr>
        <w:t> </w:t>
      </w:r>
      <w:r w:rsidRPr="00201A9A">
        <w:rPr>
          <w:noProof/>
        </w:rPr>
        <w:t xml:space="preserve">e) pkt (xiv) tego artykułu. </w:t>
      </w:r>
    </w:p>
    <w:p w14:paraId="24D67251" w14:textId="19EDAB99" w:rsidR="00256F20" w:rsidRPr="00201A9A" w:rsidRDefault="00256F20" w:rsidP="00B2691D">
      <w:pPr>
        <w:pStyle w:val="Text1"/>
        <w:rPr>
          <w:noProof/>
        </w:rPr>
      </w:pPr>
      <w:r w:rsidRPr="00201A9A">
        <w:rPr>
          <w:noProof/>
        </w:rPr>
        <w:t>Państwo członkowskie zapewnia również, aby na tej stronie internetowej publikowane były elementy,</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12 ust.</w:t>
      </w:r>
      <w:r w:rsidR="00201A9A" w:rsidRPr="00201A9A">
        <w:rPr>
          <w:noProof/>
        </w:rPr>
        <w:t> </w:t>
      </w:r>
      <w:r w:rsidRPr="00201A9A">
        <w:rPr>
          <w:noProof/>
        </w:rPr>
        <w:t>4 rozporządzenia (UE) [rozporządzenie</w:t>
      </w:r>
      <w:r w:rsidR="00201A9A" w:rsidRPr="00201A9A">
        <w:rPr>
          <w:noProof/>
        </w:rPr>
        <w:t xml:space="preserve"> w spr</w:t>
      </w:r>
      <w:r w:rsidRPr="00201A9A">
        <w:rPr>
          <w:noProof/>
        </w:rPr>
        <w:t>awie wykonania], dotyczące zaproszeń do składania wniosków</w:t>
      </w:r>
      <w:r w:rsidR="00201A9A" w:rsidRPr="00201A9A">
        <w:rPr>
          <w:noProof/>
        </w:rPr>
        <w:t xml:space="preserve"> i ofe</w:t>
      </w:r>
      <w:r w:rsidRPr="00201A9A">
        <w:rPr>
          <w:noProof/>
        </w:rPr>
        <w:t>rt</w:t>
      </w:r>
      <w:r w:rsidR="00201A9A" w:rsidRPr="00201A9A">
        <w:rPr>
          <w:noProof/>
        </w:rPr>
        <w:t xml:space="preserve"> w ram</w:t>
      </w:r>
      <w:r w:rsidRPr="00201A9A">
        <w:rPr>
          <w:noProof/>
        </w:rPr>
        <w:t>ach Funduszu,</w:t>
      </w:r>
      <w:r w:rsidR="00201A9A" w:rsidRPr="00201A9A">
        <w:rPr>
          <w:noProof/>
        </w:rPr>
        <w:t xml:space="preserve"> a tak</w:t>
      </w:r>
      <w:r w:rsidRPr="00201A9A">
        <w:rPr>
          <w:noProof/>
        </w:rPr>
        <w:t>że harmonogram planowanych zaproszeń do składania wniosków</w:t>
      </w:r>
      <w:r w:rsidR="00201A9A" w:rsidRPr="00201A9A">
        <w:rPr>
          <w:noProof/>
        </w:rPr>
        <w:t xml:space="preserve"> w ram</w:t>
      </w:r>
      <w:r w:rsidRPr="00201A9A">
        <w:rPr>
          <w:noProof/>
        </w:rPr>
        <w:t>ach Funduszu, wraz</w:t>
      </w:r>
      <w:r w:rsidR="00201A9A" w:rsidRPr="00201A9A">
        <w:rPr>
          <w:noProof/>
        </w:rPr>
        <w:t xml:space="preserve"> z tym</w:t>
      </w:r>
      <w:r w:rsidRPr="00201A9A">
        <w:rPr>
          <w:noProof/>
        </w:rPr>
        <w:t>i elementami, który jest aktualizowany co najmniej dwa razy</w:t>
      </w:r>
      <w:r w:rsidR="00201A9A" w:rsidRPr="00201A9A">
        <w:rPr>
          <w:noProof/>
        </w:rPr>
        <w:t xml:space="preserve"> w rok</w:t>
      </w:r>
      <w:r w:rsidRPr="00201A9A">
        <w:rPr>
          <w:noProof/>
        </w:rPr>
        <w:t>u.</w:t>
      </w:r>
    </w:p>
    <w:p w14:paraId="51EC5D86" w14:textId="397CED49" w:rsidR="00256F20" w:rsidRPr="00201A9A" w:rsidRDefault="00EE4BAB" w:rsidP="00C6195D">
      <w:pPr>
        <w:pStyle w:val="Text1"/>
        <w:rPr>
          <w:noProof/>
        </w:rPr>
      </w:pPr>
      <w:r w:rsidRPr="00201A9A">
        <w:rPr>
          <w:noProof/>
        </w:rPr>
        <w:t>Informacje podawane są</w:t>
      </w:r>
      <w:r w:rsidR="00201A9A" w:rsidRPr="00201A9A">
        <w:rPr>
          <w:noProof/>
        </w:rPr>
        <w:t xml:space="preserve"> w jęz</w:t>
      </w:r>
      <w:r w:rsidRPr="00201A9A">
        <w:rPr>
          <w:noProof/>
        </w:rPr>
        <w:t>yku urzędowym lub językach urzędowych państwa członkowskiego lub</w:t>
      </w:r>
      <w:r w:rsidR="00201A9A" w:rsidRPr="00201A9A">
        <w:rPr>
          <w:noProof/>
        </w:rPr>
        <w:t xml:space="preserve"> w jęz</w:t>
      </w:r>
      <w:r w:rsidRPr="00201A9A">
        <w:rPr>
          <w:noProof/>
        </w:rPr>
        <w:t>yku angielskim, francuskim lub niemieckim</w:t>
      </w:r>
      <w:r w:rsidR="00201A9A" w:rsidRPr="00201A9A">
        <w:rPr>
          <w:noProof/>
        </w:rPr>
        <w:t xml:space="preserve"> i poz</w:t>
      </w:r>
      <w:r w:rsidRPr="00201A9A">
        <w:rPr>
          <w:noProof/>
        </w:rPr>
        <w:t>ostają dostępne na stronie internetowej przez okres dwóch lat od daty ich pierwszej publikacji. Format danych publikowanych na stronie internetowej,</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1, musi być dostosowany do technologii cyfrowych, otwarty, interoperacyjny</w:t>
      </w:r>
      <w:r w:rsidR="00201A9A" w:rsidRPr="00201A9A">
        <w:rPr>
          <w:noProof/>
        </w:rPr>
        <w:t xml:space="preserve"> i nad</w:t>
      </w:r>
      <w:r w:rsidRPr="00201A9A">
        <w:rPr>
          <w:noProof/>
        </w:rPr>
        <w:t>ający się do odczytu maszynowego, który umożliwia sortowanie, wyszukiwanie, wyodrębnianie, porównywanie</w:t>
      </w:r>
      <w:r w:rsidR="00201A9A" w:rsidRPr="00201A9A">
        <w:rPr>
          <w:noProof/>
        </w:rPr>
        <w:t xml:space="preserve"> i pon</w:t>
      </w:r>
      <w:r w:rsidRPr="00201A9A">
        <w:rPr>
          <w:noProof/>
        </w:rPr>
        <w:t>owne wykorzystanie danych.</w:t>
      </w:r>
    </w:p>
    <w:p w14:paraId="73CCBE2F" w14:textId="5944BFD5" w:rsidR="00256F20" w:rsidRPr="00201A9A" w:rsidRDefault="00256F20" w:rsidP="003E2902">
      <w:pPr>
        <w:pStyle w:val="NumPar10000000"/>
        <w:numPr>
          <w:ilvl w:val="0"/>
          <w:numId w:val="95"/>
        </w:numPr>
        <w:rPr>
          <w:noProof/>
        </w:rPr>
      </w:pPr>
      <w:r w:rsidRPr="00201A9A">
        <w:rPr>
          <w:noProof/>
        </w:rPr>
        <w:t>Przed publikacją zgodnie</w:t>
      </w:r>
      <w:r w:rsidR="00201A9A" w:rsidRPr="00201A9A">
        <w:rPr>
          <w:noProof/>
        </w:rPr>
        <w:t xml:space="preserve"> z ust</w:t>
      </w:r>
      <w:r w:rsidRPr="00201A9A">
        <w:rPr>
          <w:noProof/>
        </w:rPr>
        <w:t>.</w:t>
      </w:r>
      <w:r w:rsidR="00201A9A" w:rsidRPr="00201A9A">
        <w:rPr>
          <w:noProof/>
        </w:rPr>
        <w:t> </w:t>
      </w:r>
      <w:r w:rsidRPr="00201A9A">
        <w:rPr>
          <w:noProof/>
        </w:rPr>
        <w:t>2 państwo członkowskie informuje beneficjentów</w:t>
      </w:r>
      <w:r w:rsidR="00201A9A" w:rsidRPr="00201A9A">
        <w:rPr>
          <w:noProof/>
        </w:rPr>
        <w:t xml:space="preserve"> i zwr</w:t>
      </w:r>
      <w:r w:rsidRPr="00201A9A">
        <w:rPr>
          <w:noProof/>
        </w:rPr>
        <w:t>aca się do nich, aby poinformowali odbiorców, odbiorców końcowych, wykonawców</w:t>
      </w:r>
      <w:r w:rsidR="00201A9A" w:rsidRPr="00201A9A">
        <w:rPr>
          <w:noProof/>
        </w:rPr>
        <w:t xml:space="preserve"> i pod</w:t>
      </w:r>
      <w:r w:rsidRPr="00201A9A">
        <w:rPr>
          <w:noProof/>
        </w:rPr>
        <w:t>wykonawców, że dane zostaną podane do wiadomości publicznej.</w:t>
      </w:r>
    </w:p>
    <w:p w14:paraId="10A90F7B" w14:textId="45D98CFD" w:rsidR="00256F20" w:rsidRPr="00201A9A" w:rsidRDefault="00256F20" w:rsidP="003E2902">
      <w:pPr>
        <w:pStyle w:val="NumPar10000000"/>
        <w:numPr>
          <w:ilvl w:val="0"/>
          <w:numId w:val="95"/>
        </w:numPr>
        <w:rPr>
          <w:noProof/>
        </w:rPr>
      </w:pPr>
      <w:r w:rsidRPr="00201A9A">
        <w:rPr>
          <w:noProof/>
        </w:rPr>
        <w:t>Komisja publikuje dane,</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2 niniejszego artykułu, na scentralizowanej stronie internetowej,</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12 [Jednolity portal] rozporządzenia [rozporządzenie</w:t>
      </w:r>
      <w:r w:rsidR="00201A9A" w:rsidRPr="00201A9A">
        <w:rPr>
          <w:noProof/>
        </w:rPr>
        <w:t xml:space="preserve"> w spr</w:t>
      </w:r>
      <w:r w:rsidRPr="00201A9A">
        <w:rPr>
          <w:noProof/>
        </w:rPr>
        <w:t>awie wykonania].</w:t>
      </w:r>
    </w:p>
    <w:p w14:paraId="40C3A5A5" w14:textId="54846BCB" w:rsidR="00256F20" w:rsidRPr="00201A9A" w:rsidRDefault="00256F20" w:rsidP="00C6195D">
      <w:pPr>
        <w:pStyle w:val="Text1"/>
        <w:rPr>
          <w:noProof/>
        </w:rPr>
      </w:pPr>
      <w:r w:rsidRPr="00201A9A">
        <w:rPr>
          <w:noProof/>
        </w:rPr>
        <w:t>Do celów akapitu pierwszego Komisja publikuje informacje na temat udziału wkładu Unii</w:t>
      </w:r>
      <w:r w:rsidR="00201A9A" w:rsidRPr="00201A9A">
        <w:rPr>
          <w:noProof/>
        </w:rPr>
        <w:t xml:space="preserve"> w kwo</w:t>
      </w:r>
      <w:r w:rsidRPr="00201A9A">
        <w:rPr>
          <w:noProof/>
        </w:rPr>
        <w:t>tach,</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63 [Gromadzenie</w:t>
      </w:r>
      <w:r w:rsidR="00201A9A" w:rsidRPr="00201A9A">
        <w:rPr>
          <w:noProof/>
        </w:rPr>
        <w:t xml:space="preserve"> i rej</w:t>
      </w:r>
      <w:r w:rsidRPr="00201A9A">
        <w:rPr>
          <w:noProof/>
        </w:rPr>
        <w:t>estrowanie danych]. Wkład Unii ustala się poprzez pomnożenie kwot,</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63 [Gromadzenie</w:t>
      </w:r>
      <w:r w:rsidR="00201A9A" w:rsidRPr="00201A9A">
        <w:rPr>
          <w:noProof/>
        </w:rPr>
        <w:t xml:space="preserve"> i rej</w:t>
      </w:r>
      <w:r w:rsidRPr="00201A9A">
        <w:rPr>
          <w:noProof/>
        </w:rPr>
        <w:t>estrowanie danych], przez stawkę współfinansowania mającą zastosowanie do powiązanego rozdziału planu. Kwoty</w:t>
      </w:r>
      <w:r w:rsidR="00201A9A" w:rsidRPr="00201A9A">
        <w:rPr>
          <w:noProof/>
        </w:rPr>
        <w:t xml:space="preserve"> w wal</w:t>
      </w:r>
      <w:r w:rsidRPr="00201A9A">
        <w:rPr>
          <w:noProof/>
        </w:rPr>
        <w:t>ucie innej niż euro przelicza się na euro</w:t>
      </w:r>
      <w:r w:rsidR="00201A9A" w:rsidRPr="00201A9A">
        <w:rPr>
          <w:noProof/>
        </w:rPr>
        <w:t xml:space="preserve"> z zas</w:t>
      </w:r>
      <w:r w:rsidRPr="00201A9A">
        <w:rPr>
          <w:noProof/>
        </w:rPr>
        <w:t>tosowaniem miesięcznego księgowego kursu wymiany,</w:t>
      </w:r>
      <w:r w:rsidR="00201A9A" w:rsidRPr="00201A9A">
        <w:rPr>
          <w:noProof/>
        </w:rPr>
        <w:t xml:space="preserve"> o któ</w:t>
      </w:r>
      <w:r w:rsidRPr="00201A9A">
        <w:rPr>
          <w:noProof/>
        </w:rPr>
        <w:t>rym mowa</w:t>
      </w:r>
      <w:r w:rsidR="00201A9A" w:rsidRPr="00201A9A">
        <w:rPr>
          <w:noProof/>
        </w:rPr>
        <w:t xml:space="preserve"> w art</w:t>
      </w:r>
      <w:r w:rsidRPr="00201A9A">
        <w:rPr>
          <w:noProof/>
        </w:rPr>
        <w:t>.</w:t>
      </w:r>
      <w:r w:rsidR="00201A9A" w:rsidRPr="00201A9A">
        <w:rPr>
          <w:noProof/>
        </w:rPr>
        <w:t> </w:t>
      </w:r>
      <w:r w:rsidRPr="00201A9A">
        <w:rPr>
          <w:noProof/>
        </w:rPr>
        <w:t>19 ust.</w:t>
      </w:r>
      <w:r w:rsidR="00201A9A" w:rsidRPr="00201A9A">
        <w:rPr>
          <w:noProof/>
        </w:rPr>
        <w:t> </w:t>
      </w:r>
      <w:r w:rsidRPr="00201A9A">
        <w:rPr>
          <w:noProof/>
        </w:rPr>
        <w:t>3 rozporządzenia (UE, Euratom) 2024/2509.</w:t>
      </w:r>
    </w:p>
    <w:p w14:paraId="2CB67B1E" w14:textId="24EAE7EA" w:rsidR="00256F20" w:rsidRPr="00201A9A" w:rsidRDefault="00256F20" w:rsidP="003E2902">
      <w:pPr>
        <w:pStyle w:val="NumPar10000000"/>
        <w:numPr>
          <w:ilvl w:val="0"/>
          <w:numId w:val="95"/>
        </w:numPr>
        <w:rPr>
          <w:noProof/>
        </w:rPr>
      </w:pPr>
      <w:r w:rsidRPr="00201A9A">
        <w:rPr>
          <w:noProof/>
        </w:rPr>
        <w:t>Informacji nie publikuje się, jeżeli prawo Unii lub prawo krajowe wyklucza taką publikację ze względów bezpieczeństwa, porządku publicznego,</w:t>
      </w:r>
      <w:r w:rsidR="00201A9A" w:rsidRPr="00201A9A">
        <w:rPr>
          <w:noProof/>
        </w:rPr>
        <w:t xml:space="preserve"> z uwa</w:t>
      </w:r>
      <w:r w:rsidRPr="00201A9A">
        <w:rPr>
          <w:noProof/>
        </w:rPr>
        <w:t>gi na postępowanie przygotowawcze lub gdy informacje te wchodzą</w:t>
      </w:r>
      <w:r w:rsidR="00201A9A" w:rsidRPr="00201A9A">
        <w:rPr>
          <w:noProof/>
        </w:rPr>
        <w:t xml:space="preserve"> w zak</w:t>
      </w:r>
      <w:r w:rsidRPr="00201A9A">
        <w:rPr>
          <w:noProof/>
        </w:rPr>
        <w:t>res art.</w:t>
      </w:r>
      <w:r w:rsidR="00201A9A" w:rsidRPr="00201A9A">
        <w:rPr>
          <w:noProof/>
        </w:rPr>
        <w:t> </w:t>
      </w:r>
      <w:r w:rsidRPr="00201A9A">
        <w:rPr>
          <w:noProof/>
        </w:rPr>
        <w:t>38 ust.</w:t>
      </w:r>
      <w:r w:rsidR="00201A9A" w:rsidRPr="00201A9A">
        <w:rPr>
          <w:noProof/>
        </w:rPr>
        <w:t> </w:t>
      </w:r>
      <w:r w:rsidRPr="00201A9A">
        <w:rPr>
          <w:noProof/>
        </w:rPr>
        <w:t>3 lit.</w:t>
      </w:r>
      <w:r w:rsidR="00201A9A" w:rsidRPr="00201A9A">
        <w:rPr>
          <w:noProof/>
        </w:rPr>
        <w:t> </w:t>
      </w:r>
      <w:r w:rsidRPr="00201A9A">
        <w:rPr>
          <w:noProof/>
        </w:rPr>
        <w:t>a)–d) rozporządzenia (UE, Euratom) 2024/2509.</w:t>
      </w:r>
    </w:p>
    <w:p w14:paraId="6F9DEF02" w14:textId="0E3D5DEF" w:rsidR="00DA27BA" w:rsidRPr="00201A9A" w:rsidRDefault="00DA27BA" w:rsidP="00AF7FE3">
      <w:pPr>
        <w:pStyle w:val="Text1"/>
        <w:rPr>
          <w:noProof/>
        </w:rPr>
      </w:pPr>
      <w:r w:rsidRPr="00201A9A">
        <w:rPr>
          <w:noProof/>
        </w:rPr>
        <w:t>Informacje dotyczące imienia</w:t>
      </w:r>
      <w:r w:rsidR="00201A9A" w:rsidRPr="00201A9A">
        <w:rPr>
          <w:noProof/>
        </w:rPr>
        <w:t xml:space="preserve"> i naz</w:t>
      </w:r>
      <w:r w:rsidRPr="00201A9A">
        <w:rPr>
          <w:noProof/>
        </w:rPr>
        <w:t>wiska rolników nie są publikowane, jeżeli kwota otrzymana przez nich</w:t>
      </w:r>
      <w:r w:rsidR="00201A9A" w:rsidRPr="00201A9A">
        <w:rPr>
          <w:noProof/>
        </w:rPr>
        <w:t xml:space="preserve"> w cią</w:t>
      </w:r>
      <w:r w:rsidRPr="00201A9A">
        <w:rPr>
          <w:noProof/>
        </w:rPr>
        <w:t xml:space="preserve">gu jednego roku nie przekracza 2 500 EUR. </w:t>
      </w:r>
    </w:p>
    <w:p w14:paraId="18E71A03" w14:textId="77777777" w:rsidR="00256F20" w:rsidRPr="00201A9A" w:rsidRDefault="00256F20" w:rsidP="00256F20">
      <w:pPr>
        <w:pStyle w:val="SectionTitle"/>
        <w:rPr>
          <w:noProof/>
        </w:rPr>
      </w:pPr>
      <w:r w:rsidRPr="00201A9A">
        <w:rPr>
          <w:noProof/>
        </w:rPr>
        <w:t xml:space="preserve">ROZDZIAŁ II </w:t>
      </w:r>
      <w:r w:rsidRPr="00201A9A">
        <w:rPr>
          <w:noProof/>
        </w:rPr>
        <w:br/>
        <w:t>Przepisy dotyczące płatności</w:t>
      </w:r>
    </w:p>
    <w:p w14:paraId="74DDA959" w14:textId="1B14A1F4" w:rsidR="00256F20" w:rsidRPr="00201A9A" w:rsidRDefault="00936FC4" w:rsidP="00936FC4">
      <w:pPr>
        <w:pStyle w:val="Titrearticle"/>
        <w:rPr>
          <w:b/>
          <w:noProof/>
        </w:rPr>
      </w:pPr>
      <w:r w:rsidRPr="00201A9A">
        <w:rPr>
          <w:noProof/>
        </w:rPr>
        <w:t xml:space="preserve">Artykuł 65 </w:t>
      </w:r>
      <w:r w:rsidRPr="00201A9A">
        <w:rPr>
          <w:noProof/>
        </w:rPr>
        <w:br/>
      </w:r>
      <w:r w:rsidRPr="00201A9A">
        <w:rPr>
          <w:b/>
          <w:noProof/>
        </w:rPr>
        <w:t>Składanie</w:t>
      </w:r>
      <w:r w:rsidR="00201A9A" w:rsidRPr="00201A9A">
        <w:rPr>
          <w:b/>
          <w:noProof/>
        </w:rPr>
        <w:t xml:space="preserve"> i oce</w:t>
      </w:r>
      <w:r w:rsidRPr="00201A9A">
        <w:rPr>
          <w:b/>
          <w:noProof/>
        </w:rPr>
        <w:t>na wniosków</w:t>
      </w:r>
      <w:r w:rsidR="00201A9A" w:rsidRPr="00201A9A">
        <w:rPr>
          <w:b/>
          <w:noProof/>
        </w:rPr>
        <w:t xml:space="preserve"> o pła</w:t>
      </w:r>
      <w:r w:rsidRPr="00201A9A">
        <w:rPr>
          <w:b/>
          <w:noProof/>
        </w:rPr>
        <w:t>tność</w:t>
      </w:r>
    </w:p>
    <w:p w14:paraId="76B6A760" w14:textId="6073868E" w:rsidR="00256F20" w:rsidRPr="00201A9A" w:rsidRDefault="00256F20" w:rsidP="003E2902">
      <w:pPr>
        <w:pStyle w:val="NumPar10000000"/>
        <w:numPr>
          <w:ilvl w:val="0"/>
          <w:numId w:val="53"/>
        </w:numPr>
        <w:rPr>
          <w:noProof/>
        </w:rPr>
      </w:pPr>
      <w:r w:rsidRPr="00201A9A">
        <w:rPr>
          <w:noProof/>
        </w:rPr>
        <w:t>Komisja dokonuje płatności zgodnie ze środkami budżetowymi</w:t>
      </w:r>
      <w:r w:rsidR="00201A9A" w:rsidRPr="00201A9A">
        <w:rPr>
          <w:noProof/>
        </w:rPr>
        <w:t xml:space="preserve"> i z zas</w:t>
      </w:r>
      <w:r w:rsidRPr="00201A9A">
        <w:rPr>
          <w:noProof/>
        </w:rPr>
        <w:t>trzeżeniem dostępności środków finansowych.</w:t>
      </w:r>
      <w:r w:rsidR="00201A9A" w:rsidRPr="00201A9A">
        <w:rPr>
          <w:noProof/>
        </w:rPr>
        <w:t xml:space="preserve"> </w:t>
      </w:r>
    </w:p>
    <w:p w14:paraId="58400B61" w14:textId="5C8070B4" w:rsidR="00D761DA" w:rsidRPr="00201A9A" w:rsidRDefault="00256F20" w:rsidP="003E2902">
      <w:pPr>
        <w:pStyle w:val="NumPar10000000"/>
        <w:numPr>
          <w:ilvl w:val="0"/>
          <w:numId w:val="95"/>
        </w:numPr>
        <w:rPr>
          <w:noProof/>
        </w:rPr>
      </w:pPr>
      <w:r w:rsidRPr="00201A9A">
        <w:rPr>
          <w:noProof/>
        </w:rPr>
        <w:t>Państwa członkowskie przedkładają Komisji wniosek</w:t>
      </w:r>
      <w:r w:rsidR="00201A9A" w:rsidRPr="00201A9A">
        <w:rPr>
          <w:noProof/>
        </w:rPr>
        <w:t xml:space="preserve"> o pła</w:t>
      </w:r>
      <w:r w:rsidRPr="00201A9A">
        <w:rPr>
          <w:noProof/>
        </w:rPr>
        <w:t>tność zgodnie ze wzorem określonym</w:t>
      </w:r>
      <w:r w:rsidR="00201A9A" w:rsidRPr="00201A9A">
        <w:rPr>
          <w:noProof/>
        </w:rPr>
        <w:t xml:space="preserve"> w zał</w:t>
      </w:r>
      <w:r w:rsidRPr="00201A9A">
        <w:rPr>
          <w:noProof/>
        </w:rPr>
        <w:t>ączniku XI [wzór wniosku</w:t>
      </w:r>
      <w:r w:rsidR="00201A9A" w:rsidRPr="00201A9A">
        <w:rPr>
          <w:noProof/>
        </w:rPr>
        <w:t xml:space="preserve"> o pła</w:t>
      </w:r>
      <w:r w:rsidRPr="00201A9A">
        <w:rPr>
          <w:noProof/>
        </w:rPr>
        <w:t>tność]. Kwoty ujęte we wniosku</w:t>
      </w:r>
      <w:r w:rsidR="00201A9A" w:rsidRPr="00201A9A">
        <w:rPr>
          <w:noProof/>
        </w:rPr>
        <w:t xml:space="preserve"> o pła</w:t>
      </w:r>
      <w:r w:rsidRPr="00201A9A">
        <w:rPr>
          <w:noProof/>
        </w:rPr>
        <w:t>tność odpowiadają kwotom uzasadnionym osiągnięciem kamieni milowych</w:t>
      </w:r>
      <w:r w:rsidR="00201A9A" w:rsidRPr="00201A9A">
        <w:rPr>
          <w:noProof/>
        </w:rPr>
        <w:t xml:space="preserve"> i war</w:t>
      </w:r>
      <w:r w:rsidRPr="00201A9A">
        <w:rPr>
          <w:noProof/>
        </w:rPr>
        <w:t>tości docelowych lub odpowiadających im produktów</w:t>
      </w:r>
      <w:r w:rsidR="00201A9A" w:rsidRPr="00201A9A">
        <w:rPr>
          <w:noProof/>
        </w:rPr>
        <w:t xml:space="preserve"> w odn</w:t>
      </w:r>
      <w:r w:rsidRPr="00201A9A">
        <w:rPr>
          <w:noProof/>
        </w:rPr>
        <w:t>iesieniu do innych interwencji, zgodnie</w:t>
      </w:r>
      <w:r w:rsidR="00201A9A" w:rsidRPr="00201A9A">
        <w:rPr>
          <w:noProof/>
        </w:rPr>
        <w:t xml:space="preserve"> z dec</w:t>
      </w:r>
      <w:r w:rsidRPr="00201A9A">
        <w:rPr>
          <w:noProof/>
        </w:rPr>
        <w:t>yzją zatwierdzającą plan</w:t>
      </w:r>
      <w:r w:rsidR="00201A9A" w:rsidRPr="00201A9A">
        <w:rPr>
          <w:noProof/>
        </w:rPr>
        <w:t xml:space="preserve"> i w opa</w:t>
      </w:r>
      <w:r w:rsidRPr="00201A9A">
        <w:rPr>
          <w:noProof/>
        </w:rPr>
        <w:t>rciu</w:t>
      </w:r>
      <w:r w:rsidR="00201A9A" w:rsidRPr="00201A9A">
        <w:rPr>
          <w:noProof/>
        </w:rPr>
        <w:t xml:space="preserve"> o dow</w:t>
      </w:r>
      <w:r w:rsidRPr="00201A9A">
        <w:rPr>
          <w:noProof/>
        </w:rPr>
        <w:t>ody zgromadzone</w:t>
      </w:r>
      <w:r w:rsidR="00201A9A" w:rsidRPr="00201A9A">
        <w:rPr>
          <w:noProof/>
        </w:rPr>
        <w:t xml:space="preserve"> i zwe</w:t>
      </w:r>
      <w:r w:rsidRPr="00201A9A">
        <w:rPr>
          <w:noProof/>
        </w:rPr>
        <w:t>ryfikowane przez państwo członkowskie.</w:t>
      </w:r>
    </w:p>
    <w:p w14:paraId="2C016BAB" w14:textId="1A626DC7" w:rsidR="00256F20" w:rsidRPr="00201A9A" w:rsidRDefault="00256F20" w:rsidP="003E2902">
      <w:pPr>
        <w:pStyle w:val="NumPar10000000"/>
        <w:numPr>
          <w:ilvl w:val="0"/>
          <w:numId w:val="95"/>
        </w:numPr>
        <w:rPr>
          <w:rFonts w:eastAsia="Aptos"/>
          <w:bCs/>
          <w:noProof/>
        </w:rPr>
      </w:pPr>
      <w:r w:rsidRPr="00201A9A">
        <w:rPr>
          <w:noProof/>
        </w:rPr>
        <w:t>Oceniając osiągnięcie kamieni milowych</w:t>
      </w:r>
      <w:r w:rsidR="00201A9A" w:rsidRPr="00201A9A">
        <w:rPr>
          <w:noProof/>
        </w:rPr>
        <w:t xml:space="preserve"> i war</w:t>
      </w:r>
      <w:r w:rsidRPr="00201A9A">
        <w:rPr>
          <w:noProof/>
        </w:rPr>
        <w:t>tości docelowych, państwo członkowskie ocenia każdy</w:t>
      </w:r>
      <w:r w:rsidR="00201A9A" w:rsidRPr="00201A9A">
        <w:rPr>
          <w:noProof/>
        </w:rPr>
        <w:t xml:space="preserve"> z kam</w:t>
      </w:r>
      <w:r w:rsidRPr="00201A9A">
        <w:rPr>
          <w:noProof/>
        </w:rPr>
        <w:t>ieni milowych</w:t>
      </w:r>
      <w:r w:rsidR="00201A9A" w:rsidRPr="00201A9A">
        <w:rPr>
          <w:noProof/>
        </w:rPr>
        <w:t xml:space="preserve"> i war</w:t>
      </w:r>
      <w:r w:rsidRPr="00201A9A">
        <w:rPr>
          <w:noProof/>
        </w:rPr>
        <w:t>tości docelowych</w:t>
      </w:r>
      <w:r w:rsidR="00201A9A" w:rsidRPr="00201A9A">
        <w:rPr>
          <w:noProof/>
        </w:rPr>
        <w:t xml:space="preserve"> w cał</w:t>
      </w:r>
      <w:r w:rsidRPr="00201A9A">
        <w:rPr>
          <w:noProof/>
        </w:rPr>
        <w:t>ości, uwzględniając ich brzmienie, podstawowy cel</w:t>
      </w:r>
      <w:r w:rsidR="00201A9A" w:rsidRPr="00201A9A">
        <w:rPr>
          <w:noProof/>
        </w:rPr>
        <w:t xml:space="preserve"> i kon</w:t>
      </w:r>
      <w:r w:rsidRPr="00201A9A">
        <w:rPr>
          <w:noProof/>
        </w:rPr>
        <w:t>tekst, zgodnie</w:t>
      </w:r>
      <w:r w:rsidR="00201A9A" w:rsidRPr="00201A9A">
        <w:rPr>
          <w:noProof/>
        </w:rPr>
        <w:t xml:space="preserve"> z zał</w:t>
      </w:r>
      <w:r w:rsidRPr="00201A9A">
        <w:rPr>
          <w:noProof/>
        </w:rPr>
        <w:t>ącznikiem VIII [Wytyczne dotyczące oceny osiągnięcia</w:t>
      </w:r>
      <w:r w:rsidR="00201A9A" w:rsidRPr="00201A9A">
        <w:rPr>
          <w:noProof/>
        </w:rPr>
        <w:t xml:space="preserve"> w zad</w:t>
      </w:r>
      <w:r w:rsidRPr="00201A9A">
        <w:rPr>
          <w:noProof/>
        </w:rPr>
        <w:t>owalający sposób kamieni milowych</w:t>
      </w:r>
      <w:r w:rsidR="00201A9A" w:rsidRPr="00201A9A">
        <w:rPr>
          <w:noProof/>
        </w:rPr>
        <w:t xml:space="preserve"> i war</w:t>
      </w:r>
      <w:r w:rsidRPr="00201A9A">
        <w:rPr>
          <w:noProof/>
        </w:rPr>
        <w:t>tości docelowych</w:t>
      </w:r>
      <w:r w:rsidR="00201A9A" w:rsidRPr="00201A9A">
        <w:rPr>
          <w:noProof/>
        </w:rPr>
        <w:t xml:space="preserve"> w ram</w:t>
      </w:r>
      <w:r w:rsidRPr="00201A9A">
        <w:rPr>
          <w:noProof/>
        </w:rPr>
        <w:t>ach Funduszu].</w:t>
      </w:r>
    </w:p>
    <w:p w14:paraId="4D8C5A62" w14:textId="21C28EC1" w:rsidR="00256F20" w:rsidRPr="00201A9A" w:rsidRDefault="00256F20" w:rsidP="003E2902">
      <w:pPr>
        <w:pStyle w:val="NumPar10000000"/>
        <w:numPr>
          <w:ilvl w:val="0"/>
          <w:numId w:val="95"/>
        </w:numPr>
        <w:rPr>
          <w:noProof/>
        </w:rPr>
      </w:pPr>
      <w:r w:rsidRPr="00201A9A">
        <w:rPr>
          <w:noProof/>
        </w:rPr>
        <w:t>Państwa członkowskie przedkładają Komisji wnioski</w:t>
      </w:r>
      <w:r w:rsidR="00201A9A" w:rsidRPr="00201A9A">
        <w:rPr>
          <w:noProof/>
        </w:rPr>
        <w:t xml:space="preserve"> o pła</w:t>
      </w:r>
      <w:r w:rsidRPr="00201A9A">
        <w:rPr>
          <w:noProof/>
        </w:rPr>
        <w:t>tność zgodnie ze wzorem określonym</w:t>
      </w:r>
      <w:r w:rsidR="00201A9A" w:rsidRPr="00201A9A">
        <w:rPr>
          <w:noProof/>
        </w:rPr>
        <w:t xml:space="preserve"> w zał</w:t>
      </w:r>
      <w:r w:rsidRPr="00201A9A">
        <w:rPr>
          <w:noProof/>
        </w:rPr>
        <w:t>ączniku XI do dnia 31 października do sześciu razy</w:t>
      </w:r>
      <w:r w:rsidR="00201A9A" w:rsidRPr="00201A9A">
        <w:rPr>
          <w:noProof/>
        </w:rPr>
        <w:t xml:space="preserve"> w rok</w:t>
      </w:r>
      <w:r w:rsidRPr="00201A9A">
        <w:rPr>
          <w:noProof/>
        </w:rPr>
        <w:t>u.</w:t>
      </w:r>
    </w:p>
    <w:p w14:paraId="1C744496" w14:textId="3DEEAE59" w:rsidR="00256F20" w:rsidRPr="00201A9A" w:rsidRDefault="00256F20" w:rsidP="003E2902">
      <w:pPr>
        <w:pStyle w:val="NumPar10000000"/>
        <w:numPr>
          <w:ilvl w:val="0"/>
          <w:numId w:val="95"/>
        </w:numPr>
        <w:rPr>
          <w:noProof/>
        </w:rPr>
      </w:pPr>
      <w:r w:rsidRPr="00201A9A">
        <w:rPr>
          <w:noProof/>
        </w:rPr>
        <w:t>Wnioski</w:t>
      </w:r>
      <w:r w:rsidR="00201A9A" w:rsidRPr="00201A9A">
        <w:rPr>
          <w:noProof/>
        </w:rPr>
        <w:t xml:space="preserve"> o pła</w:t>
      </w:r>
      <w:r w:rsidRPr="00201A9A">
        <w:rPr>
          <w:noProof/>
        </w:rPr>
        <w:t>tność nie są dopuszczalne, jeżeli ostatni należny pakiet dokumentów dotyczących poświadczenia wiarygodności nie został jeszcze przedłożony zgodnie</w:t>
      </w:r>
      <w:r w:rsidR="00201A9A" w:rsidRPr="00201A9A">
        <w:rPr>
          <w:noProof/>
        </w:rPr>
        <w:t xml:space="preserve"> z art</w:t>
      </w:r>
      <w:r w:rsidRPr="00201A9A">
        <w:rPr>
          <w:noProof/>
        </w:rPr>
        <w:t>.</w:t>
      </w:r>
      <w:r w:rsidR="00201A9A" w:rsidRPr="00201A9A">
        <w:rPr>
          <w:noProof/>
        </w:rPr>
        <w:t> </w:t>
      </w:r>
      <w:r w:rsidRPr="00201A9A">
        <w:rPr>
          <w:noProof/>
        </w:rPr>
        <w:t>59 [roczny pakiet dokumentów dotyczących poświadczenia wiarygodności], do czasu jego przedłożenia.</w:t>
      </w:r>
      <w:r w:rsidR="00201A9A" w:rsidRPr="00201A9A">
        <w:rPr>
          <w:noProof/>
        </w:rPr>
        <w:t xml:space="preserve"> </w:t>
      </w:r>
    </w:p>
    <w:p w14:paraId="3377DFF2" w14:textId="6E4858BE" w:rsidR="00256F20" w:rsidRPr="00201A9A" w:rsidRDefault="00256F20" w:rsidP="003E2902">
      <w:pPr>
        <w:pStyle w:val="NumPar10000000"/>
        <w:numPr>
          <w:ilvl w:val="0"/>
          <w:numId w:val="95"/>
        </w:numPr>
        <w:rPr>
          <w:noProof/>
        </w:rPr>
      </w:pPr>
      <w:r w:rsidRPr="00201A9A">
        <w:rPr>
          <w:noProof/>
        </w:rPr>
        <w:t>Z zastrzeżeniem dostępności środków finansowych Komisja dokonuje płatności</w:t>
      </w:r>
      <w:r w:rsidR="00201A9A" w:rsidRPr="00201A9A">
        <w:rPr>
          <w:noProof/>
        </w:rPr>
        <w:t xml:space="preserve"> w ter</w:t>
      </w:r>
      <w:r w:rsidRPr="00201A9A">
        <w:rPr>
          <w:noProof/>
        </w:rPr>
        <w:t>minie 60 dni od daty otrzymania wniosku</w:t>
      </w:r>
      <w:r w:rsidR="00201A9A" w:rsidRPr="00201A9A">
        <w:rPr>
          <w:noProof/>
        </w:rPr>
        <w:t xml:space="preserve"> o pła</w:t>
      </w:r>
      <w:r w:rsidRPr="00201A9A">
        <w:rPr>
          <w:noProof/>
        </w:rPr>
        <w:t>tność. Kwoty mogą być wypłacane</w:t>
      </w:r>
      <w:r w:rsidR="00201A9A" w:rsidRPr="00201A9A">
        <w:rPr>
          <w:noProof/>
        </w:rPr>
        <w:t xml:space="preserve"> w cał</w:t>
      </w:r>
      <w:r w:rsidRPr="00201A9A">
        <w:rPr>
          <w:noProof/>
        </w:rPr>
        <w:t>ości lub</w:t>
      </w:r>
      <w:r w:rsidR="00201A9A" w:rsidRPr="00201A9A">
        <w:rPr>
          <w:noProof/>
        </w:rPr>
        <w:t xml:space="preserve"> w kil</w:t>
      </w:r>
      <w:r w:rsidRPr="00201A9A">
        <w:rPr>
          <w:noProof/>
        </w:rPr>
        <w:t>ku ratach. </w:t>
      </w:r>
    </w:p>
    <w:p w14:paraId="18D71C43" w14:textId="4C5419C8" w:rsidR="00256F20" w:rsidRPr="00201A9A" w:rsidRDefault="00256F20" w:rsidP="003E2902">
      <w:pPr>
        <w:pStyle w:val="NumPar10000000"/>
        <w:numPr>
          <w:ilvl w:val="0"/>
          <w:numId w:val="95"/>
        </w:numPr>
        <w:rPr>
          <w:noProof/>
        </w:rPr>
      </w:pPr>
      <w:r w:rsidRPr="00201A9A">
        <w:rPr>
          <w:noProof/>
        </w:rPr>
        <w:t>Skumulowana suma płatności zaliczkowych</w:t>
      </w:r>
      <w:r w:rsidR="00201A9A" w:rsidRPr="00201A9A">
        <w:rPr>
          <w:noProof/>
        </w:rPr>
        <w:t xml:space="preserve"> i dok</w:t>
      </w:r>
      <w:r w:rsidRPr="00201A9A">
        <w:rPr>
          <w:noProof/>
        </w:rPr>
        <w:t>onanych płatności nie przekracza 95</w:t>
      </w:r>
      <w:r w:rsidR="00201A9A" w:rsidRPr="00201A9A">
        <w:rPr>
          <w:noProof/>
        </w:rPr>
        <w:t> </w:t>
      </w:r>
      <w:r w:rsidRPr="00201A9A">
        <w:rPr>
          <w:noProof/>
        </w:rPr>
        <w:t>% wkładu</w:t>
      </w:r>
      <w:r w:rsidR="00201A9A" w:rsidRPr="00201A9A">
        <w:rPr>
          <w:noProof/>
        </w:rPr>
        <w:t xml:space="preserve"> z Fun</w:t>
      </w:r>
      <w:r w:rsidRPr="00201A9A">
        <w:rPr>
          <w:noProof/>
        </w:rPr>
        <w:t>duszy</w:t>
      </w:r>
      <w:r w:rsidR="00201A9A" w:rsidRPr="00201A9A">
        <w:rPr>
          <w:noProof/>
        </w:rPr>
        <w:t xml:space="preserve"> w pla</w:t>
      </w:r>
      <w:r w:rsidRPr="00201A9A">
        <w:rPr>
          <w:noProof/>
        </w:rPr>
        <w:t>n. Po osiągnięciu tego pułapu organ koordynujący nadal przekazuje Komisji wnioski</w:t>
      </w:r>
      <w:r w:rsidR="00201A9A" w:rsidRPr="00201A9A">
        <w:rPr>
          <w:noProof/>
        </w:rPr>
        <w:t xml:space="preserve"> o pła</w:t>
      </w:r>
      <w:r w:rsidRPr="00201A9A">
        <w:rPr>
          <w:noProof/>
        </w:rPr>
        <w:t>tność. Bez uszczerbku dla przepisów art.</w:t>
      </w:r>
      <w:r w:rsidR="00201A9A" w:rsidRPr="00201A9A">
        <w:rPr>
          <w:noProof/>
        </w:rPr>
        <w:t> </w:t>
      </w:r>
      <w:r w:rsidRPr="00201A9A">
        <w:rPr>
          <w:noProof/>
        </w:rPr>
        <w:t>66, 67</w:t>
      </w:r>
      <w:r w:rsidR="00201A9A" w:rsidRPr="00201A9A">
        <w:rPr>
          <w:noProof/>
        </w:rPr>
        <w:t xml:space="preserve"> i 6</w:t>
      </w:r>
      <w:r w:rsidRPr="00201A9A">
        <w:rPr>
          <w:noProof/>
        </w:rPr>
        <w:t xml:space="preserve">8 Komisja wypłaca saldo końcowe nie później niż 10 miesięcy po otrzymaniu dokumentów za ostatni rok wykonania. </w:t>
      </w:r>
    </w:p>
    <w:p w14:paraId="0F63E58C" w14:textId="7CBC9FEB" w:rsidR="00256F20" w:rsidRPr="00201A9A" w:rsidRDefault="00256F20" w:rsidP="003E2902">
      <w:pPr>
        <w:pStyle w:val="NumPar10000000"/>
        <w:numPr>
          <w:ilvl w:val="0"/>
          <w:numId w:val="95"/>
        </w:numPr>
        <w:rPr>
          <w:noProof/>
        </w:rPr>
      </w:pPr>
      <w:r w:rsidRPr="00201A9A">
        <w:rPr>
          <w:noProof/>
        </w:rPr>
        <w:t>Komisja jest uprawniona do przyjęcia aktu delegowanego zgodnie</w:t>
      </w:r>
      <w:r w:rsidR="00201A9A" w:rsidRPr="00201A9A">
        <w:rPr>
          <w:noProof/>
        </w:rPr>
        <w:t xml:space="preserve"> z art</w:t>
      </w:r>
      <w:r w:rsidRPr="00201A9A">
        <w:rPr>
          <w:noProof/>
        </w:rPr>
        <w:t>.</w:t>
      </w:r>
      <w:r w:rsidR="00201A9A" w:rsidRPr="00201A9A">
        <w:rPr>
          <w:noProof/>
        </w:rPr>
        <w:t> </w:t>
      </w:r>
      <w:r w:rsidRPr="00201A9A">
        <w:rPr>
          <w:noProof/>
        </w:rPr>
        <w:t>86</w:t>
      </w:r>
      <w:r w:rsidR="00201A9A" w:rsidRPr="00201A9A">
        <w:rPr>
          <w:noProof/>
        </w:rPr>
        <w:t xml:space="preserve"> w cel</w:t>
      </w:r>
      <w:r w:rsidRPr="00201A9A">
        <w:rPr>
          <w:noProof/>
        </w:rPr>
        <w:t>u zmiany załączników VIII i IX [dotyczących wniosku</w:t>
      </w:r>
      <w:r w:rsidR="00201A9A" w:rsidRPr="00201A9A">
        <w:rPr>
          <w:noProof/>
        </w:rPr>
        <w:t xml:space="preserve"> o pła</w:t>
      </w:r>
      <w:r w:rsidRPr="00201A9A">
        <w:rPr>
          <w:noProof/>
        </w:rPr>
        <w:t>tność oraz osiągnięcia kamieni milowych</w:t>
      </w:r>
      <w:r w:rsidR="00201A9A" w:rsidRPr="00201A9A">
        <w:rPr>
          <w:noProof/>
        </w:rPr>
        <w:t xml:space="preserve"> i war</w:t>
      </w:r>
      <w:r w:rsidRPr="00201A9A">
        <w:rPr>
          <w:noProof/>
        </w:rPr>
        <w:t>tości docelowych]. </w:t>
      </w:r>
    </w:p>
    <w:p w14:paraId="0669EFF9" w14:textId="6A82BD37" w:rsidR="00936FC4" w:rsidRPr="00201A9A" w:rsidRDefault="00936FC4" w:rsidP="00936FC4">
      <w:pPr>
        <w:pStyle w:val="Titrearticle"/>
        <w:rPr>
          <w:b/>
          <w:noProof/>
        </w:rPr>
      </w:pPr>
      <w:r w:rsidRPr="00201A9A">
        <w:rPr>
          <w:noProof/>
        </w:rPr>
        <w:t xml:space="preserve">Artykuł 66 </w:t>
      </w:r>
      <w:r w:rsidRPr="00201A9A">
        <w:rPr>
          <w:noProof/>
        </w:rPr>
        <w:br/>
      </w:r>
      <w:r w:rsidRPr="00201A9A">
        <w:rPr>
          <w:b/>
          <w:noProof/>
        </w:rPr>
        <w:t>Terminy</w:t>
      </w:r>
      <w:r w:rsidR="00201A9A" w:rsidRPr="00201A9A">
        <w:rPr>
          <w:b/>
          <w:noProof/>
        </w:rPr>
        <w:t xml:space="preserve"> i wst</w:t>
      </w:r>
      <w:r w:rsidRPr="00201A9A">
        <w:rPr>
          <w:b/>
          <w:noProof/>
        </w:rPr>
        <w:t>rzymanie biegu terminu płatności</w:t>
      </w:r>
    </w:p>
    <w:p w14:paraId="2927DB35" w14:textId="2E205688" w:rsidR="00256F20" w:rsidRPr="00201A9A" w:rsidRDefault="00256F20" w:rsidP="003E2902">
      <w:pPr>
        <w:pStyle w:val="NumPar10000000"/>
        <w:numPr>
          <w:ilvl w:val="0"/>
          <w:numId w:val="54"/>
        </w:numPr>
        <w:rPr>
          <w:noProof/>
        </w:rPr>
      </w:pPr>
      <w:r w:rsidRPr="00201A9A">
        <w:rPr>
          <w:noProof/>
        </w:rPr>
        <w:t>W przypadku gdy wyznaczono termin podjęcia jakichkolwiek działań przez Komisję wobec państw członkowskich, bieg tego terminu rozpoczyna się</w:t>
      </w:r>
      <w:r w:rsidR="00201A9A" w:rsidRPr="00201A9A">
        <w:rPr>
          <w:noProof/>
        </w:rPr>
        <w:t xml:space="preserve"> w mom</w:t>
      </w:r>
      <w:r w:rsidRPr="00201A9A">
        <w:rPr>
          <w:noProof/>
        </w:rPr>
        <w:t>encie, gdy państwo członkowskie przedłoży wszystkie informacje zgodnie</w:t>
      </w:r>
      <w:r w:rsidR="00201A9A" w:rsidRPr="00201A9A">
        <w:rPr>
          <w:noProof/>
        </w:rPr>
        <w:t xml:space="preserve"> z wym</w:t>
      </w:r>
      <w:r w:rsidRPr="00201A9A">
        <w:rPr>
          <w:noProof/>
        </w:rPr>
        <w:t>ogami określonymi</w:t>
      </w:r>
      <w:r w:rsidR="00201A9A" w:rsidRPr="00201A9A">
        <w:rPr>
          <w:noProof/>
        </w:rPr>
        <w:t xml:space="preserve"> w nin</w:t>
      </w:r>
      <w:r w:rsidRPr="00201A9A">
        <w:rPr>
          <w:noProof/>
        </w:rPr>
        <w:t>iejszym rozporządzeniu.</w:t>
      </w:r>
      <w:r w:rsidR="00201A9A" w:rsidRPr="00201A9A">
        <w:rPr>
          <w:noProof/>
        </w:rPr>
        <w:t xml:space="preserve"> </w:t>
      </w:r>
    </w:p>
    <w:p w14:paraId="7911391F" w14:textId="796E03B9" w:rsidR="00256F20" w:rsidRPr="00201A9A" w:rsidRDefault="00256F20" w:rsidP="003E2902">
      <w:pPr>
        <w:pStyle w:val="NumPar10000000"/>
        <w:numPr>
          <w:ilvl w:val="0"/>
          <w:numId w:val="95"/>
        </w:numPr>
        <w:rPr>
          <w:noProof/>
        </w:rPr>
      </w:pPr>
      <w:r w:rsidRPr="00201A9A">
        <w:rPr>
          <w:noProof/>
        </w:rPr>
        <w:t>Bieg tego terminu zawiesza się od dnia następującego po dniu,</w:t>
      </w:r>
      <w:r w:rsidR="00201A9A" w:rsidRPr="00201A9A">
        <w:rPr>
          <w:noProof/>
        </w:rPr>
        <w:t xml:space="preserve"> w któ</w:t>
      </w:r>
      <w:r w:rsidRPr="00201A9A">
        <w:rPr>
          <w:noProof/>
        </w:rPr>
        <w:t>rym Komisja wyśle do państwa członkowskiego swoje uwagi lub wniosek</w:t>
      </w:r>
      <w:r w:rsidR="00201A9A" w:rsidRPr="00201A9A">
        <w:rPr>
          <w:noProof/>
        </w:rPr>
        <w:t xml:space="preserve"> o prz</w:t>
      </w:r>
      <w:r w:rsidRPr="00201A9A">
        <w:rPr>
          <w:noProof/>
        </w:rPr>
        <w:t>esłanie poprawionych dokumentów, do momentu, gdy dane państwo członkowskie odpowie na te uwagi lub przekaże te dokumenty. </w:t>
      </w:r>
    </w:p>
    <w:p w14:paraId="24C9554C" w14:textId="757B1E29" w:rsidR="00256F20" w:rsidRPr="00201A9A" w:rsidRDefault="00256F20" w:rsidP="003E2902">
      <w:pPr>
        <w:pStyle w:val="NumPar10000000"/>
        <w:numPr>
          <w:ilvl w:val="0"/>
          <w:numId w:val="95"/>
        </w:numPr>
        <w:rPr>
          <w:noProof/>
        </w:rPr>
      </w:pPr>
      <w:r w:rsidRPr="00201A9A">
        <w:rPr>
          <w:noProof/>
        </w:rPr>
        <w:t>Biorąc pod uwagę informacje, którymi dysponuje, oraz zasadę proporcjonalności, Komisja może wstrzymać bieg terminu płatności na maksymalny okres sześciu miesięcy lub,</w:t>
      </w:r>
      <w:r w:rsidR="00201A9A" w:rsidRPr="00201A9A">
        <w:rPr>
          <w:noProof/>
        </w:rPr>
        <w:t xml:space="preserve"> w odn</w:t>
      </w:r>
      <w:r w:rsidRPr="00201A9A">
        <w:rPr>
          <w:noProof/>
        </w:rPr>
        <w:t>iesieniu do wsparcia</w:t>
      </w:r>
      <w:r w:rsidR="00201A9A" w:rsidRPr="00201A9A">
        <w:rPr>
          <w:noProof/>
        </w:rPr>
        <w:t xml:space="preserve"> w for</w:t>
      </w:r>
      <w:r w:rsidRPr="00201A9A">
        <w:rPr>
          <w:noProof/>
        </w:rPr>
        <w:t>mie pożyczki, zastosować dowolny środek dostępny na podstawie umowy pożyczki, jeżeli spełniony jest którykolwiek</w:t>
      </w:r>
      <w:r w:rsidR="00201A9A" w:rsidRPr="00201A9A">
        <w:rPr>
          <w:noProof/>
        </w:rPr>
        <w:t xml:space="preserve"> z nas</w:t>
      </w:r>
      <w:r w:rsidRPr="00201A9A">
        <w:rPr>
          <w:noProof/>
        </w:rPr>
        <w:t>tępujących warunków:</w:t>
      </w:r>
      <w:r w:rsidR="00201A9A" w:rsidRPr="00201A9A">
        <w:rPr>
          <w:noProof/>
        </w:rPr>
        <w:t xml:space="preserve"> </w:t>
      </w:r>
    </w:p>
    <w:p w14:paraId="5ADA01F9" w14:textId="3C3D226D" w:rsidR="00256F20" w:rsidRPr="00201A9A" w:rsidRDefault="00201A9A" w:rsidP="00201A9A">
      <w:pPr>
        <w:pStyle w:val="Point1"/>
        <w:rPr>
          <w:noProof/>
        </w:rPr>
      </w:pPr>
      <w:r w:rsidRPr="00201A9A">
        <w:rPr>
          <w:noProof/>
        </w:rPr>
        <w:t>a)</w:t>
      </w:r>
      <w:r w:rsidRPr="00201A9A">
        <w:rPr>
          <w:noProof/>
        </w:rPr>
        <w:tab/>
      </w:r>
      <w:r w:rsidR="00256F20" w:rsidRPr="00201A9A">
        <w:rPr>
          <w:noProof/>
        </w:rPr>
        <w:t>informacje te wskazują na poważne nieprzestrzeganie przez państwo członkowskie obowiązków określonych</w:t>
      </w:r>
      <w:r w:rsidRPr="00201A9A">
        <w:rPr>
          <w:noProof/>
        </w:rPr>
        <w:t xml:space="preserve"> w art</w:t>
      </w:r>
      <w:r w:rsidR="00256F20" w:rsidRPr="00201A9A">
        <w:rPr>
          <w:noProof/>
        </w:rPr>
        <w:t>.</w:t>
      </w:r>
      <w:r w:rsidRPr="00201A9A">
        <w:rPr>
          <w:noProof/>
        </w:rPr>
        <w:t> </w:t>
      </w:r>
      <w:r w:rsidR="00256F20" w:rsidRPr="00201A9A">
        <w:rPr>
          <w:noProof/>
        </w:rPr>
        <w:t>58 [obowiązki państw członkowskich],</w:t>
      </w:r>
      <w:r w:rsidRPr="00201A9A">
        <w:rPr>
          <w:noProof/>
        </w:rPr>
        <w:t xml:space="preserve"> w odn</w:t>
      </w:r>
      <w:r w:rsidR="00256F20" w:rsidRPr="00201A9A">
        <w:rPr>
          <w:noProof/>
        </w:rPr>
        <w:t>iesieniu do których nie zastosowano środków naprawczych;</w:t>
      </w:r>
      <w:r w:rsidRPr="00201A9A">
        <w:rPr>
          <w:noProof/>
        </w:rPr>
        <w:t xml:space="preserve"> </w:t>
      </w:r>
    </w:p>
    <w:p w14:paraId="788AA497" w14:textId="401F124B" w:rsidR="00256F20" w:rsidRPr="00201A9A" w:rsidRDefault="00201A9A" w:rsidP="00201A9A">
      <w:pPr>
        <w:pStyle w:val="Point1"/>
        <w:rPr>
          <w:noProof/>
        </w:rPr>
      </w:pPr>
      <w:r w:rsidRPr="00201A9A">
        <w:rPr>
          <w:noProof/>
        </w:rPr>
        <w:t>b)</w:t>
      </w:r>
      <w:r w:rsidRPr="00201A9A">
        <w:rPr>
          <w:noProof/>
        </w:rPr>
        <w:tab/>
      </w:r>
      <w:r w:rsidR="00256F20" w:rsidRPr="00201A9A">
        <w:rPr>
          <w:noProof/>
        </w:rPr>
        <w:t>Komisja zamierza przeprowadzić weryfikacje,</w:t>
      </w:r>
      <w:r w:rsidRPr="00201A9A">
        <w:rPr>
          <w:noProof/>
        </w:rPr>
        <w:t xml:space="preserve"> w szc</w:t>
      </w:r>
      <w:r w:rsidR="00256F20" w:rsidRPr="00201A9A">
        <w:rPr>
          <w:noProof/>
        </w:rPr>
        <w:t>zególności</w:t>
      </w:r>
      <w:r w:rsidRPr="00201A9A">
        <w:rPr>
          <w:noProof/>
        </w:rPr>
        <w:t xml:space="preserve"> w cel</w:t>
      </w:r>
      <w:r w:rsidR="00256F20" w:rsidRPr="00201A9A">
        <w:rPr>
          <w:noProof/>
        </w:rPr>
        <w:t>u ustalenia, czy nie osiągnięto co najmniej jednego kamienia milowego, wartości docelowej lub produktu uwzględnionego we wniosku</w:t>
      </w:r>
      <w:r w:rsidRPr="00201A9A">
        <w:rPr>
          <w:noProof/>
        </w:rPr>
        <w:t xml:space="preserve"> o pła</w:t>
      </w:r>
      <w:r w:rsidR="00256F20" w:rsidRPr="00201A9A">
        <w:rPr>
          <w:noProof/>
        </w:rPr>
        <w:t>tność;</w:t>
      </w:r>
    </w:p>
    <w:p w14:paraId="79D92DB6" w14:textId="37073273" w:rsidR="00256F20" w:rsidRPr="00201A9A" w:rsidRDefault="00201A9A" w:rsidP="00201A9A">
      <w:pPr>
        <w:pStyle w:val="Point1"/>
        <w:rPr>
          <w:noProof/>
        </w:rPr>
      </w:pPr>
      <w:r w:rsidRPr="00201A9A">
        <w:rPr>
          <w:noProof/>
        </w:rPr>
        <w:t>c)</w:t>
      </w:r>
      <w:r w:rsidRPr="00201A9A">
        <w:rPr>
          <w:noProof/>
        </w:rPr>
        <w:tab/>
      </w:r>
      <w:r w:rsidR="00256F20" w:rsidRPr="00201A9A">
        <w:rPr>
          <w:noProof/>
        </w:rPr>
        <w:t>kamień milowy lub wartość docelowa,</w:t>
      </w:r>
      <w:r w:rsidRPr="00201A9A">
        <w:rPr>
          <w:noProof/>
        </w:rPr>
        <w:t xml:space="preserve"> w odn</w:t>
      </w:r>
      <w:r w:rsidR="00256F20" w:rsidRPr="00201A9A">
        <w:rPr>
          <w:noProof/>
        </w:rPr>
        <w:t>iesieniu do których zrealizowano płatność, mogły zostać odwrócone zgodnie</w:t>
      </w:r>
      <w:r w:rsidRPr="00201A9A">
        <w:rPr>
          <w:noProof/>
        </w:rPr>
        <w:t xml:space="preserve"> z art</w:t>
      </w:r>
      <w:r w:rsidR="00256F20" w:rsidRPr="00201A9A">
        <w:rPr>
          <w:noProof/>
        </w:rPr>
        <w:t>.</w:t>
      </w:r>
      <w:r w:rsidRPr="00201A9A">
        <w:rPr>
          <w:noProof/>
        </w:rPr>
        <w:t> </w:t>
      </w:r>
      <w:r w:rsidR="00256F20" w:rsidRPr="00201A9A">
        <w:rPr>
          <w:noProof/>
        </w:rPr>
        <w:t>69 [odwrócenia].</w:t>
      </w:r>
      <w:r w:rsidRPr="00201A9A">
        <w:rPr>
          <w:noProof/>
        </w:rPr>
        <w:t xml:space="preserve"> </w:t>
      </w:r>
    </w:p>
    <w:p w14:paraId="1BBB9EDF" w14:textId="376744F9" w:rsidR="00256F20" w:rsidRPr="00201A9A" w:rsidRDefault="00256F20" w:rsidP="003E2902">
      <w:pPr>
        <w:pStyle w:val="NumPar10000000"/>
        <w:numPr>
          <w:ilvl w:val="0"/>
          <w:numId w:val="95"/>
        </w:numPr>
        <w:rPr>
          <w:i/>
          <w:noProof/>
        </w:rPr>
      </w:pPr>
      <w:r w:rsidRPr="00201A9A">
        <w:rPr>
          <w:noProof/>
        </w:rPr>
        <w:t>Komisja informuje zainteresowane państwo członkowskie na piśmie</w:t>
      </w:r>
      <w:r w:rsidR="00201A9A" w:rsidRPr="00201A9A">
        <w:rPr>
          <w:noProof/>
        </w:rPr>
        <w:t xml:space="preserve"> o prz</w:t>
      </w:r>
      <w:r w:rsidRPr="00201A9A">
        <w:rPr>
          <w:noProof/>
        </w:rPr>
        <w:t>yczynach wstrzymania i,</w:t>
      </w:r>
      <w:r w:rsidR="00201A9A" w:rsidRPr="00201A9A">
        <w:rPr>
          <w:noProof/>
        </w:rPr>
        <w:t xml:space="preserve"> w sto</w:t>
      </w:r>
      <w:r w:rsidRPr="00201A9A">
        <w:rPr>
          <w:noProof/>
        </w:rPr>
        <w:t>sownych przypadkach, wzywa je do zaradzenia tej sytuacji.</w:t>
      </w:r>
    </w:p>
    <w:p w14:paraId="07CA9F51" w14:textId="77777777" w:rsidR="00936FC4" w:rsidRPr="00201A9A" w:rsidRDefault="00936FC4" w:rsidP="00936FC4">
      <w:pPr>
        <w:pStyle w:val="Titrearticle"/>
        <w:rPr>
          <w:noProof/>
        </w:rPr>
      </w:pPr>
      <w:r w:rsidRPr="00201A9A">
        <w:rPr>
          <w:noProof/>
        </w:rPr>
        <w:t xml:space="preserve">Artykuł 67 </w:t>
      </w:r>
      <w:r w:rsidRPr="00201A9A">
        <w:rPr>
          <w:noProof/>
        </w:rPr>
        <w:br/>
      </w:r>
      <w:r w:rsidRPr="00201A9A">
        <w:rPr>
          <w:b/>
          <w:noProof/>
        </w:rPr>
        <w:t>Zawieszenie płatności</w:t>
      </w:r>
    </w:p>
    <w:p w14:paraId="034E92CA" w14:textId="08164704" w:rsidR="00256F20" w:rsidRPr="00201A9A" w:rsidRDefault="00256F20" w:rsidP="003E2902">
      <w:pPr>
        <w:pStyle w:val="NumPar10000000"/>
        <w:numPr>
          <w:ilvl w:val="0"/>
          <w:numId w:val="55"/>
        </w:numPr>
        <w:rPr>
          <w:noProof/>
        </w:rPr>
      </w:pPr>
      <w:r w:rsidRPr="00201A9A">
        <w:rPr>
          <w:noProof/>
        </w:rPr>
        <w:t>Komisja może zawiesić całość lub część płatności lub,</w:t>
      </w:r>
      <w:r w:rsidR="00201A9A" w:rsidRPr="00201A9A">
        <w:rPr>
          <w:noProof/>
        </w:rPr>
        <w:t xml:space="preserve"> w odn</w:t>
      </w:r>
      <w:r w:rsidRPr="00201A9A">
        <w:rPr>
          <w:noProof/>
        </w:rPr>
        <w:t>iesieniu do wsparcia</w:t>
      </w:r>
      <w:r w:rsidR="00201A9A" w:rsidRPr="00201A9A">
        <w:rPr>
          <w:noProof/>
        </w:rPr>
        <w:t xml:space="preserve"> w for</w:t>
      </w:r>
      <w:r w:rsidRPr="00201A9A">
        <w:rPr>
          <w:noProof/>
        </w:rPr>
        <w:t>mie pożyczki, zastosować dowolny środek dostępny na podstawie umowy pożyczki,</w:t>
      </w:r>
      <w:r w:rsidR="00201A9A" w:rsidRPr="00201A9A">
        <w:rPr>
          <w:noProof/>
        </w:rPr>
        <w:t xml:space="preserve"> z uwz</w:t>
      </w:r>
      <w:r w:rsidRPr="00201A9A">
        <w:rPr>
          <w:noProof/>
        </w:rPr>
        <w:t>ględnieniem zasady proporcjonalności,</w:t>
      </w:r>
      <w:r w:rsidR="00201A9A" w:rsidRPr="00201A9A">
        <w:rPr>
          <w:noProof/>
        </w:rPr>
        <w:t xml:space="preserve"> w każ</w:t>
      </w:r>
      <w:r w:rsidRPr="00201A9A">
        <w:rPr>
          <w:noProof/>
        </w:rPr>
        <w:t>dym</w:t>
      </w:r>
      <w:r w:rsidR="00201A9A" w:rsidRPr="00201A9A">
        <w:rPr>
          <w:noProof/>
        </w:rPr>
        <w:t xml:space="preserve"> z nas</w:t>
      </w:r>
      <w:r w:rsidRPr="00201A9A">
        <w:rPr>
          <w:noProof/>
        </w:rPr>
        <w:t>tępujących przypadków: </w:t>
      </w:r>
    </w:p>
    <w:p w14:paraId="7861F0DF" w14:textId="1B39D76B" w:rsidR="00256F20" w:rsidRPr="00201A9A" w:rsidRDefault="00201A9A" w:rsidP="00201A9A">
      <w:pPr>
        <w:pStyle w:val="Point1"/>
        <w:rPr>
          <w:noProof/>
        </w:rPr>
      </w:pPr>
      <w:r w:rsidRPr="00201A9A">
        <w:rPr>
          <w:noProof/>
        </w:rPr>
        <w:t>a)</w:t>
      </w:r>
      <w:r w:rsidRPr="00201A9A">
        <w:rPr>
          <w:noProof/>
        </w:rPr>
        <w:tab/>
      </w:r>
      <w:r w:rsidR="00256F20" w:rsidRPr="00201A9A">
        <w:rPr>
          <w:noProof/>
        </w:rPr>
        <w:t>państwo członkowskie nie zastosowało środków naprawczych</w:t>
      </w:r>
      <w:r w:rsidRPr="00201A9A">
        <w:rPr>
          <w:noProof/>
        </w:rPr>
        <w:t xml:space="preserve"> w cel</w:t>
      </w:r>
      <w:r w:rsidR="00256F20" w:rsidRPr="00201A9A">
        <w:rPr>
          <w:noProof/>
        </w:rPr>
        <w:t>u zaradzenia sytuacji, która doprowadziła do wstrzymania biegu terminu płatności na podstawie art.</w:t>
      </w:r>
      <w:r w:rsidRPr="00201A9A">
        <w:rPr>
          <w:noProof/>
        </w:rPr>
        <w:t> </w:t>
      </w:r>
      <w:r w:rsidR="00256F20" w:rsidRPr="00201A9A">
        <w:rPr>
          <w:noProof/>
        </w:rPr>
        <w:t>66 ust.</w:t>
      </w:r>
      <w:r w:rsidRPr="00201A9A">
        <w:rPr>
          <w:noProof/>
        </w:rPr>
        <w:t> </w:t>
      </w:r>
      <w:r w:rsidR="00256F20" w:rsidRPr="00201A9A">
        <w:rPr>
          <w:noProof/>
        </w:rPr>
        <w:t>3 lit.</w:t>
      </w:r>
      <w:r w:rsidRPr="00201A9A">
        <w:rPr>
          <w:noProof/>
        </w:rPr>
        <w:t> </w:t>
      </w:r>
      <w:r w:rsidR="00256F20" w:rsidRPr="00201A9A">
        <w:rPr>
          <w:noProof/>
        </w:rPr>
        <w:t>a) [wstrzymanie]; </w:t>
      </w:r>
    </w:p>
    <w:p w14:paraId="6062A2A2" w14:textId="63454778" w:rsidR="00256F20" w:rsidRPr="00201A9A" w:rsidRDefault="00201A9A" w:rsidP="00201A9A">
      <w:pPr>
        <w:pStyle w:val="Point1"/>
        <w:rPr>
          <w:noProof/>
        </w:rPr>
      </w:pPr>
      <w:r w:rsidRPr="00201A9A">
        <w:rPr>
          <w:noProof/>
        </w:rPr>
        <w:t>b)</w:t>
      </w:r>
      <w:r w:rsidRPr="00201A9A">
        <w:rPr>
          <w:noProof/>
        </w:rPr>
        <w:tab/>
      </w:r>
      <w:r w:rsidR="00256F20" w:rsidRPr="00201A9A">
        <w:rPr>
          <w:noProof/>
        </w:rPr>
        <w:t>doszło do poważnego naruszenia obowiązków określonych</w:t>
      </w:r>
      <w:r w:rsidRPr="00201A9A">
        <w:rPr>
          <w:noProof/>
        </w:rPr>
        <w:t xml:space="preserve"> w art</w:t>
      </w:r>
      <w:r w:rsidR="00256F20" w:rsidRPr="00201A9A">
        <w:rPr>
          <w:noProof/>
        </w:rPr>
        <w:t>.</w:t>
      </w:r>
      <w:r w:rsidRPr="00201A9A">
        <w:rPr>
          <w:noProof/>
        </w:rPr>
        <w:t> </w:t>
      </w:r>
      <w:r w:rsidR="00256F20" w:rsidRPr="00201A9A">
        <w:rPr>
          <w:noProof/>
        </w:rPr>
        <w:t>58 [Obowiązki państw członkowskich],</w:t>
      </w:r>
      <w:r w:rsidRPr="00201A9A">
        <w:rPr>
          <w:noProof/>
        </w:rPr>
        <w:t xml:space="preserve"> w odn</w:t>
      </w:r>
      <w:r w:rsidR="00256F20" w:rsidRPr="00201A9A">
        <w:rPr>
          <w:noProof/>
        </w:rPr>
        <w:t>iesieniu do którego nie zastosowano środków naprawczych;</w:t>
      </w:r>
    </w:p>
    <w:p w14:paraId="430608ED" w14:textId="33F41781" w:rsidR="00256F20" w:rsidRPr="00201A9A" w:rsidRDefault="00201A9A" w:rsidP="00201A9A">
      <w:pPr>
        <w:pStyle w:val="Point1"/>
        <w:rPr>
          <w:noProof/>
        </w:rPr>
      </w:pPr>
      <w:r w:rsidRPr="00201A9A">
        <w:rPr>
          <w:noProof/>
        </w:rPr>
        <w:t>c)</w:t>
      </w:r>
      <w:r w:rsidRPr="00201A9A">
        <w:rPr>
          <w:noProof/>
        </w:rPr>
        <w:tab/>
      </w:r>
      <w:r w:rsidR="00256F20" w:rsidRPr="00201A9A">
        <w:rPr>
          <w:noProof/>
        </w:rPr>
        <w:t>nie osiągnięto co najmniej jednego kamienia milowego, wartości docelowej lub produktu uwzględnionych we wniosku</w:t>
      </w:r>
      <w:r w:rsidRPr="00201A9A">
        <w:rPr>
          <w:noProof/>
        </w:rPr>
        <w:t xml:space="preserve"> o pła</w:t>
      </w:r>
      <w:r w:rsidR="00256F20" w:rsidRPr="00201A9A">
        <w:rPr>
          <w:noProof/>
        </w:rPr>
        <w:t>tność, lub kamień milowy lub wartość docelowa,</w:t>
      </w:r>
      <w:r w:rsidRPr="00201A9A">
        <w:rPr>
          <w:noProof/>
        </w:rPr>
        <w:t xml:space="preserve"> w odn</w:t>
      </w:r>
      <w:r w:rsidR="00256F20" w:rsidRPr="00201A9A">
        <w:rPr>
          <w:noProof/>
        </w:rPr>
        <w:t>iesieniu do których zrealizowano płatność, zostały odwrócone zgodnie</w:t>
      </w:r>
      <w:r w:rsidRPr="00201A9A">
        <w:rPr>
          <w:noProof/>
        </w:rPr>
        <w:t xml:space="preserve"> z art</w:t>
      </w:r>
      <w:r w:rsidR="00256F20" w:rsidRPr="00201A9A">
        <w:rPr>
          <w:noProof/>
        </w:rPr>
        <w:t>.</w:t>
      </w:r>
      <w:r w:rsidRPr="00201A9A">
        <w:rPr>
          <w:noProof/>
        </w:rPr>
        <w:t> </w:t>
      </w:r>
      <w:r w:rsidR="00256F20" w:rsidRPr="00201A9A">
        <w:rPr>
          <w:noProof/>
        </w:rPr>
        <w:t>69 [odwrócenia]; </w:t>
      </w:r>
    </w:p>
    <w:p w14:paraId="59915166" w14:textId="51F29416" w:rsidR="00256F20" w:rsidRPr="00201A9A" w:rsidRDefault="00201A9A" w:rsidP="00201A9A">
      <w:pPr>
        <w:pStyle w:val="Point1"/>
        <w:rPr>
          <w:noProof/>
        </w:rPr>
      </w:pPr>
      <w:r w:rsidRPr="00201A9A">
        <w:rPr>
          <w:noProof/>
        </w:rPr>
        <w:t>d)</w:t>
      </w:r>
      <w:r w:rsidRPr="00201A9A">
        <w:rPr>
          <w:noProof/>
        </w:rPr>
        <w:tab/>
      </w:r>
      <w:r w:rsidR="00256F20" w:rsidRPr="00201A9A">
        <w:rPr>
          <w:noProof/>
        </w:rPr>
        <w:t>Komisja wydała uzasadnioną opinię</w:t>
      </w:r>
      <w:r w:rsidRPr="00201A9A">
        <w:rPr>
          <w:noProof/>
        </w:rPr>
        <w:t xml:space="preserve"> w odn</w:t>
      </w:r>
      <w:r w:rsidR="00256F20" w:rsidRPr="00201A9A">
        <w:rPr>
          <w:noProof/>
        </w:rPr>
        <w:t>iesieniu do postępowania</w:t>
      </w:r>
      <w:r w:rsidRPr="00201A9A">
        <w:rPr>
          <w:noProof/>
        </w:rPr>
        <w:t xml:space="preserve"> w spr</w:t>
      </w:r>
      <w:r w:rsidR="00256F20" w:rsidRPr="00201A9A">
        <w:rPr>
          <w:noProof/>
        </w:rPr>
        <w:t>awie uchybienia zobowiązaniom państwa członkowskiego zgodnie</w:t>
      </w:r>
      <w:r w:rsidRPr="00201A9A">
        <w:rPr>
          <w:noProof/>
        </w:rPr>
        <w:t xml:space="preserve"> z art</w:t>
      </w:r>
      <w:r w:rsidR="00256F20" w:rsidRPr="00201A9A">
        <w:rPr>
          <w:noProof/>
        </w:rPr>
        <w:t>.</w:t>
      </w:r>
      <w:r w:rsidRPr="00201A9A">
        <w:rPr>
          <w:noProof/>
        </w:rPr>
        <w:t> </w:t>
      </w:r>
      <w:r w:rsidR="00256F20" w:rsidRPr="00201A9A">
        <w:rPr>
          <w:noProof/>
        </w:rPr>
        <w:t>258 TFUE, która to opinia dotyczy sprawy stwarzającej zagrożenie dla skutecznego wdrożenia środków;</w:t>
      </w:r>
    </w:p>
    <w:p w14:paraId="36ECA613" w14:textId="2A8AA411" w:rsidR="00256F20" w:rsidRPr="00201A9A" w:rsidRDefault="00201A9A" w:rsidP="00201A9A">
      <w:pPr>
        <w:pStyle w:val="Point1"/>
        <w:rPr>
          <w:rFonts w:eastAsia="Aptos"/>
          <w:noProof/>
        </w:rPr>
      </w:pPr>
      <w:r w:rsidRPr="00201A9A">
        <w:rPr>
          <w:noProof/>
        </w:rPr>
        <w:t>e)</w:t>
      </w:r>
      <w:r w:rsidRPr="00201A9A">
        <w:rPr>
          <w:noProof/>
        </w:rPr>
        <w:tab/>
      </w:r>
      <w:r w:rsidR="0022189C" w:rsidRPr="00201A9A">
        <w:rPr>
          <w:noProof/>
        </w:rPr>
        <w:t>Rada uznała, że państwo członkowskie:</w:t>
      </w:r>
    </w:p>
    <w:p w14:paraId="2FABEF96" w14:textId="6409CD98" w:rsidR="00256F20" w:rsidRPr="00201A9A" w:rsidRDefault="00256F20" w:rsidP="003E2902">
      <w:pPr>
        <w:pStyle w:val="Point2n"/>
        <w:numPr>
          <w:ilvl w:val="0"/>
          <w:numId w:val="34"/>
        </w:numPr>
        <w:spacing w:line="240" w:lineRule="auto"/>
        <w:jc w:val="both"/>
        <w:rPr>
          <w:noProof/>
        </w:rPr>
      </w:pPr>
      <w:r w:rsidRPr="00201A9A">
        <w:rPr>
          <w:noProof/>
        </w:rPr>
        <w:t>nie podjęło skutecznych działań</w:t>
      </w:r>
      <w:r w:rsidR="00201A9A" w:rsidRPr="00201A9A">
        <w:rPr>
          <w:noProof/>
        </w:rPr>
        <w:t xml:space="preserve"> w cel</w:t>
      </w:r>
      <w:r w:rsidRPr="00201A9A">
        <w:rPr>
          <w:noProof/>
        </w:rPr>
        <w:t>u skorygowania nadmiernego deficytu, chyba że Rada przyjęła zalecenie na podstawie art.</w:t>
      </w:r>
      <w:r w:rsidR="00201A9A" w:rsidRPr="00201A9A">
        <w:rPr>
          <w:noProof/>
        </w:rPr>
        <w:t> </w:t>
      </w:r>
      <w:r w:rsidRPr="00201A9A">
        <w:rPr>
          <w:noProof/>
        </w:rPr>
        <w:t>25 rozporządzenia Parlamentu Europejskiego</w:t>
      </w:r>
      <w:r w:rsidR="00201A9A" w:rsidRPr="00201A9A">
        <w:rPr>
          <w:noProof/>
        </w:rPr>
        <w:t xml:space="preserve"> i Rad</w:t>
      </w:r>
      <w:r w:rsidRPr="00201A9A">
        <w:rPr>
          <w:noProof/>
        </w:rPr>
        <w:t>y (UE) 2024/1263</w:t>
      </w:r>
      <w:r w:rsidR="00201A9A" w:rsidRPr="00201A9A">
        <w:rPr>
          <w:noProof/>
        </w:rPr>
        <w:t xml:space="preserve"> w prz</w:t>
      </w:r>
      <w:r w:rsidRPr="00201A9A">
        <w:rPr>
          <w:noProof/>
        </w:rPr>
        <w:t>ypadku znacznego pogorszenia koniunktury gospodarczej</w:t>
      </w:r>
      <w:r w:rsidR="00201A9A" w:rsidRPr="00201A9A">
        <w:rPr>
          <w:noProof/>
        </w:rPr>
        <w:t xml:space="preserve"> w str</w:t>
      </w:r>
      <w:r w:rsidRPr="00201A9A">
        <w:rPr>
          <w:noProof/>
        </w:rPr>
        <w:t>efie euro lub</w:t>
      </w:r>
      <w:r w:rsidR="00201A9A" w:rsidRPr="00201A9A">
        <w:rPr>
          <w:noProof/>
        </w:rPr>
        <w:t xml:space="preserve"> w cał</w:t>
      </w:r>
      <w:r w:rsidRPr="00201A9A">
        <w:rPr>
          <w:noProof/>
        </w:rPr>
        <w:t>ej Unii;</w:t>
      </w:r>
    </w:p>
    <w:p w14:paraId="7213084F" w14:textId="4248FC51" w:rsidR="00256F20" w:rsidRPr="00201A9A" w:rsidRDefault="00256F20" w:rsidP="005A28DE">
      <w:pPr>
        <w:pStyle w:val="Point2n"/>
        <w:spacing w:line="240" w:lineRule="auto"/>
        <w:jc w:val="both"/>
        <w:rPr>
          <w:noProof/>
        </w:rPr>
      </w:pPr>
      <w:r w:rsidRPr="00201A9A">
        <w:rPr>
          <w:noProof/>
        </w:rPr>
        <w:t>nie podjęło działań naprawczych</w:t>
      </w:r>
      <w:r w:rsidR="00201A9A" w:rsidRPr="00201A9A">
        <w:rPr>
          <w:noProof/>
        </w:rPr>
        <w:t xml:space="preserve"> w cel</w:t>
      </w:r>
      <w:r w:rsidRPr="00201A9A">
        <w:rPr>
          <w:noProof/>
        </w:rPr>
        <w:t>u skorygowania nadmiernych zakłóceń równowagi, chyba że Rada przyjęła zmiany swojego zalecenia na podstawie art.</w:t>
      </w:r>
      <w:r w:rsidR="00201A9A" w:rsidRPr="00201A9A">
        <w:rPr>
          <w:noProof/>
        </w:rPr>
        <w:t> </w:t>
      </w:r>
      <w:r w:rsidRPr="00201A9A">
        <w:rPr>
          <w:noProof/>
        </w:rPr>
        <w:t>9 ust.</w:t>
      </w:r>
      <w:r w:rsidR="00201A9A" w:rsidRPr="00201A9A">
        <w:rPr>
          <w:noProof/>
        </w:rPr>
        <w:t> </w:t>
      </w:r>
      <w:r w:rsidRPr="00201A9A">
        <w:rPr>
          <w:noProof/>
        </w:rPr>
        <w:t>4 rozporządzenia Parlamentu Europejskiego</w:t>
      </w:r>
      <w:r w:rsidR="00201A9A" w:rsidRPr="00201A9A">
        <w:rPr>
          <w:noProof/>
        </w:rPr>
        <w:t xml:space="preserve"> i Rad</w:t>
      </w:r>
      <w:r w:rsidRPr="00201A9A">
        <w:rPr>
          <w:noProof/>
        </w:rPr>
        <w:t>y (UE) nr</w:t>
      </w:r>
      <w:r w:rsidR="00201A9A" w:rsidRPr="00201A9A">
        <w:rPr>
          <w:noProof/>
        </w:rPr>
        <w:t> </w:t>
      </w:r>
      <w:r w:rsidRPr="00201A9A">
        <w:rPr>
          <w:noProof/>
        </w:rPr>
        <w:t>1176/2011;</w:t>
      </w:r>
    </w:p>
    <w:p w14:paraId="5F32AF17" w14:textId="46E42DDB" w:rsidR="00256F20" w:rsidRPr="00201A9A" w:rsidRDefault="00256F20" w:rsidP="005A28DE">
      <w:pPr>
        <w:pStyle w:val="Point2n"/>
        <w:spacing w:line="240" w:lineRule="auto"/>
        <w:jc w:val="both"/>
        <w:rPr>
          <w:noProof/>
        </w:rPr>
      </w:pPr>
      <w:r w:rsidRPr="00201A9A">
        <w:rPr>
          <w:noProof/>
        </w:rPr>
        <w:t>nie spełnia wymogów polityki zawartych</w:t>
      </w:r>
      <w:r w:rsidR="00201A9A" w:rsidRPr="00201A9A">
        <w:rPr>
          <w:noProof/>
        </w:rPr>
        <w:t xml:space="preserve"> w pro</w:t>
      </w:r>
      <w:r w:rsidRPr="00201A9A">
        <w:rPr>
          <w:noProof/>
        </w:rPr>
        <w:t>gramie dostosowań makroekonomicznych,</w:t>
      </w:r>
      <w:r w:rsidR="00201A9A" w:rsidRPr="00201A9A">
        <w:rPr>
          <w:noProof/>
        </w:rPr>
        <w:t xml:space="preserve"> o któ</w:t>
      </w:r>
      <w:r w:rsidRPr="00201A9A">
        <w:rPr>
          <w:noProof/>
        </w:rPr>
        <w:t>rym mowa</w:t>
      </w:r>
      <w:r w:rsidR="00201A9A" w:rsidRPr="00201A9A">
        <w:rPr>
          <w:noProof/>
        </w:rPr>
        <w:t xml:space="preserve"> w art</w:t>
      </w:r>
      <w:r w:rsidRPr="00201A9A">
        <w:rPr>
          <w:noProof/>
        </w:rPr>
        <w:t>.</w:t>
      </w:r>
      <w:r w:rsidR="00201A9A" w:rsidRPr="00201A9A">
        <w:rPr>
          <w:noProof/>
        </w:rPr>
        <w:t> </w:t>
      </w:r>
      <w:r w:rsidRPr="00201A9A">
        <w:rPr>
          <w:noProof/>
        </w:rPr>
        <w:t>7 rozporządzenia Parlamentu Europejskiego</w:t>
      </w:r>
      <w:r w:rsidR="00201A9A" w:rsidRPr="00201A9A">
        <w:rPr>
          <w:noProof/>
        </w:rPr>
        <w:t xml:space="preserve"> i Rad</w:t>
      </w:r>
      <w:r w:rsidRPr="00201A9A">
        <w:rPr>
          <w:noProof/>
        </w:rPr>
        <w:t>y (UE) nr</w:t>
      </w:r>
      <w:r w:rsidR="00201A9A" w:rsidRPr="00201A9A">
        <w:rPr>
          <w:noProof/>
        </w:rPr>
        <w:t> </w:t>
      </w:r>
      <w:r w:rsidRPr="00201A9A">
        <w:rPr>
          <w:noProof/>
        </w:rPr>
        <w:t>472/2013,</w:t>
      </w:r>
      <w:r w:rsidR="00201A9A" w:rsidRPr="00201A9A">
        <w:rPr>
          <w:noProof/>
        </w:rPr>
        <w:t xml:space="preserve"> z prz</w:t>
      </w:r>
      <w:r w:rsidRPr="00201A9A">
        <w:rPr>
          <w:noProof/>
        </w:rPr>
        <w:t>yczyn pozostających pod kontrolą danego państwa członkowskiego;</w:t>
      </w:r>
    </w:p>
    <w:p w14:paraId="3673F0E1" w14:textId="206CEF76" w:rsidR="00256F20" w:rsidRPr="00201A9A" w:rsidRDefault="00201A9A" w:rsidP="00201A9A">
      <w:pPr>
        <w:pStyle w:val="Point1"/>
        <w:rPr>
          <w:noProof/>
        </w:rPr>
      </w:pPr>
      <w:r w:rsidRPr="00201A9A">
        <w:rPr>
          <w:noProof/>
        </w:rPr>
        <w:t>f)</w:t>
      </w:r>
      <w:r w:rsidRPr="00201A9A">
        <w:rPr>
          <w:noProof/>
        </w:rPr>
        <w:tab/>
      </w:r>
      <w:r w:rsidR="0022189C" w:rsidRPr="00201A9A">
        <w:rPr>
          <w:noProof/>
        </w:rPr>
        <w:t>Komisja stwierdziła, że państwo członkowskie nie przestrzega programu dostosowawczego</w:t>
      </w:r>
      <w:r w:rsidRPr="00201A9A">
        <w:rPr>
          <w:noProof/>
        </w:rPr>
        <w:t xml:space="preserve"> i pro</w:t>
      </w:r>
      <w:r w:rsidR="0022189C" w:rsidRPr="00201A9A">
        <w:rPr>
          <w:noProof/>
        </w:rPr>
        <w:t>tokołu ustaleń,</w:t>
      </w:r>
      <w:r w:rsidRPr="00201A9A">
        <w:rPr>
          <w:noProof/>
        </w:rPr>
        <w:t xml:space="preserve"> o któ</w:t>
      </w:r>
      <w:r w:rsidR="0022189C" w:rsidRPr="00201A9A">
        <w:rPr>
          <w:noProof/>
        </w:rPr>
        <w:t>rych mowa</w:t>
      </w:r>
      <w:r w:rsidRPr="00201A9A">
        <w:rPr>
          <w:noProof/>
        </w:rPr>
        <w:t xml:space="preserve"> w art</w:t>
      </w:r>
      <w:r w:rsidR="0022189C" w:rsidRPr="00201A9A">
        <w:rPr>
          <w:noProof/>
        </w:rPr>
        <w:t>.</w:t>
      </w:r>
      <w:r w:rsidRPr="00201A9A">
        <w:rPr>
          <w:noProof/>
        </w:rPr>
        <w:t> </w:t>
      </w:r>
      <w:r w:rsidR="0022189C" w:rsidRPr="00201A9A">
        <w:rPr>
          <w:noProof/>
        </w:rPr>
        <w:t>3</w:t>
      </w:r>
      <w:r w:rsidRPr="00201A9A">
        <w:rPr>
          <w:noProof/>
        </w:rPr>
        <w:t xml:space="preserve"> i 3</w:t>
      </w:r>
      <w:r w:rsidR="0022189C" w:rsidRPr="00201A9A">
        <w:rPr>
          <w:noProof/>
        </w:rPr>
        <w:t>a rozporządzenia Rady (WE) nr</w:t>
      </w:r>
      <w:r w:rsidRPr="00201A9A">
        <w:rPr>
          <w:noProof/>
        </w:rPr>
        <w:t> </w:t>
      </w:r>
      <w:r w:rsidR="0022189C" w:rsidRPr="00201A9A">
        <w:rPr>
          <w:noProof/>
        </w:rPr>
        <w:t>332/2002.</w:t>
      </w:r>
    </w:p>
    <w:p w14:paraId="18ECB451" w14:textId="12E5429D" w:rsidR="00216042" w:rsidRPr="00201A9A" w:rsidRDefault="00216042" w:rsidP="003E2902">
      <w:pPr>
        <w:pStyle w:val="NumPar10000000"/>
        <w:numPr>
          <w:ilvl w:val="0"/>
          <w:numId w:val="95"/>
        </w:numPr>
        <w:rPr>
          <w:noProof/>
        </w:rPr>
      </w:pPr>
      <w:r w:rsidRPr="00201A9A">
        <w:rPr>
          <w:noProof/>
        </w:rPr>
        <w:t>Przed podjęciem decyzji</w:t>
      </w:r>
      <w:r w:rsidR="00201A9A" w:rsidRPr="00201A9A">
        <w:rPr>
          <w:noProof/>
        </w:rPr>
        <w:t xml:space="preserve"> o zaw</w:t>
      </w:r>
      <w:r w:rsidRPr="00201A9A">
        <w:rPr>
          <w:noProof/>
        </w:rPr>
        <w:t>ieszeniu Komisja informuje państwo członkowskie</w:t>
      </w:r>
      <w:r w:rsidR="00201A9A" w:rsidRPr="00201A9A">
        <w:rPr>
          <w:noProof/>
        </w:rPr>
        <w:t xml:space="preserve"> o swo</w:t>
      </w:r>
      <w:r w:rsidRPr="00201A9A">
        <w:rPr>
          <w:noProof/>
        </w:rPr>
        <w:t>ich wnioskach</w:t>
      </w:r>
      <w:r w:rsidR="00201A9A" w:rsidRPr="00201A9A">
        <w:rPr>
          <w:noProof/>
        </w:rPr>
        <w:t xml:space="preserve"> i umo</w:t>
      </w:r>
      <w:r w:rsidRPr="00201A9A">
        <w:rPr>
          <w:noProof/>
        </w:rPr>
        <w:t>żliwia mu zgłoszenie</w:t>
      </w:r>
      <w:r w:rsidR="00201A9A" w:rsidRPr="00201A9A">
        <w:rPr>
          <w:noProof/>
        </w:rPr>
        <w:t xml:space="preserve"> w ter</w:t>
      </w:r>
      <w:r w:rsidRPr="00201A9A">
        <w:rPr>
          <w:noProof/>
        </w:rPr>
        <w:t>minie dwóch miesięcy uwag do oceny Komisji. Termin ten może zostać przedłużony, jeżeli zostanie to wspólnie uzgodnione. Przed podjęciem decyzji</w:t>
      </w:r>
      <w:r w:rsidR="00201A9A" w:rsidRPr="00201A9A">
        <w:rPr>
          <w:noProof/>
        </w:rPr>
        <w:t xml:space="preserve"> o zaw</w:t>
      </w:r>
      <w:r w:rsidRPr="00201A9A">
        <w:rPr>
          <w:noProof/>
        </w:rPr>
        <w:t>ieszeniu Komisja uwzględnia wszystkie istotne informacje</w:t>
      </w:r>
      <w:r w:rsidR="00201A9A" w:rsidRPr="00201A9A">
        <w:rPr>
          <w:noProof/>
        </w:rPr>
        <w:t xml:space="preserve"> i uwa</w:t>
      </w:r>
      <w:r w:rsidRPr="00201A9A">
        <w:rPr>
          <w:noProof/>
        </w:rPr>
        <w:t>gi przekazane przez państwo członkowskie. </w:t>
      </w:r>
    </w:p>
    <w:p w14:paraId="4BCE5354" w14:textId="3D55AD62" w:rsidR="00256F20" w:rsidRPr="00201A9A" w:rsidRDefault="00256F20" w:rsidP="003E2902">
      <w:pPr>
        <w:pStyle w:val="NumPar10000000"/>
        <w:numPr>
          <w:ilvl w:val="0"/>
          <w:numId w:val="95"/>
        </w:numPr>
        <w:rPr>
          <w:noProof/>
        </w:rPr>
      </w:pPr>
      <w:r w:rsidRPr="00201A9A">
        <w:rPr>
          <w:noProof/>
        </w:rPr>
        <w:t>Komisja uchyla zawieszenie, gdy państwo członkowskie zastosowało środków naprawczych</w:t>
      </w:r>
      <w:r w:rsidR="00201A9A" w:rsidRPr="00201A9A">
        <w:rPr>
          <w:noProof/>
        </w:rPr>
        <w:t xml:space="preserve"> w odn</w:t>
      </w:r>
      <w:r w:rsidRPr="00201A9A">
        <w:rPr>
          <w:noProof/>
        </w:rPr>
        <w:t>iesieniu do elementów,</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Środki takie mogą obejmować zmianę planu wprowadzającą dodatkowe warunki płatności. </w:t>
      </w:r>
    </w:p>
    <w:p w14:paraId="455F976E" w14:textId="77777777" w:rsidR="00936FC4" w:rsidRPr="00201A9A" w:rsidRDefault="00936FC4" w:rsidP="00936FC4">
      <w:pPr>
        <w:pStyle w:val="Titrearticle"/>
        <w:rPr>
          <w:noProof/>
        </w:rPr>
      </w:pPr>
      <w:r w:rsidRPr="00201A9A">
        <w:rPr>
          <w:noProof/>
        </w:rPr>
        <w:t xml:space="preserve">Artykuł 68 </w:t>
      </w:r>
      <w:r w:rsidRPr="00201A9A">
        <w:rPr>
          <w:noProof/>
        </w:rPr>
        <w:br/>
      </w:r>
      <w:r w:rsidRPr="00201A9A">
        <w:rPr>
          <w:b/>
          <w:noProof/>
        </w:rPr>
        <w:t>Korekty finansowe dokonywane przez Komisję</w:t>
      </w:r>
    </w:p>
    <w:p w14:paraId="7F412F99" w14:textId="1489AD53" w:rsidR="00256F20" w:rsidRPr="00201A9A" w:rsidRDefault="00256F20" w:rsidP="003E2902">
      <w:pPr>
        <w:pStyle w:val="NumPar10000000"/>
        <w:numPr>
          <w:ilvl w:val="0"/>
          <w:numId w:val="56"/>
        </w:numPr>
        <w:rPr>
          <w:noProof/>
        </w:rPr>
      </w:pPr>
      <w:r w:rsidRPr="00201A9A">
        <w:rPr>
          <w:noProof/>
        </w:rPr>
        <w:t>Komisja stosuje korekty finansowe</w:t>
      </w:r>
      <w:r w:rsidR="00201A9A" w:rsidRPr="00201A9A">
        <w:rPr>
          <w:noProof/>
        </w:rPr>
        <w:t xml:space="preserve"> w cel</w:t>
      </w:r>
      <w:r w:rsidRPr="00201A9A">
        <w:rPr>
          <w:noProof/>
        </w:rPr>
        <w:t>u proporcjonalnego zmniejszenia unijnego wkładu finansowego oraz,</w:t>
      </w:r>
      <w:r w:rsidR="00201A9A" w:rsidRPr="00201A9A">
        <w:rPr>
          <w:noProof/>
        </w:rPr>
        <w:t xml:space="preserve"> w sto</w:t>
      </w:r>
      <w:r w:rsidRPr="00201A9A">
        <w:rPr>
          <w:noProof/>
        </w:rPr>
        <w:t>sownych przypadkach, odzyskania od państw członkowskich wszelkich kwot należnych budżetowi Unii lub,</w:t>
      </w:r>
      <w:r w:rsidR="00201A9A" w:rsidRPr="00201A9A">
        <w:rPr>
          <w:noProof/>
        </w:rPr>
        <w:t xml:space="preserve"> w odn</w:t>
      </w:r>
      <w:r w:rsidRPr="00201A9A">
        <w:rPr>
          <w:noProof/>
        </w:rPr>
        <w:t>iesieniu do wsparcia</w:t>
      </w:r>
      <w:r w:rsidR="00201A9A" w:rsidRPr="00201A9A">
        <w:rPr>
          <w:noProof/>
        </w:rPr>
        <w:t xml:space="preserve"> w for</w:t>
      </w:r>
      <w:r w:rsidRPr="00201A9A">
        <w:rPr>
          <w:noProof/>
        </w:rPr>
        <w:t>mie pożyczki, zastosowania wszelkich środków dostępnych na podstawie umowy pożyczki, jeżeli stwierdzi, że zachodzi jedna</w:t>
      </w:r>
      <w:r w:rsidR="00201A9A" w:rsidRPr="00201A9A">
        <w:rPr>
          <w:noProof/>
        </w:rPr>
        <w:t xml:space="preserve"> z nas</w:t>
      </w:r>
      <w:r w:rsidRPr="00201A9A">
        <w:rPr>
          <w:noProof/>
        </w:rPr>
        <w:t>tępujących sytuacji: </w:t>
      </w:r>
    </w:p>
    <w:p w14:paraId="02CBFC38" w14:textId="4B0986EF" w:rsidR="00256F20" w:rsidRPr="00201A9A" w:rsidRDefault="00201A9A" w:rsidP="00201A9A">
      <w:pPr>
        <w:pStyle w:val="Point1"/>
        <w:rPr>
          <w:noProof/>
        </w:rPr>
      </w:pPr>
      <w:r w:rsidRPr="00201A9A">
        <w:rPr>
          <w:noProof/>
        </w:rPr>
        <w:t>a)</w:t>
      </w:r>
      <w:r w:rsidRPr="00201A9A">
        <w:rPr>
          <w:noProof/>
        </w:rPr>
        <w:tab/>
      </w:r>
      <w:r w:rsidR="00256F20" w:rsidRPr="00201A9A">
        <w:rPr>
          <w:noProof/>
        </w:rPr>
        <w:t>dane państwo członkowskie nie zastosowało niezbędnych środków,</w:t>
      </w:r>
      <w:r w:rsidRPr="00201A9A">
        <w:rPr>
          <w:noProof/>
        </w:rPr>
        <w:t xml:space="preserve"> o któ</w:t>
      </w:r>
      <w:r w:rsidR="00256F20" w:rsidRPr="00201A9A">
        <w:rPr>
          <w:noProof/>
        </w:rPr>
        <w:t>rych mowa</w:t>
      </w:r>
      <w:r w:rsidRPr="00201A9A">
        <w:rPr>
          <w:noProof/>
        </w:rPr>
        <w:t xml:space="preserve"> w art</w:t>
      </w:r>
      <w:r w:rsidR="00256F20" w:rsidRPr="00201A9A">
        <w:rPr>
          <w:noProof/>
        </w:rPr>
        <w:t>.</w:t>
      </w:r>
      <w:r w:rsidRPr="00201A9A">
        <w:rPr>
          <w:noProof/>
        </w:rPr>
        <w:t> </w:t>
      </w:r>
      <w:r w:rsidR="00256F20" w:rsidRPr="00201A9A">
        <w:rPr>
          <w:noProof/>
        </w:rPr>
        <w:t>67 ust.</w:t>
      </w:r>
      <w:r w:rsidRPr="00201A9A">
        <w:rPr>
          <w:noProof/>
        </w:rPr>
        <w:t> </w:t>
      </w:r>
      <w:r w:rsidR="00256F20" w:rsidRPr="00201A9A">
        <w:rPr>
          <w:noProof/>
        </w:rPr>
        <w:t>2 [Zawieszenie płatności],</w:t>
      </w:r>
      <w:r w:rsidRPr="00201A9A">
        <w:rPr>
          <w:noProof/>
        </w:rPr>
        <w:t xml:space="preserve"> a pła</w:t>
      </w:r>
      <w:r w:rsidR="00256F20" w:rsidRPr="00201A9A">
        <w:rPr>
          <w:noProof/>
        </w:rPr>
        <w:t xml:space="preserve">tności były zawieszone przez co najmniej sześć miesięcy; </w:t>
      </w:r>
    </w:p>
    <w:p w14:paraId="669798BA" w14:textId="333247BA" w:rsidR="00256F20" w:rsidRPr="00201A9A" w:rsidRDefault="00201A9A" w:rsidP="00201A9A">
      <w:pPr>
        <w:pStyle w:val="Point1"/>
        <w:rPr>
          <w:noProof/>
        </w:rPr>
      </w:pPr>
      <w:r w:rsidRPr="00201A9A">
        <w:rPr>
          <w:noProof/>
        </w:rPr>
        <w:t>b)</w:t>
      </w:r>
      <w:r w:rsidRPr="00201A9A">
        <w:rPr>
          <w:noProof/>
        </w:rPr>
        <w:tab/>
      </w:r>
      <w:r w:rsidR="00256F20" w:rsidRPr="00201A9A">
        <w:rPr>
          <w:noProof/>
        </w:rPr>
        <w:t>występują nadużycia finansowe, korupcja lub konflikty interesów naruszające interesy finansowe Unii, które nie zostały wykryte, zgłoszone</w:t>
      </w:r>
      <w:r w:rsidRPr="00201A9A">
        <w:rPr>
          <w:noProof/>
        </w:rPr>
        <w:t xml:space="preserve"> i sko</w:t>
      </w:r>
      <w:r w:rsidR="00256F20" w:rsidRPr="00201A9A">
        <w:rPr>
          <w:noProof/>
        </w:rPr>
        <w:t xml:space="preserve">rygowane przez państwo członkowskie; </w:t>
      </w:r>
    </w:p>
    <w:p w14:paraId="60CB141A" w14:textId="665D5812" w:rsidR="00256F20" w:rsidRPr="00201A9A" w:rsidRDefault="00201A9A" w:rsidP="00201A9A">
      <w:pPr>
        <w:pStyle w:val="Point1"/>
        <w:rPr>
          <w:noProof/>
        </w:rPr>
      </w:pPr>
      <w:r w:rsidRPr="00201A9A">
        <w:rPr>
          <w:noProof/>
        </w:rPr>
        <w:t>c)</w:t>
      </w:r>
      <w:r w:rsidRPr="00201A9A">
        <w:rPr>
          <w:noProof/>
        </w:rPr>
        <w:tab/>
      </w:r>
      <w:r w:rsidR="00256F20" w:rsidRPr="00201A9A">
        <w:rPr>
          <w:noProof/>
        </w:rPr>
        <w:t>doszło do poważnego naruszenia obowiązków określonych</w:t>
      </w:r>
      <w:r w:rsidRPr="00201A9A">
        <w:rPr>
          <w:noProof/>
        </w:rPr>
        <w:t xml:space="preserve"> w art</w:t>
      </w:r>
      <w:r w:rsidR="00256F20" w:rsidRPr="00201A9A">
        <w:rPr>
          <w:noProof/>
        </w:rPr>
        <w:t>.</w:t>
      </w:r>
      <w:r w:rsidRPr="00201A9A">
        <w:rPr>
          <w:noProof/>
        </w:rPr>
        <w:t> </w:t>
      </w:r>
      <w:r w:rsidR="00256F20" w:rsidRPr="00201A9A">
        <w:rPr>
          <w:noProof/>
        </w:rPr>
        <w:t>58 [Obowiązki państw członkowskich],</w:t>
      </w:r>
      <w:r w:rsidRPr="00201A9A">
        <w:rPr>
          <w:noProof/>
        </w:rPr>
        <w:t xml:space="preserve"> w odn</w:t>
      </w:r>
      <w:r w:rsidR="00256F20" w:rsidRPr="00201A9A">
        <w:rPr>
          <w:noProof/>
        </w:rPr>
        <w:t xml:space="preserve">iesieniu do którego państwo członkowskie nie zastosowało środków naprawczych; </w:t>
      </w:r>
    </w:p>
    <w:p w14:paraId="69CF15F0" w14:textId="6BFF473A" w:rsidR="00256F20" w:rsidRPr="00201A9A" w:rsidRDefault="00201A9A" w:rsidP="00201A9A">
      <w:pPr>
        <w:pStyle w:val="Point1"/>
        <w:rPr>
          <w:noProof/>
        </w:rPr>
      </w:pPr>
      <w:r w:rsidRPr="00201A9A">
        <w:rPr>
          <w:noProof/>
        </w:rPr>
        <w:t>d)</w:t>
      </w:r>
      <w:r w:rsidRPr="00201A9A">
        <w:rPr>
          <w:noProof/>
        </w:rPr>
        <w:tab/>
      </w:r>
      <w:r w:rsidR="00256F20" w:rsidRPr="00201A9A">
        <w:rPr>
          <w:noProof/>
        </w:rPr>
        <w:t>wypłacono kwoty za nieosiągnięty kamień milowy, wartość docelową lub produkt, czego państwo członkowskie nie wykryło ani zgłosiło, a do końca planu nie podjęto środków naprawczych;</w:t>
      </w:r>
      <w:r w:rsidRPr="00201A9A">
        <w:rPr>
          <w:noProof/>
        </w:rPr>
        <w:t xml:space="preserve"> w prz</w:t>
      </w:r>
      <w:r w:rsidR="00256F20" w:rsidRPr="00201A9A">
        <w:rPr>
          <w:noProof/>
        </w:rPr>
        <w:t>ypadku gdy państwo członkowskie zgłasza takie ustalenia Komisji, zastosowanie ma procedura zawieszenia określona</w:t>
      </w:r>
      <w:r w:rsidRPr="00201A9A">
        <w:rPr>
          <w:noProof/>
        </w:rPr>
        <w:t xml:space="preserve"> w art</w:t>
      </w:r>
      <w:r w:rsidR="00256F20" w:rsidRPr="00201A9A">
        <w:rPr>
          <w:noProof/>
        </w:rPr>
        <w:t>.</w:t>
      </w:r>
      <w:r w:rsidRPr="00201A9A">
        <w:rPr>
          <w:noProof/>
        </w:rPr>
        <w:t> </w:t>
      </w:r>
      <w:r w:rsidR="00256F20" w:rsidRPr="00201A9A">
        <w:rPr>
          <w:noProof/>
        </w:rPr>
        <w:t>67 ust.</w:t>
      </w:r>
      <w:r w:rsidRPr="00201A9A">
        <w:rPr>
          <w:noProof/>
        </w:rPr>
        <w:t> </w:t>
      </w:r>
      <w:r w:rsidR="00256F20" w:rsidRPr="00201A9A">
        <w:rPr>
          <w:noProof/>
        </w:rPr>
        <w:t>1 lit.</w:t>
      </w:r>
      <w:r w:rsidRPr="00201A9A">
        <w:rPr>
          <w:noProof/>
        </w:rPr>
        <w:t> </w:t>
      </w:r>
      <w:r w:rsidR="00256F20" w:rsidRPr="00201A9A">
        <w:rPr>
          <w:noProof/>
        </w:rPr>
        <w:t>c) (Zawieszenie płatności);</w:t>
      </w:r>
    </w:p>
    <w:p w14:paraId="488998FD" w14:textId="15D7E2B0" w:rsidR="00256F20" w:rsidRPr="00201A9A" w:rsidRDefault="00201A9A" w:rsidP="00201A9A">
      <w:pPr>
        <w:pStyle w:val="Point1"/>
        <w:rPr>
          <w:noProof/>
        </w:rPr>
      </w:pPr>
      <w:r w:rsidRPr="00201A9A">
        <w:rPr>
          <w:noProof/>
        </w:rPr>
        <w:t>e)</w:t>
      </w:r>
      <w:r w:rsidRPr="00201A9A">
        <w:rPr>
          <w:noProof/>
        </w:rPr>
        <w:tab/>
      </w:r>
      <w:r w:rsidR="00256F20" w:rsidRPr="00201A9A">
        <w:rPr>
          <w:noProof/>
        </w:rPr>
        <w:t>stwierdzono, że kamień milowy lub wartość docelowa,</w:t>
      </w:r>
      <w:r w:rsidRPr="00201A9A">
        <w:rPr>
          <w:noProof/>
        </w:rPr>
        <w:t xml:space="preserve"> w odn</w:t>
      </w:r>
      <w:r w:rsidR="00256F20" w:rsidRPr="00201A9A">
        <w:rPr>
          <w:noProof/>
        </w:rPr>
        <w:t>iesieniu do których zrealizowano płatność, zostały odwrócone po dokonaniu ostatniej płatności</w:t>
      </w:r>
      <w:r w:rsidRPr="00201A9A">
        <w:rPr>
          <w:noProof/>
        </w:rPr>
        <w:t xml:space="preserve"> w ram</w:t>
      </w:r>
      <w:r w:rsidR="00256F20" w:rsidRPr="00201A9A">
        <w:rPr>
          <w:noProof/>
        </w:rPr>
        <w:t>ach planu, a do końca realizacji planu nie podjęto środków naprawczych. </w:t>
      </w:r>
    </w:p>
    <w:p w14:paraId="61BF04F7" w14:textId="6336C69D" w:rsidR="00256F20" w:rsidRPr="00201A9A" w:rsidRDefault="00256F20" w:rsidP="003E2902">
      <w:pPr>
        <w:pStyle w:val="NumPar10000000"/>
        <w:numPr>
          <w:ilvl w:val="0"/>
          <w:numId w:val="95"/>
        </w:numPr>
        <w:rPr>
          <w:noProof/>
        </w:rPr>
      </w:pPr>
      <w:r w:rsidRPr="00201A9A">
        <w:rPr>
          <w:noProof/>
        </w:rPr>
        <w:t>Podejmując decyzję</w:t>
      </w:r>
      <w:r w:rsidR="00201A9A" w:rsidRPr="00201A9A">
        <w:rPr>
          <w:noProof/>
        </w:rPr>
        <w:t xml:space="preserve"> w spr</w:t>
      </w:r>
      <w:r w:rsidRPr="00201A9A">
        <w:rPr>
          <w:noProof/>
        </w:rPr>
        <w:t>awie kwoty korekty finansowej, Komisja przestrzega zasady proporcjonalności</w:t>
      </w:r>
      <w:r w:rsidR="00201A9A" w:rsidRPr="00201A9A">
        <w:rPr>
          <w:noProof/>
        </w:rPr>
        <w:t xml:space="preserve"> i uwz</w:t>
      </w:r>
      <w:r w:rsidRPr="00201A9A">
        <w:rPr>
          <w:noProof/>
        </w:rPr>
        <w:t>ględnia wagę, częstotliwość</w:t>
      </w:r>
      <w:r w:rsidR="00201A9A" w:rsidRPr="00201A9A">
        <w:rPr>
          <w:noProof/>
        </w:rPr>
        <w:t xml:space="preserve"> i sku</w:t>
      </w:r>
      <w:r w:rsidRPr="00201A9A">
        <w:rPr>
          <w:noProof/>
        </w:rPr>
        <w:t>tki finansowe niedociągnięć wymienionych</w:t>
      </w:r>
      <w:r w:rsidR="00201A9A" w:rsidRPr="00201A9A">
        <w:rPr>
          <w:noProof/>
        </w:rPr>
        <w:t xml:space="preserve"> w ust</w:t>
      </w:r>
      <w:r w:rsidRPr="00201A9A">
        <w:rPr>
          <w:noProof/>
        </w:rPr>
        <w:t>.</w:t>
      </w:r>
      <w:r w:rsidR="00201A9A" w:rsidRPr="00201A9A">
        <w:rPr>
          <w:noProof/>
        </w:rPr>
        <w:t> </w:t>
      </w:r>
      <w:r w:rsidRPr="00201A9A">
        <w:rPr>
          <w:noProof/>
        </w:rPr>
        <w:t>1</w:t>
      </w:r>
      <w:r w:rsidR="00201A9A" w:rsidRPr="00201A9A">
        <w:rPr>
          <w:noProof/>
        </w:rPr>
        <w:t>. W mia</w:t>
      </w:r>
      <w:r w:rsidRPr="00201A9A">
        <w:rPr>
          <w:noProof/>
        </w:rPr>
        <w:t>rę możliwości odpowiada ona rzeczywistej stracie finansowej lub ryzyku dla budżetu Unii</w:t>
      </w:r>
      <w:r w:rsidR="00201A9A" w:rsidRPr="00201A9A">
        <w:rPr>
          <w:noProof/>
        </w:rPr>
        <w:t>. W prz</w:t>
      </w:r>
      <w:r w:rsidRPr="00201A9A">
        <w:rPr>
          <w:noProof/>
        </w:rPr>
        <w:t>ypadku gdy Komisja nie może określić uzasadnionym nakładem sił rzeczywistego poziomu nienależnych płatności oraz kwoty strat finansowych poniesionych przez Unię, Komisja może określić kwotę, stosując ekstrapolację lub stawki ryczałtowe zgodnie</w:t>
      </w:r>
      <w:r w:rsidR="00201A9A" w:rsidRPr="00201A9A">
        <w:rPr>
          <w:noProof/>
        </w:rPr>
        <w:t xml:space="preserve"> z zał</w:t>
      </w:r>
      <w:r w:rsidRPr="00201A9A">
        <w:rPr>
          <w:noProof/>
        </w:rPr>
        <w:t>ącznikiem XIV [Określenie poziomu stawki ryczałtowej korekty finansowej].</w:t>
      </w:r>
      <w:r w:rsidR="00201A9A" w:rsidRPr="00201A9A">
        <w:rPr>
          <w:noProof/>
        </w:rPr>
        <w:t xml:space="preserve"> </w:t>
      </w:r>
    </w:p>
    <w:p w14:paraId="782E5683" w14:textId="5F52C78D" w:rsidR="00256F20" w:rsidRPr="00201A9A" w:rsidRDefault="001E5F58" w:rsidP="00C6195D">
      <w:pPr>
        <w:pStyle w:val="Text1"/>
        <w:rPr>
          <w:noProof/>
        </w:rPr>
      </w:pPr>
      <w:r w:rsidRPr="00201A9A">
        <w:rPr>
          <w:noProof/>
        </w:rPr>
        <w:t>W przypadku nieosiągnięcia kamienia milowego lub wartości docelowej, które nie został wykryte</w:t>
      </w:r>
      <w:r w:rsidR="00201A9A" w:rsidRPr="00201A9A">
        <w:rPr>
          <w:noProof/>
        </w:rPr>
        <w:t xml:space="preserve"> i zgł</w:t>
      </w:r>
      <w:r w:rsidRPr="00201A9A">
        <w:rPr>
          <w:noProof/>
        </w:rPr>
        <w:t>oszone przez państwo członkowskie,</w:t>
      </w:r>
      <w:r w:rsidR="00201A9A" w:rsidRPr="00201A9A">
        <w:rPr>
          <w:noProof/>
        </w:rPr>
        <w:t xml:space="preserve"> o czy</w:t>
      </w:r>
      <w:r w:rsidRPr="00201A9A">
        <w:rPr>
          <w:noProof/>
        </w:rPr>
        <w:t>m mowa</w:t>
      </w:r>
      <w:r w:rsidR="00201A9A" w:rsidRPr="00201A9A">
        <w:rPr>
          <w:noProof/>
        </w:rPr>
        <w:t xml:space="preserve"> w ust</w:t>
      </w:r>
      <w:r w:rsidRPr="00201A9A">
        <w:rPr>
          <w:noProof/>
        </w:rPr>
        <w:t>.</w:t>
      </w:r>
      <w:r w:rsidR="00201A9A" w:rsidRPr="00201A9A">
        <w:rPr>
          <w:noProof/>
        </w:rPr>
        <w:t> </w:t>
      </w:r>
      <w:r w:rsidRPr="00201A9A">
        <w:rPr>
          <w:noProof/>
        </w:rPr>
        <w:t>2 lit.</w:t>
      </w:r>
      <w:r w:rsidR="00201A9A" w:rsidRPr="00201A9A">
        <w:rPr>
          <w:noProof/>
        </w:rPr>
        <w:t> </w:t>
      </w:r>
      <w:r w:rsidRPr="00201A9A">
        <w:rPr>
          <w:noProof/>
        </w:rPr>
        <w:t>d), wartość korekty zastosowanej przez Komisję określa się proporcjonalnie do części, która nie została osiągnięta. </w:t>
      </w:r>
    </w:p>
    <w:p w14:paraId="24B9D72D" w14:textId="6BE81E95" w:rsidR="00256F20" w:rsidRPr="00201A9A" w:rsidRDefault="00256F20" w:rsidP="00C6195D">
      <w:pPr>
        <w:pStyle w:val="Text1"/>
        <w:rPr>
          <w:noProof/>
        </w:rPr>
      </w:pPr>
      <w:r w:rsidRPr="00201A9A">
        <w:rPr>
          <w:noProof/>
        </w:rPr>
        <w:t>W przypadku gdy ostateczny kamień milowy lub wartość docelowa danego działania nie zostały osiągnięte, wartość korekty zastosowanej przez Komisję określa się proporcjonalnie do realizacji środka,</w:t>
      </w:r>
      <w:r w:rsidR="00201A9A" w:rsidRPr="00201A9A">
        <w:rPr>
          <w:noProof/>
        </w:rPr>
        <w:t xml:space="preserve"> z uwz</w:t>
      </w:r>
      <w:r w:rsidRPr="00201A9A">
        <w:rPr>
          <w:noProof/>
        </w:rPr>
        <w:t>ględnieniem dokonanych wcześniej płatności. </w:t>
      </w:r>
    </w:p>
    <w:p w14:paraId="0880AF4B" w14:textId="2F6B5FF6" w:rsidR="00256F20" w:rsidRPr="00201A9A" w:rsidRDefault="00256F20" w:rsidP="003E2902">
      <w:pPr>
        <w:pStyle w:val="NumPar10000000"/>
        <w:numPr>
          <w:ilvl w:val="0"/>
          <w:numId w:val="95"/>
        </w:numPr>
        <w:rPr>
          <w:noProof/>
        </w:rPr>
      </w:pPr>
      <w:r w:rsidRPr="00201A9A">
        <w:rPr>
          <w:noProof/>
        </w:rPr>
        <w:t>Przed podjęciem decyzji</w:t>
      </w:r>
      <w:r w:rsidR="00201A9A" w:rsidRPr="00201A9A">
        <w:rPr>
          <w:noProof/>
        </w:rPr>
        <w:t xml:space="preserve"> o dok</w:t>
      </w:r>
      <w:r w:rsidRPr="00201A9A">
        <w:rPr>
          <w:noProof/>
        </w:rPr>
        <w:t>onaniu korekty finansowej Komisja informuje państwo członkowskie</w:t>
      </w:r>
      <w:r w:rsidR="00201A9A" w:rsidRPr="00201A9A">
        <w:rPr>
          <w:noProof/>
        </w:rPr>
        <w:t xml:space="preserve"> o swo</w:t>
      </w:r>
      <w:r w:rsidRPr="00201A9A">
        <w:rPr>
          <w:noProof/>
        </w:rPr>
        <w:t>ich wnioskach</w:t>
      </w:r>
      <w:r w:rsidR="00201A9A" w:rsidRPr="00201A9A">
        <w:rPr>
          <w:noProof/>
        </w:rPr>
        <w:t xml:space="preserve"> i umo</w:t>
      </w:r>
      <w:r w:rsidRPr="00201A9A">
        <w:rPr>
          <w:noProof/>
        </w:rPr>
        <w:t>żliwia mu zgłoszenie</w:t>
      </w:r>
      <w:r w:rsidR="00201A9A" w:rsidRPr="00201A9A">
        <w:rPr>
          <w:noProof/>
        </w:rPr>
        <w:t xml:space="preserve"> w ter</w:t>
      </w:r>
      <w:r w:rsidRPr="00201A9A">
        <w:rPr>
          <w:noProof/>
        </w:rPr>
        <w:t>minie dwóch miesięcy uwag do oceny Komisji. Termin ten może zostać przedłużony, jeżeli zostanie to wspólnie uzgodnione. Przed podjęciem decyzji</w:t>
      </w:r>
      <w:r w:rsidR="00201A9A" w:rsidRPr="00201A9A">
        <w:rPr>
          <w:noProof/>
        </w:rPr>
        <w:t xml:space="preserve"> o dok</w:t>
      </w:r>
      <w:r w:rsidRPr="00201A9A">
        <w:rPr>
          <w:noProof/>
        </w:rPr>
        <w:t>onaniu korekty finansowej Komisja uwzględnia wszystkie istotne informacje</w:t>
      </w:r>
      <w:r w:rsidR="00201A9A" w:rsidRPr="00201A9A">
        <w:rPr>
          <w:noProof/>
        </w:rPr>
        <w:t xml:space="preserve"> i uwa</w:t>
      </w:r>
      <w:r w:rsidRPr="00201A9A">
        <w:rPr>
          <w:noProof/>
        </w:rPr>
        <w:t>gi przedstawione przez państwo członkowskie. </w:t>
      </w:r>
    </w:p>
    <w:p w14:paraId="4BD190D5" w14:textId="016821FA" w:rsidR="00256F20" w:rsidRPr="00201A9A" w:rsidRDefault="00256F20" w:rsidP="003E2902">
      <w:pPr>
        <w:pStyle w:val="NumPar10000000"/>
        <w:numPr>
          <w:ilvl w:val="0"/>
          <w:numId w:val="95"/>
        </w:numPr>
        <w:rPr>
          <w:noProof/>
        </w:rPr>
      </w:pPr>
      <w:r w:rsidRPr="00201A9A">
        <w:rPr>
          <w:noProof/>
        </w:rPr>
        <w:t>Bez uszczerbku dla ust.</w:t>
      </w:r>
      <w:r w:rsidR="00201A9A" w:rsidRPr="00201A9A">
        <w:rPr>
          <w:noProof/>
        </w:rPr>
        <w:t> </w:t>
      </w:r>
      <w:r w:rsidRPr="00201A9A">
        <w:rPr>
          <w:noProof/>
        </w:rPr>
        <w:t>1 Komisja proporcjonalnie zmniejsza wsparcie</w:t>
      </w:r>
      <w:r w:rsidR="00201A9A" w:rsidRPr="00201A9A">
        <w:rPr>
          <w:noProof/>
        </w:rPr>
        <w:t xml:space="preserve"> i odz</w:t>
      </w:r>
      <w:r w:rsidRPr="00201A9A">
        <w:rPr>
          <w:noProof/>
        </w:rPr>
        <w:t>yskuje wszelkie kwoty należne budżetowi Unii we wszystkich przypadkach mających wpływ na interesy finansowe Unii lub na osiągnięcie kamieni milowych</w:t>
      </w:r>
      <w:r w:rsidR="00201A9A" w:rsidRPr="00201A9A">
        <w:rPr>
          <w:noProof/>
        </w:rPr>
        <w:t xml:space="preserve"> i war</w:t>
      </w:r>
      <w:r w:rsidRPr="00201A9A">
        <w:rPr>
          <w:noProof/>
        </w:rPr>
        <w:t>tości docelowych, które nie zostały skorygowane przez państwo członkowskie, lub</w:t>
      </w:r>
      <w:r w:rsidR="00201A9A" w:rsidRPr="00201A9A">
        <w:rPr>
          <w:noProof/>
        </w:rPr>
        <w:t xml:space="preserve"> w prz</w:t>
      </w:r>
      <w:r w:rsidRPr="00201A9A">
        <w:rPr>
          <w:noProof/>
        </w:rPr>
        <w:t>ypadkach poważnej niezgodności</w:t>
      </w:r>
      <w:r w:rsidR="00201A9A" w:rsidRPr="00201A9A">
        <w:rPr>
          <w:noProof/>
        </w:rPr>
        <w:t xml:space="preserve"> z klu</w:t>
      </w:r>
      <w:r w:rsidRPr="00201A9A">
        <w:rPr>
          <w:noProof/>
        </w:rPr>
        <w:t>czowymi wymogami wymienionymi</w:t>
      </w:r>
      <w:r w:rsidR="00201A9A" w:rsidRPr="00201A9A">
        <w:rPr>
          <w:noProof/>
        </w:rPr>
        <w:t xml:space="preserve"> w zał</w:t>
      </w:r>
      <w:r w:rsidRPr="00201A9A">
        <w:rPr>
          <w:noProof/>
        </w:rPr>
        <w:t>ączniku IV [kluczowe wymogi] lub</w:t>
      </w:r>
      <w:r w:rsidR="00201A9A" w:rsidRPr="00201A9A">
        <w:rPr>
          <w:noProof/>
        </w:rPr>
        <w:t xml:space="preserve"> z obo</w:t>
      </w:r>
      <w:r w:rsidRPr="00201A9A">
        <w:rPr>
          <w:noProof/>
        </w:rPr>
        <w:t>wiązkami określonymi</w:t>
      </w:r>
      <w:r w:rsidR="00201A9A" w:rsidRPr="00201A9A">
        <w:rPr>
          <w:noProof/>
        </w:rPr>
        <w:t xml:space="preserve"> w art</w:t>
      </w:r>
      <w:r w:rsidRPr="00201A9A">
        <w:rPr>
          <w:noProof/>
        </w:rPr>
        <w:t>.</w:t>
      </w:r>
      <w:r w:rsidR="00201A9A" w:rsidRPr="00201A9A">
        <w:rPr>
          <w:noProof/>
        </w:rPr>
        <w:t> </w:t>
      </w:r>
      <w:r w:rsidRPr="00201A9A">
        <w:rPr>
          <w:noProof/>
        </w:rPr>
        <w:t>58 [Obowiązki państw członkowskich], które nie zostały skorygowane przez państwo członkowskie poprzez przedłożenie pakietu dokumentów dotyczących poświadczenia wiarygodności</w:t>
      </w:r>
      <w:r w:rsidR="00201A9A" w:rsidRPr="00201A9A">
        <w:rPr>
          <w:noProof/>
        </w:rPr>
        <w:t xml:space="preserve"> w ost</w:t>
      </w:r>
      <w:r w:rsidRPr="00201A9A">
        <w:rPr>
          <w:noProof/>
        </w:rPr>
        <w:t>atnim roku obrachunkowym.</w:t>
      </w:r>
      <w:r w:rsidR="00201A9A" w:rsidRPr="00201A9A">
        <w:rPr>
          <w:noProof/>
        </w:rPr>
        <w:t xml:space="preserve"> </w:t>
      </w:r>
    </w:p>
    <w:p w14:paraId="41AE2B3F" w14:textId="7FE5BAB8" w:rsidR="00256F20" w:rsidRPr="00201A9A" w:rsidRDefault="00256F20" w:rsidP="003E2902">
      <w:pPr>
        <w:pStyle w:val="NumPar10000000"/>
        <w:numPr>
          <w:ilvl w:val="0"/>
          <w:numId w:val="95"/>
        </w:numPr>
        <w:rPr>
          <w:noProof/>
        </w:rPr>
      </w:pPr>
      <w:r w:rsidRPr="00201A9A">
        <w:rPr>
          <w:noProof/>
        </w:rPr>
        <w:t>W przypadku gdy</w:t>
      </w:r>
      <w:r w:rsidR="00201A9A" w:rsidRPr="00201A9A">
        <w:rPr>
          <w:noProof/>
        </w:rPr>
        <w:t xml:space="preserve"> w nas</w:t>
      </w:r>
      <w:r w:rsidRPr="00201A9A">
        <w:rPr>
          <w:noProof/>
        </w:rPr>
        <w:t>tępstwie zmiany planu usuwane są środki,</w:t>
      </w:r>
      <w:r w:rsidR="00201A9A" w:rsidRPr="00201A9A">
        <w:rPr>
          <w:noProof/>
        </w:rPr>
        <w:t xml:space="preserve"> w odn</w:t>
      </w:r>
      <w:r w:rsidRPr="00201A9A">
        <w:rPr>
          <w:noProof/>
        </w:rPr>
        <w:t>iesieniu do których wypłacono kwoty za osiągnięte kamienie milowe lub wartości docelowe, kwoty wcześniej wypłacone odzyskuje się bez zmniejszania unijnego wkładu finansowego</w:t>
      </w:r>
      <w:r w:rsidR="00201A9A" w:rsidRPr="00201A9A">
        <w:rPr>
          <w:noProof/>
        </w:rPr>
        <w:t xml:space="preserve"> i prz</w:t>
      </w:r>
      <w:r w:rsidRPr="00201A9A">
        <w:rPr>
          <w:noProof/>
        </w:rPr>
        <w:t>eprogramowuje na inne działania. </w:t>
      </w:r>
    </w:p>
    <w:p w14:paraId="51BDF0FE" w14:textId="763B3124" w:rsidR="00936FC4" w:rsidRPr="00201A9A" w:rsidRDefault="00936FC4" w:rsidP="00936FC4">
      <w:pPr>
        <w:pStyle w:val="Titrearticle"/>
        <w:rPr>
          <w:noProof/>
        </w:rPr>
      </w:pPr>
      <w:r w:rsidRPr="00201A9A">
        <w:rPr>
          <w:noProof/>
        </w:rPr>
        <w:t xml:space="preserve">Artykuł 69 </w:t>
      </w:r>
      <w:r w:rsidRPr="00201A9A">
        <w:rPr>
          <w:noProof/>
        </w:rPr>
        <w:br/>
      </w:r>
      <w:r w:rsidRPr="00201A9A">
        <w:rPr>
          <w:b/>
          <w:noProof/>
        </w:rPr>
        <w:t>Trwałość</w:t>
      </w:r>
      <w:r w:rsidR="00201A9A" w:rsidRPr="00201A9A">
        <w:rPr>
          <w:b/>
          <w:noProof/>
        </w:rPr>
        <w:t xml:space="preserve"> i odw</w:t>
      </w:r>
      <w:r w:rsidRPr="00201A9A">
        <w:rPr>
          <w:b/>
          <w:noProof/>
        </w:rPr>
        <w:t>rócenia</w:t>
      </w:r>
    </w:p>
    <w:p w14:paraId="7ED329B2" w14:textId="0947C338" w:rsidR="00256F20" w:rsidRPr="00201A9A" w:rsidRDefault="00256F20" w:rsidP="003E2902">
      <w:pPr>
        <w:pStyle w:val="NumPar10000000"/>
        <w:numPr>
          <w:ilvl w:val="0"/>
          <w:numId w:val="57"/>
        </w:numPr>
        <w:rPr>
          <w:noProof/>
        </w:rPr>
      </w:pPr>
      <w:r w:rsidRPr="00201A9A">
        <w:rPr>
          <w:noProof/>
        </w:rPr>
        <w:t>Państwo członkowskie zapewnia, aby osiągnięcie któregokolwiek</w:t>
      </w:r>
      <w:r w:rsidR="00201A9A" w:rsidRPr="00201A9A">
        <w:rPr>
          <w:noProof/>
        </w:rPr>
        <w:t xml:space="preserve"> z odp</w:t>
      </w:r>
      <w:r w:rsidRPr="00201A9A">
        <w:rPr>
          <w:noProof/>
        </w:rPr>
        <w:t>owiednich kamieni milowych</w:t>
      </w:r>
      <w:r w:rsidR="00201A9A" w:rsidRPr="00201A9A">
        <w:rPr>
          <w:noProof/>
        </w:rPr>
        <w:t xml:space="preserve"> i war</w:t>
      </w:r>
      <w:r w:rsidRPr="00201A9A">
        <w:rPr>
          <w:noProof/>
        </w:rPr>
        <w:t>tości docelowych było nadal zapewnione przez co najmniej pięć lat od daty dokonania przez Komisję płatności odpowiadającej osiągnięciu tego kamienia milowego lub tej wartości docelowej.</w:t>
      </w:r>
    </w:p>
    <w:p w14:paraId="05F38150" w14:textId="56CD30C6" w:rsidR="00256F20" w:rsidRPr="00201A9A" w:rsidRDefault="00256F20" w:rsidP="003E2902">
      <w:pPr>
        <w:pStyle w:val="NumPar10000000"/>
        <w:numPr>
          <w:ilvl w:val="0"/>
          <w:numId w:val="95"/>
        </w:numPr>
        <w:rPr>
          <w:rFonts w:eastAsiaTheme="minorEastAsia"/>
          <w:noProof/>
        </w:rPr>
      </w:pPr>
      <w:r w:rsidRPr="00201A9A">
        <w:rPr>
          <w:noProof/>
        </w:rPr>
        <w:t>W przypadku gdy Komisja uzna, że wymogi określone</w:t>
      </w:r>
      <w:r w:rsidR="00201A9A" w:rsidRPr="00201A9A">
        <w:rPr>
          <w:noProof/>
        </w:rPr>
        <w:t xml:space="preserve"> w ust</w:t>
      </w:r>
      <w:r w:rsidRPr="00201A9A">
        <w:rPr>
          <w:noProof/>
        </w:rPr>
        <w:t>.</w:t>
      </w:r>
      <w:r w:rsidR="00201A9A" w:rsidRPr="00201A9A">
        <w:rPr>
          <w:noProof/>
        </w:rPr>
        <w:t> </w:t>
      </w:r>
      <w:r w:rsidRPr="00201A9A">
        <w:rPr>
          <w:noProof/>
        </w:rPr>
        <w:t>1 nie zostały spełnione lub jeżeli państwo członkowskie poinformuje</w:t>
      </w:r>
      <w:r w:rsidR="00201A9A" w:rsidRPr="00201A9A">
        <w:rPr>
          <w:noProof/>
        </w:rPr>
        <w:t xml:space="preserve"> o odw</w:t>
      </w:r>
      <w:r w:rsidRPr="00201A9A">
        <w:rPr>
          <w:noProof/>
        </w:rPr>
        <w:t>róceniu</w:t>
      </w:r>
      <w:r w:rsidR="00201A9A" w:rsidRPr="00201A9A">
        <w:rPr>
          <w:noProof/>
        </w:rPr>
        <w:t xml:space="preserve"> w ram</w:t>
      </w:r>
      <w:r w:rsidRPr="00201A9A">
        <w:rPr>
          <w:noProof/>
        </w:rPr>
        <w:t>ach pakietu dokumentów dotyczących poświadczenia wiarygodności, Komisja postępuje zgodnie</w:t>
      </w:r>
      <w:r w:rsidR="00201A9A" w:rsidRPr="00201A9A">
        <w:rPr>
          <w:noProof/>
        </w:rPr>
        <w:t xml:space="preserve"> z pro</w:t>
      </w:r>
      <w:r w:rsidRPr="00201A9A">
        <w:rPr>
          <w:noProof/>
        </w:rPr>
        <w:t>cedurami,</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 xml:space="preserve">66, 67, 68 [wstrzymanie, zawieszenie płatności, korekta]. </w:t>
      </w:r>
    </w:p>
    <w:p w14:paraId="69B4800D" w14:textId="7CBBA2A8" w:rsidR="00256F20" w:rsidRPr="00201A9A" w:rsidRDefault="00256F20" w:rsidP="003E2902">
      <w:pPr>
        <w:pStyle w:val="NumPar10000000"/>
        <w:numPr>
          <w:ilvl w:val="0"/>
          <w:numId w:val="95"/>
        </w:numPr>
        <w:rPr>
          <w:noProof/>
        </w:rPr>
      </w:pPr>
      <w:r w:rsidRPr="00201A9A">
        <w:rPr>
          <w:noProof/>
        </w:rPr>
        <w:t>Ust. 1</w:t>
      </w:r>
      <w:r w:rsidR="00201A9A" w:rsidRPr="00201A9A">
        <w:rPr>
          <w:noProof/>
        </w:rPr>
        <w:t xml:space="preserve"> i 2</w:t>
      </w:r>
      <w:r w:rsidRPr="00201A9A">
        <w:rPr>
          <w:noProof/>
        </w:rPr>
        <w:t xml:space="preserve"> nie mają zastosowania do inwestycji</w:t>
      </w:r>
      <w:r w:rsidR="00201A9A" w:rsidRPr="00201A9A">
        <w:rPr>
          <w:noProof/>
        </w:rPr>
        <w:t xml:space="preserve"> w ram</w:t>
      </w:r>
      <w:r w:rsidRPr="00201A9A">
        <w:rPr>
          <w:noProof/>
        </w:rPr>
        <w:t>ach celów szczegółowych określonych</w:t>
      </w:r>
      <w:r w:rsidR="00201A9A" w:rsidRPr="00201A9A">
        <w:rPr>
          <w:noProof/>
        </w:rPr>
        <w:t xml:space="preserve"> w art</w:t>
      </w:r>
      <w:r w:rsidRPr="00201A9A">
        <w:rPr>
          <w:noProof/>
        </w:rPr>
        <w:t>.</w:t>
      </w:r>
      <w:r w:rsidR="00201A9A" w:rsidRPr="00201A9A">
        <w:rPr>
          <w:noProof/>
        </w:rPr>
        <w:t> </w:t>
      </w:r>
      <w:r w:rsidRPr="00201A9A">
        <w:rPr>
          <w:noProof/>
        </w:rPr>
        <w:t>3 lit.</w:t>
      </w:r>
      <w:r w:rsidR="00201A9A" w:rsidRPr="00201A9A">
        <w:rPr>
          <w:noProof/>
        </w:rPr>
        <w:t> </w:t>
      </w:r>
      <w:r w:rsidRPr="00201A9A">
        <w:rPr>
          <w:noProof/>
        </w:rPr>
        <w:t>c), które nie są inwestycjami</w:t>
      </w:r>
      <w:r w:rsidR="00201A9A" w:rsidRPr="00201A9A">
        <w:rPr>
          <w:noProof/>
        </w:rPr>
        <w:t xml:space="preserve"> w inf</w:t>
      </w:r>
      <w:r w:rsidRPr="00201A9A">
        <w:rPr>
          <w:noProof/>
        </w:rPr>
        <w:t>rastrukturę, chyba że podlegają obowiązkowi utrzymania inwestycji zgodnie</w:t>
      </w:r>
      <w:r w:rsidR="00201A9A" w:rsidRPr="00201A9A">
        <w:rPr>
          <w:noProof/>
        </w:rPr>
        <w:t xml:space="preserve"> z zas</w:t>
      </w:r>
      <w:r w:rsidRPr="00201A9A">
        <w:rPr>
          <w:noProof/>
        </w:rPr>
        <w:t>adami pomocy państwa lub gdy taki obowiązek utrzymania jest określony</w:t>
      </w:r>
      <w:r w:rsidR="00201A9A" w:rsidRPr="00201A9A">
        <w:rPr>
          <w:noProof/>
        </w:rPr>
        <w:t xml:space="preserve"> w pla</w:t>
      </w:r>
      <w:r w:rsidRPr="00201A9A">
        <w:rPr>
          <w:noProof/>
        </w:rPr>
        <w:t>nie.</w:t>
      </w:r>
    </w:p>
    <w:p w14:paraId="4CA15015" w14:textId="77777777" w:rsidR="003F6B33" w:rsidRPr="00201A9A" w:rsidRDefault="003F6B33" w:rsidP="003E2902">
      <w:pPr>
        <w:pStyle w:val="NumPar10000000"/>
        <w:numPr>
          <w:ilvl w:val="0"/>
          <w:numId w:val="95"/>
        </w:numPr>
        <w:rPr>
          <w:noProof/>
        </w:rPr>
      </w:pPr>
      <w:r w:rsidRPr="00201A9A">
        <w:rPr>
          <w:noProof/>
        </w:rPr>
        <w:t xml:space="preserve">Operacje wspierające przenoszenie produkcji nie kwalifikują się do wsparcia. </w:t>
      </w:r>
    </w:p>
    <w:p w14:paraId="638A1BE7" w14:textId="4B452CF7" w:rsidR="00256F20" w:rsidRPr="00201A9A" w:rsidRDefault="0F9A9D20" w:rsidP="07DC7BA7">
      <w:pPr>
        <w:pStyle w:val="Titrearticle"/>
        <w:rPr>
          <w:noProof/>
          <w:color w:val="0000FF"/>
        </w:rPr>
      </w:pPr>
      <w:r w:rsidRPr="00201A9A">
        <w:rPr>
          <w:noProof/>
        </w:rPr>
        <w:t xml:space="preserve">Artykuł 70 </w:t>
      </w:r>
      <w:r w:rsidRPr="00201A9A">
        <w:rPr>
          <w:noProof/>
        </w:rPr>
        <w:br/>
      </w:r>
      <w:r w:rsidRPr="00201A9A">
        <w:rPr>
          <w:b/>
          <w:noProof/>
        </w:rPr>
        <w:t>Zintegrowany system zarządzania</w:t>
      </w:r>
      <w:r w:rsidR="00201A9A" w:rsidRPr="00201A9A">
        <w:rPr>
          <w:b/>
          <w:noProof/>
        </w:rPr>
        <w:t xml:space="preserve"> i kon</w:t>
      </w:r>
      <w:r w:rsidRPr="00201A9A">
        <w:rPr>
          <w:b/>
          <w:noProof/>
        </w:rPr>
        <w:t>troli (ZSZiK)</w:t>
      </w:r>
    </w:p>
    <w:p w14:paraId="445D6ACC" w14:textId="278EF69A" w:rsidR="00256F20" w:rsidRPr="00201A9A" w:rsidRDefault="00256F20" w:rsidP="003E2902">
      <w:pPr>
        <w:pStyle w:val="NumPar10000000"/>
        <w:numPr>
          <w:ilvl w:val="0"/>
          <w:numId w:val="58"/>
        </w:numPr>
        <w:rPr>
          <w:noProof/>
        </w:rPr>
      </w:pPr>
      <w:r w:rsidRPr="00201A9A">
        <w:rPr>
          <w:noProof/>
        </w:rPr>
        <w:t>Każde</w:t>
      </w:r>
      <w:r w:rsidR="00201A9A" w:rsidRPr="00201A9A">
        <w:rPr>
          <w:noProof/>
        </w:rPr>
        <w:t xml:space="preserve"> z pań</w:t>
      </w:r>
      <w:r w:rsidRPr="00201A9A">
        <w:rPr>
          <w:noProof/>
        </w:rPr>
        <w:t>stw członkowskich ustanawia</w:t>
      </w:r>
      <w:r w:rsidR="00201A9A" w:rsidRPr="00201A9A">
        <w:rPr>
          <w:noProof/>
        </w:rPr>
        <w:t xml:space="preserve"> i pro</w:t>
      </w:r>
      <w:r w:rsidRPr="00201A9A">
        <w:rPr>
          <w:noProof/>
        </w:rPr>
        <w:t>wadzi zintegrowany system zarządzania</w:t>
      </w:r>
      <w:r w:rsidR="00201A9A" w:rsidRPr="00201A9A">
        <w:rPr>
          <w:noProof/>
        </w:rPr>
        <w:t xml:space="preserve"> i kon</w:t>
      </w:r>
      <w:r w:rsidRPr="00201A9A">
        <w:rPr>
          <w:noProof/>
        </w:rPr>
        <w:t>troli (zwany dalej „systemem zintegrowanym”). Niniejsze rozporządzenie ma zastosowanie do interwencji wymienionych</w:t>
      </w:r>
      <w:r w:rsidR="00201A9A" w:rsidRPr="00201A9A">
        <w:rPr>
          <w:noProof/>
        </w:rPr>
        <w:t xml:space="preserve"> w art</w:t>
      </w:r>
      <w:r w:rsidRPr="00201A9A">
        <w:rPr>
          <w:noProof/>
        </w:rPr>
        <w:t>.</w:t>
      </w:r>
      <w:r w:rsidR="00201A9A" w:rsidRPr="00201A9A">
        <w:rPr>
          <w:noProof/>
        </w:rPr>
        <w:t> </w:t>
      </w:r>
      <w:r w:rsidRPr="00201A9A">
        <w:rPr>
          <w:noProof/>
        </w:rPr>
        <w:t>35 ust.</w:t>
      </w:r>
      <w:r w:rsidR="00201A9A" w:rsidRPr="00201A9A">
        <w:rPr>
          <w:noProof/>
        </w:rPr>
        <w:t> </w:t>
      </w:r>
      <w:r w:rsidRPr="00201A9A">
        <w:rPr>
          <w:noProof/>
        </w:rPr>
        <w:t>1 lit.</w:t>
      </w:r>
      <w:r w:rsidR="00201A9A" w:rsidRPr="00201A9A">
        <w:rPr>
          <w:noProof/>
        </w:rPr>
        <w:t> </w:t>
      </w:r>
      <w:r w:rsidRPr="00201A9A">
        <w:rPr>
          <w:noProof/>
        </w:rPr>
        <w:t xml:space="preserve">a)–g). </w:t>
      </w:r>
    </w:p>
    <w:p w14:paraId="4ED6F3F1" w14:textId="29CF7B82" w:rsidR="00993652" w:rsidRPr="00201A9A" w:rsidRDefault="0052174B" w:rsidP="003E2902">
      <w:pPr>
        <w:pStyle w:val="NumPar10000000"/>
        <w:numPr>
          <w:ilvl w:val="0"/>
          <w:numId w:val="95"/>
        </w:numPr>
        <w:rPr>
          <w:noProof/>
        </w:rPr>
      </w:pPr>
      <w:r w:rsidRPr="00201A9A">
        <w:rPr>
          <w:noProof/>
        </w:rPr>
        <w:t>W niezbędnym zakresie system zintegrowany jest również wykorzystywany do zarządzania [odpowiedzialne prowadzenie gospodarstwa],</w:t>
      </w:r>
      <w:r w:rsidR="00201A9A" w:rsidRPr="00201A9A">
        <w:rPr>
          <w:noProof/>
        </w:rPr>
        <w:t xml:space="preserve"> o któ</w:t>
      </w:r>
      <w:r w:rsidRPr="00201A9A">
        <w:rPr>
          <w:noProof/>
        </w:rPr>
        <w:t>rym mowa</w:t>
      </w:r>
      <w:r w:rsidR="00201A9A" w:rsidRPr="00201A9A">
        <w:rPr>
          <w:noProof/>
        </w:rPr>
        <w:t xml:space="preserve"> w art</w:t>
      </w:r>
      <w:r w:rsidRPr="00201A9A">
        <w:rPr>
          <w:noProof/>
        </w:rPr>
        <w:t>. XX rozporządzenia XX [WPR], a we wszystkich stosownych przypadkach do środków,</w:t>
      </w:r>
      <w:r w:rsidR="00201A9A" w:rsidRPr="00201A9A">
        <w:rPr>
          <w:noProof/>
        </w:rPr>
        <w:t xml:space="preserve"> o któ</w:t>
      </w:r>
      <w:r w:rsidRPr="00201A9A">
        <w:rPr>
          <w:noProof/>
        </w:rPr>
        <w:t>rych mowa</w:t>
      </w:r>
      <w:r w:rsidR="00201A9A" w:rsidRPr="00201A9A">
        <w:rPr>
          <w:noProof/>
        </w:rPr>
        <w:t xml:space="preserve"> w tyt</w:t>
      </w:r>
      <w:r w:rsidRPr="00201A9A">
        <w:rPr>
          <w:noProof/>
        </w:rPr>
        <w:t>ule VI [Przepisy dotyczące wsparcia dla regionów najbardziej oddalonych].</w:t>
      </w:r>
    </w:p>
    <w:p w14:paraId="27594A9B" w14:textId="77777777" w:rsidR="00256F20" w:rsidRPr="00201A9A" w:rsidRDefault="00256F20" w:rsidP="003E2902">
      <w:pPr>
        <w:pStyle w:val="NumPar10000000"/>
        <w:numPr>
          <w:ilvl w:val="0"/>
          <w:numId w:val="95"/>
        </w:numPr>
        <w:rPr>
          <w:noProof/>
        </w:rPr>
      </w:pPr>
      <w:r w:rsidRPr="00201A9A">
        <w:rPr>
          <w:noProof/>
        </w:rPr>
        <w:t xml:space="preserve">System zintegrowany obejmuje następujące elementy: </w:t>
      </w:r>
    </w:p>
    <w:p w14:paraId="278FDEEC" w14:textId="1ADE74AD" w:rsidR="00256F20" w:rsidRPr="00201A9A" w:rsidRDefault="00201A9A" w:rsidP="00201A9A">
      <w:pPr>
        <w:pStyle w:val="Point1"/>
        <w:rPr>
          <w:noProof/>
        </w:rPr>
      </w:pPr>
      <w:r w:rsidRPr="00201A9A">
        <w:rPr>
          <w:noProof/>
        </w:rPr>
        <w:t>a)</w:t>
      </w:r>
      <w:r w:rsidRPr="00201A9A">
        <w:rPr>
          <w:noProof/>
        </w:rPr>
        <w:tab/>
      </w:r>
      <w:r w:rsidR="00256F20" w:rsidRPr="00201A9A">
        <w:rPr>
          <w:noProof/>
        </w:rPr>
        <w:t>system monitorowania rolnictwa. System monitorowania rolnictwa to procedura regularnej</w:t>
      </w:r>
      <w:r w:rsidRPr="00201A9A">
        <w:rPr>
          <w:noProof/>
        </w:rPr>
        <w:t xml:space="preserve"> i sys</w:t>
      </w:r>
      <w:r w:rsidR="00256F20" w:rsidRPr="00201A9A">
        <w:rPr>
          <w:noProof/>
        </w:rPr>
        <w:t>tematycznej obserwacji, śledzenia</w:t>
      </w:r>
      <w:r w:rsidRPr="00201A9A">
        <w:rPr>
          <w:noProof/>
        </w:rPr>
        <w:t xml:space="preserve"> i oce</w:t>
      </w:r>
      <w:r w:rsidR="00256F20" w:rsidRPr="00201A9A">
        <w:rPr>
          <w:noProof/>
        </w:rPr>
        <w:t>ny działalności</w:t>
      </w:r>
      <w:r w:rsidRPr="00201A9A">
        <w:rPr>
          <w:noProof/>
        </w:rPr>
        <w:t xml:space="preserve"> i pra</w:t>
      </w:r>
      <w:r w:rsidR="00256F20" w:rsidRPr="00201A9A">
        <w:rPr>
          <w:noProof/>
        </w:rPr>
        <w:t>ktyk rolniczych za pomocą środków technologicznych,</w:t>
      </w:r>
      <w:r w:rsidRPr="00201A9A">
        <w:rPr>
          <w:noProof/>
        </w:rPr>
        <w:t xml:space="preserve"> w tym</w:t>
      </w:r>
      <w:r w:rsidR="00256F20" w:rsidRPr="00201A9A">
        <w:rPr>
          <w:noProof/>
        </w:rPr>
        <w:t xml:space="preserve"> danych satelitarnych</w:t>
      </w:r>
      <w:r w:rsidRPr="00201A9A">
        <w:rPr>
          <w:noProof/>
        </w:rPr>
        <w:t xml:space="preserve"> z sat</w:t>
      </w:r>
      <w:r w:rsidR="00256F20" w:rsidRPr="00201A9A">
        <w:rPr>
          <w:noProof/>
        </w:rPr>
        <w:t xml:space="preserve">elitów Sentinel systemu Copernicus; </w:t>
      </w:r>
    </w:p>
    <w:p w14:paraId="5567C991" w14:textId="0F23F372" w:rsidR="00256F20" w:rsidRPr="00201A9A" w:rsidRDefault="00201A9A" w:rsidP="00201A9A">
      <w:pPr>
        <w:pStyle w:val="Point1"/>
        <w:rPr>
          <w:noProof/>
        </w:rPr>
      </w:pPr>
      <w:r w:rsidRPr="00201A9A">
        <w:rPr>
          <w:noProof/>
        </w:rPr>
        <w:t>b)</w:t>
      </w:r>
      <w:r w:rsidRPr="00201A9A">
        <w:rPr>
          <w:noProof/>
        </w:rPr>
        <w:tab/>
      </w:r>
      <w:r w:rsidR="00256F20" w:rsidRPr="00201A9A">
        <w:rPr>
          <w:noProof/>
        </w:rPr>
        <w:t>system wniosków geoprzestrzennych</w:t>
      </w:r>
      <w:r w:rsidRPr="00201A9A">
        <w:rPr>
          <w:noProof/>
        </w:rPr>
        <w:t xml:space="preserve"> i wni</w:t>
      </w:r>
      <w:r w:rsidR="00256F20" w:rsidRPr="00201A9A">
        <w:rPr>
          <w:noProof/>
        </w:rPr>
        <w:t>osków</w:t>
      </w:r>
      <w:r w:rsidRPr="00201A9A">
        <w:rPr>
          <w:noProof/>
        </w:rPr>
        <w:t xml:space="preserve"> o prz</w:t>
      </w:r>
      <w:r w:rsidR="00256F20" w:rsidRPr="00201A9A">
        <w:rPr>
          <w:noProof/>
        </w:rPr>
        <w:t>yznanie pomocy</w:t>
      </w:r>
      <w:r w:rsidRPr="00201A9A">
        <w:rPr>
          <w:noProof/>
        </w:rPr>
        <w:t xml:space="preserve"> z tyt</w:t>
      </w:r>
      <w:r w:rsidR="00256F20" w:rsidRPr="00201A9A">
        <w:rPr>
          <w:noProof/>
        </w:rPr>
        <w:t>ułu zwierząt. System wniosków geoprzestrzennych</w:t>
      </w:r>
      <w:r w:rsidRPr="00201A9A">
        <w:rPr>
          <w:noProof/>
        </w:rPr>
        <w:t xml:space="preserve"> i wni</w:t>
      </w:r>
      <w:r w:rsidR="00256F20" w:rsidRPr="00201A9A">
        <w:rPr>
          <w:noProof/>
        </w:rPr>
        <w:t>osków</w:t>
      </w:r>
      <w:r w:rsidRPr="00201A9A">
        <w:rPr>
          <w:noProof/>
        </w:rPr>
        <w:t xml:space="preserve"> o prz</w:t>
      </w:r>
      <w:r w:rsidR="00256F20" w:rsidRPr="00201A9A">
        <w:rPr>
          <w:noProof/>
        </w:rPr>
        <w:t>yznanie pomocy</w:t>
      </w:r>
      <w:r w:rsidRPr="00201A9A">
        <w:rPr>
          <w:noProof/>
        </w:rPr>
        <w:t xml:space="preserve"> z tyt</w:t>
      </w:r>
      <w:r w:rsidR="00256F20" w:rsidRPr="00201A9A">
        <w:rPr>
          <w:noProof/>
        </w:rPr>
        <w:t>ułu zwierząt jest cyfrowym narzędziem aplikacyjnym umożliwiającym beneficjentowi zgłaszanie działalności rolniczej</w:t>
      </w:r>
      <w:r w:rsidRPr="00201A9A">
        <w:rPr>
          <w:noProof/>
        </w:rPr>
        <w:t xml:space="preserve"> i pra</w:t>
      </w:r>
      <w:r w:rsidR="00256F20" w:rsidRPr="00201A9A">
        <w:rPr>
          <w:noProof/>
        </w:rPr>
        <w:t xml:space="preserve">ktyk gospodarstwa rolnego; </w:t>
      </w:r>
    </w:p>
    <w:p w14:paraId="09ACA49C" w14:textId="5F87B2A6" w:rsidR="00256F20" w:rsidRPr="00201A9A" w:rsidRDefault="00201A9A" w:rsidP="00201A9A">
      <w:pPr>
        <w:pStyle w:val="Point1"/>
        <w:rPr>
          <w:noProof/>
        </w:rPr>
      </w:pPr>
      <w:r w:rsidRPr="00201A9A">
        <w:rPr>
          <w:noProof/>
        </w:rPr>
        <w:t>c)</w:t>
      </w:r>
      <w:r w:rsidRPr="00201A9A">
        <w:rPr>
          <w:noProof/>
        </w:rPr>
        <w:tab/>
      </w:r>
      <w:r w:rsidR="00256F20" w:rsidRPr="00201A9A">
        <w:rPr>
          <w:noProof/>
        </w:rPr>
        <w:t xml:space="preserve">system identyfikacji działek rolnych; </w:t>
      </w:r>
    </w:p>
    <w:p w14:paraId="3F339B7C" w14:textId="09E216DD" w:rsidR="00256F20" w:rsidRPr="00201A9A" w:rsidRDefault="00201A9A" w:rsidP="00201A9A">
      <w:pPr>
        <w:pStyle w:val="Point1"/>
        <w:rPr>
          <w:noProof/>
        </w:rPr>
      </w:pPr>
      <w:r w:rsidRPr="00201A9A">
        <w:rPr>
          <w:noProof/>
        </w:rPr>
        <w:t>d)</w:t>
      </w:r>
      <w:r w:rsidRPr="00201A9A">
        <w:rPr>
          <w:noProof/>
        </w:rPr>
        <w:tab/>
      </w:r>
      <w:r w:rsidR="00256F20" w:rsidRPr="00201A9A">
        <w:rPr>
          <w:noProof/>
        </w:rPr>
        <w:t>system identyfikacji</w:t>
      </w:r>
      <w:r w:rsidRPr="00201A9A">
        <w:rPr>
          <w:noProof/>
        </w:rPr>
        <w:t xml:space="preserve"> i rej</w:t>
      </w:r>
      <w:r w:rsidR="00256F20" w:rsidRPr="00201A9A">
        <w:rPr>
          <w:noProof/>
        </w:rPr>
        <w:t xml:space="preserve">estracji zwierząt; </w:t>
      </w:r>
    </w:p>
    <w:p w14:paraId="39E0C155" w14:textId="4223997E" w:rsidR="00256F20" w:rsidRPr="00201A9A" w:rsidRDefault="00201A9A" w:rsidP="00201A9A">
      <w:pPr>
        <w:pStyle w:val="Point1"/>
        <w:rPr>
          <w:noProof/>
        </w:rPr>
      </w:pPr>
      <w:r w:rsidRPr="00201A9A">
        <w:rPr>
          <w:noProof/>
        </w:rPr>
        <w:t>e)</w:t>
      </w:r>
      <w:r w:rsidRPr="00201A9A">
        <w:rPr>
          <w:noProof/>
        </w:rPr>
        <w:tab/>
      </w:r>
      <w:r w:rsidR="00256F20" w:rsidRPr="00201A9A">
        <w:rPr>
          <w:noProof/>
        </w:rPr>
        <w:t>system identyfikacji beneficjentów interwencji wymienionych</w:t>
      </w:r>
      <w:r w:rsidRPr="00201A9A">
        <w:rPr>
          <w:noProof/>
        </w:rPr>
        <w:t xml:space="preserve"> w ust</w:t>
      </w:r>
      <w:r w:rsidR="00256F20" w:rsidRPr="00201A9A">
        <w:rPr>
          <w:noProof/>
        </w:rPr>
        <w:t>.</w:t>
      </w:r>
      <w:r w:rsidRPr="00201A9A">
        <w:rPr>
          <w:noProof/>
        </w:rPr>
        <w:t> </w:t>
      </w:r>
      <w:r w:rsidR="00256F20" w:rsidRPr="00201A9A">
        <w:rPr>
          <w:noProof/>
        </w:rPr>
        <w:t>1</w:t>
      </w:r>
      <w:r w:rsidRPr="00201A9A">
        <w:rPr>
          <w:noProof/>
        </w:rPr>
        <w:t xml:space="preserve"> i 2</w:t>
      </w:r>
      <w:r w:rsidR="00256F20" w:rsidRPr="00201A9A">
        <w:rPr>
          <w:noProof/>
        </w:rPr>
        <w:t xml:space="preserve">; </w:t>
      </w:r>
    </w:p>
    <w:p w14:paraId="7E65B92F" w14:textId="14FB8702" w:rsidR="00256F20" w:rsidRPr="00201A9A" w:rsidRDefault="00201A9A" w:rsidP="00201A9A">
      <w:pPr>
        <w:pStyle w:val="Point1"/>
        <w:rPr>
          <w:noProof/>
        </w:rPr>
      </w:pPr>
      <w:r w:rsidRPr="00201A9A">
        <w:rPr>
          <w:noProof/>
        </w:rPr>
        <w:t>f)</w:t>
      </w:r>
      <w:r w:rsidRPr="00201A9A">
        <w:rPr>
          <w:noProof/>
        </w:rPr>
        <w:tab/>
      </w:r>
      <w:r w:rsidR="00256F20" w:rsidRPr="00201A9A">
        <w:rPr>
          <w:noProof/>
        </w:rPr>
        <w:t>system kontroli</w:t>
      </w:r>
      <w:r w:rsidRPr="00201A9A">
        <w:rPr>
          <w:noProof/>
        </w:rPr>
        <w:t xml:space="preserve"> i kar</w:t>
      </w:r>
      <w:r w:rsidR="00256F20" w:rsidRPr="00201A9A">
        <w:rPr>
          <w:noProof/>
        </w:rPr>
        <w:t>; Państwa członkowskie co roku przeprowadzają kontrole administracyjne wniosków</w:t>
      </w:r>
      <w:r w:rsidRPr="00201A9A">
        <w:rPr>
          <w:noProof/>
        </w:rPr>
        <w:t xml:space="preserve"> o prz</w:t>
      </w:r>
      <w:r w:rsidR="00256F20" w:rsidRPr="00201A9A">
        <w:rPr>
          <w:noProof/>
        </w:rPr>
        <w:t>yznanie pomocy</w:t>
      </w:r>
      <w:r w:rsidRPr="00201A9A">
        <w:rPr>
          <w:noProof/>
        </w:rPr>
        <w:t xml:space="preserve"> i wni</w:t>
      </w:r>
      <w:r w:rsidR="00256F20" w:rsidRPr="00201A9A">
        <w:rPr>
          <w:noProof/>
        </w:rPr>
        <w:t>osków</w:t>
      </w:r>
      <w:r w:rsidRPr="00201A9A">
        <w:rPr>
          <w:noProof/>
        </w:rPr>
        <w:t xml:space="preserve"> o pła</w:t>
      </w:r>
      <w:r w:rsidR="00256F20" w:rsidRPr="00201A9A">
        <w:rPr>
          <w:noProof/>
        </w:rPr>
        <w:t>tność</w:t>
      </w:r>
      <w:r w:rsidRPr="00201A9A">
        <w:rPr>
          <w:noProof/>
        </w:rPr>
        <w:t xml:space="preserve"> w cel</w:t>
      </w:r>
      <w:r w:rsidR="00256F20" w:rsidRPr="00201A9A">
        <w:rPr>
          <w:noProof/>
        </w:rPr>
        <w:t>u sprawdzenia legalności</w:t>
      </w:r>
      <w:r w:rsidRPr="00201A9A">
        <w:rPr>
          <w:noProof/>
        </w:rPr>
        <w:t xml:space="preserve"> i pra</w:t>
      </w:r>
      <w:r w:rsidR="00256F20" w:rsidRPr="00201A9A">
        <w:rPr>
          <w:noProof/>
        </w:rPr>
        <w:t>widłowości. Kontrole te uzupełniane są przez kontrole na miejscu, które mogą być przeprowadzane zdalnie przy użyciu odpowiedniej technologii. Państwa członkowskie mogą jednak zdecydować</w:t>
      </w:r>
      <w:r w:rsidRPr="00201A9A">
        <w:rPr>
          <w:noProof/>
        </w:rPr>
        <w:t xml:space="preserve"> o nie</w:t>
      </w:r>
      <w:r w:rsidR="00256F20" w:rsidRPr="00201A9A">
        <w:rPr>
          <w:noProof/>
        </w:rPr>
        <w:t>przeprowadzaniu kontroli na miejscu,</w:t>
      </w:r>
      <w:r w:rsidRPr="00201A9A">
        <w:rPr>
          <w:noProof/>
        </w:rPr>
        <w:t xml:space="preserve"> w prz</w:t>
      </w:r>
      <w:r w:rsidR="00256F20" w:rsidRPr="00201A9A">
        <w:rPr>
          <w:noProof/>
        </w:rPr>
        <w:t>ypadku gdy warunki kwalifikowalności środków są monitorowane</w:t>
      </w:r>
      <w:r w:rsidRPr="00201A9A">
        <w:rPr>
          <w:noProof/>
        </w:rPr>
        <w:t xml:space="preserve"> w ram</w:t>
      </w:r>
      <w:r w:rsidR="00256F20" w:rsidRPr="00201A9A">
        <w:rPr>
          <w:noProof/>
        </w:rPr>
        <w:t>ach systemu monitorowania rolnictwa,</w:t>
      </w:r>
      <w:r w:rsidRPr="00201A9A">
        <w:rPr>
          <w:noProof/>
        </w:rPr>
        <w:t xml:space="preserve"> o któ</w:t>
      </w:r>
      <w:r w:rsidR="00256F20" w:rsidRPr="00201A9A">
        <w:rPr>
          <w:noProof/>
        </w:rPr>
        <w:t>rym mowa</w:t>
      </w:r>
      <w:r w:rsidRPr="00201A9A">
        <w:rPr>
          <w:noProof/>
        </w:rPr>
        <w:t xml:space="preserve"> w lit</w:t>
      </w:r>
      <w:r w:rsidR="00256F20" w:rsidRPr="00201A9A">
        <w:rPr>
          <w:noProof/>
        </w:rPr>
        <w:t>.</w:t>
      </w:r>
      <w:r w:rsidRPr="00201A9A">
        <w:rPr>
          <w:noProof/>
        </w:rPr>
        <w:t> </w:t>
      </w:r>
      <w:r w:rsidR="00256F20" w:rsidRPr="00201A9A">
        <w:rPr>
          <w:noProof/>
        </w:rPr>
        <w:t xml:space="preserve">a) niniejszego artykułu. </w:t>
      </w:r>
    </w:p>
    <w:p w14:paraId="1F7E4214" w14:textId="552F91FB" w:rsidR="00256F20" w:rsidRPr="00201A9A" w:rsidRDefault="00256F20" w:rsidP="003E2902">
      <w:pPr>
        <w:pStyle w:val="NumPar10000000"/>
        <w:numPr>
          <w:ilvl w:val="0"/>
          <w:numId w:val="95"/>
        </w:numPr>
        <w:rPr>
          <w:noProof/>
        </w:rPr>
      </w:pPr>
      <w:r w:rsidRPr="00201A9A">
        <w:rPr>
          <w:noProof/>
        </w:rPr>
        <w:t>Państwa członkowskie dokonują corocznej oceny jakości elementów systemu zintegrowanego,</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3 lit.</w:t>
      </w:r>
      <w:r w:rsidR="00201A9A" w:rsidRPr="00201A9A">
        <w:rPr>
          <w:noProof/>
        </w:rPr>
        <w:t> </w:t>
      </w:r>
      <w:r w:rsidRPr="00201A9A">
        <w:rPr>
          <w:noProof/>
        </w:rPr>
        <w:t>a), b) i c), zgodnie</w:t>
      </w:r>
      <w:r w:rsidR="00201A9A" w:rsidRPr="00201A9A">
        <w:rPr>
          <w:noProof/>
        </w:rPr>
        <w:t xml:space="preserve"> z met</w:t>
      </w:r>
      <w:r w:rsidRPr="00201A9A">
        <w:rPr>
          <w:noProof/>
        </w:rPr>
        <w:t xml:space="preserve">odami określonymi na szczeblu Unii. </w:t>
      </w:r>
    </w:p>
    <w:p w14:paraId="49B9B270" w14:textId="2B399800" w:rsidR="00256F20" w:rsidRPr="00201A9A" w:rsidRDefault="00256F20" w:rsidP="0089694F">
      <w:pPr>
        <w:pStyle w:val="Text1"/>
        <w:rPr>
          <w:noProof/>
        </w:rPr>
      </w:pPr>
      <w:r w:rsidRPr="00201A9A">
        <w:rPr>
          <w:noProof/>
        </w:rPr>
        <w:t>W przypadku gdy ocena wykaże niedociągnięcia</w:t>
      </w:r>
      <w:r w:rsidR="00201A9A" w:rsidRPr="00201A9A">
        <w:rPr>
          <w:noProof/>
        </w:rPr>
        <w:t xml:space="preserve"> w ele</w:t>
      </w:r>
      <w:r w:rsidRPr="00201A9A">
        <w:rPr>
          <w:noProof/>
        </w:rPr>
        <w:t>mentach systemu zintegrowanego, państwa członkowskie podejmują odpowiednie działania naprawcze lub,</w:t>
      </w:r>
      <w:r w:rsidR="00201A9A" w:rsidRPr="00201A9A">
        <w:rPr>
          <w:noProof/>
        </w:rPr>
        <w:t xml:space="preserve"> w prz</w:t>
      </w:r>
      <w:r w:rsidRPr="00201A9A">
        <w:rPr>
          <w:noProof/>
        </w:rPr>
        <w:t>ypadku ich niepodjęcia, Komisja zwraca się do nich</w:t>
      </w:r>
      <w:r w:rsidR="00201A9A" w:rsidRPr="00201A9A">
        <w:rPr>
          <w:noProof/>
        </w:rPr>
        <w:t xml:space="preserve"> o opr</w:t>
      </w:r>
      <w:r w:rsidRPr="00201A9A">
        <w:rPr>
          <w:noProof/>
        </w:rPr>
        <w:t xml:space="preserve">acowanie planu działania określającego harmonogram realizacji zaległych działań naprawczych. </w:t>
      </w:r>
    </w:p>
    <w:p w14:paraId="73FF3CDD" w14:textId="58173EF9" w:rsidR="00256F20" w:rsidRPr="00201A9A" w:rsidRDefault="00256F20" w:rsidP="0089694F">
      <w:pPr>
        <w:pStyle w:val="Text1"/>
        <w:rPr>
          <w:noProof/>
        </w:rPr>
      </w:pPr>
      <w:r w:rsidRPr="00201A9A">
        <w:rPr>
          <w:noProof/>
        </w:rPr>
        <w:t>Sprawozdanie oceniające oraz,</w:t>
      </w:r>
      <w:r w:rsidR="00201A9A" w:rsidRPr="00201A9A">
        <w:rPr>
          <w:noProof/>
        </w:rPr>
        <w:t xml:space="preserve"> w sto</w:t>
      </w:r>
      <w:r w:rsidRPr="00201A9A">
        <w:rPr>
          <w:noProof/>
        </w:rPr>
        <w:t>sownych przypadkach, działania naprawcze</w:t>
      </w:r>
      <w:r w:rsidR="00201A9A" w:rsidRPr="00201A9A">
        <w:rPr>
          <w:noProof/>
        </w:rPr>
        <w:t xml:space="preserve"> i har</w:t>
      </w:r>
      <w:r w:rsidRPr="00201A9A">
        <w:rPr>
          <w:noProof/>
        </w:rPr>
        <w:t xml:space="preserve">monogram ich wdrażania są przedkładane Komisji do dnia 15 lutego następującego po danym roku kalendarzowym. </w:t>
      </w:r>
    </w:p>
    <w:p w14:paraId="21CEE3BF" w14:textId="6EB38114" w:rsidR="00256F20" w:rsidRPr="00201A9A" w:rsidRDefault="00695A5C" w:rsidP="003E2902">
      <w:pPr>
        <w:pStyle w:val="NumPar10000000"/>
        <w:numPr>
          <w:ilvl w:val="0"/>
          <w:numId w:val="95"/>
        </w:numPr>
        <w:rPr>
          <w:noProof/>
        </w:rPr>
      </w:pPr>
      <w:r w:rsidRPr="00201A9A">
        <w:rPr>
          <w:noProof/>
        </w:rPr>
        <w:t>Komisja dostarcza nieodpłatnie dane satelitarne wymagane na potrzeby systemu monitorowania rolnictwa organom właściwym dla systemu monitorowania rolnictwa lub usługodawcom upoważnionym przez te organy do ich reprezentowania. Do celów oceny jakości systemu zintegrowanego,</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4, Komisja bezpłatnie udostępnia im niezbędne obrazy</w:t>
      </w:r>
      <w:r w:rsidR="00201A9A" w:rsidRPr="00201A9A">
        <w:rPr>
          <w:noProof/>
        </w:rPr>
        <w:t xml:space="preserve"> o bar</w:t>
      </w:r>
      <w:r w:rsidRPr="00201A9A">
        <w:rPr>
          <w:noProof/>
        </w:rPr>
        <w:t>dzo wysokiej rozdzielczości. Komisja pozostaje właścicielem danych</w:t>
      </w:r>
      <w:r w:rsidR="00201A9A" w:rsidRPr="00201A9A">
        <w:rPr>
          <w:noProof/>
        </w:rPr>
        <w:t xml:space="preserve"> i obr</w:t>
      </w:r>
      <w:r w:rsidRPr="00201A9A">
        <w:rPr>
          <w:noProof/>
        </w:rPr>
        <w:t>azów satelitarnych.</w:t>
      </w:r>
      <w:r w:rsidR="00201A9A" w:rsidRPr="00201A9A">
        <w:rPr>
          <w:noProof/>
        </w:rPr>
        <w:t xml:space="preserve"> </w:t>
      </w:r>
    </w:p>
    <w:p w14:paraId="1903DACD" w14:textId="359D8E6B" w:rsidR="00256F20" w:rsidRPr="00201A9A" w:rsidRDefault="00256F20" w:rsidP="003E2902">
      <w:pPr>
        <w:pStyle w:val="NumPar10000000"/>
        <w:numPr>
          <w:ilvl w:val="0"/>
          <w:numId w:val="95"/>
        </w:numPr>
        <w:rPr>
          <w:noProof/>
        </w:rPr>
      </w:pPr>
      <w:r w:rsidRPr="00201A9A">
        <w:rPr>
          <w:noProof/>
        </w:rPr>
        <w:t>Bez uszczerbku dla odpowiedzialności państw członkowskich za wdrożenie</w:t>
      </w:r>
      <w:r w:rsidR="00201A9A" w:rsidRPr="00201A9A">
        <w:rPr>
          <w:noProof/>
        </w:rPr>
        <w:t xml:space="preserve"> i sto</w:t>
      </w:r>
      <w:r w:rsidRPr="00201A9A">
        <w:rPr>
          <w:noProof/>
        </w:rPr>
        <w:t>sowanie systemu zintegrowanego państwa członkowskie ustanawiają europejski system monitorowania obszarów lądowych. Dostarcza on rolnikom informacji ułatwiających zrównoważone zarządzanie gospodarstwami. Ponadto zapewnia dane na potrzeby opracowywania</w:t>
      </w:r>
      <w:r w:rsidR="00201A9A" w:rsidRPr="00201A9A">
        <w:rPr>
          <w:noProof/>
        </w:rPr>
        <w:t xml:space="preserve"> i mon</w:t>
      </w:r>
      <w:r w:rsidRPr="00201A9A">
        <w:rPr>
          <w:noProof/>
        </w:rPr>
        <w:t>itorowania polityki WPR oraz promuje wymianę danych dotyczących zrównoważonego charakteru gospodarstw rolnych.</w:t>
      </w:r>
    </w:p>
    <w:p w14:paraId="43ED97BB" w14:textId="494B5AD9" w:rsidR="00256F20" w:rsidRPr="00201A9A" w:rsidRDefault="00695A5C" w:rsidP="003E2902">
      <w:pPr>
        <w:pStyle w:val="NumPar10000000"/>
        <w:numPr>
          <w:ilvl w:val="0"/>
          <w:numId w:val="95"/>
        </w:numPr>
        <w:rPr>
          <w:noProof/>
        </w:rPr>
      </w:pPr>
      <w:r w:rsidRPr="00201A9A">
        <w:rPr>
          <w:noProof/>
        </w:rPr>
        <w:t>Europejski system monitorowania obszarów lądowych obejmuje co najmniej dane dotyczące elementów systemu zintegrowanego,</w:t>
      </w:r>
      <w:r w:rsidR="00201A9A" w:rsidRPr="00201A9A">
        <w:rPr>
          <w:noProof/>
        </w:rPr>
        <w:t xml:space="preserve"> o któ</w:t>
      </w:r>
      <w:r w:rsidRPr="00201A9A">
        <w:rPr>
          <w:noProof/>
        </w:rPr>
        <w:t>rym mowa</w:t>
      </w:r>
      <w:r w:rsidR="00201A9A" w:rsidRPr="00201A9A">
        <w:rPr>
          <w:noProof/>
        </w:rPr>
        <w:t xml:space="preserve"> w ust</w:t>
      </w:r>
      <w:r w:rsidRPr="00201A9A">
        <w:rPr>
          <w:noProof/>
        </w:rPr>
        <w:t>.</w:t>
      </w:r>
      <w:r w:rsidR="00201A9A" w:rsidRPr="00201A9A">
        <w:rPr>
          <w:noProof/>
        </w:rPr>
        <w:t> </w:t>
      </w:r>
      <w:r w:rsidRPr="00201A9A">
        <w:rPr>
          <w:noProof/>
        </w:rPr>
        <w:t>3, oraz,</w:t>
      </w:r>
      <w:r w:rsidR="00201A9A" w:rsidRPr="00201A9A">
        <w:rPr>
          <w:noProof/>
        </w:rPr>
        <w:t xml:space="preserve"> w sto</w:t>
      </w:r>
      <w:r w:rsidRPr="00201A9A">
        <w:rPr>
          <w:noProof/>
        </w:rPr>
        <w:t>sownych przypadkach, dane udostępniane przez rolników organom publicznym zgodnie</w:t>
      </w:r>
      <w:r w:rsidR="00201A9A" w:rsidRPr="00201A9A">
        <w:rPr>
          <w:noProof/>
        </w:rPr>
        <w:t xml:space="preserve"> z art</w:t>
      </w:r>
      <w:r w:rsidRPr="00201A9A">
        <w:rPr>
          <w:noProof/>
        </w:rPr>
        <w:t>.</w:t>
      </w:r>
      <w:r w:rsidR="00201A9A" w:rsidRPr="00201A9A">
        <w:rPr>
          <w:noProof/>
        </w:rPr>
        <w:t> </w:t>
      </w:r>
      <w:r w:rsidRPr="00201A9A">
        <w:rPr>
          <w:noProof/>
        </w:rPr>
        <w:t>10 rozporządzenia (UE) 202X/XXXX [rozporządzenie</w:t>
      </w:r>
      <w:r w:rsidR="00201A9A" w:rsidRPr="00201A9A">
        <w:rPr>
          <w:noProof/>
        </w:rPr>
        <w:t xml:space="preserve"> w spr</w:t>
      </w:r>
      <w:r w:rsidRPr="00201A9A">
        <w:rPr>
          <w:noProof/>
        </w:rPr>
        <w:t>awie WPR]. Państwa członkowskie mogą świadczyć dodatkowe usługi</w:t>
      </w:r>
      <w:r w:rsidR="00201A9A" w:rsidRPr="00201A9A">
        <w:rPr>
          <w:noProof/>
        </w:rPr>
        <w:t xml:space="preserve"> w cel</w:t>
      </w:r>
      <w:r w:rsidRPr="00201A9A">
        <w:rPr>
          <w:noProof/>
        </w:rPr>
        <w:t>u usprawnienia europejskiego systemu monitorowania obszarów lądowych za pomocą innych źródeł informacji</w:t>
      </w:r>
      <w:r w:rsidR="00201A9A" w:rsidRPr="00201A9A">
        <w:rPr>
          <w:noProof/>
        </w:rPr>
        <w:t xml:space="preserve"> z kor</w:t>
      </w:r>
      <w:r w:rsidRPr="00201A9A">
        <w:rPr>
          <w:noProof/>
        </w:rPr>
        <w:t>zyścią dla rolników.</w:t>
      </w:r>
    </w:p>
    <w:p w14:paraId="0CE2AFB0" w14:textId="41FB23E2" w:rsidR="00256F20" w:rsidRPr="00201A9A" w:rsidRDefault="001F586E" w:rsidP="003E2902">
      <w:pPr>
        <w:pStyle w:val="NumPar10000000"/>
        <w:numPr>
          <w:ilvl w:val="0"/>
          <w:numId w:val="95"/>
        </w:numPr>
        <w:rPr>
          <w:noProof/>
        </w:rPr>
      </w:pPr>
      <w:r w:rsidRPr="00201A9A">
        <w:rPr>
          <w:noProof/>
        </w:rPr>
        <w:t>W stosownych przypadkach</w:t>
      </w:r>
      <w:r w:rsidR="00201A9A" w:rsidRPr="00201A9A">
        <w:rPr>
          <w:noProof/>
        </w:rPr>
        <w:t xml:space="preserve"> w cel</w:t>
      </w:r>
      <w:r w:rsidRPr="00201A9A">
        <w:rPr>
          <w:noProof/>
        </w:rPr>
        <w:t>u zapewnienia, aby system zintegrowany przewidziany</w:t>
      </w:r>
      <w:r w:rsidR="00201A9A" w:rsidRPr="00201A9A">
        <w:rPr>
          <w:noProof/>
        </w:rPr>
        <w:t xml:space="preserve"> w nin</w:t>
      </w:r>
      <w:r w:rsidRPr="00201A9A">
        <w:rPr>
          <w:noProof/>
        </w:rPr>
        <w:t>iejszym rozdziale był wdrażany</w:t>
      </w:r>
      <w:r w:rsidR="00201A9A" w:rsidRPr="00201A9A">
        <w:rPr>
          <w:noProof/>
        </w:rPr>
        <w:t xml:space="preserve"> w spo</w:t>
      </w:r>
      <w:r w:rsidRPr="00201A9A">
        <w:rPr>
          <w:noProof/>
        </w:rPr>
        <w:t>sób skuteczny, spójny</w:t>
      </w:r>
      <w:r w:rsidR="00201A9A" w:rsidRPr="00201A9A">
        <w:rPr>
          <w:noProof/>
        </w:rPr>
        <w:t xml:space="preserve"> i nie</w:t>
      </w:r>
      <w:r w:rsidRPr="00201A9A">
        <w:rPr>
          <w:noProof/>
        </w:rPr>
        <w:t>dyskryminujący oraz chroniący interesy finansowe Unii, Komisja jest uprawniona do przyjmowania aktów delegowanych zgodnie</w:t>
      </w:r>
      <w:r w:rsidR="00201A9A" w:rsidRPr="00201A9A">
        <w:rPr>
          <w:noProof/>
        </w:rPr>
        <w:t xml:space="preserve"> z art</w:t>
      </w:r>
      <w:r w:rsidRPr="00201A9A">
        <w:rPr>
          <w:noProof/>
        </w:rPr>
        <w:t>.</w:t>
      </w:r>
      <w:r w:rsidR="00201A9A" w:rsidRPr="00201A9A">
        <w:rPr>
          <w:noProof/>
        </w:rPr>
        <w:t> </w:t>
      </w:r>
      <w:r w:rsidRPr="00201A9A">
        <w:rPr>
          <w:noProof/>
        </w:rPr>
        <w:t xml:space="preserve">87, uzupełniając niniejsze rozporządzenie o: </w:t>
      </w:r>
    </w:p>
    <w:p w14:paraId="6F7AA2BD" w14:textId="20DC2394" w:rsidR="00256F20" w:rsidRPr="00201A9A" w:rsidRDefault="00201A9A" w:rsidP="00201A9A">
      <w:pPr>
        <w:pStyle w:val="Point1"/>
        <w:rPr>
          <w:noProof/>
        </w:rPr>
      </w:pPr>
      <w:r w:rsidRPr="00201A9A">
        <w:rPr>
          <w:noProof/>
        </w:rPr>
        <w:t>a)</w:t>
      </w:r>
      <w:r w:rsidRPr="00201A9A">
        <w:rPr>
          <w:noProof/>
        </w:rPr>
        <w:tab/>
      </w:r>
      <w:r w:rsidR="00695A5C" w:rsidRPr="00201A9A">
        <w:rPr>
          <w:noProof/>
        </w:rPr>
        <w:t>przepisy dotyczące ustanowionej na szczeblu unijnym metodyki rocznej oceny jakości elementów systemu zintegrowanego,</w:t>
      </w:r>
      <w:r w:rsidRPr="00201A9A">
        <w:rPr>
          <w:noProof/>
        </w:rPr>
        <w:t xml:space="preserve"> o któ</w:t>
      </w:r>
      <w:r w:rsidR="00695A5C" w:rsidRPr="00201A9A">
        <w:rPr>
          <w:noProof/>
        </w:rPr>
        <w:t>rej mowa</w:t>
      </w:r>
      <w:r w:rsidRPr="00201A9A">
        <w:rPr>
          <w:noProof/>
        </w:rPr>
        <w:t xml:space="preserve"> w ust</w:t>
      </w:r>
      <w:r w:rsidR="00695A5C" w:rsidRPr="00201A9A">
        <w:rPr>
          <w:noProof/>
        </w:rPr>
        <w:t>.</w:t>
      </w:r>
      <w:r w:rsidRPr="00201A9A">
        <w:rPr>
          <w:noProof/>
        </w:rPr>
        <w:t> </w:t>
      </w:r>
      <w:r w:rsidR="00695A5C" w:rsidRPr="00201A9A">
        <w:rPr>
          <w:noProof/>
        </w:rPr>
        <w:t>3 lit.</w:t>
      </w:r>
      <w:r w:rsidRPr="00201A9A">
        <w:rPr>
          <w:noProof/>
        </w:rPr>
        <w:t> </w:t>
      </w:r>
      <w:r w:rsidR="00695A5C" w:rsidRPr="00201A9A">
        <w:rPr>
          <w:noProof/>
        </w:rPr>
        <w:t>a), b) i c);</w:t>
      </w:r>
    </w:p>
    <w:p w14:paraId="4EC22884" w14:textId="395653B7" w:rsidR="00256F20" w:rsidRPr="00201A9A" w:rsidRDefault="00201A9A" w:rsidP="00201A9A">
      <w:pPr>
        <w:pStyle w:val="Point1"/>
        <w:rPr>
          <w:noProof/>
        </w:rPr>
      </w:pPr>
      <w:r w:rsidRPr="00201A9A">
        <w:rPr>
          <w:noProof/>
        </w:rPr>
        <w:t>b)</w:t>
      </w:r>
      <w:r w:rsidRPr="00201A9A">
        <w:rPr>
          <w:noProof/>
        </w:rPr>
        <w:tab/>
      </w:r>
      <w:r w:rsidR="00256F20" w:rsidRPr="00201A9A">
        <w:rPr>
          <w:noProof/>
        </w:rPr>
        <w:t>przepisy dotyczące systemu identyfikacji działek rolnych,</w:t>
      </w:r>
      <w:r w:rsidRPr="00201A9A">
        <w:rPr>
          <w:noProof/>
        </w:rPr>
        <w:t xml:space="preserve"> o któ</w:t>
      </w:r>
      <w:r w:rsidR="00256F20" w:rsidRPr="00201A9A">
        <w:rPr>
          <w:noProof/>
        </w:rPr>
        <w:t>rych mowa</w:t>
      </w:r>
      <w:r w:rsidRPr="00201A9A">
        <w:rPr>
          <w:noProof/>
        </w:rPr>
        <w:t xml:space="preserve"> w ust</w:t>
      </w:r>
      <w:r w:rsidR="00256F20" w:rsidRPr="00201A9A">
        <w:rPr>
          <w:noProof/>
        </w:rPr>
        <w:t>.</w:t>
      </w:r>
      <w:r w:rsidRPr="00201A9A">
        <w:rPr>
          <w:noProof/>
        </w:rPr>
        <w:t> </w:t>
      </w:r>
      <w:r w:rsidR="00256F20" w:rsidRPr="00201A9A">
        <w:rPr>
          <w:noProof/>
        </w:rPr>
        <w:t>3 lit.</w:t>
      </w:r>
      <w:r w:rsidRPr="00201A9A">
        <w:rPr>
          <w:noProof/>
        </w:rPr>
        <w:t> </w:t>
      </w:r>
      <w:r w:rsidR="00256F20" w:rsidRPr="00201A9A">
        <w:rPr>
          <w:noProof/>
        </w:rPr>
        <w:t>c).</w:t>
      </w:r>
    </w:p>
    <w:p w14:paraId="09993389" w14:textId="77777777" w:rsidR="00256F20" w:rsidRPr="00201A9A" w:rsidRDefault="00256F20" w:rsidP="003E2902">
      <w:pPr>
        <w:pStyle w:val="NumPar10000000"/>
        <w:numPr>
          <w:ilvl w:val="0"/>
          <w:numId w:val="95"/>
        </w:numPr>
        <w:rPr>
          <w:noProof/>
        </w:rPr>
      </w:pPr>
      <w:r w:rsidRPr="00201A9A">
        <w:rPr>
          <w:noProof/>
        </w:rPr>
        <w:t xml:space="preserve">Komisja może przyjmować akty wykonawcze ustanawiające przepisy dotyczące: </w:t>
      </w:r>
    </w:p>
    <w:p w14:paraId="555AD19B" w14:textId="127A8B63" w:rsidR="00256F20" w:rsidRPr="00201A9A" w:rsidRDefault="00201A9A" w:rsidP="00201A9A">
      <w:pPr>
        <w:pStyle w:val="Point1"/>
        <w:rPr>
          <w:noProof/>
        </w:rPr>
      </w:pPr>
      <w:r w:rsidRPr="00201A9A">
        <w:rPr>
          <w:noProof/>
        </w:rPr>
        <w:t>a)</w:t>
      </w:r>
      <w:r w:rsidRPr="00201A9A">
        <w:rPr>
          <w:noProof/>
        </w:rPr>
        <w:tab/>
      </w:r>
      <w:r w:rsidR="00256F20" w:rsidRPr="00201A9A">
        <w:rPr>
          <w:noProof/>
        </w:rPr>
        <w:t>formy</w:t>
      </w:r>
      <w:r w:rsidRPr="00201A9A">
        <w:rPr>
          <w:noProof/>
        </w:rPr>
        <w:t xml:space="preserve"> i tre</w:t>
      </w:r>
      <w:r w:rsidR="00256F20" w:rsidRPr="00201A9A">
        <w:rPr>
          <w:noProof/>
        </w:rPr>
        <w:t xml:space="preserve">ści oraz warunków przekazywania lub udostępniania Komisji: </w:t>
      </w:r>
    </w:p>
    <w:p w14:paraId="1828020D" w14:textId="341EABEE" w:rsidR="00256F20" w:rsidRPr="00201A9A" w:rsidRDefault="00256F20" w:rsidP="003E2902">
      <w:pPr>
        <w:pStyle w:val="Point2n"/>
        <w:numPr>
          <w:ilvl w:val="0"/>
          <w:numId w:val="35"/>
        </w:numPr>
        <w:spacing w:line="240" w:lineRule="auto"/>
        <w:rPr>
          <w:noProof/>
        </w:rPr>
      </w:pPr>
      <w:r w:rsidRPr="00201A9A">
        <w:rPr>
          <w:noProof/>
        </w:rPr>
        <w:t>sprawozdania oceniającego,</w:t>
      </w:r>
      <w:r w:rsidR="00201A9A" w:rsidRPr="00201A9A">
        <w:rPr>
          <w:noProof/>
        </w:rPr>
        <w:t xml:space="preserve"> o któ</w:t>
      </w:r>
      <w:r w:rsidRPr="00201A9A">
        <w:rPr>
          <w:noProof/>
        </w:rPr>
        <w:t>rym mowa</w:t>
      </w:r>
      <w:r w:rsidR="00201A9A" w:rsidRPr="00201A9A">
        <w:rPr>
          <w:noProof/>
        </w:rPr>
        <w:t xml:space="preserve"> w ust</w:t>
      </w:r>
      <w:r w:rsidRPr="00201A9A">
        <w:rPr>
          <w:noProof/>
        </w:rPr>
        <w:t>.</w:t>
      </w:r>
      <w:r w:rsidR="00201A9A" w:rsidRPr="00201A9A">
        <w:rPr>
          <w:noProof/>
        </w:rPr>
        <w:t> </w:t>
      </w:r>
      <w:r w:rsidRPr="00201A9A">
        <w:rPr>
          <w:noProof/>
        </w:rPr>
        <w:t>4;</w:t>
      </w:r>
    </w:p>
    <w:p w14:paraId="51E35EED" w14:textId="77777777" w:rsidR="00256F20" w:rsidRPr="00201A9A" w:rsidRDefault="00256F20" w:rsidP="005A28DE">
      <w:pPr>
        <w:pStyle w:val="Point2n"/>
        <w:spacing w:line="240" w:lineRule="auto"/>
        <w:rPr>
          <w:noProof/>
        </w:rPr>
      </w:pPr>
      <w:r w:rsidRPr="00201A9A">
        <w:rPr>
          <w:noProof/>
        </w:rPr>
        <w:t>działań naprawczych podjętych przez państwa członkowskie;</w:t>
      </w:r>
    </w:p>
    <w:p w14:paraId="1ABD7866" w14:textId="4381D1C6" w:rsidR="00256F20" w:rsidRPr="00201A9A" w:rsidRDefault="00201A9A" w:rsidP="00201A9A">
      <w:pPr>
        <w:pStyle w:val="Point1"/>
        <w:rPr>
          <w:noProof/>
        </w:rPr>
      </w:pPr>
      <w:r w:rsidRPr="00201A9A">
        <w:rPr>
          <w:noProof/>
        </w:rPr>
        <w:t>b)</w:t>
      </w:r>
      <w:r w:rsidRPr="00201A9A">
        <w:rPr>
          <w:noProof/>
        </w:rPr>
        <w:tab/>
      </w:r>
      <w:r w:rsidR="00256F20" w:rsidRPr="00201A9A">
        <w:rPr>
          <w:noProof/>
        </w:rPr>
        <w:t>podstawowych cech</w:t>
      </w:r>
      <w:r w:rsidRPr="00201A9A">
        <w:rPr>
          <w:noProof/>
        </w:rPr>
        <w:t xml:space="preserve"> i zas</w:t>
      </w:r>
      <w:r w:rsidR="00256F20" w:rsidRPr="00201A9A">
        <w:rPr>
          <w:noProof/>
        </w:rPr>
        <w:t xml:space="preserve">ad dotyczących: </w:t>
      </w:r>
    </w:p>
    <w:p w14:paraId="71C0B3C6" w14:textId="77777777" w:rsidR="00256F20" w:rsidRPr="00201A9A" w:rsidRDefault="00256F20" w:rsidP="003E2902">
      <w:pPr>
        <w:pStyle w:val="Point2n"/>
        <w:numPr>
          <w:ilvl w:val="0"/>
          <w:numId w:val="104"/>
        </w:numPr>
        <w:spacing w:line="240" w:lineRule="auto"/>
        <w:rPr>
          <w:noProof/>
        </w:rPr>
      </w:pPr>
      <w:r w:rsidRPr="00201A9A">
        <w:rPr>
          <w:noProof/>
        </w:rPr>
        <w:t>systemu monitorowania rolnictwa;</w:t>
      </w:r>
    </w:p>
    <w:p w14:paraId="08BDA127" w14:textId="1A185E7F" w:rsidR="00256F20" w:rsidRPr="00201A9A" w:rsidRDefault="00256F20" w:rsidP="005A28DE">
      <w:pPr>
        <w:pStyle w:val="Point2n"/>
        <w:spacing w:line="240" w:lineRule="auto"/>
        <w:rPr>
          <w:noProof/>
        </w:rPr>
      </w:pPr>
      <w:r w:rsidRPr="00201A9A">
        <w:rPr>
          <w:noProof/>
        </w:rPr>
        <w:t>systemu wniosków geoprzestrzennych</w:t>
      </w:r>
      <w:r w:rsidR="00201A9A" w:rsidRPr="00201A9A">
        <w:rPr>
          <w:noProof/>
        </w:rPr>
        <w:t xml:space="preserve"> i zwi</w:t>
      </w:r>
      <w:r w:rsidRPr="00201A9A">
        <w:rPr>
          <w:noProof/>
        </w:rPr>
        <w:t>ązanych ze zwierzętami;</w:t>
      </w:r>
    </w:p>
    <w:p w14:paraId="6DDC1022" w14:textId="77777777" w:rsidR="00256F20" w:rsidRPr="00201A9A" w:rsidRDefault="00256F20" w:rsidP="005A28DE">
      <w:pPr>
        <w:pStyle w:val="Point2n"/>
        <w:spacing w:line="240" w:lineRule="auto"/>
        <w:rPr>
          <w:noProof/>
        </w:rPr>
      </w:pPr>
      <w:r w:rsidRPr="00201A9A">
        <w:rPr>
          <w:noProof/>
        </w:rPr>
        <w:t>systemu identyfikacji działek rolnych;</w:t>
      </w:r>
    </w:p>
    <w:p w14:paraId="2E63E6AF" w14:textId="77777777" w:rsidR="00256F20" w:rsidRPr="00201A9A" w:rsidRDefault="005E0B5D" w:rsidP="005A28DE">
      <w:pPr>
        <w:pStyle w:val="Point2n"/>
        <w:spacing w:line="240" w:lineRule="auto"/>
        <w:rPr>
          <w:noProof/>
        </w:rPr>
      </w:pPr>
      <w:r w:rsidRPr="00201A9A">
        <w:rPr>
          <w:noProof/>
        </w:rPr>
        <w:t>europejskiego systemy monitorowania obszarów lądowych.</w:t>
      </w:r>
    </w:p>
    <w:p w14:paraId="499584A4" w14:textId="73A684CB" w:rsidR="00004B73" w:rsidRPr="00201A9A" w:rsidRDefault="00256F20" w:rsidP="003E2902">
      <w:pPr>
        <w:pStyle w:val="NumPar10000000"/>
        <w:numPr>
          <w:ilvl w:val="0"/>
          <w:numId w:val="95"/>
        </w:numPr>
        <w:rPr>
          <w:rFonts w:eastAsia="Calibri"/>
          <w:noProof/>
        </w:rPr>
      </w:pPr>
      <w:r w:rsidRPr="00201A9A">
        <w:rPr>
          <w:noProof/>
        </w:rPr>
        <w:t>Te akty wykonawcze przyjmuje się zgodnie</w:t>
      </w:r>
      <w:r w:rsidR="00201A9A" w:rsidRPr="00201A9A">
        <w:rPr>
          <w:noProof/>
        </w:rPr>
        <w:t xml:space="preserve"> z pro</w:t>
      </w:r>
      <w:r w:rsidRPr="00201A9A">
        <w:rPr>
          <w:noProof/>
        </w:rPr>
        <w:t>cedurą sprawdzającą,</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87 ust.</w:t>
      </w:r>
      <w:r w:rsidR="00201A9A" w:rsidRPr="00201A9A">
        <w:rPr>
          <w:noProof/>
        </w:rPr>
        <w:t> </w:t>
      </w:r>
      <w:r w:rsidRPr="00201A9A">
        <w:rPr>
          <w:noProof/>
        </w:rPr>
        <w:t>3 [</w:t>
      </w:r>
      <w:r w:rsidRPr="00201A9A">
        <w:rPr>
          <w:i/>
          <w:noProof/>
        </w:rPr>
        <w:t>procedura komitetowa, procedura sprawdzająca</w:t>
      </w:r>
      <w:r w:rsidRPr="00201A9A">
        <w:rPr>
          <w:noProof/>
        </w:rPr>
        <w:t xml:space="preserve">]. </w:t>
      </w:r>
    </w:p>
    <w:p w14:paraId="080E62D8" w14:textId="77777777" w:rsidR="00631727" w:rsidRPr="00201A9A" w:rsidRDefault="00631727" w:rsidP="00631727">
      <w:pPr>
        <w:pStyle w:val="SectionTitle"/>
        <w:rPr>
          <w:noProof/>
        </w:rPr>
      </w:pPr>
      <w:r w:rsidRPr="00201A9A">
        <w:rPr>
          <w:noProof/>
        </w:rPr>
        <w:t xml:space="preserve">TYTUŁ XI </w:t>
      </w:r>
      <w:r w:rsidRPr="00201A9A">
        <w:rPr>
          <w:noProof/>
        </w:rPr>
        <w:br/>
        <w:t>SZCZEGÓLNY RODZAJ WSPARCIA</w:t>
      </w:r>
    </w:p>
    <w:p w14:paraId="2AF2B516" w14:textId="77777777" w:rsidR="00FB0190" w:rsidRPr="00201A9A" w:rsidRDefault="00936FC4" w:rsidP="005A28DE">
      <w:pPr>
        <w:pStyle w:val="Titrearticle"/>
        <w:rPr>
          <w:noProof/>
        </w:rPr>
      </w:pPr>
      <w:r w:rsidRPr="00201A9A">
        <w:rPr>
          <w:noProof/>
        </w:rPr>
        <w:t xml:space="preserve">Artykuł 71 </w:t>
      </w:r>
      <w:r w:rsidRPr="00201A9A">
        <w:rPr>
          <w:noProof/>
        </w:rPr>
        <w:br/>
        <w:t>Instrumenty finansowe</w:t>
      </w:r>
    </w:p>
    <w:p w14:paraId="3C19E4CF" w14:textId="7689DB24" w:rsidR="00FB0190" w:rsidRPr="00201A9A" w:rsidRDefault="00FB0190" w:rsidP="003E2902">
      <w:pPr>
        <w:pStyle w:val="NumPar10000000"/>
        <w:numPr>
          <w:ilvl w:val="0"/>
          <w:numId w:val="59"/>
        </w:numPr>
        <w:rPr>
          <w:noProof/>
        </w:rPr>
      </w:pPr>
      <w:r w:rsidRPr="00201A9A">
        <w:rPr>
          <w:noProof/>
        </w:rPr>
        <w:t>Państwa członkowskie mogą uwzględnić</w:t>
      </w:r>
      <w:r w:rsidR="00201A9A" w:rsidRPr="00201A9A">
        <w:rPr>
          <w:noProof/>
        </w:rPr>
        <w:t xml:space="preserve"> w swo</w:t>
      </w:r>
      <w:r w:rsidRPr="00201A9A">
        <w:rPr>
          <w:noProof/>
        </w:rPr>
        <w:t>ich planach wsparcie istniejących lub nowo utworzonych instrumentów finansowych wdrażanych bezpośrednio przez instytucję zarządzającą lub instrumentów, za które ponosi ona odpowiedzialność.</w:t>
      </w:r>
      <w:r w:rsidR="00201A9A" w:rsidRPr="00201A9A">
        <w:rPr>
          <w:noProof/>
        </w:rPr>
        <w:t xml:space="preserve"> </w:t>
      </w:r>
    </w:p>
    <w:p w14:paraId="486BAE8B" w14:textId="579895BD" w:rsidR="00E663AE" w:rsidRPr="00201A9A" w:rsidRDefault="00732FA5" w:rsidP="003E2902">
      <w:pPr>
        <w:pStyle w:val="NumPar10000000"/>
        <w:numPr>
          <w:ilvl w:val="0"/>
          <w:numId w:val="59"/>
        </w:numPr>
        <w:rPr>
          <w:noProof/>
        </w:rPr>
      </w:pPr>
      <w:r w:rsidRPr="00201A9A">
        <w:rPr>
          <w:noProof/>
        </w:rPr>
        <w:t>Wykorzystanie instrumentów finansowych</w:t>
      </w:r>
      <w:r w:rsidR="00201A9A" w:rsidRPr="00201A9A">
        <w:rPr>
          <w:noProof/>
        </w:rPr>
        <w:t xml:space="preserve"> i ich</w:t>
      </w:r>
      <w:r w:rsidRPr="00201A9A">
        <w:rPr>
          <w:noProof/>
        </w:rPr>
        <w:t xml:space="preserve"> ewentualne połączenie ze wsparciem</w:t>
      </w:r>
      <w:r w:rsidR="00201A9A" w:rsidRPr="00201A9A">
        <w:rPr>
          <w:noProof/>
        </w:rPr>
        <w:t xml:space="preserve"> w for</w:t>
      </w:r>
      <w:r w:rsidRPr="00201A9A">
        <w:rPr>
          <w:noProof/>
        </w:rPr>
        <w:t>mie dotacji uzasadnia się</w:t>
      </w:r>
      <w:r w:rsidR="00201A9A" w:rsidRPr="00201A9A">
        <w:rPr>
          <w:noProof/>
        </w:rPr>
        <w:t xml:space="preserve"> w odn</w:t>
      </w:r>
      <w:r w:rsidRPr="00201A9A">
        <w:rPr>
          <w:noProof/>
        </w:rPr>
        <w:t>iesieniu do odpowiednich potrzeb rynkowych</w:t>
      </w:r>
      <w:r w:rsidR="00201A9A" w:rsidRPr="00201A9A">
        <w:rPr>
          <w:noProof/>
        </w:rPr>
        <w:t xml:space="preserve"> i ich</w:t>
      </w:r>
      <w:r w:rsidRPr="00201A9A">
        <w:rPr>
          <w:noProof/>
        </w:rPr>
        <w:t xml:space="preserve"> zdolności do ograniczania ryzyka</w:t>
      </w:r>
      <w:r w:rsidR="00201A9A" w:rsidRPr="00201A9A">
        <w:rPr>
          <w:noProof/>
        </w:rPr>
        <w:t xml:space="preserve"> i poz</w:t>
      </w:r>
      <w:r w:rsidRPr="00201A9A">
        <w:rPr>
          <w:noProof/>
        </w:rPr>
        <w:t>yskiwania kapitału prywatnego. Szacunkowe koszty instrumentu finansowego ustala się zgodnie</w:t>
      </w:r>
      <w:r w:rsidR="00201A9A" w:rsidRPr="00201A9A">
        <w:rPr>
          <w:noProof/>
        </w:rPr>
        <w:t xml:space="preserve"> z ust</w:t>
      </w:r>
      <w:r w:rsidRPr="00201A9A">
        <w:rPr>
          <w:noProof/>
        </w:rPr>
        <w:t>.</w:t>
      </w:r>
      <w:r w:rsidR="00201A9A" w:rsidRPr="00201A9A">
        <w:rPr>
          <w:noProof/>
        </w:rPr>
        <w:t> </w:t>
      </w:r>
      <w:r w:rsidRPr="00201A9A">
        <w:rPr>
          <w:noProof/>
        </w:rPr>
        <w:t xml:space="preserve">11. </w:t>
      </w:r>
    </w:p>
    <w:p w14:paraId="6613E010" w14:textId="486C9845" w:rsidR="00707C38" w:rsidRPr="00201A9A" w:rsidRDefault="000D3B0D" w:rsidP="003E2902">
      <w:pPr>
        <w:pStyle w:val="NumPar10000000"/>
        <w:numPr>
          <w:ilvl w:val="0"/>
          <w:numId w:val="59"/>
        </w:numPr>
        <w:rPr>
          <w:noProof/>
        </w:rPr>
      </w:pPr>
      <w:r w:rsidRPr="00201A9A">
        <w:rPr>
          <w:noProof/>
        </w:rPr>
        <w:t>Państwa członkowskie wybierają podmioty wdrażające instrumenty finansowe</w:t>
      </w:r>
      <w:r w:rsidR="00201A9A" w:rsidRPr="00201A9A">
        <w:rPr>
          <w:noProof/>
        </w:rPr>
        <w:t>. W prz</w:t>
      </w:r>
      <w:r w:rsidRPr="00201A9A">
        <w:rPr>
          <w:noProof/>
        </w:rPr>
        <w:t>ypadku gdy instrument finansowy jest wdrażany za pośrednictwem funduszu powierniczego, podmiot wdrażający fundusz powierniczy wybiera podmioty wdrażające fundusze szczegółowe</w:t>
      </w:r>
      <w:r w:rsidR="00201A9A" w:rsidRPr="00201A9A">
        <w:rPr>
          <w:noProof/>
        </w:rPr>
        <w:t xml:space="preserve"> w dro</w:t>
      </w:r>
      <w:r w:rsidRPr="00201A9A">
        <w:rPr>
          <w:noProof/>
        </w:rPr>
        <w:t xml:space="preserve">dze przejrzystych procedur. </w:t>
      </w:r>
    </w:p>
    <w:p w14:paraId="2387B04A" w14:textId="77777777" w:rsidR="00707C38" w:rsidRPr="00201A9A" w:rsidRDefault="000A6785" w:rsidP="003E2902">
      <w:pPr>
        <w:pStyle w:val="NumPar10000000"/>
        <w:numPr>
          <w:ilvl w:val="0"/>
          <w:numId w:val="59"/>
        </w:numPr>
        <w:rPr>
          <w:noProof/>
        </w:rPr>
      </w:pPr>
      <w:r w:rsidRPr="00201A9A">
        <w:rPr>
          <w:noProof/>
        </w:rPr>
        <w:t xml:space="preserve">Opłaty za zarządzanie opierają się na wynikach. </w:t>
      </w:r>
    </w:p>
    <w:p w14:paraId="2782BEA2" w14:textId="614E44A9" w:rsidR="00450E9D" w:rsidRPr="00201A9A" w:rsidRDefault="00450E9D" w:rsidP="005A28DE">
      <w:pPr>
        <w:pStyle w:val="Text1"/>
        <w:rPr>
          <w:noProof/>
        </w:rPr>
      </w:pPr>
      <w:r w:rsidRPr="00201A9A">
        <w:rPr>
          <w:noProof/>
        </w:rPr>
        <w:t>W przypadku gdy podmioty wdrażające fundusz powierniczy są wybierane</w:t>
      </w:r>
      <w:r w:rsidR="00201A9A" w:rsidRPr="00201A9A">
        <w:rPr>
          <w:noProof/>
        </w:rPr>
        <w:t xml:space="preserve"> w dro</w:t>
      </w:r>
      <w:r w:rsidRPr="00201A9A">
        <w:rPr>
          <w:noProof/>
        </w:rPr>
        <w:t>dze bezpośredniego udzielenia zamówienia, kwota opłat za zarządzanie podlega pułapowi</w:t>
      </w:r>
      <w:r w:rsidR="00201A9A" w:rsidRPr="00201A9A">
        <w:rPr>
          <w:noProof/>
        </w:rPr>
        <w:t xml:space="preserve"> w wys</w:t>
      </w:r>
      <w:r w:rsidRPr="00201A9A">
        <w:rPr>
          <w:noProof/>
        </w:rPr>
        <w:t>okości do</w:t>
      </w:r>
      <w:r w:rsidR="00201A9A" w:rsidRPr="00201A9A">
        <w:rPr>
          <w:noProof/>
        </w:rPr>
        <w:t> </w:t>
      </w:r>
      <w:r w:rsidRPr="00201A9A">
        <w:rPr>
          <w:noProof/>
        </w:rPr>
        <w:t>7</w:t>
      </w:r>
      <w:r w:rsidR="00201A9A" w:rsidRPr="00201A9A">
        <w:rPr>
          <w:noProof/>
        </w:rPr>
        <w:t> </w:t>
      </w:r>
      <w:r w:rsidRPr="00201A9A">
        <w:rPr>
          <w:noProof/>
        </w:rPr>
        <w:t>% wkładu finansowego</w:t>
      </w:r>
      <w:r w:rsidR="00201A9A" w:rsidRPr="00201A9A">
        <w:rPr>
          <w:noProof/>
        </w:rPr>
        <w:t xml:space="preserve"> z pla</w:t>
      </w:r>
      <w:r w:rsidRPr="00201A9A">
        <w:rPr>
          <w:noProof/>
        </w:rPr>
        <w:t>nu</w:t>
      </w:r>
      <w:r w:rsidR="00201A9A" w:rsidRPr="00201A9A">
        <w:rPr>
          <w:noProof/>
        </w:rPr>
        <w:t xml:space="preserve"> w prz</w:t>
      </w:r>
      <w:r w:rsidRPr="00201A9A">
        <w:rPr>
          <w:noProof/>
        </w:rPr>
        <w:t>ypadku produktów kapitałowych lub quasi-kapitałowych i do</w:t>
      </w:r>
      <w:r w:rsidR="00201A9A" w:rsidRPr="00201A9A">
        <w:rPr>
          <w:noProof/>
        </w:rPr>
        <w:t> </w:t>
      </w:r>
      <w:r w:rsidRPr="00201A9A">
        <w:rPr>
          <w:noProof/>
        </w:rPr>
        <w:t>5</w:t>
      </w:r>
      <w:r w:rsidR="00201A9A" w:rsidRPr="00201A9A">
        <w:rPr>
          <w:noProof/>
        </w:rPr>
        <w:t> </w:t>
      </w:r>
      <w:r w:rsidRPr="00201A9A">
        <w:rPr>
          <w:noProof/>
        </w:rPr>
        <w:t>%</w:t>
      </w:r>
      <w:r w:rsidR="00201A9A" w:rsidRPr="00201A9A">
        <w:rPr>
          <w:noProof/>
        </w:rPr>
        <w:t xml:space="preserve"> w prz</w:t>
      </w:r>
      <w:r w:rsidRPr="00201A9A">
        <w:rPr>
          <w:noProof/>
        </w:rPr>
        <w:t xml:space="preserve">ypadku wszelkich innych produktów finansowych. </w:t>
      </w:r>
    </w:p>
    <w:p w14:paraId="5DD805B8" w14:textId="63268D3B" w:rsidR="000A6785" w:rsidRPr="00201A9A" w:rsidRDefault="00450E9D" w:rsidP="005A28DE">
      <w:pPr>
        <w:pStyle w:val="Text1"/>
        <w:rPr>
          <w:noProof/>
        </w:rPr>
      </w:pPr>
      <w:r w:rsidRPr="00201A9A">
        <w:rPr>
          <w:noProof/>
        </w:rPr>
        <w:t>W przypadku gdy podmioty wdrażające fundusz szczegółowy są wybierane</w:t>
      </w:r>
      <w:r w:rsidR="00201A9A" w:rsidRPr="00201A9A">
        <w:rPr>
          <w:noProof/>
        </w:rPr>
        <w:t xml:space="preserve"> w dro</w:t>
      </w:r>
      <w:r w:rsidRPr="00201A9A">
        <w:rPr>
          <w:noProof/>
        </w:rPr>
        <w:t>dze bezpośredniego udzielenia zamówienia, kwota opłat za zarządzanie podlega pułapowi</w:t>
      </w:r>
      <w:r w:rsidR="00201A9A" w:rsidRPr="00201A9A">
        <w:rPr>
          <w:noProof/>
        </w:rPr>
        <w:t xml:space="preserve"> w wys</w:t>
      </w:r>
      <w:r w:rsidRPr="00201A9A">
        <w:rPr>
          <w:noProof/>
        </w:rPr>
        <w:t>okości do</w:t>
      </w:r>
      <w:r w:rsidR="00201A9A" w:rsidRPr="00201A9A">
        <w:rPr>
          <w:noProof/>
        </w:rPr>
        <w:t> </w:t>
      </w:r>
      <w:r w:rsidRPr="00201A9A">
        <w:rPr>
          <w:noProof/>
        </w:rPr>
        <w:t>15</w:t>
      </w:r>
      <w:r w:rsidR="00201A9A" w:rsidRPr="00201A9A">
        <w:rPr>
          <w:noProof/>
        </w:rPr>
        <w:t> </w:t>
      </w:r>
      <w:r w:rsidRPr="00201A9A">
        <w:rPr>
          <w:noProof/>
        </w:rPr>
        <w:t>% wkładu finansowego</w:t>
      </w:r>
      <w:r w:rsidR="00201A9A" w:rsidRPr="00201A9A">
        <w:rPr>
          <w:noProof/>
        </w:rPr>
        <w:t xml:space="preserve"> z pla</w:t>
      </w:r>
      <w:r w:rsidRPr="00201A9A">
        <w:rPr>
          <w:noProof/>
        </w:rPr>
        <w:t>nu</w:t>
      </w:r>
      <w:r w:rsidR="00201A9A" w:rsidRPr="00201A9A">
        <w:rPr>
          <w:noProof/>
        </w:rPr>
        <w:t xml:space="preserve"> w prz</w:t>
      </w:r>
      <w:r w:rsidRPr="00201A9A">
        <w:rPr>
          <w:noProof/>
        </w:rPr>
        <w:t>ypadku produktów kapitałowych lub quasi-kapitałowych i do</w:t>
      </w:r>
      <w:r w:rsidR="00201A9A" w:rsidRPr="00201A9A">
        <w:rPr>
          <w:noProof/>
        </w:rPr>
        <w:t> </w:t>
      </w:r>
      <w:r w:rsidRPr="00201A9A">
        <w:rPr>
          <w:noProof/>
        </w:rPr>
        <w:t>7</w:t>
      </w:r>
      <w:r w:rsidR="00201A9A" w:rsidRPr="00201A9A">
        <w:rPr>
          <w:noProof/>
        </w:rPr>
        <w:t> </w:t>
      </w:r>
      <w:r w:rsidRPr="00201A9A">
        <w:rPr>
          <w:noProof/>
        </w:rPr>
        <w:t>% wkładu finansowego</w:t>
      </w:r>
      <w:r w:rsidR="00201A9A" w:rsidRPr="00201A9A">
        <w:rPr>
          <w:noProof/>
        </w:rPr>
        <w:t xml:space="preserve"> z pla</w:t>
      </w:r>
      <w:r w:rsidRPr="00201A9A">
        <w:rPr>
          <w:noProof/>
        </w:rPr>
        <w:t>nu</w:t>
      </w:r>
      <w:r w:rsidR="00201A9A" w:rsidRPr="00201A9A">
        <w:rPr>
          <w:noProof/>
        </w:rPr>
        <w:t xml:space="preserve"> w prz</w:t>
      </w:r>
      <w:r w:rsidRPr="00201A9A">
        <w:rPr>
          <w:noProof/>
        </w:rPr>
        <w:t xml:space="preserve">ypadku wszelkich innych produktów finansowych. </w:t>
      </w:r>
    </w:p>
    <w:p w14:paraId="43605EE0" w14:textId="77777777" w:rsidR="00FB0190" w:rsidRPr="00201A9A" w:rsidRDefault="00FB0190" w:rsidP="003E2902">
      <w:pPr>
        <w:pStyle w:val="NumPar10000000"/>
        <w:numPr>
          <w:ilvl w:val="0"/>
          <w:numId w:val="59"/>
        </w:numPr>
        <w:rPr>
          <w:noProof/>
        </w:rPr>
      </w:pPr>
      <w:r w:rsidRPr="00201A9A">
        <w:rPr>
          <w:noProof/>
        </w:rPr>
        <w:t>Państwo członkowskie może bezpośrednio udzielić zamówienia na wdrażanie instrumentu finansowego następującym beneficjentom:</w:t>
      </w:r>
    </w:p>
    <w:p w14:paraId="63249AF4" w14:textId="39C4A25B" w:rsidR="00FB0190" w:rsidRPr="00201A9A" w:rsidRDefault="00201A9A" w:rsidP="00201A9A">
      <w:pPr>
        <w:pStyle w:val="Point1"/>
        <w:rPr>
          <w:noProof/>
        </w:rPr>
      </w:pPr>
      <w:r w:rsidRPr="00201A9A">
        <w:rPr>
          <w:noProof/>
        </w:rPr>
        <w:t>a)</w:t>
      </w:r>
      <w:r w:rsidRPr="00201A9A">
        <w:rPr>
          <w:noProof/>
        </w:rPr>
        <w:tab/>
      </w:r>
      <w:r w:rsidR="003319AF" w:rsidRPr="00201A9A">
        <w:rPr>
          <w:noProof/>
        </w:rPr>
        <w:t>grupie EBI</w:t>
      </w:r>
    </w:p>
    <w:p w14:paraId="0E596BD8" w14:textId="481B64C6" w:rsidR="00FB0190" w:rsidRPr="00201A9A" w:rsidRDefault="00201A9A" w:rsidP="00201A9A">
      <w:pPr>
        <w:pStyle w:val="Point1"/>
        <w:rPr>
          <w:noProof/>
        </w:rPr>
      </w:pPr>
      <w:r w:rsidRPr="00201A9A">
        <w:rPr>
          <w:noProof/>
        </w:rPr>
        <w:t>b)</w:t>
      </w:r>
      <w:r w:rsidRPr="00201A9A">
        <w:rPr>
          <w:noProof/>
        </w:rPr>
        <w:tab/>
      </w:r>
      <w:r w:rsidR="003319AF" w:rsidRPr="00201A9A">
        <w:rPr>
          <w:noProof/>
        </w:rPr>
        <w:t>międzynarodowym instytucjom finansowym,</w:t>
      </w:r>
      <w:r w:rsidRPr="00201A9A">
        <w:rPr>
          <w:noProof/>
        </w:rPr>
        <w:t xml:space="preserve"> w któ</w:t>
      </w:r>
      <w:r w:rsidR="003319AF" w:rsidRPr="00201A9A">
        <w:rPr>
          <w:noProof/>
        </w:rPr>
        <w:t>rych państwo członkowskie posiada akcje lub udziały;</w:t>
      </w:r>
    </w:p>
    <w:p w14:paraId="178AF1D9" w14:textId="03A73C53" w:rsidR="00FB0190" w:rsidRPr="00201A9A" w:rsidRDefault="00201A9A" w:rsidP="00201A9A">
      <w:pPr>
        <w:pStyle w:val="Point1"/>
        <w:rPr>
          <w:noProof/>
        </w:rPr>
      </w:pPr>
      <w:r w:rsidRPr="00201A9A">
        <w:rPr>
          <w:noProof/>
        </w:rPr>
        <w:t>c)</w:t>
      </w:r>
      <w:r w:rsidRPr="00201A9A">
        <w:rPr>
          <w:noProof/>
        </w:rPr>
        <w:tab/>
      </w:r>
      <w:r w:rsidR="003319AF" w:rsidRPr="00201A9A">
        <w:rPr>
          <w:noProof/>
        </w:rPr>
        <w:t>publicznemu bankowi lub publicznej instytucji, ustanowionym jako podmioty prawne prowadzące profesjonalną działalność finansową, które spełniają wszystkie następujące warunki:</w:t>
      </w:r>
    </w:p>
    <w:p w14:paraId="486CC409" w14:textId="13C454AA" w:rsidR="00FB0190" w:rsidRPr="00201A9A" w:rsidRDefault="00FB0190" w:rsidP="003E2902">
      <w:pPr>
        <w:pStyle w:val="Point2n"/>
        <w:numPr>
          <w:ilvl w:val="0"/>
          <w:numId w:val="36"/>
        </w:numPr>
        <w:spacing w:line="240" w:lineRule="auto"/>
        <w:jc w:val="both"/>
        <w:rPr>
          <w:noProof/>
        </w:rPr>
      </w:pPr>
      <w:r w:rsidRPr="00201A9A">
        <w:rPr>
          <w:noProof/>
        </w:rPr>
        <w:t>brak bezpośredniego udziału kapitału prywatnego,</w:t>
      </w:r>
      <w:r w:rsidR="00201A9A" w:rsidRPr="00201A9A">
        <w:rPr>
          <w:noProof/>
        </w:rPr>
        <w:t xml:space="preserve"> z wyj</w:t>
      </w:r>
      <w:r w:rsidRPr="00201A9A">
        <w:rPr>
          <w:noProof/>
        </w:rPr>
        <w:t>ątkiem form udziału kapitału prywatnego</w:t>
      </w:r>
      <w:r w:rsidR="00201A9A" w:rsidRPr="00201A9A">
        <w:rPr>
          <w:noProof/>
        </w:rPr>
        <w:t xml:space="preserve"> o cha</w:t>
      </w:r>
      <w:r w:rsidRPr="00201A9A">
        <w:rPr>
          <w:noProof/>
        </w:rPr>
        <w:t>rakterze niekontrolującym</w:t>
      </w:r>
      <w:r w:rsidR="00201A9A" w:rsidRPr="00201A9A">
        <w:rPr>
          <w:noProof/>
        </w:rPr>
        <w:t xml:space="preserve"> i nie</w:t>
      </w:r>
      <w:r w:rsidRPr="00201A9A">
        <w:rPr>
          <w:noProof/>
        </w:rPr>
        <w:t>blokującym, wymaganych na mocy przepisów prawa krajowego, zgodnie</w:t>
      </w:r>
      <w:r w:rsidR="00201A9A" w:rsidRPr="00201A9A">
        <w:rPr>
          <w:noProof/>
        </w:rPr>
        <w:t xml:space="preserve"> z Tra</w:t>
      </w:r>
      <w:r w:rsidRPr="00201A9A">
        <w:rPr>
          <w:noProof/>
        </w:rPr>
        <w:t>ktatami, oraz niewywierających decydującego wpływu na dany bank lub daną instytucję, oraz</w:t>
      </w:r>
      <w:r w:rsidR="00201A9A" w:rsidRPr="00201A9A">
        <w:rPr>
          <w:noProof/>
        </w:rPr>
        <w:t xml:space="preserve"> z wyj</w:t>
      </w:r>
      <w:r w:rsidRPr="00201A9A">
        <w:rPr>
          <w:noProof/>
        </w:rPr>
        <w:t>ątkiem form udziału kapitału prywatnego, które nie wpływają na decyzje</w:t>
      </w:r>
      <w:r w:rsidR="00201A9A" w:rsidRPr="00201A9A">
        <w:rPr>
          <w:noProof/>
        </w:rPr>
        <w:t xml:space="preserve"> w zak</w:t>
      </w:r>
      <w:r w:rsidRPr="00201A9A">
        <w:rPr>
          <w:noProof/>
        </w:rPr>
        <w:t>resie bieżącego zarządzania instrumentem finansowym wspieranym</w:t>
      </w:r>
      <w:r w:rsidR="00201A9A" w:rsidRPr="00201A9A">
        <w:rPr>
          <w:noProof/>
        </w:rPr>
        <w:t xml:space="preserve"> z Fun</w:t>
      </w:r>
      <w:r w:rsidRPr="00201A9A">
        <w:rPr>
          <w:noProof/>
        </w:rPr>
        <w:t>duszy;</w:t>
      </w:r>
    </w:p>
    <w:p w14:paraId="0FA95B93" w14:textId="0C65F71A" w:rsidR="00FB0190" w:rsidRPr="00201A9A" w:rsidRDefault="00065E67" w:rsidP="005A28DE">
      <w:pPr>
        <w:pStyle w:val="Point2n"/>
        <w:spacing w:line="240" w:lineRule="auto"/>
        <w:jc w:val="both"/>
        <w:rPr>
          <w:noProof/>
        </w:rPr>
      </w:pPr>
      <w:r w:rsidRPr="00201A9A">
        <w:rPr>
          <w:noProof/>
        </w:rPr>
        <w:t>funkcjonują</w:t>
      </w:r>
      <w:r w:rsidR="00201A9A" w:rsidRPr="00201A9A">
        <w:rPr>
          <w:noProof/>
        </w:rPr>
        <w:t xml:space="preserve"> w ram</w:t>
      </w:r>
      <w:r w:rsidRPr="00201A9A">
        <w:rPr>
          <w:noProof/>
        </w:rPr>
        <w:t>ach mandatu</w:t>
      </w:r>
      <w:r w:rsidR="00201A9A" w:rsidRPr="00201A9A">
        <w:rPr>
          <w:noProof/>
        </w:rPr>
        <w:t xml:space="preserve"> z zak</w:t>
      </w:r>
      <w:r w:rsidRPr="00201A9A">
        <w:rPr>
          <w:noProof/>
        </w:rPr>
        <w:t>resu polityki publicznej przyznanego przez odpowiednią instytucję państwa członkowskiego na poziomie krajowym lub regionalnym, który to mandat obejmuje prowadzenie – jako całość lub część działalności – działań na rzecz rozwoju gospodarczego przyczyniających się do realizacji celów Funduszy;</w:t>
      </w:r>
    </w:p>
    <w:p w14:paraId="6F2AC2C2" w14:textId="500A2B6C" w:rsidR="00FB0190" w:rsidRPr="00201A9A" w:rsidRDefault="00065E67" w:rsidP="005A28DE">
      <w:pPr>
        <w:pStyle w:val="Point2n"/>
        <w:spacing w:line="240" w:lineRule="auto"/>
        <w:jc w:val="both"/>
        <w:rPr>
          <w:noProof/>
        </w:rPr>
      </w:pPr>
      <w:r w:rsidRPr="00201A9A">
        <w:rPr>
          <w:noProof/>
        </w:rPr>
        <w:t>prowadzą – jako całość lub część działalności – działania na rzecz rozwoju gospodarczego przyczyniające się do realizacji celów Funduszy</w:t>
      </w:r>
      <w:r w:rsidR="00201A9A" w:rsidRPr="00201A9A">
        <w:rPr>
          <w:noProof/>
        </w:rPr>
        <w:t xml:space="preserve"> w reg</w:t>
      </w:r>
      <w:r w:rsidRPr="00201A9A">
        <w:rPr>
          <w:noProof/>
        </w:rPr>
        <w:t>ionach, obszarach polityki lub sektorach,</w:t>
      </w:r>
      <w:r w:rsidR="00201A9A" w:rsidRPr="00201A9A">
        <w:rPr>
          <w:noProof/>
        </w:rPr>
        <w:t xml:space="preserve"> w odn</w:t>
      </w:r>
      <w:r w:rsidRPr="00201A9A">
        <w:rPr>
          <w:noProof/>
        </w:rPr>
        <w:t>iesieniu do których dostęp do finansowania ze źródeł rynkowych nie jest ogólnie dostępny lub nie jest wystarczający;</w:t>
      </w:r>
    </w:p>
    <w:p w14:paraId="567E7AB2" w14:textId="1D7AB3B7" w:rsidR="00FB0190" w:rsidRPr="00201A9A" w:rsidRDefault="00065E67" w:rsidP="005A28DE">
      <w:pPr>
        <w:pStyle w:val="Point2n"/>
        <w:spacing w:line="240" w:lineRule="auto"/>
        <w:jc w:val="both"/>
        <w:rPr>
          <w:noProof/>
        </w:rPr>
      </w:pPr>
      <w:r w:rsidRPr="00201A9A">
        <w:rPr>
          <w:noProof/>
        </w:rPr>
        <w:t>prowadzą działania, których głównym celem nie jest maksymalizowanie zysków, ale zapewniają stabilność finansowania swojej działalności</w:t>
      </w:r>
      <w:r w:rsidR="00201A9A" w:rsidRPr="00201A9A">
        <w:rPr>
          <w:noProof/>
        </w:rPr>
        <w:t xml:space="preserve"> w dłu</w:t>
      </w:r>
      <w:r w:rsidRPr="00201A9A">
        <w:rPr>
          <w:noProof/>
        </w:rPr>
        <w:t>giej perspektywie;</w:t>
      </w:r>
    </w:p>
    <w:p w14:paraId="4D35DFFF" w14:textId="124863DE" w:rsidR="00FB0190" w:rsidRPr="00201A9A" w:rsidRDefault="00065E67" w:rsidP="005A28DE">
      <w:pPr>
        <w:pStyle w:val="Point2n"/>
        <w:spacing w:line="240" w:lineRule="auto"/>
        <w:jc w:val="both"/>
        <w:rPr>
          <w:noProof/>
        </w:rPr>
      </w:pPr>
      <w:r w:rsidRPr="00201A9A">
        <w:rPr>
          <w:noProof/>
        </w:rPr>
        <w:t>zapewniają, aby bezpośrednie udzielenie zamówienia,</w:t>
      </w:r>
      <w:r w:rsidR="00201A9A" w:rsidRPr="00201A9A">
        <w:rPr>
          <w:noProof/>
        </w:rPr>
        <w:t xml:space="preserve"> o któ</w:t>
      </w:r>
      <w:r w:rsidRPr="00201A9A">
        <w:rPr>
          <w:noProof/>
        </w:rPr>
        <w:t>rym mowa</w:t>
      </w:r>
      <w:r w:rsidR="00201A9A" w:rsidRPr="00201A9A">
        <w:rPr>
          <w:noProof/>
        </w:rPr>
        <w:t xml:space="preserve"> w ust</w:t>
      </w:r>
      <w:r w:rsidRPr="00201A9A">
        <w:rPr>
          <w:noProof/>
        </w:rPr>
        <w:t>.</w:t>
      </w:r>
      <w:r w:rsidR="00201A9A" w:rsidRPr="00201A9A">
        <w:rPr>
          <w:noProof/>
        </w:rPr>
        <w:t> </w:t>
      </w:r>
      <w:r w:rsidRPr="00201A9A">
        <w:rPr>
          <w:noProof/>
        </w:rPr>
        <w:t>4, nie przynosiło żadnych bezpośrednich lub pośrednich korzyści działalności komercyjnej za pomocą odpowiednich środków zgodnie</w:t>
      </w:r>
      <w:r w:rsidR="00201A9A" w:rsidRPr="00201A9A">
        <w:rPr>
          <w:noProof/>
        </w:rPr>
        <w:t xml:space="preserve"> z maj</w:t>
      </w:r>
      <w:r w:rsidRPr="00201A9A">
        <w:rPr>
          <w:noProof/>
        </w:rPr>
        <w:t>ącym zastosowanie prawem;</w:t>
      </w:r>
    </w:p>
    <w:p w14:paraId="26DF119B" w14:textId="2B1B1604" w:rsidR="00FB0190" w:rsidRPr="00201A9A" w:rsidRDefault="00065E67" w:rsidP="005A28DE">
      <w:pPr>
        <w:pStyle w:val="Point2n"/>
        <w:spacing w:line="240" w:lineRule="auto"/>
        <w:jc w:val="both"/>
        <w:rPr>
          <w:noProof/>
        </w:rPr>
      </w:pPr>
      <w:r w:rsidRPr="00201A9A">
        <w:rPr>
          <w:noProof/>
        </w:rPr>
        <w:t>podlegają nadzorowi niezależnej instytucji zgodnie</w:t>
      </w:r>
      <w:r w:rsidR="00201A9A" w:rsidRPr="00201A9A">
        <w:rPr>
          <w:noProof/>
        </w:rPr>
        <w:t xml:space="preserve"> z maj</w:t>
      </w:r>
      <w:r w:rsidRPr="00201A9A">
        <w:rPr>
          <w:noProof/>
        </w:rPr>
        <w:t>ącym zastosowanie prawem;</w:t>
      </w:r>
    </w:p>
    <w:p w14:paraId="56B32439" w14:textId="5F5753DB" w:rsidR="00FB0190" w:rsidRPr="00201A9A" w:rsidRDefault="00201A9A" w:rsidP="00201A9A">
      <w:pPr>
        <w:pStyle w:val="Point1"/>
        <w:rPr>
          <w:noProof/>
        </w:rPr>
      </w:pPr>
      <w:r w:rsidRPr="00201A9A">
        <w:rPr>
          <w:noProof/>
        </w:rPr>
        <w:t>d)</w:t>
      </w:r>
      <w:r w:rsidRPr="00201A9A">
        <w:rPr>
          <w:noProof/>
        </w:rPr>
        <w:tab/>
      </w:r>
      <w:r w:rsidR="00FB0190" w:rsidRPr="00201A9A">
        <w:rPr>
          <w:noProof/>
        </w:rPr>
        <w:t>aplikują inne organy spełniające warunki określone</w:t>
      </w:r>
      <w:r w:rsidRPr="00201A9A">
        <w:rPr>
          <w:noProof/>
        </w:rPr>
        <w:t xml:space="preserve"> w art</w:t>
      </w:r>
      <w:r w:rsidR="00FB0190" w:rsidRPr="00201A9A">
        <w:rPr>
          <w:noProof/>
        </w:rPr>
        <w:t>.</w:t>
      </w:r>
      <w:r w:rsidRPr="00201A9A">
        <w:rPr>
          <w:noProof/>
        </w:rPr>
        <w:t> </w:t>
      </w:r>
      <w:r w:rsidR="00FB0190" w:rsidRPr="00201A9A">
        <w:rPr>
          <w:noProof/>
        </w:rPr>
        <w:t>12 dyrektywy Parlamentu Europejskiego</w:t>
      </w:r>
      <w:r w:rsidRPr="00201A9A">
        <w:rPr>
          <w:noProof/>
        </w:rPr>
        <w:t xml:space="preserve"> i Rad</w:t>
      </w:r>
      <w:r w:rsidR="00FB0190" w:rsidRPr="00201A9A">
        <w:rPr>
          <w:noProof/>
        </w:rPr>
        <w:t>y 2014/24/UE</w:t>
      </w:r>
      <w:r w:rsidR="00FB0190" w:rsidRPr="00201A9A">
        <w:rPr>
          <w:rStyle w:val="FootnoteReference"/>
          <w:noProof/>
          <w:lang w:eastAsia="en-IE"/>
        </w:rPr>
        <w:footnoteReference w:id="28"/>
      </w:r>
      <w:r w:rsidR="00FB0190" w:rsidRPr="00201A9A">
        <w:rPr>
          <w:noProof/>
        </w:rPr>
        <w:t xml:space="preserve">. </w:t>
      </w:r>
    </w:p>
    <w:p w14:paraId="31819266" w14:textId="23875F62" w:rsidR="00FB0190" w:rsidRPr="00201A9A" w:rsidRDefault="00FB0190" w:rsidP="003E2902">
      <w:pPr>
        <w:pStyle w:val="NumPar10000000"/>
        <w:numPr>
          <w:ilvl w:val="0"/>
          <w:numId w:val="59"/>
        </w:numPr>
        <w:rPr>
          <w:noProof/>
        </w:rPr>
      </w:pPr>
      <w:r w:rsidRPr="00201A9A">
        <w:rPr>
          <w:noProof/>
        </w:rPr>
        <w:t>Instrumenty finansowe mogą być łączone ze wsparciem</w:t>
      </w:r>
      <w:r w:rsidR="00201A9A" w:rsidRPr="00201A9A">
        <w:rPr>
          <w:noProof/>
        </w:rPr>
        <w:t xml:space="preserve"> w for</w:t>
      </w:r>
      <w:r w:rsidRPr="00201A9A">
        <w:rPr>
          <w:noProof/>
        </w:rPr>
        <w:t>mie dotacji</w:t>
      </w:r>
      <w:r w:rsidR="00201A9A" w:rsidRPr="00201A9A">
        <w:rPr>
          <w:noProof/>
        </w:rPr>
        <w:t xml:space="preserve"> w ram</w:t>
      </w:r>
      <w:r w:rsidRPr="00201A9A">
        <w:rPr>
          <w:noProof/>
        </w:rPr>
        <w:t>ach pojedynczej operacji instrumentu finansowego,</w:t>
      </w:r>
      <w:r w:rsidR="00201A9A" w:rsidRPr="00201A9A">
        <w:rPr>
          <w:noProof/>
        </w:rPr>
        <w:t xml:space="preserve"> w ram</w:t>
      </w:r>
      <w:r w:rsidRPr="00201A9A">
        <w:rPr>
          <w:noProof/>
        </w:rPr>
        <w:t>ach jednej umowy</w:t>
      </w:r>
      <w:r w:rsidR="00201A9A" w:rsidRPr="00201A9A">
        <w:rPr>
          <w:noProof/>
        </w:rPr>
        <w:t xml:space="preserve"> o fin</w:t>
      </w:r>
      <w:r w:rsidRPr="00201A9A">
        <w:rPr>
          <w:noProof/>
        </w:rPr>
        <w:t>ansowaniu,</w:t>
      </w:r>
      <w:r w:rsidR="00201A9A" w:rsidRPr="00201A9A">
        <w:rPr>
          <w:noProof/>
        </w:rPr>
        <w:t xml:space="preserve"> w prz</w:t>
      </w:r>
      <w:r w:rsidRPr="00201A9A">
        <w:rPr>
          <w:noProof/>
        </w:rPr>
        <w:t>ypadku gdy obie różne od siebie formy wsparcia są oferowane przez podmiot wdrażający instrument finansowy</w:t>
      </w:r>
      <w:r w:rsidR="00201A9A" w:rsidRPr="00201A9A">
        <w:rPr>
          <w:noProof/>
        </w:rPr>
        <w:t>. W tak</w:t>
      </w:r>
      <w:r w:rsidRPr="00201A9A">
        <w:rPr>
          <w:noProof/>
        </w:rPr>
        <w:t>im przypadku przepisy mające zastosowanie do instrumentów finansowych mają zastosowanie do tej pojedynczej operacji instrumentu finansowego. Wsparcie</w:t>
      </w:r>
      <w:r w:rsidR="00201A9A" w:rsidRPr="00201A9A">
        <w:rPr>
          <w:noProof/>
        </w:rPr>
        <w:t xml:space="preserve"> w for</w:t>
      </w:r>
      <w:r w:rsidRPr="00201A9A">
        <w:rPr>
          <w:noProof/>
        </w:rPr>
        <w:t>mie dotacji musi być bezpośrednio związane ze wsparciem</w:t>
      </w:r>
      <w:r w:rsidR="00201A9A" w:rsidRPr="00201A9A">
        <w:rPr>
          <w:noProof/>
        </w:rPr>
        <w:t xml:space="preserve"> z ins</w:t>
      </w:r>
      <w:r w:rsidRPr="00201A9A">
        <w:rPr>
          <w:noProof/>
        </w:rPr>
        <w:t>trumentu finansowego</w:t>
      </w:r>
      <w:r w:rsidR="00201A9A" w:rsidRPr="00201A9A">
        <w:rPr>
          <w:noProof/>
        </w:rPr>
        <w:t xml:space="preserve"> i nie</w:t>
      </w:r>
      <w:r w:rsidRPr="00201A9A">
        <w:rPr>
          <w:noProof/>
        </w:rPr>
        <w:t>zbędne dla danego instrumentu finansowego</w:t>
      </w:r>
      <w:r w:rsidR="00201A9A" w:rsidRPr="00201A9A">
        <w:rPr>
          <w:noProof/>
        </w:rPr>
        <w:t xml:space="preserve"> i nie</w:t>
      </w:r>
      <w:r w:rsidRPr="00201A9A">
        <w:rPr>
          <w:noProof/>
        </w:rPr>
        <w:t xml:space="preserve"> może przekraczać wartości inwestycji wspieranych przez produkt finansowy. Dla każdego rodzaju wsparcia prowadzona jest oddzielna ewidencja.</w:t>
      </w:r>
    </w:p>
    <w:p w14:paraId="52DA17EA" w14:textId="50CA5F24" w:rsidR="00FB0190" w:rsidRPr="00201A9A" w:rsidRDefault="00FB0190" w:rsidP="003E2902">
      <w:pPr>
        <w:pStyle w:val="NumPar10000000"/>
        <w:numPr>
          <w:ilvl w:val="0"/>
          <w:numId w:val="59"/>
        </w:numPr>
        <w:rPr>
          <w:noProof/>
        </w:rPr>
      </w:pPr>
      <w:r w:rsidRPr="00201A9A">
        <w:rPr>
          <w:noProof/>
        </w:rPr>
        <w:t>Ostateczne kamienie milowe</w:t>
      </w:r>
      <w:r w:rsidR="00201A9A" w:rsidRPr="00201A9A">
        <w:rPr>
          <w:noProof/>
        </w:rPr>
        <w:t xml:space="preserve"> i war</w:t>
      </w:r>
      <w:r w:rsidRPr="00201A9A">
        <w:rPr>
          <w:noProof/>
        </w:rPr>
        <w:t>tości docelowe</w:t>
      </w:r>
      <w:r w:rsidR="00201A9A" w:rsidRPr="00201A9A">
        <w:rPr>
          <w:noProof/>
        </w:rPr>
        <w:t xml:space="preserve"> w ram</w:t>
      </w:r>
      <w:r w:rsidRPr="00201A9A">
        <w:rPr>
          <w:noProof/>
        </w:rPr>
        <w:t>ach środków wdrażanych jako instrumenty finansowe są powiązane</w:t>
      </w:r>
      <w:r w:rsidR="00201A9A" w:rsidRPr="00201A9A">
        <w:rPr>
          <w:noProof/>
        </w:rPr>
        <w:t xml:space="preserve"> z wym</w:t>
      </w:r>
      <w:r w:rsidRPr="00201A9A">
        <w:rPr>
          <w:noProof/>
        </w:rPr>
        <w:t xml:space="preserve">ogiem udzielenia wsparcia odbiorcom końcowym. </w:t>
      </w:r>
    </w:p>
    <w:p w14:paraId="13D44314" w14:textId="38A628FD" w:rsidR="00FB0190" w:rsidRPr="00201A9A" w:rsidRDefault="00FB0190" w:rsidP="003E2902">
      <w:pPr>
        <w:pStyle w:val="NumPar10000000"/>
        <w:numPr>
          <w:ilvl w:val="0"/>
          <w:numId w:val="59"/>
        </w:numPr>
        <w:rPr>
          <w:noProof/>
        </w:rPr>
      </w:pPr>
      <w:r w:rsidRPr="00201A9A">
        <w:rPr>
          <w:noProof/>
        </w:rPr>
        <w:t>W przypadku działań objętych zakresem stosowania art.</w:t>
      </w:r>
      <w:r w:rsidR="00201A9A" w:rsidRPr="00201A9A">
        <w:rPr>
          <w:noProof/>
        </w:rPr>
        <w:t> </w:t>
      </w:r>
      <w:r w:rsidRPr="00201A9A">
        <w:rPr>
          <w:noProof/>
        </w:rPr>
        <w:t>42 TFUE całkowita kwota wsparcia</w:t>
      </w:r>
      <w:r w:rsidR="00201A9A" w:rsidRPr="00201A9A">
        <w:rPr>
          <w:noProof/>
        </w:rPr>
        <w:t xml:space="preserve"> z tyt</w:t>
      </w:r>
      <w:r w:rsidRPr="00201A9A">
        <w:rPr>
          <w:noProof/>
        </w:rPr>
        <w:t>ułu kapitału obrotowego udzielonego odbiorcy końcowemu nie przekracza ekwiwalentu dotacji brutto wynoszącego 300 000 EUR</w:t>
      </w:r>
      <w:r w:rsidR="00201A9A" w:rsidRPr="00201A9A">
        <w:rPr>
          <w:noProof/>
        </w:rPr>
        <w:t xml:space="preserve"> w okr</w:t>
      </w:r>
      <w:r w:rsidRPr="00201A9A">
        <w:rPr>
          <w:noProof/>
        </w:rPr>
        <w:t>esie trzech lat obrotowych. Ten sam pułap ma zastosowanie do maksymalnej kwoty pomocy udzielanej za pośrednictwem instrumentów finansowych na dany projekt realizowany przez młodego rolnika,</w:t>
      </w:r>
      <w:r w:rsidR="00201A9A" w:rsidRPr="00201A9A">
        <w:rPr>
          <w:noProof/>
        </w:rPr>
        <w:t xml:space="preserve"> w tym</w:t>
      </w:r>
      <w:r w:rsidRPr="00201A9A">
        <w:rPr>
          <w:noProof/>
        </w:rPr>
        <w:t xml:space="preserve"> na rozpoczęcie działalności.</w:t>
      </w:r>
    </w:p>
    <w:p w14:paraId="511E0C4A" w14:textId="247D5E9A" w:rsidR="00FB0190" w:rsidRPr="00201A9A" w:rsidRDefault="00FB0190" w:rsidP="003E2902">
      <w:pPr>
        <w:pStyle w:val="NumPar10000000"/>
        <w:numPr>
          <w:ilvl w:val="0"/>
          <w:numId w:val="59"/>
        </w:numPr>
        <w:rPr>
          <w:noProof/>
        </w:rPr>
      </w:pPr>
      <w:r w:rsidRPr="00201A9A">
        <w:rPr>
          <w:noProof/>
        </w:rPr>
        <w:t>Dotacje nie mogą być wykorzystywane do refundacji wsparcia otrzymanego</w:t>
      </w:r>
      <w:r w:rsidR="00201A9A" w:rsidRPr="00201A9A">
        <w:rPr>
          <w:noProof/>
        </w:rPr>
        <w:t xml:space="preserve"> z ins</w:t>
      </w:r>
      <w:r w:rsidRPr="00201A9A">
        <w:rPr>
          <w:noProof/>
        </w:rPr>
        <w:t>trumentów finansowych. Instrumenty finansowe nie mogą być wykorzystywane</w:t>
      </w:r>
      <w:r w:rsidR="00201A9A" w:rsidRPr="00201A9A">
        <w:rPr>
          <w:noProof/>
        </w:rPr>
        <w:t xml:space="preserve"> w cha</w:t>
      </w:r>
      <w:r w:rsidRPr="00201A9A">
        <w:rPr>
          <w:noProof/>
        </w:rPr>
        <w:t xml:space="preserve">rakterze zaliczkowego finansowania dotacji. </w:t>
      </w:r>
    </w:p>
    <w:p w14:paraId="08CA4B4D" w14:textId="7460BEFC" w:rsidR="00FB0190" w:rsidRPr="00201A9A" w:rsidRDefault="00684ACB" w:rsidP="003E2902">
      <w:pPr>
        <w:pStyle w:val="NumPar10000000"/>
        <w:numPr>
          <w:ilvl w:val="0"/>
          <w:numId w:val="59"/>
        </w:numPr>
        <w:rPr>
          <w:rFonts w:eastAsia="Calibri"/>
          <w:noProof/>
        </w:rPr>
      </w:pPr>
      <w:r w:rsidRPr="00201A9A">
        <w:rPr>
          <w:noProof/>
        </w:rPr>
        <w:t>Wsparcie</w:t>
      </w:r>
      <w:r w:rsidR="00201A9A" w:rsidRPr="00201A9A">
        <w:rPr>
          <w:noProof/>
        </w:rPr>
        <w:t xml:space="preserve"> z Fun</w:t>
      </w:r>
      <w:r w:rsidRPr="00201A9A">
        <w:rPr>
          <w:noProof/>
        </w:rPr>
        <w:t>duszy wypłacone na rzecz instrumentów finansowych zostaje umieszczone na rachunkach</w:t>
      </w:r>
      <w:r w:rsidR="00201A9A" w:rsidRPr="00201A9A">
        <w:rPr>
          <w:noProof/>
        </w:rPr>
        <w:t xml:space="preserve"> w ins</w:t>
      </w:r>
      <w:r w:rsidRPr="00201A9A">
        <w:rPr>
          <w:noProof/>
        </w:rPr>
        <w:t>tytucjach finansowych</w:t>
      </w:r>
      <w:r w:rsidR="00201A9A" w:rsidRPr="00201A9A">
        <w:rPr>
          <w:noProof/>
        </w:rPr>
        <w:t xml:space="preserve"> z sie</w:t>
      </w:r>
      <w:r w:rsidRPr="00201A9A">
        <w:rPr>
          <w:noProof/>
        </w:rPr>
        <w:t>dzibą</w:t>
      </w:r>
      <w:r w:rsidR="00201A9A" w:rsidRPr="00201A9A">
        <w:rPr>
          <w:noProof/>
        </w:rPr>
        <w:t xml:space="preserve"> w pań</w:t>
      </w:r>
      <w:r w:rsidRPr="00201A9A">
        <w:rPr>
          <w:noProof/>
        </w:rPr>
        <w:t>stwach członkowskich</w:t>
      </w:r>
      <w:r w:rsidR="00201A9A" w:rsidRPr="00201A9A">
        <w:rPr>
          <w:noProof/>
        </w:rPr>
        <w:t xml:space="preserve"> i jes</w:t>
      </w:r>
      <w:r w:rsidRPr="00201A9A">
        <w:rPr>
          <w:noProof/>
        </w:rPr>
        <w:t>t zarządzane</w:t>
      </w:r>
      <w:r w:rsidR="00201A9A" w:rsidRPr="00201A9A">
        <w:rPr>
          <w:noProof/>
        </w:rPr>
        <w:t xml:space="preserve"> z uwz</w:t>
      </w:r>
      <w:r w:rsidRPr="00201A9A">
        <w:rPr>
          <w:noProof/>
        </w:rPr>
        <w:t>ględnieniem aktywnego zarządzania zasobami finansowymi</w:t>
      </w:r>
      <w:r w:rsidR="00201A9A" w:rsidRPr="00201A9A">
        <w:rPr>
          <w:noProof/>
        </w:rPr>
        <w:t xml:space="preserve"> i z zas</w:t>
      </w:r>
      <w:r w:rsidRPr="00201A9A">
        <w:rPr>
          <w:noProof/>
        </w:rPr>
        <w:t>adami należytego zarządzania finansami. Odsetki</w:t>
      </w:r>
      <w:r w:rsidR="00201A9A" w:rsidRPr="00201A9A">
        <w:rPr>
          <w:noProof/>
        </w:rPr>
        <w:t xml:space="preserve"> i inn</w:t>
      </w:r>
      <w:r w:rsidRPr="00201A9A">
        <w:rPr>
          <w:noProof/>
        </w:rPr>
        <w:t>e zyski związane ze wsparciem</w:t>
      </w:r>
      <w:r w:rsidR="00201A9A" w:rsidRPr="00201A9A">
        <w:rPr>
          <w:noProof/>
        </w:rPr>
        <w:t xml:space="preserve"> z Fun</w:t>
      </w:r>
      <w:r w:rsidRPr="00201A9A">
        <w:rPr>
          <w:noProof/>
        </w:rPr>
        <w:t>duszu wypłaconym na rzecz instrumentów finansowych wykorzystuje się na ten sam cel, co pierwotne wsparcie</w:t>
      </w:r>
      <w:r w:rsidR="00201A9A" w:rsidRPr="00201A9A">
        <w:rPr>
          <w:noProof/>
        </w:rPr>
        <w:t xml:space="preserve"> z Fun</w:t>
      </w:r>
      <w:r w:rsidRPr="00201A9A">
        <w:rPr>
          <w:noProof/>
        </w:rPr>
        <w:t>duszy,</w:t>
      </w:r>
      <w:r w:rsidR="00201A9A" w:rsidRPr="00201A9A">
        <w:rPr>
          <w:noProof/>
        </w:rPr>
        <w:t xml:space="preserve"> w tym</w:t>
      </w:r>
      <w:r w:rsidRPr="00201A9A">
        <w:rPr>
          <w:noProof/>
        </w:rPr>
        <w:t xml:space="preserve"> na opłaty za zarządzanie ponoszone przez podmioty wdrażające instrument finansowy</w:t>
      </w:r>
      <w:r w:rsidR="00201A9A" w:rsidRPr="00201A9A">
        <w:rPr>
          <w:noProof/>
        </w:rPr>
        <w:t xml:space="preserve"> w ram</w:t>
      </w:r>
      <w:r w:rsidRPr="00201A9A">
        <w:rPr>
          <w:noProof/>
        </w:rPr>
        <w:t>ach tego samego instrumentu finansowego; lub – po likwidacji instrumentu finansowego –</w:t>
      </w:r>
      <w:r w:rsidR="00201A9A" w:rsidRPr="00201A9A">
        <w:rPr>
          <w:noProof/>
        </w:rPr>
        <w:t xml:space="preserve"> w ram</w:t>
      </w:r>
      <w:r w:rsidRPr="00201A9A">
        <w:rPr>
          <w:noProof/>
        </w:rPr>
        <w:t>ach innych instrumentów finansowych lub innych form wsparcia na dalsze inwestycje na rzecz odbiorców końcowych, do końca okresu kwalifikowalności. Wszelkie odsetki</w:t>
      </w:r>
      <w:r w:rsidR="00201A9A" w:rsidRPr="00201A9A">
        <w:rPr>
          <w:noProof/>
        </w:rPr>
        <w:t xml:space="preserve"> i inn</w:t>
      </w:r>
      <w:r w:rsidRPr="00201A9A">
        <w:rPr>
          <w:noProof/>
        </w:rPr>
        <w:t>e zyski, które nie zostały wykorzystane zgodnie</w:t>
      </w:r>
      <w:r w:rsidR="00201A9A" w:rsidRPr="00201A9A">
        <w:rPr>
          <w:noProof/>
        </w:rPr>
        <w:t xml:space="preserve"> z pop</w:t>
      </w:r>
      <w:r w:rsidRPr="00201A9A">
        <w:rPr>
          <w:noProof/>
        </w:rPr>
        <w:t xml:space="preserve">rzednim zdaniem, są odliczane od całkowitego wsparcia. </w:t>
      </w:r>
    </w:p>
    <w:p w14:paraId="53B78956" w14:textId="7A6C7E54" w:rsidR="00FB0190" w:rsidRPr="00201A9A" w:rsidRDefault="000E38D1" w:rsidP="003E2902">
      <w:pPr>
        <w:pStyle w:val="NumPar10000000"/>
        <w:numPr>
          <w:ilvl w:val="0"/>
          <w:numId w:val="59"/>
        </w:numPr>
        <w:rPr>
          <w:rFonts w:eastAsia="Calibri"/>
          <w:noProof/>
        </w:rPr>
      </w:pPr>
      <w:r w:rsidRPr="00201A9A">
        <w:rPr>
          <w:noProof/>
        </w:rPr>
        <w:t>Szacunkowe koszty instrumentu finansowego ustala się na podstawie docelowej wielkości proponowanych produktów finansowych</w:t>
      </w:r>
      <w:r w:rsidR="00201A9A" w:rsidRPr="00201A9A">
        <w:rPr>
          <w:noProof/>
        </w:rPr>
        <w:t xml:space="preserve"> i odp</w:t>
      </w:r>
      <w:r w:rsidRPr="00201A9A">
        <w:rPr>
          <w:noProof/>
        </w:rPr>
        <w:t xml:space="preserve">owiadających im opłat za zarządzanie. Jako część szacunkowych kosztów instrumentów finansowych można również uwzględnić następujące kategorie: </w:t>
      </w:r>
    </w:p>
    <w:p w14:paraId="431C8335" w14:textId="564B023F" w:rsidR="00FB0190" w:rsidRPr="00201A9A" w:rsidRDefault="00201A9A" w:rsidP="00201A9A">
      <w:pPr>
        <w:pStyle w:val="Point1"/>
        <w:rPr>
          <w:rFonts w:eastAsia="Calibri"/>
          <w:noProof/>
        </w:rPr>
      </w:pPr>
      <w:r w:rsidRPr="00201A9A">
        <w:rPr>
          <w:noProof/>
        </w:rPr>
        <w:t>a)</w:t>
      </w:r>
      <w:r w:rsidRPr="00201A9A">
        <w:rPr>
          <w:noProof/>
        </w:rPr>
        <w:tab/>
      </w:r>
      <w:r w:rsidR="00FB0190" w:rsidRPr="00201A9A">
        <w:rPr>
          <w:noProof/>
        </w:rPr>
        <w:t>płatności na rzecz odbiorców końcowych,</w:t>
      </w:r>
      <w:r w:rsidRPr="00201A9A">
        <w:rPr>
          <w:noProof/>
        </w:rPr>
        <w:t xml:space="preserve"> w prz</w:t>
      </w:r>
      <w:r w:rsidR="00FB0190" w:rsidRPr="00201A9A">
        <w:rPr>
          <w:noProof/>
        </w:rPr>
        <w:t>ypadku pożyczek, inwestycji kapitałowych</w:t>
      </w:r>
      <w:r w:rsidRPr="00201A9A">
        <w:rPr>
          <w:noProof/>
        </w:rPr>
        <w:t xml:space="preserve"> i qua</w:t>
      </w:r>
      <w:r w:rsidR="00FB0190" w:rsidRPr="00201A9A">
        <w:rPr>
          <w:noProof/>
        </w:rPr>
        <w:t xml:space="preserve">si-kapitałowych; </w:t>
      </w:r>
    </w:p>
    <w:p w14:paraId="37E24F5D" w14:textId="312C434D" w:rsidR="00FB0190" w:rsidRPr="00201A9A" w:rsidRDefault="00201A9A" w:rsidP="00201A9A">
      <w:pPr>
        <w:pStyle w:val="Point1"/>
        <w:rPr>
          <w:rFonts w:eastAsia="Calibri"/>
          <w:noProof/>
        </w:rPr>
      </w:pPr>
      <w:r w:rsidRPr="00201A9A">
        <w:rPr>
          <w:noProof/>
        </w:rPr>
        <w:t>b)</w:t>
      </w:r>
      <w:r w:rsidRPr="00201A9A">
        <w:rPr>
          <w:noProof/>
        </w:rPr>
        <w:tab/>
      </w:r>
      <w:r w:rsidR="00FB0190" w:rsidRPr="00201A9A">
        <w:rPr>
          <w:noProof/>
        </w:rPr>
        <w:t>zasoby zaangażowane</w:t>
      </w:r>
      <w:r w:rsidRPr="00201A9A">
        <w:rPr>
          <w:noProof/>
        </w:rPr>
        <w:t xml:space="preserve"> w ram</w:t>
      </w:r>
      <w:r w:rsidR="00FB0190" w:rsidRPr="00201A9A">
        <w:rPr>
          <w:noProof/>
        </w:rPr>
        <w:t>ach umów gwarancyjnych, zaległych lub takich, których termin zapadalności już upłynął,</w:t>
      </w:r>
      <w:r w:rsidRPr="00201A9A">
        <w:rPr>
          <w:noProof/>
        </w:rPr>
        <w:t xml:space="preserve"> w cel</w:t>
      </w:r>
      <w:r w:rsidR="00FB0190" w:rsidRPr="00201A9A">
        <w:rPr>
          <w:noProof/>
        </w:rPr>
        <w:t>u pokrycia ewentualnych strat, wynikających</w:t>
      </w:r>
      <w:r w:rsidRPr="00201A9A">
        <w:rPr>
          <w:noProof/>
        </w:rPr>
        <w:t xml:space="preserve"> z żąd</w:t>
      </w:r>
      <w:r w:rsidR="00FB0190" w:rsidRPr="00201A9A">
        <w:rPr>
          <w:noProof/>
        </w:rPr>
        <w:t>ania wypłaty środków</w:t>
      </w:r>
      <w:r w:rsidRPr="00201A9A">
        <w:rPr>
          <w:noProof/>
        </w:rPr>
        <w:t xml:space="preserve"> z gwa</w:t>
      </w:r>
      <w:r w:rsidR="00FB0190" w:rsidRPr="00201A9A">
        <w:rPr>
          <w:noProof/>
        </w:rPr>
        <w:t xml:space="preserve">rancji, obliczonych na podstawie współczynnika mnożnikowego ustanowionego na potrzeby odpowiednich potwierdzonych gwarancją nowych wypłaconych pożyczek lub inwestycji kapitałowych na rzecz odbiorców końcowych; </w:t>
      </w:r>
    </w:p>
    <w:p w14:paraId="000B64BA" w14:textId="0DD02138" w:rsidR="00FB0190" w:rsidRPr="00201A9A" w:rsidRDefault="00201A9A" w:rsidP="00201A9A">
      <w:pPr>
        <w:pStyle w:val="Point1"/>
        <w:rPr>
          <w:rFonts w:eastAsia="Calibri"/>
          <w:noProof/>
        </w:rPr>
      </w:pPr>
      <w:r w:rsidRPr="00201A9A">
        <w:rPr>
          <w:noProof/>
        </w:rPr>
        <w:t>c)</w:t>
      </w:r>
      <w:r w:rsidRPr="00201A9A">
        <w:rPr>
          <w:noProof/>
        </w:rPr>
        <w:tab/>
      </w:r>
      <w:r w:rsidR="00FB0190" w:rsidRPr="00201A9A">
        <w:rPr>
          <w:noProof/>
        </w:rPr>
        <w:t>płatności dla lub na rzecz odbiorców końcowych,</w:t>
      </w:r>
      <w:r w:rsidRPr="00201A9A">
        <w:rPr>
          <w:noProof/>
        </w:rPr>
        <w:t xml:space="preserve"> w prz</w:t>
      </w:r>
      <w:r w:rsidR="00FB0190" w:rsidRPr="00201A9A">
        <w:rPr>
          <w:noProof/>
        </w:rPr>
        <w:t>ypadku gdy instrumenty finansowe łączone są</w:t>
      </w:r>
      <w:r w:rsidRPr="00201A9A">
        <w:rPr>
          <w:noProof/>
        </w:rPr>
        <w:t xml:space="preserve"> w ram</w:t>
      </w:r>
      <w:r w:rsidR="00FB0190" w:rsidRPr="00201A9A">
        <w:rPr>
          <w:noProof/>
        </w:rPr>
        <w:t>ach pojedynczej operacji instrumentu finansowego zgodnie</w:t>
      </w:r>
      <w:r w:rsidRPr="00201A9A">
        <w:rPr>
          <w:noProof/>
        </w:rPr>
        <w:t xml:space="preserve"> z ust</w:t>
      </w:r>
      <w:r w:rsidR="00FB0190" w:rsidRPr="00201A9A">
        <w:rPr>
          <w:noProof/>
        </w:rPr>
        <w:t>.</w:t>
      </w:r>
      <w:r w:rsidRPr="00201A9A">
        <w:rPr>
          <w:noProof/>
        </w:rPr>
        <w:t> </w:t>
      </w:r>
      <w:r w:rsidR="00FB0190" w:rsidRPr="00201A9A">
        <w:rPr>
          <w:noProof/>
        </w:rPr>
        <w:t xml:space="preserve">5 niniejszego artykułu; </w:t>
      </w:r>
    </w:p>
    <w:p w14:paraId="5023E10D" w14:textId="209BCA81" w:rsidR="00FB0190" w:rsidRPr="00201A9A" w:rsidRDefault="00201A9A" w:rsidP="00201A9A">
      <w:pPr>
        <w:pStyle w:val="Point1"/>
        <w:rPr>
          <w:rFonts w:eastAsia="Calibri"/>
          <w:noProof/>
        </w:rPr>
      </w:pPr>
      <w:r w:rsidRPr="00201A9A">
        <w:rPr>
          <w:noProof/>
        </w:rPr>
        <w:t>d)</w:t>
      </w:r>
      <w:r w:rsidRPr="00201A9A">
        <w:rPr>
          <w:noProof/>
        </w:rPr>
        <w:tab/>
      </w:r>
      <w:r w:rsidR="00FB0190" w:rsidRPr="00201A9A">
        <w:rPr>
          <w:noProof/>
        </w:rPr>
        <w:t xml:space="preserve">opłaty za zarządzanie ponoszone przez podmioty wdrażające instrument finansowy. </w:t>
      </w:r>
    </w:p>
    <w:p w14:paraId="0B7D9362" w14:textId="17E53070" w:rsidR="00FB0190" w:rsidRPr="00201A9A" w:rsidRDefault="00201A9A" w:rsidP="00201A9A">
      <w:pPr>
        <w:pStyle w:val="Point1"/>
        <w:rPr>
          <w:rFonts w:eastAsia="Calibri"/>
          <w:noProof/>
        </w:rPr>
      </w:pPr>
      <w:r w:rsidRPr="00201A9A">
        <w:rPr>
          <w:noProof/>
        </w:rPr>
        <w:t>e)</w:t>
      </w:r>
      <w:r w:rsidRPr="00201A9A">
        <w:rPr>
          <w:noProof/>
        </w:rPr>
        <w:tab/>
      </w:r>
      <w:r w:rsidR="00663A31" w:rsidRPr="00201A9A">
        <w:rPr>
          <w:noProof/>
        </w:rPr>
        <w:t>W szacunkowych kosztach nie uwzględnia się opłat manipulacyjnych lub dowolnej ich części pobieranych od odbiorców końcowych.</w:t>
      </w:r>
    </w:p>
    <w:p w14:paraId="6B8BC7AD" w14:textId="2E0002BC" w:rsidR="00FB0190" w:rsidRPr="00201A9A" w:rsidRDefault="00FB0190" w:rsidP="003E2902">
      <w:pPr>
        <w:pStyle w:val="NumPar10000000"/>
        <w:numPr>
          <w:ilvl w:val="0"/>
          <w:numId w:val="59"/>
        </w:numPr>
        <w:rPr>
          <w:noProof/>
        </w:rPr>
      </w:pPr>
      <w:r w:rsidRPr="00201A9A">
        <w:rPr>
          <w:noProof/>
        </w:rPr>
        <w:t>Zasoby zwrócone przed końcem okresu kwalifikowalności do instrumentów finansowych pochodzące</w:t>
      </w:r>
      <w:r w:rsidR="00201A9A" w:rsidRPr="00201A9A">
        <w:rPr>
          <w:noProof/>
        </w:rPr>
        <w:t xml:space="preserve"> z inw</w:t>
      </w:r>
      <w:r w:rsidRPr="00201A9A">
        <w:rPr>
          <w:noProof/>
        </w:rPr>
        <w:t>estycji na rzecz odbiorców końcowych lub</w:t>
      </w:r>
      <w:r w:rsidR="00201A9A" w:rsidRPr="00201A9A">
        <w:rPr>
          <w:noProof/>
        </w:rPr>
        <w:t xml:space="preserve"> z uwo</w:t>
      </w:r>
      <w:r w:rsidRPr="00201A9A">
        <w:rPr>
          <w:noProof/>
        </w:rPr>
        <w:t>lnienia zasobów przeznaczonych na umowy gwarancyjne,</w:t>
      </w:r>
      <w:r w:rsidR="00201A9A" w:rsidRPr="00201A9A">
        <w:rPr>
          <w:noProof/>
        </w:rPr>
        <w:t xml:space="preserve"> w tym</w:t>
      </w:r>
      <w:r w:rsidRPr="00201A9A">
        <w:rPr>
          <w:noProof/>
        </w:rPr>
        <w:t xml:space="preserve"> spłaty kapitału</w:t>
      </w:r>
      <w:r w:rsidR="00201A9A" w:rsidRPr="00201A9A">
        <w:rPr>
          <w:noProof/>
        </w:rPr>
        <w:t xml:space="preserve"> i wsz</w:t>
      </w:r>
      <w:r w:rsidRPr="00201A9A">
        <w:rPr>
          <w:noProof/>
        </w:rPr>
        <w:t>elkiego rodzaju wygenerowane dochody związane ze wsparciem</w:t>
      </w:r>
      <w:r w:rsidR="00201A9A" w:rsidRPr="00201A9A">
        <w:rPr>
          <w:noProof/>
        </w:rPr>
        <w:t xml:space="preserve"> z Fun</w:t>
      </w:r>
      <w:r w:rsidRPr="00201A9A">
        <w:rPr>
          <w:noProof/>
        </w:rPr>
        <w:t>duszu, są ponownie wykorzystywane</w:t>
      </w:r>
      <w:r w:rsidR="00201A9A" w:rsidRPr="00201A9A">
        <w:rPr>
          <w:noProof/>
        </w:rPr>
        <w:t xml:space="preserve"> w ram</w:t>
      </w:r>
      <w:r w:rsidRPr="00201A9A">
        <w:rPr>
          <w:noProof/>
        </w:rPr>
        <w:t>ach tych samych lub innych instrumentów finansowych na dalsze inwestycje na rzecz odbiorców końcowych,</w:t>
      </w:r>
      <w:r w:rsidR="00201A9A" w:rsidRPr="00201A9A">
        <w:rPr>
          <w:noProof/>
        </w:rPr>
        <w:t xml:space="preserve"> w cel</w:t>
      </w:r>
      <w:r w:rsidRPr="00201A9A">
        <w:rPr>
          <w:noProof/>
        </w:rPr>
        <w:t>u pokrycia strat</w:t>
      </w:r>
      <w:r w:rsidR="00201A9A" w:rsidRPr="00201A9A">
        <w:rPr>
          <w:noProof/>
        </w:rPr>
        <w:t xml:space="preserve"> w kwo</w:t>
      </w:r>
      <w:r w:rsidRPr="00201A9A">
        <w:rPr>
          <w:noProof/>
        </w:rPr>
        <w:t>cie nominalnej wkładu</w:t>
      </w:r>
      <w:r w:rsidR="00201A9A" w:rsidRPr="00201A9A">
        <w:rPr>
          <w:noProof/>
        </w:rPr>
        <w:t xml:space="preserve"> z Fun</w:t>
      </w:r>
      <w:r w:rsidRPr="00201A9A">
        <w:rPr>
          <w:noProof/>
        </w:rPr>
        <w:t>duszu</w:t>
      </w:r>
      <w:r w:rsidR="00201A9A" w:rsidRPr="00201A9A">
        <w:rPr>
          <w:noProof/>
        </w:rPr>
        <w:t xml:space="preserve"> w ins</w:t>
      </w:r>
      <w:r w:rsidRPr="00201A9A">
        <w:rPr>
          <w:noProof/>
        </w:rPr>
        <w:t>trument finansowy wynikających</w:t>
      </w:r>
      <w:r w:rsidR="00201A9A" w:rsidRPr="00201A9A">
        <w:rPr>
          <w:noProof/>
        </w:rPr>
        <w:t xml:space="preserve"> z uje</w:t>
      </w:r>
      <w:r w:rsidRPr="00201A9A">
        <w:rPr>
          <w:noProof/>
        </w:rPr>
        <w:t>mnych odsetek, jeżeli takie straty występują pomimo aktywnego zarządzania zasobami finansowymi, lub wszelkich opłat za zarządzanie związanych</w:t>
      </w:r>
      <w:r w:rsidR="00201A9A" w:rsidRPr="00201A9A">
        <w:rPr>
          <w:noProof/>
        </w:rPr>
        <w:t xml:space="preserve"> z tak</w:t>
      </w:r>
      <w:r w:rsidRPr="00201A9A">
        <w:rPr>
          <w:noProof/>
        </w:rPr>
        <w:t>imi dalszymi inwestycjami,</w:t>
      </w:r>
      <w:r w:rsidR="00201A9A" w:rsidRPr="00201A9A">
        <w:rPr>
          <w:noProof/>
        </w:rPr>
        <w:t xml:space="preserve"> z uwz</w:t>
      </w:r>
      <w:r w:rsidRPr="00201A9A">
        <w:rPr>
          <w:noProof/>
        </w:rPr>
        <w:t>ględnieniem zasady należytego zarządzania finansami.</w:t>
      </w:r>
    </w:p>
    <w:p w14:paraId="6C783713" w14:textId="68CF48F3" w:rsidR="00FB0190" w:rsidRPr="00201A9A" w:rsidRDefault="00FB0190" w:rsidP="006956CA">
      <w:pPr>
        <w:pStyle w:val="Text1"/>
        <w:rPr>
          <w:noProof/>
        </w:rPr>
      </w:pPr>
      <w:r w:rsidRPr="00201A9A">
        <w:rPr>
          <w:noProof/>
        </w:rPr>
        <w:t>Państwa członkowskie przyjmują niezbędne środki</w:t>
      </w:r>
      <w:r w:rsidR="00201A9A" w:rsidRPr="00201A9A">
        <w:rPr>
          <w:noProof/>
        </w:rPr>
        <w:t xml:space="preserve"> w cel</w:t>
      </w:r>
      <w:r w:rsidRPr="00201A9A">
        <w:rPr>
          <w:noProof/>
        </w:rPr>
        <w:t>u zapewnienia, aby</w:t>
      </w:r>
      <w:r w:rsidR="00201A9A" w:rsidRPr="00201A9A">
        <w:rPr>
          <w:noProof/>
        </w:rPr>
        <w:t xml:space="preserve"> w okr</w:t>
      </w:r>
      <w:r w:rsidRPr="00201A9A">
        <w:rPr>
          <w:noProof/>
        </w:rPr>
        <w:t>esie ośmiu lat od zakończenia okresu kwalifikowalności zwrócone zasoby zostały ponownie wykorzystane zgodnie</w:t>
      </w:r>
      <w:r w:rsidR="00201A9A" w:rsidRPr="00201A9A">
        <w:rPr>
          <w:noProof/>
        </w:rPr>
        <w:t xml:space="preserve"> z cel</w:t>
      </w:r>
      <w:r w:rsidRPr="00201A9A">
        <w:rPr>
          <w:noProof/>
        </w:rPr>
        <w:t>ami planu,</w:t>
      </w:r>
      <w:r w:rsidR="00201A9A" w:rsidRPr="00201A9A">
        <w:rPr>
          <w:noProof/>
        </w:rPr>
        <w:t xml:space="preserve"> w ram</w:t>
      </w:r>
      <w:r w:rsidRPr="00201A9A">
        <w:rPr>
          <w:noProof/>
        </w:rPr>
        <w:t>ach tych samych lub innych instrumentów finansowych lub</w:t>
      </w:r>
      <w:r w:rsidR="00201A9A" w:rsidRPr="00201A9A">
        <w:rPr>
          <w:noProof/>
        </w:rPr>
        <w:t xml:space="preserve"> w ram</w:t>
      </w:r>
      <w:r w:rsidRPr="00201A9A">
        <w:rPr>
          <w:noProof/>
        </w:rPr>
        <w:t>ach innych form wsparcia.</w:t>
      </w:r>
    </w:p>
    <w:p w14:paraId="5AE5BE39" w14:textId="12AB0567" w:rsidR="00FB0190" w:rsidRPr="00201A9A" w:rsidRDefault="00936FC4" w:rsidP="00FB0190">
      <w:pPr>
        <w:pStyle w:val="Titrearticle"/>
        <w:rPr>
          <w:noProof/>
        </w:rPr>
      </w:pPr>
      <w:r w:rsidRPr="00201A9A">
        <w:rPr>
          <w:noProof/>
        </w:rPr>
        <w:t xml:space="preserve">Artykuł 72 </w:t>
      </w:r>
      <w:r w:rsidRPr="00201A9A">
        <w:rPr>
          <w:noProof/>
        </w:rPr>
        <w:br/>
      </w:r>
      <w:r w:rsidRPr="00201A9A">
        <w:rPr>
          <w:b/>
          <w:noProof/>
        </w:rPr>
        <w:t>Kontrola zarządcza</w:t>
      </w:r>
      <w:r w:rsidR="00201A9A" w:rsidRPr="00201A9A">
        <w:rPr>
          <w:b/>
          <w:noProof/>
        </w:rPr>
        <w:t xml:space="preserve"> i aud</w:t>
      </w:r>
      <w:r w:rsidRPr="00201A9A">
        <w:rPr>
          <w:b/>
          <w:noProof/>
        </w:rPr>
        <w:t>yty instrumentów finansowych</w:t>
      </w:r>
    </w:p>
    <w:p w14:paraId="3ABF8752" w14:textId="71D51882" w:rsidR="00FB0190" w:rsidRPr="00201A9A" w:rsidRDefault="00FB0190" w:rsidP="003E2902">
      <w:pPr>
        <w:pStyle w:val="NumPar10000000"/>
        <w:numPr>
          <w:ilvl w:val="0"/>
          <w:numId w:val="60"/>
        </w:numPr>
        <w:rPr>
          <w:noProof/>
        </w:rPr>
      </w:pPr>
      <w:r w:rsidRPr="00201A9A">
        <w:rPr>
          <w:noProof/>
        </w:rPr>
        <w:t>Instytucja zarządzająca przeprowadza weryfikacje zarządcze na miejscu zgodnie</w:t>
      </w:r>
      <w:r w:rsidR="00201A9A" w:rsidRPr="00201A9A">
        <w:rPr>
          <w:noProof/>
        </w:rPr>
        <w:t xml:space="preserve"> z art</w:t>
      </w:r>
      <w:r w:rsidRPr="00201A9A">
        <w:rPr>
          <w:noProof/>
        </w:rPr>
        <w:t>.</w:t>
      </w:r>
      <w:r w:rsidR="00201A9A" w:rsidRPr="00201A9A">
        <w:rPr>
          <w:noProof/>
        </w:rPr>
        <w:t> </w:t>
      </w:r>
      <w:r w:rsidRPr="00201A9A">
        <w:rPr>
          <w:noProof/>
        </w:rPr>
        <w:t>51 [funkcje instytucji zarządzającej] wyłącznie na poziomie podmiotów wdrażających instrument finansowy. Instytucja zarządzająca może polegać na weryfikacjach przeprowadzanych przez podmioty zewnętrzne</w:t>
      </w:r>
      <w:r w:rsidR="00201A9A" w:rsidRPr="00201A9A">
        <w:rPr>
          <w:noProof/>
        </w:rPr>
        <w:t xml:space="preserve"> i moż</w:t>
      </w:r>
      <w:r w:rsidRPr="00201A9A">
        <w:rPr>
          <w:noProof/>
        </w:rPr>
        <w:t>e nie przeprowadzać kontroli zarządczych na miejscu, pod warunkiem że posiada wystarczające dowody potwierdzające kompetencje tych podmiotów zewnętrznych</w:t>
      </w:r>
      <w:r w:rsidR="00201A9A" w:rsidRPr="00201A9A">
        <w:rPr>
          <w:noProof/>
        </w:rPr>
        <w:t>. W kon</w:t>
      </w:r>
      <w:r w:rsidRPr="00201A9A">
        <w:rPr>
          <w:noProof/>
        </w:rPr>
        <w:t>tekście funduszy gwarancyjnych instytucja zarządzająca może przeprowadzać weryfikacje zarządcze na miejscu na poziomie podmiotów udzielających wsparcia odbiorcom końcowym, jeżeli dowody potwierdzające funkcjonowanie zarządzania</w:t>
      </w:r>
      <w:r w:rsidR="00201A9A" w:rsidRPr="00201A9A">
        <w:rPr>
          <w:noProof/>
        </w:rPr>
        <w:t xml:space="preserve"> i kon</w:t>
      </w:r>
      <w:r w:rsidRPr="00201A9A">
        <w:rPr>
          <w:noProof/>
        </w:rPr>
        <w:t>troli nie są dostępne na poziomie podmiotu wdrażającego instrument finansowy lub instytucji zarządzającej.</w:t>
      </w:r>
    </w:p>
    <w:p w14:paraId="60B71CDE" w14:textId="02FC0E56" w:rsidR="00FB0190" w:rsidRPr="00201A9A" w:rsidRDefault="00FB0190" w:rsidP="003E2902">
      <w:pPr>
        <w:pStyle w:val="NumPar10000000"/>
        <w:numPr>
          <w:ilvl w:val="0"/>
          <w:numId w:val="59"/>
        </w:numPr>
        <w:rPr>
          <w:noProof/>
        </w:rPr>
      </w:pPr>
      <w:r w:rsidRPr="00201A9A">
        <w:rPr>
          <w:noProof/>
        </w:rPr>
        <w:t>Instytucja audytowa przeprowadza audyty zgodnie</w:t>
      </w:r>
      <w:r w:rsidR="00201A9A" w:rsidRPr="00201A9A">
        <w:rPr>
          <w:noProof/>
        </w:rPr>
        <w:t xml:space="preserve"> z art</w:t>
      </w:r>
      <w:r w:rsidRPr="00201A9A">
        <w:rPr>
          <w:noProof/>
        </w:rPr>
        <w:t>.</w:t>
      </w:r>
      <w:r w:rsidR="00201A9A" w:rsidRPr="00201A9A">
        <w:rPr>
          <w:noProof/>
        </w:rPr>
        <w:t> </w:t>
      </w:r>
      <w:r w:rsidRPr="00201A9A">
        <w:rPr>
          <w:noProof/>
        </w:rPr>
        <w:t>53 [funkcje instytucji audytowej], stosownie do przypadku, na poziomie podmiotów wdrażających instrument finansowy. Instytucja audytowa może uwzględniać, do celów ogólnej pewności, wyniki audytów przeprowadzonych przez zewnętrznych audytorów podmiotów wdrażających instrument finansowy i na tej podstawie może podjąć decyzję</w:t>
      </w:r>
      <w:r w:rsidR="00201A9A" w:rsidRPr="00201A9A">
        <w:rPr>
          <w:noProof/>
        </w:rPr>
        <w:t xml:space="preserve"> o ogr</w:t>
      </w:r>
      <w:r w:rsidRPr="00201A9A">
        <w:rPr>
          <w:noProof/>
        </w:rPr>
        <w:t>aniczeniu własnych prac audytowych</w:t>
      </w:r>
      <w:r w:rsidR="00201A9A" w:rsidRPr="00201A9A">
        <w:rPr>
          <w:noProof/>
        </w:rPr>
        <w:t>. W kon</w:t>
      </w:r>
      <w:r w:rsidRPr="00201A9A">
        <w:rPr>
          <w:noProof/>
        </w:rPr>
        <w:t>tekście funduszy gwarancyjnych podmioty odpowiedzialne za audyt mogą przeprowadzać audyty podmiotów udzielających wsparcia odbiorcom końcowym, jeżeli dowody potwierdzające wsparcie nie są dostępne na poziomie podmiotu wdrażającego instrument finansowy lub instytucji zarządzającej.</w:t>
      </w:r>
    </w:p>
    <w:p w14:paraId="6BDB66CF" w14:textId="73968794" w:rsidR="00FB0190" w:rsidRPr="00201A9A" w:rsidRDefault="00FB0190" w:rsidP="003E2902">
      <w:pPr>
        <w:pStyle w:val="NumPar10000000"/>
        <w:numPr>
          <w:ilvl w:val="0"/>
          <w:numId w:val="59"/>
        </w:numPr>
        <w:rPr>
          <w:noProof/>
        </w:rPr>
      </w:pPr>
      <w:r w:rsidRPr="00201A9A">
        <w:rPr>
          <w:noProof/>
        </w:rPr>
        <w:t>Instytucje zarządzające</w:t>
      </w:r>
      <w:r w:rsidR="00201A9A" w:rsidRPr="00201A9A">
        <w:rPr>
          <w:noProof/>
        </w:rPr>
        <w:t xml:space="preserve"> i ins</w:t>
      </w:r>
      <w:r w:rsidRPr="00201A9A">
        <w:rPr>
          <w:noProof/>
        </w:rPr>
        <w:t>tytucje audytowe mogą opierać się na wynikach oceny spełnienia wymogów dotyczących filarów zgodnie</w:t>
      </w:r>
      <w:r w:rsidR="00201A9A" w:rsidRPr="00201A9A">
        <w:rPr>
          <w:noProof/>
        </w:rPr>
        <w:t xml:space="preserve"> z art</w:t>
      </w:r>
      <w:r w:rsidRPr="00201A9A">
        <w:rPr>
          <w:noProof/>
        </w:rPr>
        <w:t>.</w:t>
      </w:r>
      <w:r w:rsidR="00201A9A" w:rsidRPr="00201A9A">
        <w:rPr>
          <w:noProof/>
        </w:rPr>
        <w:t> </w:t>
      </w:r>
      <w:r w:rsidRPr="00201A9A">
        <w:rPr>
          <w:noProof/>
        </w:rPr>
        <w:t>157 rozporządzenia (UE, Euratom) 2024/2059.</w:t>
      </w:r>
    </w:p>
    <w:p w14:paraId="5B03FE32" w14:textId="5704F77F" w:rsidR="00FB0190" w:rsidRPr="00201A9A" w:rsidRDefault="00FB0190" w:rsidP="003E2902">
      <w:pPr>
        <w:pStyle w:val="NumPar10000000"/>
        <w:numPr>
          <w:ilvl w:val="0"/>
          <w:numId w:val="59"/>
        </w:numPr>
        <w:rPr>
          <w:noProof/>
        </w:rPr>
      </w:pPr>
      <w:r w:rsidRPr="00201A9A">
        <w:rPr>
          <w:noProof/>
        </w:rPr>
        <w:t>Instytucja zarządzająca nie przeprowadza weryfikacji zarządczych na miejscu na szczeblu grupy EBI ani innych międzynarodowych instytucji finansowych,</w:t>
      </w:r>
      <w:r w:rsidR="00201A9A" w:rsidRPr="00201A9A">
        <w:rPr>
          <w:noProof/>
        </w:rPr>
        <w:t xml:space="preserve"> w któ</w:t>
      </w:r>
      <w:r w:rsidRPr="00201A9A">
        <w:rPr>
          <w:noProof/>
        </w:rPr>
        <w:t>rych państwo członkowskie posiada akcje lub udziały.</w:t>
      </w:r>
      <w:r w:rsidR="00201A9A" w:rsidRPr="00201A9A">
        <w:rPr>
          <w:noProof/>
        </w:rPr>
        <w:t xml:space="preserve"> </w:t>
      </w:r>
    </w:p>
    <w:p w14:paraId="433BACB0" w14:textId="3E84C9C8" w:rsidR="00FB0190" w:rsidRPr="00201A9A" w:rsidRDefault="00FB0190" w:rsidP="003E2902">
      <w:pPr>
        <w:pStyle w:val="NumPar10000000"/>
        <w:numPr>
          <w:ilvl w:val="0"/>
          <w:numId w:val="59"/>
        </w:numPr>
        <w:rPr>
          <w:noProof/>
        </w:rPr>
      </w:pPr>
      <w:r w:rsidRPr="00201A9A">
        <w:rPr>
          <w:noProof/>
        </w:rPr>
        <w:t>Grupa EBI lub inne międzynarodowe instytucje finansowe,</w:t>
      </w:r>
      <w:r w:rsidR="00201A9A" w:rsidRPr="00201A9A">
        <w:rPr>
          <w:noProof/>
        </w:rPr>
        <w:t xml:space="preserve"> w któ</w:t>
      </w:r>
      <w:r w:rsidRPr="00201A9A">
        <w:rPr>
          <w:noProof/>
        </w:rPr>
        <w:t>rych państwo członkowskie posiada akcje lub udziały, przekazują instytucji zarządzającej sprawozdania</w:t>
      </w:r>
      <w:r w:rsidR="00201A9A" w:rsidRPr="00201A9A">
        <w:rPr>
          <w:noProof/>
        </w:rPr>
        <w:t xml:space="preserve"> z kon</w:t>
      </w:r>
      <w:r w:rsidRPr="00201A9A">
        <w:rPr>
          <w:noProof/>
        </w:rPr>
        <w:t>troli dotyczące wniosków</w:t>
      </w:r>
      <w:r w:rsidR="00201A9A" w:rsidRPr="00201A9A">
        <w:rPr>
          <w:noProof/>
        </w:rPr>
        <w:t xml:space="preserve"> o pła</w:t>
      </w:r>
      <w:r w:rsidRPr="00201A9A">
        <w:rPr>
          <w:noProof/>
        </w:rPr>
        <w:t>tność.</w:t>
      </w:r>
    </w:p>
    <w:p w14:paraId="635CC4AF" w14:textId="35F28793" w:rsidR="00FB0190" w:rsidRPr="00201A9A" w:rsidRDefault="00FB0190" w:rsidP="003E2902">
      <w:pPr>
        <w:pStyle w:val="NumPar10000000"/>
        <w:numPr>
          <w:ilvl w:val="0"/>
          <w:numId w:val="59"/>
        </w:numPr>
        <w:rPr>
          <w:noProof/>
        </w:rPr>
      </w:pPr>
      <w:r w:rsidRPr="00201A9A">
        <w:rPr>
          <w:noProof/>
        </w:rPr>
        <w:t>EBI lub inne międzynarodowe instytucje finansowe,</w:t>
      </w:r>
      <w:r w:rsidR="00201A9A" w:rsidRPr="00201A9A">
        <w:rPr>
          <w:noProof/>
        </w:rPr>
        <w:t xml:space="preserve"> w któ</w:t>
      </w:r>
      <w:r w:rsidRPr="00201A9A">
        <w:rPr>
          <w:noProof/>
        </w:rPr>
        <w:t>rych państwo członkowskie posiada akcje lub udziały, przekazują Komisji</w:t>
      </w:r>
      <w:r w:rsidR="00201A9A" w:rsidRPr="00201A9A">
        <w:rPr>
          <w:noProof/>
        </w:rPr>
        <w:t xml:space="preserve"> i ins</w:t>
      </w:r>
      <w:r w:rsidRPr="00201A9A">
        <w:rPr>
          <w:noProof/>
        </w:rPr>
        <w:t>tytucji audytowej do końca każdego roku kalendarzowego roczne sprawozdanie</w:t>
      </w:r>
      <w:r w:rsidR="00201A9A" w:rsidRPr="00201A9A">
        <w:rPr>
          <w:noProof/>
        </w:rPr>
        <w:t xml:space="preserve"> z aud</w:t>
      </w:r>
      <w:r w:rsidRPr="00201A9A">
        <w:rPr>
          <w:noProof/>
        </w:rPr>
        <w:t>ytu sporządzone przez audytorów zewnętrznych. Sprawozdanie to stanowi podstawę prac instytucji audytowej.</w:t>
      </w:r>
      <w:r w:rsidR="00201A9A" w:rsidRPr="00201A9A">
        <w:rPr>
          <w:noProof/>
        </w:rPr>
        <w:t xml:space="preserve"> </w:t>
      </w:r>
    </w:p>
    <w:p w14:paraId="78F26B3A" w14:textId="59B315EC" w:rsidR="00FB0190" w:rsidRPr="00201A9A" w:rsidRDefault="00FB0190" w:rsidP="003E2902">
      <w:pPr>
        <w:pStyle w:val="NumPar10000000"/>
        <w:numPr>
          <w:ilvl w:val="0"/>
          <w:numId w:val="59"/>
        </w:numPr>
        <w:rPr>
          <w:noProof/>
        </w:rPr>
      </w:pPr>
      <w:r w:rsidRPr="00201A9A">
        <w:rPr>
          <w:noProof/>
        </w:rPr>
        <w:t>Audytów systemu nie przeprowadza się na poziomie poszczególnych operacji</w:t>
      </w:r>
      <w:r w:rsidR="00201A9A" w:rsidRPr="00201A9A">
        <w:rPr>
          <w:noProof/>
        </w:rPr>
        <w:t xml:space="preserve"> w ram</w:t>
      </w:r>
      <w:r w:rsidRPr="00201A9A">
        <w:rPr>
          <w:noProof/>
        </w:rPr>
        <w:t>ach instrumentów finansowych.</w:t>
      </w:r>
    </w:p>
    <w:p w14:paraId="0708815E" w14:textId="5BF68D3B" w:rsidR="00FB0190" w:rsidRPr="00201A9A" w:rsidRDefault="00FB0190" w:rsidP="003E2902">
      <w:pPr>
        <w:pStyle w:val="NumPar10000000"/>
        <w:numPr>
          <w:ilvl w:val="0"/>
          <w:numId w:val="59"/>
        </w:numPr>
        <w:rPr>
          <w:noProof/>
        </w:rPr>
      </w:pPr>
      <w:r w:rsidRPr="00201A9A">
        <w:rPr>
          <w:noProof/>
        </w:rPr>
        <w:t>Ścieżka audytu jest dostępna na poziomie podmiotów wdrażających instrumenty finansowe lub na poziomie organów udzielających wsparcia odbiorcom końcowym</w:t>
      </w:r>
      <w:r w:rsidR="00201A9A" w:rsidRPr="00201A9A">
        <w:rPr>
          <w:noProof/>
        </w:rPr>
        <w:t xml:space="preserve"> w kon</w:t>
      </w:r>
      <w:r w:rsidRPr="00201A9A">
        <w:rPr>
          <w:noProof/>
        </w:rPr>
        <w:t>tekście funduszy gwarancyjnych.</w:t>
      </w:r>
    </w:p>
    <w:p w14:paraId="6C5798D6" w14:textId="15A362B1" w:rsidR="00936FC4" w:rsidRPr="00201A9A" w:rsidRDefault="00936FC4" w:rsidP="00936FC4">
      <w:pPr>
        <w:pStyle w:val="Titrearticle"/>
        <w:rPr>
          <w:noProof/>
        </w:rPr>
      </w:pPr>
      <w:r w:rsidRPr="00201A9A">
        <w:rPr>
          <w:noProof/>
        </w:rPr>
        <w:t xml:space="preserve">Artykuł 73 </w:t>
      </w:r>
      <w:r w:rsidRPr="00201A9A">
        <w:rPr>
          <w:noProof/>
        </w:rPr>
        <w:br/>
      </w:r>
      <w:r w:rsidRPr="00201A9A">
        <w:rPr>
          <w:b/>
          <w:noProof/>
        </w:rPr>
        <w:t>Weryfikacje zarządcze</w:t>
      </w:r>
      <w:r w:rsidR="00201A9A" w:rsidRPr="00201A9A">
        <w:rPr>
          <w:b/>
          <w:noProof/>
        </w:rPr>
        <w:t xml:space="preserve"> i aud</w:t>
      </w:r>
      <w:r w:rsidRPr="00201A9A">
        <w:rPr>
          <w:b/>
          <w:noProof/>
        </w:rPr>
        <w:t>yty podmiotów ocenionych ex ante jako beneficjenci</w:t>
      </w:r>
    </w:p>
    <w:p w14:paraId="778F3197" w14:textId="73B93B7C" w:rsidR="00FB0190" w:rsidRPr="00201A9A" w:rsidRDefault="00FB0190" w:rsidP="003E2902">
      <w:pPr>
        <w:pStyle w:val="NumPar10000000"/>
        <w:numPr>
          <w:ilvl w:val="0"/>
          <w:numId w:val="61"/>
        </w:numPr>
        <w:rPr>
          <w:noProof/>
        </w:rPr>
      </w:pPr>
      <w:r w:rsidRPr="00201A9A">
        <w:rPr>
          <w:noProof/>
        </w:rPr>
        <w:t>Niniejszy artykuł ma zastosowanie</w:t>
      </w:r>
      <w:r w:rsidR="00201A9A" w:rsidRPr="00201A9A">
        <w:rPr>
          <w:noProof/>
        </w:rPr>
        <w:t xml:space="preserve"> w prz</w:t>
      </w:r>
      <w:r w:rsidRPr="00201A9A">
        <w:rPr>
          <w:noProof/>
        </w:rPr>
        <w:t>ypadku, gdy beneficjent jest podmiotem,</w:t>
      </w:r>
      <w:r w:rsidR="00201A9A" w:rsidRPr="00201A9A">
        <w:rPr>
          <w:noProof/>
        </w:rPr>
        <w:t xml:space="preserve"> o któ</w:t>
      </w:r>
      <w:r w:rsidRPr="00201A9A">
        <w:rPr>
          <w:noProof/>
        </w:rPr>
        <w:t>rym mowa</w:t>
      </w:r>
      <w:r w:rsidR="00201A9A" w:rsidRPr="00201A9A">
        <w:rPr>
          <w:noProof/>
        </w:rPr>
        <w:t xml:space="preserve"> w art</w:t>
      </w:r>
      <w:r w:rsidRPr="00201A9A">
        <w:rPr>
          <w:noProof/>
        </w:rPr>
        <w:t>.</w:t>
      </w:r>
      <w:r w:rsidR="00201A9A" w:rsidRPr="00201A9A">
        <w:rPr>
          <w:noProof/>
        </w:rPr>
        <w:t> </w:t>
      </w:r>
      <w:r w:rsidRPr="00201A9A">
        <w:rPr>
          <w:noProof/>
        </w:rPr>
        <w:t>62 ust.</w:t>
      </w:r>
      <w:r w:rsidR="00201A9A" w:rsidRPr="00201A9A">
        <w:rPr>
          <w:noProof/>
        </w:rPr>
        <w:t> </w:t>
      </w:r>
      <w:r w:rsidRPr="00201A9A">
        <w:rPr>
          <w:noProof/>
        </w:rPr>
        <w:t>1 akapit pierwszy lit.</w:t>
      </w:r>
      <w:r w:rsidR="00201A9A" w:rsidRPr="00201A9A">
        <w:rPr>
          <w:noProof/>
        </w:rPr>
        <w:t> </w:t>
      </w:r>
      <w:r w:rsidRPr="00201A9A">
        <w:rPr>
          <w:noProof/>
        </w:rPr>
        <w:t>c) rozporządzenia (UE, Euratom) 2024/2059, którego systemy, zasady</w:t>
      </w:r>
      <w:r w:rsidR="00201A9A" w:rsidRPr="00201A9A">
        <w:rPr>
          <w:noProof/>
        </w:rPr>
        <w:t xml:space="preserve"> i pro</w:t>
      </w:r>
      <w:r w:rsidRPr="00201A9A">
        <w:rPr>
          <w:noProof/>
        </w:rPr>
        <w:t xml:space="preserve">cedury zostały pozytywnie ocenione </w:t>
      </w:r>
      <w:r w:rsidRPr="00201A9A">
        <w:rPr>
          <w:i/>
          <w:noProof/>
        </w:rPr>
        <w:t>ex ante</w:t>
      </w:r>
      <w:r w:rsidRPr="00201A9A">
        <w:rPr>
          <w:noProof/>
        </w:rPr>
        <w:t xml:space="preserve"> przez Komisję zgodnie</w:t>
      </w:r>
      <w:r w:rsidR="00201A9A" w:rsidRPr="00201A9A">
        <w:rPr>
          <w:noProof/>
        </w:rPr>
        <w:t xml:space="preserve"> z art</w:t>
      </w:r>
      <w:r w:rsidRPr="00201A9A">
        <w:rPr>
          <w:noProof/>
        </w:rPr>
        <w:t>.</w:t>
      </w:r>
      <w:r w:rsidR="00201A9A" w:rsidRPr="00201A9A">
        <w:rPr>
          <w:noProof/>
        </w:rPr>
        <w:t> </w:t>
      </w:r>
      <w:r w:rsidRPr="00201A9A">
        <w:rPr>
          <w:noProof/>
        </w:rPr>
        <w:t>157 ust.</w:t>
      </w:r>
      <w:r w:rsidR="00201A9A" w:rsidRPr="00201A9A">
        <w:rPr>
          <w:noProof/>
        </w:rPr>
        <w:t> </w:t>
      </w:r>
      <w:r w:rsidRPr="00201A9A">
        <w:rPr>
          <w:noProof/>
        </w:rPr>
        <w:t>4</w:t>
      </w:r>
      <w:r w:rsidR="00201A9A" w:rsidRPr="00201A9A">
        <w:rPr>
          <w:noProof/>
        </w:rPr>
        <w:t xml:space="preserve"> i 7</w:t>
      </w:r>
      <w:r w:rsidRPr="00201A9A">
        <w:rPr>
          <w:noProof/>
        </w:rPr>
        <w:t xml:space="preserve"> tego rozporządzenia.</w:t>
      </w:r>
    </w:p>
    <w:p w14:paraId="4B6E64C4" w14:textId="72F97418" w:rsidR="00FB0190" w:rsidRPr="00201A9A" w:rsidRDefault="00FB0190" w:rsidP="003E2902">
      <w:pPr>
        <w:pStyle w:val="NumPar10000000"/>
        <w:numPr>
          <w:ilvl w:val="0"/>
          <w:numId w:val="59"/>
        </w:numPr>
        <w:rPr>
          <w:noProof/>
        </w:rPr>
      </w:pPr>
      <w:r w:rsidRPr="00201A9A">
        <w:rPr>
          <w:noProof/>
        </w:rPr>
        <w:t>Instytucje zarządzające</w:t>
      </w:r>
      <w:r w:rsidR="00201A9A" w:rsidRPr="00201A9A">
        <w:rPr>
          <w:noProof/>
        </w:rPr>
        <w:t xml:space="preserve"> i ins</w:t>
      </w:r>
      <w:r w:rsidRPr="00201A9A">
        <w:rPr>
          <w:noProof/>
        </w:rPr>
        <w:t xml:space="preserve">tytucje audytowe mogą opierać się na wynikach oceny </w:t>
      </w:r>
      <w:r w:rsidRPr="00201A9A">
        <w:rPr>
          <w:i/>
          <w:noProof/>
        </w:rPr>
        <w:t>ex ante</w:t>
      </w:r>
      <w:r w:rsidRPr="00201A9A">
        <w:rPr>
          <w:noProof/>
        </w:rPr>
        <w:t xml:space="preserve"> spełnienia wymogów dotyczących filarów przeprowadzonej przez Komisję zgodnie</w:t>
      </w:r>
      <w:r w:rsidR="00201A9A" w:rsidRPr="00201A9A">
        <w:rPr>
          <w:noProof/>
        </w:rPr>
        <w:t xml:space="preserve"> z art</w:t>
      </w:r>
      <w:r w:rsidRPr="00201A9A">
        <w:rPr>
          <w:noProof/>
        </w:rPr>
        <w:t>.</w:t>
      </w:r>
      <w:r w:rsidR="00201A9A" w:rsidRPr="00201A9A">
        <w:rPr>
          <w:noProof/>
        </w:rPr>
        <w:t> </w:t>
      </w:r>
      <w:r w:rsidRPr="00201A9A">
        <w:rPr>
          <w:noProof/>
        </w:rPr>
        <w:t>157 rozporządzenia (UE, Euratom) 2024/2059,</w:t>
      </w:r>
      <w:r w:rsidR="00201A9A" w:rsidRPr="00201A9A">
        <w:rPr>
          <w:noProof/>
        </w:rPr>
        <w:t xml:space="preserve"> z uwz</w:t>
      </w:r>
      <w:r w:rsidRPr="00201A9A">
        <w:rPr>
          <w:noProof/>
        </w:rPr>
        <w:t>ględnieniem środków nadzoru,</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3 tego artykułu.</w:t>
      </w:r>
      <w:r w:rsidR="00201A9A" w:rsidRPr="00201A9A">
        <w:rPr>
          <w:noProof/>
        </w:rPr>
        <w:t xml:space="preserve"> </w:t>
      </w:r>
    </w:p>
    <w:p w14:paraId="651C973B" w14:textId="3B8889D9" w:rsidR="00FB0190" w:rsidRPr="00201A9A" w:rsidRDefault="00FB0190" w:rsidP="003E2902">
      <w:pPr>
        <w:pStyle w:val="NumPar10000000"/>
        <w:numPr>
          <w:ilvl w:val="0"/>
          <w:numId w:val="59"/>
        </w:numPr>
        <w:rPr>
          <w:noProof/>
        </w:rPr>
      </w:pPr>
      <w:r w:rsidRPr="00201A9A">
        <w:rPr>
          <w:noProof/>
        </w:rPr>
        <w:t>Do celów rocznego pakietu dokumentów dotyczących poświadczenia wiarygodności,</w:t>
      </w:r>
      <w:r w:rsidR="00201A9A" w:rsidRPr="00201A9A">
        <w:rPr>
          <w:noProof/>
        </w:rPr>
        <w:t xml:space="preserve"> o któ</w:t>
      </w:r>
      <w:r w:rsidRPr="00201A9A">
        <w:rPr>
          <w:noProof/>
        </w:rPr>
        <w:t>rym mowa</w:t>
      </w:r>
      <w:r w:rsidR="00201A9A" w:rsidRPr="00201A9A">
        <w:rPr>
          <w:noProof/>
        </w:rPr>
        <w:t xml:space="preserve"> w art</w:t>
      </w:r>
      <w:r w:rsidRPr="00201A9A">
        <w:rPr>
          <w:noProof/>
        </w:rPr>
        <w:t>.</w:t>
      </w:r>
      <w:r w:rsidR="00201A9A" w:rsidRPr="00201A9A">
        <w:rPr>
          <w:noProof/>
        </w:rPr>
        <w:t> </w:t>
      </w:r>
      <w:r w:rsidRPr="00201A9A">
        <w:rPr>
          <w:noProof/>
        </w:rPr>
        <w:t xml:space="preserve">58, instytucja zarządzająca wymaga od podmiotów ocenionych </w:t>
      </w:r>
      <w:r w:rsidRPr="00201A9A">
        <w:rPr>
          <w:i/>
          <w:noProof/>
        </w:rPr>
        <w:t>ex ante</w:t>
      </w:r>
      <w:r w:rsidRPr="00201A9A">
        <w:rPr>
          <w:noProof/>
        </w:rPr>
        <w:t xml:space="preserve"> przedstawienia dokumentów dotyczących wdrażania wsparcia Unii, które mogą być równoważne</w:t>
      </w:r>
      <w:r w:rsidR="00201A9A" w:rsidRPr="00201A9A">
        <w:rPr>
          <w:noProof/>
        </w:rPr>
        <w:t xml:space="preserve"> z dok</w:t>
      </w:r>
      <w:r w:rsidRPr="00201A9A">
        <w:rPr>
          <w:noProof/>
        </w:rPr>
        <w:t>umentami,</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158 ust.</w:t>
      </w:r>
      <w:r w:rsidR="00201A9A" w:rsidRPr="00201A9A">
        <w:rPr>
          <w:noProof/>
        </w:rPr>
        <w:t> </w:t>
      </w:r>
      <w:r w:rsidRPr="00201A9A">
        <w:rPr>
          <w:noProof/>
        </w:rPr>
        <w:t>1 rozporządzenia (UE, Euratom) 2024/2059,</w:t>
      </w:r>
      <w:r w:rsidR="00201A9A" w:rsidRPr="00201A9A">
        <w:rPr>
          <w:noProof/>
        </w:rPr>
        <w:t xml:space="preserve"> w tym</w:t>
      </w:r>
      <w:r w:rsidRPr="00201A9A">
        <w:rPr>
          <w:noProof/>
        </w:rPr>
        <w:t xml:space="preserve"> deklaracją zarządczą potwierdzającą, że warunki wykorzystania wsparcia Unii zostały spełnione.</w:t>
      </w:r>
      <w:r w:rsidR="00201A9A" w:rsidRPr="00201A9A">
        <w:rPr>
          <w:noProof/>
        </w:rPr>
        <w:t xml:space="preserve"> </w:t>
      </w:r>
    </w:p>
    <w:p w14:paraId="14E29F15" w14:textId="6828416F" w:rsidR="00FB0190" w:rsidRPr="00201A9A" w:rsidRDefault="00FB0190" w:rsidP="003E2902">
      <w:pPr>
        <w:pStyle w:val="NumPar10000000"/>
        <w:numPr>
          <w:ilvl w:val="0"/>
          <w:numId w:val="59"/>
        </w:numPr>
        <w:rPr>
          <w:noProof/>
        </w:rPr>
      </w:pPr>
      <w:r w:rsidRPr="00201A9A">
        <w:rPr>
          <w:noProof/>
        </w:rPr>
        <w:t xml:space="preserve">Instytucja zarządzająca może opierać się na weryfikacjach przeprowadzonych przez podmioty zewnętrzne na poziomie podmiotu ocenianego </w:t>
      </w:r>
      <w:r w:rsidRPr="00201A9A">
        <w:rPr>
          <w:i/>
          <w:noProof/>
        </w:rPr>
        <w:t>ex ante</w:t>
      </w:r>
      <w:r w:rsidRPr="00201A9A">
        <w:rPr>
          <w:noProof/>
        </w:rPr>
        <w:t xml:space="preserve"> i,</w:t>
      </w:r>
      <w:r w:rsidR="00201A9A" w:rsidRPr="00201A9A">
        <w:rPr>
          <w:noProof/>
        </w:rPr>
        <w:t xml:space="preserve"> z zas</w:t>
      </w:r>
      <w:r w:rsidRPr="00201A9A">
        <w:rPr>
          <w:noProof/>
        </w:rPr>
        <w:t>trzeżeniem ust.</w:t>
      </w:r>
      <w:r w:rsidR="00201A9A" w:rsidRPr="00201A9A">
        <w:rPr>
          <w:noProof/>
        </w:rPr>
        <w:t> </w:t>
      </w:r>
      <w:r w:rsidRPr="00201A9A">
        <w:rPr>
          <w:noProof/>
        </w:rPr>
        <w:t>4</w:t>
      </w:r>
      <w:r w:rsidR="00201A9A" w:rsidRPr="00201A9A">
        <w:rPr>
          <w:noProof/>
        </w:rPr>
        <w:t xml:space="preserve"> i 5</w:t>
      </w:r>
      <w:r w:rsidRPr="00201A9A">
        <w:rPr>
          <w:noProof/>
        </w:rPr>
        <w:t>, może podjąć decyzję</w:t>
      </w:r>
      <w:r w:rsidR="00201A9A" w:rsidRPr="00201A9A">
        <w:rPr>
          <w:noProof/>
        </w:rPr>
        <w:t xml:space="preserve"> o nie</w:t>
      </w:r>
      <w:r w:rsidRPr="00201A9A">
        <w:rPr>
          <w:noProof/>
        </w:rPr>
        <w:t>przeprowadzaniu weryfikacji zarządczych na miejscu na poziomie tego podmiotu, pod warunkiem że posiada wystarczające dowody potwierdzające kompetencje tych organów zewnętrznych.</w:t>
      </w:r>
      <w:r w:rsidR="00201A9A" w:rsidRPr="00201A9A">
        <w:rPr>
          <w:noProof/>
        </w:rPr>
        <w:t xml:space="preserve"> </w:t>
      </w:r>
    </w:p>
    <w:p w14:paraId="54FDAAA4" w14:textId="77777777" w:rsidR="00FB0190" w:rsidRPr="00201A9A" w:rsidRDefault="00FB0190" w:rsidP="003E2902">
      <w:pPr>
        <w:pStyle w:val="NumPar10000000"/>
        <w:numPr>
          <w:ilvl w:val="0"/>
          <w:numId w:val="59"/>
        </w:numPr>
        <w:rPr>
          <w:noProof/>
        </w:rPr>
      </w:pPr>
      <w:r w:rsidRPr="00201A9A">
        <w:rPr>
          <w:noProof/>
        </w:rPr>
        <w:t xml:space="preserve">Instytucja zarządzająca przeprowadza weryfikacje zarządcze na miejscu na poziomie podmiotu ocenianego </w:t>
      </w:r>
      <w:r w:rsidRPr="00201A9A">
        <w:rPr>
          <w:i/>
          <w:noProof/>
        </w:rPr>
        <w:t>ex ante</w:t>
      </w:r>
      <w:r w:rsidRPr="00201A9A">
        <w:rPr>
          <w:noProof/>
        </w:rPr>
        <w:t xml:space="preserve">, jeżeli: </w:t>
      </w:r>
    </w:p>
    <w:p w14:paraId="22883065" w14:textId="4E0D29FC" w:rsidR="00FB0190" w:rsidRPr="00201A9A" w:rsidRDefault="00201A9A" w:rsidP="00201A9A">
      <w:pPr>
        <w:pStyle w:val="Point1"/>
        <w:rPr>
          <w:rFonts w:eastAsia="Times New Roman"/>
          <w:noProof/>
        </w:rPr>
      </w:pPr>
      <w:r w:rsidRPr="00201A9A">
        <w:rPr>
          <w:noProof/>
        </w:rPr>
        <w:t>a)</w:t>
      </w:r>
      <w:r w:rsidRPr="00201A9A">
        <w:rPr>
          <w:noProof/>
        </w:rPr>
        <w:tab/>
      </w:r>
      <w:r w:rsidR="00FB0190" w:rsidRPr="00201A9A">
        <w:rPr>
          <w:noProof/>
        </w:rPr>
        <w:t>instytucja zarządzająca stwierdza szczególne ryzyko nieprawidłowości,</w:t>
      </w:r>
      <w:r w:rsidRPr="00201A9A">
        <w:rPr>
          <w:noProof/>
        </w:rPr>
        <w:t xml:space="preserve"> w tym</w:t>
      </w:r>
      <w:r w:rsidR="00FB0190" w:rsidRPr="00201A9A">
        <w:rPr>
          <w:noProof/>
        </w:rPr>
        <w:t xml:space="preserve"> podejrzenie nadużycia finansowego, korupcji lub konfliktu interesów</w:t>
      </w:r>
      <w:r w:rsidRPr="00201A9A">
        <w:rPr>
          <w:noProof/>
        </w:rPr>
        <w:t xml:space="preserve"> w odn</w:t>
      </w:r>
      <w:r w:rsidR="00FB0190" w:rsidRPr="00201A9A">
        <w:rPr>
          <w:noProof/>
        </w:rPr>
        <w:t xml:space="preserve">iesieniu do operacji zainicjowanej lub realizowanej przez podmiot oceniany </w:t>
      </w:r>
      <w:r w:rsidR="00FB0190" w:rsidRPr="00201A9A">
        <w:rPr>
          <w:i/>
          <w:noProof/>
        </w:rPr>
        <w:t>ex ante</w:t>
      </w:r>
      <w:r w:rsidR="00FB0190" w:rsidRPr="00201A9A">
        <w:rPr>
          <w:noProof/>
        </w:rPr>
        <w:t xml:space="preserve">; </w:t>
      </w:r>
    </w:p>
    <w:p w14:paraId="5DB54BDC" w14:textId="2C6F3740" w:rsidR="00FB0190" w:rsidRPr="00201A9A" w:rsidRDefault="00201A9A" w:rsidP="00201A9A">
      <w:pPr>
        <w:pStyle w:val="Point1"/>
        <w:rPr>
          <w:rFonts w:eastAsia="Times New Roman"/>
          <w:noProof/>
        </w:rPr>
      </w:pPr>
      <w:r w:rsidRPr="00201A9A">
        <w:rPr>
          <w:noProof/>
        </w:rPr>
        <w:t>b)</w:t>
      </w:r>
      <w:r w:rsidRPr="00201A9A">
        <w:rPr>
          <w:noProof/>
        </w:rPr>
        <w:tab/>
      </w:r>
      <w:r w:rsidR="00FB0190" w:rsidRPr="00201A9A">
        <w:rPr>
          <w:noProof/>
        </w:rPr>
        <w:t>instytucja zarządzająca stwierdza szczególne ryzyko, że udzielone wsparcie Unii nie zostało właściwie wykorzystane lub że wykorzystanie finansowania</w:t>
      </w:r>
      <w:r w:rsidRPr="00201A9A">
        <w:rPr>
          <w:noProof/>
        </w:rPr>
        <w:t xml:space="preserve"> w ram</w:t>
      </w:r>
      <w:r w:rsidR="00FB0190" w:rsidRPr="00201A9A">
        <w:rPr>
          <w:noProof/>
        </w:rPr>
        <w:t>ach wdrażania planów nie jest zgodne</w:t>
      </w:r>
      <w:r w:rsidRPr="00201A9A">
        <w:rPr>
          <w:noProof/>
        </w:rPr>
        <w:t xml:space="preserve"> z maj</w:t>
      </w:r>
      <w:r w:rsidR="00FB0190" w:rsidRPr="00201A9A">
        <w:rPr>
          <w:noProof/>
        </w:rPr>
        <w:t xml:space="preserve">ącym zastosowanie prawem. </w:t>
      </w:r>
    </w:p>
    <w:p w14:paraId="0F2C2778" w14:textId="3A3A951E" w:rsidR="00FB0190" w:rsidRPr="00201A9A" w:rsidRDefault="00FB0190" w:rsidP="003E2902">
      <w:pPr>
        <w:pStyle w:val="NumPar10000000"/>
        <w:numPr>
          <w:ilvl w:val="0"/>
          <w:numId w:val="59"/>
        </w:numPr>
        <w:rPr>
          <w:noProof/>
        </w:rPr>
      </w:pPr>
      <w:r w:rsidRPr="00201A9A">
        <w:rPr>
          <w:noProof/>
        </w:rPr>
        <w:t>Instytucja audytowa może uwzględniać, do celów ogólnej pewności, wyniki audytów</w:t>
      </w:r>
      <w:r w:rsidR="00201A9A" w:rsidRPr="00201A9A">
        <w:rPr>
          <w:noProof/>
        </w:rPr>
        <w:t xml:space="preserve"> i kon</w:t>
      </w:r>
      <w:r w:rsidRPr="00201A9A">
        <w:rPr>
          <w:noProof/>
        </w:rPr>
        <w:t xml:space="preserve">troli przeprowadzonych na poziomie podmiotu ocenianego </w:t>
      </w:r>
      <w:r w:rsidRPr="00201A9A">
        <w:rPr>
          <w:i/>
          <w:noProof/>
        </w:rPr>
        <w:t>ex ante</w:t>
      </w:r>
      <w:r w:rsidRPr="00201A9A">
        <w:rPr>
          <w:noProof/>
        </w:rPr>
        <w:t xml:space="preserve"> i na tej podstawie może podjąć decyzję</w:t>
      </w:r>
      <w:r w:rsidR="00201A9A" w:rsidRPr="00201A9A">
        <w:rPr>
          <w:noProof/>
        </w:rPr>
        <w:t xml:space="preserve"> o ogr</w:t>
      </w:r>
      <w:r w:rsidRPr="00201A9A">
        <w:rPr>
          <w:noProof/>
        </w:rPr>
        <w:t>aniczeniu własnych prac audytowych.</w:t>
      </w:r>
      <w:r w:rsidR="00201A9A" w:rsidRPr="00201A9A">
        <w:rPr>
          <w:noProof/>
        </w:rPr>
        <w:t xml:space="preserve"> </w:t>
      </w:r>
    </w:p>
    <w:p w14:paraId="2BF2D354" w14:textId="0B1304F9" w:rsidR="00FB0190" w:rsidRPr="00201A9A" w:rsidRDefault="00FB0190" w:rsidP="003E2902">
      <w:pPr>
        <w:pStyle w:val="NumPar10000000"/>
        <w:numPr>
          <w:ilvl w:val="0"/>
          <w:numId w:val="59"/>
        </w:numPr>
        <w:rPr>
          <w:noProof/>
        </w:rPr>
      </w:pPr>
      <w:r w:rsidRPr="00201A9A">
        <w:rPr>
          <w:noProof/>
        </w:rPr>
        <w:t>W przypadku gdy instytucja audytowa stwierdzi szczególne ryzyko nieprawidłowości,</w:t>
      </w:r>
      <w:r w:rsidR="00201A9A" w:rsidRPr="00201A9A">
        <w:rPr>
          <w:noProof/>
        </w:rPr>
        <w:t xml:space="preserve"> w tym</w:t>
      </w:r>
      <w:r w:rsidRPr="00201A9A">
        <w:rPr>
          <w:noProof/>
        </w:rPr>
        <w:t xml:space="preserve"> podejrzenie nadużycia finansowego, korupcji lub konfliktu interesów</w:t>
      </w:r>
      <w:r w:rsidR="00201A9A" w:rsidRPr="00201A9A">
        <w:rPr>
          <w:noProof/>
        </w:rPr>
        <w:t xml:space="preserve"> w odn</w:t>
      </w:r>
      <w:r w:rsidRPr="00201A9A">
        <w:rPr>
          <w:noProof/>
        </w:rPr>
        <w:t xml:space="preserve">iesieniu do operacji zainicjowanej lub wdrożonej przez podmiot oceniany </w:t>
      </w:r>
      <w:r w:rsidRPr="00201A9A">
        <w:rPr>
          <w:i/>
          <w:noProof/>
        </w:rPr>
        <w:t>ex ante</w:t>
      </w:r>
      <w:r w:rsidRPr="00201A9A">
        <w:rPr>
          <w:noProof/>
        </w:rPr>
        <w:t>, może przeprowadzić audyty.</w:t>
      </w:r>
    </w:p>
    <w:p w14:paraId="1DA201DA" w14:textId="780EE24B" w:rsidR="007F6201" w:rsidRPr="00201A9A" w:rsidRDefault="007F6201" w:rsidP="007F6201">
      <w:pPr>
        <w:pStyle w:val="Titrearticle"/>
        <w:rPr>
          <w:noProof/>
          <w:color w:val="0000FF"/>
        </w:rPr>
      </w:pPr>
      <w:r w:rsidRPr="00201A9A">
        <w:rPr>
          <w:noProof/>
        </w:rPr>
        <w:t xml:space="preserve">Artykuł 74 </w:t>
      </w:r>
      <w:r w:rsidRPr="00201A9A">
        <w:rPr>
          <w:noProof/>
        </w:rPr>
        <w:br/>
      </w:r>
      <w:r w:rsidRPr="00201A9A">
        <w:rPr>
          <w:b/>
          <w:noProof/>
        </w:rPr>
        <w:t>Inicjatywy</w:t>
      </w:r>
      <w:r w:rsidR="00201A9A" w:rsidRPr="00201A9A">
        <w:rPr>
          <w:b/>
          <w:noProof/>
        </w:rPr>
        <w:t xml:space="preserve"> w zak</w:t>
      </w:r>
      <w:r w:rsidRPr="00201A9A">
        <w:rPr>
          <w:b/>
          <w:noProof/>
        </w:rPr>
        <w:t>resie współpracy terytorialnej</w:t>
      </w:r>
      <w:r w:rsidR="00201A9A" w:rsidRPr="00201A9A">
        <w:rPr>
          <w:b/>
          <w:noProof/>
        </w:rPr>
        <w:t xml:space="preserve"> i lok</w:t>
      </w:r>
      <w:r w:rsidRPr="00201A9A">
        <w:rPr>
          <w:b/>
          <w:noProof/>
        </w:rPr>
        <w:t>alnej</w:t>
      </w:r>
    </w:p>
    <w:p w14:paraId="6B2DD4D8" w14:textId="3DDD4115" w:rsidR="007F6201" w:rsidRPr="00201A9A" w:rsidRDefault="007F6201" w:rsidP="003E2902">
      <w:pPr>
        <w:pStyle w:val="NumPar10000000"/>
        <w:numPr>
          <w:ilvl w:val="0"/>
          <w:numId w:val="110"/>
        </w:numPr>
        <w:rPr>
          <w:noProof/>
        </w:rPr>
      </w:pPr>
      <w:bookmarkStart w:id="14" w:name="_Hlk200471404"/>
      <w:r w:rsidRPr="00201A9A">
        <w:rPr>
          <w:noProof/>
        </w:rPr>
        <w:t>Państwa członkowskie mogą nawiązywać</w:t>
      </w:r>
      <w:r w:rsidR="00201A9A" w:rsidRPr="00201A9A">
        <w:rPr>
          <w:noProof/>
        </w:rPr>
        <w:t xml:space="preserve"> i wsp</w:t>
      </w:r>
      <w:r w:rsidRPr="00201A9A">
        <w:rPr>
          <w:noProof/>
        </w:rPr>
        <w:t>ierać współpracę</w:t>
      </w:r>
      <w:bookmarkEnd w:id="14"/>
      <w:r w:rsidR="00201A9A" w:rsidRPr="00201A9A">
        <w:rPr>
          <w:noProof/>
        </w:rPr>
        <w:t xml:space="preserve"> w nas</w:t>
      </w:r>
      <w:r w:rsidRPr="00201A9A">
        <w:rPr>
          <w:noProof/>
        </w:rPr>
        <w:t xml:space="preserve">tępujących obszarach: </w:t>
      </w:r>
    </w:p>
    <w:p w14:paraId="584B5BB4" w14:textId="60402166" w:rsidR="007F6201" w:rsidRPr="00201A9A" w:rsidRDefault="00201A9A" w:rsidP="00201A9A">
      <w:pPr>
        <w:pStyle w:val="Point1"/>
        <w:rPr>
          <w:noProof/>
        </w:rPr>
      </w:pPr>
      <w:r w:rsidRPr="00201A9A">
        <w:rPr>
          <w:noProof/>
        </w:rPr>
        <w:t>a)</w:t>
      </w:r>
      <w:r w:rsidRPr="00201A9A">
        <w:rPr>
          <w:noProof/>
        </w:rPr>
        <w:tab/>
      </w:r>
      <w:r w:rsidR="007F6201" w:rsidRPr="00201A9A">
        <w:rPr>
          <w:noProof/>
        </w:rPr>
        <w:t>zintegrowany rozwój terytorialny</w:t>
      </w:r>
      <w:r w:rsidRPr="00201A9A">
        <w:rPr>
          <w:noProof/>
        </w:rPr>
        <w:t xml:space="preserve"> i mie</w:t>
      </w:r>
      <w:r w:rsidR="007F6201" w:rsidRPr="00201A9A">
        <w:rPr>
          <w:noProof/>
        </w:rPr>
        <w:t>jski;</w:t>
      </w:r>
    </w:p>
    <w:p w14:paraId="5E09DE55" w14:textId="6198D31D" w:rsidR="007F6201" w:rsidRPr="00201A9A" w:rsidRDefault="00201A9A" w:rsidP="00201A9A">
      <w:pPr>
        <w:pStyle w:val="Point1"/>
        <w:rPr>
          <w:noProof/>
        </w:rPr>
      </w:pPr>
      <w:r w:rsidRPr="00201A9A">
        <w:rPr>
          <w:noProof/>
        </w:rPr>
        <w:t>b)</w:t>
      </w:r>
      <w:r w:rsidRPr="00201A9A">
        <w:rPr>
          <w:noProof/>
        </w:rPr>
        <w:tab/>
      </w:r>
      <w:r w:rsidR="007F6201" w:rsidRPr="00201A9A">
        <w:rPr>
          <w:noProof/>
        </w:rPr>
        <w:t>rozwój lokalny kierowany przez społeczność,</w:t>
      </w:r>
      <w:r w:rsidRPr="00201A9A">
        <w:rPr>
          <w:noProof/>
        </w:rPr>
        <w:t xml:space="preserve"> w tym</w:t>
      </w:r>
      <w:r w:rsidR="007F6201" w:rsidRPr="00201A9A">
        <w:rPr>
          <w:noProof/>
        </w:rPr>
        <w:t xml:space="preserve"> LEADER, oraz inne inicjatywy obywatelskie;</w:t>
      </w:r>
    </w:p>
    <w:p w14:paraId="3BA349D5" w14:textId="527DE584" w:rsidR="007F6201" w:rsidRPr="00201A9A" w:rsidRDefault="00201A9A" w:rsidP="00201A9A">
      <w:pPr>
        <w:pStyle w:val="Point1"/>
        <w:rPr>
          <w:noProof/>
        </w:rPr>
      </w:pPr>
      <w:r w:rsidRPr="00201A9A">
        <w:rPr>
          <w:noProof/>
        </w:rPr>
        <w:t>c)</w:t>
      </w:r>
      <w:r w:rsidRPr="00201A9A">
        <w:rPr>
          <w:noProof/>
        </w:rPr>
        <w:tab/>
      </w:r>
      <w:r w:rsidR="007F6201" w:rsidRPr="00201A9A">
        <w:rPr>
          <w:noProof/>
        </w:rPr>
        <w:t xml:space="preserve">strategie inteligentnej wsi; </w:t>
      </w:r>
    </w:p>
    <w:p w14:paraId="025439E3" w14:textId="3FBE7D9E" w:rsidR="007F6201" w:rsidRPr="00201A9A" w:rsidRDefault="00201A9A" w:rsidP="00201A9A">
      <w:pPr>
        <w:pStyle w:val="Point1"/>
        <w:rPr>
          <w:noProof/>
        </w:rPr>
      </w:pPr>
      <w:r w:rsidRPr="00201A9A">
        <w:rPr>
          <w:noProof/>
        </w:rPr>
        <w:t>d)</w:t>
      </w:r>
      <w:r w:rsidRPr="00201A9A">
        <w:rPr>
          <w:noProof/>
        </w:rPr>
        <w:tab/>
      </w:r>
      <w:r w:rsidR="007F6201" w:rsidRPr="00201A9A">
        <w:rPr>
          <w:noProof/>
        </w:rPr>
        <w:t>projekty grup operacyjnych EPI-AGRI,</w:t>
      </w:r>
      <w:r w:rsidRPr="00201A9A">
        <w:rPr>
          <w:noProof/>
        </w:rPr>
        <w:t xml:space="preserve"> o któ</w:t>
      </w:r>
      <w:r w:rsidR="007F6201" w:rsidRPr="00201A9A">
        <w:rPr>
          <w:noProof/>
        </w:rPr>
        <w:t>rych mowa</w:t>
      </w:r>
      <w:r w:rsidRPr="00201A9A">
        <w:rPr>
          <w:noProof/>
        </w:rPr>
        <w:t xml:space="preserve"> w art</w:t>
      </w:r>
      <w:r w:rsidR="007F6201" w:rsidRPr="00201A9A">
        <w:rPr>
          <w:noProof/>
        </w:rPr>
        <w:t>.</w:t>
      </w:r>
      <w:r w:rsidRPr="00201A9A">
        <w:rPr>
          <w:noProof/>
        </w:rPr>
        <w:t> </w:t>
      </w:r>
      <w:r w:rsidR="007F6201" w:rsidRPr="00201A9A">
        <w:rPr>
          <w:noProof/>
        </w:rPr>
        <w:t>19 ust.</w:t>
      </w:r>
      <w:r w:rsidRPr="00201A9A">
        <w:rPr>
          <w:noProof/>
        </w:rPr>
        <w:t> </w:t>
      </w:r>
      <w:r w:rsidR="007F6201" w:rsidRPr="00201A9A">
        <w:rPr>
          <w:noProof/>
        </w:rPr>
        <w:t>2 [EPI] rozporządzenia XX [WPR];</w:t>
      </w:r>
    </w:p>
    <w:p w14:paraId="743D7435" w14:textId="4BCE363C" w:rsidR="007F6201" w:rsidRPr="00201A9A" w:rsidRDefault="00201A9A" w:rsidP="00201A9A">
      <w:pPr>
        <w:pStyle w:val="Point1"/>
        <w:rPr>
          <w:noProof/>
        </w:rPr>
      </w:pPr>
      <w:r w:rsidRPr="00201A9A">
        <w:rPr>
          <w:noProof/>
        </w:rPr>
        <w:t>e)</w:t>
      </w:r>
      <w:r w:rsidRPr="00201A9A">
        <w:rPr>
          <w:noProof/>
        </w:rPr>
        <w:tab/>
      </w:r>
      <w:r w:rsidR="007F6201" w:rsidRPr="00201A9A">
        <w:rPr>
          <w:noProof/>
        </w:rPr>
        <w:t xml:space="preserve">systemy jakości uznane przez Unię lub państwa członkowskie oraz ich stosowanie przez rolników; </w:t>
      </w:r>
    </w:p>
    <w:p w14:paraId="749FFEAD" w14:textId="710F0910" w:rsidR="007F6201" w:rsidRPr="00201A9A" w:rsidRDefault="00201A9A" w:rsidP="00201A9A">
      <w:pPr>
        <w:pStyle w:val="Point1"/>
        <w:rPr>
          <w:noProof/>
        </w:rPr>
      </w:pPr>
      <w:r w:rsidRPr="00201A9A">
        <w:rPr>
          <w:noProof/>
        </w:rPr>
        <w:t>f)</w:t>
      </w:r>
      <w:r w:rsidRPr="00201A9A">
        <w:rPr>
          <w:noProof/>
        </w:rPr>
        <w:tab/>
      </w:r>
      <w:r w:rsidR="007F6201" w:rsidRPr="00201A9A">
        <w:rPr>
          <w:noProof/>
        </w:rPr>
        <w:t xml:space="preserve">wspieranie grup producentów, organizacji producentów lub organizacji międzybranżowych; </w:t>
      </w:r>
    </w:p>
    <w:p w14:paraId="38FA397F" w14:textId="018010DD" w:rsidR="007F6201" w:rsidRPr="00201A9A" w:rsidRDefault="00201A9A" w:rsidP="00201A9A">
      <w:pPr>
        <w:pStyle w:val="Point1"/>
        <w:rPr>
          <w:noProof/>
        </w:rPr>
      </w:pPr>
      <w:r w:rsidRPr="00201A9A">
        <w:rPr>
          <w:noProof/>
        </w:rPr>
        <w:t>g)</w:t>
      </w:r>
      <w:r w:rsidRPr="00201A9A">
        <w:rPr>
          <w:noProof/>
        </w:rPr>
        <w:tab/>
      </w:r>
      <w:r w:rsidR="007F6201" w:rsidRPr="00201A9A">
        <w:rPr>
          <w:noProof/>
        </w:rPr>
        <w:t>promowanie</w:t>
      </w:r>
      <w:r w:rsidRPr="00201A9A">
        <w:rPr>
          <w:noProof/>
        </w:rPr>
        <w:t xml:space="preserve"> i wsp</w:t>
      </w:r>
      <w:r w:rsidR="007F6201" w:rsidRPr="00201A9A">
        <w:rPr>
          <w:noProof/>
        </w:rPr>
        <w:t>ieranie współpracy międzypokoleniowej,</w:t>
      </w:r>
      <w:r w:rsidRPr="00201A9A">
        <w:rPr>
          <w:noProof/>
        </w:rPr>
        <w:t xml:space="preserve"> w tym</w:t>
      </w:r>
      <w:r w:rsidR="007F6201" w:rsidRPr="00201A9A">
        <w:rPr>
          <w:noProof/>
        </w:rPr>
        <w:t xml:space="preserve"> dziedziczenia gospodarstw rolnych;</w:t>
      </w:r>
    </w:p>
    <w:p w14:paraId="727C8058" w14:textId="2CF1B728" w:rsidR="007F6201" w:rsidRPr="00201A9A" w:rsidRDefault="00201A9A" w:rsidP="00201A9A">
      <w:pPr>
        <w:pStyle w:val="Point1"/>
        <w:rPr>
          <w:noProof/>
        </w:rPr>
      </w:pPr>
      <w:r w:rsidRPr="00201A9A">
        <w:rPr>
          <w:noProof/>
        </w:rPr>
        <w:t>h)</w:t>
      </w:r>
      <w:r w:rsidRPr="00201A9A">
        <w:rPr>
          <w:noProof/>
        </w:rPr>
        <w:tab/>
      </w:r>
      <w:r w:rsidR="007F6201" w:rsidRPr="00201A9A">
        <w:rPr>
          <w:noProof/>
        </w:rPr>
        <w:t>wspieranie innych form współpracy przyczyniających się do osiągnięcia celów szczegółowych.</w:t>
      </w:r>
    </w:p>
    <w:p w14:paraId="2D54AD8D" w14:textId="61059451" w:rsidR="002D0AA4" w:rsidRPr="00201A9A" w:rsidRDefault="007F6201" w:rsidP="003E2902">
      <w:pPr>
        <w:pStyle w:val="NumPar10000000"/>
        <w:numPr>
          <w:ilvl w:val="0"/>
          <w:numId w:val="59"/>
        </w:numPr>
        <w:rPr>
          <w:noProof/>
        </w:rPr>
      </w:pPr>
      <w:r w:rsidRPr="00201A9A">
        <w:rPr>
          <w:noProof/>
        </w:rPr>
        <w:t>Ta współpraca,</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1, obejmuje co najmniej dwa podmioty</w:t>
      </w:r>
      <w:r w:rsidR="00201A9A" w:rsidRPr="00201A9A">
        <w:rPr>
          <w:noProof/>
        </w:rPr>
        <w:t xml:space="preserve"> i prz</w:t>
      </w:r>
      <w:r w:rsidRPr="00201A9A">
        <w:rPr>
          <w:noProof/>
        </w:rPr>
        <w:t>yczynia się do osiągnięcia co najmniej jednego</w:t>
      </w:r>
      <w:r w:rsidR="00201A9A" w:rsidRPr="00201A9A">
        <w:rPr>
          <w:noProof/>
        </w:rPr>
        <w:t xml:space="preserve"> z cel</w:t>
      </w:r>
      <w:r w:rsidRPr="00201A9A">
        <w:rPr>
          <w:noProof/>
        </w:rPr>
        <w:t>ów szczegółowych określonych</w:t>
      </w:r>
      <w:r w:rsidR="00201A9A" w:rsidRPr="00201A9A">
        <w:rPr>
          <w:noProof/>
        </w:rPr>
        <w:t xml:space="preserve"> w art</w:t>
      </w:r>
      <w:r w:rsidRPr="00201A9A">
        <w:rPr>
          <w:noProof/>
        </w:rPr>
        <w:t>.</w:t>
      </w:r>
      <w:r w:rsidR="00201A9A" w:rsidRPr="00201A9A">
        <w:rPr>
          <w:noProof/>
        </w:rPr>
        <w:t> </w:t>
      </w:r>
      <w:r w:rsidRPr="00201A9A">
        <w:rPr>
          <w:noProof/>
        </w:rPr>
        <w:t>3 [cele szczegółowe].</w:t>
      </w:r>
    </w:p>
    <w:p w14:paraId="2492BE2F" w14:textId="1994DF50" w:rsidR="00666103" w:rsidRPr="00201A9A" w:rsidRDefault="00666103" w:rsidP="003E2902">
      <w:pPr>
        <w:pStyle w:val="NumPar10000000"/>
        <w:numPr>
          <w:ilvl w:val="0"/>
          <w:numId w:val="59"/>
        </w:numPr>
        <w:rPr>
          <w:noProof/>
        </w:rPr>
      </w:pPr>
      <w:r w:rsidRPr="00201A9A">
        <w:rPr>
          <w:noProof/>
        </w:rPr>
        <w:t>Państwa członkowskie ograniczają wsparcie na tworzenie grup producentów, organizacji producentów lub organizacji międzybranżowych do</w:t>
      </w:r>
      <w:r w:rsidR="00201A9A" w:rsidRPr="00201A9A">
        <w:rPr>
          <w:noProof/>
        </w:rPr>
        <w:t> </w:t>
      </w:r>
      <w:r w:rsidRPr="00201A9A">
        <w:rPr>
          <w:noProof/>
        </w:rPr>
        <w:t>10</w:t>
      </w:r>
      <w:r w:rsidR="00201A9A" w:rsidRPr="00201A9A">
        <w:rPr>
          <w:noProof/>
        </w:rPr>
        <w:t> </w:t>
      </w:r>
      <w:r w:rsidRPr="00201A9A">
        <w:rPr>
          <w:noProof/>
        </w:rPr>
        <w:t>% obrotu grupy lub organizacji do maksymalnej kwoty 100 000 EUR rocznie; wsparcie to ma charakter degresywny</w:t>
      </w:r>
      <w:r w:rsidR="00201A9A" w:rsidRPr="00201A9A">
        <w:rPr>
          <w:noProof/>
        </w:rPr>
        <w:t xml:space="preserve"> i ogr</w:t>
      </w:r>
      <w:r w:rsidRPr="00201A9A">
        <w:rPr>
          <w:noProof/>
        </w:rPr>
        <w:t>anicza się do pierwszych pięciu lat po uznaniu lub rozpoczęciu wspólnych działań mających doprowadzić do uznania, zgodnie</w:t>
      </w:r>
      <w:r w:rsidR="00201A9A" w:rsidRPr="00201A9A">
        <w:rPr>
          <w:noProof/>
        </w:rPr>
        <w:t xml:space="preserve"> z ust</w:t>
      </w:r>
      <w:r w:rsidRPr="00201A9A">
        <w:rPr>
          <w:noProof/>
        </w:rPr>
        <w:t>aleniami państw członkowskich zawartymi</w:t>
      </w:r>
      <w:r w:rsidR="00201A9A" w:rsidRPr="00201A9A">
        <w:rPr>
          <w:noProof/>
        </w:rPr>
        <w:t xml:space="preserve"> w roz</w:t>
      </w:r>
      <w:r w:rsidRPr="00201A9A">
        <w:rPr>
          <w:noProof/>
        </w:rPr>
        <w:t>dziale dotyczącym rolnictwa</w:t>
      </w:r>
      <w:r w:rsidR="00201A9A" w:rsidRPr="00201A9A">
        <w:rPr>
          <w:noProof/>
        </w:rPr>
        <w:t xml:space="preserve"> w ich</w:t>
      </w:r>
      <w:r w:rsidRPr="00201A9A">
        <w:rPr>
          <w:noProof/>
        </w:rPr>
        <w:t xml:space="preserve"> planach. </w:t>
      </w:r>
    </w:p>
    <w:p w14:paraId="2C96E140" w14:textId="2E377470" w:rsidR="00256F20" w:rsidRPr="00201A9A" w:rsidRDefault="5E097E7B" w:rsidP="07DC7BA7">
      <w:pPr>
        <w:pStyle w:val="Titrearticle"/>
        <w:rPr>
          <w:b/>
          <w:noProof/>
        </w:rPr>
      </w:pPr>
      <w:r w:rsidRPr="00201A9A">
        <w:rPr>
          <w:noProof/>
        </w:rPr>
        <w:t xml:space="preserve">Artykuł 75 </w:t>
      </w:r>
      <w:r w:rsidRPr="00201A9A">
        <w:rPr>
          <w:noProof/>
        </w:rPr>
        <w:br/>
      </w:r>
      <w:r w:rsidRPr="00201A9A">
        <w:rPr>
          <w:b/>
          <w:noProof/>
        </w:rPr>
        <w:t>Zintegrowany rozwój terytorialny</w:t>
      </w:r>
      <w:r w:rsidR="00201A9A" w:rsidRPr="00201A9A">
        <w:rPr>
          <w:b/>
          <w:noProof/>
        </w:rPr>
        <w:t xml:space="preserve"> i mie</w:t>
      </w:r>
      <w:r w:rsidRPr="00201A9A">
        <w:rPr>
          <w:b/>
          <w:noProof/>
        </w:rPr>
        <w:t>jski</w:t>
      </w:r>
    </w:p>
    <w:p w14:paraId="334C155D" w14:textId="7CB5036F" w:rsidR="00D20BC6" w:rsidRPr="00201A9A" w:rsidRDefault="00D20BC6" w:rsidP="003E2902">
      <w:pPr>
        <w:pStyle w:val="NumPar10000000"/>
        <w:numPr>
          <w:ilvl w:val="0"/>
          <w:numId w:val="64"/>
        </w:numPr>
        <w:rPr>
          <w:noProof/>
        </w:rPr>
      </w:pPr>
      <w:r w:rsidRPr="00201A9A">
        <w:rPr>
          <w:noProof/>
        </w:rPr>
        <w:t>Wsparcie rozwoju terytorialnego opiera się na zintegrowanych strategiach rozwoju terytorialnego,</w:t>
      </w:r>
      <w:r w:rsidR="00201A9A" w:rsidRPr="00201A9A">
        <w:rPr>
          <w:noProof/>
        </w:rPr>
        <w:t xml:space="preserve"> w tym</w:t>
      </w:r>
      <w:r w:rsidRPr="00201A9A">
        <w:rPr>
          <w:noProof/>
        </w:rPr>
        <w:t xml:space="preserve"> za pośrednictwem rozwoju lokalnego kierowanego przez społeczność, skoncentrowanego na obszarach miejskich, obszarach wiejskich, wyspach, obszarach przybrzeżnych lub wszelkich odpowiednich terytoriach,</w:t>
      </w:r>
      <w:r w:rsidR="00201A9A" w:rsidRPr="00201A9A">
        <w:rPr>
          <w:noProof/>
        </w:rPr>
        <w:t xml:space="preserve"> a tak</w:t>
      </w:r>
      <w:r w:rsidRPr="00201A9A">
        <w:rPr>
          <w:noProof/>
        </w:rPr>
        <w:t>że na inteligentnej specjalizacji, terytorialnych strategiach sprawiedliwej transformacji lub strategiach obniżania emisyjności opracowanych przy wsparciu instrumentów Unii</w:t>
      </w:r>
      <w:r w:rsidR="00201A9A" w:rsidRPr="00201A9A">
        <w:rPr>
          <w:noProof/>
        </w:rPr>
        <w:t xml:space="preserve"> w lat</w:t>
      </w:r>
      <w:r w:rsidRPr="00201A9A">
        <w:rPr>
          <w:noProof/>
        </w:rPr>
        <w:t>ach 2021–2027,</w:t>
      </w:r>
      <w:r w:rsidR="00201A9A" w:rsidRPr="00201A9A">
        <w:rPr>
          <w:noProof/>
        </w:rPr>
        <w:t xml:space="preserve"> z uwz</w:t>
      </w:r>
      <w:r w:rsidRPr="00201A9A">
        <w:rPr>
          <w:noProof/>
        </w:rPr>
        <w:t>ględnieniem,</w:t>
      </w:r>
      <w:r w:rsidR="00201A9A" w:rsidRPr="00201A9A">
        <w:rPr>
          <w:noProof/>
        </w:rPr>
        <w:t xml:space="preserve"> w sto</w:t>
      </w:r>
      <w:r w:rsidRPr="00201A9A">
        <w:rPr>
          <w:noProof/>
        </w:rPr>
        <w:t>sownych przypadkach, podejścia opartego na obszarze funkcjonalnym</w:t>
      </w:r>
      <w:r w:rsidR="00201A9A" w:rsidRPr="00201A9A">
        <w:rPr>
          <w:noProof/>
        </w:rPr>
        <w:t xml:space="preserve"> i pod</w:t>
      </w:r>
      <w:r w:rsidRPr="00201A9A">
        <w:rPr>
          <w:noProof/>
        </w:rPr>
        <w:t>ejściu ukierunkowanym na konkretny obszar</w:t>
      </w:r>
      <w:r w:rsidR="00201A9A" w:rsidRPr="00201A9A">
        <w:rPr>
          <w:noProof/>
        </w:rPr>
        <w:t>. W pla</w:t>
      </w:r>
      <w:r w:rsidRPr="00201A9A">
        <w:rPr>
          <w:noProof/>
        </w:rPr>
        <w:t>nie określa się odpowiednie kamienie milowe</w:t>
      </w:r>
      <w:r w:rsidR="00201A9A" w:rsidRPr="00201A9A">
        <w:rPr>
          <w:noProof/>
        </w:rPr>
        <w:t xml:space="preserve"> i war</w:t>
      </w:r>
      <w:r w:rsidRPr="00201A9A">
        <w:rPr>
          <w:noProof/>
        </w:rPr>
        <w:t>tości docelowe.</w:t>
      </w:r>
    </w:p>
    <w:p w14:paraId="08DC64B5" w14:textId="36679135" w:rsidR="00D20BC6" w:rsidRPr="00201A9A" w:rsidRDefault="00D20BC6" w:rsidP="003E2902">
      <w:pPr>
        <w:pStyle w:val="NumPar10000000"/>
        <w:numPr>
          <w:ilvl w:val="0"/>
          <w:numId w:val="59"/>
        </w:numPr>
        <w:rPr>
          <w:noProof/>
        </w:rPr>
      </w:pPr>
      <w:r w:rsidRPr="00201A9A">
        <w:rPr>
          <w:noProof/>
        </w:rPr>
        <w:t>Zintegrowane strategie rozwoju terytorialnego</w:t>
      </w:r>
      <w:r w:rsidR="00201A9A" w:rsidRPr="00201A9A">
        <w:rPr>
          <w:noProof/>
        </w:rPr>
        <w:t xml:space="preserve"> i roz</w:t>
      </w:r>
      <w:r w:rsidRPr="00201A9A">
        <w:rPr>
          <w:noProof/>
        </w:rPr>
        <w:t>woju obszarów miejskich:</w:t>
      </w:r>
    </w:p>
    <w:p w14:paraId="0A103804" w14:textId="1BBE3452" w:rsidR="00D20BC6" w:rsidRPr="00201A9A" w:rsidRDefault="00201A9A" w:rsidP="00201A9A">
      <w:pPr>
        <w:pStyle w:val="Point1"/>
        <w:rPr>
          <w:noProof/>
        </w:rPr>
      </w:pPr>
      <w:r w:rsidRPr="00201A9A">
        <w:rPr>
          <w:noProof/>
        </w:rPr>
        <w:t>a)</w:t>
      </w:r>
      <w:r w:rsidRPr="00201A9A">
        <w:rPr>
          <w:noProof/>
        </w:rPr>
        <w:tab/>
      </w:r>
      <w:r w:rsidR="00D20BC6" w:rsidRPr="00201A9A">
        <w:rPr>
          <w:noProof/>
        </w:rPr>
        <w:t>przyczyniają się do osiągnięcia celów określonych</w:t>
      </w:r>
      <w:r w:rsidRPr="00201A9A">
        <w:rPr>
          <w:noProof/>
        </w:rPr>
        <w:t xml:space="preserve"> w art</w:t>
      </w:r>
      <w:r w:rsidR="00D20BC6" w:rsidRPr="00201A9A">
        <w:rPr>
          <w:noProof/>
        </w:rPr>
        <w:t>.</w:t>
      </w:r>
      <w:r w:rsidRPr="00201A9A">
        <w:rPr>
          <w:noProof/>
        </w:rPr>
        <w:t> </w:t>
      </w:r>
      <w:r w:rsidR="00D20BC6" w:rsidRPr="00201A9A">
        <w:rPr>
          <w:noProof/>
        </w:rPr>
        <w:t>2</w:t>
      </w:r>
      <w:r w:rsidRPr="00201A9A">
        <w:rPr>
          <w:noProof/>
        </w:rPr>
        <w:t xml:space="preserve"> i 3</w:t>
      </w:r>
      <w:r w:rsidR="00D20BC6" w:rsidRPr="00201A9A">
        <w:rPr>
          <w:noProof/>
        </w:rPr>
        <w:t xml:space="preserve"> [Cele planu];</w:t>
      </w:r>
    </w:p>
    <w:p w14:paraId="2B41B723" w14:textId="2F7DD1A3" w:rsidR="00D20BC6" w:rsidRPr="00201A9A" w:rsidRDefault="00201A9A" w:rsidP="00201A9A">
      <w:pPr>
        <w:pStyle w:val="Point1"/>
        <w:rPr>
          <w:noProof/>
        </w:rPr>
      </w:pPr>
      <w:r w:rsidRPr="00201A9A">
        <w:rPr>
          <w:noProof/>
        </w:rPr>
        <w:t>b)</w:t>
      </w:r>
      <w:r w:rsidRPr="00201A9A">
        <w:rPr>
          <w:noProof/>
        </w:rPr>
        <w:tab/>
      </w:r>
      <w:r w:rsidR="00D20BC6" w:rsidRPr="00201A9A">
        <w:rPr>
          <w:noProof/>
        </w:rPr>
        <w:t>określają obszar geograficzny</w:t>
      </w:r>
      <w:r w:rsidRPr="00201A9A">
        <w:rPr>
          <w:noProof/>
        </w:rPr>
        <w:t xml:space="preserve"> i pop</w:t>
      </w:r>
      <w:r w:rsidR="00D20BC6" w:rsidRPr="00201A9A">
        <w:rPr>
          <w:noProof/>
        </w:rPr>
        <w:t xml:space="preserve">ulację, których dotyczy dana strategia; </w:t>
      </w:r>
    </w:p>
    <w:p w14:paraId="131B90B6" w14:textId="28C127E6" w:rsidR="00D20BC6" w:rsidRPr="00201A9A" w:rsidRDefault="00201A9A" w:rsidP="00201A9A">
      <w:pPr>
        <w:pStyle w:val="Point1"/>
        <w:rPr>
          <w:noProof/>
        </w:rPr>
      </w:pPr>
      <w:r w:rsidRPr="00201A9A">
        <w:rPr>
          <w:noProof/>
        </w:rPr>
        <w:t>c)</w:t>
      </w:r>
      <w:r w:rsidRPr="00201A9A">
        <w:rPr>
          <w:noProof/>
        </w:rPr>
        <w:tab/>
      </w:r>
      <w:r w:rsidR="00D20BC6" w:rsidRPr="00201A9A">
        <w:rPr>
          <w:noProof/>
        </w:rPr>
        <w:t>zawierają analizę potrzeb rozwojowych</w:t>
      </w:r>
      <w:r w:rsidRPr="00201A9A">
        <w:rPr>
          <w:noProof/>
        </w:rPr>
        <w:t xml:space="preserve"> i opi</w:t>
      </w:r>
      <w:r w:rsidR="00D20BC6" w:rsidRPr="00201A9A">
        <w:rPr>
          <w:noProof/>
        </w:rPr>
        <w:t xml:space="preserve">s zintegrowanego podejścia do zidentyfikowanych potrzeb rozwojowych; </w:t>
      </w:r>
    </w:p>
    <w:p w14:paraId="238B452D" w14:textId="6B240996" w:rsidR="00D20BC6" w:rsidRPr="00201A9A" w:rsidRDefault="00201A9A" w:rsidP="00201A9A">
      <w:pPr>
        <w:pStyle w:val="Point1"/>
        <w:rPr>
          <w:noProof/>
        </w:rPr>
      </w:pPr>
      <w:r w:rsidRPr="00201A9A">
        <w:rPr>
          <w:noProof/>
        </w:rPr>
        <w:t>d)</w:t>
      </w:r>
      <w:r w:rsidRPr="00201A9A">
        <w:rPr>
          <w:noProof/>
        </w:rPr>
        <w:tab/>
      </w:r>
      <w:r w:rsidR="00D20BC6" w:rsidRPr="00201A9A">
        <w:rPr>
          <w:noProof/>
        </w:rPr>
        <w:t>określają kluczowe cele wraz</w:t>
      </w:r>
      <w:r w:rsidRPr="00201A9A">
        <w:rPr>
          <w:noProof/>
        </w:rPr>
        <w:t xml:space="preserve"> z wym</w:t>
      </w:r>
      <w:r w:rsidR="00D20BC6" w:rsidRPr="00201A9A">
        <w:rPr>
          <w:noProof/>
        </w:rPr>
        <w:t xml:space="preserve">iernymi wartościami docelowymi; </w:t>
      </w:r>
    </w:p>
    <w:p w14:paraId="30E98586" w14:textId="77944D0A" w:rsidR="00D20BC6" w:rsidRPr="00201A9A" w:rsidRDefault="00201A9A" w:rsidP="00201A9A">
      <w:pPr>
        <w:pStyle w:val="Point1"/>
        <w:rPr>
          <w:noProof/>
        </w:rPr>
      </w:pPr>
      <w:r w:rsidRPr="00201A9A">
        <w:rPr>
          <w:noProof/>
        </w:rPr>
        <w:t>e)</w:t>
      </w:r>
      <w:r w:rsidRPr="00201A9A">
        <w:rPr>
          <w:noProof/>
        </w:rPr>
        <w:tab/>
      </w:r>
      <w:r w:rsidR="00293659" w:rsidRPr="00201A9A">
        <w:rPr>
          <w:noProof/>
        </w:rPr>
        <w:t>określają zaangażowanie partnerów</w:t>
      </w:r>
      <w:r w:rsidRPr="00201A9A">
        <w:rPr>
          <w:noProof/>
        </w:rPr>
        <w:t xml:space="preserve"> w prz</w:t>
      </w:r>
      <w:r w:rsidR="00293659" w:rsidRPr="00201A9A">
        <w:rPr>
          <w:noProof/>
        </w:rPr>
        <w:t>ygotowanie</w:t>
      </w:r>
      <w:r w:rsidRPr="00201A9A">
        <w:rPr>
          <w:noProof/>
        </w:rPr>
        <w:t xml:space="preserve"> i rea</w:t>
      </w:r>
      <w:r w:rsidR="00293659" w:rsidRPr="00201A9A">
        <w:rPr>
          <w:noProof/>
        </w:rPr>
        <w:t>lizację strategii.</w:t>
      </w:r>
    </w:p>
    <w:p w14:paraId="09B425AC" w14:textId="27A3F682" w:rsidR="007B7B6E" w:rsidRPr="00201A9A" w:rsidRDefault="00D20BC6" w:rsidP="003E2902">
      <w:pPr>
        <w:pStyle w:val="NumPar10000000"/>
        <w:numPr>
          <w:ilvl w:val="0"/>
          <w:numId w:val="59"/>
        </w:numPr>
        <w:rPr>
          <w:noProof/>
        </w:rPr>
      </w:pPr>
      <w:r w:rsidRPr="00201A9A">
        <w:rPr>
          <w:noProof/>
        </w:rPr>
        <w:t>Strategie wdrażane na podstawie niniejszego artykułu są wybierane przez instytucje zarządzające</w:t>
      </w:r>
      <w:r w:rsidR="00201A9A" w:rsidRPr="00201A9A">
        <w:rPr>
          <w:noProof/>
        </w:rPr>
        <w:t xml:space="preserve"> w cel</w:t>
      </w:r>
      <w:r w:rsidRPr="00201A9A">
        <w:rPr>
          <w:noProof/>
        </w:rPr>
        <w:t>u zapewnienia wsparcia,</w:t>
      </w:r>
      <w:r w:rsidR="00201A9A" w:rsidRPr="00201A9A">
        <w:rPr>
          <w:noProof/>
        </w:rPr>
        <w:t xml:space="preserve"> w tym</w:t>
      </w:r>
      <w:r w:rsidRPr="00201A9A">
        <w:rPr>
          <w:noProof/>
        </w:rPr>
        <w:t xml:space="preserve"> jego przygotowania. Za ich realizację odpowiedzialność ponoszą odpowiednie władze lub organy terytorialne lub miejskie, które wybierają operacje lub uczestniczą</w:t>
      </w:r>
      <w:r w:rsidR="00201A9A" w:rsidRPr="00201A9A">
        <w:rPr>
          <w:noProof/>
        </w:rPr>
        <w:t xml:space="preserve"> w ich</w:t>
      </w:r>
      <w:r w:rsidRPr="00201A9A">
        <w:rPr>
          <w:noProof/>
        </w:rPr>
        <w:t xml:space="preserve"> wyborze.</w:t>
      </w:r>
    </w:p>
    <w:p w14:paraId="5F15EF9B" w14:textId="77777777" w:rsidR="007B7B6E" w:rsidRPr="00201A9A" w:rsidRDefault="007B7B6E" w:rsidP="007B7B6E">
      <w:pPr>
        <w:pStyle w:val="Titrearticle"/>
        <w:rPr>
          <w:b/>
          <w:noProof/>
        </w:rPr>
      </w:pPr>
      <w:r w:rsidRPr="00201A9A">
        <w:rPr>
          <w:noProof/>
        </w:rPr>
        <w:t xml:space="preserve">Artykuł 76 </w:t>
      </w:r>
      <w:r w:rsidRPr="00201A9A">
        <w:rPr>
          <w:noProof/>
        </w:rPr>
        <w:br/>
      </w:r>
      <w:r w:rsidRPr="00201A9A">
        <w:rPr>
          <w:b/>
          <w:noProof/>
        </w:rPr>
        <w:t>Rozwój lokalny kierowany przez społeczność</w:t>
      </w:r>
    </w:p>
    <w:p w14:paraId="6795E905" w14:textId="77777777" w:rsidR="00D20BC6" w:rsidRPr="00201A9A" w:rsidRDefault="00D20BC6" w:rsidP="003E2902">
      <w:pPr>
        <w:pStyle w:val="NumPar10000000"/>
        <w:numPr>
          <w:ilvl w:val="0"/>
          <w:numId w:val="65"/>
        </w:numPr>
        <w:rPr>
          <w:noProof/>
        </w:rPr>
      </w:pPr>
      <w:r w:rsidRPr="00201A9A">
        <w:rPr>
          <w:noProof/>
        </w:rPr>
        <w:t>Rozwój lokalny kierowany przez społeczność jest:</w:t>
      </w:r>
    </w:p>
    <w:p w14:paraId="7D194B3D" w14:textId="2C7BEE1D" w:rsidR="00D20BC6" w:rsidRPr="00201A9A" w:rsidRDefault="00201A9A" w:rsidP="00201A9A">
      <w:pPr>
        <w:pStyle w:val="Point1"/>
        <w:rPr>
          <w:noProof/>
        </w:rPr>
      </w:pPr>
      <w:r w:rsidRPr="00201A9A">
        <w:rPr>
          <w:noProof/>
        </w:rPr>
        <w:t>a)</w:t>
      </w:r>
      <w:r w:rsidRPr="00201A9A">
        <w:rPr>
          <w:noProof/>
        </w:rPr>
        <w:tab/>
      </w:r>
      <w:r w:rsidR="00D20BC6" w:rsidRPr="00201A9A">
        <w:rPr>
          <w:noProof/>
        </w:rPr>
        <w:t>skoncentrowany się na obszarach subregionalnych, wiejskich</w:t>
      </w:r>
      <w:r w:rsidRPr="00201A9A">
        <w:rPr>
          <w:noProof/>
        </w:rPr>
        <w:t xml:space="preserve"> i prz</w:t>
      </w:r>
      <w:r w:rsidR="00D20BC6" w:rsidRPr="00201A9A">
        <w:rPr>
          <w:noProof/>
        </w:rPr>
        <w:t>ybrzeżnych;</w:t>
      </w:r>
    </w:p>
    <w:p w14:paraId="4E686EFA" w14:textId="1865A039" w:rsidR="00D20BC6" w:rsidRPr="00201A9A" w:rsidRDefault="00201A9A" w:rsidP="00201A9A">
      <w:pPr>
        <w:pStyle w:val="Point1"/>
        <w:rPr>
          <w:noProof/>
        </w:rPr>
      </w:pPr>
      <w:r w:rsidRPr="00201A9A">
        <w:rPr>
          <w:noProof/>
        </w:rPr>
        <w:t>b)</w:t>
      </w:r>
      <w:r w:rsidRPr="00201A9A">
        <w:rPr>
          <w:noProof/>
        </w:rPr>
        <w:tab/>
      </w:r>
      <w:r w:rsidR="00D20BC6" w:rsidRPr="00201A9A">
        <w:rPr>
          <w:noProof/>
        </w:rPr>
        <w:t>projektowany</w:t>
      </w:r>
      <w:r w:rsidRPr="00201A9A">
        <w:rPr>
          <w:noProof/>
        </w:rPr>
        <w:t xml:space="preserve"> i urz</w:t>
      </w:r>
      <w:r w:rsidR="00D20BC6" w:rsidRPr="00201A9A">
        <w:rPr>
          <w:noProof/>
        </w:rPr>
        <w:t>eczywistniany przez lokalne grupy działania,</w:t>
      </w:r>
      <w:r w:rsidRPr="00201A9A">
        <w:rPr>
          <w:noProof/>
        </w:rPr>
        <w:t xml:space="preserve"> w skł</w:t>
      </w:r>
      <w:r w:rsidR="00D20BC6" w:rsidRPr="00201A9A">
        <w:rPr>
          <w:noProof/>
        </w:rPr>
        <w:t>ad których wchodzą przedstawiciele lokalnych podmiotów publicznych</w:t>
      </w:r>
      <w:r w:rsidRPr="00201A9A">
        <w:rPr>
          <w:noProof/>
        </w:rPr>
        <w:t xml:space="preserve"> i pry</w:t>
      </w:r>
      <w:r w:rsidR="00D20BC6" w:rsidRPr="00201A9A">
        <w:rPr>
          <w:noProof/>
        </w:rPr>
        <w:t>watnych,</w:t>
      </w:r>
      <w:r w:rsidRPr="00201A9A">
        <w:rPr>
          <w:noProof/>
        </w:rPr>
        <w:t xml:space="preserve"> w któ</w:t>
      </w:r>
      <w:r w:rsidR="00D20BC6" w:rsidRPr="00201A9A">
        <w:rPr>
          <w:noProof/>
        </w:rPr>
        <w:t>rych żadna pojedyncza grupa interesów nie kontroluje procesu podejmowania decyzji;</w:t>
      </w:r>
    </w:p>
    <w:p w14:paraId="17764490" w14:textId="7AB9E139" w:rsidR="00D20BC6" w:rsidRPr="00201A9A" w:rsidRDefault="00201A9A" w:rsidP="00201A9A">
      <w:pPr>
        <w:pStyle w:val="Point1"/>
        <w:rPr>
          <w:noProof/>
        </w:rPr>
      </w:pPr>
      <w:r w:rsidRPr="00201A9A">
        <w:rPr>
          <w:noProof/>
        </w:rPr>
        <w:t>c)</w:t>
      </w:r>
      <w:r w:rsidRPr="00201A9A">
        <w:rPr>
          <w:noProof/>
        </w:rPr>
        <w:tab/>
      </w:r>
      <w:r w:rsidR="00D20BC6" w:rsidRPr="00201A9A">
        <w:rPr>
          <w:noProof/>
        </w:rPr>
        <w:t>realizowany za pośrednictwem strategii zgodnie</w:t>
      </w:r>
      <w:r w:rsidRPr="00201A9A">
        <w:rPr>
          <w:noProof/>
        </w:rPr>
        <w:t xml:space="preserve"> z art</w:t>
      </w:r>
      <w:r w:rsidR="00D20BC6" w:rsidRPr="00201A9A">
        <w:rPr>
          <w:noProof/>
        </w:rPr>
        <w:t>.</w:t>
      </w:r>
      <w:r w:rsidRPr="00201A9A">
        <w:rPr>
          <w:noProof/>
        </w:rPr>
        <w:t> </w:t>
      </w:r>
      <w:r w:rsidR="00D20BC6" w:rsidRPr="00201A9A">
        <w:rPr>
          <w:noProof/>
        </w:rPr>
        <w:t>75 [Zintegrowany rozwój terytorialny</w:t>
      </w:r>
      <w:r w:rsidRPr="00201A9A">
        <w:rPr>
          <w:noProof/>
        </w:rPr>
        <w:t xml:space="preserve"> i mie</w:t>
      </w:r>
      <w:r w:rsidR="00D20BC6" w:rsidRPr="00201A9A">
        <w:rPr>
          <w:noProof/>
        </w:rPr>
        <w:t>jski], wspierających innowacyjne elementy</w:t>
      </w:r>
      <w:r w:rsidRPr="00201A9A">
        <w:rPr>
          <w:noProof/>
        </w:rPr>
        <w:t xml:space="preserve"> w kon</w:t>
      </w:r>
      <w:r w:rsidR="00D20BC6" w:rsidRPr="00201A9A">
        <w:rPr>
          <w:noProof/>
        </w:rPr>
        <w:t>tekście lokalnym, tworzenie sieci kontaktów</w:t>
      </w:r>
      <w:r w:rsidRPr="00201A9A">
        <w:rPr>
          <w:noProof/>
        </w:rPr>
        <w:t xml:space="preserve"> i wsp</w:t>
      </w:r>
      <w:r w:rsidR="00D20BC6" w:rsidRPr="00201A9A">
        <w:rPr>
          <w:noProof/>
        </w:rPr>
        <w:t>ółpracę</w:t>
      </w:r>
      <w:r w:rsidRPr="00201A9A">
        <w:rPr>
          <w:noProof/>
        </w:rPr>
        <w:t xml:space="preserve"> z inn</w:t>
      </w:r>
      <w:r w:rsidR="00D20BC6" w:rsidRPr="00201A9A">
        <w:rPr>
          <w:noProof/>
        </w:rPr>
        <w:t>ymi podmiotami terytorialnymi.</w:t>
      </w:r>
    </w:p>
    <w:p w14:paraId="2F3116B0" w14:textId="4D3F1211" w:rsidR="00D20BC6" w:rsidRPr="00201A9A" w:rsidRDefault="00D20BC6" w:rsidP="003E2902">
      <w:pPr>
        <w:pStyle w:val="NumPar10000000"/>
        <w:numPr>
          <w:ilvl w:val="0"/>
          <w:numId w:val="59"/>
        </w:numPr>
        <w:rPr>
          <w:noProof/>
        </w:rPr>
      </w:pPr>
      <w:r w:rsidRPr="00201A9A">
        <w:rPr>
          <w:noProof/>
        </w:rPr>
        <w:t>Wsparcie</w:t>
      </w:r>
      <w:r w:rsidR="00201A9A" w:rsidRPr="00201A9A">
        <w:rPr>
          <w:noProof/>
        </w:rPr>
        <w:t xml:space="preserve"> z Fun</w:t>
      </w:r>
      <w:r w:rsidRPr="00201A9A">
        <w:rPr>
          <w:noProof/>
        </w:rPr>
        <w:t xml:space="preserve">duszu na rzecz rozwoju lokalnego kierowanego przez społeczność obejmuje: </w:t>
      </w:r>
    </w:p>
    <w:p w14:paraId="094037A1" w14:textId="4284D6FD" w:rsidR="00D20BC6" w:rsidRPr="00201A9A" w:rsidRDefault="00201A9A" w:rsidP="00201A9A">
      <w:pPr>
        <w:pStyle w:val="Point1"/>
        <w:rPr>
          <w:noProof/>
        </w:rPr>
      </w:pPr>
      <w:r w:rsidRPr="00201A9A">
        <w:rPr>
          <w:noProof/>
        </w:rPr>
        <w:t>a)</w:t>
      </w:r>
      <w:r w:rsidRPr="00201A9A">
        <w:rPr>
          <w:noProof/>
        </w:rPr>
        <w:tab/>
      </w:r>
      <w:r w:rsidR="00D20BC6" w:rsidRPr="00201A9A">
        <w:rPr>
          <w:noProof/>
        </w:rPr>
        <w:t>budowanie zdolności</w:t>
      </w:r>
      <w:r w:rsidRPr="00201A9A">
        <w:rPr>
          <w:noProof/>
        </w:rPr>
        <w:t xml:space="preserve"> i dzi</w:t>
      </w:r>
      <w:r w:rsidR="00D20BC6" w:rsidRPr="00201A9A">
        <w:rPr>
          <w:noProof/>
        </w:rPr>
        <w:t>ałania przygotowawcze wspierające opracowywanie strategii;</w:t>
      </w:r>
    </w:p>
    <w:p w14:paraId="7FA2DF38" w14:textId="4B5EB592" w:rsidR="00D20BC6" w:rsidRPr="00201A9A" w:rsidRDefault="00201A9A" w:rsidP="00201A9A">
      <w:pPr>
        <w:pStyle w:val="Point1"/>
        <w:rPr>
          <w:noProof/>
        </w:rPr>
      </w:pPr>
      <w:r w:rsidRPr="00201A9A">
        <w:rPr>
          <w:noProof/>
        </w:rPr>
        <w:t>b)</w:t>
      </w:r>
      <w:r w:rsidRPr="00201A9A">
        <w:rPr>
          <w:noProof/>
        </w:rPr>
        <w:tab/>
      </w:r>
      <w:r w:rsidR="00D20BC6" w:rsidRPr="00201A9A">
        <w:rPr>
          <w:noProof/>
        </w:rPr>
        <w:t>przygotowanie</w:t>
      </w:r>
      <w:r w:rsidRPr="00201A9A">
        <w:rPr>
          <w:noProof/>
        </w:rPr>
        <w:t xml:space="preserve"> i wdr</w:t>
      </w:r>
      <w:r w:rsidR="00D20BC6" w:rsidRPr="00201A9A">
        <w:rPr>
          <w:noProof/>
        </w:rPr>
        <w:t>ażanie operacji wybranych</w:t>
      </w:r>
      <w:r w:rsidRPr="00201A9A">
        <w:rPr>
          <w:noProof/>
        </w:rPr>
        <w:t xml:space="preserve"> w ram</w:t>
      </w:r>
      <w:r w:rsidR="00D20BC6" w:rsidRPr="00201A9A">
        <w:rPr>
          <w:noProof/>
        </w:rPr>
        <w:t>ach strategii,</w:t>
      </w:r>
      <w:r w:rsidRPr="00201A9A">
        <w:rPr>
          <w:noProof/>
        </w:rPr>
        <w:t xml:space="preserve"> w tym</w:t>
      </w:r>
      <w:r w:rsidR="00D20BC6" w:rsidRPr="00201A9A">
        <w:rPr>
          <w:noProof/>
        </w:rPr>
        <w:t xml:space="preserve"> działań</w:t>
      </w:r>
      <w:r w:rsidRPr="00201A9A">
        <w:rPr>
          <w:noProof/>
        </w:rPr>
        <w:t xml:space="preserve"> w zak</w:t>
      </w:r>
      <w:r w:rsidR="00D20BC6" w:rsidRPr="00201A9A">
        <w:rPr>
          <w:noProof/>
        </w:rPr>
        <w:t>resie współpracy;</w:t>
      </w:r>
    </w:p>
    <w:p w14:paraId="265A6F57" w14:textId="3C730ECD" w:rsidR="00D20BC6" w:rsidRPr="00201A9A" w:rsidRDefault="00201A9A" w:rsidP="00201A9A">
      <w:pPr>
        <w:pStyle w:val="Point1"/>
        <w:rPr>
          <w:noProof/>
        </w:rPr>
      </w:pPr>
      <w:r w:rsidRPr="00201A9A">
        <w:rPr>
          <w:noProof/>
        </w:rPr>
        <w:t>c)</w:t>
      </w:r>
      <w:r w:rsidRPr="00201A9A">
        <w:rPr>
          <w:noProof/>
        </w:rPr>
        <w:tab/>
      </w:r>
      <w:r w:rsidR="00D20BC6" w:rsidRPr="00201A9A">
        <w:rPr>
          <w:noProof/>
        </w:rPr>
        <w:t>zarządzanie strategią, jej monitorowanie</w:t>
      </w:r>
      <w:r w:rsidRPr="00201A9A">
        <w:rPr>
          <w:noProof/>
        </w:rPr>
        <w:t xml:space="preserve"> i oce</w:t>
      </w:r>
      <w:r w:rsidR="00D20BC6" w:rsidRPr="00201A9A">
        <w:rPr>
          <w:noProof/>
        </w:rPr>
        <w:t>nę oraz jej animowanie,</w:t>
      </w:r>
      <w:r w:rsidRPr="00201A9A">
        <w:rPr>
          <w:noProof/>
        </w:rPr>
        <w:t xml:space="preserve"> w tym</w:t>
      </w:r>
      <w:r w:rsidR="00D20BC6" w:rsidRPr="00201A9A">
        <w:rPr>
          <w:noProof/>
        </w:rPr>
        <w:t xml:space="preserve"> ułatwianie wymiany między zainteresowanymi stronami, oraz komunikację dotyczącą strategii</w:t>
      </w:r>
      <w:r w:rsidRPr="00201A9A">
        <w:rPr>
          <w:noProof/>
        </w:rPr>
        <w:t xml:space="preserve"> i Uni</w:t>
      </w:r>
      <w:r w:rsidR="00D20BC6" w:rsidRPr="00201A9A">
        <w:rPr>
          <w:noProof/>
        </w:rPr>
        <w:t xml:space="preserve">i. </w:t>
      </w:r>
    </w:p>
    <w:p w14:paraId="766E2A27" w14:textId="41D12FE1" w:rsidR="00D20BC6" w:rsidRPr="00201A9A" w:rsidRDefault="00D20BC6" w:rsidP="003E2902">
      <w:pPr>
        <w:pStyle w:val="NumPar10000000"/>
        <w:numPr>
          <w:ilvl w:val="0"/>
          <w:numId w:val="59"/>
        </w:numPr>
        <w:rPr>
          <w:noProof/>
        </w:rPr>
      </w:pPr>
      <w:r w:rsidRPr="00201A9A">
        <w:rPr>
          <w:noProof/>
        </w:rPr>
        <w:t>Podczas przygotowywania</w:t>
      </w:r>
      <w:r w:rsidR="00201A9A" w:rsidRPr="00201A9A">
        <w:rPr>
          <w:noProof/>
        </w:rPr>
        <w:t xml:space="preserve"> i urz</w:t>
      </w:r>
      <w:r w:rsidRPr="00201A9A">
        <w:rPr>
          <w:noProof/>
        </w:rPr>
        <w:t xml:space="preserve">eczywistniania rozwoju lokalnego kierowanego przez społeczność następujące zadania wykonują wyłącznie lokalne grupy działania: </w:t>
      </w:r>
    </w:p>
    <w:p w14:paraId="7B541A4B" w14:textId="2D8A84C4" w:rsidR="00D20BC6" w:rsidRPr="00201A9A" w:rsidRDefault="00201A9A" w:rsidP="00201A9A">
      <w:pPr>
        <w:pStyle w:val="Point1"/>
        <w:rPr>
          <w:noProof/>
        </w:rPr>
      </w:pPr>
      <w:r w:rsidRPr="00201A9A">
        <w:rPr>
          <w:noProof/>
        </w:rPr>
        <w:t>a)</w:t>
      </w:r>
      <w:r w:rsidRPr="00201A9A">
        <w:rPr>
          <w:noProof/>
        </w:rPr>
        <w:tab/>
      </w:r>
      <w:r w:rsidR="00D20BC6" w:rsidRPr="00201A9A">
        <w:rPr>
          <w:noProof/>
        </w:rPr>
        <w:t>przygotowanie strategii rozwoju lokalnego;</w:t>
      </w:r>
    </w:p>
    <w:p w14:paraId="6481A076" w14:textId="305B40BE" w:rsidR="00D20BC6" w:rsidRPr="00201A9A" w:rsidRDefault="00201A9A" w:rsidP="00201A9A">
      <w:pPr>
        <w:pStyle w:val="Point1"/>
        <w:rPr>
          <w:noProof/>
        </w:rPr>
      </w:pPr>
      <w:r w:rsidRPr="00201A9A">
        <w:rPr>
          <w:noProof/>
        </w:rPr>
        <w:t>b)</w:t>
      </w:r>
      <w:r w:rsidRPr="00201A9A">
        <w:rPr>
          <w:noProof/>
        </w:rPr>
        <w:tab/>
      </w:r>
      <w:r w:rsidR="00D20BC6" w:rsidRPr="00201A9A">
        <w:rPr>
          <w:noProof/>
        </w:rPr>
        <w:t>rozwijanie zdolności podmiotów lokalnych do opracowywania</w:t>
      </w:r>
      <w:r w:rsidRPr="00201A9A">
        <w:rPr>
          <w:noProof/>
        </w:rPr>
        <w:t xml:space="preserve"> i wdr</w:t>
      </w:r>
      <w:r w:rsidR="00D20BC6" w:rsidRPr="00201A9A">
        <w:rPr>
          <w:noProof/>
        </w:rPr>
        <w:t xml:space="preserve">ażania operacji; </w:t>
      </w:r>
    </w:p>
    <w:p w14:paraId="5BF5BA63" w14:textId="09966AA5" w:rsidR="00D20BC6" w:rsidRPr="00201A9A" w:rsidRDefault="00201A9A" w:rsidP="00201A9A">
      <w:pPr>
        <w:pStyle w:val="Point1"/>
        <w:rPr>
          <w:noProof/>
        </w:rPr>
      </w:pPr>
      <w:r w:rsidRPr="00201A9A">
        <w:rPr>
          <w:noProof/>
        </w:rPr>
        <w:t>c)</w:t>
      </w:r>
      <w:r w:rsidRPr="00201A9A">
        <w:rPr>
          <w:noProof/>
        </w:rPr>
        <w:tab/>
      </w:r>
      <w:r w:rsidR="00D20BC6" w:rsidRPr="00201A9A">
        <w:rPr>
          <w:noProof/>
        </w:rPr>
        <w:t>opracowanie niedyskryminującej</w:t>
      </w:r>
      <w:r w:rsidRPr="00201A9A">
        <w:rPr>
          <w:noProof/>
        </w:rPr>
        <w:t xml:space="preserve"> i prz</w:t>
      </w:r>
      <w:r w:rsidR="00D20BC6" w:rsidRPr="00201A9A">
        <w:rPr>
          <w:noProof/>
        </w:rPr>
        <w:t>ejrzystej procedury</w:t>
      </w:r>
      <w:r w:rsidRPr="00201A9A">
        <w:rPr>
          <w:noProof/>
        </w:rPr>
        <w:t xml:space="preserve"> i kry</w:t>
      </w:r>
      <w:r w:rsidR="00D20BC6" w:rsidRPr="00201A9A">
        <w:rPr>
          <w:noProof/>
        </w:rPr>
        <w:t>teriów wyboru, które pozwalają uniknąć konfliktu interesów</w:t>
      </w:r>
      <w:r w:rsidRPr="00201A9A">
        <w:rPr>
          <w:noProof/>
        </w:rPr>
        <w:t xml:space="preserve"> i zap</w:t>
      </w:r>
      <w:r w:rsidR="00D20BC6" w:rsidRPr="00201A9A">
        <w:rPr>
          <w:noProof/>
        </w:rPr>
        <w:t>ewniają, aby żadna pojedyncza grupa interesu nie kontrolowała decyzji</w:t>
      </w:r>
      <w:r w:rsidRPr="00201A9A">
        <w:rPr>
          <w:noProof/>
        </w:rPr>
        <w:t xml:space="preserve"> w spr</w:t>
      </w:r>
      <w:r w:rsidR="00D20BC6" w:rsidRPr="00201A9A">
        <w:rPr>
          <w:noProof/>
        </w:rPr>
        <w:t>awie wyboru;</w:t>
      </w:r>
    </w:p>
    <w:p w14:paraId="7CFC5AE7" w14:textId="43C0DCF4" w:rsidR="00D20BC6" w:rsidRPr="00201A9A" w:rsidRDefault="00201A9A" w:rsidP="00201A9A">
      <w:pPr>
        <w:pStyle w:val="Point1"/>
        <w:rPr>
          <w:noProof/>
        </w:rPr>
      </w:pPr>
      <w:r w:rsidRPr="00201A9A">
        <w:rPr>
          <w:noProof/>
        </w:rPr>
        <w:t>d)</w:t>
      </w:r>
      <w:r w:rsidRPr="00201A9A">
        <w:rPr>
          <w:noProof/>
        </w:rPr>
        <w:tab/>
      </w:r>
      <w:r w:rsidR="00D20BC6" w:rsidRPr="00201A9A">
        <w:rPr>
          <w:noProof/>
        </w:rPr>
        <w:t>wybór operacji;</w:t>
      </w:r>
    </w:p>
    <w:p w14:paraId="7838422E" w14:textId="33E1712A" w:rsidR="00D20BC6" w:rsidRPr="00201A9A" w:rsidRDefault="00201A9A" w:rsidP="00201A9A">
      <w:pPr>
        <w:pStyle w:val="Point1"/>
        <w:rPr>
          <w:noProof/>
        </w:rPr>
      </w:pPr>
      <w:r w:rsidRPr="00201A9A">
        <w:rPr>
          <w:noProof/>
        </w:rPr>
        <w:t>e)</w:t>
      </w:r>
      <w:r w:rsidRPr="00201A9A">
        <w:rPr>
          <w:noProof/>
        </w:rPr>
        <w:tab/>
      </w:r>
      <w:r w:rsidR="00D20BC6" w:rsidRPr="00201A9A">
        <w:rPr>
          <w:noProof/>
        </w:rPr>
        <w:t>monitorowanie postępów</w:t>
      </w:r>
      <w:r w:rsidRPr="00201A9A">
        <w:rPr>
          <w:noProof/>
        </w:rPr>
        <w:t xml:space="preserve"> w osi</w:t>
      </w:r>
      <w:r w:rsidR="00D20BC6" w:rsidRPr="00201A9A">
        <w:rPr>
          <w:noProof/>
        </w:rPr>
        <w:t>ąganiu celów</w:t>
      </w:r>
      <w:r w:rsidRPr="00201A9A">
        <w:rPr>
          <w:noProof/>
        </w:rPr>
        <w:t xml:space="preserve"> i oce</w:t>
      </w:r>
      <w:r w:rsidR="00D20BC6" w:rsidRPr="00201A9A">
        <w:rPr>
          <w:noProof/>
        </w:rPr>
        <w:t xml:space="preserve">na wdrażania strategii; </w:t>
      </w:r>
    </w:p>
    <w:p w14:paraId="214FDF11" w14:textId="6B667ED8" w:rsidR="00D20BC6" w:rsidRPr="00201A9A" w:rsidRDefault="00201A9A" w:rsidP="00201A9A">
      <w:pPr>
        <w:pStyle w:val="Point1"/>
        <w:rPr>
          <w:noProof/>
        </w:rPr>
      </w:pPr>
      <w:r w:rsidRPr="00201A9A">
        <w:rPr>
          <w:noProof/>
        </w:rPr>
        <w:t>f)</w:t>
      </w:r>
      <w:r w:rsidRPr="00201A9A">
        <w:rPr>
          <w:noProof/>
        </w:rPr>
        <w:tab/>
      </w:r>
      <w:r w:rsidR="00D20BC6" w:rsidRPr="00201A9A">
        <w:rPr>
          <w:noProof/>
        </w:rPr>
        <w:t>informowanie</w:t>
      </w:r>
      <w:r w:rsidRPr="00201A9A">
        <w:rPr>
          <w:noProof/>
        </w:rPr>
        <w:t xml:space="preserve"> o str</w:t>
      </w:r>
      <w:r w:rsidR="00D20BC6" w:rsidRPr="00201A9A">
        <w:rPr>
          <w:noProof/>
        </w:rPr>
        <w:t>ategii rozwoju lokalnego</w:t>
      </w:r>
      <w:r w:rsidRPr="00201A9A">
        <w:rPr>
          <w:noProof/>
        </w:rPr>
        <w:t xml:space="preserve"> i rol</w:t>
      </w:r>
      <w:r w:rsidR="00D20BC6" w:rsidRPr="00201A9A">
        <w:rPr>
          <w:noProof/>
        </w:rPr>
        <w:t>i Unii</w:t>
      </w:r>
      <w:r w:rsidRPr="00201A9A">
        <w:rPr>
          <w:noProof/>
        </w:rPr>
        <w:t xml:space="preserve"> w jej</w:t>
      </w:r>
      <w:r w:rsidR="00D20BC6" w:rsidRPr="00201A9A">
        <w:rPr>
          <w:noProof/>
        </w:rPr>
        <w:t xml:space="preserve"> wspieraniu.</w:t>
      </w:r>
    </w:p>
    <w:p w14:paraId="102D4880" w14:textId="1489B09E" w:rsidR="00D20BC6" w:rsidRPr="00201A9A" w:rsidRDefault="00D20BC6" w:rsidP="003E2902">
      <w:pPr>
        <w:pStyle w:val="NumPar10000000"/>
        <w:numPr>
          <w:ilvl w:val="0"/>
          <w:numId w:val="59"/>
        </w:numPr>
        <w:rPr>
          <w:noProof/>
        </w:rPr>
      </w:pPr>
      <w:r w:rsidRPr="00201A9A">
        <w:rPr>
          <w:noProof/>
        </w:rPr>
        <w:t>Lokalna grupa działania może być beneficjentem</w:t>
      </w:r>
      <w:r w:rsidR="00201A9A" w:rsidRPr="00201A9A">
        <w:rPr>
          <w:noProof/>
        </w:rPr>
        <w:t xml:space="preserve"> i moż</w:t>
      </w:r>
      <w:r w:rsidRPr="00201A9A">
        <w:rPr>
          <w:noProof/>
        </w:rPr>
        <w:t>e wdrażać operacje zgodnie ze strategią,</w:t>
      </w:r>
      <w:r w:rsidR="00201A9A" w:rsidRPr="00201A9A">
        <w:rPr>
          <w:noProof/>
        </w:rPr>
        <w:t xml:space="preserve"> o ile</w:t>
      </w:r>
      <w:r w:rsidRPr="00201A9A">
        <w:rPr>
          <w:noProof/>
        </w:rPr>
        <w:t xml:space="preserve"> lokalna grupa działania zapewnia przestrzeganie tej zasady rozdziału funkcji.</w:t>
      </w:r>
    </w:p>
    <w:p w14:paraId="34430841" w14:textId="70CDAB18" w:rsidR="00D0191E" w:rsidRPr="00201A9A" w:rsidRDefault="00D0191E" w:rsidP="00B53FA6">
      <w:pPr>
        <w:pStyle w:val="Titrearticle"/>
        <w:rPr>
          <w:b/>
          <w:noProof/>
        </w:rPr>
      </w:pPr>
      <w:r w:rsidRPr="00201A9A">
        <w:rPr>
          <w:noProof/>
        </w:rPr>
        <w:t xml:space="preserve">Artykuł 77 </w:t>
      </w:r>
      <w:r w:rsidRPr="00201A9A">
        <w:rPr>
          <w:noProof/>
        </w:rPr>
        <w:br/>
      </w:r>
      <w:r w:rsidRPr="00201A9A">
        <w:rPr>
          <w:b/>
          <w:noProof/>
        </w:rPr>
        <w:t>Wsparcie</w:t>
      </w:r>
      <w:r w:rsidR="00201A9A" w:rsidRPr="00201A9A">
        <w:rPr>
          <w:b/>
          <w:noProof/>
        </w:rPr>
        <w:t xml:space="preserve"> w ram</w:t>
      </w:r>
      <w:r w:rsidRPr="00201A9A">
        <w:rPr>
          <w:b/>
          <w:noProof/>
        </w:rPr>
        <w:t xml:space="preserve">ach inicjatywy LEADER </w:t>
      </w:r>
    </w:p>
    <w:p w14:paraId="0AA07078" w14:textId="71773DB0" w:rsidR="00D0191E" w:rsidRPr="00201A9A" w:rsidRDefault="00D0191E" w:rsidP="003E2902">
      <w:pPr>
        <w:pStyle w:val="NumPar10000000"/>
        <w:numPr>
          <w:ilvl w:val="0"/>
          <w:numId w:val="111"/>
        </w:numPr>
        <w:rPr>
          <w:noProof/>
        </w:rPr>
      </w:pPr>
      <w:r w:rsidRPr="00201A9A">
        <w:rPr>
          <w:noProof/>
        </w:rPr>
        <w:t>Wsparcie udzielane za pośrednictwem inicjatywy LEADER,</w:t>
      </w:r>
      <w:r w:rsidR="00201A9A" w:rsidRPr="00201A9A">
        <w:rPr>
          <w:noProof/>
        </w:rPr>
        <w:t xml:space="preserve"> o któ</w:t>
      </w:r>
      <w:r w:rsidRPr="00201A9A">
        <w:rPr>
          <w:noProof/>
        </w:rPr>
        <w:t>rym mowa</w:t>
      </w:r>
      <w:r w:rsidR="00201A9A" w:rsidRPr="00201A9A">
        <w:rPr>
          <w:noProof/>
        </w:rPr>
        <w:t xml:space="preserve"> w art</w:t>
      </w:r>
      <w:r w:rsidRPr="00201A9A">
        <w:rPr>
          <w:noProof/>
        </w:rPr>
        <w:t>.</w:t>
      </w:r>
      <w:r w:rsidR="00201A9A" w:rsidRPr="00201A9A">
        <w:rPr>
          <w:noProof/>
        </w:rPr>
        <w:t> </w:t>
      </w:r>
      <w:r w:rsidRPr="00201A9A">
        <w:rPr>
          <w:noProof/>
        </w:rPr>
        <w:t>18 rozporządzenia (UE) 202X/XXXX [rozporządzenie</w:t>
      </w:r>
      <w:r w:rsidR="00201A9A" w:rsidRPr="00201A9A">
        <w:rPr>
          <w:noProof/>
        </w:rPr>
        <w:t xml:space="preserve"> w spr</w:t>
      </w:r>
      <w:r w:rsidRPr="00201A9A">
        <w:rPr>
          <w:noProof/>
        </w:rPr>
        <w:t>awie WPR], spełnia następujące wymogi:</w:t>
      </w:r>
      <w:r w:rsidR="00201A9A" w:rsidRPr="00201A9A">
        <w:rPr>
          <w:noProof/>
        </w:rPr>
        <w:t xml:space="preserve"> </w:t>
      </w:r>
    </w:p>
    <w:p w14:paraId="480770AD" w14:textId="7CC914A5" w:rsidR="00D0191E" w:rsidRPr="00201A9A" w:rsidRDefault="00201A9A" w:rsidP="00201A9A">
      <w:pPr>
        <w:pStyle w:val="Point1"/>
        <w:rPr>
          <w:noProof/>
        </w:rPr>
      </w:pPr>
      <w:r w:rsidRPr="00201A9A">
        <w:rPr>
          <w:noProof/>
        </w:rPr>
        <w:t>a)</w:t>
      </w:r>
      <w:r w:rsidRPr="00201A9A">
        <w:rPr>
          <w:noProof/>
        </w:rPr>
        <w:tab/>
      </w:r>
      <w:r w:rsidR="00D0191E" w:rsidRPr="00201A9A">
        <w:rPr>
          <w:noProof/>
        </w:rPr>
        <w:t>stosowanie uproszczonych metod rozliczania kosztów jest obowiązkowe</w:t>
      </w:r>
      <w:r w:rsidRPr="00201A9A">
        <w:rPr>
          <w:noProof/>
        </w:rPr>
        <w:t xml:space="preserve"> w odn</w:t>
      </w:r>
      <w:r w:rsidR="00D0191E" w:rsidRPr="00201A9A">
        <w:rPr>
          <w:noProof/>
        </w:rPr>
        <w:t>iesieniu do kosztów funkcjonowania lokalnych grup działania</w:t>
      </w:r>
      <w:r w:rsidRPr="00201A9A">
        <w:rPr>
          <w:noProof/>
        </w:rPr>
        <w:t xml:space="preserve"> w ram</w:t>
      </w:r>
      <w:r w:rsidR="00D0191E" w:rsidRPr="00201A9A">
        <w:rPr>
          <w:noProof/>
        </w:rPr>
        <w:t>ach inicjatywy LEADER;</w:t>
      </w:r>
      <w:r w:rsidRPr="00201A9A">
        <w:rPr>
          <w:noProof/>
        </w:rPr>
        <w:t xml:space="preserve"> </w:t>
      </w:r>
    </w:p>
    <w:p w14:paraId="607A88D1" w14:textId="121ED965" w:rsidR="00D0191E" w:rsidRPr="00201A9A" w:rsidRDefault="00201A9A" w:rsidP="00201A9A">
      <w:pPr>
        <w:pStyle w:val="Point1"/>
        <w:rPr>
          <w:noProof/>
        </w:rPr>
      </w:pPr>
      <w:r w:rsidRPr="00201A9A">
        <w:rPr>
          <w:noProof/>
        </w:rPr>
        <w:t>b)</w:t>
      </w:r>
      <w:r w:rsidRPr="00201A9A">
        <w:rPr>
          <w:noProof/>
        </w:rPr>
        <w:tab/>
      </w:r>
      <w:r w:rsidR="00D0191E" w:rsidRPr="00201A9A">
        <w:rPr>
          <w:noProof/>
        </w:rPr>
        <w:t>wsparcie dla projektów realizowanych zgodnie ze strategiami rozwoju lokalnego</w:t>
      </w:r>
      <w:r w:rsidRPr="00201A9A">
        <w:rPr>
          <w:noProof/>
        </w:rPr>
        <w:t xml:space="preserve"> w ram</w:t>
      </w:r>
      <w:r w:rsidR="00D0191E" w:rsidRPr="00201A9A">
        <w:rPr>
          <w:noProof/>
        </w:rPr>
        <w:t>ach inicjatywy LEADER, którego kwota nie przekracza 20 000 EUR, udzielane jest</w:t>
      </w:r>
      <w:r w:rsidRPr="00201A9A">
        <w:rPr>
          <w:noProof/>
        </w:rPr>
        <w:t xml:space="preserve"> w for</w:t>
      </w:r>
      <w:r w:rsidR="00D0191E" w:rsidRPr="00201A9A">
        <w:rPr>
          <w:noProof/>
        </w:rPr>
        <w:t>mie płatności ryczałtowych</w:t>
      </w:r>
      <w:r w:rsidRPr="00201A9A">
        <w:rPr>
          <w:noProof/>
        </w:rPr>
        <w:t xml:space="preserve"> i moż</w:t>
      </w:r>
      <w:r w:rsidR="00D0191E" w:rsidRPr="00201A9A">
        <w:rPr>
          <w:noProof/>
        </w:rPr>
        <w:t>e być zróżnicowane zgodnie</w:t>
      </w:r>
      <w:r w:rsidRPr="00201A9A">
        <w:rPr>
          <w:noProof/>
        </w:rPr>
        <w:t xml:space="preserve"> z obi</w:t>
      </w:r>
      <w:r w:rsidR="00D0191E" w:rsidRPr="00201A9A">
        <w:rPr>
          <w:noProof/>
        </w:rPr>
        <w:t>ektywnymi</w:t>
      </w:r>
      <w:r w:rsidRPr="00201A9A">
        <w:rPr>
          <w:noProof/>
        </w:rPr>
        <w:t xml:space="preserve"> i nie</w:t>
      </w:r>
      <w:r w:rsidR="00D0191E" w:rsidRPr="00201A9A">
        <w:rPr>
          <w:noProof/>
        </w:rPr>
        <w:t>dyskryminacyjnymi kryteriami;</w:t>
      </w:r>
      <w:r w:rsidRPr="00201A9A">
        <w:rPr>
          <w:noProof/>
        </w:rPr>
        <w:t xml:space="preserve"> </w:t>
      </w:r>
    </w:p>
    <w:p w14:paraId="57DFB050" w14:textId="16BA3781" w:rsidR="00D0191E" w:rsidRPr="00201A9A" w:rsidRDefault="00201A9A" w:rsidP="00201A9A">
      <w:pPr>
        <w:pStyle w:val="Point1"/>
        <w:rPr>
          <w:noProof/>
        </w:rPr>
      </w:pPr>
      <w:r w:rsidRPr="00201A9A">
        <w:rPr>
          <w:noProof/>
        </w:rPr>
        <w:t>c)</w:t>
      </w:r>
      <w:r w:rsidRPr="00201A9A">
        <w:rPr>
          <w:noProof/>
        </w:rPr>
        <w:tab/>
      </w:r>
      <w:r w:rsidR="00D0191E" w:rsidRPr="00201A9A">
        <w:rPr>
          <w:noProof/>
        </w:rPr>
        <w:t>wsparcie dla przedsiębiorstw wiejskich rozpoczynających działalność pozarolniczą na obszarach wiejskich może być udzielane</w:t>
      </w:r>
      <w:r w:rsidRPr="00201A9A">
        <w:rPr>
          <w:noProof/>
        </w:rPr>
        <w:t xml:space="preserve"> w for</w:t>
      </w:r>
      <w:r w:rsidR="00D0191E" w:rsidRPr="00201A9A">
        <w:rPr>
          <w:noProof/>
        </w:rPr>
        <w:t>mie kwot ryczałtowych do maksymalnej kwoty 100 000 EUR</w:t>
      </w:r>
      <w:r w:rsidRPr="00201A9A">
        <w:rPr>
          <w:noProof/>
        </w:rPr>
        <w:t xml:space="preserve"> i moż</w:t>
      </w:r>
      <w:r w:rsidR="00D0191E" w:rsidRPr="00201A9A">
        <w:rPr>
          <w:noProof/>
        </w:rPr>
        <w:t>e być zróżnicowane zgodnie</w:t>
      </w:r>
      <w:r w:rsidRPr="00201A9A">
        <w:rPr>
          <w:noProof/>
        </w:rPr>
        <w:t xml:space="preserve"> z obi</w:t>
      </w:r>
      <w:r w:rsidR="00D0191E" w:rsidRPr="00201A9A">
        <w:rPr>
          <w:noProof/>
        </w:rPr>
        <w:t>ektywnymi</w:t>
      </w:r>
      <w:r w:rsidRPr="00201A9A">
        <w:rPr>
          <w:noProof/>
        </w:rPr>
        <w:t xml:space="preserve"> i nie</w:t>
      </w:r>
      <w:r w:rsidR="00D0191E" w:rsidRPr="00201A9A">
        <w:rPr>
          <w:noProof/>
        </w:rPr>
        <w:t>dyskryminacyjnymi kryteriami;</w:t>
      </w:r>
      <w:r w:rsidRPr="00201A9A">
        <w:rPr>
          <w:noProof/>
        </w:rPr>
        <w:t xml:space="preserve"> </w:t>
      </w:r>
    </w:p>
    <w:p w14:paraId="3B7BC69A" w14:textId="7DD276E0" w:rsidR="00D0191E" w:rsidRPr="00201A9A" w:rsidRDefault="00201A9A" w:rsidP="00201A9A">
      <w:pPr>
        <w:pStyle w:val="Point1"/>
        <w:rPr>
          <w:noProof/>
        </w:rPr>
      </w:pPr>
      <w:r w:rsidRPr="00201A9A">
        <w:rPr>
          <w:noProof/>
        </w:rPr>
        <w:t>d)</w:t>
      </w:r>
      <w:r w:rsidRPr="00201A9A">
        <w:rPr>
          <w:noProof/>
        </w:rPr>
        <w:tab/>
      </w:r>
      <w:r w:rsidR="00D0191E" w:rsidRPr="00201A9A">
        <w:rPr>
          <w:noProof/>
        </w:rPr>
        <w:t>zachęca się do stosowania uproszczonych metod rozliczania kosztów</w:t>
      </w:r>
      <w:r w:rsidRPr="00201A9A">
        <w:rPr>
          <w:noProof/>
        </w:rPr>
        <w:t xml:space="preserve"> w prz</w:t>
      </w:r>
      <w:r w:rsidR="00D0191E" w:rsidRPr="00201A9A">
        <w:rPr>
          <w:noProof/>
        </w:rPr>
        <w:t>ypadku projektów realizowanych</w:t>
      </w:r>
      <w:r w:rsidRPr="00201A9A">
        <w:rPr>
          <w:noProof/>
        </w:rPr>
        <w:t xml:space="preserve"> w zak</w:t>
      </w:r>
      <w:r w:rsidR="00D0191E" w:rsidRPr="00201A9A">
        <w:rPr>
          <w:noProof/>
        </w:rPr>
        <w:t>resie strategii rozwoju lokalnego</w:t>
      </w:r>
      <w:r w:rsidRPr="00201A9A">
        <w:rPr>
          <w:noProof/>
        </w:rPr>
        <w:t xml:space="preserve"> w ram</w:t>
      </w:r>
      <w:r w:rsidR="00D0191E" w:rsidRPr="00201A9A">
        <w:rPr>
          <w:noProof/>
        </w:rPr>
        <w:t xml:space="preserve">ach inicjatywy LEADER. </w:t>
      </w:r>
    </w:p>
    <w:p w14:paraId="167EDE1C" w14:textId="4C14ED74" w:rsidR="00D0191E" w:rsidRPr="00201A9A" w:rsidRDefault="00D0191E" w:rsidP="003E2902">
      <w:pPr>
        <w:pStyle w:val="NumPar10000000"/>
        <w:numPr>
          <w:ilvl w:val="0"/>
          <w:numId w:val="59"/>
        </w:numPr>
        <w:rPr>
          <w:noProof/>
        </w:rPr>
      </w:pPr>
      <w:r w:rsidRPr="00201A9A">
        <w:rPr>
          <w:noProof/>
        </w:rPr>
        <w:t>Wsparcie udzielane na podstawie niniejszego artykułu może obejmować koszty przygotowania strategii rozwoju lokalnego lub koszty realizowanych operacji lub oba te koszty. Państwa członkowskie zapewniają, aby koszty operacji były zgodne</w:t>
      </w:r>
      <w:r w:rsidR="00201A9A" w:rsidRPr="00201A9A">
        <w:rPr>
          <w:noProof/>
        </w:rPr>
        <w:t xml:space="preserve"> z wym</w:t>
      </w:r>
      <w:r w:rsidRPr="00201A9A">
        <w:rPr>
          <w:noProof/>
        </w:rPr>
        <w:t>ogami ustanowionymi dla odpowiednich rodzajów interwencji określonych</w:t>
      </w:r>
      <w:r w:rsidR="00201A9A" w:rsidRPr="00201A9A">
        <w:rPr>
          <w:noProof/>
        </w:rPr>
        <w:t xml:space="preserve"> w nin</w:t>
      </w:r>
      <w:r w:rsidRPr="00201A9A">
        <w:rPr>
          <w:noProof/>
        </w:rPr>
        <w:t xml:space="preserve">iejszym rozporządzeniu. </w:t>
      </w:r>
    </w:p>
    <w:p w14:paraId="1C1B9BAF" w14:textId="77777777" w:rsidR="00CF3BD3" w:rsidRPr="00201A9A" w:rsidRDefault="00CF3BD3" w:rsidP="00CF3BD3">
      <w:pPr>
        <w:pStyle w:val="Titlearticle"/>
        <w:rPr>
          <w:noProof/>
        </w:rPr>
      </w:pPr>
      <w:r w:rsidRPr="00201A9A">
        <w:rPr>
          <w:noProof/>
        </w:rPr>
        <w:t xml:space="preserve">Artykuł 78 </w:t>
      </w:r>
      <w:r w:rsidRPr="00201A9A">
        <w:rPr>
          <w:noProof/>
        </w:rPr>
        <w:br/>
      </w:r>
      <w:r w:rsidRPr="00201A9A">
        <w:rPr>
          <w:b/>
          <w:noProof/>
        </w:rPr>
        <w:t>Stosowanie uproszczonej formy wsparcia na rzecz beneficjentów</w:t>
      </w:r>
    </w:p>
    <w:p w14:paraId="6A30554C" w14:textId="4831B579" w:rsidR="00CF3BD3" w:rsidRPr="00201A9A" w:rsidRDefault="00875961" w:rsidP="00875961">
      <w:pPr>
        <w:pStyle w:val="ManualNumPar1"/>
        <w:rPr>
          <w:noProof/>
        </w:rPr>
      </w:pPr>
      <w:r w:rsidRPr="00875961">
        <w:rPr>
          <w:noProof/>
        </w:rPr>
        <w:t>1.</w:t>
      </w:r>
      <w:r w:rsidRPr="00875961">
        <w:rPr>
          <w:noProof/>
        </w:rPr>
        <w:tab/>
      </w:r>
      <w:r w:rsidR="00710BA2" w:rsidRPr="00201A9A">
        <w:rPr>
          <w:noProof/>
        </w:rPr>
        <w:t>O ile niniejsze rozporządzenie nie stanowi inaczej,</w:t>
      </w:r>
      <w:r w:rsidR="00201A9A" w:rsidRPr="00201A9A">
        <w:rPr>
          <w:noProof/>
        </w:rPr>
        <w:t xml:space="preserve"> w prz</w:t>
      </w:r>
      <w:r w:rsidR="00710BA2" w:rsidRPr="00201A9A">
        <w:rPr>
          <w:noProof/>
        </w:rPr>
        <w:t>ypadku gdy całkowity szacunkowy koszt operacji nie przekracza 400 000 EUR, wsparcie publiczne udzielone beneficjentowi przez państwo członkowskie przyjmuje formę finansowania niepowiązanego</w:t>
      </w:r>
      <w:r w:rsidR="00201A9A" w:rsidRPr="00201A9A">
        <w:rPr>
          <w:noProof/>
        </w:rPr>
        <w:t xml:space="preserve"> z kos</w:t>
      </w:r>
      <w:r w:rsidR="00710BA2" w:rsidRPr="00201A9A">
        <w:rPr>
          <w:noProof/>
        </w:rPr>
        <w:t>ztami lub kosztów jednostkowych, płatności ryczałtowych lub finansowania według stawek zryczałtowanych,</w:t>
      </w:r>
      <w:r w:rsidR="00201A9A" w:rsidRPr="00201A9A">
        <w:rPr>
          <w:noProof/>
        </w:rPr>
        <w:t xml:space="preserve"> z wyj</w:t>
      </w:r>
      <w:r w:rsidR="00710BA2" w:rsidRPr="00201A9A">
        <w:rPr>
          <w:noProof/>
        </w:rPr>
        <w:t>ątkiem operacji,</w:t>
      </w:r>
      <w:r w:rsidR="00201A9A" w:rsidRPr="00201A9A">
        <w:rPr>
          <w:noProof/>
        </w:rPr>
        <w:t xml:space="preserve"> w prz</w:t>
      </w:r>
      <w:r w:rsidR="00710BA2" w:rsidRPr="00201A9A">
        <w:rPr>
          <w:noProof/>
        </w:rPr>
        <w:t>ypadku których wsparcie stanowi pomoc państwa.</w:t>
      </w:r>
    </w:p>
    <w:p w14:paraId="5B4544CF" w14:textId="486C4154" w:rsidR="008A4296" w:rsidRPr="00201A9A" w:rsidRDefault="008A4296" w:rsidP="003E2902">
      <w:pPr>
        <w:pStyle w:val="NumPar10000000"/>
        <w:numPr>
          <w:ilvl w:val="0"/>
          <w:numId w:val="59"/>
        </w:numPr>
        <w:rPr>
          <w:noProof/>
        </w:rPr>
      </w:pPr>
      <w:r w:rsidRPr="00201A9A">
        <w:rPr>
          <w:noProof/>
        </w:rPr>
        <w:t>W przypadku operacji wspieranych</w:t>
      </w:r>
      <w:r w:rsidR="00201A9A" w:rsidRPr="00201A9A">
        <w:rPr>
          <w:noProof/>
        </w:rPr>
        <w:t xml:space="preserve"> w ram</w:t>
      </w:r>
      <w:r w:rsidRPr="00201A9A">
        <w:rPr>
          <w:noProof/>
        </w:rPr>
        <w:t>ach interwencji,</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34 ust.</w:t>
      </w:r>
      <w:r w:rsidR="00201A9A" w:rsidRPr="00201A9A">
        <w:rPr>
          <w:noProof/>
        </w:rPr>
        <w:t> </w:t>
      </w:r>
      <w:r w:rsidRPr="00201A9A">
        <w:rPr>
          <w:noProof/>
        </w:rPr>
        <w:t>1 [Rodzaje interwencji], wymogi określone</w:t>
      </w:r>
      <w:r w:rsidR="00201A9A" w:rsidRPr="00201A9A">
        <w:rPr>
          <w:noProof/>
        </w:rPr>
        <w:t xml:space="preserve"> w ust</w:t>
      </w:r>
      <w:r w:rsidRPr="00201A9A">
        <w:rPr>
          <w:noProof/>
        </w:rPr>
        <w:t>.</w:t>
      </w:r>
      <w:r w:rsidR="00201A9A" w:rsidRPr="00201A9A">
        <w:rPr>
          <w:noProof/>
        </w:rPr>
        <w:t> </w:t>
      </w:r>
      <w:r w:rsidRPr="00201A9A">
        <w:rPr>
          <w:noProof/>
        </w:rPr>
        <w:t>1 mają zastosowanie wyłącznie do tych operacji, których całkowity koszt nie przekracza 100 000 EUR.</w:t>
      </w:r>
    </w:p>
    <w:p w14:paraId="0B6DB13D" w14:textId="7E7B9BF5" w:rsidR="00256F20" w:rsidRPr="00201A9A" w:rsidRDefault="00256F20" w:rsidP="00256F20">
      <w:pPr>
        <w:pStyle w:val="Titrearticle"/>
        <w:rPr>
          <w:b/>
          <w:noProof/>
        </w:rPr>
      </w:pPr>
      <w:r w:rsidRPr="00201A9A">
        <w:rPr>
          <w:noProof/>
        </w:rPr>
        <w:t xml:space="preserve">Artykuł 79 </w:t>
      </w:r>
      <w:r w:rsidRPr="00201A9A">
        <w:rPr>
          <w:noProof/>
        </w:rPr>
        <w:br/>
      </w:r>
      <w:r w:rsidRPr="00201A9A">
        <w:rPr>
          <w:b/>
          <w:noProof/>
        </w:rPr>
        <w:t>Warunki dotyczące środków, które obejmują operacje wdrażane</w:t>
      </w:r>
      <w:r w:rsidR="00201A9A" w:rsidRPr="00201A9A">
        <w:rPr>
          <w:b/>
          <w:noProof/>
        </w:rPr>
        <w:t xml:space="preserve"> w kil</w:t>
      </w:r>
      <w:r w:rsidRPr="00201A9A">
        <w:rPr>
          <w:b/>
          <w:noProof/>
        </w:rPr>
        <w:t>ku etapach</w:t>
      </w:r>
    </w:p>
    <w:p w14:paraId="0A352431" w14:textId="305F0151" w:rsidR="00AF0127" w:rsidRPr="00201A9A" w:rsidRDefault="00D20BC6" w:rsidP="003E2902">
      <w:pPr>
        <w:pStyle w:val="NumPar10000000"/>
        <w:numPr>
          <w:ilvl w:val="0"/>
          <w:numId w:val="66"/>
        </w:numPr>
        <w:rPr>
          <w:noProof/>
        </w:rPr>
      </w:pPr>
      <w:r w:rsidRPr="00201A9A">
        <w:rPr>
          <w:noProof/>
        </w:rPr>
        <w:t>Państwa członkowskie mogą wspierać środki,</w:t>
      </w:r>
      <w:r w:rsidR="00201A9A" w:rsidRPr="00201A9A">
        <w:rPr>
          <w:noProof/>
        </w:rPr>
        <w:t xml:space="preserve"> w prz</w:t>
      </w:r>
      <w:r w:rsidRPr="00201A9A">
        <w:rPr>
          <w:noProof/>
        </w:rPr>
        <w:t>ypadku gdy operacje bazowe obejmują drugi etap operacji już wybranej do wsparcia</w:t>
      </w:r>
      <w:r w:rsidR="00201A9A" w:rsidRPr="00201A9A">
        <w:rPr>
          <w:noProof/>
        </w:rPr>
        <w:t xml:space="preserve"> i roz</w:t>
      </w:r>
      <w:r w:rsidRPr="00201A9A">
        <w:rPr>
          <w:noProof/>
        </w:rPr>
        <w:t xml:space="preserve">poczętej na podstawie rozporządzenia (UE) 2021/1060, pod warunkiem że spełnione są wszystkie następujące warunki: </w:t>
      </w:r>
    </w:p>
    <w:p w14:paraId="33BA13AA" w14:textId="0AE522F9" w:rsidR="00AF0127" w:rsidRPr="00201A9A" w:rsidRDefault="00201A9A" w:rsidP="00201A9A">
      <w:pPr>
        <w:pStyle w:val="Point1"/>
        <w:rPr>
          <w:noProof/>
        </w:rPr>
      </w:pPr>
      <w:r w:rsidRPr="00201A9A">
        <w:rPr>
          <w:noProof/>
        </w:rPr>
        <w:t>a)</w:t>
      </w:r>
      <w:r w:rsidRPr="00201A9A">
        <w:rPr>
          <w:noProof/>
        </w:rPr>
        <w:tab/>
      </w:r>
      <w:r w:rsidR="00D20BC6" w:rsidRPr="00201A9A">
        <w:rPr>
          <w:noProof/>
        </w:rPr>
        <w:t>operacja wybrana do wsparcia na podstawie rozporządzenia (UE) 2021/1060 składa się</w:t>
      </w:r>
      <w:r w:rsidRPr="00201A9A">
        <w:rPr>
          <w:noProof/>
        </w:rPr>
        <w:t xml:space="preserve"> z dwó</w:t>
      </w:r>
      <w:r w:rsidR="00D20BC6" w:rsidRPr="00201A9A">
        <w:rPr>
          <w:noProof/>
        </w:rPr>
        <w:t>ch etapów możliwych do zidentyfikowania</w:t>
      </w:r>
      <w:r w:rsidRPr="00201A9A">
        <w:rPr>
          <w:noProof/>
        </w:rPr>
        <w:t xml:space="preserve"> z fin</w:t>
      </w:r>
      <w:r w:rsidR="00D20BC6" w:rsidRPr="00201A9A">
        <w:rPr>
          <w:noProof/>
        </w:rPr>
        <w:t>ansowego punktu widzenia,</w:t>
      </w:r>
      <w:r w:rsidRPr="00201A9A">
        <w:rPr>
          <w:noProof/>
        </w:rPr>
        <w:t xml:space="preserve"> z odr</w:t>
      </w:r>
      <w:r w:rsidR="00D20BC6" w:rsidRPr="00201A9A">
        <w:rPr>
          <w:noProof/>
        </w:rPr>
        <w:t xml:space="preserve">ębnymi ścieżkami audytu; </w:t>
      </w:r>
    </w:p>
    <w:p w14:paraId="04912C84" w14:textId="0F4F89D4" w:rsidR="00AF0127" w:rsidRPr="00201A9A" w:rsidRDefault="00201A9A" w:rsidP="00201A9A">
      <w:pPr>
        <w:pStyle w:val="Point1"/>
        <w:rPr>
          <w:noProof/>
        </w:rPr>
      </w:pPr>
      <w:r w:rsidRPr="00201A9A">
        <w:rPr>
          <w:noProof/>
        </w:rPr>
        <w:t>b)</w:t>
      </w:r>
      <w:r w:rsidRPr="00201A9A">
        <w:rPr>
          <w:noProof/>
        </w:rPr>
        <w:tab/>
      </w:r>
      <w:r w:rsidR="00D20BC6" w:rsidRPr="00201A9A">
        <w:rPr>
          <w:noProof/>
        </w:rPr>
        <w:t>łączny koszt operacji,</w:t>
      </w:r>
      <w:r w:rsidRPr="00201A9A">
        <w:rPr>
          <w:noProof/>
        </w:rPr>
        <w:t xml:space="preserve"> o któ</w:t>
      </w:r>
      <w:r w:rsidR="00D20BC6" w:rsidRPr="00201A9A">
        <w:rPr>
          <w:noProof/>
        </w:rPr>
        <w:t>rej mowa</w:t>
      </w:r>
      <w:r w:rsidRPr="00201A9A">
        <w:rPr>
          <w:noProof/>
        </w:rPr>
        <w:t xml:space="preserve"> w lit</w:t>
      </w:r>
      <w:r w:rsidR="00D20BC6" w:rsidRPr="00201A9A">
        <w:rPr>
          <w:noProof/>
        </w:rPr>
        <w:t>.</w:t>
      </w:r>
      <w:r w:rsidRPr="00201A9A">
        <w:rPr>
          <w:noProof/>
        </w:rPr>
        <w:t> </w:t>
      </w:r>
      <w:r w:rsidR="00D20BC6" w:rsidRPr="00201A9A">
        <w:rPr>
          <w:noProof/>
        </w:rPr>
        <w:t xml:space="preserve">a) przekracza kwotę 5 000 000 EUR; </w:t>
      </w:r>
    </w:p>
    <w:p w14:paraId="50656991" w14:textId="2AE2156E" w:rsidR="00AF0127" w:rsidRPr="00201A9A" w:rsidRDefault="00201A9A" w:rsidP="00201A9A">
      <w:pPr>
        <w:pStyle w:val="Point1"/>
        <w:rPr>
          <w:noProof/>
        </w:rPr>
      </w:pPr>
      <w:r w:rsidRPr="00201A9A">
        <w:rPr>
          <w:noProof/>
        </w:rPr>
        <w:t>c)</w:t>
      </w:r>
      <w:r w:rsidRPr="00201A9A">
        <w:rPr>
          <w:noProof/>
        </w:rPr>
        <w:tab/>
      </w:r>
      <w:r w:rsidR="00D20BC6" w:rsidRPr="00201A9A">
        <w:rPr>
          <w:noProof/>
        </w:rPr>
        <w:t>w kalkulacji kosztów środka uwzględnia się wyłącznie koszty,</w:t>
      </w:r>
      <w:r w:rsidRPr="00201A9A">
        <w:rPr>
          <w:noProof/>
        </w:rPr>
        <w:t xml:space="preserve"> w prz</w:t>
      </w:r>
      <w:r w:rsidR="00D20BC6" w:rsidRPr="00201A9A">
        <w:rPr>
          <w:noProof/>
        </w:rPr>
        <w:t>ypadku których wydatki nie zostały ujęte we wniosku</w:t>
      </w:r>
      <w:r w:rsidRPr="00201A9A">
        <w:rPr>
          <w:noProof/>
        </w:rPr>
        <w:t xml:space="preserve"> o pła</w:t>
      </w:r>
      <w:r w:rsidR="00D20BC6" w:rsidRPr="00201A9A">
        <w:rPr>
          <w:noProof/>
        </w:rPr>
        <w:t>tność</w:t>
      </w:r>
      <w:r w:rsidRPr="00201A9A">
        <w:rPr>
          <w:noProof/>
        </w:rPr>
        <w:t xml:space="preserve"> w odn</w:t>
      </w:r>
      <w:r w:rsidR="00D20BC6" w:rsidRPr="00201A9A">
        <w:rPr>
          <w:noProof/>
        </w:rPr>
        <w:t>iesieniu do pierwszego etapu;</w:t>
      </w:r>
      <w:r w:rsidRPr="00201A9A">
        <w:rPr>
          <w:noProof/>
        </w:rPr>
        <w:t xml:space="preserve"> </w:t>
      </w:r>
    </w:p>
    <w:p w14:paraId="5D8FC08E" w14:textId="74ECEAB3" w:rsidR="00AF0127" w:rsidRPr="00201A9A" w:rsidRDefault="00201A9A" w:rsidP="00201A9A">
      <w:pPr>
        <w:pStyle w:val="Point1"/>
        <w:rPr>
          <w:noProof/>
        </w:rPr>
      </w:pPr>
      <w:r w:rsidRPr="00201A9A">
        <w:rPr>
          <w:noProof/>
        </w:rPr>
        <w:t>d)</w:t>
      </w:r>
      <w:r w:rsidRPr="00201A9A">
        <w:rPr>
          <w:noProof/>
        </w:rPr>
        <w:tab/>
      </w:r>
      <w:r w:rsidR="00D20BC6" w:rsidRPr="00201A9A">
        <w:rPr>
          <w:noProof/>
        </w:rPr>
        <w:t>drugi etap operacji jest zgodny</w:t>
      </w:r>
      <w:r w:rsidRPr="00201A9A">
        <w:rPr>
          <w:noProof/>
        </w:rPr>
        <w:t xml:space="preserve"> z maj</w:t>
      </w:r>
      <w:r w:rsidR="00D20BC6" w:rsidRPr="00201A9A">
        <w:rPr>
          <w:noProof/>
        </w:rPr>
        <w:t>ącym zastosowanie prawem</w:t>
      </w:r>
      <w:r w:rsidRPr="00201A9A">
        <w:rPr>
          <w:noProof/>
        </w:rPr>
        <w:t xml:space="preserve"> i kwa</w:t>
      </w:r>
      <w:r w:rsidR="00D20BC6" w:rsidRPr="00201A9A">
        <w:rPr>
          <w:noProof/>
        </w:rPr>
        <w:t xml:space="preserve">lifikuje się do wsparcia na podstawie niniejszego rozporządzenia; </w:t>
      </w:r>
    </w:p>
    <w:p w14:paraId="6EDB0277" w14:textId="568C5211" w:rsidR="00D20BC6" w:rsidRPr="00201A9A" w:rsidRDefault="00201A9A" w:rsidP="00201A9A">
      <w:pPr>
        <w:pStyle w:val="Point1"/>
        <w:rPr>
          <w:noProof/>
        </w:rPr>
      </w:pPr>
      <w:r w:rsidRPr="00201A9A">
        <w:rPr>
          <w:noProof/>
        </w:rPr>
        <w:t>e)</w:t>
      </w:r>
      <w:r w:rsidRPr="00201A9A">
        <w:rPr>
          <w:noProof/>
        </w:rPr>
        <w:tab/>
      </w:r>
      <w:r w:rsidR="00D20BC6" w:rsidRPr="00201A9A">
        <w:rPr>
          <w:noProof/>
        </w:rPr>
        <w:t>państwo członkowskie ustala kamienie milowe</w:t>
      </w:r>
      <w:r w:rsidRPr="00201A9A">
        <w:rPr>
          <w:noProof/>
        </w:rPr>
        <w:t xml:space="preserve"> i war</w:t>
      </w:r>
      <w:r w:rsidR="00D20BC6" w:rsidRPr="00201A9A">
        <w:rPr>
          <w:noProof/>
        </w:rPr>
        <w:t>tości docelowe dla drugiego</w:t>
      </w:r>
      <w:r w:rsidRPr="00201A9A">
        <w:rPr>
          <w:noProof/>
        </w:rPr>
        <w:t xml:space="preserve"> i koń</w:t>
      </w:r>
      <w:r w:rsidR="00D20BC6" w:rsidRPr="00201A9A">
        <w:rPr>
          <w:noProof/>
        </w:rPr>
        <w:t>cowego etapu operacji.</w:t>
      </w:r>
      <w:r w:rsidRPr="00201A9A">
        <w:rPr>
          <w:noProof/>
        </w:rPr>
        <w:t xml:space="preserve"> </w:t>
      </w:r>
    </w:p>
    <w:p w14:paraId="62FA8B3C" w14:textId="77777777" w:rsidR="006653B7" w:rsidRPr="00201A9A" w:rsidRDefault="00D20BC6" w:rsidP="003E2902">
      <w:pPr>
        <w:pStyle w:val="NumPar10000000"/>
        <w:numPr>
          <w:ilvl w:val="0"/>
          <w:numId w:val="59"/>
        </w:numPr>
        <w:rPr>
          <w:noProof/>
        </w:rPr>
      </w:pPr>
      <w:r w:rsidRPr="00201A9A">
        <w:rPr>
          <w:noProof/>
        </w:rPr>
        <w:t>Niniejsze rozporządzenie ma zastosowanie do środka, którego dotyczy drugi etap operacji.</w:t>
      </w:r>
    </w:p>
    <w:p w14:paraId="40BC6E50" w14:textId="5B9BCD4B" w:rsidR="00D20BC6" w:rsidRPr="00201A9A" w:rsidRDefault="00D20BC6" w:rsidP="00D20BC6">
      <w:pPr>
        <w:pStyle w:val="SectionTitle"/>
        <w:rPr>
          <w:i/>
          <w:noProof/>
        </w:rPr>
      </w:pPr>
      <w:r w:rsidRPr="00201A9A">
        <w:rPr>
          <w:noProof/>
        </w:rPr>
        <w:t xml:space="preserve">TYTUŁ XII </w:t>
      </w:r>
      <w:r w:rsidRPr="00201A9A">
        <w:rPr>
          <w:noProof/>
        </w:rPr>
        <w:br/>
        <w:t>Społeczny Fundusz Klimatyczny</w:t>
      </w:r>
      <w:r w:rsidR="00201A9A" w:rsidRPr="00201A9A">
        <w:rPr>
          <w:noProof/>
        </w:rPr>
        <w:t xml:space="preserve"> i fun</w:t>
      </w:r>
      <w:r w:rsidRPr="00201A9A">
        <w:rPr>
          <w:noProof/>
        </w:rPr>
        <w:t>dusz modernizacyjny</w:t>
      </w:r>
    </w:p>
    <w:p w14:paraId="17E0D406" w14:textId="77777777" w:rsidR="00256F20" w:rsidRPr="00201A9A" w:rsidRDefault="00256F20" w:rsidP="00256F20">
      <w:pPr>
        <w:pStyle w:val="Titrearticle"/>
        <w:rPr>
          <w:noProof/>
        </w:rPr>
      </w:pPr>
      <w:r w:rsidRPr="00201A9A">
        <w:rPr>
          <w:noProof/>
        </w:rPr>
        <w:t xml:space="preserve">Artykuł 80 </w:t>
      </w:r>
      <w:r w:rsidRPr="00201A9A">
        <w:rPr>
          <w:noProof/>
        </w:rPr>
        <w:br/>
      </w:r>
      <w:r w:rsidRPr="00201A9A">
        <w:rPr>
          <w:b/>
          <w:noProof/>
        </w:rPr>
        <w:t>Rozdział dotyczący planu społeczno-klimatycznego</w:t>
      </w:r>
    </w:p>
    <w:p w14:paraId="27329F4E" w14:textId="767FFB25" w:rsidR="00D20BC6" w:rsidRPr="00201A9A" w:rsidRDefault="00D20BC6" w:rsidP="003E2902">
      <w:pPr>
        <w:pStyle w:val="NumPar10000000"/>
        <w:numPr>
          <w:ilvl w:val="0"/>
          <w:numId w:val="67"/>
        </w:numPr>
        <w:rPr>
          <w:noProof/>
        </w:rPr>
      </w:pPr>
      <w:r w:rsidRPr="00201A9A">
        <w:rPr>
          <w:noProof/>
        </w:rPr>
        <w:t>Plan przedłożony Komisji zgodnie</w:t>
      </w:r>
      <w:r w:rsidR="00201A9A" w:rsidRPr="00201A9A">
        <w:rPr>
          <w:noProof/>
        </w:rPr>
        <w:t xml:space="preserve"> z art</w:t>
      </w:r>
      <w:r w:rsidRPr="00201A9A">
        <w:rPr>
          <w:noProof/>
        </w:rPr>
        <w:t>.</w:t>
      </w:r>
      <w:r w:rsidR="00201A9A" w:rsidRPr="00201A9A">
        <w:rPr>
          <w:noProof/>
        </w:rPr>
        <w:t> </w:t>
      </w:r>
      <w:r w:rsidRPr="00201A9A">
        <w:rPr>
          <w:noProof/>
        </w:rPr>
        <w:t>21 (przygotowanie</w:t>
      </w:r>
      <w:r w:rsidR="00201A9A" w:rsidRPr="00201A9A">
        <w:rPr>
          <w:noProof/>
        </w:rPr>
        <w:t xml:space="preserve"> i prz</w:t>
      </w:r>
      <w:r w:rsidRPr="00201A9A">
        <w:rPr>
          <w:noProof/>
        </w:rPr>
        <w:t>edłożenie planu) obejmuje środki</w:t>
      </w:r>
      <w:r w:rsidR="00201A9A" w:rsidRPr="00201A9A">
        <w:rPr>
          <w:noProof/>
        </w:rPr>
        <w:t xml:space="preserve"> i inw</w:t>
      </w:r>
      <w:r w:rsidRPr="00201A9A">
        <w:rPr>
          <w:noProof/>
        </w:rPr>
        <w:t>estycje zawarte</w:t>
      </w:r>
      <w:r w:rsidR="00201A9A" w:rsidRPr="00201A9A">
        <w:rPr>
          <w:noProof/>
        </w:rPr>
        <w:t xml:space="preserve"> w pla</w:t>
      </w:r>
      <w:r w:rsidRPr="00201A9A">
        <w:rPr>
          <w:noProof/>
        </w:rPr>
        <w:t>nie społeczno-klimatycznym przedłożonym przez państwo członkowskie na podstawie rozporządzenia (UE) 2023/955</w:t>
      </w:r>
      <w:r w:rsidR="00201A9A" w:rsidRPr="00201A9A">
        <w:rPr>
          <w:noProof/>
        </w:rPr>
        <w:t xml:space="preserve"> w odd</w:t>
      </w:r>
      <w:r w:rsidRPr="00201A9A">
        <w:rPr>
          <w:noProof/>
        </w:rPr>
        <w:t>zielnym rozdziale dotyczącym planu społeczno-klimatycznego.</w:t>
      </w:r>
    </w:p>
    <w:p w14:paraId="5C1644DB" w14:textId="2C4DBFF9" w:rsidR="00D20BC6" w:rsidRPr="00201A9A" w:rsidRDefault="002B3F84" w:rsidP="003E2902">
      <w:pPr>
        <w:pStyle w:val="NumPar10000000"/>
        <w:numPr>
          <w:ilvl w:val="0"/>
          <w:numId w:val="59"/>
        </w:numPr>
        <w:rPr>
          <w:noProof/>
        </w:rPr>
      </w:pPr>
      <w:r w:rsidRPr="00201A9A">
        <w:rPr>
          <w:noProof/>
        </w:rPr>
        <w:t>Kwalifikujące się środki</w:t>
      </w:r>
      <w:r w:rsidR="00201A9A" w:rsidRPr="00201A9A">
        <w:rPr>
          <w:noProof/>
        </w:rPr>
        <w:t xml:space="preserve"> i inw</w:t>
      </w:r>
      <w:r w:rsidRPr="00201A9A">
        <w:rPr>
          <w:noProof/>
        </w:rPr>
        <w:t>estycje zawarte</w:t>
      </w:r>
      <w:r w:rsidR="00201A9A" w:rsidRPr="00201A9A">
        <w:rPr>
          <w:noProof/>
        </w:rPr>
        <w:t xml:space="preserve"> w pla</w:t>
      </w:r>
      <w:r w:rsidRPr="00201A9A">
        <w:rPr>
          <w:noProof/>
        </w:rPr>
        <w:t>nach społeczno-klimatycznych nadal są kwalifikowalne</w:t>
      </w:r>
      <w:r w:rsidR="00201A9A" w:rsidRPr="00201A9A">
        <w:rPr>
          <w:noProof/>
        </w:rPr>
        <w:t xml:space="preserve"> w ram</w:t>
      </w:r>
      <w:r w:rsidRPr="00201A9A">
        <w:rPr>
          <w:noProof/>
        </w:rPr>
        <w:t>ach planu,</w:t>
      </w:r>
      <w:r w:rsidR="00201A9A" w:rsidRPr="00201A9A">
        <w:rPr>
          <w:noProof/>
        </w:rPr>
        <w:t xml:space="preserve"> z zas</w:t>
      </w:r>
      <w:r w:rsidRPr="00201A9A">
        <w:rPr>
          <w:noProof/>
        </w:rPr>
        <w:t>trzeżeniem art.</w:t>
      </w:r>
      <w:r w:rsidR="00201A9A" w:rsidRPr="00201A9A">
        <w:rPr>
          <w:noProof/>
        </w:rPr>
        <w:t> </w:t>
      </w:r>
      <w:r w:rsidRPr="00201A9A">
        <w:rPr>
          <w:noProof/>
        </w:rPr>
        <w:t>7 [Zasady horyzontalne]. </w:t>
      </w:r>
    </w:p>
    <w:p w14:paraId="5D5C7760" w14:textId="77E786D2" w:rsidR="00D20BC6" w:rsidRPr="00201A9A" w:rsidRDefault="004118EC" w:rsidP="003E2902">
      <w:pPr>
        <w:pStyle w:val="NumPar10000000"/>
        <w:numPr>
          <w:ilvl w:val="0"/>
          <w:numId w:val="59"/>
        </w:numPr>
        <w:rPr>
          <w:noProof/>
        </w:rPr>
      </w:pPr>
      <w:r w:rsidRPr="00201A9A">
        <w:rPr>
          <w:noProof/>
        </w:rPr>
        <w:t>Przepisy określone</w:t>
      </w:r>
      <w:r w:rsidR="00201A9A" w:rsidRPr="00201A9A">
        <w:rPr>
          <w:noProof/>
        </w:rPr>
        <w:t xml:space="preserve"> w nin</w:t>
      </w:r>
      <w:r w:rsidRPr="00201A9A">
        <w:rPr>
          <w:noProof/>
        </w:rPr>
        <w:t>iejszym rozporządzeniu mają zastosowanie do rozdziału dotyczącego planu społeczno-klimatycznego.</w:t>
      </w:r>
    </w:p>
    <w:p w14:paraId="3F5C7458" w14:textId="6DFA57A1" w:rsidR="00D20BC6" w:rsidRPr="00201A9A" w:rsidRDefault="0EF86722" w:rsidP="003E2902">
      <w:pPr>
        <w:pStyle w:val="NumPar10000000"/>
        <w:numPr>
          <w:ilvl w:val="0"/>
          <w:numId w:val="59"/>
        </w:numPr>
        <w:rPr>
          <w:noProof/>
        </w:rPr>
      </w:pPr>
      <w:r w:rsidRPr="00201A9A">
        <w:rPr>
          <w:noProof/>
        </w:rPr>
        <w:t>Na zasadzie odstępstwa od ust.</w:t>
      </w:r>
      <w:r w:rsidR="00201A9A" w:rsidRPr="00201A9A">
        <w:rPr>
          <w:noProof/>
        </w:rPr>
        <w:t> </w:t>
      </w:r>
      <w:r w:rsidRPr="00201A9A">
        <w:rPr>
          <w:noProof/>
        </w:rPr>
        <w:t>3 państwo członkowskie może zdecydować</w:t>
      </w:r>
      <w:r w:rsidR="00201A9A" w:rsidRPr="00201A9A">
        <w:rPr>
          <w:noProof/>
        </w:rPr>
        <w:t xml:space="preserve"> o dal</w:t>
      </w:r>
      <w:r w:rsidRPr="00201A9A">
        <w:rPr>
          <w:noProof/>
        </w:rPr>
        <w:t>szym wdrażaniu rozdziału dotyczącego planu społeczno-klimatycznego zgodnie</w:t>
      </w:r>
      <w:r w:rsidR="00201A9A" w:rsidRPr="00201A9A">
        <w:rPr>
          <w:noProof/>
        </w:rPr>
        <w:t xml:space="preserve"> z prz</w:t>
      </w:r>
      <w:r w:rsidRPr="00201A9A">
        <w:rPr>
          <w:noProof/>
        </w:rPr>
        <w:t>episami określonymi</w:t>
      </w:r>
      <w:r w:rsidR="00201A9A" w:rsidRPr="00201A9A">
        <w:rPr>
          <w:noProof/>
        </w:rPr>
        <w:t xml:space="preserve"> w roz</w:t>
      </w:r>
      <w:r w:rsidRPr="00201A9A">
        <w:rPr>
          <w:noProof/>
        </w:rPr>
        <w:t>porządzeniu (UE) 2023/955</w:t>
      </w:r>
      <w:r w:rsidR="00201A9A" w:rsidRPr="00201A9A">
        <w:rPr>
          <w:noProof/>
        </w:rPr>
        <w:t>. W prz</w:t>
      </w:r>
      <w:r w:rsidRPr="00201A9A">
        <w:rPr>
          <w:noProof/>
        </w:rPr>
        <w:t>ypadku wątpliwości dotyczących stosowania rozporządzenia (UE) 2023/955 lub niniejszego rozporządzenia pierwszeństwo ma rozporządzenie (UE) 2023/955, bez uszczerbku dla art.</w:t>
      </w:r>
      <w:r w:rsidR="00201A9A" w:rsidRPr="00201A9A">
        <w:rPr>
          <w:noProof/>
        </w:rPr>
        <w:t> </w:t>
      </w:r>
      <w:r w:rsidRPr="00201A9A">
        <w:rPr>
          <w:noProof/>
        </w:rPr>
        <w:t>6, 8</w:t>
      </w:r>
      <w:r w:rsidR="00201A9A" w:rsidRPr="00201A9A">
        <w:rPr>
          <w:noProof/>
        </w:rPr>
        <w:t xml:space="preserve"> i 9</w:t>
      </w:r>
      <w:r w:rsidRPr="00201A9A">
        <w:rPr>
          <w:noProof/>
        </w:rPr>
        <w:t xml:space="preserve"> niniejszego rozporządzenia.</w:t>
      </w:r>
    </w:p>
    <w:p w14:paraId="58E81EF9" w14:textId="30939B31" w:rsidR="00630DCC" w:rsidRPr="00201A9A" w:rsidRDefault="0077709C" w:rsidP="003E2902">
      <w:pPr>
        <w:pStyle w:val="NumPar10000000"/>
        <w:numPr>
          <w:ilvl w:val="0"/>
          <w:numId w:val="59"/>
        </w:numPr>
        <w:rPr>
          <w:noProof/>
        </w:rPr>
      </w:pPr>
      <w:r w:rsidRPr="00201A9A">
        <w:rPr>
          <w:noProof/>
        </w:rPr>
        <w:t>Wkład krajowy określony</w:t>
      </w:r>
      <w:r w:rsidR="00201A9A" w:rsidRPr="00201A9A">
        <w:rPr>
          <w:noProof/>
        </w:rPr>
        <w:t xml:space="preserve"> w art</w:t>
      </w:r>
      <w:r w:rsidRPr="00201A9A">
        <w:rPr>
          <w:noProof/>
        </w:rPr>
        <w:t>.</w:t>
      </w:r>
      <w:r w:rsidR="00201A9A" w:rsidRPr="00201A9A">
        <w:rPr>
          <w:noProof/>
        </w:rPr>
        <w:t> </w:t>
      </w:r>
      <w:r w:rsidRPr="00201A9A">
        <w:rPr>
          <w:noProof/>
        </w:rPr>
        <w:t xml:space="preserve">15 rozporządzenia 2023/955 ma nadal zastosowanie do rozdziału dotyczącego planu społeczno-klimatycznego. </w:t>
      </w:r>
    </w:p>
    <w:p w14:paraId="5BF9097A" w14:textId="62410E69" w:rsidR="00EE1DE2" w:rsidRPr="00201A9A" w:rsidRDefault="00D20BC6" w:rsidP="003E2902">
      <w:pPr>
        <w:pStyle w:val="NumPar10000000"/>
        <w:numPr>
          <w:ilvl w:val="0"/>
          <w:numId w:val="59"/>
        </w:numPr>
        <w:rPr>
          <w:noProof/>
        </w:rPr>
      </w:pPr>
      <w:r w:rsidRPr="00201A9A">
        <w:rPr>
          <w:noProof/>
        </w:rPr>
        <w:t>Przygotowując lub zmieniając swoje plany partnerstwa krajowego</w:t>
      </w:r>
      <w:r w:rsidR="00201A9A" w:rsidRPr="00201A9A">
        <w:rPr>
          <w:noProof/>
        </w:rPr>
        <w:t xml:space="preserve"> i reg</w:t>
      </w:r>
      <w:r w:rsidRPr="00201A9A">
        <w:rPr>
          <w:noProof/>
        </w:rPr>
        <w:t>ionalnego, państwa członkowskie mogą zaprogramować całość lub część swoich dostępnych zasobów</w:t>
      </w:r>
      <w:r w:rsidR="00201A9A" w:rsidRPr="00201A9A">
        <w:rPr>
          <w:noProof/>
        </w:rPr>
        <w:t xml:space="preserve"> w ram</w:t>
      </w:r>
      <w:r w:rsidRPr="00201A9A">
        <w:rPr>
          <w:noProof/>
        </w:rPr>
        <w:t>ach Społecznego Funduszu Klimatycznego na inne środki przyczyniające się do osiągnięcia celów określonych</w:t>
      </w:r>
      <w:r w:rsidR="00201A9A" w:rsidRPr="00201A9A">
        <w:rPr>
          <w:noProof/>
        </w:rPr>
        <w:t xml:space="preserve"> w art</w:t>
      </w:r>
      <w:r w:rsidRPr="00201A9A">
        <w:rPr>
          <w:noProof/>
        </w:rPr>
        <w:t>.</w:t>
      </w:r>
      <w:r w:rsidR="00201A9A" w:rsidRPr="00201A9A">
        <w:rPr>
          <w:noProof/>
        </w:rPr>
        <w:t> </w:t>
      </w:r>
      <w:r w:rsidRPr="00201A9A">
        <w:rPr>
          <w:noProof/>
        </w:rPr>
        <w:t>3 lit.</w:t>
      </w:r>
      <w:r w:rsidR="00201A9A" w:rsidRPr="00201A9A">
        <w:rPr>
          <w:noProof/>
        </w:rPr>
        <w:t> </w:t>
      </w:r>
      <w:r w:rsidRPr="00201A9A">
        <w:rPr>
          <w:noProof/>
        </w:rPr>
        <w:t>c) pkt (vi),</w:t>
      </w:r>
      <w:r w:rsidR="00201A9A" w:rsidRPr="00201A9A">
        <w:rPr>
          <w:noProof/>
        </w:rPr>
        <w:t xml:space="preserve"> w tym</w:t>
      </w:r>
      <w:r w:rsidRPr="00201A9A">
        <w:rPr>
          <w:noProof/>
        </w:rPr>
        <w:t xml:space="preserve"> za pomocą środków określonych</w:t>
      </w:r>
      <w:r w:rsidR="00201A9A" w:rsidRPr="00201A9A">
        <w:rPr>
          <w:noProof/>
        </w:rPr>
        <w:t xml:space="preserve"> w art</w:t>
      </w:r>
      <w:r w:rsidRPr="00201A9A">
        <w:rPr>
          <w:noProof/>
        </w:rPr>
        <w:t>.</w:t>
      </w:r>
      <w:r w:rsidR="00201A9A" w:rsidRPr="00201A9A">
        <w:rPr>
          <w:noProof/>
        </w:rPr>
        <w:t> </w:t>
      </w:r>
      <w:r w:rsidRPr="00201A9A">
        <w:rPr>
          <w:noProof/>
        </w:rPr>
        <w:t>8 rozporządzenia (UE) 2023/955,</w:t>
      </w:r>
      <w:r w:rsidR="00201A9A" w:rsidRPr="00201A9A">
        <w:rPr>
          <w:noProof/>
        </w:rPr>
        <w:t xml:space="preserve"> w ram</w:t>
      </w:r>
      <w:r w:rsidRPr="00201A9A">
        <w:rPr>
          <w:noProof/>
        </w:rPr>
        <w:t>ach rozdziału dotyczącego ich planu społeczno-klimatycznego.</w:t>
      </w:r>
    </w:p>
    <w:p w14:paraId="7BED710C" w14:textId="77777777" w:rsidR="00D20BC6" w:rsidRPr="00201A9A" w:rsidRDefault="00256F20" w:rsidP="00D20BC6">
      <w:pPr>
        <w:pStyle w:val="Titrearticle"/>
        <w:rPr>
          <w:noProof/>
          <w:color w:val="0000FF"/>
        </w:rPr>
      </w:pPr>
      <w:r w:rsidRPr="00201A9A">
        <w:rPr>
          <w:noProof/>
        </w:rPr>
        <w:t xml:space="preserve">Artykuł 81 </w:t>
      </w:r>
      <w:r w:rsidRPr="00201A9A">
        <w:rPr>
          <w:noProof/>
        </w:rPr>
        <w:br/>
      </w:r>
      <w:r w:rsidRPr="00201A9A">
        <w:rPr>
          <w:b/>
          <w:noProof/>
        </w:rPr>
        <w:t>Przesunięcie zasobów </w:t>
      </w:r>
    </w:p>
    <w:p w14:paraId="5F16D07E" w14:textId="542D34EE" w:rsidR="00D20BC6" w:rsidRPr="00201A9A" w:rsidRDefault="00D20BC6" w:rsidP="005A28DE">
      <w:pPr>
        <w:rPr>
          <w:noProof/>
        </w:rPr>
      </w:pPr>
      <w:r w:rsidRPr="00201A9A">
        <w:rPr>
          <w:noProof/>
        </w:rPr>
        <w:t>Państwa członkowskie mogą wystąpić</w:t>
      </w:r>
      <w:r w:rsidR="00201A9A" w:rsidRPr="00201A9A">
        <w:rPr>
          <w:noProof/>
        </w:rPr>
        <w:t xml:space="preserve"> w swo</w:t>
      </w:r>
      <w:r w:rsidRPr="00201A9A">
        <w:rPr>
          <w:noProof/>
        </w:rPr>
        <w:t>im pierwotnym planie</w:t>
      </w:r>
      <w:r w:rsidR="00201A9A" w:rsidRPr="00201A9A">
        <w:rPr>
          <w:noProof/>
        </w:rPr>
        <w:t xml:space="preserve"> o prz</w:t>
      </w:r>
      <w:r w:rsidRPr="00201A9A">
        <w:rPr>
          <w:noProof/>
        </w:rPr>
        <w:t>esunięcie kwot ze swoich alokacji na lata 2026</w:t>
      </w:r>
      <w:r w:rsidR="00201A9A" w:rsidRPr="00201A9A">
        <w:rPr>
          <w:noProof/>
        </w:rPr>
        <w:t xml:space="preserve"> i 2</w:t>
      </w:r>
      <w:r w:rsidRPr="00201A9A">
        <w:rPr>
          <w:noProof/>
        </w:rPr>
        <w:t>027</w:t>
      </w:r>
      <w:r w:rsidR="00201A9A" w:rsidRPr="00201A9A">
        <w:rPr>
          <w:noProof/>
        </w:rPr>
        <w:t xml:space="preserve"> w ram</w:t>
      </w:r>
      <w:r w:rsidRPr="00201A9A">
        <w:rPr>
          <w:noProof/>
        </w:rPr>
        <w:t>ach Społecznego Funduszu Klimatycznego. Kwoty te są programowane</w:t>
      </w:r>
      <w:r w:rsidR="00201A9A" w:rsidRPr="00201A9A">
        <w:rPr>
          <w:noProof/>
        </w:rPr>
        <w:t xml:space="preserve"> w ram</w:t>
      </w:r>
      <w:r w:rsidRPr="00201A9A">
        <w:rPr>
          <w:noProof/>
        </w:rPr>
        <w:t>ach rozdziałów dotyczących planu społeczno-klimatycznego.</w:t>
      </w:r>
      <w:r w:rsidRPr="00201A9A">
        <w:rPr>
          <w:b/>
          <w:noProof/>
        </w:rPr>
        <w:t xml:space="preserve"> </w:t>
      </w:r>
      <w:r w:rsidRPr="00201A9A">
        <w:rPr>
          <w:noProof/>
        </w:rPr>
        <w:t>Kwoty te stanowią zewnętrzne dochody przeznaczone na określony cel zgodnie</w:t>
      </w:r>
      <w:r w:rsidR="00201A9A" w:rsidRPr="00201A9A">
        <w:rPr>
          <w:noProof/>
        </w:rPr>
        <w:t xml:space="preserve"> z art</w:t>
      </w:r>
      <w:r w:rsidRPr="00201A9A">
        <w:rPr>
          <w:noProof/>
        </w:rPr>
        <w:t>.</w:t>
      </w:r>
      <w:r w:rsidR="00201A9A" w:rsidRPr="00201A9A">
        <w:rPr>
          <w:noProof/>
        </w:rPr>
        <w:t> </w:t>
      </w:r>
      <w:r w:rsidRPr="00201A9A">
        <w:rPr>
          <w:noProof/>
        </w:rPr>
        <w:t>21 ust.</w:t>
      </w:r>
      <w:r w:rsidR="00201A9A" w:rsidRPr="00201A9A">
        <w:rPr>
          <w:noProof/>
        </w:rPr>
        <w:t> </w:t>
      </w:r>
      <w:r w:rsidRPr="00201A9A">
        <w:rPr>
          <w:noProof/>
        </w:rPr>
        <w:t>5 rozporządzenia (UE, Euratom) 2024/2509</w:t>
      </w:r>
      <w:r w:rsidR="00201A9A" w:rsidRPr="00201A9A">
        <w:rPr>
          <w:noProof/>
        </w:rPr>
        <w:t xml:space="preserve"> i prz</w:t>
      </w:r>
      <w:r w:rsidRPr="00201A9A">
        <w:rPr>
          <w:noProof/>
        </w:rPr>
        <w:t>yczyniają się do osiągnięcia celów określonych</w:t>
      </w:r>
      <w:r w:rsidR="00201A9A" w:rsidRPr="00201A9A">
        <w:rPr>
          <w:noProof/>
        </w:rPr>
        <w:t xml:space="preserve"> w art</w:t>
      </w:r>
      <w:r w:rsidRPr="00201A9A">
        <w:rPr>
          <w:noProof/>
        </w:rPr>
        <w:t>.</w:t>
      </w:r>
      <w:r w:rsidR="00201A9A" w:rsidRPr="00201A9A">
        <w:rPr>
          <w:noProof/>
        </w:rPr>
        <w:t> </w:t>
      </w:r>
      <w:r w:rsidRPr="00201A9A">
        <w:rPr>
          <w:noProof/>
        </w:rPr>
        <w:t>3 lit.</w:t>
      </w:r>
      <w:r w:rsidR="00201A9A" w:rsidRPr="00201A9A">
        <w:rPr>
          <w:noProof/>
        </w:rPr>
        <w:t> </w:t>
      </w:r>
      <w:r w:rsidRPr="00201A9A">
        <w:rPr>
          <w:noProof/>
        </w:rPr>
        <w:t>c) pkt (iv),</w:t>
      </w:r>
      <w:r w:rsidR="00201A9A" w:rsidRPr="00201A9A">
        <w:rPr>
          <w:noProof/>
        </w:rPr>
        <w:t xml:space="preserve"> w tym</w:t>
      </w:r>
      <w:r w:rsidRPr="00201A9A">
        <w:rPr>
          <w:noProof/>
        </w:rPr>
        <w:t xml:space="preserve"> za pomocą środków określonych</w:t>
      </w:r>
      <w:r w:rsidR="00201A9A" w:rsidRPr="00201A9A">
        <w:rPr>
          <w:noProof/>
        </w:rPr>
        <w:t xml:space="preserve"> w art</w:t>
      </w:r>
      <w:r w:rsidRPr="00201A9A">
        <w:rPr>
          <w:noProof/>
        </w:rPr>
        <w:t>.</w:t>
      </w:r>
      <w:r w:rsidR="00201A9A" w:rsidRPr="00201A9A">
        <w:rPr>
          <w:noProof/>
        </w:rPr>
        <w:t> </w:t>
      </w:r>
      <w:r w:rsidRPr="00201A9A">
        <w:rPr>
          <w:noProof/>
        </w:rPr>
        <w:t>8 rozporządzenia (UE) 2023/955. </w:t>
      </w:r>
    </w:p>
    <w:p w14:paraId="09496AC9" w14:textId="2C121760" w:rsidR="00D20BC6" w:rsidRPr="00201A9A" w:rsidRDefault="00256F20" w:rsidP="00D20BC6">
      <w:pPr>
        <w:pStyle w:val="Titrearticle"/>
        <w:rPr>
          <w:b/>
          <w:noProof/>
          <w:color w:val="0000FF"/>
        </w:rPr>
      </w:pPr>
      <w:r w:rsidRPr="00201A9A">
        <w:rPr>
          <w:noProof/>
        </w:rPr>
        <w:t xml:space="preserve">Artykuł 82 </w:t>
      </w:r>
      <w:r w:rsidRPr="00201A9A">
        <w:rPr>
          <w:noProof/>
        </w:rPr>
        <w:br/>
      </w:r>
      <w:r w:rsidRPr="00201A9A">
        <w:rPr>
          <w:b/>
          <w:noProof/>
        </w:rPr>
        <w:t>Synergie</w:t>
      </w:r>
      <w:r w:rsidR="00201A9A" w:rsidRPr="00201A9A">
        <w:rPr>
          <w:b/>
          <w:noProof/>
        </w:rPr>
        <w:t xml:space="preserve"> z fun</w:t>
      </w:r>
      <w:r w:rsidRPr="00201A9A">
        <w:rPr>
          <w:b/>
          <w:noProof/>
        </w:rPr>
        <w:t>duszem modernizacyjnym</w:t>
      </w:r>
    </w:p>
    <w:p w14:paraId="609261E8" w14:textId="11A91860" w:rsidR="00D20BC6" w:rsidRPr="00201A9A" w:rsidRDefault="1A040CCC" w:rsidP="003E2902">
      <w:pPr>
        <w:pStyle w:val="NumPar10000000"/>
        <w:numPr>
          <w:ilvl w:val="0"/>
          <w:numId w:val="68"/>
        </w:numPr>
        <w:rPr>
          <w:noProof/>
        </w:rPr>
      </w:pPr>
      <w:r w:rsidRPr="00201A9A">
        <w:rPr>
          <w:noProof/>
        </w:rPr>
        <w:t>Inwestycje wspierane</w:t>
      </w:r>
      <w:r w:rsidR="00201A9A" w:rsidRPr="00201A9A">
        <w:rPr>
          <w:noProof/>
        </w:rPr>
        <w:t xml:space="preserve"> w ram</w:t>
      </w:r>
      <w:r w:rsidRPr="00201A9A">
        <w:rPr>
          <w:noProof/>
        </w:rPr>
        <w:t>ach funduszu modernizacyjnego są projektowane</w:t>
      </w:r>
      <w:r w:rsidR="00201A9A" w:rsidRPr="00201A9A">
        <w:rPr>
          <w:noProof/>
        </w:rPr>
        <w:t xml:space="preserve"> i rea</w:t>
      </w:r>
      <w:r w:rsidRPr="00201A9A">
        <w:rPr>
          <w:noProof/>
        </w:rPr>
        <w:t>lizowane</w:t>
      </w:r>
      <w:r w:rsidR="00201A9A" w:rsidRPr="00201A9A">
        <w:rPr>
          <w:noProof/>
        </w:rPr>
        <w:t xml:space="preserve"> w cel</w:t>
      </w:r>
      <w:r w:rsidRPr="00201A9A">
        <w:rPr>
          <w:noProof/>
        </w:rPr>
        <w:t>u zapewnienia spójności</w:t>
      </w:r>
      <w:r w:rsidR="00201A9A" w:rsidRPr="00201A9A">
        <w:rPr>
          <w:noProof/>
        </w:rPr>
        <w:t xml:space="preserve"> i syn</w:t>
      </w:r>
      <w:r w:rsidRPr="00201A9A">
        <w:rPr>
          <w:noProof/>
        </w:rPr>
        <w:t>ergii ze środkami przewidzianymi</w:t>
      </w:r>
      <w:r w:rsidR="00201A9A" w:rsidRPr="00201A9A">
        <w:rPr>
          <w:noProof/>
        </w:rPr>
        <w:t xml:space="preserve"> w pla</w:t>
      </w:r>
      <w:r w:rsidRPr="00201A9A">
        <w:rPr>
          <w:noProof/>
        </w:rPr>
        <w:t>nie PKR.</w:t>
      </w:r>
    </w:p>
    <w:p w14:paraId="6AC2E6A8" w14:textId="1FC36666" w:rsidR="3D3974A1" w:rsidRPr="00201A9A" w:rsidRDefault="3D3974A1" w:rsidP="003E2902">
      <w:pPr>
        <w:pStyle w:val="NumPar10000000"/>
        <w:numPr>
          <w:ilvl w:val="0"/>
          <w:numId w:val="59"/>
        </w:numPr>
        <w:rPr>
          <w:noProof/>
        </w:rPr>
      </w:pPr>
      <w:r w:rsidRPr="00201A9A">
        <w:rPr>
          <w:noProof/>
        </w:rPr>
        <w:t>Przygotowując plany PKR, państwa członkowskie korzystające</w:t>
      </w:r>
      <w:r w:rsidR="00201A9A" w:rsidRPr="00201A9A">
        <w:rPr>
          <w:noProof/>
        </w:rPr>
        <w:t xml:space="preserve"> z fun</w:t>
      </w:r>
      <w:r w:rsidRPr="00201A9A">
        <w:rPr>
          <w:noProof/>
        </w:rPr>
        <w:t>duszu modernizacyjnego opisują inwestycje, które zamierzają przedłożyć komitetowi inwestycyjnemu określonemu</w:t>
      </w:r>
      <w:r w:rsidR="00201A9A" w:rsidRPr="00201A9A">
        <w:rPr>
          <w:noProof/>
        </w:rPr>
        <w:t xml:space="preserve"> w art</w:t>
      </w:r>
      <w:r w:rsidRPr="00201A9A">
        <w:rPr>
          <w:noProof/>
        </w:rPr>
        <w:t>.</w:t>
      </w:r>
      <w:r w:rsidR="00201A9A" w:rsidRPr="00201A9A">
        <w:rPr>
          <w:noProof/>
        </w:rPr>
        <w:t> </w:t>
      </w:r>
      <w:r w:rsidRPr="00201A9A">
        <w:rPr>
          <w:noProof/>
        </w:rPr>
        <w:t>10d ust.</w:t>
      </w:r>
      <w:r w:rsidR="00201A9A" w:rsidRPr="00201A9A">
        <w:rPr>
          <w:noProof/>
        </w:rPr>
        <w:t> </w:t>
      </w:r>
      <w:r w:rsidRPr="00201A9A">
        <w:rPr>
          <w:noProof/>
        </w:rPr>
        <w:t>5 dyrektywy 2003/97/WE</w:t>
      </w:r>
      <w:r w:rsidR="00201A9A" w:rsidRPr="00201A9A">
        <w:rPr>
          <w:noProof/>
        </w:rPr>
        <w:t xml:space="preserve"> w cią</w:t>
      </w:r>
      <w:r w:rsidRPr="00201A9A">
        <w:rPr>
          <w:noProof/>
        </w:rPr>
        <w:t>gu najbliższych trzech lat, oraz wyjaśniają synergie ze środkami przewidzianymi</w:t>
      </w:r>
      <w:r w:rsidR="00201A9A" w:rsidRPr="00201A9A">
        <w:rPr>
          <w:noProof/>
        </w:rPr>
        <w:t xml:space="preserve"> w pla</w:t>
      </w:r>
      <w:r w:rsidRPr="00201A9A">
        <w:rPr>
          <w:noProof/>
        </w:rPr>
        <w:t>nie PKR.</w:t>
      </w:r>
    </w:p>
    <w:p w14:paraId="5217B204" w14:textId="7984D8CF" w:rsidR="00630DCC" w:rsidRPr="00201A9A" w:rsidRDefault="13B6D1CD" w:rsidP="003E2902">
      <w:pPr>
        <w:pStyle w:val="NumPar10000000"/>
        <w:numPr>
          <w:ilvl w:val="0"/>
          <w:numId w:val="59"/>
        </w:numPr>
        <w:rPr>
          <w:noProof/>
        </w:rPr>
      </w:pPr>
      <w:r w:rsidRPr="00201A9A">
        <w:rPr>
          <w:noProof/>
        </w:rPr>
        <w:t>Państwa członkowskie wyjaśniają,</w:t>
      </w:r>
      <w:r w:rsidR="00201A9A" w:rsidRPr="00201A9A">
        <w:rPr>
          <w:noProof/>
        </w:rPr>
        <w:t xml:space="preserve"> w jak</w:t>
      </w:r>
      <w:r w:rsidRPr="00201A9A">
        <w:rPr>
          <w:noProof/>
        </w:rPr>
        <w:t>i sposób inwestycje, które planują finansować</w:t>
      </w:r>
      <w:r w:rsidR="00201A9A" w:rsidRPr="00201A9A">
        <w:rPr>
          <w:noProof/>
        </w:rPr>
        <w:t xml:space="preserve"> w ram</w:t>
      </w:r>
      <w:r w:rsidRPr="00201A9A">
        <w:rPr>
          <w:noProof/>
        </w:rPr>
        <w:t>ach funduszu modernizacyjnego, zaprojektowano</w:t>
      </w:r>
      <w:r w:rsidR="00201A9A" w:rsidRPr="00201A9A">
        <w:rPr>
          <w:noProof/>
        </w:rPr>
        <w:t xml:space="preserve"> z uwz</w:t>
      </w:r>
      <w:r w:rsidRPr="00201A9A">
        <w:rPr>
          <w:noProof/>
        </w:rPr>
        <w:t>ględnieniem oczekiwanej synergii między istniejącymi</w:t>
      </w:r>
      <w:r w:rsidR="00201A9A" w:rsidRPr="00201A9A">
        <w:rPr>
          <w:noProof/>
        </w:rPr>
        <w:t xml:space="preserve"> i prz</w:t>
      </w:r>
      <w:r w:rsidRPr="00201A9A">
        <w:rPr>
          <w:noProof/>
        </w:rPr>
        <w:t>yszłymi inwestycjami</w:t>
      </w:r>
      <w:r w:rsidR="00201A9A" w:rsidRPr="00201A9A">
        <w:rPr>
          <w:noProof/>
        </w:rPr>
        <w:t xml:space="preserve"> z fun</w:t>
      </w:r>
      <w:r w:rsidRPr="00201A9A">
        <w:rPr>
          <w:noProof/>
        </w:rPr>
        <w:t>duszu modernizacyjnego</w:t>
      </w:r>
      <w:r w:rsidR="00201A9A" w:rsidRPr="00201A9A">
        <w:rPr>
          <w:noProof/>
        </w:rPr>
        <w:t xml:space="preserve"> a ref</w:t>
      </w:r>
      <w:r w:rsidRPr="00201A9A">
        <w:rPr>
          <w:noProof/>
        </w:rPr>
        <w:t>ormami</w:t>
      </w:r>
      <w:r w:rsidR="00201A9A" w:rsidRPr="00201A9A">
        <w:rPr>
          <w:noProof/>
        </w:rPr>
        <w:t xml:space="preserve"> i inw</w:t>
      </w:r>
      <w:r w:rsidRPr="00201A9A">
        <w:rPr>
          <w:noProof/>
        </w:rPr>
        <w:t>estycjami przewidzianymi</w:t>
      </w:r>
      <w:r w:rsidR="00201A9A" w:rsidRPr="00201A9A">
        <w:rPr>
          <w:noProof/>
        </w:rPr>
        <w:t xml:space="preserve"> w pla</w:t>
      </w:r>
      <w:r w:rsidRPr="00201A9A">
        <w:rPr>
          <w:noProof/>
        </w:rPr>
        <w:t xml:space="preserve">nie PKR. </w:t>
      </w:r>
    </w:p>
    <w:p w14:paraId="72152E60" w14:textId="25080747" w:rsidR="00D20BC6" w:rsidRPr="00201A9A" w:rsidRDefault="00D20BC6" w:rsidP="005A28DE">
      <w:pPr>
        <w:pStyle w:val="Titrearticle"/>
        <w:rPr>
          <w:noProof/>
        </w:rPr>
      </w:pPr>
      <w:r w:rsidRPr="00201A9A">
        <w:rPr>
          <w:noProof/>
        </w:rPr>
        <w:t xml:space="preserve">Artykuł 83 </w:t>
      </w:r>
      <w:r w:rsidRPr="00201A9A">
        <w:rPr>
          <w:noProof/>
        </w:rPr>
        <w:br/>
      </w:r>
      <w:r w:rsidRPr="00201A9A">
        <w:rPr>
          <w:b/>
          <w:noProof/>
        </w:rPr>
        <w:t>Zmiany</w:t>
      </w:r>
      <w:r w:rsidR="00201A9A" w:rsidRPr="00201A9A">
        <w:rPr>
          <w:b/>
          <w:noProof/>
        </w:rPr>
        <w:t xml:space="preserve"> w roz</w:t>
      </w:r>
      <w:r w:rsidRPr="00201A9A">
        <w:rPr>
          <w:b/>
          <w:noProof/>
        </w:rPr>
        <w:t>porządzeniu (UE) 2023/955</w:t>
      </w:r>
    </w:p>
    <w:p w14:paraId="31A0FA6F" w14:textId="77777777" w:rsidR="00D20BC6" w:rsidRPr="00201A9A" w:rsidRDefault="00D20BC6" w:rsidP="005A28DE">
      <w:pPr>
        <w:rPr>
          <w:noProof/>
        </w:rPr>
      </w:pPr>
      <w:r w:rsidRPr="00201A9A">
        <w:rPr>
          <w:noProof/>
        </w:rPr>
        <w:t>W rozporządzeniu (UE) 2023/955 wprowadza się następujące zmiany: </w:t>
      </w:r>
    </w:p>
    <w:p w14:paraId="07B43AFC" w14:textId="75F55289" w:rsidR="00064CE4" w:rsidRPr="00201A9A" w:rsidRDefault="00201A9A" w:rsidP="00201A9A">
      <w:pPr>
        <w:pStyle w:val="Point0"/>
        <w:rPr>
          <w:noProof/>
        </w:rPr>
      </w:pPr>
      <w:r w:rsidRPr="00201A9A">
        <w:rPr>
          <w:noProof/>
        </w:rPr>
        <w:t>1)</w:t>
      </w:r>
      <w:r w:rsidRPr="00201A9A">
        <w:rPr>
          <w:noProof/>
        </w:rPr>
        <w:tab/>
      </w:r>
      <w:r w:rsidR="00D20BC6" w:rsidRPr="00201A9A">
        <w:rPr>
          <w:noProof/>
        </w:rPr>
        <w:t>art.</w:t>
      </w:r>
      <w:r w:rsidRPr="00201A9A">
        <w:rPr>
          <w:noProof/>
        </w:rPr>
        <w:t> </w:t>
      </w:r>
      <w:r w:rsidR="00D20BC6" w:rsidRPr="00201A9A">
        <w:rPr>
          <w:noProof/>
        </w:rPr>
        <w:t>10 otrzymuje brzmienie:</w:t>
      </w:r>
    </w:p>
    <w:p w14:paraId="2847940A" w14:textId="77777777" w:rsidR="00EC3A41" w:rsidRPr="00201A9A" w:rsidRDefault="00EC3A41" w:rsidP="00231A84">
      <w:pPr>
        <w:pStyle w:val="Titrearticle"/>
        <w:rPr>
          <w:noProof/>
        </w:rPr>
      </w:pPr>
      <w:r w:rsidRPr="00201A9A">
        <w:rPr>
          <w:noProof/>
        </w:rPr>
        <w:t xml:space="preserve">„Artykuł 10 </w:t>
      </w:r>
      <w:r w:rsidRPr="00201A9A">
        <w:rPr>
          <w:noProof/>
        </w:rPr>
        <w:br/>
        <w:t>Zasoby Funduszu</w:t>
      </w:r>
    </w:p>
    <w:p w14:paraId="5D0709D7" w14:textId="518FDD59" w:rsidR="00D20BC6" w:rsidRPr="00201A9A" w:rsidRDefault="0098734C" w:rsidP="0098734C">
      <w:pPr>
        <w:pStyle w:val="Point10"/>
        <w:rPr>
          <w:noProof/>
        </w:rPr>
      </w:pPr>
      <w:r w:rsidRPr="00201A9A">
        <w:rPr>
          <w:noProof/>
        </w:rPr>
        <w:t>1.</w:t>
      </w:r>
      <w:r w:rsidRPr="00201A9A">
        <w:rPr>
          <w:noProof/>
        </w:rPr>
        <w:tab/>
        <w:t>Na potrzeby wdrożenia planów społeczno-klimatycznych udostępnia się maksymalną kwotę 65 000 0000 EUR na okres od dnia 1 stycznia 2026</w:t>
      </w:r>
      <w:r w:rsidR="00201A9A" w:rsidRPr="00201A9A">
        <w:rPr>
          <w:noProof/>
        </w:rPr>
        <w:t> </w:t>
      </w:r>
      <w:r w:rsidRPr="00201A9A">
        <w:rPr>
          <w:noProof/>
        </w:rPr>
        <w:t>r. do dnia 31 grudnia 2032</w:t>
      </w:r>
      <w:r w:rsidR="00201A9A" w:rsidRPr="00201A9A">
        <w:rPr>
          <w:noProof/>
        </w:rPr>
        <w:t> </w:t>
      </w:r>
      <w:r w:rsidRPr="00201A9A">
        <w:rPr>
          <w:noProof/>
        </w:rPr>
        <w:t>r.</w:t>
      </w:r>
      <w:r w:rsidR="00201A9A" w:rsidRPr="00201A9A">
        <w:rPr>
          <w:noProof/>
        </w:rPr>
        <w:t xml:space="preserve"> w cen</w:t>
      </w:r>
      <w:r w:rsidRPr="00201A9A">
        <w:rPr>
          <w:noProof/>
        </w:rPr>
        <w:t>ach bieżących, zgodnie</w:t>
      </w:r>
      <w:r w:rsidR="00201A9A" w:rsidRPr="00201A9A">
        <w:rPr>
          <w:noProof/>
        </w:rPr>
        <w:t xml:space="preserve"> z art</w:t>
      </w:r>
      <w:r w:rsidRPr="00201A9A">
        <w:rPr>
          <w:noProof/>
        </w:rPr>
        <w:t>.</w:t>
      </w:r>
      <w:r w:rsidR="00201A9A" w:rsidRPr="00201A9A">
        <w:rPr>
          <w:noProof/>
        </w:rPr>
        <w:t> </w:t>
      </w:r>
      <w:r w:rsidRPr="00201A9A">
        <w:rPr>
          <w:noProof/>
        </w:rPr>
        <w:t>10a ust.</w:t>
      </w:r>
      <w:r w:rsidR="00201A9A" w:rsidRPr="00201A9A">
        <w:rPr>
          <w:noProof/>
        </w:rPr>
        <w:t> </w:t>
      </w:r>
      <w:r w:rsidRPr="00201A9A">
        <w:rPr>
          <w:noProof/>
        </w:rPr>
        <w:t>8b oraz art.</w:t>
      </w:r>
      <w:r w:rsidR="00201A9A" w:rsidRPr="00201A9A">
        <w:rPr>
          <w:noProof/>
        </w:rPr>
        <w:t> </w:t>
      </w:r>
      <w:r w:rsidRPr="00201A9A">
        <w:rPr>
          <w:noProof/>
        </w:rPr>
        <w:t>30d ust.</w:t>
      </w:r>
      <w:r w:rsidR="00201A9A" w:rsidRPr="00201A9A">
        <w:rPr>
          <w:noProof/>
        </w:rPr>
        <w:t> </w:t>
      </w:r>
      <w:r w:rsidRPr="00201A9A">
        <w:rPr>
          <w:noProof/>
        </w:rPr>
        <w:t>3</w:t>
      </w:r>
      <w:r w:rsidR="00201A9A" w:rsidRPr="00201A9A">
        <w:rPr>
          <w:noProof/>
        </w:rPr>
        <w:t xml:space="preserve"> i 4</w:t>
      </w:r>
      <w:r w:rsidRPr="00201A9A">
        <w:rPr>
          <w:noProof/>
        </w:rPr>
        <w:t xml:space="preserve"> dyrektywy 2003/87/WE. Kwota ta stanowi zewnętrzne dochody przeznaczone na określony cel na potrzeby art.</w:t>
      </w:r>
      <w:r w:rsidR="00201A9A" w:rsidRPr="00201A9A">
        <w:rPr>
          <w:noProof/>
        </w:rPr>
        <w:t> </w:t>
      </w:r>
      <w:r w:rsidRPr="00201A9A">
        <w:rPr>
          <w:noProof/>
        </w:rPr>
        <w:t>21 ust.</w:t>
      </w:r>
      <w:r w:rsidR="00201A9A" w:rsidRPr="00201A9A">
        <w:rPr>
          <w:noProof/>
        </w:rPr>
        <w:t> </w:t>
      </w:r>
      <w:r w:rsidRPr="00201A9A">
        <w:rPr>
          <w:noProof/>
        </w:rPr>
        <w:t>5 rozporządzenia (UE, Euratom) 2018/1046, bez uszczerbku dla art.</w:t>
      </w:r>
      <w:r w:rsidR="00201A9A" w:rsidRPr="00201A9A">
        <w:rPr>
          <w:noProof/>
        </w:rPr>
        <w:t> </w:t>
      </w:r>
      <w:r w:rsidRPr="00201A9A">
        <w:rPr>
          <w:noProof/>
        </w:rPr>
        <w:t>30d ust.</w:t>
      </w:r>
      <w:r w:rsidR="00201A9A" w:rsidRPr="00201A9A">
        <w:rPr>
          <w:noProof/>
        </w:rPr>
        <w:t> </w:t>
      </w:r>
      <w:r w:rsidRPr="00201A9A">
        <w:rPr>
          <w:noProof/>
        </w:rPr>
        <w:t>4 akapit szósty dyrektywy 2003/87/WE.</w:t>
      </w:r>
    </w:p>
    <w:p w14:paraId="72115E82" w14:textId="68B503A5" w:rsidR="00D20BC6" w:rsidRPr="00201A9A" w:rsidRDefault="00D20BC6" w:rsidP="0098734C">
      <w:pPr>
        <w:pStyle w:val="Text2"/>
        <w:rPr>
          <w:noProof/>
        </w:rPr>
      </w:pPr>
      <w:r w:rsidRPr="00201A9A">
        <w:rPr>
          <w:noProof/>
        </w:rPr>
        <w:t>Roczne kwoty,</w:t>
      </w:r>
      <w:r w:rsidR="00201A9A" w:rsidRPr="00201A9A">
        <w:rPr>
          <w:noProof/>
        </w:rPr>
        <w:t xml:space="preserve"> w gra</w:t>
      </w:r>
      <w:r w:rsidRPr="00201A9A">
        <w:rPr>
          <w:noProof/>
        </w:rPr>
        <w:t>nicach maksymalnej kwoty określonej</w:t>
      </w:r>
      <w:r w:rsidR="00201A9A" w:rsidRPr="00201A9A">
        <w:rPr>
          <w:noProof/>
        </w:rPr>
        <w:t xml:space="preserve"> w aka</w:t>
      </w:r>
      <w:r w:rsidRPr="00201A9A">
        <w:rPr>
          <w:noProof/>
        </w:rPr>
        <w:t>picie pierwszym niniejszego ustępu, nie mogą przekraczać kwot,</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30d ust.</w:t>
      </w:r>
      <w:r w:rsidR="00201A9A" w:rsidRPr="00201A9A">
        <w:rPr>
          <w:noProof/>
        </w:rPr>
        <w:t> </w:t>
      </w:r>
      <w:r w:rsidRPr="00201A9A">
        <w:rPr>
          <w:noProof/>
        </w:rPr>
        <w:t xml:space="preserve">4 akapit czwarty dyrektywy 2003/87/WE. </w:t>
      </w:r>
    </w:p>
    <w:p w14:paraId="1F63A687" w14:textId="278DB45B" w:rsidR="00D20BC6" w:rsidRPr="00201A9A" w:rsidRDefault="00D20BC6" w:rsidP="0098734C">
      <w:pPr>
        <w:pStyle w:val="Text2"/>
        <w:rPr>
          <w:noProof/>
        </w:rPr>
      </w:pPr>
      <w:r w:rsidRPr="00201A9A">
        <w:rPr>
          <w:noProof/>
        </w:rPr>
        <w:t>Kwoty na lata 2028–2032 są udostępniane na realizację inwestycji</w:t>
      </w:r>
      <w:r w:rsidR="00201A9A" w:rsidRPr="00201A9A">
        <w:rPr>
          <w:noProof/>
        </w:rPr>
        <w:t xml:space="preserve"> i śro</w:t>
      </w:r>
      <w:r w:rsidRPr="00201A9A">
        <w:rPr>
          <w:noProof/>
        </w:rPr>
        <w:t>dków przewidzianych</w:t>
      </w:r>
      <w:r w:rsidR="00201A9A" w:rsidRPr="00201A9A">
        <w:rPr>
          <w:noProof/>
        </w:rPr>
        <w:t xml:space="preserve"> w pla</w:t>
      </w:r>
      <w:r w:rsidRPr="00201A9A">
        <w:rPr>
          <w:noProof/>
        </w:rPr>
        <w:t>nie społeczno-klimatycznym</w:t>
      </w:r>
      <w:r w:rsidR="00201A9A" w:rsidRPr="00201A9A">
        <w:rPr>
          <w:noProof/>
        </w:rPr>
        <w:t xml:space="preserve"> w ram</w:t>
      </w:r>
      <w:r w:rsidRPr="00201A9A">
        <w:rPr>
          <w:noProof/>
        </w:rPr>
        <w:t>ach planów partnerstwa krajowego</w:t>
      </w:r>
      <w:r w:rsidR="00201A9A" w:rsidRPr="00201A9A">
        <w:rPr>
          <w:noProof/>
        </w:rPr>
        <w:t xml:space="preserve"> i reg</w:t>
      </w:r>
      <w:r w:rsidRPr="00201A9A">
        <w:rPr>
          <w:noProof/>
        </w:rPr>
        <w:t>ionalnego zgodnie</w:t>
      </w:r>
      <w:r w:rsidR="00201A9A" w:rsidRPr="00201A9A">
        <w:rPr>
          <w:noProof/>
        </w:rPr>
        <w:t xml:space="preserve"> z art</w:t>
      </w:r>
      <w:r w:rsidRPr="00201A9A">
        <w:rPr>
          <w:noProof/>
        </w:rPr>
        <w:t>.</w:t>
      </w:r>
      <w:r w:rsidR="00201A9A" w:rsidRPr="00201A9A">
        <w:rPr>
          <w:noProof/>
        </w:rPr>
        <w:t> </w:t>
      </w:r>
      <w:r w:rsidRPr="00201A9A">
        <w:rPr>
          <w:noProof/>
        </w:rPr>
        <w:t>27a niniejszego rozporządzenia</w:t>
      </w:r>
      <w:r w:rsidR="00201A9A" w:rsidRPr="00201A9A">
        <w:rPr>
          <w:noProof/>
        </w:rPr>
        <w:t xml:space="preserve"> i art</w:t>
      </w:r>
      <w:r w:rsidRPr="00201A9A">
        <w:rPr>
          <w:noProof/>
        </w:rPr>
        <w:t>.</w:t>
      </w:r>
      <w:r w:rsidR="00201A9A" w:rsidRPr="00201A9A">
        <w:rPr>
          <w:noProof/>
        </w:rPr>
        <w:t> </w:t>
      </w:r>
      <w:r w:rsidRPr="00201A9A">
        <w:rPr>
          <w:noProof/>
        </w:rPr>
        <w:t>20 rozporządzenia XXX [rozporządzenie PPKR] na okres od</w:t>
      </w:r>
      <w:r w:rsidR="00201A9A" w:rsidRPr="00201A9A">
        <w:rPr>
          <w:noProof/>
        </w:rPr>
        <w:t> </w:t>
      </w:r>
      <w:r w:rsidRPr="00201A9A">
        <w:rPr>
          <w:noProof/>
        </w:rPr>
        <w:t>2028</w:t>
      </w:r>
      <w:r w:rsidR="00201A9A" w:rsidRPr="00201A9A">
        <w:rPr>
          <w:noProof/>
        </w:rPr>
        <w:t> </w:t>
      </w:r>
      <w:r w:rsidRPr="00201A9A">
        <w:rPr>
          <w:noProof/>
        </w:rPr>
        <w:t>r. do [2032</w:t>
      </w:r>
      <w:r w:rsidR="00201A9A" w:rsidRPr="00201A9A">
        <w:rPr>
          <w:noProof/>
        </w:rPr>
        <w:t> </w:t>
      </w:r>
      <w:r w:rsidRPr="00201A9A">
        <w:rPr>
          <w:noProof/>
        </w:rPr>
        <w:t>r.].</w:t>
      </w:r>
    </w:p>
    <w:p w14:paraId="4CF841EA" w14:textId="05542D3F" w:rsidR="004E0DDB" w:rsidRPr="00201A9A" w:rsidRDefault="00D20BC6" w:rsidP="0098734C">
      <w:pPr>
        <w:pStyle w:val="Text2"/>
        <w:rPr>
          <w:noProof/>
        </w:rPr>
      </w:pPr>
      <w:r w:rsidRPr="00201A9A">
        <w:rPr>
          <w:noProof/>
        </w:rPr>
        <w:t>W przypadku gdy system handlu uprawnieniami do emisji ustanowiony zgodnie</w:t>
      </w:r>
      <w:r w:rsidR="00201A9A" w:rsidRPr="00201A9A">
        <w:rPr>
          <w:noProof/>
        </w:rPr>
        <w:t xml:space="preserve"> z roz</w:t>
      </w:r>
      <w:r w:rsidRPr="00201A9A">
        <w:rPr>
          <w:noProof/>
        </w:rPr>
        <w:t>działem IVa dyrektywy 2003/87/WE zostanie przesunięty do</w:t>
      </w:r>
      <w:r w:rsidR="00201A9A" w:rsidRPr="00201A9A">
        <w:rPr>
          <w:noProof/>
        </w:rPr>
        <w:t> </w:t>
      </w:r>
      <w:r w:rsidRPr="00201A9A">
        <w:rPr>
          <w:noProof/>
        </w:rPr>
        <w:t>2028</w:t>
      </w:r>
      <w:r w:rsidR="00201A9A" w:rsidRPr="00201A9A">
        <w:rPr>
          <w:noProof/>
        </w:rPr>
        <w:t> </w:t>
      </w:r>
      <w:r w:rsidRPr="00201A9A">
        <w:rPr>
          <w:noProof/>
        </w:rPr>
        <w:t>r. na mocy art.</w:t>
      </w:r>
      <w:r w:rsidR="00201A9A" w:rsidRPr="00201A9A">
        <w:rPr>
          <w:noProof/>
        </w:rPr>
        <w:t> </w:t>
      </w:r>
      <w:r w:rsidRPr="00201A9A">
        <w:rPr>
          <w:noProof/>
        </w:rPr>
        <w:t>30k tej dyrektywy, maksymalna kwota, która ma zostać udostępniona wynosi 54 600 000 000 EUR,</w:t>
      </w:r>
      <w:r w:rsidR="00201A9A" w:rsidRPr="00201A9A">
        <w:rPr>
          <w:noProof/>
        </w:rPr>
        <w:t xml:space="preserve"> a roc</w:t>
      </w:r>
      <w:r w:rsidRPr="00201A9A">
        <w:rPr>
          <w:noProof/>
        </w:rPr>
        <w:t>zne przydzielane kwoty nie mogą przekroczyć odnośnych kwot,</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30d ust.</w:t>
      </w:r>
      <w:r w:rsidR="00201A9A" w:rsidRPr="00201A9A">
        <w:rPr>
          <w:noProof/>
        </w:rPr>
        <w:t> </w:t>
      </w:r>
      <w:r w:rsidRPr="00201A9A">
        <w:rPr>
          <w:noProof/>
        </w:rPr>
        <w:t>4 akapit piąty dyrektywy 2003/87/WE.</w:t>
      </w:r>
    </w:p>
    <w:p w14:paraId="6B0582AD" w14:textId="2CEE0A25" w:rsidR="001901FA" w:rsidRPr="00201A9A" w:rsidRDefault="0098734C" w:rsidP="0098734C">
      <w:pPr>
        <w:pStyle w:val="Point10"/>
        <w:rPr>
          <w:noProof/>
        </w:rPr>
      </w:pPr>
      <w:r w:rsidRPr="00201A9A">
        <w:rPr>
          <w:noProof/>
        </w:rPr>
        <w:t>2.</w:t>
      </w:r>
      <w:r w:rsidRPr="00201A9A">
        <w:rPr>
          <w:noProof/>
        </w:rPr>
        <w:tab/>
        <w:t>Na zasadzie odstępstwa od art.</w:t>
      </w:r>
      <w:r w:rsidR="00201A9A" w:rsidRPr="00201A9A">
        <w:rPr>
          <w:noProof/>
        </w:rPr>
        <w:t> </w:t>
      </w:r>
      <w:r w:rsidRPr="00201A9A">
        <w:rPr>
          <w:noProof/>
        </w:rPr>
        <w:t>22 ust.</w:t>
      </w:r>
      <w:r w:rsidR="00201A9A" w:rsidRPr="00201A9A">
        <w:rPr>
          <w:noProof/>
        </w:rPr>
        <w:t> </w:t>
      </w:r>
      <w:r w:rsidRPr="00201A9A">
        <w:rPr>
          <w:noProof/>
        </w:rPr>
        <w:t>2 rozporządzenia (UE, Euratom) 2018/1046</w:t>
      </w:r>
      <w:r w:rsidR="00201A9A" w:rsidRPr="00201A9A">
        <w:rPr>
          <w:noProof/>
        </w:rPr>
        <w:t xml:space="preserve"> i bez</w:t>
      </w:r>
      <w:r w:rsidRPr="00201A9A">
        <w:rPr>
          <w:noProof/>
        </w:rPr>
        <w:t xml:space="preserve"> uszczerbku dla art.</w:t>
      </w:r>
      <w:r w:rsidR="00201A9A" w:rsidRPr="00201A9A">
        <w:rPr>
          <w:noProof/>
        </w:rPr>
        <w:t> </w:t>
      </w:r>
      <w:r w:rsidRPr="00201A9A">
        <w:rPr>
          <w:noProof/>
        </w:rPr>
        <w:t>19 niniejszego rozporządzenia środki na zobowiązania pokrywające odnośną kwotę roczną,</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1 niniejszego artykułu, zostają udostępnione automatycznie na początku każdego roku budżetowego, począwszy od dnia 1 stycznia 2026</w:t>
      </w:r>
      <w:r w:rsidR="00201A9A" w:rsidRPr="00201A9A">
        <w:rPr>
          <w:noProof/>
        </w:rPr>
        <w:t> </w:t>
      </w:r>
      <w:r w:rsidRPr="00201A9A">
        <w:rPr>
          <w:noProof/>
        </w:rPr>
        <w:t>r., do wysokości odpowiednich mających zastosowanie kwot rocznych,</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akapity drugi</w:t>
      </w:r>
      <w:r w:rsidR="00201A9A" w:rsidRPr="00201A9A">
        <w:rPr>
          <w:noProof/>
        </w:rPr>
        <w:t xml:space="preserve"> i czw</w:t>
      </w:r>
      <w:r w:rsidRPr="00201A9A">
        <w:rPr>
          <w:noProof/>
        </w:rPr>
        <w:t>arty.</w:t>
      </w:r>
    </w:p>
    <w:p w14:paraId="4D730A6D" w14:textId="30F07EFD" w:rsidR="001901FA" w:rsidRPr="00201A9A" w:rsidRDefault="0098734C" w:rsidP="0098734C">
      <w:pPr>
        <w:pStyle w:val="Point10"/>
        <w:rPr>
          <w:noProof/>
        </w:rPr>
      </w:pPr>
      <w:r w:rsidRPr="00201A9A">
        <w:rPr>
          <w:noProof/>
        </w:rPr>
        <w:t>3.</w:t>
      </w:r>
      <w:r w:rsidRPr="00201A9A">
        <w:rPr>
          <w:noProof/>
        </w:rPr>
        <w:tab/>
        <w:t>Z kwot,</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1, można również pokrywać wydatki związane</w:t>
      </w:r>
      <w:r w:rsidR="00201A9A" w:rsidRPr="00201A9A">
        <w:rPr>
          <w:noProof/>
        </w:rPr>
        <w:t xml:space="preserve"> z dzi</w:t>
      </w:r>
      <w:r w:rsidRPr="00201A9A">
        <w:rPr>
          <w:noProof/>
        </w:rPr>
        <w:t>ałaniami dotyczącymi przygotowania, monitorowania, kontroli, audytu</w:t>
      </w:r>
      <w:r w:rsidR="00201A9A" w:rsidRPr="00201A9A">
        <w:rPr>
          <w:noProof/>
        </w:rPr>
        <w:t xml:space="preserve"> i oce</w:t>
      </w:r>
      <w:r w:rsidRPr="00201A9A">
        <w:rPr>
          <w:noProof/>
        </w:rPr>
        <w:t>ny, niezbędnymi do zarządzania Funduszem</w:t>
      </w:r>
      <w:r w:rsidR="00201A9A" w:rsidRPr="00201A9A">
        <w:rPr>
          <w:noProof/>
        </w:rPr>
        <w:t xml:space="preserve"> i osi</w:t>
      </w:r>
      <w:r w:rsidRPr="00201A9A">
        <w:rPr>
          <w:noProof/>
        </w:rPr>
        <w:t>ągnięcia jego celów,</w:t>
      </w:r>
      <w:r w:rsidR="00201A9A" w:rsidRPr="00201A9A">
        <w:rPr>
          <w:noProof/>
        </w:rPr>
        <w:t xml:space="preserve"> w szc</w:t>
      </w:r>
      <w:r w:rsidRPr="00201A9A">
        <w:rPr>
          <w:noProof/>
        </w:rPr>
        <w:t>zególności wydatki na opracowania, spotkania</w:t>
      </w:r>
      <w:r w:rsidR="00201A9A" w:rsidRPr="00201A9A">
        <w:rPr>
          <w:noProof/>
        </w:rPr>
        <w:t xml:space="preserve"> z eks</w:t>
      </w:r>
      <w:r w:rsidRPr="00201A9A">
        <w:rPr>
          <w:noProof/>
        </w:rPr>
        <w:t>pertami, konsultacje</w:t>
      </w:r>
      <w:r w:rsidR="00201A9A" w:rsidRPr="00201A9A">
        <w:rPr>
          <w:noProof/>
        </w:rPr>
        <w:t xml:space="preserve"> z zai</w:t>
      </w:r>
      <w:r w:rsidRPr="00201A9A">
        <w:rPr>
          <w:noProof/>
        </w:rPr>
        <w:t>nteresowanymi stronami, działalność informacyjną</w:t>
      </w:r>
      <w:r w:rsidR="00201A9A" w:rsidRPr="00201A9A">
        <w:rPr>
          <w:noProof/>
        </w:rPr>
        <w:t xml:space="preserve"> i kom</w:t>
      </w:r>
      <w:r w:rsidRPr="00201A9A">
        <w:rPr>
          <w:noProof/>
        </w:rPr>
        <w:t>unikacyjną,</w:t>
      </w:r>
      <w:r w:rsidR="00201A9A" w:rsidRPr="00201A9A">
        <w:rPr>
          <w:noProof/>
        </w:rPr>
        <w:t xml:space="preserve"> w tym</w:t>
      </w:r>
      <w:r w:rsidRPr="00201A9A">
        <w:rPr>
          <w:noProof/>
        </w:rPr>
        <w:t xml:space="preserve"> na inkluzywne działania informacyjne, oraz komunikację instytucjonalną na temat priorytetów politycznych Unii,</w:t>
      </w:r>
      <w:r w:rsidR="00201A9A" w:rsidRPr="00201A9A">
        <w:rPr>
          <w:noProof/>
        </w:rPr>
        <w:t xml:space="preserve"> w zak</w:t>
      </w:r>
      <w:r w:rsidRPr="00201A9A">
        <w:rPr>
          <w:noProof/>
        </w:rPr>
        <w:t>resie,</w:t>
      </w:r>
      <w:r w:rsidR="00201A9A" w:rsidRPr="00201A9A">
        <w:rPr>
          <w:noProof/>
        </w:rPr>
        <w:t xml:space="preserve"> w jak</w:t>
      </w:r>
      <w:r w:rsidRPr="00201A9A">
        <w:rPr>
          <w:noProof/>
        </w:rPr>
        <w:t>im są one związane</w:t>
      </w:r>
      <w:r w:rsidR="00201A9A" w:rsidRPr="00201A9A">
        <w:rPr>
          <w:noProof/>
        </w:rPr>
        <w:t xml:space="preserve"> z cel</w:t>
      </w:r>
      <w:r w:rsidRPr="00201A9A">
        <w:rPr>
          <w:noProof/>
        </w:rPr>
        <w:t>ami niniejszego rozporządzenia, wydatki związane</w:t>
      </w:r>
      <w:r w:rsidR="00201A9A" w:rsidRPr="00201A9A">
        <w:rPr>
          <w:noProof/>
        </w:rPr>
        <w:t xml:space="preserve"> z sie</w:t>
      </w:r>
      <w:r w:rsidRPr="00201A9A">
        <w:rPr>
          <w:noProof/>
        </w:rPr>
        <w:t>ciami informatycznymi nastawionymi na przetwarzanie</w:t>
      </w:r>
      <w:r w:rsidR="00201A9A" w:rsidRPr="00201A9A">
        <w:rPr>
          <w:noProof/>
        </w:rPr>
        <w:t xml:space="preserve"> i wym</w:t>
      </w:r>
      <w:r w:rsidRPr="00201A9A">
        <w:rPr>
          <w:noProof/>
        </w:rPr>
        <w:t>ianę informacji, instytucjonalnymi narzędziami informatycznymi,</w:t>
      </w:r>
      <w:r w:rsidR="00201A9A" w:rsidRPr="00201A9A">
        <w:rPr>
          <w:noProof/>
        </w:rPr>
        <w:t xml:space="preserve"> a tak</w:t>
      </w:r>
      <w:r w:rsidRPr="00201A9A">
        <w:rPr>
          <w:noProof/>
        </w:rPr>
        <w:t>że wszystkie inne wydatki na pomoc techniczną</w:t>
      </w:r>
      <w:r w:rsidR="00201A9A" w:rsidRPr="00201A9A">
        <w:rPr>
          <w:noProof/>
        </w:rPr>
        <w:t xml:space="preserve"> i adm</w:t>
      </w:r>
      <w:r w:rsidRPr="00201A9A">
        <w:rPr>
          <w:noProof/>
        </w:rPr>
        <w:t>inistracyjną, jakie ponosi Komisja</w:t>
      </w:r>
      <w:r w:rsidR="00201A9A" w:rsidRPr="00201A9A">
        <w:rPr>
          <w:noProof/>
        </w:rPr>
        <w:t xml:space="preserve"> w zwi</w:t>
      </w:r>
      <w:r w:rsidRPr="00201A9A">
        <w:rPr>
          <w:noProof/>
        </w:rPr>
        <w:t>ązku</w:t>
      </w:r>
      <w:r w:rsidR="00201A9A" w:rsidRPr="00201A9A">
        <w:rPr>
          <w:noProof/>
        </w:rPr>
        <w:t xml:space="preserve"> z zar</w:t>
      </w:r>
      <w:r w:rsidRPr="00201A9A">
        <w:rPr>
          <w:noProof/>
        </w:rPr>
        <w:t>ządzaniem Funduszem. Wydatki mogą również obejmować koszty innych działań wspierających, takich jak kontrola jakości</w:t>
      </w:r>
      <w:r w:rsidR="00201A9A" w:rsidRPr="00201A9A">
        <w:rPr>
          <w:noProof/>
        </w:rPr>
        <w:t xml:space="preserve"> i mon</w:t>
      </w:r>
      <w:r w:rsidRPr="00201A9A">
        <w:rPr>
          <w:noProof/>
        </w:rPr>
        <w:t>itorowanie projektów</w:t>
      </w:r>
      <w:r w:rsidR="00201A9A" w:rsidRPr="00201A9A">
        <w:rPr>
          <w:noProof/>
        </w:rPr>
        <w:t xml:space="preserve"> w ter</w:t>
      </w:r>
      <w:r w:rsidRPr="00201A9A">
        <w:rPr>
          <w:noProof/>
        </w:rPr>
        <w:t>enie,</w:t>
      </w:r>
      <w:r w:rsidR="00201A9A" w:rsidRPr="00201A9A">
        <w:rPr>
          <w:noProof/>
        </w:rPr>
        <w:t xml:space="preserve"> a tak</w:t>
      </w:r>
      <w:r w:rsidRPr="00201A9A">
        <w:rPr>
          <w:noProof/>
        </w:rPr>
        <w:t>że koszty wzajemnego doradztwa</w:t>
      </w:r>
      <w:r w:rsidR="00201A9A" w:rsidRPr="00201A9A">
        <w:rPr>
          <w:noProof/>
        </w:rPr>
        <w:t xml:space="preserve"> i eks</w:t>
      </w:r>
      <w:r w:rsidRPr="00201A9A">
        <w:rPr>
          <w:noProof/>
        </w:rPr>
        <w:t>pertów związane</w:t>
      </w:r>
      <w:r w:rsidR="00201A9A" w:rsidRPr="00201A9A">
        <w:rPr>
          <w:noProof/>
        </w:rPr>
        <w:t xml:space="preserve"> z oce</w:t>
      </w:r>
      <w:r w:rsidRPr="00201A9A">
        <w:rPr>
          <w:noProof/>
        </w:rPr>
        <w:t>ną</w:t>
      </w:r>
      <w:r w:rsidR="00201A9A" w:rsidRPr="00201A9A">
        <w:rPr>
          <w:noProof/>
        </w:rPr>
        <w:t xml:space="preserve"> i rea</w:t>
      </w:r>
      <w:r w:rsidRPr="00201A9A">
        <w:rPr>
          <w:noProof/>
        </w:rPr>
        <w:t xml:space="preserve">lizacją kwalifikowalnych działań.”; </w:t>
      </w:r>
    </w:p>
    <w:p w14:paraId="5163E0DF" w14:textId="7C5144D4" w:rsidR="00D20BC6" w:rsidRPr="00201A9A" w:rsidRDefault="00201A9A" w:rsidP="00201A9A">
      <w:pPr>
        <w:pStyle w:val="Point0"/>
        <w:rPr>
          <w:noProof/>
        </w:rPr>
      </w:pPr>
      <w:r w:rsidRPr="00201A9A">
        <w:rPr>
          <w:noProof/>
        </w:rPr>
        <w:t>2)</w:t>
      </w:r>
      <w:r w:rsidRPr="00201A9A">
        <w:rPr>
          <w:noProof/>
        </w:rPr>
        <w:tab/>
      </w:r>
      <w:r w:rsidR="00D20BC6" w:rsidRPr="00201A9A">
        <w:rPr>
          <w:noProof/>
        </w:rPr>
        <w:t>dodaje się art.</w:t>
      </w:r>
      <w:r w:rsidRPr="00201A9A">
        <w:rPr>
          <w:noProof/>
        </w:rPr>
        <w:t> </w:t>
      </w:r>
      <w:r w:rsidR="00D20BC6" w:rsidRPr="00201A9A">
        <w:rPr>
          <w:noProof/>
        </w:rPr>
        <w:t>27a</w:t>
      </w:r>
      <w:r w:rsidRPr="00201A9A">
        <w:rPr>
          <w:noProof/>
        </w:rPr>
        <w:t xml:space="preserve"> w brz</w:t>
      </w:r>
      <w:r w:rsidR="00D20BC6" w:rsidRPr="00201A9A">
        <w:rPr>
          <w:noProof/>
        </w:rPr>
        <w:t>mieniu:</w:t>
      </w:r>
    </w:p>
    <w:p w14:paraId="7FB6ACB7" w14:textId="1967FEA0" w:rsidR="00D20BC6" w:rsidRPr="00201A9A" w:rsidRDefault="0098734C" w:rsidP="00DE2C4D">
      <w:pPr>
        <w:pStyle w:val="Titrearticle"/>
        <w:rPr>
          <w:noProof/>
        </w:rPr>
      </w:pPr>
      <w:r w:rsidRPr="00201A9A">
        <w:rPr>
          <w:noProof/>
        </w:rPr>
        <w:t xml:space="preserve">„Artykuł 27a </w:t>
      </w:r>
      <w:r w:rsidRPr="00201A9A">
        <w:rPr>
          <w:noProof/>
        </w:rPr>
        <w:br/>
        <w:t>Plany społeczno-klimatyczne oraz plany partnerstwa krajowego</w:t>
      </w:r>
      <w:r w:rsidR="00201A9A" w:rsidRPr="00201A9A">
        <w:rPr>
          <w:noProof/>
        </w:rPr>
        <w:t xml:space="preserve"> i reg</w:t>
      </w:r>
      <w:r w:rsidRPr="00201A9A">
        <w:rPr>
          <w:noProof/>
        </w:rPr>
        <w:t>ionalnego</w:t>
      </w:r>
    </w:p>
    <w:p w14:paraId="1E0CE34A" w14:textId="02DCABFC" w:rsidR="00D20BC6" w:rsidRPr="00201A9A" w:rsidRDefault="0098734C" w:rsidP="0098734C">
      <w:pPr>
        <w:pStyle w:val="Point10"/>
        <w:rPr>
          <w:noProof/>
        </w:rPr>
      </w:pPr>
      <w:r w:rsidRPr="00201A9A">
        <w:rPr>
          <w:noProof/>
        </w:rPr>
        <w:t>1.</w:t>
      </w:r>
      <w:r w:rsidRPr="00201A9A">
        <w:rPr>
          <w:noProof/>
        </w:rPr>
        <w:tab/>
        <w:t>Państwa członkowskie włączają do planów partnerstwa krajowego</w:t>
      </w:r>
      <w:r w:rsidR="00201A9A" w:rsidRPr="00201A9A">
        <w:rPr>
          <w:noProof/>
        </w:rPr>
        <w:t xml:space="preserve"> i reg</w:t>
      </w:r>
      <w:r w:rsidRPr="00201A9A">
        <w:rPr>
          <w:noProof/>
        </w:rPr>
        <w:t>ionalnego, które mają być przedkładane zgodnie</w:t>
      </w:r>
      <w:r w:rsidR="00201A9A" w:rsidRPr="00201A9A">
        <w:rPr>
          <w:noProof/>
        </w:rPr>
        <w:t xml:space="preserve"> z art</w:t>
      </w:r>
      <w:r w:rsidRPr="00201A9A">
        <w:rPr>
          <w:noProof/>
        </w:rPr>
        <w:t>.</w:t>
      </w:r>
      <w:r w:rsidR="00201A9A" w:rsidRPr="00201A9A">
        <w:rPr>
          <w:noProof/>
        </w:rPr>
        <w:t> </w:t>
      </w:r>
      <w:r w:rsidRPr="00201A9A">
        <w:rPr>
          <w:noProof/>
        </w:rPr>
        <w:t>21 rozporządzenia XXX [rozporządzenie PPKR], inwestycje</w:t>
      </w:r>
      <w:r w:rsidR="00201A9A" w:rsidRPr="00201A9A">
        <w:rPr>
          <w:noProof/>
        </w:rPr>
        <w:t xml:space="preserve"> i śro</w:t>
      </w:r>
      <w:r w:rsidRPr="00201A9A">
        <w:rPr>
          <w:noProof/>
        </w:rPr>
        <w:t>dki przewidziane</w:t>
      </w:r>
      <w:r w:rsidR="00201A9A" w:rsidRPr="00201A9A">
        <w:rPr>
          <w:noProof/>
        </w:rPr>
        <w:t xml:space="preserve"> w pla</w:t>
      </w:r>
      <w:r w:rsidRPr="00201A9A">
        <w:rPr>
          <w:noProof/>
        </w:rPr>
        <w:t>nach społeczno-klimatycznych przygotowanych</w:t>
      </w:r>
      <w:r w:rsidR="00201A9A" w:rsidRPr="00201A9A">
        <w:rPr>
          <w:noProof/>
        </w:rPr>
        <w:t xml:space="preserve"> i prz</w:t>
      </w:r>
      <w:r w:rsidRPr="00201A9A">
        <w:rPr>
          <w:noProof/>
        </w:rPr>
        <w:t>yjętych zgodnie</w:t>
      </w:r>
      <w:r w:rsidR="00201A9A" w:rsidRPr="00201A9A">
        <w:rPr>
          <w:noProof/>
        </w:rPr>
        <w:t xml:space="preserve"> z nin</w:t>
      </w:r>
      <w:r w:rsidRPr="00201A9A">
        <w:rPr>
          <w:noProof/>
        </w:rPr>
        <w:t>iejszym rozporządzeniem</w:t>
      </w:r>
      <w:r w:rsidR="00201A9A" w:rsidRPr="00201A9A">
        <w:rPr>
          <w:noProof/>
        </w:rPr>
        <w:t xml:space="preserve"> w odd</w:t>
      </w:r>
      <w:r w:rsidRPr="00201A9A">
        <w:rPr>
          <w:noProof/>
        </w:rPr>
        <w:t>zielnym rozdziale, jak określono</w:t>
      </w:r>
      <w:r w:rsidR="00201A9A" w:rsidRPr="00201A9A">
        <w:rPr>
          <w:noProof/>
        </w:rPr>
        <w:t xml:space="preserve"> w art</w:t>
      </w:r>
      <w:r w:rsidRPr="00201A9A">
        <w:rPr>
          <w:noProof/>
        </w:rPr>
        <w:t>.</w:t>
      </w:r>
      <w:r w:rsidR="00201A9A" w:rsidRPr="00201A9A">
        <w:rPr>
          <w:noProof/>
        </w:rPr>
        <w:t> </w:t>
      </w:r>
      <w:r w:rsidRPr="00201A9A">
        <w:rPr>
          <w:noProof/>
        </w:rPr>
        <w:t xml:space="preserve">80 rozporządzenia xx [rozporządzenie PPKR]. </w:t>
      </w:r>
    </w:p>
    <w:p w14:paraId="6F785CA1" w14:textId="77777777" w:rsidR="00210EC5" w:rsidRPr="00201A9A" w:rsidRDefault="0098734C" w:rsidP="0098734C">
      <w:pPr>
        <w:pStyle w:val="Point10"/>
        <w:rPr>
          <w:noProof/>
        </w:rPr>
      </w:pPr>
      <w:r w:rsidRPr="00201A9A">
        <w:rPr>
          <w:noProof/>
        </w:rPr>
        <w:t>2.</w:t>
      </w:r>
      <w:r w:rsidRPr="00201A9A">
        <w:rPr>
          <w:noProof/>
        </w:rPr>
        <w:tab/>
        <w:t>Przepisy rozporządzenia XXX [rozporządzenie PPKR] mają zastosowanie do rozdziału dotyczącego planu społeczno-klimatycznego.</w:t>
      </w:r>
    </w:p>
    <w:p w14:paraId="77868904" w14:textId="1D3DA3A8" w:rsidR="00210EC5" w:rsidRPr="00201A9A" w:rsidRDefault="0098734C" w:rsidP="0098734C">
      <w:pPr>
        <w:pStyle w:val="Point10"/>
        <w:rPr>
          <w:noProof/>
        </w:rPr>
      </w:pPr>
      <w:r w:rsidRPr="00201A9A">
        <w:rPr>
          <w:noProof/>
        </w:rPr>
        <w:t>3.</w:t>
      </w:r>
      <w:r w:rsidRPr="00201A9A">
        <w:rPr>
          <w:noProof/>
        </w:rPr>
        <w:tab/>
        <w:t>Na zasadzie odstępstwa od ust.</w:t>
      </w:r>
      <w:r w:rsidR="00201A9A" w:rsidRPr="00201A9A">
        <w:rPr>
          <w:noProof/>
        </w:rPr>
        <w:t> </w:t>
      </w:r>
      <w:r w:rsidRPr="00201A9A">
        <w:rPr>
          <w:noProof/>
        </w:rPr>
        <w:t>3 państwo członkowskie może zdecydować</w:t>
      </w:r>
      <w:r w:rsidR="00201A9A" w:rsidRPr="00201A9A">
        <w:rPr>
          <w:noProof/>
        </w:rPr>
        <w:t xml:space="preserve"> o dal</w:t>
      </w:r>
      <w:r w:rsidRPr="00201A9A">
        <w:rPr>
          <w:noProof/>
        </w:rPr>
        <w:t>szym wdrażaniu rozdziału dotyczącego planu społeczno-klimatycznego zgodnie</w:t>
      </w:r>
      <w:r w:rsidR="00201A9A" w:rsidRPr="00201A9A">
        <w:rPr>
          <w:noProof/>
        </w:rPr>
        <w:t xml:space="preserve"> z prz</w:t>
      </w:r>
      <w:r w:rsidRPr="00201A9A">
        <w:rPr>
          <w:noProof/>
        </w:rPr>
        <w:t>episami niniejszego rozporządzenia</w:t>
      </w:r>
      <w:r w:rsidR="00201A9A" w:rsidRPr="00201A9A">
        <w:rPr>
          <w:noProof/>
        </w:rPr>
        <w:t>. W prz</w:t>
      </w:r>
      <w:r w:rsidRPr="00201A9A">
        <w:rPr>
          <w:noProof/>
        </w:rPr>
        <w:t>ypadku wątpliwości dotyczących stosowania rozporządzenia XXX [rozporządzenie PPKR] lub niniejszego rozporządzenia pierwszeństwo ma niniejsze rozporządzenie, bez uszczerbku dla art.</w:t>
      </w:r>
      <w:r w:rsidR="00201A9A" w:rsidRPr="00201A9A">
        <w:rPr>
          <w:noProof/>
        </w:rPr>
        <w:t> </w:t>
      </w:r>
      <w:r w:rsidRPr="00201A9A">
        <w:rPr>
          <w:noProof/>
        </w:rPr>
        <w:t>6, 8</w:t>
      </w:r>
      <w:r w:rsidR="00201A9A" w:rsidRPr="00201A9A">
        <w:rPr>
          <w:noProof/>
        </w:rPr>
        <w:t xml:space="preserve"> i 9</w:t>
      </w:r>
      <w:r w:rsidRPr="00201A9A">
        <w:rPr>
          <w:noProof/>
        </w:rPr>
        <w:t xml:space="preserve"> rozporządzenia XXX [rozporządzenie PPKR].</w:t>
      </w:r>
    </w:p>
    <w:p w14:paraId="7F435A75" w14:textId="12C7F481" w:rsidR="00D20BC6" w:rsidRPr="00201A9A" w:rsidRDefault="0098734C" w:rsidP="0098734C">
      <w:pPr>
        <w:pStyle w:val="Point10"/>
        <w:rPr>
          <w:noProof/>
        </w:rPr>
      </w:pPr>
      <w:r w:rsidRPr="00201A9A">
        <w:rPr>
          <w:noProof/>
        </w:rPr>
        <w:t>4.</w:t>
      </w:r>
      <w:r w:rsidRPr="00201A9A">
        <w:rPr>
          <w:noProof/>
        </w:rPr>
        <w:tab/>
        <w:t>Bez uszczerbku dla wniosków</w:t>
      </w:r>
      <w:r w:rsidR="00201A9A" w:rsidRPr="00201A9A">
        <w:rPr>
          <w:noProof/>
        </w:rPr>
        <w:t xml:space="preserve"> o pła</w:t>
      </w:r>
      <w:r w:rsidRPr="00201A9A">
        <w:rPr>
          <w:noProof/>
        </w:rPr>
        <w:t>tności oczekujących na rozpatrzenie, przedłożonych Komisji przez państwo członkowskie na podstawie art.</w:t>
      </w:r>
      <w:r w:rsidR="00201A9A" w:rsidRPr="00201A9A">
        <w:rPr>
          <w:noProof/>
        </w:rPr>
        <w:t> </w:t>
      </w:r>
      <w:r w:rsidRPr="00201A9A">
        <w:rPr>
          <w:noProof/>
        </w:rPr>
        <w:t>20 niniejszego rozporządzenia, po przyjęciu decyzji wykonawczej,</w:t>
      </w:r>
      <w:r w:rsidR="00201A9A" w:rsidRPr="00201A9A">
        <w:rPr>
          <w:noProof/>
        </w:rPr>
        <w:t xml:space="preserve"> o któ</w:t>
      </w:r>
      <w:r w:rsidRPr="00201A9A">
        <w:rPr>
          <w:noProof/>
        </w:rPr>
        <w:t>rej mowa</w:t>
      </w:r>
      <w:r w:rsidR="00201A9A" w:rsidRPr="00201A9A">
        <w:rPr>
          <w:noProof/>
        </w:rPr>
        <w:t xml:space="preserve"> w art</w:t>
      </w:r>
      <w:r w:rsidRPr="00201A9A">
        <w:rPr>
          <w:noProof/>
        </w:rPr>
        <w:t>.</w:t>
      </w:r>
      <w:r w:rsidR="00201A9A" w:rsidRPr="00201A9A">
        <w:rPr>
          <w:noProof/>
        </w:rPr>
        <w:t> </w:t>
      </w:r>
      <w:r w:rsidRPr="00201A9A">
        <w:rPr>
          <w:noProof/>
        </w:rPr>
        <w:t>23 [Wniosek Komisji</w:t>
      </w:r>
      <w:r w:rsidR="00201A9A" w:rsidRPr="00201A9A">
        <w:rPr>
          <w:noProof/>
        </w:rPr>
        <w:t xml:space="preserve"> i dec</w:t>
      </w:r>
      <w:r w:rsidRPr="00201A9A">
        <w:rPr>
          <w:noProof/>
        </w:rPr>
        <w:t>yzja wykonawcza Rady], zatwierdzającej plan partnerstwa krajowego</w:t>
      </w:r>
      <w:r w:rsidR="00201A9A" w:rsidRPr="00201A9A">
        <w:rPr>
          <w:noProof/>
        </w:rPr>
        <w:t xml:space="preserve"> i reg</w:t>
      </w:r>
      <w:r w:rsidRPr="00201A9A">
        <w:rPr>
          <w:noProof/>
        </w:rPr>
        <w:t>ionalnego, Komisja zmienia lub rozwiązuje umowę określoną</w:t>
      </w:r>
      <w:r w:rsidR="00201A9A" w:rsidRPr="00201A9A">
        <w:rPr>
          <w:noProof/>
        </w:rPr>
        <w:t xml:space="preserve"> w art</w:t>
      </w:r>
      <w:r w:rsidRPr="00201A9A">
        <w:rPr>
          <w:noProof/>
        </w:rPr>
        <w:t>.</w:t>
      </w:r>
      <w:r w:rsidR="00201A9A" w:rsidRPr="00201A9A">
        <w:rPr>
          <w:noProof/>
        </w:rPr>
        <w:t> </w:t>
      </w:r>
      <w:r w:rsidRPr="00201A9A">
        <w:rPr>
          <w:noProof/>
        </w:rPr>
        <w:t>19 niniejszego rozporządzenia,</w:t>
      </w:r>
      <w:r w:rsidR="00201A9A" w:rsidRPr="00201A9A">
        <w:rPr>
          <w:noProof/>
        </w:rPr>
        <w:t xml:space="preserve"> w prz</w:t>
      </w:r>
      <w:r w:rsidRPr="00201A9A">
        <w:rPr>
          <w:noProof/>
        </w:rPr>
        <w:t>ypadku gdy taka umowa została zawarta</w:t>
      </w:r>
      <w:r w:rsidR="00201A9A" w:rsidRPr="00201A9A">
        <w:rPr>
          <w:noProof/>
        </w:rPr>
        <w:t xml:space="preserve"> z pań</w:t>
      </w:r>
      <w:r w:rsidRPr="00201A9A">
        <w:rPr>
          <w:noProof/>
        </w:rPr>
        <w:t>stwami członkowskimi.”.</w:t>
      </w:r>
    </w:p>
    <w:p w14:paraId="55F22C05" w14:textId="77777777" w:rsidR="00D20BC6" w:rsidRPr="00201A9A" w:rsidRDefault="000663FB" w:rsidP="000663FB">
      <w:pPr>
        <w:pStyle w:val="SectionTitle"/>
        <w:rPr>
          <w:noProof/>
        </w:rPr>
      </w:pPr>
      <w:r w:rsidRPr="00201A9A">
        <w:rPr>
          <w:noProof/>
        </w:rPr>
        <w:t xml:space="preserve">TYTUŁ XI </w:t>
      </w:r>
      <w:r w:rsidRPr="00201A9A">
        <w:rPr>
          <w:noProof/>
        </w:rPr>
        <w:br/>
        <w:t>PRZEPISY INSTYTUCJONALNE I KOŃCOWE</w:t>
      </w:r>
    </w:p>
    <w:p w14:paraId="468F9CD9" w14:textId="1E76D143" w:rsidR="000663FB" w:rsidRPr="00201A9A" w:rsidRDefault="000663FB" w:rsidP="000663FB">
      <w:pPr>
        <w:pStyle w:val="ChapterTitle0"/>
        <w:rPr>
          <w:noProof/>
        </w:rPr>
      </w:pPr>
      <w:r w:rsidRPr="00201A9A">
        <w:rPr>
          <w:noProof/>
        </w:rPr>
        <w:t xml:space="preserve">ROZDZIAŁ 1 </w:t>
      </w:r>
      <w:r w:rsidRPr="00201A9A">
        <w:rPr>
          <w:noProof/>
        </w:rPr>
        <w:br/>
        <w:t>Reguły konkurencji dla sektorów rolnictwa, rybołówstwa</w:t>
      </w:r>
      <w:r w:rsidR="00201A9A" w:rsidRPr="00201A9A">
        <w:rPr>
          <w:noProof/>
        </w:rPr>
        <w:t xml:space="preserve"> i akw</w:t>
      </w:r>
      <w:r w:rsidRPr="00201A9A">
        <w:rPr>
          <w:noProof/>
        </w:rPr>
        <w:t>akultury</w:t>
      </w:r>
    </w:p>
    <w:p w14:paraId="0E81134B" w14:textId="77777777" w:rsidR="00B100E2" w:rsidRPr="00201A9A" w:rsidRDefault="00D20BC6" w:rsidP="00B100E2">
      <w:pPr>
        <w:pStyle w:val="Titrearticle"/>
        <w:rPr>
          <w:noProof/>
        </w:rPr>
      </w:pPr>
      <w:r w:rsidRPr="00201A9A">
        <w:rPr>
          <w:noProof/>
        </w:rPr>
        <w:t xml:space="preserve">Artykuł 84 </w:t>
      </w:r>
      <w:r w:rsidRPr="00201A9A">
        <w:rPr>
          <w:noProof/>
        </w:rPr>
        <w:br/>
      </w:r>
      <w:r w:rsidRPr="00201A9A">
        <w:rPr>
          <w:b/>
          <w:noProof/>
        </w:rPr>
        <w:t>Reguły mające zastosowanie do przedsiębiorstw</w:t>
      </w:r>
    </w:p>
    <w:p w14:paraId="08CDCB4A" w14:textId="09076891" w:rsidR="00B100E2" w:rsidRPr="00201A9A" w:rsidRDefault="00B100E2" w:rsidP="00DE2C4D">
      <w:pPr>
        <w:rPr>
          <w:noProof/>
        </w:rPr>
      </w:pPr>
      <w:r w:rsidRPr="00201A9A">
        <w:rPr>
          <w:noProof/>
        </w:rPr>
        <w:t>W przypadku gdy wsparcie przyznawane za pośrednictwem interwencji</w:t>
      </w:r>
      <w:r w:rsidR="00201A9A" w:rsidRPr="00201A9A">
        <w:rPr>
          <w:noProof/>
        </w:rPr>
        <w:t xml:space="preserve"> w ram</w:t>
      </w:r>
      <w:r w:rsidRPr="00201A9A">
        <w:rPr>
          <w:noProof/>
        </w:rPr>
        <w:t>ach WPR,</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35 ust.</w:t>
      </w:r>
      <w:r w:rsidR="00201A9A" w:rsidRPr="00201A9A">
        <w:rPr>
          <w:noProof/>
        </w:rPr>
        <w:t> </w:t>
      </w:r>
      <w:r w:rsidRPr="00201A9A">
        <w:rPr>
          <w:noProof/>
        </w:rPr>
        <w:t>1 rozporządzenia (UE) 202X/XXXX [rozporządzenie</w:t>
      </w:r>
      <w:r w:rsidR="00201A9A" w:rsidRPr="00201A9A">
        <w:rPr>
          <w:noProof/>
        </w:rPr>
        <w:t xml:space="preserve"> w spr</w:t>
      </w:r>
      <w:r w:rsidRPr="00201A9A">
        <w:rPr>
          <w:noProof/>
        </w:rPr>
        <w:t>awie WPR], na formy współpracy między przedsiębiorstwami, może ono zostać przyznane wyłącznie na te formy współpracy, które są zgodne</w:t>
      </w:r>
      <w:r w:rsidR="00201A9A" w:rsidRPr="00201A9A">
        <w:rPr>
          <w:noProof/>
        </w:rPr>
        <w:t xml:space="preserve"> z reg</w:t>
      </w:r>
      <w:r w:rsidRPr="00201A9A">
        <w:rPr>
          <w:noProof/>
        </w:rPr>
        <w:t>ułami konkurencji przewidzianymi</w:t>
      </w:r>
      <w:r w:rsidR="00201A9A" w:rsidRPr="00201A9A">
        <w:rPr>
          <w:noProof/>
        </w:rPr>
        <w:t xml:space="preserve"> w roz</w:t>
      </w:r>
      <w:r w:rsidRPr="00201A9A">
        <w:rPr>
          <w:noProof/>
        </w:rPr>
        <w:t>porządzeniu (UE) nr</w:t>
      </w:r>
      <w:r w:rsidR="00201A9A" w:rsidRPr="00201A9A">
        <w:rPr>
          <w:noProof/>
        </w:rPr>
        <w:t> </w:t>
      </w:r>
      <w:r w:rsidRPr="00201A9A">
        <w:rPr>
          <w:noProof/>
        </w:rPr>
        <w:t xml:space="preserve">1308/2013. </w:t>
      </w:r>
    </w:p>
    <w:p w14:paraId="59FC7B59" w14:textId="77777777" w:rsidR="00B100E2" w:rsidRPr="00201A9A" w:rsidRDefault="00B100E2" w:rsidP="00B100E2">
      <w:pPr>
        <w:pStyle w:val="Titlearticle"/>
        <w:rPr>
          <w:noProof/>
        </w:rPr>
      </w:pPr>
      <w:r w:rsidRPr="00201A9A">
        <w:rPr>
          <w:noProof/>
        </w:rPr>
        <w:t xml:space="preserve">Artykuł 85 </w:t>
      </w:r>
      <w:r w:rsidRPr="00201A9A">
        <w:rPr>
          <w:noProof/>
        </w:rPr>
        <w:br/>
      </w:r>
      <w:r w:rsidRPr="00201A9A">
        <w:rPr>
          <w:b/>
          <w:noProof/>
        </w:rPr>
        <w:t>Pomoc państwa</w:t>
      </w:r>
    </w:p>
    <w:p w14:paraId="4614D847" w14:textId="2564499E" w:rsidR="005C0564" w:rsidRPr="00201A9A" w:rsidRDefault="00B100E2" w:rsidP="003E2902">
      <w:pPr>
        <w:pStyle w:val="NumPar10000000"/>
        <w:numPr>
          <w:ilvl w:val="0"/>
          <w:numId w:val="119"/>
        </w:numPr>
        <w:rPr>
          <w:noProof/>
        </w:rPr>
      </w:pPr>
      <w:r w:rsidRPr="00201A9A">
        <w:rPr>
          <w:noProof/>
        </w:rPr>
        <w:t>O ile niniejszy artykuł nie stanowi inaczej, art.</w:t>
      </w:r>
      <w:r w:rsidR="00201A9A" w:rsidRPr="00201A9A">
        <w:rPr>
          <w:noProof/>
        </w:rPr>
        <w:t> </w:t>
      </w:r>
      <w:r w:rsidRPr="00201A9A">
        <w:rPr>
          <w:noProof/>
        </w:rPr>
        <w:t>107, 108</w:t>
      </w:r>
      <w:r w:rsidR="00201A9A" w:rsidRPr="00201A9A">
        <w:rPr>
          <w:noProof/>
        </w:rPr>
        <w:t xml:space="preserve"> i 1</w:t>
      </w:r>
      <w:r w:rsidRPr="00201A9A">
        <w:rPr>
          <w:noProof/>
        </w:rPr>
        <w:t>09 TFUE mają zastosowanie do wsparcia udzielanego na podstawie niniejszego rozporządzenia (UE) 202X/XXXX [rozporządzenie</w:t>
      </w:r>
      <w:r w:rsidR="00201A9A" w:rsidRPr="00201A9A">
        <w:rPr>
          <w:noProof/>
        </w:rPr>
        <w:t xml:space="preserve"> w spr</w:t>
      </w:r>
      <w:r w:rsidRPr="00201A9A">
        <w:rPr>
          <w:noProof/>
        </w:rPr>
        <w:t>awie WPR]</w:t>
      </w:r>
      <w:r w:rsidR="00201A9A" w:rsidRPr="00201A9A">
        <w:rPr>
          <w:noProof/>
        </w:rPr>
        <w:t xml:space="preserve"> i roz</w:t>
      </w:r>
      <w:r w:rsidRPr="00201A9A">
        <w:rPr>
          <w:noProof/>
        </w:rPr>
        <w:t>porządzenia (UE) nr</w:t>
      </w:r>
      <w:r w:rsidR="00201A9A" w:rsidRPr="00201A9A">
        <w:rPr>
          <w:noProof/>
        </w:rPr>
        <w:t> </w:t>
      </w:r>
      <w:r w:rsidRPr="00201A9A">
        <w:rPr>
          <w:noProof/>
        </w:rPr>
        <w:t>1308/2013</w:t>
      </w:r>
      <w:r w:rsidR="00201A9A" w:rsidRPr="00201A9A">
        <w:rPr>
          <w:noProof/>
        </w:rPr>
        <w:t xml:space="preserve"> w odn</w:t>
      </w:r>
      <w:r w:rsidRPr="00201A9A">
        <w:rPr>
          <w:noProof/>
        </w:rPr>
        <w:t>iesieniu do rodzajów interwencji określonych</w:t>
      </w:r>
      <w:r w:rsidR="00201A9A" w:rsidRPr="00201A9A">
        <w:rPr>
          <w:noProof/>
        </w:rPr>
        <w:t xml:space="preserve"> w czę</w:t>
      </w:r>
      <w:r w:rsidRPr="00201A9A">
        <w:rPr>
          <w:noProof/>
        </w:rPr>
        <w:t>ści II tytuł I rozdział IIa tego rozporządzenia lub do pomocy przyznawanej przez państwa członkowskie przedsiębiorstwom</w:t>
      </w:r>
      <w:r w:rsidR="00201A9A" w:rsidRPr="00201A9A">
        <w:rPr>
          <w:noProof/>
        </w:rPr>
        <w:t xml:space="preserve"> w uni</w:t>
      </w:r>
      <w:r w:rsidRPr="00201A9A">
        <w:rPr>
          <w:noProof/>
        </w:rPr>
        <w:t>jnym sektorze rybołówstwa</w:t>
      </w:r>
      <w:r w:rsidR="00201A9A" w:rsidRPr="00201A9A">
        <w:rPr>
          <w:noProof/>
        </w:rPr>
        <w:t xml:space="preserve"> i akw</w:t>
      </w:r>
      <w:r w:rsidRPr="00201A9A">
        <w:rPr>
          <w:noProof/>
        </w:rPr>
        <w:t>akultury;</w:t>
      </w:r>
    </w:p>
    <w:p w14:paraId="28B9F88E" w14:textId="440747C3" w:rsidR="005C0564" w:rsidRPr="00201A9A" w:rsidRDefault="00B100E2" w:rsidP="003E2902">
      <w:pPr>
        <w:pStyle w:val="NumPar10000000"/>
        <w:numPr>
          <w:ilvl w:val="0"/>
          <w:numId w:val="119"/>
        </w:numPr>
        <w:rPr>
          <w:noProof/>
        </w:rPr>
      </w:pPr>
      <w:r w:rsidRPr="00201A9A">
        <w:rPr>
          <w:noProof/>
        </w:rPr>
        <w:t>Art. 107, 108</w:t>
      </w:r>
      <w:r w:rsidR="00201A9A" w:rsidRPr="00201A9A">
        <w:rPr>
          <w:noProof/>
        </w:rPr>
        <w:t xml:space="preserve"> i 1</w:t>
      </w:r>
      <w:r w:rsidRPr="00201A9A">
        <w:rPr>
          <w:noProof/>
        </w:rPr>
        <w:t>09 TFUE nie mają zastosowania do wsparcia wypłacanego przez państwa członkowskie na podstawie niniejszego rozporządzenia</w:t>
      </w:r>
      <w:r w:rsidR="00201A9A" w:rsidRPr="00201A9A">
        <w:rPr>
          <w:noProof/>
        </w:rPr>
        <w:t xml:space="preserve"> i zgo</w:t>
      </w:r>
      <w:r w:rsidRPr="00201A9A">
        <w:rPr>
          <w:noProof/>
        </w:rPr>
        <w:t>dnie</w:t>
      </w:r>
      <w:r w:rsidR="00201A9A" w:rsidRPr="00201A9A">
        <w:rPr>
          <w:noProof/>
        </w:rPr>
        <w:t xml:space="preserve"> z nim</w:t>
      </w:r>
      <w:r w:rsidRPr="00201A9A">
        <w:rPr>
          <w:noProof/>
        </w:rPr>
        <w:t>, do wkładu krajowego</w:t>
      </w:r>
      <w:r w:rsidR="00201A9A" w:rsidRPr="00201A9A">
        <w:rPr>
          <w:noProof/>
        </w:rPr>
        <w:t xml:space="preserve"> w kos</w:t>
      </w:r>
      <w:r w:rsidRPr="00201A9A">
        <w:rPr>
          <w:noProof/>
        </w:rPr>
        <w:t>zty kwalifikowalne zapewnianego przez państwa członkowskie</w:t>
      </w:r>
      <w:r w:rsidR="00201A9A" w:rsidRPr="00201A9A">
        <w:rPr>
          <w:noProof/>
        </w:rPr>
        <w:t xml:space="preserve"> w odn</w:t>
      </w:r>
      <w:r w:rsidRPr="00201A9A">
        <w:rPr>
          <w:noProof/>
        </w:rPr>
        <w:t>iesieniu do interwencji</w:t>
      </w:r>
      <w:r w:rsidR="00201A9A" w:rsidRPr="00201A9A">
        <w:rPr>
          <w:noProof/>
        </w:rPr>
        <w:t xml:space="preserve"> w ram</w:t>
      </w:r>
      <w:r w:rsidRPr="00201A9A">
        <w:rPr>
          <w:noProof/>
        </w:rPr>
        <w:t>ach WPR,</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35 ust.</w:t>
      </w:r>
      <w:r w:rsidR="00201A9A" w:rsidRPr="00201A9A">
        <w:rPr>
          <w:noProof/>
        </w:rPr>
        <w:t> </w:t>
      </w:r>
      <w:r w:rsidRPr="00201A9A">
        <w:rPr>
          <w:noProof/>
        </w:rPr>
        <w:t>1 lit.</w:t>
      </w:r>
      <w:r w:rsidR="00201A9A" w:rsidRPr="00201A9A">
        <w:rPr>
          <w:noProof/>
        </w:rPr>
        <w:t> </w:t>
      </w:r>
      <w:r w:rsidRPr="00201A9A">
        <w:rPr>
          <w:noProof/>
        </w:rPr>
        <w:t>d)–f) i h)–r), do dodatkowego finansowania krajowego przewidzianego na interwencje</w:t>
      </w:r>
      <w:r w:rsidR="00201A9A" w:rsidRPr="00201A9A">
        <w:rPr>
          <w:noProof/>
        </w:rPr>
        <w:t xml:space="preserve"> w ram</w:t>
      </w:r>
      <w:r w:rsidRPr="00201A9A">
        <w:rPr>
          <w:noProof/>
        </w:rPr>
        <w:t>ach WPR,</w:t>
      </w:r>
      <w:r w:rsidR="00201A9A" w:rsidRPr="00201A9A">
        <w:rPr>
          <w:noProof/>
        </w:rPr>
        <w:t xml:space="preserve"> o któ</w:t>
      </w:r>
      <w:r w:rsidRPr="00201A9A">
        <w:rPr>
          <w:noProof/>
        </w:rPr>
        <w:t>rym mowa</w:t>
      </w:r>
      <w:r w:rsidR="00201A9A" w:rsidRPr="00201A9A">
        <w:rPr>
          <w:noProof/>
        </w:rPr>
        <w:t xml:space="preserve"> w art</w:t>
      </w:r>
      <w:r w:rsidRPr="00201A9A">
        <w:rPr>
          <w:noProof/>
        </w:rPr>
        <w:t>.</w:t>
      </w:r>
      <w:r w:rsidR="00201A9A" w:rsidRPr="00201A9A">
        <w:rPr>
          <w:noProof/>
        </w:rPr>
        <w:t> </w:t>
      </w:r>
      <w:r w:rsidRPr="00201A9A">
        <w:rPr>
          <w:noProof/>
        </w:rPr>
        <w:t>35 ust.</w:t>
      </w:r>
      <w:r w:rsidR="00201A9A" w:rsidRPr="00201A9A">
        <w:rPr>
          <w:noProof/>
        </w:rPr>
        <w:t> </w:t>
      </w:r>
      <w:r w:rsidRPr="00201A9A">
        <w:rPr>
          <w:noProof/>
        </w:rPr>
        <w:t>1 lit.</w:t>
      </w:r>
      <w:r w:rsidR="00201A9A" w:rsidRPr="00201A9A">
        <w:rPr>
          <w:noProof/>
        </w:rPr>
        <w:t> </w:t>
      </w:r>
      <w:r w:rsidRPr="00201A9A">
        <w:rPr>
          <w:noProof/>
        </w:rPr>
        <w:t>d)–f) i h)–r), objętych zakresem art.</w:t>
      </w:r>
      <w:r w:rsidR="00201A9A" w:rsidRPr="00201A9A">
        <w:rPr>
          <w:noProof/>
        </w:rPr>
        <w:t> </w:t>
      </w:r>
      <w:r w:rsidRPr="00201A9A">
        <w:rPr>
          <w:noProof/>
        </w:rPr>
        <w:t>42 TFUE, ani do pomocy przyznawanej przez państwa członkowskie przedsiębiorstwom</w:t>
      </w:r>
      <w:r w:rsidR="00201A9A" w:rsidRPr="00201A9A">
        <w:rPr>
          <w:noProof/>
        </w:rPr>
        <w:t xml:space="preserve"> w uni</w:t>
      </w:r>
      <w:r w:rsidRPr="00201A9A">
        <w:rPr>
          <w:noProof/>
        </w:rPr>
        <w:t>jnym sektorze rybołówstwa</w:t>
      </w:r>
      <w:r w:rsidR="00201A9A" w:rsidRPr="00201A9A">
        <w:rPr>
          <w:noProof/>
        </w:rPr>
        <w:t xml:space="preserve"> i akw</w:t>
      </w:r>
      <w:r w:rsidRPr="00201A9A">
        <w:rPr>
          <w:noProof/>
        </w:rPr>
        <w:t>akultury objętej zakresem art.</w:t>
      </w:r>
      <w:r w:rsidR="00201A9A" w:rsidRPr="00201A9A">
        <w:rPr>
          <w:noProof/>
        </w:rPr>
        <w:t> </w:t>
      </w:r>
      <w:r w:rsidRPr="00201A9A">
        <w:rPr>
          <w:noProof/>
        </w:rPr>
        <w:t>42 TFUE.</w:t>
      </w:r>
    </w:p>
    <w:p w14:paraId="0181347C" w14:textId="7A1D14E4" w:rsidR="005C0564" w:rsidRPr="00201A9A" w:rsidRDefault="005C0564" w:rsidP="003E2902">
      <w:pPr>
        <w:pStyle w:val="NumPar10000000"/>
        <w:numPr>
          <w:ilvl w:val="0"/>
          <w:numId w:val="119"/>
        </w:numPr>
        <w:rPr>
          <w:noProof/>
        </w:rPr>
      </w:pPr>
      <w:r w:rsidRPr="00201A9A">
        <w:rPr>
          <w:noProof/>
        </w:rPr>
        <w:t>Wsparcie udzielane przez państwa członkowskie,</w:t>
      </w:r>
      <w:r w:rsidR="00201A9A" w:rsidRPr="00201A9A">
        <w:rPr>
          <w:noProof/>
        </w:rPr>
        <w:t xml:space="preserve"> o któ</w:t>
      </w:r>
      <w:r w:rsidRPr="00201A9A">
        <w:rPr>
          <w:noProof/>
        </w:rPr>
        <w:t>rym mowa</w:t>
      </w:r>
      <w:r w:rsidR="00201A9A" w:rsidRPr="00201A9A">
        <w:rPr>
          <w:noProof/>
        </w:rPr>
        <w:t xml:space="preserve"> w ust</w:t>
      </w:r>
      <w:r w:rsidRPr="00201A9A">
        <w:rPr>
          <w:noProof/>
        </w:rPr>
        <w:t>.</w:t>
      </w:r>
      <w:r w:rsidR="00201A9A" w:rsidRPr="00201A9A">
        <w:rPr>
          <w:noProof/>
        </w:rPr>
        <w:t> </w:t>
      </w:r>
      <w:r w:rsidRPr="00201A9A">
        <w:rPr>
          <w:noProof/>
        </w:rPr>
        <w:t>1,</w:t>
      </w:r>
      <w:r w:rsidR="00201A9A" w:rsidRPr="00201A9A">
        <w:rPr>
          <w:noProof/>
        </w:rPr>
        <w:t xml:space="preserve"> w zwi</w:t>
      </w:r>
      <w:r w:rsidRPr="00201A9A">
        <w:rPr>
          <w:noProof/>
        </w:rPr>
        <w:t>ązku</w:t>
      </w:r>
      <w:r w:rsidR="00201A9A" w:rsidRPr="00201A9A">
        <w:rPr>
          <w:noProof/>
        </w:rPr>
        <w:t xml:space="preserve"> z ope</w:t>
      </w:r>
      <w:r w:rsidRPr="00201A9A">
        <w:rPr>
          <w:noProof/>
        </w:rPr>
        <w:t>racjami wchodzącymi</w:t>
      </w:r>
      <w:r w:rsidR="00201A9A" w:rsidRPr="00201A9A">
        <w:rPr>
          <w:noProof/>
        </w:rPr>
        <w:t xml:space="preserve"> w zak</w:t>
      </w:r>
      <w:r w:rsidRPr="00201A9A">
        <w:rPr>
          <w:noProof/>
        </w:rPr>
        <w:t>res art.</w:t>
      </w:r>
      <w:r w:rsidR="00201A9A" w:rsidRPr="00201A9A">
        <w:rPr>
          <w:noProof/>
        </w:rPr>
        <w:t> </w:t>
      </w:r>
      <w:r w:rsidRPr="00201A9A">
        <w:rPr>
          <w:noProof/>
        </w:rPr>
        <w:t>42 TFUE, które ma zapewnić dodatkowe finansowanie interwencji,</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bookmarkStart w:id="15" w:name="_Hlk203489760"/>
      <w:r w:rsidRPr="00201A9A">
        <w:rPr>
          <w:noProof/>
        </w:rPr>
        <w:t>35 ust.</w:t>
      </w:r>
      <w:r w:rsidR="00201A9A" w:rsidRPr="00201A9A">
        <w:rPr>
          <w:noProof/>
        </w:rPr>
        <w:t> </w:t>
      </w:r>
      <w:r w:rsidRPr="00201A9A">
        <w:rPr>
          <w:noProof/>
        </w:rPr>
        <w:t>1 lit.</w:t>
      </w:r>
      <w:r w:rsidR="00201A9A" w:rsidRPr="00201A9A">
        <w:rPr>
          <w:noProof/>
        </w:rPr>
        <w:t> </w:t>
      </w:r>
      <w:r w:rsidRPr="00201A9A">
        <w:rPr>
          <w:noProof/>
        </w:rPr>
        <w:t>d), e), f) i h)–r)</w:t>
      </w:r>
      <w:bookmarkEnd w:id="15"/>
      <w:r w:rsidRPr="00201A9A">
        <w:rPr>
          <w:noProof/>
        </w:rPr>
        <w:t xml:space="preserve"> niniejszego rozporządzenia, na które</w:t>
      </w:r>
      <w:r w:rsidR="00201A9A" w:rsidRPr="00201A9A">
        <w:rPr>
          <w:noProof/>
        </w:rPr>
        <w:t xml:space="preserve"> w dow</w:t>
      </w:r>
      <w:r w:rsidRPr="00201A9A">
        <w:rPr>
          <w:noProof/>
        </w:rPr>
        <w:t>olnym momencie</w:t>
      </w:r>
      <w:r w:rsidR="00201A9A" w:rsidRPr="00201A9A">
        <w:rPr>
          <w:noProof/>
        </w:rPr>
        <w:t xml:space="preserve"> w okr</w:t>
      </w:r>
      <w:r w:rsidRPr="00201A9A">
        <w:rPr>
          <w:noProof/>
        </w:rPr>
        <w:t>esie objętym planem przyznano wsparcie unijne, może być udzielane wyłącznie wtedy, gdy jest zgodne</w:t>
      </w:r>
      <w:r w:rsidR="00201A9A" w:rsidRPr="00201A9A">
        <w:rPr>
          <w:noProof/>
        </w:rPr>
        <w:t xml:space="preserve"> z nin</w:t>
      </w:r>
      <w:r w:rsidRPr="00201A9A">
        <w:rPr>
          <w:noProof/>
        </w:rPr>
        <w:t>iejszym rozporządzeniem, rozporządzeniem (UE) ... [rozporządzenie</w:t>
      </w:r>
      <w:r w:rsidR="00201A9A" w:rsidRPr="00201A9A">
        <w:rPr>
          <w:noProof/>
        </w:rPr>
        <w:t xml:space="preserve"> w spr</w:t>
      </w:r>
      <w:r w:rsidRPr="00201A9A">
        <w:rPr>
          <w:noProof/>
        </w:rPr>
        <w:t>awie WPR]</w:t>
      </w:r>
      <w:r w:rsidR="00201A9A" w:rsidRPr="00201A9A">
        <w:rPr>
          <w:noProof/>
        </w:rPr>
        <w:t xml:space="preserve"> i roz</w:t>
      </w:r>
      <w:r w:rsidRPr="00201A9A">
        <w:rPr>
          <w:noProof/>
        </w:rPr>
        <w:t>porządzeniem (UE) nr</w:t>
      </w:r>
      <w:r w:rsidR="00201A9A" w:rsidRPr="00201A9A">
        <w:rPr>
          <w:noProof/>
        </w:rPr>
        <w:t> </w:t>
      </w:r>
      <w:r w:rsidRPr="00201A9A">
        <w:rPr>
          <w:noProof/>
        </w:rPr>
        <w:t>1308/2013 oraz określone</w:t>
      </w:r>
      <w:r w:rsidR="00201A9A" w:rsidRPr="00201A9A">
        <w:rPr>
          <w:noProof/>
        </w:rPr>
        <w:t xml:space="preserve"> w pla</w:t>
      </w:r>
      <w:r w:rsidRPr="00201A9A">
        <w:rPr>
          <w:noProof/>
        </w:rPr>
        <w:t xml:space="preserve">nie PKR. </w:t>
      </w:r>
    </w:p>
    <w:p w14:paraId="54C724CE" w14:textId="6D115982" w:rsidR="005C0564" w:rsidRPr="00201A9A" w:rsidRDefault="005C0564" w:rsidP="003E2902">
      <w:pPr>
        <w:pStyle w:val="NumPar10000000"/>
        <w:numPr>
          <w:ilvl w:val="0"/>
          <w:numId w:val="119"/>
        </w:numPr>
        <w:rPr>
          <w:noProof/>
        </w:rPr>
      </w:pPr>
      <w:r w:rsidRPr="00201A9A">
        <w:rPr>
          <w:noProof/>
        </w:rPr>
        <w:t>Państwa członkowskie nie zapewniają dodatkowego finansowania krajowego na interwencje,</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35 ust.</w:t>
      </w:r>
      <w:r w:rsidR="00201A9A" w:rsidRPr="00201A9A">
        <w:rPr>
          <w:noProof/>
        </w:rPr>
        <w:t> </w:t>
      </w:r>
      <w:r w:rsidRPr="00201A9A">
        <w:rPr>
          <w:noProof/>
        </w:rPr>
        <w:t>1 lit.</w:t>
      </w:r>
      <w:r w:rsidR="00201A9A" w:rsidRPr="00201A9A">
        <w:rPr>
          <w:noProof/>
        </w:rPr>
        <w:t> </w:t>
      </w:r>
      <w:r w:rsidRPr="00201A9A">
        <w:rPr>
          <w:noProof/>
        </w:rPr>
        <w:t xml:space="preserve">a), b), c) i g) niniejszego rozporządzenia. </w:t>
      </w:r>
    </w:p>
    <w:p w14:paraId="76DBCFAC" w14:textId="32B8C436" w:rsidR="00B100E2" w:rsidRPr="00201A9A" w:rsidRDefault="00B100E2" w:rsidP="003E2902">
      <w:pPr>
        <w:pStyle w:val="NumPar10000000"/>
        <w:numPr>
          <w:ilvl w:val="0"/>
          <w:numId w:val="119"/>
        </w:numPr>
        <w:rPr>
          <w:noProof/>
        </w:rPr>
      </w:pPr>
      <w:r w:rsidRPr="00201A9A">
        <w:rPr>
          <w:noProof/>
        </w:rPr>
        <w:t>W odniesieniu do produktów rolnych, rybołówstwa</w:t>
      </w:r>
      <w:r w:rsidR="00201A9A" w:rsidRPr="00201A9A">
        <w:rPr>
          <w:noProof/>
        </w:rPr>
        <w:t xml:space="preserve"> i akw</w:t>
      </w:r>
      <w:r w:rsidRPr="00201A9A">
        <w:rPr>
          <w:noProof/>
        </w:rPr>
        <w:t>akultury objętych załącznikiem I do TFUE, do których mają zastosowanie jego art.</w:t>
      </w:r>
      <w:r w:rsidR="00201A9A" w:rsidRPr="00201A9A">
        <w:rPr>
          <w:noProof/>
        </w:rPr>
        <w:t> </w:t>
      </w:r>
      <w:r w:rsidRPr="00201A9A">
        <w:rPr>
          <w:noProof/>
        </w:rPr>
        <w:t>107, 108</w:t>
      </w:r>
      <w:r w:rsidR="00201A9A" w:rsidRPr="00201A9A">
        <w:rPr>
          <w:noProof/>
        </w:rPr>
        <w:t xml:space="preserve"> i 1</w:t>
      </w:r>
      <w:r w:rsidRPr="00201A9A">
        <w:rPr>
          <w:noProof/>
        </w:rPr>
        <w:t>09, Komisja może zezwolić, zgodnie</w:t>
      </w:r>
      <w:r w:rsidR="00201A9A" w:rsidRPr="00201A9A">
        <w:rPr>
          <w:noProof/>
        </w:rPr>
        <w:t xml:space="preserve"> z art</w:t>
      </w:r>
      <w:r w:rsidRPr="00201A9A">
        <w:rPr>
          <w:noProof/>
        </w:rPr>
        <w:t>.</w:t>
      </w:r>
      <w:r w:rsidR="00201A9A" w:rsidRPr="00201A9A">
        <w:rPr>
          <w:noProof/>
        </w:rPr>
        <w:t> </w:t>
      </w:r>
      <w:r w:rsidRPr="00201A9A">
        <w:rPr>
          <w:noProof/>
        </w:rPr>
        <w:t>108 TFUE, na udzielanie pomocy operacyjnej</w:t>
      </w:r>
      <w:r w:rsidR="00201A9A" w:rsidRPr="00201A9A">
        <w:rPr>
          <w:noProof/>
        </w:rPr>
        <w:t xml:space="preserve"> w sek</w:t>
      </w:r>
      <w:r w:rsidRPr="00201A9A">
        <w:rPr>
          <w:noProof/>
        </w:rPr>
        <w:t>torach produkcji, przetwórstwa, wprowadzania do obrotu</w:t>
      </w:r>
      <w:r w:rsidR="00201A9A" w:rsidRPr="00201A9A">
        <w:rPr>
          <w:noProof/>
        </w:rPr>
        <w:t xml:space="preserve"> i tra</w:t>
      </w:r>
      <w:r w:rsidRPr="00201A9A">
        <w:rPr>
          <w:noProof/>
        </w:rPr>
        <w:t>nsportu tych produktów</w:t>
      </w:r>
      <w:r w:rsidR="00201A9A" w:rsidRPr="00201A9A">
        <w:rPr>
          <w:noProof/>
        </w:rPr>
        <w:t xml:space="preserve"> w cel</w:t>
      </w:r>
      <w:r w:rsidRPr="00201A9A">
        <w:rPr>
          <w:noProof/>
        </w:rPr>
        <w:t>u złagodzenia ograniczeń produkcji rolnej, rybołówstwa</w:t>
      </w:r>
      <w:r w:rsidR="00201A9A" w:rsidRPr="00201A9A">
        <w:rPr>
          <w:noProof/>
        </w:rPr>
        <w:t xml:space="preserve"> i akw</w:t>
      </w:r>
      <w:r w:rsidRPr="00201A9A">
        <w:rPr>
          <w:noProof/>
        </w:rPr>
        <w:t>akultury charakterystycznych dla regionów najbardziej oddalonych</w:t>
      </w:r>
      <w:r w:rsidR="00201A9A" w:rsidRPr="00201A9A">
        <w:rPr>
          <w:noProof/>
        </w:rPr>
        <w:t xml:space="preserve"> i mni</w:t>
      </w:r>
      <w:r w:rsidRPr="00201A9A">
        <w:rPr>
          <w:noProof/>
        </w:rPr>
        <w:t>ejszych wysp Morza Egejskiego związanych</w:t>
      </w:r>
      <w:r w:rsidR="00201A9A" w:rsidRPr="00201A9A">
        <w:rPr>
          <w:noProof/>
        </w:rPr>
        <w:t xml:space="preserve"> z ich</w:t>
      </w:r>
      <w:r w:rsidRPr="00201A9A">
        <w:rPr>
          <w:noProof/>
        </w:rPr>
        <w:t xml:space="preserve"> izolacją, wyspiarskim charakterem, niewielkim rozmiarem</w:t>
      </w:r>
      <w:r w:rsidR="00201A9A" w:rsidRPr="00201A9A">
        <w:rPr>
          <w:noProof/>
        </w:rPr>
        <w:t xml:space="preserve"> i skr</w:t>
      </w:r>
      <w:r w:rsidRPr="00201A9A">
        <w:rPr>
          <w:noProof/>
        </w:rPr>
        <w:t>ajnym oddaleniem.</w:t>
      </w:r>
    </w:p>
    <w:p w14:paraId="69BAE0CF" w14:textId="122926E2" w:rsidR="00B100E2" w:rsidRPr="00201A9A" w:rsidRDefault="00B100E2" w:rsidP="000661C9">
      <w:pPr>
        <w:pStyle w:val="Text1"/>
        <w:rPr>
          <w:noProof/>
        </w:rPr>
      </w:pPr>
      <w:r w:rsidRPr="00201A9A">
        <w:rPr>
          <w:noProof/>
        </w:rPr>
        <w:t>Państwa członkowskie mogą przyznać dodatkowe finansowanie na realizację interwencji</w:t>
      </w:r>
      <w:r w:rsidR="00201A9A" w:rsidRPr="00201A9A">
        <w:rPr>
          <w:noProof/>
        </w:rPr>
        <w:t xml:space="preserve"> w reg</w:t>
      </w:r>
      <w:r w:rsidRPr="00201A9A">
        <w:rPr>
          <w:noProof/>
        </w:rPr>
        <w:t>ionach najbardziej oddalonych i na mniejszych wyspach Morza Egejskiego zgodnie</w:t>
      </w:r>
      <w:r w:rsidR="00201A9A" w:rsidRPr="00201A9A">
        <w:rPr>
          <w:noProof/>
        </w:rPr>
        <w:t xml:space="preserve"> z nin</w:t>
      </w:r>
      <w:r w:rsidRPr="00201A9A">
        <w:rPr>
          <w:noProof/>
        </w:rPr>
        <w:t>iejszym rozporządzeniem</w:t>
      </w:r>
      <w:r w:rsidR="00201A9A" w:rsidRPr="00201A9A">
        <w:rPr>
          <w:noProof/>
        </w:rPr>
        <w:t>. W tak</w:t>
      </w:r>
      <w:r w:rsidRPr="00201A9A">
        <w:rPr>
          <w:noProof/>
        </w:rPr>
        <w:t>im przypadku państwa członkowskie zgłaszają Komisji dodatkowe finansowanie,</w:t>
      </w:r>
      <w:r w:rsidR="00201A9A" w:rsidRPr="00201A9A">
        <w:rPr>
          <w:noProof/>
        </w:rPr>
        <w:t xml:space="preserve"> a Kom</w:t>
      </w:r>
      <w:r w:rsidRPr="00201A9A">
        <w:rPr>
          <w:noProof/>
        </w:rPr>
        <w:t>isja może je zatwierdzić zgodnie</w:t>
      </w:r>
      <w:r w:rsidR="00201A9A" w:rsidRPr="00201A9A">
        <w:rPr>
          <w:noProof/>
        </w:rPr>
        <w:t xml:space="preserve"> z nin</w:t>
      </w:r>
      <w:r w:rsidRPr="00201A9A">
        <w:rPr>
          <w:noProof/>
        </w:rPr>
        <w:t>iejszym rozporządzeniem jako część tych planów. Pomoc,</w:t>
      </w:r>
      <w:r w:rsidR="00201A9A" w:rsidRPr="00201A9A">
        <w:rPr>
          <w:noProof/>
        </w:rPr>
        <w:t xml:space="preserve"> o któ</w:t>
      </w:r>
      <w:r w:rsidRPr="00201A9A">
        <w:rPr>
          <w:noProof/>
        </w:rPr>
        <w:t>rej powiadomiono, uznaje się zatem za pomoc zgłoszoną</w:t>
      </w:r>
      <w:r w:rsidR="00201A9A" w:rsidRPr="00201A9A">
        <w:rPr>
          <w:noProof/>
        </w:rPr>
        <w:t xml:space="preserve"> w roz</w:t>
      </w:r>
      <w:r w:rsidRPr="00201A9A">
        <w:rPr>
          <w:noProof/>
        </w:rPr>
        <w:t>umieniu art.</w:t>
      </w:r>
      <w:r w:rsidR="00201A9A" w:rsidRPr="00201A9A">
        <w:rPr>
          <w:noProof/>
        </w:rPr>
        <w:t> </w:t>
      </w:r>
      <w:r w:rsidRPr="00201A9A">
        <w:rPr>
          <w:noProof/>
        </w:rPr>
        <w:t>108 ust.</w:t>
      </w:r>
      <w:r w:rsidR="00201A9A" w:rsidRPr="00201A9A">
        <w:rPr>
          <w:noProof/>
        </w:rPr>
        <w:t> </w:t>
      </w:r>
      <w:r w:rsidRPr="00201A9A">
        <w:rPr>
          <w:noProof/>
        </w:rPr>
        <w:t>3 zdanie pierwsze TFUE.</w:t>
      </w:r>
    </w:p>
    <w:p w14:paraId="414F519F" w14:textId="1DA9C743" w:rsidR="00B100E2" w:rsidRPr="00201A9A" w:rsidRDefault="00B100E2" w:rsidP="003E2902">
      <w:pPr>
        <w:pStyle w:val="NumPar10000000"/>
        <w:numPr>
          <w:ilvl w:val="0"/>
          <w:numId w:val="119"/>
        </w:numPr>
        <w:rPr>
          <w:noProof/>
        </w:rPr>
      </w:pPr>
      <w:r w:rsidRPr="00201A9A">
        <w:rPr>
          <w:noProof/>
        </w:rPr>
        <w:t>Na zasadzie odstępstwa od art.</w:t>
      </w:r>
      <w:r w:rsidR="00201A9A" w:rsidRPr="00201A9A">
        <w:rPr>
          <w:noProof/>
        </w:rPr>
        <w:t> </w:t>
      </w:r>
      <w:r w:rsidRPr="00201A9A">
        <w:rPr>
          <w:noProof/>
        </w:rPr>
        <w:t>211 rozporządzenia (UE) nr</w:t>
      </w:r>
      <w:r w:rsidR="00201A9A" w:rsidRPr="00201A9A">
        <w:rPr>
          <w:noProof/>
        </w:rPr>
        <w:t> </w:t>
      </w:r>
      <w:r w:rsidRPr="00201A9A">
        <w:rPr>
          <w:noProof/>
        </w:rPr>
        <w:t>1308/2013</w:t>
      </w:r>
      <w:r w:rsidR="00201A9A" w:rsidRPr="00201A9A">
        <w:rPr>
          <w:noProof/>
        </w:rPr>
        <w:t xml:space="preserve"> i art</w:t>
      </w:r>
      <w:r w:rsidRPr="00201A9A">
        <w:rPr>
          <w:noProof/>
        </w:rPr>
        <w:t>.</w:t>
      </w:r>
      <w:r w:rsidR="00201A9A" w:rsidRPr="00201A9A">
        <w:rPr>
          <w:noProof/>
        </w:rPr>
        <w:t> </w:t>
      </w:r>
      <w:r w:rsidRPr="00201A9A">
        <w:rPr>
          <w:noProof/>
        </w:rPr>
        <w:t>3 rozporządzenia Rady (WE) nr</w:t>
      </w:r>
      <w:r w:rsidR="00201A9A" w:rsidRPr="00201A9A">
        <w:rPr>
          <w:noProof/>
        </w:rPr>
        <w:t> </w:t>
      </w:r>
      <w:r w:rsidRPr="00201A9A">
        <w:rPr>
          <w:noProof/>
        </w:rPr>
        <w:t>1184/2006</w:t>
      </w:r>
      <w:r w:rsidRPr="00201A9A">
        <w:rPr>
          <w:rStyle w:val="FootnoteReference"/>
          <w:noProof/>
        </w:rPr>
        <w:footnoteReference w:id="29"/>
      </w:r>
      <w:r w:rsidRPr="00201A9A">
        <w:rPr>
          <w:noProof/>
        </w:rPr>
        <w:t xml:space="preserve"> art.</w:t>
      </w:r>
      <w:r w:rsidR="00201A9A" w:rsidRPr="00201A9A">
        <w:rPr>
          <w:noProof/>
        </w:rPr>
        <w:t> </w:t>
      </w:r>
      <w:r w:rsidRPr="00201A9A">
        <w:rPr>
          <w:noProof/>
        </w:rPr>
        <w:t>107, 108</w:t>
      </w:r>
      <w:r w:rsidR="00201A9A" w:rsidRPr="00201A9A">
        <w:rPr>
          <w:noProof/>
        </w:rPr>
        <w:t xml:space="preserve"> i 1</w:t>
      </w:r>
      <w:r w:rsidRPr="00201A9A">
        <w:rPr>
          <w:noProof/>
        </w:rPr>
        <w:t>09 TFUE nie mają zastosowania do płatności na wsparcie lokalnej produkcji rolnej</w:t>
      </w:r>
      <w:r w:rsidR="00201A9A" w:rsidRPr="00201A9A">
        <w:rPr>
          <w:noProof/>
        </w:rPr>
        <w:t xml:space="preserve"> i szc</w:t>
      </w:r>
      <w:r w:rsidRPr="00201A9A">
        <w:rPr>
          <w:noProof/>
        </w:rPr>
        <w:t>zególnych systemów dostaw dokonywanych przez państwa członkowskie zgodnie</w:t>
      </w:r>
      <w:r w:rsidR="00201A9A" w:rsidRPr="00201A9A">
        <w:rPr>
          <w:noProof/>
        </w:rPr>
        <w:t xml:space="preserve"> z nin</w:t>
      </w:r>
      <w:r w:rsidRPr="00201A9A">
        <w:rPr>
          <w:noProof/>
        </w:rPr>
        <w:t>iejszym rozporządzeniem.</w:t>
      </w:r>
    </w:p>
    <w:p w14:paraId="1AFB143C" w14:textId="47D97A5B" w:rsidR="00077A87" w:rsidRPr="00201A9A" w:rsidRDefault="00077A87" w:rsidP="00077A87">
      <w:pPr>
        <w:pStyle w:val="ChapterTitle0"/>
        <w:rPr>
          <w:noProof/>
        </w:rPr>
      </w:pPr>
      <w:r w:rsidRPr="00201A9A">
        <w:rPr>
          <w:noProof/>
        </w:rPr>
        <w:t xml:space="preserve">ROZDZIAŁ 2 </w:t>
      </w:r>
      <w:r w:rsidRPr="00201A9A">
        <w:rPr>
          <w:noProof/>
        </w:rPr>
        <w:br/>
        <w:t>Przekazanie uprawnień</w:t>
      </w:r>
      <w:r w:rsidR="00201A9A" w:rsidRPr="00201A9A">
        <w:rPr>
          <w:noProof/>
        </w:rPr>
        <w:t xml:space="preserve"> i pro</w:t>
      </w:r>
      <w:r w:rsidRPr="00201A9A">
        <w:rPr>
          <w:noProof/>
        </w:rPr>
        <w:t>cedura komitetowa</w:t>
      </w:r>
    </w:p>
    <w:p w14:paraId="2D44029C" w14:textId="4A698288" w:rsidR="00B100E2" w:rsidRPr="00201A9A" w:rsidRDefault="00B100E2" w:rsidP="00B100E2">
      <w:pPr>
        <w:pStyle w:val="Titlearticle"/>
        <w:rPr>
          <w:b/>
          <w:noProof/>
        </w:rPr>
      </w:pPr>
      <w:r w:rsidRPr="00201A9A">
        <w:rPr>
          <w:noProof/>
        </w:rPr>
        <w:t xml:space="preserve">Artykuł 86 </w:t>
      </w:r>
      <w:r w:rsidRPr="00201A9A">
        <w:rPr>
          <w:noProof/>
        </w:rPr>
        <w:br/>
      </w:r>
      <w:r w:rsidRPr="00201A9A">
        <w:rPr>
          <w:b/>
          <w:noProof/>
        </w:rPr>
        <w:t>Przekazanie uprawnień</w:t>
      </w:r>
      <w:r w:rsidR="00201A9A" w:rsidRPr="00201A9A">
        <w:rPr>
          <w:b/>
          <w:noProof/>
        </w:rPr>
        <w:t xml:space="preserve"> w odn</w:t>
      </w:r>
      <w:r w:rsidRPr="00201A9A">
        <w:rPr>
          <w:b/>
          <w:noProof/>
        </w:rPr>
        <w:t>iesieniu do zmian niektórych artykułów</w:t>
      </w:r>
      <w:r w:rsidR="00201A9A" w:rsidRPr="00201A9A">
        <w:rPr>
          <w:b/>
          <w:noProof/>
        </w:rPr>
        <w:t xml:space="preserve"> i zał</w:t>
      </w:r>
      <w:r w:rsidRPr="00201A9A">
        <w:rPr>
          <w:b/>
          <w:noProof/>
        </w:rPr>
        <w:t>ączników</w:t>
      </w:r>
    </w:p>
    <w:p w14:paraId="2524F915" w14:textId="3B9F9CE0" w:rsidR="00232111" w:rsidRPr="00201A9A" w:rsidRDefault="3B19D6C2" w:rsidP="00DE2C4D">
      <w:pPr>
        <w:rPr>
          <w:noProof/>
        </w:rPr>
      </w:pPr>
      <w:r w:rsidRPr="00201A9A">
        <w:rPr>
          <w:noProof/>
        </w:rPr>
        <w:t>Komisja jest uprawniona do przyjmowania aktów delegowanych zgodnie</w:t>
      </w:r>
      <w:r w:rsidR="00201A9A" w:rsidRPr="00201A9A">
        <w:rPr>
          <w:noProof/>
        </w:rPr>
        <w:t xml:space="preserve"> z art</w:t>
      </w:r>
      <w:r w:rsidRPr="00201A9A">
        <w:rPr>
          <w:noProof/>
        </w:rPr>
        <w:t>.</w:t>
      </w:r>
      <w:r w:rsidR="00201A9A" w:rsidRPr="00201A9A">
        <w:rPr>
          <w:noProof/>
        </w:rPr>
        <w:t> </w:t>
      </w:r>
      <w:r w:rsidRPr="00201A9A">
        <w:rPr>
          <w:noProof/>
        </w:rPr>
        <w:t>87 [Wykonywanie przekazanych uprawnień]</w:t>
      </w:r>
      <w:r w:rsidR="00201A9A" w:rsidRPr="00201A9A">
        <w:rPr>
          <w:noProof/>
        </w:rPr>
        <w:t xml:space="preserve"> w cel</w:t>
      </w:r>
      <w:r w:rsidRPr="00201A9A">
        <w:rPr>
          <w:noProof/>
        </w:rPr>
        <w:t>u zmiany art.</w:t>
      </w:r>
      <w:r w:rsidR="00201A9A" w:rsidRPr="00201A9A">
        <w:rPr>
          <w:noProof/>
        </w:rPr>
        <w:t> </w:t>
      </w:r>
      <w:r w:rsidRPr="00201A9A">
        <w:rPr>
          <w:noProof/>
        </w:rPr>
        <w:t>48 [Wsparcie na rzecz lokalnych produktów rolnych, produktów rybołówstwa</w:t>
      </w:r>
      <w:r w:rsidR="00201A9A" w:rsidRPr="00201A9A">
        <w:rPr>
          <w:noProof/>
        </w:rPr>
        <w:t xml:space="preserve"> i akw</w:t>
      </w:r>
      <w:r w:rsidRPr="00201A9A">
        <w:rPr>
          <w:noProof/>
        </w:rPr>
        <w:t>akultury], 58 [Obowiązki państw członkowskich, sprawozdawczość</w:t>
      </w:r>
      <w:r w:rsidR="00201A9A" w:rsidRPr="00201A9A">
        <w:rPr>
          <w:noProof/>
        </w:rPr>
        <w:t xml:space="preserve"> w zak</w:t>
      </w:r>
      <w:r w:rsidRPr="00201A9A">
        <w:rPr>
          <w:noProof/>
        </w:rPr>
        <w:t>resie nieprawidłowości], 62 [Obliczanie kar</w:t>
      </w:r>
      <w:r w:rsidR="00201A9A" w:rsidRPr="00201A9A">
        <w:rPr>
          <w:noProof/>
        </w:rPr>
        <w:t xml:space="preserve"> w zwi</w:t>
      </w:r>
      <w:r w:rsidRPr="00201A9A">
        <w:rPr>
          <w:noProof/>
        </w:rPr>
        <w:t>ązku</w:t>
      </w:r>
      <w:r w:rsidR="00201A9A" w:rsidRPr="00201A9A">
        <w:rPr>
          <w:noProof/>
        </w:rPr>
        <w:t xml:space="preserve"> z odp</w:t>
      </w:r>
      <w:r w:rsidRPr="00201A9A">
        <w:rPr>
          <w:noProof/>
        </w:rPr>
        <w:t>owiedzialnym prowadzeniem gospodarstwa], 63 [Gromadzenie</w:t>
      </w:r>
      <w:r w:rsidR="00201A9A" w:rsidRPr="00201A9A">
        <w:rPr>
          <w:noProof/>
        </w:rPr>
        <w:t xml:space="preserve"> i rej</w:t>
      </w:r>
      <w:r w:rsidRPr="00201A9A">
        <w:rPr>
          <w:noProof/>
        </w:rPr>
        <w:t>estrowanie danych]</w:t>
      </w:r>
      <w:r w:rsidR="00201A9A" w:rsidRPr="00201A9A">
        <w:rPr>
          <w:noProof/>
        </w:rPr>
        <w:t xml:space="preserve"> i 7</w:t>
      </w:r>
      <w:r w:rsidRPr="00201A9A">
        <w:rPr>
          <w:noProof/>
        </w:rPr>
        <w:t>0 [ZSZiK] oraz załączników VIII [Osiągnięcie kamieni milowych</w:t>
      </w:r>
      <w:r w:rsidR="00201A9A" w:rsidRPr="00201A9A">
        <w:rPr>
          <w:noProof/>
        </w:rPr>
        <w:t xml:space="preserve"> i war</w:t>
      </w:r>
      <w:r w:rsidRPr="00201A9A">
        <w:rPr>
          <w:noProof/>
        </w:rPr>
        <w:t>tości docelowych], IX [Postępy we wdrażaniu], XI [Wniosek</w:t>
      </w:r>
      <w:r w:rsidR="00201A9A" w:rsidRPr="00201A9A">
        <w:rPr>
          <w:noProof/>
        </w:rPr>
        <w:t xml:space="preserve"> o pła</w:t>
      </w:r>
      <w:r w:rsidRPr="00201A9A">
        <w:rPr>
          <w:noProof/>
        </w:rPr>
        <w:t>tność], XV [Działania Unii] i XIV [Korekty finansowe] do niniejszego rozporządzenia</w:t>
      </w:r>
      <w:r w:rsidR="00201A9A" w:rsidRPr="00201A9A">
        <w:rPr>
          <w:noProof/>
        </w:rPr>
        <w:t xml:space="preserve"> w cel</w:t>
      </w:r>
      <w:r w:rsidRPr="00201A9A">
        <w:rPr>
          <w:noProof/>
        </w:rPr>
        <w:t>u dostosowania ich do zmian zachodzących</w:t>
      </w:r>
      <w:r w:rsidR="00201A9A" w:rsidRPr="00201A9A">
        <w:rPr>
          <w:noProof/>
        </w:rPr>
        <w:t xml:space="preserve"> w okr</w:t>
      </w:r>
      <w:r w:rsidRPr="00201A9A">
        <w:rPr>
          <w:noProof/>
        </w:rPr>
        <w:t>esie programowania.</w:t>
      </w:r>
    </w:p>
    <w:p w14:paraId="16746F60" w14:textId="77777777" w:rsidR="00B100E2" w:rsidRPr="00201A9A" w:rsidRDefault="00B100E2" w:rsidP="00B100E2">
      <w:pPr>
        <w:pStyle w:val="Titlearticle"/>
        <w:rPr>
          <w:noProof/>
        </w:rPr>
      </w:pPr>
      <w:r w:rsidRPr="00201A9A">
        <w:rPr>
          <w:noProof/>
        </w:rPr>
        <w:t xml:space="preserve">Artykuł 87 </w:t>
      </w:r>
      <w:r w:rsidRPr="00201A9A">
        <w:rPr>
          <w:noProof/>
        </w:rPr>
        <w:br/>
      </w:r>
      <w:r w:rsidRPr="00201A9A">
        <w:rPr>
          <w:b/>
          <w:noProof/>
        </w:rPr>
        <w:t>Wykonywanie przekazanych uprawnień</w:t>
      </w:r>
    </w:p>
    <w:p w14:paraId="0BE17A10" w14:textId="0B95F17F" w:rsidR="00232111" w:rsidRPr="00201A9A" w:rsidRDefault="00232111" w:rsidP="003E2902">
      <w:pPr>
        <w:pStyle w:val="NumPar10000000"/>
        <w:numPr>
          <w:ilvl w:val="0"/>
          <w:numId w:val="69"/>
        </w:numPr>
        <w:rPr>
          <w:noProof/>
        </w:rPr>
      </w:pPr>
      <w:r w:rsidRPr="00201A9A">
        <w:rPr>
          <w:noProof/>
        </w:rPr>
        <w:t>Powierzenie Komisji uprawnień do przyjmowania aktów delegowanych podlega warunkom określonym</w:t>
      </w:r>
      <w:r w:rsidR="00201A9A" w:rsidRPr="00201A9A">
        <w:rPr>
          <w:noProof/>
        </w:rPr>
        <w:t xml:space="preserve"> w nin</w:t>
      </w:r>
      <w:r w:rsidRPr="00201A9A">
        <w:rPr>
          <w:noProof/>
        </w:rPr>
        <w:t>iejszym artykule.</w:t>
      </w:r>
    </w:p>
    <w:p w14:paraId="64147687" w14:textId="306DD6CA" w:rsidR="00232111" w:rsidRPr="00201A9A" w:rsidRDefault="00232111" w:rsidP="003E2902">
      <w:pPr>
        <w:pStyle w:val="NumPar10000000"/>
        <w:numPr>
          <w:ilvl w:val="0"/>
          <w:numId w:val="119"/>
        </w:numPr>
        <w:rPr>
          <w:noProof/>
        </w:rPr>
      </w:pPr>
      <w:r w:rsidRPr="00201A9A">
        <w:rPr>
          <w:noProof/>
        </w:rPr>
        <w:t>Uprawnienia do przyjmowania aktów delegowanych,</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86, powierza się Komisji na czas nieokreślony od dnia wejścia</w:t>
      </w:r>
      <w:r w:rsidR="00201A9A" w:rsidRPr="00201A9A">
        <w:rPr>
          <w:noProof/>
        </w:rPr>
        <w:t xml:space="preserve"> w życ</w:t>
      </w:r>
      <w:r w:rsidRPr="00201A9A">
        <w:rPr>
          <w:noProof/>
        </w:rPr>
        <w:t>ie niniejszego rozporządzenia.</w:t>
      </w:r>
    </w:p>
    <w:p w14:paraId="0013F429" w14:textId="5FCF6016" w:rsidR="00232111" w:rsidRPr="00201A9A" w:rsidRDefault="00232111" w:rsidP="003E2902">
      <w:pPr>
        <w:pStyle w:val="NumPar10000000"/>
        <w:numPr>
          <w:ilvl w:val="0"/>
          <w:numId w:val="119"/>
        </w:numPr>
        <w:rPr>
          <w:noProof/>
        </w:rPr>
      </w:pPr>
      <w:r w:rsidRPr="00201A9A">
        <w:rPr>
          <w:noProof/>
        </w:rPr>
        <w:t>Przekazanie uprawnień,</w:t>
      </w:r>
      <w:r w:rsidR="00201A9A" w:rsidRPr="00201A9A">
        <w:rPr>
          <w:noProof/>
        </w:rPr>
        <w:t xml:space="preserve"> o któ</w:t>
      </w:r>
      <w:r w:rsidRPr="00201A9A">
        <w:rPr>
          <w:noProof/>
        </w:rPr>
        <w:t>rym mowa</w:t>
      </w:r>
      <w:r w:rsidR="00201A9A" w:rsidRPr="00201A9A">
        <w:rPr>
          <w:noProof/>
        </w:rPr>
        <w:t xml:space="preserve"> w art</w:t>
      </w:r>
      <w:r w:rsidRPr="00201A9A">
        <w:rPr>
          <w:noProof/>
        </w:rPr>
        <w:t>.</w:t>
      </w:r>
      <w:r w:rsidR="00201A9A" w:rsidRPr="00201A9A">
        <w:rPr>
          <w:noProof/>
        </w:rPr>
        <w:t> </w:t>
      </w:r>
      <w:r w:rsidRPr="00201A9A">
        <w:rPr>
          <w:noProof/>
        </w:rPr>
        <w:t>86, może zostać</w:t>
      </w:r>
      <w:r w:rsidR="00201A9A" w:rsidRPr="00201A9A">
        <w:rPr>
          <w:noProof/>
        </w:rPr>
        <w:t xml:space="preserve"> w dow</w:t>
      </w:r>
      <w:r w:rsidRPr="00201A9A">
        <w:rPr>
          <w:noProof/>
        </w:rPr>
        <w:t>olnym momencie odwołane przez Parlament Europejski lub przez Radę. Decyzja</w:t>
      </w:r>
      <w:r w:rsidR="00201A9A" w:rsidRPr="00201A9A">
        <w:rPr>
          <w:noProof/>
        </w:rPr>
        <w:t xml:space="preserve"> o odw</w:t>
      </w:r>
      <w:r w:rsidRPr="00201A9A">
        <w:rPr>
          <w:noProof/>
        </w:rPr>
        <w:t>ołaniu kończy przekazanie określonych</w:t>
      </w:r>
      <w:r w:rsidR="00201A9A" w:rsidRPr="00201A9A">
        <w:rPr>
          <w:noProof/>
        </w:rPr>
        <w:t xml:space="preserve"> w nie</w:t>
      </w:r>
      <w:r w:rsidRPr="00201A9A">
        <w:rPr>
          <w:noProof/>
        </w:rPr>
        <w:t>j uprawnień. Decyzja</w:t>
      </w:r>
      <w:r w:rsidR="00201A9A" w:rsidRPr="00201A9A">
        <w:rPr>
          <w:noProof/>
        </w:rPr>
        <w:t xml:space="preserve"> o odw</w:t>
      </w:r>
      <w:r w:rsidRPr="00201A9A">
        <w:rPr>
          <w:noProof/>
        </w:rPr>
        <w:t>ołaniu staje się skuteczna następnego dnia po jej opublikowaniu</w:t>
      </w:r>
      <w:r w:rsidR="00201A9A" w:rsidRPr="00201A9A">
        <w:rPr>
          <w:noProof/>
        </w:rPr>
        <w:t xml:space="preserve"> w </w:t>
      </w:r>
      <w:r w:rsidR="00201A9A" w:rsidRPr="00201A9A">
        <w:rPr>
          <w:i/>
          <w:noProof/>
        </w:rPr>
        <w:t>Dzi</w:t>
      </w:r>
      <w:r w:rsidRPr="00201A9A">
        <w:rPr>
          <w:i/>
          <w:noProof/>
        </w:rPr>
        <w:t>enniku Urzędowym Unii Europejskiej</w:t>
      </w:r>
      <w:r w:rsidRPr="00201A9A">
        <w:rPr>
          <w:noProof/>
        </w:rPr>
        <w:t xml:space="preserve"> lub</w:t>
      </w:r>
      <w:r w:rsidR="00201A9A" w:rsidRPr="00201A9A">
        <w:rPr>
          <w:noProof/>
        </w:rPr>
        <w:t xml:space="preserve"> w póź</w:t>
      </w:r>
      <w:r w:rsidRPr="00201A9A">
        <w:rPr>
          <w:noProof/>
        </w:rPr>
        <w:t>niejszym terminie określonym</w:t>
      </w:r>
      <w:r w:rsidR="00201A9A" w:rsidRPr="00201A9A">
        <w:rPr>
          <w:noProof/>
        </w:rPr>
        <w:t xml:space="preserve"> w tej</w:t>
      </w:r>
      <w:r w:rsidRPr="00201A9A">
        <w:rPr>
          <w:noProof/>
        </w:rPr>
        <w:t xml:space="preserve"> decyzji. Nie wpływa ona na ważność już obowiązujących aktów delegowanych.</w:t>
      </w:r>
    </w:p>
    <w:p w14:paraId="188A7794" w14:textId="7332C0CC" w:rsidR="00232111" w:rsidRPr="00201A9A" w:rsidRDefault="00232111" w:rsidP="003E2902">
      <w:pPr>
        <w:pStyle w:val="NumPar10000000"/>
        <w:numPr>
          <w:ilvl w:val="0"/>
          <w:numId w:val="119"/>
        </w:numPr>
        <w:rPr>
          <w:noProof/>
        </w:rPr>
      </w:pPr>
      <w:r w:rsidRPr="00201A9A">
        <w:rPr>
          <w:noProof/>
        </w:rPr>
        <w:t>Przed przyjęciem aktu delegowanego Komisja konsultuje się</w:t>
      </w:r>
      <w:r w:rsidR="00201A9A" w:rsidRPr="00201A9A">
        <w:rPr>
          <w:noProof/>
        </w:rPr>
        <w:t xml:space="preserve"> z eks</w:t>
      </w:r>
      <w:r w:rsidRPr="00201A9A">
        <w:rPr>
          <w:noProof/>
        </w:rPr>
        <w:t>pertami wyznaczonymi przez każde państwo członkowskie zgodnie</w:t>
      </w:r>
      <w:r w:rsidR="00201A9A" w:rsidRPr="00201A9A">
        <w:rPr>
          <w:noProof/>
        </w:rPr>
        <w:t xml:space="preserve"> z zas</w:t>
      </w:r>
      <w:r w:rsidRPr="00201A9A">
        <w:rPr>
          <w:noProof/>
        </w:rPr>
        <w:t>adami określonymi</w:t>
      </w:r>
      <w:r w:rsidR="00201A9A" w:rsidRPr="00201A9A">
        <w:rPr>
          <w:noProof/>
        </w:rPr>
        <w:t xml:space="preserve"> w Por</w:t>
      </w:r>
      <w:r w:rsidRPr="00201A9A">
        <w:rPr>
          <w:noProof/>
        </w:rPr>
        <w:t>ozumieniu międzyinstytucjonalnym</w:t>
      </w:r>
      <w:r w:rsidR="00201A9A" w:rsidRPr="00201A9A">
        <w:rPr>
          <w:noProof/>
        </w:rPr>
        <w:t xml:space="preserve"> z dni</w:t>
      </w:r>
      <w:r w:rsidRPr="00201A9A">
        <w:rPr>
          <w:noProof/>
        </w:rPr>
        <w:t>a 13 kwietnia 2016</w:t>
      </w:r>
      <w:r w:rsidR="00201A9A" w:rsidRPr="00201A9A">
        <w:rPr>
          <w:noProof/>
        </w:rPr>
        <w:t> </w:t>
      </w:r>
      <w:r w:rsidRPr="00201A9A">
        <w:rPr>
          <w:noProof/>
        </w:rPr>
        <w:t>r.</w:t>
      </w:r>
      <w:r w:rsidR="00201A9A" w:rsidRPr="00201A9A">
        <w:rPr>
          <w:noProof/>
        </w:rPr>
        <w:t xml:space="preserve"> w spr</w:t>
      </w:r>
      <w:r w:rsidRPr="00201A9A">
        <w:rPr>
          <w:noProof/>
        </w:rPr>
        <w:t>awie lepszego stanowienia prawa.</w:t>
      </w:r>
    </w:p>
    <w:p w14:paraId="131A2277" w14:textId="294010E0" w:rsidR="00232111" w:rsidRPr="00201A9A" w:rsidRDefault="00232111" w:rsidP="003E2902">
      <w:pPr>
        <w:pStyle w:val="NumPar10000000"/>
        <w:numPr>
          <w:ilvl w:val="0"/>
          <w:numId w:val="119"/>
        </w:numPr>
        <w:rPr>
          <w:noProof/>
        </w:rPr>
      </w:pPr>
      <w:r w:rsidRPr="00201A9A">
        <w:rPr>
          <w:noProof/>
        </w:rPr>
        <w:t>Niezwłocznie po przyjęciu aktu delegowanego Komisja przekazuje go równocześnie Parlamentowi Europejskiemu</w:t>
      </w:r>
      <w:r w:rsidR="00201A9A" w:rsidRPr="00201A9A">
        <w:rPr>
          <w:noProof/>
        </w:rPr>
        <w:t xml:space="preserve"> i Rad</w:t>
      </w:r>
      <w:r w:rsidRPr="00201A9A">
        <w:rPr>
          <w:noProof/>
        </w:rPr>
        <w:t>zie.</w:t>
      </w:r>
    </w:p>
    <w:p w14:paraId="6CA8EB1D" w14:textId="443CE555" w:rsidR="00232111" w:rsidRPr="00201A9A" w:rsidRDefault="00232111" w:rsidP="003E2902">
      <w:pPr>
        <w:pStyle w:val="NumPar10000000"/>
        <w:numPr>
          <w:ilvl w:val="0"/>
          <w:numId w:val="119"/>
        </w:numPr>
        <w:rPr>
          <w:noProof/>
        </w:rPr>
      </w:pPr>
      <w:r w:rsidRPr="00201A9A">
        <w:rPr>
          <w:noProof/>
        </w:rPr>
        <w:t>Akt delegowany przyjęty na podstawie ust.</w:t>
      </w:r>
      <w:r w:rsidR="00201A9A" w:rsidRPr="00201A9A">
        <w:rPr>
          <w:noProof/>
        </w:rPr>
        <w:t> </w:t>
      </w:r>
      <w:r w:rsidRPr="00201A9A">
        <w:rPr>
          <w:noProof/>
        </w:rPr>
        <w:t>5 wchodzi</w:t>
      </w:r>
      <w:r w:rsidR="00201A9A" w:rsidRPr="00201A9A">
        <w:rPr>
          <w:noProof/>
        </w:rPr>
        <w:t xml:space="preserve"> w życ</w:t>
      </w:r>
      <w:r w:rsidRPr="00201A9A">
        <w:rPr>
          <w:noProof/>
        </w:rPr>
        <w:t>ie tylko wówczas, gdy ani Parlament Europejski, ani Rada nie wyraziły sprzeciwu</w:t>
      </w:r>
      <w:r w:rsidR="00201A9A" w:rsidRPr="00201A9A">
        <w:rPr>
          <w:noProof/>
        </w:rPr>
        <w:t xml:space="preserve"> w ter</w:t>
      </w:r>
      <w:r w:rsidRPr="00201A9A">
        <w:rPr>
          <w:noProof/>
        </w:rPr>
        <w:t>minie jednego miesiąca od przekazania tego aktu Parlamentowi Europejskiemu</w:t>
      </w:r>
      <w:r w:rsidR="00201A9A" w:rsidRPr="00201A9A">
        <w:rPr>
          <w:noProof/>
        </w:rPr>
        <w:t xml:space="preserve"> i Rad</w:t>
      </w:r>
      <w:r w:rsidRPr="00201A9A">
        <w:rPr>
          <w:noProof/>
        </w:rPr>
        <w:t>zie, lub gdy, przed upływem tego terminu, zarówno Parlament Europejski, jak</w:t>
      </w:r>
      <w:r w:rsidR="00201A9A" w:rsidRPr="00201A9A">
        <w:rPr>
          <w:noProof/>
        </w:rPr>
        <w:t xml:space="preserve"> i Rad</w:t>
      </w:r>
      <w:r w:rsidRPr="00201A9A">
        <w:rPr>
          <w:noProof/>
        </w:rPr>
        <w:t>a poinformowały Komisję, że nie wniosą sprzeciwu. Termin ten przedłuża się</w:t>
      </w:r>
      <w:r w:rsidR="00201A9A" w:rsidRPr="00201A9A">
        <w:rPr>
          <w:noProof/>
        </w:rPr>
        <w:t xml:space="preserve"> o jed</w:t>
      </w:r>
      <w:r w:rsidRPr="00201A9A">
        <w:rPr>
          <w:noProof/>
        </w:rPr>
        <w:t>en miesiąc</w:t>
      </w:r>
      <w:r w:rsidR="00201A9A" w:rsidRPr="00201A9A">
        <w:rPr>
          <w:noProof/>
        </w:rPr>
        <w:t xml:space="preserve"> z ini</w:t>
      </w:r>
      <w:r w:rsidRPr="00201A9A">
        <w:rPr>
          <w:noProof/>
        </w:rPr>
        <w:t>cjatywy Parlamentu Europejskiego lub Rady.</w:t>
      </w:r>
    </w:p>
    <w:p w14:paraId="2750B4E9" w14:textId="14A19152" w:rsidR="00232111" w:rsidRPr="00201A9A" w:rsidRDefault="00232111" w:rsidP="003E2902">
      <w:pPr>
        <w:pStyle w:val="NumPar10000000"/>
        <w:numPr>
          <w:ilvl w:val="0"/>
          <w:numId w:val="119"/>
        </w:numPr>
        <w:rPr>
          <w:noProof/>
        </w:rPr>
      </w:pPr>
      <w:r w:rsidRPr="00201A9A">
        <w:rPr>
          <w:noProof/>
        </w:rPr>
        <w:t>Uprawnienie przekazane Komisji</w:t>
      </w:r>
      <w:r w:rsidR="00201A9A" w:rsidRPr="00201A9A">
        <w:rPr>
          <w:noProof/>
        </w:rPr>
        <w:t xml:space="preserve"> w art</w:t>
      </w:r>
      <w:r w:rsidRPr="00201A9A">
        <w:rPr>
          <w:noProof/>
        </w:rPr>
        <w:t>. 5 ust. 3 rozporządzenia (UE) nr 1303/2013</w:t>
      </w:r>
      <w:r w:rsidRPr="00201A9A">
        <w:rPr>
          <w:rStyle w:val="FootnoteReference"/>
          <w:noProof/>
        </w:rPr>
        <w:footnoteReference w:id="30"/>
      </w:r>
      <w:r w:rsidRPr="00201A9A">
        <w:rPr>
          <w:noProof/>
        </w:rPr>
        <w:t xml:space="preserve"> do przyjęcia aktu delegowanego</w:t>
      </w:r>
      <w:r w:rsidR="00201A9A" w:rsidRPr="00201A9A">
        <w:rPr>
          <w:noProof/>
        </w:rPr>
        <w:t xml:space="preserve"> w cel</w:t>
      </w:r>
      <w:r w:rsidRPr="00201A9A">
        <w:rPr>
          <w:noProof/>
        </w:rPr>
        <w:t>u ustanowienia europejskiego kodeksu postępowania</w:t>
      </w:r>
      <w:r w:rsidR="00201A9A" w:rsidRPr="00201A9A">
        <w:rPr>
          <w:noProof/>
        </w:rPr>
        <w:t xml:space="preserve"> w zak</w:t>
      </w:r>
      <w:r w:rsidRPr="00201A9A">
        <w:rPr>
          <w:noProof/>
        </w:rPr>
        <w:t>resie partnerstwa pozostaje</w:t>
      </w:r>
      <w:r w:rsidR="00201A9A" w:rsidRPr="00201A9A">
        <w:rPr>
          <w:noProof/>
        </w:rPr>
        <w:t xml:space="preserve"> w moc</w:t>
      </w:r>
      <w:r w:rsidRPr="00201A9A">
        <w:rPr>
          <w:noProof/>
        </w:rPr>
        <w:t>y na okres programowania 2028–202X. Przekazanie uprawnienia wykonywane jest zgodnie</w:t>
      </w:r>
      <w:r w:rsidR="00201A9A" w:rsidRPr="00201A9A">
        <w:rPr>
          <w:noProof/>
        </w:rPr>
        <w:t xml:space="preserve"> z art</w:t>
      </w:r>
      <w:r w:rsidRPr="00201A9A">
        <w:rPr>
          <w:noProof/>
        </w:rPr>
        <w:t>. 86 niniejszego rozporządzenia.</w:t>
      </w:r>
    </w:p>
    <w:p w14:paraId="5E391C58" w14:textId="77777777" w:rsidR="00D54C0F" w:rsidRPr="00201A9A" w:rsidRDefault="2F696797" w:rsidP="005952C8">
      <w:pPr>
        <w:pStyle w:val="Titlearticle"/>
        <w:rPr>
          <w:noProof/>
        </w:rPr>
      </w:pPr>
      <w:r w:rsidRPr="00201A9A">
        <w:rPr>
          <w:noProof/>
        </w:rPr>
        <w:t xml:space="preserve">Artykuł 88 </w:t>
      </w:r>
      <w:r w:rsidRPr="00201A9A">
        <w:rPr>
          <w:noProof/>
        </w:rPr>
        <w:br/>
      </w:r>
      <w:r w:rsidRPr="00201A9A">
        <w:rPr>
          <w:b/>
          <w:noProof/>
        </w:rPr>
        <w:t>Procedura komitetowa</w:t>
      </w:r>
    </w:p>
    <w:p w14:paraId="500143AB" w14:textId="3589802A" w:rsidR="00D54C0F" w:rsidRPr="00201A9A" w:rsidRDefault="00D54C0F" w:rsidP="003E2902">
      <w:pPr>
        <w:pStyle w:val="NumPar10000000"/>
        <w:numPr>
          <w:ilvl w:val="0"/>
          <w:numId w:val="70"/>
        </w:numPr>
        <w:rPr>
          <w:noProof/>
        </w:rPr>
      </w:pPr>
      <w:r w:rsidRPr="00201A9A">
        <w:rPr>
          <w:noProof/>
        </w:rPr>
        <w:t>Komisję wspomaga komitet. Komitet ten jest komitetem</w:t>
      </w:r>
      <w:r w:rsidR="00201A9A" w:rsidRPr="00201A9A">
        <w:rPr>
          <w:noProof/>
        </w:rPr>
        <w:t xml:space="preserve"> w roz</w:t>
      </w:r>
      <w:r w:rsidRPr="00201A9A">
        <w:rPr>
          <w:noProof/>
        </w:rPr>
        <w:t>umieniu rozporządzenia (UE) nr 182/2011.</w:t>
      </w:r>
    </w:p>
    <w:p w14:paraId="5B8DDFF2" w14:textId="77777777" w:rsidR="00D54C0F" w:rsidRPr="00201A9A" w:rsidRDefault="00D54C0F" w:rsidP="003E2902">
      <w:pPr>
        <w:pStyle w:val="NumPar10000000"/>
        <w:numPr>
          <w:ilvl w:val="0"/>
          <w:numId w:val="119"/>
        </w:numPr>
        <w:rPr>
          <w:noProof/>
        </w:rPr>
      </w:pPr>
      <w:r w:rsidRPr="00201A9A">
        <w:rPr>
          <w:noProof/>
        </w:rPr>
        <w:t>W przypadku odesłania do niniejszego ustępu stosuje się art. 4 rozporządzenia (UE) nr 182/2011.</w:t>
      </w:r>
    </w:p>
    <w:p w14:paraId="6CD5252C" w14:textId="77777777" w:rsidR="00232111" w:rsidRPr="00201A9A" w:rsidRDefault="00D54C0F" w:rsidP="003E2902">
      <w:pPr>
        <w:pStyle w:val="NumPar10000000"/>
        <w:numPr>
          <w:ilvl w:val="0"/>
          <w:numId w:val="119"/>
        </w:numPr>
        <w:rPr>
          <w:noProof/>
        </w:rPr>
      </w:pPr>
      <w:r w:rsidRPr="00201A9A">
        <w:rPr>
          <w:noProof/>
        </w:rPr>
        <w:t>W przypadku odesłania do niniejszego ustępu stosuje się art. 5 rozporządzenia (UE) nr 182/2011.</w:t>
      </w:r>
    </w:p>
    <w:p w14:paraId="47FFF628" w14:textId="77777777" w:rsidR="00232111" w:rsidRPr="00201A9A" w:rsidRDefault="00232111" w:rsidP="00232111">
      <w:pPr>
        <w:pStyle w:val="ChapterTitle0"/>
        <w:rPr>
          <w:noProof/>
        </w:rPr>
      </w:pPr>
      <w:r w:rsidRPr="00201A9A">
        <w:rPr>
          <w:noProof/>
        </w:rPr>
        <w:t xml:space="preserve">ROZDZIAŁ 3 </w:t>
      </w:r>
      <w:r w:rsidRPr="00201A9A">
        <w:rPr>
          <w:noProof/>
        </w:rPr>
        <w:br/>
        <w:t>Rozporządzenie (UE, Euratom) 2024/2509</w:t>
      </w:r>
    </w:p>
    <w:p w14:paraId="41932909" w14:textId="1F2A4CD6" w:rsidR="00B100E2" w:rsidRPr="00201A9A" w:rsidRDefault="00B100E2" w:rsidP="2B51165D">
      <w:pPr>
        <w:pStyle w:val="Titlearticle"/>
        <w:rPr>
          <w:b/>
          <w:noProof/>
        </w:rPr>
      </w:pPr>
      <w:r w:rsidRPr="00201A9A">
        <w:rPr>
          <w:noProof/>
        </w:rPr>
        <w:t xml:space="preserve">Artykuł 89 </w:t>
      </w:r>
      <w:r w:rsidRPr="00201A9A">
        <w:rPr>
          <w:noProof/>
        </w:rPr>
        <w:br/>
      </w:r>
      <w:r w:rsidRPr="00201A9A">
        <w:rPr>
          <w:b/>
          <w:noProof/>
        </w:rPr>
        <w:t>Zmiany</w:t>
      </w:r>
      <w:r w:rsidR="00201A9A" w:rsidRPr="00201A9A">
        <w:rPr>
          <w:b/>
          <w:noProof/>
        </w:rPr>
        <w:t xml:space="preserve"> w roz</w:t>
      </w:r>
      <w:r w:rsidRPr="00201A9A">
        <w:rPr>
          <w:b/>
          <w:noProof/>
        </w:rPr>
        <w:t>porządzeniu (UE, Euratom) 2024/2509</w:t>
      </w:r>
    </w:p>
    <w:p w14:paraId="459A0334" w14:textId="23353B51" w:rsidR="000B180C" w:rsidRPr="00201A9A" w:rsidRDefault="007345C2" w:rsidP="00DE2C4D">
      <w:pPr>
        <w:rPr>
          <w:noProof/>
        </w:rPr>
      </w:pPr>
      <w:r w:rsidRPr="00201A9A">
        <w:rPr>
          <w:noProof/>
        </w:rPr>
        <w:t>W art.</w:t>
      </w:r>
      <w:r w:rsidR="00201A9A" w:rsidRPr="00201A9A">
        <w:rPr>
          <w:noProof/>
        </w:rPr>
        <w:t> </w:t>
      </w:r>
      <w:r w:rsidRPr="00201A9A">
        <w:rPr>
          <w:noProof/>
        </w:rPr>
        <w:t xml:space="preserve">63 rozporządzenia (UE, Euratom) 2024/2509 wprowadza się następujące zmiany: </w:t>
      </w:r>
    </w:p>
    <w:p w14:paraId="4079BFED" w14:textId="2286F610" w:rsidR="000B180C" w:rsidRPr="00201A9A" w:rsidRDefault="00201A9A" w:rsidP="00201A9A">
      <w:pPr>
        <w:pStyle w:val="Point0"/>
        <w:rPr>
          <w:noProof/>
        </w:rPr>
      </w:pPr>
      <w:r w:rsidRPr="00201A9A">
        <w:rPr>
          <w:noProof/>
        </w:rPr>
        <w:t>1)</w:t>
      </w:r>
      <w:r w:rsidRPr="00201A9A">
        <w:rPr>
          <w:noProof/>
        </w:rPr>
        <w:tab/>
      </w:r>
      <w:r w:rsidR="000B180C" w:rsidRPr="00201A9A">
        <w:rPr>
          <w:noProof/>
        </w:rPr>
        <w:t>ust.</w:t>
      </w:r>
      <w:r w:rsidRPr="00201A9A">
        <w:rPr>
          <w:noProof/>
        </w:rPr>
        <w:t> </w:t>
      </w:r>
      <w:r w:rsidR="000B180C" w:rsidRPr="00201A9A">
        <w:rPr>
          <w:noProof/>
        </w:rPr>
        <w:t>5 lit.</w:t>
      </w:r>
      <w:r w:rsidRPr="00201A9A">
        <w:rPr>
          <w:noProof/>
        </w:rPr>
        <w:t> </w:t>
      </w:r>
      <w:r w:rsidR="000B180C" w:rsidRPr="00201A9A">
        <w:rPr>
          <w:noProof/>
        </w:rPr>
        <w:t>a) otrzymuje brzmienie:</w:t>
      </w:r>
    </w:p>
    <w:p w14:paraId="19C4BF5E" w14:textId="17FFA9D2" w:rsidR="000B180C" w:rsidRPr="00201A9A" w:rsidRDefault="000B180C" w:rsidP="004C6E3D">
      <w:pPr>
        <w:pStyle w:val="Text1"/>
        <w:rPr>
          <w:noProof/>
        </w:rPr>
      </w:pPr>
      <w:r w:rsidRPr="00201A9A">
        <w:rPr>
          <w:noProof/>
        </w:rPr>
        <w:t>„a) informacje, dające prawdziwy</w:t>
      </w:r>
      <w:r w:rsidR="00201A9A" w:rsidRPr="00201A9A">
        <w:rPr>
          <w:noProof/>
        </w:rPr>
        <w:t xml:space="preserve"> i rze</w:t>
      </w:r>
      <w:r w:rsidRPr="00201A9A">
        <w:rPr>
          <w:noProof/>
        </w:rPr>
        <w:t>telny obraz postępów we wdrażaniu</w:t>
      </w:r>
      <w:r w:rsidR="00201A9A" w:rsidRPr="00201A9A">
        <w:rPr>
          <w:noProof/>
        </w:rPr>
        <w:t xml:space="preserve"> w okr</w:t>
      </w:r>
      <w:r w:rsidRPr="00201A9A">
        <w:rPr>
          <w:noProof/>
        </w:rPr>
        <w:t>esie odniesienia określonym</w:t>
      </w:r>
      <w:r w:rsidR="00201A9A" w:rsidRPr="00201A9A">
        <w:rPr>
          <w:noProof/>
        </w:rPr>
        <w:t xml:space="preserve"> w prz</w:t>
      </w:r>
      <w:r w:rsidRPr="00201A9A">
        <w:rPr>
          <w:noProof/>
        </w:rPr>
        <w:t>episach sektorowych, lub zestawienie wydatków poniesionych</w:t>
      </w:r>
      <w:r w:rsidR="00201A9A" w:rsidRPr="00201A9A">
        <w:rPr>
          <w:noProof/>
        </w:rPr>
        <w:t xml:space="preserve"> w okr</w:t>
      </w:r>
      <w:r w:rsidRPr="00201A9A">
        <w:rPr>
          <w:noProof/>
        </w:rPr>
        <w:t>esie odniesienia określonym</w:t>
      </w:r>
      <w:r w:rsidR="00201A9A" w:rsidRPr="00201A9A">
        <w:rPr>
          <w:noProof/>
        </w:rPr>
        <w:t xml:space="preserve"> w prz</w:t>
      </w:r>
      <w:r w:rsidRPr="00201A9A">
        <w:rPr>
          <w:noProof/>
        </w:rPr>
        <w:t>episach sektorowych</w:t>
      </w:r>
      <w:r w:rsidR="00201A9A" w:rsidRPr="00201A9A">
        <w:rPr>
          <w:noProof/>
        </w:rPr>
        <w:t xml:space="preserve"> w ram</w:t>
      </w:r>
      <w:r w:rsidRPr="00201A9A">
        <w:rPr>
          <w:noProof/>
        </w:rPr>
        <w:t>ach wykonywania ich zadań, które to wydatki zostały przedstawione Komisji</w:t>
      </w:r>
      <w:r w:rsidR="00201A9A" w:rsidRPr="00201A9A">
        <w:rPr>
          <w:noProof/>
        </w:rPr>
        <w:t xml:space="preserve"> w cel</w:t>
      </w:r>
      <w:r w:rsidRPr="00201A9A">
        <w:rPr>
          <w:noProof/>
        </w:rPr>
        <w:t>u uzyskania zwrotu kosztów;”;</w:t>
      </w:r>
    </w:p>
    <w:p w14:paraId="2BEE2B94" w14:textId="69F2B2CD" w:rsidR="000B180C" w:rsidRPr="00201A9A" w:rsidRDefault="00201A9A" w:rsidP="00201A9A">
      <w:pPr>
        <w:pStyle w:val="Point0"/>
        <w:rPr>
          <w:noProof/>
        </w:rPr>
      </w:pPr>
      <w:r w:rsidRPr="00201A9A">
        <w:rPr>
          <w:noProof/>
        </w:rPr>
        <w:t>2)</w:t>
      </w:r>
      <w:r w:rsidRPr="00201A9A">
        <w:rPr>
          <w:noProof/>
        </w:rPr>
        <w:tab/>
      </w:r>
      <w:r w:rsidR="000B180C" w:rsidRPr="00201A9A">
        <w:rPr>
          <w:noProof/>
        </w:rPr>
        <w:t>ust.</w:t>
      </w:r>
      <w:r w:rsidRPr="00201A9A">
        <w:rPr>
          <w:noProof/>
        </w:rPr>
        <w:t> </w:t>
      </w:r>
      <w:r w:rsidR="000B180C" w:rsidRPr="00201A9A">
        <w:rPr>
          <w:noProof/>
        </w:rPr>
        <w:t xml:space="preserve">6 otrzymuje brzmienie: </w:t>
      </w:r>
    </w:p>
    <w:p w14:paraId="6B0A899B" w14:textId="0705C80C" w:rsidR="000B180C" w:rsidRPr="00201A9A" w:rsidRDefault="000B180C" w:rsidP="004C6E3D">
      <w:pPr>
        <w:pStyle w:val="Text1"/>
        <w:rPr>
          <w:noProof/>
        </w:rPr>
      </w:pPr>
      <w:r w:rsidRPr="00201A9A">
        <w:rPr>
          <w:noProof/>
        </w:rPr>
        <w:t>„6. Zestawienie,</w:t>
      </w:r>
      <w:r w:rsidR="00201A9A" w:rsidRPr="00201A9A">
        <w:rPr>
          <w:noProof/>
        </w:rPr>
        <w:t xml:space="preserve"> o któ</w:t>
      </w:r>
      <w:r w:rsidRPr="00201A9A">
        <w:rPr>
          <w:noProof/>
        </w:rPr>
        <w:t>rym mowa</w:t>
      </w:r>
      <w:r w:rsidR="00201A9A" w:rsidRPr="00201A9A">
        <w:rPr>
          <w:noProof/>
        </w:rPr>
        <w:t xml:space="preserve"> w ust</w:t>
      </w:r>
      <w:r w:rsidRPr="00201A9A">
        <w:rPr>
          <w:noProof/>
        </w:rPr>
        <w:t>.</w:t>
      </w:r>
      <w:r w:rsidR="00201A9A" w:rsidRPr="00201A9A">
        <w:rPr>
          <w:noProof/>
        </w:rPr>
        <w:t> </w:t>
      </w:r>
      <w:r w:rsidRPr="00201A9A">
        <w:rPr>
          <w:noProof/>
        </w:rPr>
        <w:t>5 lit.</w:t>
      </w:r>
      <w:r w:rsidR="00201A9A" w:rsidRPr="00201A9A">
        <w:rPr>
          <w:noProof/>
        </w:rPr>
        <w:t> </w:t>
      </w:r>
      <w:r w:rsidRPr="00201A9A">
        <w:rPr>
          <w:noProof/>
        </w:rPr>
        <w:t>a), obejmuje płatności zaliczkowe oraz sumy,</w:t>
      </w:r>
      <w:r w:rsidR="00201A9A" w:rsidRPr="00201A9A">
        <w:rPr>
          <w:noProof/>
        </w:rPr>
        <w:t xml:space="preserve"> w odn</w:t>
      </w:r>
      <w:r w:rsidRPr="00201A9A">
        <w:rPr>
          <w:noProof/>
        </w:rPr>
        <w:t>iesieniu do których prowadzone są lub zakończone zostały procedury odzyskiwania środków. Informacjom lub zestawieniom wydatków,</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5 lit.</w:t>
      </w:r>
      <w:r w:rsidR="00201A9A" w:rsidRPr="00201A9A">
        <w:rPr>
          <w:noProof/>
        </w:rPr>
        <w:t> </w:t>
      </w:r>
      <w:r w:rsidRPr="00201A9A">
        <w:rPr>
          <w:noProof/>
        </w:rPr>
        <w:t>a), towarzyszy deklaracja zarządcza potwierdzająca, że</w:t>
      </w:r>
      <w:r w:rsidR="00201A9A" w:rsidRPr="00201A9A">
        <w:rPr>
          <w:noProof/>
        </w:rPr>
        <w:t xml:space="preserve"> w opi</w:t>
      </w:r>
      <w:r w:rsidRPr="00201A9A">
        <w:rPr>
          <w:noProof/>
        </w:rPr>
        <w:t>nii osób odpowiedzialnych za zarządzanie środkami finansowymi:</w:t>
      </w:r>
    </w:p>
    <w:p w14:paraId="0E4DEC08" w14:textId="74098F98" w:rsidR="000B180C" w:rsidRPr="00201A9A" w:rsidRDefault="000B180C" w:rsidP="004C6E3D">
      <w:pPr>
        <w:pStyle w:val="Text1"/>
        <w:rPr>
          <w:noProof/>
        </w:rPr>
      </w:pPr>
      <w:r w:rsidRPr="00201A9A">
        <w:rPr>
          <w:noProof/>
        </w:rPr>
        <w:t>a) zawarte</w:t>
      </w:r>
      <w:r w:rsidR="00201A9A" w:rsidRPr="00201A9A">
        <w:rPr>
          <w:noProof/>
        </w:rPr>
        <w:t xml:space="preserve"> w nic</w:t>
      </w:r>
      <w:r w:rsidRPr="00201A9A">
        <w:rPr>
          <w:noProof/>
        </w:rPr>
        <w:t>h informacje,</w:t>
      </w:r>
      <w:r w:rsidR="00201A9A" w:rsidRPr="00201A9A">
        <w:rPr>
          <w:noProof/>
        </w:rPr>
        <w:t xml:space="preserve"> w tym</w:t>
      </w:r>
      <w:r w:rsidRPr="00201A9A">
        <w:rPr>
          <w:noProof/>
        </w:rPr>
        <w:t xml:space="preserve"> informacje,</w:t>
      </w:r>
      <w:r w:rsidR="00201A9A" w:rsidRPr="00201A9A">
        <w:rPr>
          <w:noProof/>
        </w:rPr>
        <w:t xml:space="preserve"> o któ</w:t>
      </w:r>
      <w:r w:rsidRPr="00201A9A">
        <w:rPr>
          <w:noProof/>
        </w:rPr>
        <w:t>rych mowa</w:t>
      </w:r>
      <w:r w:rsidR="00201A9A" w:rsidRPr="00201A9A">
        <w:rPr>
          <w:noProof/>
        </w:rPr>
        <w:t xml:space="preserve"> w ust</w:t>
      </w:r>
      <w:r w:rsidRPr="00201A9A">
        <w:rPr>
          <w:noProof/>
        </w:rPr>
        <w:t>.</w:t>
      </w:r>
      <w:r w:rsidR="00201A9A" w:rsidRPr="00201A9A">
        <w:rPr>
          <w:noProof/>
        </w:rPr>
        <w:t> </w:t>
      </w:r>
      <w:r w:rsidRPr="00201A9A">
        <w:rPr>
          <w:noProof/>
        </w:rPr>
        <w:t>5 lit.</w:t>
      </w:r>
      <w:r w:rsidR="00201A9A" w:rsidRPr="00201A9A">
        <w:rPr>
          <w:noProof/>
        </w:rPr>
        <w:t> </w:t>
      </w:r>
      <w:r w:rsidRPr="00201A9A">
        <w:rPr>
          <w:noProof/>
        </w:rPr>
        <w:t>a), są prawidłowo przedstawione, kompletne</w:t>
      </w:r>
      <w:r w:rsidR="00201A9A" w:rsidRPr="00201A9A">
        <w:rPr>
          <w:noProof/>
        </w:rPr>
        <w:t xml:space="preserve"> i rze</w:t>
      </w:r>
      <w:r w:rsidRPr="00201A9A">
        <w:rPr>
          <w:noProof/>
        </w:rPr>
        <w:t>telne;</w:t>
      </w:r>
    </w:p>
    <w:p w14:paraId="5E64B7F6" w14:textId="3337529A" w:rsidR="000B180C" w:rsidRPr="00201A9A" w:rsidRDefault="000B180C" w:rsidP="004C6E3D">
      <w:pPr>
        <w:pStyle w:val="Text1"/>
        <w:rPr>
          <w:noProof/>
        </w:rPr>
      </w:pPr>
      <w:r w:rsidRPr="00201A9A">
        <w:rPr>
          <w:noProof/>
        </w:rPr>
        <w:t>b) wydatki zostały wykorzystane zgodnie</w:t>
      </w:r>
      <w:r w:rsidR="00201A9A" w:rsidRPr="00201A9A">
        <w:rPr>
          <w:noProof/>
        </w:rPr>
        <w:t xml:space="preserve"> z prz</w:t>
      </w:r>
      <w:r w:rsidRPr="00201A9A">
        <w:rPr>
          <w:noProof/>
        </w:rPr>
        <w:t>eznaczeniem lub kwoty,</w:t>
      </w:r>
      <w:r w:rsidR="00201A9A" w:rsidRPr="00201A9A">
        <w:rPr>
          <w:noProof/>
        </w:rPr>
        <w:t xml:space="preserve"> o któ</w:t>
      </w:r>
      <w:r w:rsidRPr="00201A9A">
        <w:rPr>
          <w:noProof/>
        </w:rPr>
        <w:t>rych wypłatę zwrócono się do Komisji, były zgodne</w:t>
      </w:r>
      <w:r w:rsidR="00201A9A" w:rsidRPr="00201A9A">
        <w:rPr>
          <w:noProof/>
        </w:rPr>
        <w:t xml:space="preserve"> z war</w:t>
      </w:r>
      <w:r w:rsidRPr="00201A9A">
        <w:rPr>
          <w:noProof/>
        </w:rPr>
        <w:t>unkami płatności określonymi</w:t>
      </w:r>
      <w:r w:rsidR="00201A9A" w:rsidRPr="00201A9A">
        <w:rPr>
          <w:noProof/>
        </w:rPr>
        <w:t xml:space="preserve"> w prz</w:t>
      </w:r>
      <w:r w:rsidRPr="00201A9A">
        <w:rPr>
          <w:noProof/>
        </w:rPr>
        <w:t>episach sektorowych;</w:t>
      </w:r>
    </w:p>
    <w:p w14:paraId="58F23607" w14:textId="4ADD3843" w:rsidR="000B180C" w:rsidRPr="00201A9A" w:rsidRDefault="000B180C" w:rsidP="004C6E3D">
      <w:pPr>
        <w:pStyle w:val="Text1"/>
        <w:rPr>
          <w:noProof/>
        </w:rPr>
      </w:pPr>
      <w:r w:rsidRPr="00201A9A">
        <w:rPr>
          <w:noProof/>
        </w:rPr>
        <w:t>c) wprowadzone systemy kontroli zapewniają legalność</w:t>
      </w:r>
      <w:r w:rsidR="00201A9A" w:rsidRPr="00201A9A">
        <w:rPr>
          <w:noProof/>
        </w:rPr>
        <w:t xml:space="preserve"> i pra</w:t>
      </w:r>
      <w:r w:rsidRPr="00201A9A">
        <w:rPr>
          <w:noProof/>
        </w:rPr>
        <w:t>widłowość operacji leżących</w:t>
      </w:r>
      <w:r w:rsidR="00201A9A" w:rsidRPr="00201A9A">
        <w:rPr>
          <w:noProof/>
        </w:rPr>
        <w:t xml:space="preserve"> u pod</w:t>
      </w:r>
      <w:r w:rsidRPr="00201A9A">
        <w:rPr>
          <w:noProof/>
        </w:rPr>
        <w:t>staw rozliczeń.”;</w:t>
      </w:r>
    </w:p>
    <w:p w14:paraId="5F0F8654" w14:textId="76B999FC" w:rsidR="000B180C" w:rsidRPr="00201A9A" w:rsidRDefault="00201A9A" w:rsidP="00201A9A">
      <w:pPr>
        <w:pStyle w:val="Point0"/>
        <w:rPr>
          <w:noProof/>
        </w:rPr>
      </w:pPr>
      <w:r w:rsidRPr="00201A9A">
        <w:rPr>
          <w:noProof/>
        </w:rPr>
        <w:t>3)</w:t>
      </w:r>
      <w:r w:rsidRPr="00201A9A">
        <w:rPr>
          <w:noProof/>
        </w:rPr>
        <w:tab/>
      </w:r>
      <w:r w:rsidR="00BC747C" w:rsidRPr="00201A9A">
        <w:rPr>
          <w:noProof/>
        </w:rPr>
        <w:t>ust.</w:t>
      </w:r>
      <w:r w:rsidRPr="00201A9A">
        <w:rPr>
          <w:noProof/>
        </w:rPr>
        <w:t> </w:t>
      </w:r>
      <w:r w:rsidR="00BC747C" w:rsidRPr="00201A9A">
        <w:rPr>
          <w:noProof/>
        </w:rPr>
        <w:t xml:space="preserve">7 akapit pierwszy otrzymuje brzmienie: </w:t>
      </w:r>
    </w:p>
    <w:p w14:paraId="71A131E9" w14:textId="44AAA6D5" w:rsidR="000B180C" w:rsidRPr="00201A9A" w:rsidRDefault="000B180C" w:rsidP="00496549">
      <w:pPr>
        <w:pStyle w:val="Text1"/>
        <w:rPr>
          <w:noProof/>
        </w:rPr>
      </w:pPr>
      <w:r w:rsidRPr="00201A9A">
        <w:rPr>
          <w:noProof/>
        </w:rPr>
        <w:t>„Zestawieniu,</w:t>
      </w:r>
      <w:r w:rsidR="00201A9A" w:rsidRPr="00201A9A">
        <w:rPr>
          <w:noProof/>
        </w:rPr>
        <w:t xml:space="preserve"> o któ</w:t>
      </w:r>
      <w:r w:rsidRPr="00201A9A">
        <w:rPr>
          <w:noProof/>
        </w:rPr>
        <w:t>rym mowa</w:t>
      </w:r>
      <w:r w:rsidR="00201A9A" w:rsidRPr="00201A9A">
        <w:rPr>
          <w:noProof/>
        </w:rPr>
        <w:t xml:space="preserve"> w ust</w:t>
      </w:r>
      <w:r w:rsidRPr="00201A9A">
        <w:rPr>
          <w:noProof/>
        </w:rPr>
        <w:t>.</w:t>
      </w:r>
      <w:r w:rsidR="00201A9A" w:rsidRPr="00201A9A">
        <w:rPr>
          <w:noProof/>
        </w:rPr>
        <w:t> </w:t>
      </w:r>
      <w:r w:rsidRPr="00201A9A">
        <w:rPr>
          <w:noProof/>
        </w:rPr>
        <w:t>5 lit.</w:t>
      </w:r>
      <w:r w:rsidR="00201A9A" w:rsidRPr="00201A9A">
        <w:rPr>
          <w:noProof/>
        </w:rPr>
        <w:t> </w:t>
      </w:r>
      <w:r w:rsidRPr="00201A9A">
        <w:rPr>
          <w:noProof/>
        </w:rPr>
        <w:t>a), lub informacjom, na podstawie których zwrócono się do Komisji</w:t>
      </w:r>
      <w:r w:rsidR="00201A9A" w:rsidRPr="00201A9A">
        <w:rPr>
          <w:noProof/>
        </w:rPr>
        <w:t xml:space="preserve"> o pła</w:t>
      </w:r>
      <w:r w:rsidRPr="00201A9A">
        <w:rPr>
          <w:noProof/>
        </w:rPr>
        <w:t>tność, oraz podsumowaniu,</w:t>
      </w:r>
      <w:r w:rsidR="00201A9A" w:rsidRPr="00201A9A">
        <w:rPr>
          <w:noProof/>
        </w:rPr>
        <w:t xml:space="preserve"> o któ</w:t>
      </w:r>
      <w:r w:rsidRPr="00201A9A">
        <w:rPr>
          <w:noProof/>
        </w:rPr>
        <w:t>rym mowa</w:t>
      </w:r>
      <w:r w:rsidR="00201A9A" w:rsidRPr="00201A9A">
        <w:rPr>
          <w:noProof/>
        </w:rPr>
        <w:t xml:space="preserve"> w lit</w:t>
      </w:r>
      <w:r w:rsidRPr="00201A9A">
        <w:rPr>
          <w:noProof/>
        </w:rPr>
        <w:t>.</w:t>
      </w:r>
      <w:r w:rsidR="00201A9A" w:rsidRPr="00201A9A">
        <w:rPr>
          <w:noProof/>
        </w:rPr>
        <w:t> </w:t>
      </w:r>
      <w:r w:rsidRPr="00201A9A">
        <w:rPr>
          <w:noProof/>
        </w:rPr>
        <w:t>b) tego ustępu, towarzyszy opinia niezależnego podmiotu audytowego, sporządzona zgodnie</w:t>
      </w:r>
      <w:r w:rsidR="00201A9A" w:rsidRPr="00201A9A">
        <w:rPr>
          <w:noProof/>
        </w:rPr>
        <w:t xml:space="preserve"> z prz</w:t>
      </w:r>
      <w:r w:rsidRPr="00201A9A">
        <w:rPr>
          <w:noProof/>
        </w:rPr>
        <w:t>yjętymi na szczeblu międzynarodowym standardami audytu</w:t>
      </w:r>
      <w:r w:rsidR="00201A9A" w:rsidRPr="00201A9A">
        <w:rPr>
          <w:noProof/>
        </w:rPr>
        <w:t>. W opi</w:t>
      </w:r>
      <w:r w:rsidRPr="00201A9A">
        <w:rPr>
          <w:noProof/>
        </w:rPr>
        <w:t>nii tej stwierdza się, czy wprowadzone systemy kontroli funkcjonują prawidłowo</w:t>
      </w:r>
      <w:r w:rsidR="00201A9A" w:rsidRPr="00201A9A">
        <w:rPr>
          <w:noProof/>
        </w:rPr>
        <w:t xml:space="preserve"> i czy</w:t>
      </w:r>
      <w:r w:rsidRPr="00201A9A">
        <w:rPr>
          <w:noProof/>
        </w:rPr>
        <w:t xml:space="preserve"> zapewniają legalność</w:t>
      </w:r>
      <w:r w:rsidR="00201A9A" w:rsidRPr="00201A9A">
        <w:rPr>
          <w:noProof/>
        </w:rPr>
        <w:t xml:space="preserve"> i pra</w:t>
      </w:r>
      <w:r w:rsidRPr="00201A9A">
        <w:rPr>
          <w:noProof/>
        </w:rPr>
        <w:t>widłowość transakcji leżących</w:t>
      </w:r>
      <w:r w:rsidR="00201A9A" w:rsidRPr="00201A9A">
        <w:rPr>
          <w:noProof/>
        </w:rPr>
        <w:t xml:space="preserve"> u pod</w:t>
      </w:r>
      <w:r w:rsidRPr="00201A9A">
        <w:rPr>
          <w:noProof/>
        </w:rPr>
        <w:t>staw rozliczeń, oraz stwierdza się, czy przeprowadzony audyt podaje</w:t>
      </w:r>
      <w:r w:rsidR="00201A9A" w:rsidRPr="00201A9A">
        <w:rPr>
          <w:noProof/>
        </w:rPr>
        <w:t xml:space="preserve"> w wąt</w:t>
      </w:r>
      <w:r w:rsidRPr="00201A9A">
        <w:rPr>
          <w:noProof/>
        </w:rPr>
        <w:t>pliwość stwierdzenia zawarte</w:t>
      </w:r>
      <w:r w:rsidR="00201A9A" w:rsidRPr="00201A9A">
        <w:rPr>
          <w:noProof/>
        </w:rPr>
        <w:t xml:space="preserve"> w dek</w:t>
      </w:r>
      <w:r w:rsidRPr="00201A9A">
        <w:rPr>
          <w:noProof/>
        </w:rPr>
        <w:t>laracji zarządczej,</w:t>
      </w:r>
      <w:r w:rsidR="00201A9A" w:rsidRPr="00201A9A">
        <w:rPr>
          <w:noProof/>
        </w:rPr>
        <w:t xml:space="preserve"> o któ</w:t>
      </w:r>
      <w:r w:rsidRPr="00201A9A">
        <w:rPr>
          <w:noProof/>
        </w:rPr>
        <w:t>rej mowa</w:t>
      </w:r>
      <w:r w:rsidR="00201A9A" w:rsidRPr="00201A9A">
        <w:rPr>
          <w:noProof/>
        </w:rPr>
        <w:t xml:space="preserve"> w ust</w:t>
      </w:r>
      <w:r w:rsidRPr="00201A9A">
        <w:rPr>
          <w:noProof/>
        </w:rPr>
        <w:t>.</w:t>
      </w:r>
      <w:r w:rsidR="00201A9A" w:rsidRPr="00201A9A">
        <w:rPr>
          <w:noProof/>
        </w:rPr>
        <w:t> </w:t>
      </w:r>
      <w:r w:rsidRPr="00201A9A">
        <w:rPr>
          <w:noProof/>
        </w:rPr>
        <w:t>6. Stwierdza się</w:t>
      </w:r>
      <w:r w:rsidR="00201A9A" w:rsidRPr="00201A9A">
        <w:rPr>
          <w:noProof/>
        </w:rPr>
        <w:t xml:space="preserve"> w nie</w:t>
      </w:r>
      <w:r w:rsidRPr="00201A9A">
        <w:rPr>
          <w:noProof/>
        </w:rPr>
        <w:t>j również, czy zestawienie lub informacje, na podstawie których zwrócono się do Komisji</w:t>
      </w:r>
      <w:r w:rsidR="00201A9A" w:rsidRPr="00201A9A">
        <w:rPr>
          <w:noProof/>
        </w:rPr>
        <w:t xml:space="preserve"> o pła</w:t>
      </w:r>
      <w:r w:rsidRPr="00201A9A">
        <w:rPr>
          <w:noProof/>
        </w:rPr>
        <w:t>tność, przedstawiają prawdziwy</w:t>
      </w:r>
      <w:r w:rsidR="00201A9A" w:rsidRPr="00201A9A">
        <w:rPr>
          <w:noProof/>
        </w:rPr>
        <w:t xml:space="preserve"> i rze</w:t>
      </w:r>
      <w:r w:rsidRPr="00201A9A">
        <w:rPr>
          <w:noProof/>
        </w:rPr>
        <w:t>telny obraz sytuacji, oraz czy wykorzystanie środków finansowych jest zgodne</w:t>
      </w:r>
      <w:r w:rsidR="00201A9A" w:rsidRPr="00201A9A">
        <w:rPr>
          <w:noProof/>
        </w:rPr>
        <w:t xml:space="preserve"> z maj</w:t>
      </w:r>
      <w:r w:rsidRPr="00201A9A">
        <w:rPr>
          <w:noProof/>
        </w:rPr>
        <w:t>ącym zastosowanie prawem lub czy wydatki,</w:t>
      </w:r>
      <w:r w:rsidR="00201A9A" w:rsidRPr="00201A9A">
        <w:rPr>
          <w:noProof/>
        </w:rPr>
        <w:t xml:space="preserve"> w odn</w:t>
      </w:r>
      <w:r w:rsidRPr="00201A9A">
        <w:rPr>
          <w:noProof/>
        </w:rPr>
        <w:t>iesieniu do których zwrócono się do Komisji</w:t>
      </w:r>
      <w:r w:rsidR="00201A9A" w:rsidRPr="00201A9A">
        <w:rPr>
          <w:noProof/>
        </w:rPr>
        <w:t xml:space="preserve"> o zwr</w:t>
      </w:r>
      <w:r w:rsidRPr="00201A9A">
        <w:rPr>
          <w:noProof/>
        </w:rPr>
        <w:t>ot kosztów, są zgodne</w:t>
      </w:r>
      <w:r w:rsidR="00201A9A" w:rsidRPr="00201A9A">
        <w:rPr>
          <w:noProof/>
        </w:rPr>
        <w:t xml:space="preserve"> z pra</w:t>
      </w:r>
      <w:r w:rsidRPr="00201A9A">
        <w:rPr>
          <w:noProof/>
        </w:rPr>
        <w:t>wem</w:t>
      </w:r>
      <w:r w:rsidR="00201A9A" w:rsidRPr="00201A9A">
        <w:rPr>
          <w:noProof/>
        </w:rPr>
        <w:t xml:space="preserve"> i pra</w:t>
      </w:r>
      <w:r w:rsidRPr="00201A9A">
        <w:rPr>
          <w:noProof/>
        </w:rPr>
        <w:t xml:space="preserve">widłowe.”. </w:t>
      </w:r>
    </w:p>
    <w:p w14:paraId="500498FA" w14:textId="77777777" w:rsidR="000B180C" w:rsidRPr="00201A9A" w:rsidRDefault="000B180C" w:rsidP="000B180C">
      <w:pPr>
        <w:pStyle w:val="ChapterTitle0"/>
        <w:rPr>
          <w:noProof/>
        </w:rPr>
      </w:pPr>
      <w:r w:rsidRPr="00201A9A">
        <w:rPr>
          <w:noProof/>
        </w:rPr>
        <w:t xml:space="preserve">ROZDZIAŁ 4 </w:t>
      </w:r>
      <w:r w:rsidRPr="00201A9A">
        <w:rPr>
          <w:noProof/>
        </w:rPr>
        <w:br/>
        <w:t>Przepisy końcowe</w:t>
      </w:r>
    </w:p>
    <w:p w14:paraId="5B6D86DC" w14:textId="2F59A3D8" w:rsidR="00B100E2" w:rsidRPr="00201A9A" w:rsidRDefault="00B100E2" w:rsidP="00B100E2">
      <w:pPr>
        <w:pStyle w:val="Titlearticle"/>
        <w:rPr>
          <w:noProof/>
        </w:rPr>
      </w:pPr>
      <w:r w:rsidRPr="00201A9A">
        <w:rPr>
          <w:noProof/>
        </w:rPr>
        <w:t xml:space="preserve">Artykuł 90 </w:t>
      </w:r>
      <w:r w:rsidRPr="00201A9A">
        <w:rPr>
          <w:noProof/>
        </w:rPr>
        <w:br/>
      </w:r>
      <w:r w:rsidRPr="00201A9A">
        <w:rPr>
          <w:b/>
          <w:noProof/>
        </w:rPr>
        <w:t>Wejście</w:t>
      </w:r>
      <w:r w:rsidR="00201A9A" w:rsidRPr="00201A9A">
        <w:rPr>
          <w:b/>
          <w:noProof/>
        </w:rPr>
        <w:t xml:space="preserve"> w życ</w:t>
      </w:r>
      <w:r w:rsidRPr="00201A9A">
        <w:rPr>
          <w:b/>
          <w:noProof/>
        </w:rPr>
        <w:t>ie</w:t>
      </w:r>
    </w:p>
    <w:p w14:paraId="13DB902C" w14:textId="4AD8419D" w:rsidR="00B100E2" w:rsidRPr="00201A9A" w:rsidRDefault="000B180C" w:rsidP="00DE2C4D">
      <w:pPr>
        <w:rPr>
          <w:noProof/>
        </w:rPr>
      </w:pPr>
      <w:r w:rsidRPr="00201A9A">
        <w:rPr>
          <w:noProof/>
        </w:rPr>
        <w:t>Niniejsze rozporządzenie wchodzi</w:t>
      </w:r>
      <w:r w:rsidR="00201A9A" w:rsidRPr="00201A9A">
        <w:rPr>
          <w:noProof/>
        </w:rPr>
        <w:t xml:space="preserve"> w życ</w:t>
      </w:r>
      <w:r w:rsidRPr="00201A9A">
        <w:rPr>
          <w:noProof/>
        </w:rPr>
        <w:t>ie następnego dnia po jego opublikowaniu</w:t>
      </w:r>
      <w:r w:rsidR="00201A9A" w:rsidRPr="00201A9A">
        <w:rPr>
          <w:noProof/>
        </w:rPr>
        <w:t xml:space="preserve"> w </w:t>
      </w:r>
      <w:r w:rsidR="00201A9A" w:rsidRPr="00201A9A">
        <w:rPr>
          <w:i/>
          <w:noProof/>
        </w:rPr>
        <w:t>Dzi</w:t>
      </w:r>
      <w:r w:rsidRPr="00201A9A">
        <w:rPr>
          <w:i/>
          <w:noProof/>
        </w:rPr>
        <w:t>enniku Urzędowym Unii Europejskiej</w:t>
      </w:r>
      <w:r w:rsidRPr="00201A9A">
        <w:rPr>
          <w:noProof/>
        </w:rPr>
        <w:t>.</w:t>
      </w:r>
      <w:r w:rsidR="00201A9A" w:rsidRPr="00201A9A">
        <w:rPr>
          <w:noProof/>
        </w:rPr>
        <w:t xml:space="preserve"> </w:t>
      </w:r>
    </w:p>
    <w:p w14:paraId="6936B130" w14:textId="51E8C68B" w:rsidR="00186A9E" w:rsidRPr="00201A9A" w:rsidRDefault="00186A9E">
      <w:pPr>
        <w:pStyle w:val="Applicationdirecte"/>
        <w:rPr>
          <w:noProof/>
        </w:rPr>
      </w:pPr>
      <w:r w:rsidRPr="00201A9A">
        <w:rPr>
          <w:noProof/>
        </w:rPr>
        <w:t>Niniejsze rozporządzenie wiąże</w:t>
      </w:r>
      <w:r w:rsidR="00201A9A" w:rsidRPr="00201A9A">
        <w:rPr>
          <w:noProof/>
        </w:rPr>
        <w:t xml:space="preserve"> w cał</w:t>
      </w:r>
      <w:r w:rsidRPr="00201A9A">
        <w:rPr>
          <w:noProof/>
        </w:rPr>
        <w:t>ości</w:t>
      </w:r>
      <w:r w:rsidR="00201A9A" w:rsidRPr="00201A9A">
        <w:rPr>
          <w:noProof/>
        </w:rPr>
        <w:t xml:space="preserve"> i jes</w:t>
      </w:r>
      <w:r w:rsidRPr="00201A9A">
        <w:rPr>
          <w:noProof/>
        </w:rPr>
        <w:t>t bezpośrednio stosowane we wszystkich państwach członkowskich.</w:t>
      </w:r>
    </w:p>
    <w:p w14:paraId="72386A08" w14:textId="05FF7E1B" w:rsidR="00186A9E" w:rsidRPr="00201A9A" w:rsidRDefault="00E56168" w:rsidP="00316633">
      <w:pPr>
        <w:pStyle w:val="Fait"/>
        <w:rPr>
          <w:noProof/>
        </w:rPr>
      </w:pPr>
      <w:r>
        <w:rPr>
          <w:noProof/>
        </w:rPr>
        <w:t>Sporządzono w Brukseli dnia  r.</w:t>
      </w:r>
    </w:p>
    <w:p w14:paraId="1B7069DA" w14:textId="77777777" w:rsidR="00201A9A" w:rsidRPr="00201A9A" w:rsidRDefault="00201A9A" w:rsidP="00316633">
      <w:pPr>
        <w:pStyle w:val="Institutionquisigne"/>
        <w:rPr>
          <w:noProof/>
        </w:rPr>
      </w:pPr>
      <w:r w:rsidRPr="00201A9A">
        <w:rPr>
          <w:noProof/>
        </w:rPr>
        <w:t>W imieniu Parlamentu Europejskiego</w:t>
      </w:r>
      <w:r w:rsidRPr="00201A9A">
        <w:rPr>
          <w:noProof/>
        </w:rPr>
        <w:tab/>
        <w:t>W imieniu Rady</w:t>
      </w:r>
    </w:p>
    <w:p w14:paraId="74674FC7" w14:textId="4299998D" w:rsidR="00186A9E" w:rsidRPr="00201A9A" w:rsidRDefault="00201A9A" w:rsidP="00186A9E">
      <w:pPr>
        <w:pStyle w:val="Personnequisigne"/>
        <w:rPr>
          <w:noProof/>
        </w:rPr>
      </w:pPr>
      <w:r w:rsidRPr="00201A9A">
        <w:rPr>
          <w:noProof/>
        </w:rPr>
        <w:t>Przewodnicząca</w:t>
      </w:r>
      <w:r w:rsidRPr="00201A9A">
        <w:rPr>
          <w:noProof/>
        </w:rPr>
        <w:tab/>
        <w:t>Przewodniczący</w:t>
      </w:r>
    </w:p>
    <w:p w14:paraId="3A6C8CFD" w14:textId="77777777" w:rsidR="00186A9E" w:rsidRPr="00201A9A" w:rsidRDefault="00186A9E" w:rsidP="00186A9E">
      <w:pPr>
        <w:rPr>
          <w:noProof/>
        </w:rPr>
        <w:sectPr w:rsidR="00186A9E" w:rsidRPr="00201A9A" w:rsidSect="009C4ADF">
          <w:pgSz w:w="11907" w:h="16839"/>
          <w:pgMar w:top="1134" w:right="1417" w:bottom="1134" w:left="1417" w:header="709" w:footer="709" w:gutter="0"/>
          <w:cols w:space="708"/>
          <w:docGrid w:linePitch="360"/>
        </w:sectPr>
      </w:pPr>
    </w:p>
    <w:p w14:paraId="71699DF3" w14:textId="77777777" w:rsidR="004A489F" w:rsidRPr="00201A9A" w:rsidRDefault="004A489F" w:rsidP="004A489F">
      <w:pPr>
        <w:pStyle w:val="Fichefinanciretitre"/>
        <w:keepNext/>
        <w:rPr>
          <w:noProof/>
        </w:rPr>
      </w:pPr>
      <w:r w:rsidRPr="00201A9A">
        <w:rPr>
          <w:noProof/>
        </w:rPr>
        <w:t>OCENA SKUTKÓW FINANSOWYCH I CYFROWYCH REGULACJI</w:t>
      </w:r>
    </w:p>
    <w:p w14:paraId="7BDD5D86" w14:textId="77777777" w:rsidR="004A489F" w:rsidRPr="00201A9A" w:rsidRDefault="004A489F" w:rsidP="004A489F">
      <w:pPr>
        <w:pStyle w:val="TOC1"/>
        <w:rPr>
          <w:rFonts w:asciiTheme="minorHAnsi" w:eastAsiaTheme="minorEastAsia" w:hAnsiTheme="minorHAnsi" w:cstheme="minorBidi"/>
          <w:noProof/>
          <w:kern w:val="2"/>
          <w:sz w:val="22"/>
          <w14:ligatures w14:val="standardContextual"/>
        </w:rPr>
      </w:pPr>
      <w:r w:rsidRPr="00201A9A">
        <w:rPr>
          <w:noProof/>
        </w:rPr>
        <w:t>1.</w:t>
      </w:r>
      <w:r w:rsidRPr="00201A9A">
        <w:rPr>
          <w:noProof/>
        </w:rPr>
        <w:tab/>
        <w:t>STRUKTURA WNIOSKU/INICJATYWY</w:t>
      </w:r>
      <w:r w:rsidRPr="00201A9A">
        <w:rPr>
          <w:noProof/>
        </w:rPr>
        <w:tab/>
      </w:r>
      <w:r w:rsidRPr="00201A9A">
        <w:rPr>
          <w:noProof/>
          <w:webHidden/>
        </w:rPr>
        <w:t>3</w:t>
      </w:r>
    </w:p>
    <w:p w14:paraId="7659CD65" w14:textId="77777777" w:rsidR="004A489F" w:rsidRPr="00201A9A" w:rsidRDefault="004A489F" w:rsidP="004A489F">
      <w:pPr>
        <w:pStyle w:val="TOC2"/>
        <w:rPr>
          <w:rFonts w:asciiTheme="minorHAnsi" w:eastAsiaTheme="minorEastAsia" w:hAnsiTheme="minorHAnsi" w:cstheme="minorBidi"/>
          <w:noProof/>
          <w:kern w:val="2"/>
          <w:sz w:val="22"/>
          <w14:ligatures w14:val="standardContextual"/>
        </w:rPr>
      </w:pPr>
      <w:r w:rsidRPr="00201A9A">
        <w:rPr>
          <w:noProof/>
        </w:rPr>
        <w:t>1.1.</w:t>
      </w:r>
      <w:r w:rsidRPr="00201A9A">
        <w:rPr>
          <w:noProof/>
        </w:rPr>
        <w:tab/>
        <w:t>Tytuł wniosku/inicjatywy</w:t>
      </w:r>
      <w:r w:rsidRPr="00201A9A">
        <w:rPr>
          <w:noProof/>
        </w:rPr>
        <w:tab/>
      </w:r>
      <w:r w:rsidRPr="00201A9A">
        <w:rPr>
          <w:noProof/>
          <w:webHidden/>
        </w:rPr>
        <w:t>3</w:t>
      </w:r>
    </w:p>
    <w:p w14:paraId="6E29954C" w14:textId="77777777" w:rsidR="004A489F" w:rsidRPr="00201A9A" w:rsidRDefault="004A489F" w:rsidP="004A489F">
      <w:pPr>
        <w:pStyle w:val="TOC2"/>
        <w:rPr>
          <w:rFonts w:asciiTheme="minorHAnsi" w:eastAsiaTheme="minorEastAsia" w:hAnsiTheme="minorHAnsi" w:cstheme="minorBidi"/>
          <w:noProof/>
          <w:kern w:val="2"/>
          <w:sz w:val="22"/>
          <w14:ligatures w14:val="standardContextual"/>
        </w:rPr>
      </w:pPr>
      <w:r w:rsidRPr="00201A9A">
        <w:rPr>
          <w:noProof/>
        </w:rPr>
        <w:t>1.2.</w:t>
      </w:r>
      <w:r w:rsidRPr="00201A9A">
        <w:rPr>
          <w:noProof/>
        </w:rPr>
        <w:tab/>
        <w:t>Obszary polityki, których dotyczy wniosek/inicjatywa</w:t>
      </w:r>
      <w:r w:rsidRPr="00201A9A">
        <w:rPr>
          <w:noProof/>
        </w:rPr>
        <w:tab/>
      </w:r>
      <w:r w:rsidRPr="00201A9A">
        <w:rPr>
          <w:noProof/>
          <w:webHidden/>
        </w:rPr>
        <w:t>3</w:t>
      </w:r>
    </w:p>
    <w:p w14:paraId="4C517D52" w14:textId="77777777" w:rsidR="004A489F" w:rsidRPr="00201A9A" w:rsidRDefault="004A489F" w:rsidP="004A489F">
      <w:pPr>
        <w:pStyle w:val="TOC2"/>
        <w:rPr>
          <w:rFonts w:asciiTheme="minorHAnsi" w:eastAsiaTheme="minorEastAsia" w:hAnsiTheme="minorHAnsi" w:cstheme="minorBidi"/>
          <w:noProof/>
          <w:kern w:val="2"/>
          <w:sz w:val="22"/>
          <w14:ligatures w14:val="standardContextual"/>
        </w:rPr>
      </w:pPr>
      <w:r w:rsidRPr="00201A9A">
        <w:rPr>
          <w:noProof/>
        </w:rPr>
        <w:t>1.3.</w:t>
      </w:r>
      <w:r w:rsidRPr="00201A9A">
        <w:rPr>
          <w:noProof/>
        </w:rPr>
        <w:tab/>
        <w:t>Cel(e)</w:t>
      </w:r>
      <w:r w:rsidRPr="00201A9A">
        <w:rPr>
          <w:noProof/>
        </w:rPr>
        <w:tab/>
      </w:r>
      <w:r w:rsidRPr="00201A9A">
        <w:rPr>
          <w:noProof/>
          <w:webHidden/>
        </w:rPr>
        <w:t>3</w:t>
      </w:r>
    </w:p>
    <w:p w14:paraId="6D417E3D" w14:textId="77777777"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1.3.1.</w:t>
      </w:r>
      <w:r w:rsidRPr="00201A9A">
        <w:rPr>
          <w:noProof/>
        </w:rPr>
        <w:tab/>
        <w:t>Cel(e) ogólny(-e)</w:t>
      </w:r>
      <w:r w:rsidRPr="00201A9A">
        <w:rPr>
          <w:noProof/>
        </w:rPr>
        <w:tab/>
      </w:r>
      <w:r w:rsidRPr="00201A9A">
        <w:rPr>
          <w:noProof/>
          <w:webHidden/>
        </w:rPr>
        <w:t>3</w:t>
      </w:r>
    </w:p>
    <w:p w14:paraId="0494E6FF" w14:textId="77777777"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1.3.2.</w:t>
      </w:r>
      <w:r w:rsidRPr="00201A9A">
        <w:rPr>
          <w:noProof/>
        </w:rPr>
        <w:tab/>
        <w:t>Cel(e) szczegółowy(-e)</w:t>
      </w:r>
      <w:r w:rsidRPr="00201A9A">
        <w:rPr>
          <w:noProof/>
        </w:rPr>
        <w:tab/>
      </w:r>
      <w:r w:rsidRPr="00201A9A">
        <w:rPr>
          <w:noProof/>
          <w:webHidden/>
        </w:rPr>
        <w:t>3</w:t>
      </w:r>
    </w:p>
    <w:p w14:paraId="5F6E696D" w14:textId="7960328B"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1.3.3.</w:t>
      </w:r>
      <w:r w:rsidRPr="00201A9A">
        <w:rPr>
          <w:noProof/>
        </w:rPr>
        <w:tab/>
        <w:t>Oczekiwane wyniki</w:t>
      </w:r>
      <w:r w:rsidR="00201A9A" w:rsidRPr="00201A9A">
        <w:rPr>
          <w:noProof/>
        </w:rPr>
        <w:t xml:space="preserve"> i wpł</w:t>
      </w:r>
      <w:r w:rsidRPr="00201A9A">
        <w:rPr>
          <w:noProof/>
        </w:rPr>
        <w:t>yw</w:t>
      </w:r>
      <w:r w:rsidRPr="00201A9A">
        <w:rPr>
          <w:noProof/>
        </w:rPr>
        <w:tab/>
      </w:r>
      <w:r w:rsidRPr="00201A9A">
        <w:rPr>
          <w:noProof/>
          <w:webHidden/>
        </w:rPr>
        <w:t>3</w:t>
      </w:r>
    </w:p>
    <w:p w14:paraId="29CF5B8E" w14:textId="77777777"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1.3.4.</w:t>
      </w:r>
      <w:r w:rsidRPr="00201A9A">
        <w:rPr>
          <w:noProof/>
        </w:rPr>
        <w:tab/>
        <w:t>Wskaźniki dotyczące realizacji celów</w:t>
      </w:r>
      <w:r w:rsidRPr="00201A9A">
        <w:rPr>
          <w:noProof/>
        </w:rPr>
        <w:tab/>
      </w:r>
      <w:r w:rsidRPr="00201A9A">
        <w:rPr>
          <w:noProof/>
          <w:webHidden/>
        </w:rPr>
        <w:t>3</w:t>
      </w:r>
    </w:p>
    <w:p w14:paraId="12F83214" w14:textId="77777777" w:rsidR="004A489F" w:rsidRPr="00201A9A" w:rsidRDefault="004A489F" w:rsidP="004A489F">
      <w:pPr>
        <w:pStyle w:val="TOC2"/>
        <w:rPr>
          <w:rFonts w:asciiTheme="minorHAnsi" w:eastAsiaTheme="minorEastAsia" w:hAnsiTheme="minorHAnsi" w:cstheme="minorBidi"/>
          <w:noProof/>
          <w:kern w:val="2"/>
          <w:sz w:val="22"/>
          <w14:ligatures w14:val="standardContextual"/>
        </w:rPr>
      </w:pPr>
      <w:r w:rsidRPr="00201A9A">
        <w:rPr>
          <w:noProof/>
        </w:rPr>
        <w:t>1.4.</w:t>
      </w:r>
      <w:r w:rsidRPr="00201A9A">
        <w:rPr>
          <w:noProof/>
        </w:rPr>
        <w:tab/>
        <w:t>Wniosek/inicjatywa dotyczy:</w:t>
      </w:r>
      <w:r w:rsidRPr="00201A9A">
        <w:rPr>
          <w:noProof/>
        </w:rPr>
        <w:tab/>
      </w:r>
      <w:r w:rsidRPr="00201A9A">
        <w:rPr>
          <w:noProof/>
          <w:webHidden/>
        </w:rPr>
        <w:t>4</w:t>
      </w:r>
    </w:p>
    <w:p w14:paraId="56A5D46C" w14:textId="77777777" w:rsidR="004A489F" w:rsidRPr="00201A9A" w:rsidRDefault="004A489F" w:rsidP="004A489F">
      <w:pPr>
        <w:pStyle w:val="TOC2"/>
        <w:rPr>
          <w:rFonts w:asciiTheme="minorHAnsi" w:eastAsiaTheme="minorEastAsia" w:hAnsiTheme="minorHAnsi" w:cstheme="minorBidi"/>
          <w:noProof/>
          <w:kern w:val="2"/>
          <w:sz w:val="22"/>
          <w14:ligatures w14:val="standardContextual"/>
        </w:rPr>
      </w:pPr>
      <w:r w:rsidRPr="00201A9A">
        <w:rPr>
          <w:noProof/>
        </w:rPr>
        <w:t>1.5.</w:t>
      </w:r>
      <w:r w:rsidRPr="00201A9A">
        <w:rPr>
          <w:noProof/>
        </w:rPr>
        <w:tab/>
        <w:t>Uzasadnienie wniosku/inicjatywy</w:t>
      </w:r>
      <w:r w:rsidRPr="00201A9A">
        <w:rPr>
          <w:noProof/>
        </w:rPr>
        <w:tab/>
      </w:r>
      <w:r w:rsidRPr="00201A9A">
        <w:rPr>
          <w:noProof/>
          <w:webHidden/>
        </w:rPr>
        <w:t>4</w:t>
      </w:r>
    </w:p>
    <w:p w14:paraId="32D3250D" w14:textId="37CB951C"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1.5.1.</w:t>
      </w:r>
      <w:r w:rsidRPr="00201A9A">
        <w:rPr>
          <w:noProof/>
        </w:rPr>
        <w:tab/>
        <w:t>Potrzeby, które należy zaspokoić</w:t>
      </w:r>
      <w:r w:rsidR="00201A9A" w:rsidRPr="00201A9A">
        <w:rPr>
          <w:noProof/>
        </w:rPr>
        <w:t xml:space="preserve"> w per</w:t>
      </w:r>
      <w:r w:rsidRPr="00201A9A">
        <w:rPr>
          <w:noProof/>
        </w:rPr>
        <w:t>spektywie krótko- lub długoterminowej,</w:t>
      </w:r>
      <w:r w:rsidR="00201A9A" w:rsidRPr="00201A9A">
        <w:rPr>
          <w:noProof/>
        </w:rPr>
        <w:t xml:space="preserve"> w tym</w:t>
      </w:r>
      <w:r w:rsidRPr="00201A9A">
        <w:rPr>
          <w:noProof/>
        </w:rPr>
        <w:t xml:space="preserve"> szczegółowy terminarz przebiegu realizacji inicjatywy</w:t>
      </w:r>
      <w:r w:rsidRPr="00201A9A">
        <w:rPr>
          <w:noProof/>
        </w:rPr>
        <w:tab/>
      </w:r>
      <w:r w:rsidRPr="00201A9A">
        <w:rPr>
          <w:noProof/>
          <w:webHidden/>
        </w:rPr>
        <w:t>4</w:t>
      </w:r>
    </w:p>
    <w:p w14:paraId="69413A30" w14:textId="0181445D"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1.5.2.</w:t>
      </w:r>
      <w:r w:rsidRPr="00201A9A">
        <w:rPr>
          <w:noProof/>
        </w:rPr>
        <w:tab/>
        <w:t>Wartość dodana</w:t>
      </w:r>
      <w:r w:rsidR="00201A9A" w:rsidRPr="00201A9A">
        <w:rPr>
          <w:noProof/>
        </w:rPr>
        <w:t xml:space="preserve"> z tyt</w:t>
      </w:r>
      <w:r w:rsidRPr="00201A9A">
        <w:rPr>
          <w:noProof/>
        </w:rPr>
        <w:t>ułu zaangażowania Unii Europejskiej (może wynikać</w:t>
      </w:r>
      <w:r w:rsidR="00201A9A" w:rsidRPr="00201A9A">
        <w:rPr>
          <w:noProof/>
        </w:rPr>
        <w:t xml:space="preserve"> z róż</w:t>
      </w:r>
      <w:r w:rsidRPr="00201A9A">
        <w:rPr>
          <w:noProof/>
        </w:rPr>
        <w:t>nych czynników, na przykład korzyści koordynacyjnych, pewności prawa, większej efektywności lub komplementarności). Na potrzeby tej sekcji „wartość dodaną</w:t>
      </w:r>
      <w:r w:rsidR="00201A9A" w:rsidRPr="00201A9A">
        <w:rPr>
          <w:noProof/>
        </w:rPr>
        <w:t xml:space="preserve"> z tyt</w:t>
      </w:r>
      <w:r w:rsidRPr="00201A9A">
        <w:rPr>
          <w:noProof/>
        </w:rPr>
        <w:t>ułu zaangażowania Unii Europejskiej” należy rozumieć jako wartość wynikającą</w:t>
      </w:r>
      <w:r w:rsidR="00201A9A" w:rsidRPr="00201A9A">
        <w:rPr>
          <w:noProof/>
        </w:rPr>
        <w:t xml:space="preserve"> z uni</w:t>
      </w:r>
      <w:r w:rsidRPr="00201A9A">
        <w:rPr>
          <w:noProof/>
        </w:rPr>
        <w:t>jnej interwencji, wykraczającą poza wartość, która zostałaby wytworzona przez same państwa członkowskie.</w:t>
      </w:r>
      <w:r w:rsidRPr="00201A9A">
        <w:rPr>
          <w:noProof/>
        </w:rPr>
        <w:tab/>
      </w:r>
      <w:r w:rsidRPr="00201A9A">
        <w:rPr>
          <w:noProof/>
          <w:webHidden/>
        </w:rPr>
        <w:t>4</w:t>
      </w:r>
    </w:p>
    <w:p w14:paraId="066234CF" w14:textId="69C77E5A"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1.5.3.</w:t>
      </w:r>
      <w:r w:rsidRPr="00201A9A">
        <w:rPr>
          <w:noProof/>
        </w:rPr>
        <w:tab/>
        <w:t>Główne wnioski wyciągnięte</w:t>
      </w:r>
      <w:r w:rsidR="00201A9A" w:rsidRPr="00201A9A">
        <w:rPr>
          <w:noProof/>
        </w:rPr>
        <w:t xml:space="preserve"> z pod</w:t>
      </w:r>
      <w:r w:rsidRPr="00201A9A">
        <w:rPr>
          <w:noProof/>
        </w:rPr>
        <w:t>obnych działań</w:t>
      </w:r>
      <w:r w:rsidRPr="00201A9A">
        <w:rPr>
          <w:noProof/>
        </w:rPr>
        <w:tab/>
      </w:r>
      <w:r w:rsidRPr="00201A9A">
        <w:rPr>
          <w:noProof/>
          <w:webHidden/>
        </w:rPr>
        <w:t>4</w:t>
      </w:r>
    </w:p>
    <w:p w14:paraId="009095DC" w14:textId="73A15CA3"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1.5.4.</w:t>
      </w:r>
      <w:r w:rsidRPr="00201A9A">
        <w:rPr>
          <w:noProof/>
        </w:rPr>
        <w:tab/>
        <w:t>Spójność</w:t>
      </w:r>
      <w:r w:rsidR="00201A9A" w:rsidRPr="00201A9A">
        <w:rPr>
          <w:noProof/>
        </w:rPr>
        <w:t xml:space="preserve"> z wie</w:t>
      </w:r>
      <w:r w:rsidRPr="00201A9A">
        <w:rPr>
          <w:noProof/>
        </w:rPr>
        <w:t>loletnimi ramami finansowymi oraz możliwa synergia</w:t>
      </w:r>
      <w:r w:rsidR="00201A9A" w:rsidRPr="00201A9A">
        <w:rPr>
          <w:noProof/>
        </w:rPr>
        <w:t xml:space="preserve"> z inn</w:t>
      </w:r>
      <w:r w:rsidRPr="00201A9A">
        <w:rPr>
          <w:noProof/>
        </w:rPr>
        <w:t>ymi właściwymi instrumentami</w:t>
      </w:r>
      <w:r w:rsidRPr="00201A9A">
        <w:rPr>
          <w:noProof/>
        </w:rPr>
        <w:tab/>
      </w:r>
      <w:r w:rsidRPr="00201A9A">
        <w:rPr>
          <w:noProof/>
          <w:webHidden/>
        </w:rPr>
        <w:t>5</w:t>
      </w:r>
    </w:p>
    <w:p w14:paraId="45D1D64A" w14:textId="2608F41E"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1.5.5.</w:t>
      </w:r>
      <w:r w:rsidRPr="00201A9A">
        <w:rPr>
          <w:noProof/>
        </w:rPr>
        <w:tab/>
        <w:t>Ocena różnych dostępnych możliwości finansowania,</w:t>
      </w:r>
      <w:r w:rsidR="00201A9A" w:rsidRPr="00201A9A">
        <w:rPr>
          <w:noProof/>
        </w:rPr>
        <w:t xml:space="preserve"> w tym</w:t>
      </w:r>
      <w:r w:rsidRPr="00201A9A">
        <w:rPr>
          <w:noProof/>
        </w:rPr>
        <w:t xml:space="preserve"> możliwości przegrupowania środków</w:t>
      </w:r>
      <w:r w:rsidRPr="00201A9A">
        <w:rPr>
          <w:noProof/>
        </w:rPr>
        <w:tab/>
      </w:r>
      <w:r w:rsidRPr="00201A9A">
        <w:rPr>
          <w:noProof/>
          <w:webHidden/>
        </w:rPr>
        <w:t>5</w:t>
      </w:r>
    </w:p>
    <w:p w14:paraId="1E16A5A9" w14:textId="10A2A21D" w:rsidR="004A489F" w:rsidRPr="00201A9A" w:rsidRDefault="004A489F" w:rsidP="004A489F">
      <w:pPr>
        <w:pStyle w:val="TOC2"/>
        <w:rPr>
          <w:rFonts w:asciiTheme="minorHAnsi" w:eastAsiaTheme="minorEastAsia" w:hAnsiTheme="minorHAnsi" w:cstheme="minorBidi"/>
          <w:noProof/>
          <w:kern w:val="2"/>
          <w:sz w:val="22"/>
          <w14:ligatures w14:val="standardContextual"/>
        </w:rPr>
      </w:pPr>
      <w:r w:rsidRPr="00201A9A">
        <w:rPr>
          <w:noProof/>
        </w:rPr>
        <w:t>1.6.</w:t>
      </w:r>
      <w:r w:rsidRPr="00201A9A">
        <w:rPr>
          <w:noProof/>
        </w:rPr>
        <w:tab/>
        <w:t>Czas trwania wniosku/inicjatywy</w:t>
      </w:r>
      <w:r w:rsidR="00201A9A" w:rsidRPr="00201A9A">
        <w:rPr>
          <w:noProof/>
        </w:rPr>
        <w:t xml:space="preserve"> i jeg</w:t>
      </w:r>
      <w:r w:rsidRPr="00201A9A">
        <w:rPr>
          <w:noProof/>
        </w:rPr>
        <w:t>o/jej wpływu finansowego</w:t>
      </w:r>
      <w:r w:rsidRPr="00201A9A">
        <w:rPr>
          <w:noProof/>
        </w:rPr>
        <w:tab/>
      </w:r>
      <w:r w:rsidRPr="00201A9A">
        <w:rPr>
          <w:noProof/>
          <w:webHidden/>
        </w:rPr>
        <w:t>6</w:t>
      </w:r>
    </w:p>
    <w:p w14:paraId="65DDFBFD" w14:textId="77777777" w:rsidR="004A489F" w:rsidRPr="00201A9A" w:rsidRDefault="004A489F" w:rsidP="004A489F">
      <w:pPr>
        <w:pStyle w:val="TOC2"/>
        <w:rPr>
          <w:rFonts w:asciiTheme="minorHAnsi" w:eastAsiaTheme="minorEastAsia" w:hAnsiTheme="minorHAnsi" w:cstheme="minorBidi"/>
          <w:noProof/>
          <w:kern w:val="2"/>
          <w:sz w:val="22"/>
          <w14:ligatures w14:val="standardContextual"/>
        </w:rPr>
      </w:pPr>
      <w:r w:rsidRPr="00201A9A">
        <w:rPr>
          <w:noProof/>
        </w:rPr>
        <w:t>1.7.</w:t>
      </w:r>
      <w:r w:rsidRPr="00201A9A">
        <w:rPr>
          <w:noProof/>
        </w:rPr>
        <w:tab/>
        <w:t>Planowane metody wykonania budżetu</w:t>
      </w:r>
      <w:r w:rsidRPr="00201A9A">
        <w:rPr>
          <w:noProof/>
        </w:rPr>
        <w:tab/>
      </w:r>
      <w:r w:rsidRPr="00201A9A">
        <w:rPr>
          <w:noProof/>
          <w:webHidden/>
        </w:rPr>
        <w:t>6</w:t>
      </w:r>
    </w:p>
    <w:p w14:paraId="10191093" w14:textId="77777777" w:rsidR="004A489F" w:rsidRPr="00201A9A" w:rsidRDefault="004A489F" w:rsidP="004A489F">
      <w:pPr>
        <w:pStyle w:val="TOC1"/>
        <w:rPr>
          <w:rFonts w:asciiTheme="minorHAnsi" w:eastAsiaTheme="minorEastAsia" w:hAnsiTheme="minorHAnsi" w:cstheme="minorBidi"/>
          <w:noProof/>
          <w:kern w:val="2"/>
          <w:sz w:val="22"/>
          <w14:ligatures w14:val="standardContextual"/>
        </w:rPr>
      </w:pPr>
      <w:r w:rsidRPr="00201A9A">
        <w:rPr>
          <w:noProof/>
        </w:rPr>
        <w:t>2.</w:t>
      </w:r>
      <w:r w:rsidRPr="00201A9A">
        <w:rPr>
          <w:noProof/>
        </w:rPr>
        <w:tab/>
        <w:t>ŚRODKI ZARZĄDZANIA</w:t>
      </w:r>
      <w:r w:rsidRPr="00201A9A">
        <w:rPr>
          <w:noProof/>
        </w:rPr>
        <w:tab/>
      </w:r>
      <w:r w:rsidRPr="00201A9A">
        <w:rPr>
          <w:noProof/>
          <w:webHidden/>
        </w:rPr>
        <w:t>8</w:t>
      </w:r>
    </w:p>
    <w:p w14:paraId="2C9D8DF4" w14:textId="067AB1B7" w:rsidR="004A489F" w:rsidRPr="00201A9A" w:rsidRDefault="004A489F" w:rsidP="004A489F">
      <w:pPr>
        <w:pStyle w:val="TOC2"/>
        <w:rPr>
          <w:rFonts w:asciiTheme="minorHAnsi" w:eastAsiaTheme="minorEastAsia" w:hAnsiTheme="minorHAnsi" w:cstheme="minorBidi"/>
          <w:noProof/>
          <w:kern w:val="2"/>
          <w:sz w:val="22"/>
          <w14:ligatures w14:val="standardContextual"/>
        </w:rPr>
      </w:pPr>
      <w:r w:rsidRPr="00201A9A">
        <w:rPr>
          <w:noProof/>
        </w:rPr>
        <w:t>2.1.</w:t>
      </w:r>
      <w:r w:rsidRPr="00201A9A">
        <w:rPr>
          <w:noProof/>
        </w:rPr>
        <w:tab/>
        <w:t>Zasady nadzoru</w:t>
      </w:r>
      <w:r w:rsidR="00201A9A" w:rsidRPr="00201A9A">
        <w:rPr>
          <w:noProof/>
        </w:rPr>
        <w:t xml:space="preserve"> i spr</w:t>
      </w:r>
      <w:r w:rsidRPr="00201A9A">
        <w:rPr>
          <w:noProof/>
        </w:rPr>
        <w:t>awozdawczości</w:t>
      </w:r>
      <w:r w:rsidRPr="00201A9A">
        <w:rPr>
          <w:noProof/>
        </w:rPr>
        <w:tab/>
      </w:r>
      <w:r w:rsidRPr="00201A9A">
        <w:rPr>
          <w:noProof/>
          <w:webHidden/>
        </w:rPr>
        <w:t>8</w:t>
      </w:r>
    </w:p>
    <w:p w14:paraId="335B861C" w14:textId="2D02FDA6" w:rsidR="004A489F" w:rsidRPr="00201A9A" w:rsidRDefault="004A489F" w:rsidP="004A489F">
      <w:pPr>
        <w:pStyle w:val="TOC2"/>
        <w:rPr>
          <w:rFonts w:asciiTheme="minorHAnsi" w:eastAsiaTheme="minorEastAsia" w:hAnsiTheme="minorHAnsi" w:cstheme="minorBidi"/>
          <w:noProof/>
          <w:kern w:val="2"/>
          <w:sz w:val="22"/>
          <w14:ligatures w14:val="standardContextual"/>
        </w:rPr>
      </w:pPr>
      <w:r w:rsidRPr="00201A9A">
        <w:rPr>
          <w:noProof/>
        </w:rPr>
        <w:t>2.2.</w:t>
      </w:r>
      <w:r w:rsidRPr="00201A9A">
        <w:rPr>
          <w:noProof/>
        </w:rPr>
        <w:tab/>
        <w:t>System zarządzania</w:t>
      </w:r>
      <w:r w:rsidR="00201A9A" w:rsidRPr="00201A9A">
        <w:rPr>
          <w:noProof/>
        </w:rPr>
        <w:t xml:space="preserve"> i kon</w:t>
      </w:r>
      <w:r w:rsidRPr="00201A9A">
        <w:rPr>
          <w:noProof/>
        </w:rPr>
        <w:t>troli</w:t>
      </w:r>
      <w:r w:rsidRPr="00201A9A">
        <w:rPr>
          <w:noProof/>
        </w:rPr>
        <w:tab/>
      </w:r>
      <w:r w:rsidRPr="00201A9A">
        <w:rPr>
          <w:noProof/>
          <w:webHidden/>
        </w:rPr>
        <w:t>8</w:t>
      </w:r>
    </w:p>
    <w:p w14:paraId="5934AA0D" w14:textId="080E8A7F"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2.2.1.</w:t>
      </w:r>
      <w:r w:rsidRPr="00201A9A">
        <w:rPr>
          <w:noProof/>
        </w:rPr>
        <w:tab/>
        <w:t>Uzasadnienie dla proponowanych metod wykonania budżetu, mechanizmów finansowania wykonania, sposobów dokonywania płatności</w:t>
      </w:r>
      <w:r w:rsidR="00201A9A" w:rsidRPr="00201A9A">
        <w:rPr>
          <w:noProof/>
        </w:rPr>
        <w:t xml:space="preserve"> i str</w:t>
      </w:r>
      <w:r w:rsidRPr="00201A9A">
        <w:rPr>
          <w:noProof/>
        </w:rPr>
        <w:t>ategii kontroli</w:t>
      </w:r>
      <w:r w:rsidRPr="00201A9A">
        <w:rPr>
          <w:noProof/>
        </w:rPr>
        <w:tab/>
      </w:r>
      <w:r w:rsidRPr="00201A9A">
        <w:rPr>
          <w:noProof/>
          <w:webHidden/>
        </w:rPr>
        <w:t>8</w:t>
      </w:r>
    </w:p>
    <w:p w14:paraId="546C924F" w14:textId="779AB287"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2.2.2.</w:t>
      </w:r>
      <w:r w:rsidRPr="00201A9A">
        <w:rPr>
          <w:noProof/>
        </w:rPr>
        <w:tab/>
        <w:t>Informacje dotyczące zidentyfikowanego ryzyka</w:t>
      </w:r>
      <w:r w:rsidR="00201A9A" w:rsidRPr="00201A9A">
        <w:rPr>
          <w:noProof/>
        </w:rPr>
        <w:t xml:space="preserve"> i sys</w:t>
      </w:r>
      <w:r w:rsidRPr="00201A9A">
        <w:rPr>
          <w:noProof/>
        </w:rPr>
        <w:t>temów kontroli wewnętrznej ustanowionych</w:t>
      </w:r>
      <w:r w:rsidR="00201A9A" w:rsidRPr="00201A9A">
        <w:rPr>
          <w:noProof/>
        </w:rPr>
        <w:t xml:space="preserve"> w cel</w:t>
      </w:r>
      <w:r w:rsidRPr="00201A9A">
        <w:rPr>
          <w:noProof/>
        </w:rPr>
        <w:t>u jego ograniczenia</w:t>
      </w:r>
      <w:r w:rsidRPr="00201A9A">
        <w:rPr>
          <w:noProof/>
        </w:rPr>
        <w:tab/>
      </w:r>
      <w:r w:rsidRPr="00201A9A">
        <w:rPr>
          <w:noProof/>
          <w:webHidden/>
        </w:rPr>
        <w:t>8</w:t>
      </w:r>
    </w:p>
    <w:p w14:paraId="6435B584" w14:textId="4AADAB14"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2.2.3.</w:t>
      </w:r>
      <w:r w:rsidRPr="00201A9A">
        <w:rPr>
          <w:noProof/>
        </w:rPr>
        <w:tab/>
        <w:t>Oszacowanie</w:t>
      </w:r>
      <w:r w:rsidR="00201A9A" w:rsidRPr="00201A9A">
        <w:rPr>
          <w:noProof/>
        </w:rPr>
        <w:t xml:space="preserve"> i uza</w:t>
      </w:r>
      <w:r w:rsidRPr="00201A9A">
        <w:rPr>
          <w:noProof/>
        </w:rPr>
        <w:t>sadnienie efektywności kosztowej kontroli (relacja kosztów kontroli do wartości zarządzanych funduszy powiązanych) oraz ocena prawdopodobnego ryzyka błędu (przy płatności</w:t>
      </w:r>
      <w:r w:rsidR="00201A9A" w:rsidRPr="00201A9A">
        <w:rPr>
          <w:noProof/>
        </w:rPr>
        <w:t xml:space="preserve"> i prz</w:t>
      </w:r>
      <w:r w:rsidRPr="00201A9A">
        <w:rPr>
          <w:noProof/>
        </w:rPr>
        <w:t>y zamykaniu)</w:t>
      </w:r>
      <w:r w:rsidRPr="00201A9A">
        <w:rPr>
          <w:noProof/>
        </w:rPr>
        <w:tab/>
      </w:r>
      <w:r w:rsidRPr="00201A9A">
        <w:rPr>
          <w:noProof/>
          <w:webHidden/>
        </w:rPr>
        <w:t>8</w:t>
      </w:r>
    </w:p>
    <w:p w14:paraId="7B817A77" w14:textId="3E09A8C5" w:rsidR="004A489F" w:rsidRPr="00201A9A" w:rsidRDefault="004A489F" w:rsidP="004A489F">
      <w:pPr>
        <w:pStyle w:val="TOC2"/>
        <w:rPr>
          <w:rFonts w:asciiTheme="minorHAnsi" w:eastAsiaTheme="minorEastAsia" w:hAnsiTheme="minorHAnsi" w:cstheme="minorBidi"/>
          <w:noProof/>
          <w:kern w:val="2"/>
          <w:sz w:val="22"/>
          <w14:ligatures w14:val="standardContextual"/>
        </w:rPr>
      </w:pPr>
      <w:r w:rsidRPr="00201A9A">
        <w:rPr>
          <w:noProof/>
        </w:rPr>
        <w:t>2.3.</w:t>
      </w:r>
      <w:r w:rsidRPr="00201A9A">
        <w:rPr>
          <w:noProof/>
        </w:rPr>
        <w:tab/>
        <w:t>Środki zapobiegania nadużyciom finansowym</w:t>
      </w:r>
      <w:r w:rsidR="00201A9A" w:rsidRPr="00201A9A">
        <w:rPr>
          <w:noProof/>
        </w:rPr>
        <w:t xml:space="preserve"> i nie</w:t>
      </w:r>
      <w:r w:rsidRPr="00201A9A">
        <w:rPr>
          <w:noProof/>
        </w:rPr>
        <w:t>prawidłowościom</w:t>
      </w:r>
      <w:r w:rsidRPr="00201A9A">
        <w:rPr>
          <w:noProof/>
        </w:rPr>
        <w:tab/>
      </w:r>
      <w:r w:rsidRPr="00201A9A">
        <w:rPr>
          <w:noProof/>
          <w:webHidden/>
        </w:rPr>
        <w:t>9</w:t>
      </w:r>
    </w:p>
    <w:p w14:paraId="31442E8D" w14:textId="77777777" w:rsidR="004A489F" w:rsidRPr="00201A9A" w:rsidRDefault="004A489F" w:rsidP="004A489F">
      <w:pPr>
        <w:pStyle w:val="TOC1"/>
        <w:rPr>
          <w:rFonts w:asciiTheme="minorHAnsi" w:eastAsiaTheme="minorEastAsia" w:hAnsiTheme="minorHAnsi" w:cstheme="minorBidi"/>
          <w:noProof/>
          <w:kern w:val="2"/>
          <w:sz w:val="22"/>
          <w14:ligatures w14:val="standardContextual"/>
        </w:rPr>
      </w:pPr>
      <w:r w:rsidRPr="00201A9A">
        <w:rPr>
          <w:noProof/>
        </w:rPr>
        <w:t>3.</w:t>
      </w:r>
      <w:r w:rsidRPr="00201A9A">
        <w:rPr>
          <w:noProof/>
        </w:rPr>
        <w:tab/>
        <w:t>SZACUNKOWY WPŁYW FINANSOWY WNIOSKU/INICJATYWY</w:t>
      </w:r>
      <w:r w:rsidRPr="00201A9A">
        <w:rPr>
          <w:noProof/>
        </w:rPr>
        <w:tab/>
      </w:r>
      <w:r w:rsidRPr="00201A9A">
        <w:rPr>
          <w:noProof/>
          <w:webHidden/>
        </w:rPr>
        <w:t>10</w:t>
      </w:r>
    </w:p>
    <w:p w14:paraId="1FBAB2DD" w14:textId="68B2A1C2" w:rsidR="004A489F" w:rsidRPr="00201A9A" w:rsidRDefault="004A489F" w:rsidP="004A489F">
      <w:pPr>
        <w:pStyle w:val="TOC2"/>
        <w:rPr>
          <w:rFonts w:asciiTheme="minorHAnsi" w:eastAsiaTheme="minorEastAsia" w:hAnsiTheme="minorHAnsi" w:cstheme="minorBidi"/>
          <w:noProof/>
          <w:kern w:val="2"/>
          <w:sz w:val="22"/>
          <w14:ligatures w14:val="standardContextual"/>
        </w:rPr>
      </w:pPr>
      <w:r w:rsidRPr="00201A9A">
        <w:rPr>
          <w:noProof/>
        </w:rPr>
        <w:t>3.1.</w:t>
      </w:r>
      <w:r w:rsidRPr="00201A9A">
        <w:rPr>
          <w:noProof/>
        </w:rPr>
        <w:tab/>
        <w:t>Działy wieloletnich ram finansowych</w:t>
      </w:r>
      <w:r w:rsidR="00201A9A" w:rsidRPr="00201A9A">
        <w:rPr>
          <w:noProof/>
        </w:rPr>
        <w:t xml:space="preserve"> i lin</w:t>
      </w:r>
      <w:r w:rsidRPr="00201A9A">
        <w:rPr>
          <w:noProof/>
        </w:rPr>
        <w:t>ie budżetowe po stronie wydatków, na które wniosek/inicjatywa ma wpływ</w:t>
      </w:r>
      <w:r w:rsidRPr="00201A9A">
        <w:rPr>
          <w:noProof/>
        </w:rPr>
        <w:tab/>
      </w:r>
      <w:r w:rsidRPr="00201A9A">
        <w:rPr>
          <w:noProof/>
          <w:webHidden/>
        </w:rPr>
        <w:t>10</w:t>
      </w:r>
    </w:p>
    <w:p w14:paraId="586C8161" w14:textId="77777777" w:rsidR="004A489F" w:rsidRPr="00201A9A" w:rsidRDefault="004A489F" w:rsidP="004A489F">
      <w:pPr>
        <w:pStyle w:val="TOC2"/>
        <w:rPr>
          <w:rFonts w:asciiTheme="minorHAnsi" w:eastAsiaTheme="minorEastAsia" w:hAnsiTheme="minorHAnsi" w:cstheme="minorBidi"/>
          <w:noProof/>
          <w:kern w:val="2"/>
          <w:sz w:val="22"/>
          <w14:ligatures w14:val="standardContextual"/>
        </w:rPr>
      </w:pPr>
      <w:r w:rsidRPr="00201A9A">
        <w:rPr>
          <w:noProof/>
        </w:rPr>
        <w:t>3.2.</w:t>
      </w:r>
      <w:r w:rsidRPr="00201A9A">
        <w:rPr>
          <w:noProof/>
        </w:rPr>
        <w:tab/>
        <w:t>Szacunkowy wpływ finansowy wniosku na środki</w:t>
      </w:r>
      <w:r w:rsidRPr="00201A9A">
        <w:rPr>
          <w:noProof/>
        </w:rPr>
        <w:tab/>
      </w:r>
      <w:r w:rsidRPr="00201A9A">
        <w:rPr>
          <w:noProof/>
          <w:webHidden/>
        </w:rPr>
        <w:t>12</w:t>
      </w:r>
    </w:p>
    <w:p w14:paraId="55AC4FD0" w14:textId="77777777"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3.2.1.</w:t>
      </w:r>
      <w:r w:rsidRPr="00201A9A">
        <w:rPr>
          <w:noProof/>
        </w:rPr>
        <w:tab/>
        <w:t>Podsumowanie szacunkowego wpływu na środki operacyjne</w:t>
      </w:r>
      <w:r w:rsidRPr="00201A9A">
        <w:rPr>
          <w:noProof/>
        </w:rPr>
        <w:tab/>
      </w:r>
      <w:r w:rsidRPr="00201A9A">
        <w:rPr>
          <w:noProof/>
          <w:webHidden/>
        </w:rPr>
        <w:t>12</w:t>
      </w:r>
    </w:p>
    <w:p w14:paraId="4E7EB5C7" w14:textId="66EB2B41"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3.2.1.1.</w:t>
      </w:r>
      <w:r w:rsidRPr="00201A9A">
        <w:rPr>
          <w:noProof/>
        </w:rPr>
        <w:tab/>
        <w:t>Środki</w:t>
      </w:r>
      <w:r w:rsidR="00201A9A" w:rsidRPr="00201A9A">
        <w:rPr>
          <w:noProof/>
        </w:rPr>
        <w:t xml:space="preserve"> z uch</w:t>
      </w:r>
      <w:r w:rsidRPr="00201A9A">
        <w:rPr>
          <w:noProof/>
        </w:rPr>
        <w:t>walonego budżetu</w:t>
      </w:r>
      <w:r w:rsidRPr="00201A9A">
        <w:rPr>
          <w:noProof/>
        </w:rPr>
        <w:tab/>
      </w:r>
      <w:r w:rsidRPr="00201A9A">
        <w:rPr>
          <w:noProof/>
          <w:webHidden/>
        </w:rPr>
        <w:t>12</w:t>
      </w:r>
    </w:p>
    <w:p w14:paraId="6E107D9D" w14:textId="5A20D947"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3.2.1.2.</w:t>
      </w:r>
      <w:r w:rsidRPr="00201A9A">
        <w:rPr>
          <w:noProof/>
        </w:rPr>
        <w:tab/>
        <w:t>Środki</w:t>
      </w:r>
      <w:r w:rsidR="00201A9A" w:rsidRPr="00201A9A">
        <w:rPr>
          <w:noProof/>
        </w:rPr>
        <w:t xml:space="preserve"> z zew</w:t>
      </w:r>
      <w:r w:rsidRPr="00201A9A">
        <w:rPr>
          <w:noProof/>
        </w:rPr>
        <w:t>nętrznych dochodów przeznaczonych na określony cel</w:t>
      </w:r>
      <w:r w:rsidRPr="00201A9A">
        <w:rPr>
          <w:noProof/>
        </w:rPr>
        <w:tab/>
      </w:r>
      <w:r w:rsidRPr="00201A9A">
        <w:rPr>
          <w:noProof/>
          <w:webHidden/>
        </w:rPr>
        <w:t>17</w:t>
      </w:r>
    </w:p>
    <w:p w14:paraId="09AFE693" w14:textId="77777777"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3.2.2.</w:t>
      </w:r>
      <w:r w:rsidRPr="00201A9A">
        <w:rPr>
          <w:noProof/>
        </w:rPr>
        <w:tab/>
        <w:t>Szacowany produkt finansowany ze środków operacyjnych</w:t>
      </w:r>
      <w:r w:rsidRPr="00201A9A">
        <w:rPr>
          <w:noProof/>
        </w:rPr>
        <w:tab/>
      </w:r>
      <w:r w:rsidRPr="00201A9A">
        <w:rPr>
          <w:noProof/>
          <w:webHidden/>
        </w:rPr>
        <w:t>22</w:t>
      </w:r>
    </w:p>
    <w:p w14:paraId="3C2D56AA" w14:textId="77777777"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3.2.3.</w:t>
      </w:r>
      <w:r w:rsidRPr="00201A9A">
        <w:rPr>
          <w:noProof/>
        </w:rPr>
        <w:tab/>
        <w:t>Podsumowanie szacunkowego wpływu na środki administracyjne</w:t>
      </w:r>
      <w:r w:rsidRPr="00201A9A">
        <w:rPr>
          <w:noProof/>
        </w:rPr>
        <w:tab/>
      </w:r>
      <w:r w:rsidRPr="00201A9A">
        <w:rPr>
          <w:noProof/>
          <w:webHidden/>
        </w:rPr>
        <w:t>24</w:t>
      </w:r>
    </w:p>
    <w:p w14:paraId="3262999E" w14:textId="33A52099"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3.2.3.1. Środki</w:t>
      </w:r>
      <w:r w:rsidR="00201A9A" w:rsidRPr="00201A9A">
        <w:rPr>
          <w:noProof/>
        </w:rPr>
        <w:t xml:space="preserve"> z uch</w:t>
      </w:r>
      <w:r w:rsidRPr="00201A9A">
        <w:rPr>
          <w:noProof/>
        </w:rPr>
        <w:t>walonego budżetu</w:t>
      </w:r>
      <w:r w:rsidRPr="00201A9A">
        <w:rPr>
          <w:noProof/>
        </w:rPr>
        <w:tab/>
      </w:r>
      <w:r w:rsidRPr="00201A9A">
        <w:rPr>
          <w:noProof/>
          <w:webHidden/>
        </w:rPr>
        <w:t>24</w:t>
      </w:r>
    </w:p>
    <w:p w14:paraId="0BABFE6B" w14:textId="46E0C9BC"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3.2.3.2.</w:t>
      </w:r>
      <w:r w:rsidRPr="00201A9A">
        <w:rPr>
          <w:noProof/>
        </w:rPr>
        <w:tab/>
        <w:t>Środki</w:t>
      </w:r>
      <w:r w:rsidR="00201A9A" w:rsidRPr="00201A9A">
        <w:rPr>
          <w:noProof/>
        </w:rPr>
        <w:t xml:space="preserve"> z zew</w:t>
      </w:r>
      <w:r w:rsidRPr="00201A9A">
        <w:rPr>
          <w:noProof/>
        </w:rPr>
        <w:t>nętrznych dochodów przeznaczonych na określony cel</w:t>
      </w:r>
      <w:r w:rsidRPr="00201A9A">
        <w:rPr>
          <w:noProof/>
        </w:rPr>
        <w:tab/>
      </w:r>
      <w:r w:rsidRPr="00201A9A">
        <w:rPr>
          <w:noProof/>
          <w:webHidden/>
        </w:rPr>
        <w:t>24</w:t>
      </w:r>
    </w:p>
    <w:p w14:paraId="604C154D" w14:textId="77777777"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3.2.3.3.</w:t>
      </w:r>
      <w:r w:rsidRPr="00201A9A">
        <w:rPr>
          <w:noProof/>
        </w:rPr>
        <w:tab/>
        <w:t>Ogółem środki</w:t>
      </w:r>
      <w:r w:rsidRPr="00201A9A">
        <w:rPr>
          <w:noProof/>
        </w:rPr>
        <w:tab/>
      </w:r>
      <w:r w:rsidRPr="00201A9A">
        <w:rPr>
          <w:noProof/>
          <w:webHidden/>
        </w:rPr>
        <w:t>24</w:t>
      </w:r>
    </w:p>
    <w:p w14:paraId="61DA2148" w14:textId="77777777"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3.2.4.</w:t>
      </w:r>
      <w:r w:rsidRPr="00201A9A">
        <w:rPr>
          <w:noProof/>
        </w:rPr>
        <w:tab/>
        <w:t>Szacowane zapotrzebowanie na zasoby ludzkie</w:t>
      </w:r>
      <w:r w:rsidRPr="00201A9A">
        <w:rPr>
          <w:noProof/>
        </w:rPr>
        <w:tab/>
      </w:r>
      <w:r w:rsidRPr="00201A9A">
        <w:rPr>
          <w:noProof/>
          <w:webHidden/>
        </w:rPr>
        <w:t>25</w:t>
      </w:r>
    </w:p>
    <w:p w14:paraId="083BC018" w14:textId="2DB40DBE"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3.2.4.1.</w:t>
      </w:r>
      <w:r w:rsidRPr="00201A9A">
        <w:rPr>
          <w:noProof/>
        </w:rPr>
        <w:tab/>
        <w:t>Finansowane</w:t>
      </w:r>
      <w:r w:rsidR="00201A9A" w:rsidRPr="00201A9A">
        <w:rPr>
          <w:noProof/>
        </w:rPr>
        <w:t xml:space="preserve"> z uch</w:t>
      </w:r>
      <w:r w:rsidRPr="00201A9A">
        <w:rPr>
          <w:noProof/>
        </w:rPr>
        <w:t>walonego budżetu</w:t>
      </w:r>
      <w:r w:rsidRPr="00201A9A">
        <w:rPr>
          <w:noProof/>
        </w:rPr>
        <w:tab/>
      </w:r>
      <w:r w:rsidRPr="00201A9A">
        <w:rPr>
          <w:noProof/>
          <w:webHidden/>
        </w:rPr>
        <w:t>25</w:t>
      </w:r>
    </w:p>
    <w:p w14:paraId="774512A3" w14:textId="443B6658"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3.2.4.2.</w:t>
      </w:r>
      <w:r w:rsidRPr="00201A9A">
        <w:rPr>
          <w:noProof/>
        </w:rPr>
        <w:tab/>
        <w:t>Finansowane</w:t>
      </w:r>
      <w:r w:rsidR="00201A9A" w:rsidRPr="00201A9A">
        <w:rPr>
          <w:noProof/>
        </w:rPr>
        <w:t xml:space="preserve"> z zew</w:t>
      </w:r>
      <w:r w:rsidRPr="00201A9A">
        <w:rPr>
          <w:noProof/>
        </w:rPr>
        <w:t>nętrznych dochodów przeznaczonych na określony cel</w:t>
      </w:r>
      <w:r w:rsidRPr="00201A9A">
        <w:rPr>
          <w:noProof/>
        </w:rPr>
        <w:tab/>
      </w:r>
      <w:r w:rsidRPr="00201A9A">
        <w:rPr>
          <w:noProof/>
          <w:webHidden/>
        </w:rPr>
        <w:t>26</w:t>
      </w:r>
    </w:p>
    <w:p w14:paraId="2FE8E0B7" w14:textId="77777777"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3.2.4.3.</w:t>
      </w:r>
      <w:r w:rsidRPr="00201A9A">
        <w:rPr>
          <w:noProof/>
        </w:rPr>
        <w:tab/>
        <w:t>Zapotrzebowanie na zasoby ludzkie ogółem</w:t>
      </w:r>
      <w:r w:rsidRPr="00201A9A">
        <w:rPr>
          <w:noProof/>
        </w:rPr>
        <w:tab/>
      </w:r>
      <w:r w:rsidRPr="00201A9A">
        <w:rPr>
          <w:noProof/>
          <w:webHidden/>
        </w:rPr>
        <w:t>26</w:t>
      </w:r>
    </w:p>
    <w:p w14:paraId="14019CBB" w14:textId="582B4A18"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3.2.5.</w:t>
      </w:r>
      <w:r w:rsidRPr="00201A9A">
        <w:rPr>
          <w:noProof/>
        </w:rPr>
        <w:tab/>
        <w:t>Przegląd szacowanego wpływu na inwestycje związane</w:t>
      </w:r>
      <w:r w:rsidR="00201A9A" w:rsidRPr="00201A9A">
        <w:rPr>
          <w:noProof/>
        </w:rPr>
        <w:t xml:space="preserve"> z tec</w:t>
      </w:r>
      <w:r w:rsidRPr="00201A9A">
        <w:rPr>
          <w:noProof/>
        </w:rPr>
        <w:t>hnologiami cyfrowymi</w:t>
      </w:r>
      <w:r w:rsidRPr="00201A9A">
        <w:rPr>
          <w:noProof/>
        </w:rPr>
        <w:tab/>
      </w:r>
      <w:r w:rsidRPr="00201A9A">
        <w:rPr>
          <w:noProof/>
          <w:webHidden/>
        </w:rPr>
        <w:t>28</w:t>
      </w:r>
    </w:p>
    <w:p w14:paraId="1CE67A04" w14:textId="35557520"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3.2.6.</w:t>
      </w:r>
      <w:r w:rsidRPr="00201A9A">
        <w:rPr>
          <w:noProof/>
        </w:rPr>
        <w:tab/>
        <w:t>Zgodność</w:t>
      </w:r>
      <w:r w:rsidR="00201A9A" w:rsidRPr="00201A9A">
        <w:rPr>
          <w:noProof/>
        </w:rPr>
        <w:t xml:space="preserve"> z obo</w:t>
      </w:r>
      <w:r w:rsidRPr="00201A9A">
        <w:rPr>
          <w:noProof/>
        </w:rPr>
        <w:t>wiązującymi wieloletnimi ramami finansowymi</w:t>
      </w:r>
      <w:r w:rsidRPr="00201A9A">
        <w:rPr>
          <w:noProof/>
        </w:rPr>
        <w:tab/>
      </w:r>
      <w:r w:rsidRPr="00201A9A">
        <w:rPr>
          <w:noProof/>
          <w:webHidden/>
        </w:rPr>
        <w:t>28</w:t>
      </w:r>
    </w:p>
    <w:p w14:paraId="50E3BB40" w14:textId="358DD288" w:rsidR="004A489F" w:rsidRPr="00201A9A" w:rsidRDefault="004A489F" w:rsidP="004A489F">
      <w:pPr>
        <w:pStyle w:val="TOC3"/>
        <w:rPr>
          <w:rFonts w:asciiTheme="minorHAnsi" w:eastAsiaTheme="minorEastAsia" w:hAnsiTheme="minorHAnsi" w:cstheme="minorBidi"/>
          <w:noProof/>
          <w:kern w:val="2"/>
          <w:sz w:val="22"/>
          <w14:ligatures w14:val="standardContextual"/>
        </w:rPr>
      </w:pPr>
      <w:r w:rsidRPr="00201A9A">
        <w:rPr>
          <w:noProof/>
        </w:rPr>
        <w:t>3.2.7.</w:t>
      </w:r>
      <w:r w:rsidRPr="00201A9A">
        <w:rPr>
          <w:noProof/>
        </w:rPr>
        <w:tab/>
        <w:t>Udział osób trzecich</w:t>
      </w:r>
      <w:r w:rsidR="00201A9A" w:rsidRPr="00201A9A">
        <w:rPr>
          <w:noProof/>
        </w:rPr>
        <w:t xml:space="preserve"> w fin</w:t>
      </w:r>
      <w:r w:rsidRPr="00201A9A">
        <w:rPr>
          <w:noProof/>
        </w:rPr>
        <w:t>ansowaniu</w:t>
      </w:r>
      <w:r w:rsidRPr="00201A9A">
        <w:rPr>
          <w:noProof/>
        </w:rPr>
        <w:tab/>
      </w:r>
      <w:r w:rsidRPr="00201A9A">
        <w:rPr>
          <w:noProof/>
          <w:webHidden/>
        </w:rPr>
        <w:t>28</w:t>
      </w:r>
    </w:p>
    <w:p w14:paraId="4B93713F" w14:textId="77777777" w:rsidR="004A489F" w:rsidRPr="00201A9A" w:rsidRDefault="004A489F" w:rsidP="004A489F">
      <w:pPr>
        <w:pStyle w:val="TOC2"/>
        <w:rPr>
          <w:rFonts w:asciiTheme="minorHAnsi" w:eastAsiaTheme="minorEastAsia" w:hAnsiTheme="minorHAnsi" w:cstheme="minorBidi"/>
          <w:noProof/>
          <w:kern w:val="2"/>
          <w:sz w:val="22"/>
          <w14:ligatures w14:val="standardContextual"/>
        </w:rPr>
      </w:pPr>
      <w:r w:rsidRPr="00201A9A">
        <w:rPr>
          <w:noProof/>
        </w:rPr>
        <w:t>3.3.</w:t>
      </w:r>
      <w:r w:rsidRPr="00201A9A">
        <w:rPr>
          <w:noProof/>
        </w:rPr>
        <w:tab/>
        <w:t>Szacunkowy wpływ na dochody</w:t>
      </w:r>
      <w:r w:rsidRPr="00201A9A">
        <w:rPr>
          <w:noProof/>
        </w:rPr>
        <w:tab/>
      </w:r>
      <w:r w:rsidRPr="00201A9A">
        <w:rPr>
          <w:noProof/>
          <w:webHidden/>
        </w:rPr>
        <w:t>29</w:t>
      </w:r>
    </w:p>
    <w:p w14:paraId="726C6669" w14:textId="77777777" w:rsidR="004A489F" w:rsidRPr="00201A9A" w:rsidRDefault="004A489F" w:rsidP="004A489F">
      <w:pPr>
        <w:pStyle w:val="TOC1"/>
        <w:rPr>
          <w:rFonts w:asciiTheme="minorHAnsi" w:eastAsiaTheme="minorEastAsia" w:hAnsiTheme="minorHAnsi" w:cstheme="minorBidi"/>
          <w:noProof/>
          <w:kern w:val="2"/>
          <w:sz w:val="22"/>
          <w14:ligatures w14:val="standardContextual"/>
        </w:rPr>
      </w:pPr>
      <w:r w:rsidRPr="00201A9A">
        <w:rPr>
          <w:noProof/>
        </w:rPr>
        <w:t>4.</w:t>
      </w:r>
      <w:r w:rsidRPr="00201A9A">
        <w:rPr>
          <w:noProof/>
        </w:rPr>
        <w:tab/>
      </w:r>
      <w:r w:rsidRPr="00201A9A">
        <w:rPr>
          <w:caps/>
          <w:noProof/>
        </w:rPr>
        <w:t>Wymiar cyfrowy</w:t>
      </w:r>
      <w:r w:rsidRPr="00201A9A">
        <w:rPr>
          <w:noProof/>
        </w:rPr>
        <w:tab/>
      </w:r>
      <w:r w:rsidRPr="00201A9A">
        <w:rPr>
          <w:noProof/>
          <w:webHidden/>
        </w:rPr>
        <w:t>29</w:t>
      </w:r>
    </w:p>
    <w:p w14:paraId="43A1B2E5" w14:textId="77777777" w:rsidR="004A489F" w:rsidRPr="00201A9A" w:rsidRDefault="004A489F" w:rsidP="004A489F">
      <w:pPr>
        <w:pStyle w:val="TOC2"/>
        <w:rPr>
          <w:rFonts w:asciiTheme="minorHAnsi" w:eastAsiaTheme="minorEastAsia" w:hAnsiTheme="minorHAnsi" w:cstheme="minorBidi"/>
          <w:noProof/>
          <w:kern w:val="2"/>
          <w:sz w:val="22"/>
          <w14:ligatures w14:val="standardContextual"/>
        </w:rPr>
      </w:pPr>
      <w:r w:rsidRPr="00201A9A">
        <w:rPr>
          <w:noProof/>
        </w:rPr>
        <w:t>4.1.</w:t>
      </w:r>
      <w:r w:rsidRPr="00201A9A">
        <w:rPr>
          <w:noProof/>
        </w:rPr>
        <w:tab/>
        <w:t>Wymogi cyfrowe</w:t>
      </w:r>
      <w:r w:rsidRPr="00201A9A">
        <w:rPr>
          <w:noProof/>
        </w:rPr>
        <w:tab/>
      </w:r>
      <w:r w:rsidRPr="00201A9A">
        <w:rPr>
          <w:noProof/>
          <w:webHidden/>
        </w:rPr>
        <w:t>30</w:t>
      </w:r>
    </w:p>
    <w:p w14:paraId="2D58D2A2" w14:textId="77777777" w:rsidR="004A489F" w:rsidRPr="00201A9A" w:rsidRDefault="004A489F" w:rsidP="004A489F">
      <w:pPr>
        <w:pStyle w:val="TOC2"/>
        <w:rPr>
          <w:rFonts w:asciiTheme="minorHAnsi" w:eastAsiaTheme="minorEastAsia" w:hAnsiTheme="minorHAnsi" w:cstheme="minorBidi"/>
          <w:noProof/>
          <w:kern w:val="2"/>
          <w:sz w:val="22"/>
          <w14:ligatures w14:val="standardContextual"/>
        </w:rPr>
      </w:pPr>
      <w:r w:rsidRPr="00201A9A">
        <w:rPr>
          <w:noProof/>
        </w:rPr>
        <w:t>4.2.</w:t>
      </w:r>
      <w:r w:rsidRPr="00201A9A">
        <w:rPr>
          <w:noProof/>
        </w:rPr>
        <w:tab/>
        <w:t>Dane</w:t>
      </w:r>
      <w:r w:rsidRPr="00201A9A">
        <w:rPr>
          <w:noProof/>
        </w:rPr>
        <w:tab/>
      </w:r>
      <w:r w:rsidRPr="00201A9A">
        <w:rPr>
          <w:noProof/>
          <w:webHidden/>
        </w:rPr>
        <w:t>30</w:t>
      </w:r>
    </w:p>
    <w:p w14:paraId="439569B7" w14:textId="77777777" w:rsidR="004A489F" w:rsidRPr="00201A9A" w:rsidRDefault="004A489F" w:rsidP="004A489F">
      <w:pPr>
        <w:pStyle w:val="TOC2"/>
        <w:rPr>
          <w:rFonts w:asciiTheme="minorHAnsi" w:eastAsiaTheme="minorEastAsia" w:hAnsiTheme="minorHAnsi" w:cstheme="minorBidi"/>
          <w:noProof/>
          <w:kern w:val="2"/>
          <w:sz w:val="22"/>
          <w14:ligatures w14:val="standardContextual"/>
        </w:rPr>
      </w:pPr>
      <w:r w:rsidRPr="00201A9A">
        <w:rPr>
          <w:noProof/>
        </w:rPr>
        <w:t>4.3.</w:t>
      </w:r>
      <w:r w:rsidRPr="00201A9A">
        <w:rPr>
          <w:noProof/>
        </w:rPr>
        <w:tab/>
        <w:t>Rozwiązania cyfrowe</w:t>
      </w:r>
      <w:r w:rsidRPr="00201A9A">
        <w:rPr>
          <w:noProof/>
        </w:rPr>
        <w:tab/>
      </w:r>
      <w:r w:rsidRPr="00201A9A">
        <w:rPr>
          <w:noProof/>
          <w:webHidden/>
        </w:rPr>
        <w:t>31</w:t>
      </w:r>
    </w:p>
    <w:p w14:paraId="56057BA7" w14:textId="77777777" w:rsidR="004A489F" w:rsidRPr="00201A9A" w:rsidRDefault="004A489F" w:rsidP="004A489F">
      <w:pPr>
        <w:pStyle w:val="TOC2"/>
        <w:rPr>
          <w:rFonts w:asciiTheme="minorHAnsi" w:eastAsiaTheme="minorEastAsia" w:hAnsiTheme="minorHAnsi" w:cstheme="minorBidi"/>
          <w:noProof/>
          <w:kern w:val="2"/>
          <w:sz w:val="22"/>
          <w14:ligatures w14:val="standardContextual"/>
        </w:rPr>
      </w:pPr>
      <w:r w:rsidRPr="00201A9A">
        <w:rPr>
          <w:noProof/>
        </w:rPr>
        <w:t>4.4.</w:t>
      </w:r>
      <w:r w:rsidRPr="00201A9A">
        <w:rPr>
          <w:noProof/>
        </w:rPr>
        <w:tab/>
        <w:t>Ocena interoperacyjności</w:t>
      </w:r>
      <w:r w:rsidRPr="00201A9A">
        <w:rPr>
          <w:noProof/>
        </w:rPr>
        <w:tab/>
      </w:r>
      <w:r w:rsidRPr="00201A9A">
        <w:rPr>
          <w:noProof/>
          <w:webHidden/>
        </w:rPr>
        <w:t>31</w:t>
      </w:r>
    </w:p>
    <w:p w14:paraId="2B659E45" w14:textId="77777777" w:rsidR="004A489F" w:rsidRPr="00201A9A" w:rsidRDefault="004A489F" w:rsidP="004A489F">
      <w:pPr>
        <w:pStyle w:val="TOC2"/>
        <w:rPr>
          <w:rFonts w:asciiTheme="minorHAnsi" w:eastAsiaTheme="minorEastAsia" w:hAnsiTheme="minorHAnsi" w:cstheme="minorBidi"/>
          <w:noProof/>
          <w:kern w:val="2"/>
          <w:sz w:val="22"/>
          <w14:ligatures w14:val="standardContextual"/>
        </w:rPr>
      </w:pPr>
      <w:r w:rsidRPr="00201A9A">
        <w:rPr>
          <w:noProof/>
        </w:rPr>
        <w:t>4.5.</w:t>
      </w:r>
      <w:r w:rsidRPr="00201A9A">
        <w:rPr>
          <w:noProof/>
        </w:rPr>
        <w:tab/>
        <w:t>Środki wspierające cyfrowe wdrażanie</w:t>
      </w:r>
      <w:r w:rsidRPr="00201A9A">
        <w:rPr>
          <w:noProof/>
        </w:rPr>
        <w:tab/>
      </w:r>
      <w:r w:rsidRPr="00201A9A">
        <w:rPr>
          <w:noProof/>
          <w:webHidden/>
        </w:rPr>
        <w:t>32</w:t>
      </w:r>
    </w:p>
    <w:p w14:paraId="7475866B" w14:textId="77777777" w:rsidR="004A489F" w:rsidRPr="00201A9A" w:rsidRDefault="004A489F" w:rsidP="004A489F">
      <w:pPr>
        <w:pStyle w:val="TOC1"/>
        <w:ind w:left="0" w:firstLine="0"/>
        <w:rPr>
          <w:noProof/>
        </w:rPr>
        <w:sectPr w:rsidR="004A489F" w:rsidRPr="00201A9A" w:rsidSect="009C4ADF">
          <w:pgSz w:w="11907" w:h="16840" w:code="9"/>
          <w:pgMar w:top="1134" w:right="1418" w:bottom="1134" w:left="1418" w:header="709" w:footer="709" w:gutter="0"/>
          <w:pgNumType w:start="1"/>
          <w:cols w:space="720"/>
          <w:docGrid w:linePitch="360"/>
        </w:sectPr>
      </w:pPr>
    </w:p>
    <w:p w14:paraId="5BB2B067" w14:textId="77777777" w:rsidR="004A489F" w:rsidRPr="00201A9A" w:rsidRDefault="004A489F" w:rsidP="004A489F">
      <w:pPr>
        <w:pStyle w:val="ManualHeading1"/>
        <w:rPr>
          <w:noProof/>
        </w:rPr>
      </w:pPr>
      <w:bookmarkStart w:id="16" w:name="_Toc514938007"/>
      <w:bookmarkStart w:id="17" w:name="_Toc520485025"/>
      <w:bookmarkStart w:id="18" w:name="_Toc160804567"/>
      <w:bookmarkStart w:id="19" w:name="_Toc167220259"/>
      <w:bookmarkStart w:id="20" w:name="_Toc177548992"/>
      <w:r w:rsidRPr="00201A9A">
        <w:rPr>
          <w:noProof/>
        </w:rPr>
        <w:t>1.</w:t>
      </w:r>
      <w:r w:rsidRPr="00201A9A">
        <w:rPr>
          <w:noProof/>
        </w:rPr>
        <w:tab/>
        <w:t>STRUKTURA WNIOSKU/INICJATYWY</w:t>
      </w:r>
      <w:bookmarkEnd w:id="16"/>
      <w:bookmarkEnd w:id="17"/>
      <w:bookmarkEnd w:id="18"/>
      <w:bookmarkEnd w:id="19"/>
      <w:bookmarkEnd w:id="20"/>
      <w:r w:rsidRPr="00201A9A">
        <w:rPr>
          <w:noProof/>
        </w:rPr>
        <w:t xml:space="preserve"> </w:t>
      </w:r>
    </w:p>
    <w:p w14:paraId="7126513B" w14:textId="77777777" w:rsidR="004A489F" w:rsidRPr="00201A9A" w:rsidRDefault="004A489F" w:rsidP="004A489F">
      <w:pPr>
        <w:pStyle w:val="ManualHeading2"/>
        <w:rPr>
          <w:noProof/>
        </w:rPr>
      </w:pPr>
      <w:bookmarkStart w:id="21" w:name="_Toc514938008"/>
      <w:bookmarkStart w:id="22" w:name="_Toc520485026"/>
      <w:bookmarkStart w:id="23" w:name="_Toc160804568"/>
      <w:bookmarkStart w:id="24" w:name="_Toc167220260"/>
      <w:bookmarkStart w:id="25" w:name="_Toc177548993"/>
      <w:r w:rsidRPr="00201A9A">
        <w:rPr>
          <w:noProof/>
        </w:rPr>
        <w:t>1.1.</w:t>
      </w:r>
      <w:r w:rsidRPr="00201A9A">
        <w:rPr>
          <w:noProof/>
        </w:rPr>
        <w:tab/>
        <w:t>Tytuł wniosku/inicjatywy</w:t>
      </w:r>
      <w:bookmarkEnd w:id="21"/>
      <w:bookmarkEnd w:id="22"/>
      <w:bookmarkEnd w:id="23"/>
      <w:bookmarkEnd w:id="24"/>
      <w:bookmarkEnd w:id="25"/>
    </w:p>
    <w:p w14:paraId="66074143" w14:textId="4DC39372" w:rsidR="004A489F" w:rsidRPr="00201A9A" w:rsidRDefault="007B2694"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Wniosek dotyczący rozporządzenia Parlamentu Europejskiego</w:t>
      </w:r>
      <w:r w:rsidR="00201A9A" w:rsidRPr="00201A9A">
        <w:rPr>
          <w:noProof/>
        </w:rPr>
        <w:t xml:space="preserve"> i Rad</w:t>
      </w:r>
      <w:r w:rsidRPr="00201A9A">
        <w:rPr>
          <w:noProof/>
        </w:rPr>
        <w:t>y ustanawiającego Europejski Fundusz Spójności Gospodarczej, Społecznej</w:t>
      </w:r>
      <w:r w:rsidR="00201A9A" w:rsidRPr="00201A9A">
        <w:rPr>
          <w:noProof/>
        </w:rPr>
        <w:t xml:space="preserve"> i Ter</w:t>
      </w:r>
      <w:r w:rsidRPr="00201A9A">
        <w:rPr>
          <w:noProof/>
        </w:rPr>
        <w:t>ytorialnej, Rolnictwa</w:t>
      </w:r>
      <w:r w:rsidR="00201A9A" w:rsidRPr="00201A9A">
        <w:rPr>
          <w:noProof/>
        </w:rPr>
        <w:t xml:space="preserve"> i Obs</w:t>
      </w:r>
      <w:r w:rsidRPr="00201A9A">
        <w:rPr>
          <w:noProof/>
        </w:rPr>
        <w:t>zarów Wiejskich, Rybołówstwa</w:t>
      </w:r>
      <w:r w:rsidR="00201A9A" w:rsidRPr="00201A9A">
        <w:rPr>
          <w:noProof/>
        </w:rPr>
        <w:t xml:space="preserve"> i Pol</w:t>
      </w:r>
      <w:r w:rsidRPr="00201A9A">
        <w:rPr>
          <w:noProof/>
        </w:rPr>
        <w:t>ityki Morskiej, Dobrobytu</w:t>
      </w:r>
      <w:r w:rsidR="00201A9A" w:rsidRPr="00201A9A">
        <w:rPr>
          <w:noProof/>
        </w:rPr>
        <w:t xml:space="preserve"> i Bez</w:t>
      </w:r>
      <w:r w:rsidRPr="00201A9A">
        <w:rPr>
          <w:noProof/>
        </w:rPr>
        <w:t xml:space="preserve">pieczeństwa na okres 2028–2034 </w:t>
      </w:r>
      <w:bookmarkStart w:id="26" w:name="_Toc514938011"/>
      <w:bookmarkStart w:id="27" w:name="_Toc520485027"/>
      <w:bookmarkStart w:id="28" w:name="_Toc160804569"/>
      <w:bookmarkStart w:id="29" w:name="_Toc167220261"/>
      <w:bookmarkStart w:id="30" w:name="_Toc177548994"/>
    </w:p>
    <w:p w14:paraId="3F5F98DB" w14:textId="77777777" w:rsidR="004A489F" w:rsidRPr="00201A9A" w:rsidRDefault="004A489F" w:rsidP="004A489F">
      <w:pPr>
        <w:pStyle w:val="ManualHeading2"/>
        <w:rPr>
          <w:i/>
          <w:noProof/>
        </w:rPr>
      </w:pPr>
      <w:r w:rsidRPr="00201A9A">
        <w:rPr>
          <w:noProof/>
        </w:rPr>
        <w:t>1.2.</w:t>
      </w:r>
      <w:r w:rsidRPr="00201A9A">
        <w:rPr>
          <w:noProof/>
        </w:rPr>
        <w:tab/>
        <w:t>Obszary polityki, których dotyczy wniosek/inicjatywa</w:t>
      </w:r>
      <w:bookmarkEnd w:id="26"/>
      <w:bookmarkEnd w:id="27"/>
      <w:bookmarkEnd w:id="28"/>
      <w:bookmarkEnd w:id="29"/>
      <w:bookmarkEnd w:id="30"/>
      <w:r w:rsidRPr="00201A9A">
        <w:rPr>
          <w:i/>
          <w:noProof/>
        </w:rPr>
        <w:t xml:space="preserve"> </w:t>
      </w:r>
    </w:p>
    <w:p w14:paraId="5177EA84" w14:textId="77777777"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 xml:space="preserve">Konkurencyjność </w:t>
      </w:r>
    </w:p>
    <w:p w14:paraId="006CA572" w14:textId="77777777"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 xml:space="preserve">Rozwój regionalny </w:t>
      </w:r>
    </w:p>
    <w:p w14:paraId="6313B192" w14:textId="77777777"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 xml:space="preserve">Sprawy społeczne </w:t>
      </w:r>
    </w:p>
    <w:p w14:paraId="05901FDC" w14:textId="77777777"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 xml:space="preserve">Rolnictwo </w:t>
      </w:r>
    </w:p>
    <w:p w14:paraId="0522F67E" w14:textId="77777777"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Obronność</w:t>
      </w:r>
    </w:p>
    <w:p w14:paraId="295702C3" w14:textId="77777777" w:rsidR="00AC3633" w:rsidRPr="00201A9A" w:rsidRDefault="00AC3633"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Gotowość</w:t>
      </w:r>
    </w:p>
    <w:p w14:paraId="0A11B528" w14:textId="77777777"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 xml:space="preserve">Sprawy wewnętrzne </w:t>
      </w:r>
    </w:p>
    <w:p w14:paraId="645F697D" w14:textId="07B889A4"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Gospodarka morska</w:t>
      </w:r>
      <w:r w:rsidR="00201A9A" w:rsidRPr="00201A9A">
        <w:rPr>
          <w:noProof/>
        </w:rPr>
        <w:t xml:space="preserve"> i ryb</w:t>
      </w:r>
      <w:r w:rsidRPr="00201A9A">
        <w:rPr>
          <w:noProof/>
        </w:rPr>
        <w:t xml:space="preserve">ołówstwo </w:t>
      </w:r>
    </w:p>
    <w:p w14:paraId="3B5ED5D3" w14:textId="409A35CE"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Działania na rzecz środowiska</w:t>
      </w:r>
      <w:r w:rsidR="00201A9A" w:rsidRPr="00201A9A">
        <w:rPr>
          <w:noProof/>
        </w:rPr>
        <w:t xml:space="preserve"> i kli</w:t>
      </w:r>
      <w:r w:rsidRPr="00201A9A">
        <w:rPr>
          <w:noProof/>
        </w:rPr>
        <w:t>matu </w:t>
      </w:r>
    </w:p>
    <w:p w14:paraId="403DCB55" w14:textId="3F66849C" w:rsidR="006D3F48" w:rsidRPr="00201A9A" w:rsidRDefault="00DE793C"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Demokracja, kultura</w:t>
      </w:r>
      <w:r w:rsidR="00201A9A" w:rsidRPr="00201A9A">
        <w:rPr>
          <w:noProof/>
        </w:rPr>
        <w:t xml:space="preserve"> i war</w:t>
      </w:r>
      <w:r w:rsidRPr="00201A9A">
        <w:rPr>
          <w:noProof/>
        </w:rPr>
        <w:t>tości UE</w:t>
      </w:r>
    </w:p>
    <w:p w14:paraId="1DAE40E4" w14:textId="77777777" w:rsidR="004A489F" w:rsidRPr="00201A9A" w:rsidRDefault="004A489F" w:rsidP="004A489F">
      <w:pPr>
        <w:pStyle w:val="ManualHeading2"/>
        <w:rPr>
          <w:noProof/>
        </w:rPr>
      </w:pPr>
      <w:bookmarkStart w:id="31" w:name="_Toc514938015"/>
      <w:bookmarkStart w:id="32" w:name="_Toc520485029"/>
      <w:bookmarkStart w:id="33" w:name="_Toc160804571"/>
      <w:bookmarkStart w:id="34" w:name="_Toc167220263"/>
      <w:bookmarkStart w:id="35" w:name="_Toc177548995"/>
      <w:r w:rsidRPr="00201A9A">
        <w:rPr>
          <w:noProof/>
        </w:rPr>
        <w:t>1.3.</w:t>
      </w:r>
      <w:r w:rsidRPr="00201A9A">
        <w:rPr>
          <w:noProof/>
        </w:rPr>
        <w:tab/>
        <w:t>Cele</w:t>
      </w:r>
      <w:bookmarkEnd w:id="31"/>
      <w:bookmarkEnd w:id="32"/>
      <w:bookmarkEnd w:id="33"/>
      <w:bookmarkEnd w:id="34"/>
      <w:bookmarkEnd w:id="35"/>
    </w:p>
    <w:p w14:paraId="40FC2978" w14:textId="77777777" w:rsidR="004A489F" w:rsidRPr="00201A9A" w:rsidRDefault="004A489F" w:rsidP="004A489F">
      <w:pPr>
        <w:pStyle w:val="ManualHeading3"/>
        <w:rPr>
          <w:noProof/>
        </w:rPr>
      </w:pPr>
      <w:bookmarkStart w:id="36" w:name="_Toc514938016"/>
      <w:bookmarkStart w:id="37" w:name="_Toc520485030"/>
      <w:bookmarkStart w:id="38" w:name="_Toc160804572"/>
      <w:bookmarkStart w:id="39" w:name="_Toc167220264"/>
      <w:bookmarkStart w:id="40" w:name="_Toc177548996"/>
      <w:r w:rsidRPr="00201A9A">
        <w:rPr>
          <w:noProof/>
        </w:rPr>
        <w:t>1.3.1.</w:t>
      </w:r>
      <w:r w:rsidRPr="00201A9A">
        <w:rPr>
          <w:noProof/>
        </w:rPr>
        <w:tab/>
        <w:t>Cele ogólne</w:t>
      </w:r>
      <w:bookmarkEnd w:id="36"/>
      <w:bookmarkEnd w:id="37"/>
      <w:bookmarkEnd w:id="38"/>
      <w:bookmarkEnd w:id="39"/>
      <w:bookmarkEnd w:id="40"/>
    </w:p>
    <w:p w14:paraId="24CFB4BD" w14:textId="77777777"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 xml:space="preserve">Celem Funduszu jest: </w:t>
      </w:r>
    </w:p>
    <w:p w14:paraId="4F558FD3" w14:textId="6863FA44"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 zmniejszenie dysproporcji regionalnych</w:t>
      </w:r>
      <w:r w:rsidR="00201A9A" w:rsidRPr="00201A9A">
        <w:rPr>
          <w:noProof/>
        </w:rPr>
        <w:t xml:space="preserve"> w Uni</w:t>
      </w:r>
      <w:r w:rsidRPr="00201A9A">
        <w:rPr>
          <w:noProof/>
        </w:rPr>
        <w:t>i</w:t>
      </w:r>
      <w:r w:rsidR="00201A9A" w:rsidRPr="00201A9A">
        <w:rPr>
          <w:noProof/>
        </w:rPr>
        <w:t xml:space="preserve"> i zac</w:t>
      </w:r>
      <w:r w:rsidRPr="00201A9A">
        <w:rPr>
          <w:noProof/>
        </w:rPr>
        <w:t>ofania regionów najmniej uprzywilejowanych oraz promowanie europejskiej współpracy terytorialnej;</w:t>
      </w:r>
    </w:p>
    <w:p w14:paraId="207B7157" w14:textId="71F1FC2C"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 wspieranie wysokiej jakości zatrudnienia, edukacji</w:t>
      </w:r>
      <w:r w:rsidR="00201A9A" w:rsidRPr="00201A9A">
        <w:rPr>
          <w:noProof/>
        </w:rPr>
        <w:t xml:space="preserve"> i umi</w:t>
      </w:r>
      <w:r w:rsidRPr="00201A9A">
        <w:rPr>
          <w:noProof/>
        </w:rPr>
        <w:t>ejętności oraz włączenia społecznego,</w:t>
      </w:r>
      <w:r w:rsidR="00201A9A" w:rsidRPr="00201A9A">
        <w:rPr>
          <w:noProof/>
        </w:rPr>
        <w:t xml:space="preserve"> a tak</w:t>
      </w:r>
      <w:r w:rsidRPr="00201A9A">
        <w:rPr>
          <w:noProof/>
        </w:rPr>
        <w:t>że przyczynianie się do sprawiedliwej społecznie transformacji</w:t>
      </w:r>
      <w:r w:rsidR="00201A9A" w:rsidRPr="00201A9A">
        <w:rPr>
          <w:noProof/>
        </w:rPr>
        <w:t xml:space="preserve"> w kie</w:t>
      </w:r>
      <w:r w:rsidRPr="00201A9A">
        <w:rPr>
          <w:noProof/>
        </w:rPr>
        <w:t>runku neutralności klimatycznej;</w:t>
      </w:r>
      <w:r w:rsidR="00201A9A" w:rsidRPr="00201A9A">
        <w:rPr>
          <w:noProof/>
        </w:rPr>
        <w:t xml:space="preserve"> </w:t>
      </w:r>
    </w:p>
    <w:p w14:paraId="3AB7C85C" w14:textId="45E858D5"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 wspieranie wdrażania wspólnej polityki rolnej Unii;</w:t>
      </w:r>
      <w:r w:rsidR="00201A9A" w:rsidRPr="00201A9A">
        <w:rPr>
          <w:noProof/>
        </w:rPr>
        <w:t xml:space="preserve"> </w:t>
      </w:r>
    </w:p>
    <w:p w14:paraId="378E3C47" w14:textId="77777777" w:rsidR="004D1848" w:rsidRPr="00201A9A" w:rsidRDefault="004D1848"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 wspieranie wdrażania wspólnej polityki rybołówstwa Unii;</w:t>
      </w:r>
    </w:p>
    <w:p w14:paraId="66AB34E0" w14:textId="42C4C31D"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 ochrona</w:t>
      </w:r>
      <w:r w:rsidR="00201A9A" w:rsidRPr="00201A9A">
        <w:rPr>
          <w:noProof/>
        </w:rPr>
        <w:t xml:space="preserve"> i ugr</w:t>
      </w:r>
      <w:r w:rsidRPr="00201A9A">
        <w:rPr>
          <w:noProof/>
        </w:rPr>
        <w:t>untowanie demokracji</w:t>
      </w:r>
      <w:r w:rsidR="00201A9A" w:rsidRPr="00201A9A">
        <w:rPr>
          <w:noProof/>
        </w:rPr>
        <w:t xml:space="preserve"> w Uni</w:t>
      </w:r>
      <w:r w:rsidRPr="00201A9A">
        <w:rPr>
          <w:noProof/>
        </w:rPr>
        <w:t xml:space="preserve">i oraz przestrzeganie wartości Unii. </w:t>
      </w:r>
    </w:p>
    <w:p w14:paraId="51186159" w14:textId="77777777" w:rsidR="004A489F" w:rsidRPr="00201A9A" w:rsidRDefault="004A489F" w:rsidP="004A489F">
      <w:pPr>
        <w:pStyle w:val="ManualHeading3"/>
        <w:rPr>
          <w:noProof/>
        </w:rPr>
      </w:pPr>
      <w:bookmarkStart w:id="41" w:name="_Toc514938018"/>
      <w:bookmarkStart w:id="42" w:name="_Toc520485031"/>
      <w:bookmarkStart w:id="43" w:name="_Toc160804573"/>
      <w:bookmarkStart w:id="44" w:name="_Toc167220265"/>
      <w:bookmarkStart w:id="45" w:name="_Toc177548997"/>
      <w:r w:rsidRPr="00201A9A">
        <w:rPr>
          <w:noProof/>
        </w:rPr>
        <w:t>1.3.2.</w:t>
      </w:r>
      <w:r w:rsidRPr="00201A9A">
        <w:rPr>
          <w:noProof/>
        </w:rPr>
        <w:tab/>
        <w:t>Cele szczegółowe</w:t>
      </w:r>
      <w:bookmarkEnd w:id="41"/>
      <w:bookmarkEnd w:id="42"/>
      <w:bookmarkEnd w:id="43"/>
      <w:bookmarkEnd w:id="44"/>
      <w:bookmarkEnd w:id="45"/>
    </w:p>
    <w:p w14:paraId="2F5B635B" w14:textId="640571A5"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Cele szczegółowe Funduszu opierają się na pięciu filarach</w:t>
      </w:r>
      <w:r w:rsidR="00201A9A" w:rsidRPr="00201A9A">
        <w:rPr>
          <w:noProof/>
        </w:rPr>
        <w:t xml:space="preserve"> i słu</w:t>
      </w:r>
      <w:r w:rsidRPr="00201A9A">
        <w:rPr>
          <w:noProof/>
        </w:rPr>
        <w:t>żą osiągnięciu trwałego dobrobytu we wszystkich regionach Europy, wspieraniu zdolności obronnych</w:t>
      </w:r>
      <w:r w:rsidR="00201A9A" w:rsidRPr="00201A9A">
        <w:rPr>
          <w:noProof/>
        </w:rPr>
        <w:t xml:space="preserve"> i bez</w:t>
      </w:r>
      <w:r w:rsidRPr="00201A9A">
        <w:rPr>
          <w:noProof/>
        </w:rPr>
        <w:t>pieczeństwa Europy; wspieraniu ludzi oraz umacnianiu społeczeństw Unii</w:t>
      </w:r>
      <w:r w:rsidR="00201A9A" w:rsidRPr="00201A9A">
        <w:rPr>
          <w:noProof/>
        </w:rPr>
        <w:t xml:space="preserve"> i uni</w:t>
      </w:r>
      <w:r w:rsidRPr="00201A9A">
        <w:rPr>
          <w:noProof/>
        </w:rPr>
        <w:t>jnego modelu społecznego; utrzymaniu jakości życia</w:t>
      </w:r>
      <w:r w:rsidR="00201A9A" w:rsidRPr="00201A9A">
        <w:rPr>
          <w:noProof/>
        </w:rPr>
        <w:t xml:space="preserve"> w Uni</w:t>
      </w:r>
      <w:r w:rsidRPr="00201A9A">
        <w:rPr>
          <w:noProof/>
        </w:rPr>
        <w:t>i; oraz ochronie</w:t>
      </w:r>
      <w:r w:rsidR="00201A9A" w:rsidRPr="00201A9A">
        <w:rPr>
          <w:noProof/>
        </w:rPr>
        <w:t xml:space="preserve"> i wsp</w:t>
      </w:r>
      <w:r w:rsidRPr="00201A9A">
        <w:rPr>
          <w:noProof/>
        </w:rPr>
        <w:t>ieraniu praw podstawowych, demokracji</w:t>
      </w:r>
      <w:r w:rsidR="00201A9A" w:rsidRPr="00201A9A">
        <w:rPr>
          <w:noProof/>
        </w:rPr>
        <w:t xml:space="preserve"> i pra</w:t>
      </w:r>
      <w:r w:rsidRPr="00201A9A">
        <w:rPr>
          <w:noProof/>
        </w:rPr>
        <w:t xml:space="preserve">worządności oraz przestrzeganie wartości Unii. </w:t>
      </w:r>
    </w:p>
    <w:p w14:paraId="5FFF7399" w14:textId="365B7CB5" w:rsidR="004A489F" w:rsidRPr="00201A9A" w:rsidRDefault="004A489F" w:rsidP="004A489F">
      <w:pPr>
        <w:pStyle w:val="ManualHeading3"/>
        <w:rPr>
          <w:noProof/>
        </w:rPr>
      </w:pPr>
      <w:bookmarkStart w:id="46" w:name="_Toc514938019"/>
      <w:bookmarkStart w:id="47" w:name="_Toc520485032"/>
      <w:bookmarkStart w:id="48" w:name="_Toc160804574"/>
      <w:bookmarkStart w:id="49" w:name="_Toc167220266"/>
      <w:bookmarkStart w:id="50" w:name="_Toc177548998"/>
      <w:r w:rsidRPr="00201A9A">
        <w:rPr>
          <w:noProof/>
        </w:rPr>
        <w:t>1.3.3.</w:t>
      </w:r>
      <w:r w:rsidRPr="00201A9A">
        <w:rPr>
          <w:noProof/>
        </w:rPr>
        <w:tab/>
        <w:t>Oczekiwane wyniki</w:t>
      </w:r>
      <w:r w:rsidR="00201A9A" w:rsidRPr="00201A9A">
        <w:rPr>
          <w:noProof/>
        </w:rPr>
        <w:t xml:space="preserve"> i wpł</w:t>
      </w:r>
      <w:r w:rsidRPr="00201A9A">
        <w:rPr>
          <w:noProof/>
        </w:rPr>
        <w:t>yw</w:t>
      </w:r>
      <w:bookmarkEnd w:id="46"/>
      <w:bookmarkEnd w:id="47"/>
      <w:bookmarkEnd w:id="48"/>
      <w:bookmarkEnd w:id="49"/>
      <w:bookmarkEnd w:id="50"/>
    </w:p>
    <w:p w14:paraId="660290BE" w14:textId="59210A4D" w:rsidR="004A489F" w:rsidRPr="00201A9A" w:rsidRDefault="007B2694"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Proponowane rozporządzenie określa przepisy finansowe dotyczące wsparcia Unii udzielanego</w:t>
      </w:r>
      <w:r w:rsidR="00201A9A" w:rsidRPr="00201A9A">
        <w:rPr>
          <w:noProof/>
        </w:rPr>
        <w:t xml:space="preserve"> w ram</w:t>
      </w:r>
      <w:r w:rsidRPr="00201A9A">
        <w:rPr>
          <w:noProof/>
        </w:rPr>
        <w:t>ach Europejskiego Funduszu Spójności Gospodarczej, Społecznej</w:t>
      </w:r>
      <w:r w:rsidR="00201A9A" w:rsidRPr="00201A9A">
        <w:rPr>
          <w:noProof/>
        </w:rPr>
        <w:t xml:space="preserve"> i Ter</w:t>
      </w:r>
      <w:r w:rsidRPr="00201A9A">
        <w:rPr>
          <w:noProof/>
        </w:rPr>
        <w:t>ytorialnej, Rolnictwa</w:t>
      </w:r>
      <w:r w:rsidR="00201A9A" w:rsidRPr="00201A9A">
        <w:rPr>
          <w:noProof/>
        </w:rPr>
        <w:t xml:space="preserve"> i Obs</w:t>
      </w:r>
      <w:r w:rsidRPr="00201A9A">
        <w:rPr>
          <w:noProof/>
        </w:rPr>
        <w:t>zarów Wiejskich, Rybołówstwa</w:t>
      </w:r>
      <w:r w:rsidR="00201A9A" w:rsidRPr="00201A9A">
        <w:rPr>
          <w:noProof/>
        </w:rPr>
        <w:t xml:space="preserve"> i Pol</w:t>
      </w:r>
      <w:r w:rsidRPr="00201A9A">
        <w:rPr>
          <w:noProof/>
        </w:rPr>
        <w:t>ityki Morskiej, Dobrobytu</w:t>
      </w:r>
      <w:r w:rsidR="00201A9A" w:rsidRPr="00201A9A">
        <w:rPr>
          <w:noProof/>
        </w:rPr>
        <w:t xml:space="preserve"> i Bez</w:t>
      </w:r>
      <w:r w:rsidRPr="00201A9A">
        <w:rPr>
          <w:noProof/>
        </w:rPr>
        <w:t>pieczeństwa za pośrednictwem planów partnerstwa krajowego</w:t>
      </w:r>
      <w:r w:rsidR="00201A9A" w:rsidRPr="00201A9A">
        <w:rPr>
          <w:noProof/>
        </w:rPr>
        <w:t xml:space="preserve"> i reg</w:t>
      </w:r>
      <w:r w:rsidRPr="00201A9A">
        <w:rPr>
          <w:noProof/>
        </w:rPr>
        <w:t xml:space="preserve">ionalnego („plany”), </w:t>
      </w:r>
      <w:r w:rsidR="00A47BEA" w:rsidRPr="00201A9A">
        <w:rPr>
          <w:noProof/>
        </w:rPr>
        <w:t>P</w:t>
      </w:r>
      <w:r w:rsidRPr="00201A9A">
        <w:rPr>
          <w:noProof/>
        </w:rPr>
        <w:t>lanu Interreg</w:t>
      </w:r>
      <w:r w:rsidR="00201A9A" w:rsidRPr="00201A9A">
        <w:rPr>
          <w:noProof/>
        </w:rPr>
        <w:t xml:space="preserve"> i Ins</w:t>
      </w:r>
      <w:r w:rsidRPr="00201A9A">
        <w:rPr>
          <w:noProof/>
        </w:rPr>
        <w:t>trumentu UE. Przewidziano</w:t>
      </w:r>
      <w:r w:rsidR="00201A9A" w:rsidRPr="00201A9A">
        <w:rPr>
          <w:noProof/>
        </w:rPr>
        <w:t xml:space="preserve"> w nim</w:t>
      </w:r>
      <w:r w:rsidRPr="00201A9A">
        <w:rPr>
          <w:noProof/>
        </w:rPr>
        <w:t xml:space="preserve"> zasoby finansowe na okres programowania 2028–2034. </w:t>
      </w:r>
    </w:p>
    <w:p w14:paraId="0B77B2E7" w14:textId="2E6CFF69"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Ten nowy Fundusz ma na celu wzmocnienie spójności gospodarczej, społecznej</w:t>
      </w:r>
      <w:r w:rsidR="00201A9A" w:rsidRPr="00201A9A">
        <w:rPr>
          <w:noProof/>
        </w:rPr>
        <w:t xml:space="preserve"> i ter</w:t>
      </w:r>
      <w:r w:rsidRPr="00201A9A">
        <w:rPr>
          <w:noProof/>
        </w:rPr>
        <w:t>ytorialnej Unii, wspieranie wdrażania wspólnej polityki rolnej</w:t>
      </w:r>
      <w:r w:rsidR="00201A9A" w:rsidRPr="00201A9A">
        <w:rPr>
          <w:noProof/>
        </w:rPr>
        <w:t xml:space="preserve"> i ryb</w:t>
      </w:r>
      <w:r w:rsidRPr="00201A9A">
        <w:rPr>
          <w:noProof/>
        </w:rPr>
        <w:t>ołówstwa, zwiększenie konkurencyjności Unii, poprawę zarządzania migracją</w:t>
      </w:r>
      <w:r w:rsidR="00201A9A" w:rsidRPr="00201A9A">
        <w:rPr>
          <w:noProof/>
        </w:rPr>
        <w:t xml:space="preserve"> i gra</w:t>
      </w:r>
      <w:r w:rsidRPr="00201A9A">
        <w:rPr>
          <w:noProof/>
        </w:rPr>
        <w:t>nicami oraz zwiększenie obrony</w:t>
      </w:r>
      <w:r w:rsidR="00201A9A" w:rsidRPr="00201A9A">
        <w:rPr>
          <w:noProof/>
        </w:rPr>
        <w:t xml:space="preserve"> i bez</w:t>
      </w:r>
      <w:r w:rsidRPr="00201A9A">
        <w:rPr>
          <w:noProof/>
        </w:rPr>
        <w:t>pieczeństwa oraz ochronę demokracji</w:t>
      </w:r>
      <w:r w:rsidR="00201A9A" w:rsidRPr="00201A9A">
        <w:rPr>
          <w:noProof/>
        </w:rPr>
        <w:t xml:space="preserve"> w Eur</w:t>
      </w:r>
      <w:r w:rsidRPr="00201A9A">
        <w:rPr>
          <w:noProof/>
        </w:rPr>
        <w:t>opie. Przyczyni się on również do realizacji innych przekrojowych priorytetów UE, takich jak ochrona środowiska</w:t>
      </w:r>
      <w:r w:rsidR="00201A9A" w:rsidRPr="00201A9A">
        <w:rPr>
          <w:noProof/>
        </w:rPr>
        <w:t xml:space="preserve"> i wal</w:t>
      </w:r>
      <w:r w:rsidRPr="00201A9A">
        <w:rPr>
          <w:noProof/>
        </w:rPr>
        <w:t>ka ze zmianą klimatu, gotowość, promowanie praworządności</w:t>
      </w:r>
      <w:r w:rsidR="00201A9A" w:rsidRPr="00201A9A">
        <w:rPr>
          <w:noProof/>
        </w:rPr>
        <w:t xml:space="preserve"> i uko</w:t>
      </w:r>
      <w:r w:rsidRPr="00201A9A">
        <w:rPr>
          <w:noProof/>
        </w:rPr>
        <w:t>ńczenie tworzenia jednolitego rynku,</w:t>
      </w:r>
      <w:r w:rsidR="00201A9A" w:rsidRPr="00201A9A">
        <w:rPr>
          <w:noProof/>
        </w:rPr>
        <w:t xml:space="preserve"> w syn</w:t>
      </w:r>
      <w:r w:rsidRPr="00201A9A">
        <w:rPr>
          <w:noProof/>
        </w:rPr>
        <w:t>ergii</w:t>
      </w:r>
      <w:r w:rsidR="00201A9A" w:rsidRPr="00201A9A">
        <w:rPr>
          <w:noProof/>
        </w:rPr>
        <w:t xml:space="preserve"> z inn</w:t>
      </w:r>
      <w:r w:rsidRPr="00201A9A">
        <w:rPr>
          <w:noProof/>
        </w:rPr>
        <w:t xml:space="preserve">ymi programami budżetowymi Unii. </w:t>
      </w:r>
    </w:p>
    <w:p w14:paraId="0A16EE49" w14:textId="39CF0E51"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Wsparcie udzielane</w:t>
      </w:r>
      <w:r w:rsidR="00201A9A" w:rsidRPr="00201A9A">
        <w:rPr>
          <w:noProof/>
        </w:rPr>
        <w:t xml:space="preserve"> w ram</w:t>
      </w:r>
      <w:r w:rsidRPr="00201A9A">
        <w:rPr>
          <w:noProof/>
        </w:rPr>
        <w:t>ach planów partnerstwa krajowego</w:t>
      </w:r>
      <w:r w:rsidR="00201A9A" w:rsidRPr="00201A9A">
        <w:rPr>
          <w:noProof/>
        </w:rPr>
        <w:t xml:space="preserve"> i reg</w:t>
      </w:r>
      <w:r w:rsidRPr="00201A9A">
        <w:rPr>
          <w:noProof/>
        </w:rPr>
        <w:t>ionalnego będzie dostosowane do lokalnych potrzeb</w:t>
      </w:r>
      <w:r w:rsidR="00201A9A" w:rsidRPr="00201A9A">
        <w:rPr>
          <w:noProof/>
        </w:rPr>
        <w:t xml:space="preserve"> i kon</w:t>
      </w:r>
      <w:r w:rsidRPr="00201A9A">
        <w:rPr>
          <w:noProof/>
        </w:rPr>
        <w:t>tekstów, przy jednoczesnym zapewnieniu zgodności</w:t>
      </w:r>
      <w:r w:rsidR="00201A9A" w:rsidRPr="00201A9A">
        <w:rPr>
          <w:noProof/>
        </w:rPr>
        <w:t xml:space="preserve"> z pri</w:t>
      </w:r>
      <w:r w:rsidRPr="00201A9A">
        <w:rPr>
          <w:noProof/>
        </w:rPr>
        <w:t>orytetami UE. Oczekuje się, że dzięki dostosowaniu do innych polityk</w:t>
      </w:r>
      <w:r w:rsidR="00201A9A" w:rsidRPr="00201A9A">
        <w:rPr>
          <w:noProof/>
        </w:rPr>
        <w:t xml:space="preserve"> i uła</w:t>
      </w:r>
      <w:r w:rsidRPr="00201A9A">
        <w:rPr>
          <w:noProof/>
        </w:rPr>
        <w:t>twieniu osiągnięcia celów wszystkim beneficjentom polityka spójności, rolnictwo, sprawy wewnętrzne</w:t>
      </w:r>
      <w:r w:rsidR="00201A9A" w:rsidRPr="00201A9A">
        <w:rPr>
          <w:noProof/>
        </w:rPr>
        <w:t xml:space="preserve"> i pol</w:t>
      </w:r>
      <w:r w:rsidRPr="00201A9A">
        <w:rPr>
          <w:noProof/>
        </w:rPr>
        <w:t>ityka społeczna staną się bardziej skuteczne</w:t>
      </w:r>
      <w:r w:rsidR="00201A9A" w:rsidRPr="00201A9A">
        <w:rPr>
          <w:noProof/>
        </w:rPr>
        <w:t xml:space="preserve"> i odp</w:t>
      </w:r>
      <w:r w:rsidRPr="00201A9A">
        <w:rPr>
          <w:noProof/>
        </w:rPr>
        <w:t>orne.</w:t>
      </w:r>
      <w:r w:rsidR="00201A9A" w:rsidRPr="00201A9A">
        <w:rPr>
          <w:noProof/>
        </w:rPr>
        <w:t xml:space="preserve"> </w:t>
      </w:r>
    </w:p>
    <w:p w14:paraId="2CC019FF" w14:textId="4CD2A9B8"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Dzięki jednolitemu zbiorowi przepisów</w:t>
      </w:r>
      <w:r w:rsidR="00201A9A" w:rsidRPr="00201A9A">
        <w:rPr>
          <w:noProof/>
        </w:rPr>
        <w:t xml:space="preserve"> i ogr</w:t>
      </w:r>
      <w:r w:rsidRPr="00201A9A">
        <w:rPr>
          <w:noProof/>
        </w:rPr>
        <w:t>aniczonej liczbie dokumentów programowych celem Funduszu jest znaczne uproszczenie procedur</w:t>
      </w:r>
      <w:r w:rsidR="00201A9A" w:rsidRPr="00201A9A">
        <w:rPr>
          <w:noProof/>
        </w:rPr>
        <w:t xml:space="preserve"> i zmn</w:t>
      </w:r>
      <w:r w:rsidRPr="00201A9A">
        <w:rPr>
          <w:noProof/>
        </w:rPr>
        <w:t>iejszenie obciążeń administracyjnych dla beneficjentów, państw członkowskich</w:t>
      </w:r>
      <w:r w:rsidR="00201A9A" w:rsidRPr="00201A9A">
        <w:rPr>
          <w:noProof/>
        </w:rPr>
        <w:t xml:space="preserve"> i Kom</w:t>
      </w:r>
      <w:r w:rsidRPr="00201A9A">
        <w:rPr>
          <w:noProof/>
        </w:rPr>
        <w:t>isji, przy jednoczesnym zapewnieniu solidnych zabezpieczeń</w:t>
      </w:r>
      <w:r w:rsidR="00201A9A" w:rsidRPr="00201A9A">
        <w:rPr>
          <w:noProof/>
        </w:rPr>
        <w:t xml:space="preserve"> w zak</w:t>
      </w:r>
      <w:r w:rsidRPr="00201A9A">
        <w:rPr>
          <w:noProof/>
        </w:rPr>
        <w:t>resie prawidłowego</w:t>
      </w:r>
      <w:r w:rsidR="00201A9A" w:rsidRPr="00201A9A">
        <w:rPr>
          <w:noProof/>
        </w:rPr>
        <w:t xml:space="preserve"> i sku</w:t>
      </w:r>
      <w:r w:rsidRPr="00201A9A">
        <w:rPr>
          <w:noProof/>
        </w:rPr>
        <w:t>tecznego wykorzystania funduszy UE.</w:t>
      </w:r>
      <w:r w:rsidR="00201A9A" w:rsidRPr="00201A9A">
        <w:rPr>
          <w:noProof/>
        </w:rPr>
        <w:t xml:space="preserve"> </w:t>
      </w:r>
    </w:p>
    <w:p w14:paraId="60B21D4F" w14:textId="4036D3B7"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Realizacja oparta na celach oraz połączenie wzajemnie wspierających się inwestycji</w:t>
      </w:r>
      <w:r w:rsidR="00201A9A" w:rsidRPr="00201A9A">
        <w:rPr>
          <w:noProof/>
        </w:rPr>
        <w:t xml:space="preserve"> i ref</w:t>
      </w:r>
      <w:r w:rsidRPr="00201A9A">
        <w:rPr>
          <w:noProof/>
        </w:rPr>
        <w:t>orm przyniosą większy wpływ</w:t>
      </w:r>
      <w:r w:rsidR="00201A9A" w:rsidRPr="00201A9A">
        <w:rPr>
          <w:noProof/>
        </w:rPr>
        <w:t xml:space="preserve"> i lep</w:t>
      </w:r>
      <w:r w:rsidRPr="00201A9A">
        <w:rPr>
          <w:noProof/>
        </w:rPr>
        <w:t>sze wykorzystanie środków. Płatności będą uzależnione od osiągnięcia wcześniej uzgodnionych celów, co powinno zapewnić bardziej efektywne</w:t>
      </w:r>
      <w:r w:rsidR="00201A9A" w:rsidRPr="00201A9A">
        <w:rPr>
          <w:noProof/>
        </w:rPr>
        <w:t xml:space="preserve"> i szy</w:t>
      </w:r>
      <w:r w:rsidRPr="00201A9A">
        <w:rPr>
          <w:noProof/>
        </w:rPr>
        <w:t xml:space="preserve">bsze przekazywanie środków finansowych oraz osiąganie wyników. </w:t>
      </w:r>
    </w:p>
    <w:p w14:paraId="2C1B3917" w14:textId="6289E7ED"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W planach zostaną uwzględnione środki ułatwiające wdrażanie – czy to</w:t>
      </w:r>
      <w:r w:rsidR="00201A9A" w:rsidRPr="00201A9A">
        <w:rPr>
          <w:noProof/>
        </w:rPr>
        <w:t xml:space="preserve"> w prz</w:t>
      </w:r>
      <w:r w:rsidRPr="00201A9A">
        <w:rPr>
          <w:noProof/>
        </w:rPr>
        <w:t>episach dotyczących ich opracowywania, wdrażania czy monitorowania. Fundusz zapewni również wystarczającą elastyczność, na przykład poprzez stopniowe przydzielanie środków</w:t>
      </w:r>
      <w:r w:rsidR="00201A9A" w:rsidRPr="00201A9A">
        <w:rPr>
          <w:noProof/>
        </w:rPr>
        <w:t xml:space="preserve"> i lep</w:t>
      </w:r>
      <w:r w:rsidRPr="00201A9A">
        <w:rPr>
          <w:noProof/>
        </w:rPr>
        <w:t>szą zdolność reagowania na nieprzewidziane kryzysy,</w:t>
      </w:r>
      <w:r w:rsidR="00201A9A" w:rsidRPr="00201A9A">
        <w:rPr>
          <w:noProof/>
        </w:rPr>
        <w:t xml:space="preserve"> w szc</w:t>
      </w:r>
      <w:r w:rsidRPr="00201A9A">
        <w:rPr>
          <w:noProof/>
        </w:rPr>
        <w:t xml:space="preserve">zególności za pośrednictwem Instrumentu UE. </w:t>
      </w:r>
    </w:p>
    <w:p w14:paraId="2B69F595" w14:textId="77777777" w:rsidR="004A489F" w:rsidRPr="00201A9A" w:rsidRDefault="004A489F" w:rsidP="004A489F">
      <w:pPr>
        <w:pStyle w:val="ManualHeading3"/>
        <w:rPr>
          <w:noProof/>
        </w:rPr>
      </w:pPr>
      <w:bookmarkStart w:id="51" w:name="_Toc514938023"/>
      <w:bookmarkStart w:id="52" w:name="_Toc520485033"/>
      <w:bookmarkStart w:id="53" w:name="_Toc160804575"/>
      <w:bookmarkStart w:id="54" w:name="_Toc167220267"/>
      <w:bookmarkStart w:id="55" w:name="_Toc177548999"/>
      <w:r w:rsidRPr="00201A9A">
        <w:rPr>
          <w:noProof/>
        </w:rPr>
        <w:t>1.3.4.</w:t>
      </w:r>
      <w:r w:rsidRPr="00201A9A">
        <w:rPr>
          <w:noProof/>
        </w:rPr>
        <w:tab/>
        <w:t>Wskaźniki dotyczące realizacji celów</w:t>
      </w:r>
      <w:bookmarkEnd w:id="51"/>
      <w:bookmarkEnd w:id="52"/>
      <w:bookmarkEnd w:id="53"/>
      <w:bookmarkEnd w:id="54"/>
      <w:bookmarkEnd w:id="55"/>
    </w:p>
    <w:p w14:paraId="1AFF20E2" w14:textId="150DC72C"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Wskaźniki produktu</w:t>
      </w:r>
      <w:r w:rsidR="00201A9A" w:rsidRPr="00201A9A">
        <w:rPr>
          <w:noProof/>
        </w:rPr>
        <w:t xml:space="preserve"> i rez</w:t>
      </w:r>
      <w:r w:rsidRPr="00201A9A">
        <w:rPr>
          <w:noProof/>
        </w:rPr>
        <w:t>ultatu do celów monitorowania postępów</w:t>
      </w:r>
      <w:r w:rsidR="00201A9A" w:rsidRPr="00201A9A">
        <w:rPr>
          <w:noProof/>
        </w:rPr>
        <w:t xml:space="preserve"> i osi</w:t>
      </w:r>
      <w:r w:rsidRPr="00201A9A">
        <w:rPr>
          <w:noProof/>
        </w:rPr>
        <w:t>ągnięć niniejszego programu będą odpowiadać wspólnym wskaźnikom przewidzianym</w:t>
      </w:r>
      <w:r w:rsidR="00201A9A" w:rsidRPr="00201A9A">
        <w:rPr>
          <w:noProof/>
        </w:rPr>
        <w:t xml:space="preserve"> w roz</w:t>
      </w:r>
      <w:r w:rsidRPr="00201A9A">
        <w:rPr>
          <w:noProof/>
        </w:rPr>
        <w:t>porządzeniu (UE, Euratom) 202X/XXXX [rozporządzenie</w:t>
      </w:r>
      <w:r w:rsidR="00201A9A" w:rsidRPr="00201A9A">
        <w:rPr>
          <w:noProof/>
        </w:rPr>
        <w:t xml:space="preserve"> w spr</w:t>
      </w:r>
      <w:r w:rsidRPr="00201A9A">
        <w:rPr>
          <w:noProof/>
        </w:rPr>
        <w:t>awie wykonania], którego dotyczy wniosek przedstawiany równolegle</w:t>
      </w:r>
      <w:r w:rsidR="00201A9A" w:rsidRPr="00201A9A">
        <w:rPr>
          <w:noProof/>
        </w:rPr>
        <w:t xml:space="preserve"> z wni</w:t>
      </w:r>
      <w:r w:rsidRPr="00201A9A">
        <w:rPr>
          <w:noProof/>
        </w:rPr>
        <w:t>oskiem dotyczącym niniejszego rozporządzenia. </w:t>
      </w:r>
    </w:p>
    <w:p w14:paraId="489D4A14" w14:textId="77777777" w:rsidR="004A489F" w:rsidRPr="00201A9A" w:rsidRDefault="004A489F" w:rsidP="004A489F">
      <w:pPr>
        <w:pStyle w:val="ManualHeading2"/>
        <w:ind w:left="0" w:firstLine="0"/>
        <w:rPr>
          <w:noProof/>
        </w:rPr>
      </w:pPr>
      <w:bookmarkStart w:id="56" w:name="_Toc177549000"/>
      <w:r w:rsidRPr="00201A9A">
        <w:rPr>
          <w:noProof/>
        </w:rPr>
        <w:t>1.4.</w:t>
      </w:r>
      <w:r w:rsidRPr="00201A9A">
        <w:rPr>
          <w:noProof/>
        </w:rPr>
        <w:tab/>
        <w:t>Wniosek/inicjatywa dotyczy:</w:t>
      </w:r>
      <w:bookmarkEnd w:id="56"/>
      <w:r w:rsidRPr="00201A9A">
        <w:rPr>
          <w:noProof/>
        </w:rPr>
        <w:t xml:space="preserve"> </w:t>
      </w:r>
    </w:p>
    <w:p w14:paraId="552FC226" w14:textId="77777777" w:rsidR="004A489F" w:rsidRPr="00201A9A" w:rsidRDefault="004A489F" w:rsidP="004A489F">
      <w:pPr>
        <w:pStyle w:val="Text1"/>
        <w:rPr>
          <w:noProof/>
          <w:sz w:val="22"/>
        </w:rPr>
      </w:pPr>
      <w:r w:rsidRPr="00201A9A">
        <w:rPr>
          <w:rFonts w:ascii="Wingdings" w:hAnsi="Wingdings"/>
          <w:noProof/>
          <w:sz w:val="22"/>
        </w:rPr>
        <w:t></w:t>
      </w:r>
      <w:r w:rsidRPr="00201A9A">
        <w:rPr>
          <w:i/>
          <w:noProof/>
          <w:sz w:val="22"/>
        </w:rPr>
        <w:t xml:space="preserve"> </w:t>
      </w:r>
      <w:r w:rsidRPr="00201A9A">
        <w:rPr>
          <w:noProof/>
        </w:rPr>
        <w:t>nowego działania</w:t>
      </w:r>
      <w:r w:rsidRPr="00201A9A">
        <w:rPr>
          <w:noProof/>
          <w:sz w:val="22"/>
        </w:rPr>
        <w:t xml:space="preserve"> </w:t>
      </w:r>
    </w:p>
    <w:p w14:paraId="24380053" w14:textId="77777777" w:rsidR="004A489F" w:rsidRPr="00201A9A" w:rsidRDefault="004A489F" w:rsidP="004A489F">
      <w:pPr>
        <w:pStyle w:val="Text1"/>
        <w:rPr>
          <w:noProof/>
          <w:sz w:val="22"/>
        </w:rPr>
      </w:pPr>
      <w:r w:rsidRPr="00201A9A">
        <w:rPr>
          <w:rFonts w:ascii="Wingdings" w:hAnsi="Wingdings"/>
          <w:noProof/>
          <w:sz w:val="22"/>
        </w:rPr>
        <w:t></w:t>
      </w:r>
      <w:r w:rsidRPr="00201A9A">
        <w:rPr>
          <w:i/>
          <w:noProof/>
          <w:sz w:val="22"/>
        </w:rPr>
        <w:t xml:space="preserve"> </w:t>
      </w:r>
      <w:r w:rsidRPr="00201A9A">
        <w:rPr>
          <w:noProof/>
        </w:rPr>
        <w:t>nowego działania, będącego następstwem projektu pilotażowego/działania przygotowawczego</w:t>
      </w:r>
      <w:r w:rsidRPr="00201A9A">
        <w:rPr>
          <w:rStyle w:val="FootnoteReference"/>
          <w:noProof/>
        </w:rPr>
        <w:footnoteReference w:id="31"/>
      </w:r>
      <w:r w:rsidRPr="00201A9A">
        <w:rPr>
          <w:noProof/>
          <w:sz w:val="22"/>
        </w:rPr>
        <w:t xml:space="preserve"> </w:t>
      </w:r>
    </w:p>
    <w:p w14:paraId="137145CC" w14:textId="77777777" w:rsidR="004A489F" w:rsidRPr="00201A9A" w:rsidRDefault="004A489F" w:rsidP="004A489F">
      <w:pPr>
        <w:pStyle w:val="Text1"/>
        <w:rPr>
          <w:noProof/>
          <w:sz w:val="22"/>
        </w:rPr>
      </w:pPr>
      <w:r w:rsidRPr="00201A9A">
        <w:rPr>
          <w:rFonts w:ascii="Wingdings" w:hAnsi="Wingdings"/>
          <w:noProof/>
          <w:sz w:val="22"/>
        </w:rPr>
        <w:t></w:t>
      </w:r>
      <w:r w:rsidRPr="00201A9A">
        <w:rPr>
          <w:i/>
          <w:noProof/>
          <w:sz w:val="22"/>
        </w:rPr>
        <w:t xml:space="preserve"> </w:t>
      </w:r>
      <w:r w:rsidRPr="00201A9A">
        <w:rPr>
          <w:noProof/>
        </w:rPr>
        <w:t>przedłużenia bieżącego działania</w:t>
      </w:r>
      <w:r w:rsidRPr="00201A9A">
        <w:rPr>
          <w:noProof/>
          <w:sz w:val="22"/>
        </w:rPr>
        <w:t xml:space="preserve"> </w:t>
      </w:r>
    </w:p>
    <w:p w14:paraId="7B8F6E2F" w14:textId="77777777" w:rsidR="004A489F" w:rsidRPr="00201A9A" w:rsidRDefault="004A489F" w:rsidP="004A489F">
      <w:pPr>
        <w:pStyle w:val="Text1"/>
        <w:rPr>
          <w:noProof/>
        </w:rPr>
      </w:pPr>
      <w:r w:rsidRPr="00201A9A">
        <w:rPr>
          <w:rFonts w:ascii="Wingdings" w:hAnsi="Wingdings"/>
          <w:noProof/>
          <w:sz w:val="22"/>
        </w:rPr>
        <w:t></w:t>
      </w:r>
      <w:r w:rsidRPr="00201A9A">
        <w:rPr>
          <w:i/>
          <w:noProof/>
          <w:sz w:val="22"/>
        </w:rPr>
        <w:t xml:space="preserve"> </w:t>
      </w:r>
      <w:r w:rsidRPr="00201A9A">
        <w:rPr>
          <w:noProof/>
        </w:rPr>
        <w:t>połączenia lub przekształcenia co najmniej jednego działania pod kątem innego/nowego działania</w:t>
      </w:r>
    </w:p>
    <w:p w14:paraId="4883016D" w14:textId="77777777" w:rsidR="004A489F" w:rsidRPr="00201A9A" w:rsidRDefault="004A489F" w:rsidP="004A489F">
      <w:pPr>
        <w:pStyle w:val="ManualHeading2"/>
        <w:rPr>
          <w:bCs/>
          <w:noProof/>
          <w:szCs w:val="24"/>
        </w:rPr>
      </w:pPr>
      <w:bookmarkStart w:id="57" w:name="_Toc514938025"/>
      <w:bookmarkStart w:id="58" w:name="_Toc520485034"/>
      <w:bookmarkStart w:id="59" w:name="_Toc160804576"/>
      <w:bookmarkStart w:id="60" w:name="_Toc167220268"/>
      <w:bookmarkStart w:id="61" w:name="_Toc177549001"/>
      <w:r w:rsidRPr="00201A9A">
        <w:rPr>
          <w:noProof/>
        </w:rPr>
        <w:t>1.5.</w:t>
      </w:r>
      <w:r w:rsidRPr="00201A9A">
        <w:rPr>
          <w:noProof/>
        </w:rPr>
        <w:tab/>
        <w:t>Uzasadnienie wniosku/inicjatywy</w:t>
      </w:r>
      <w:bookmarkEnd w:id="57"/>
      <w:bookmarkEnd w:id="58"/>
      <w:bookmarkEnd w:id="59"/>
      <w:bookmarkEnd w:id="60"/>
      <w:bookmarkEnd w:id="61"/>
      <w:r w:rsidRPr="00201A9A">
        <w:rPr>
          <w:noProof/>
        </w:rPr>
        <w:t xml:space="preserve"> </w:t>
      </w:r>
    </w:p>
    <w:p w14:paraId="64DA9247" w14:textId="44464472" w:rsidR="004A489F" w:rsidRPr="00201A9A" w:rsidRDefault="004A489F" w:rsidP="004A489F">
      <w:pPr>
        <w:pStyle w:val="ManualHeading3"/>
        <w:rPr>
          <w:noProof/>
        </w:rPr>
      </w:pPr>
      <w:bookmarkStart w:id="62" w:name="_Toc514938026"/>
      <w:bookmarkStart w:id="63" w:name="_Toc520485035"/>
      <w:bookmarkStart w:id="64" w:name="_Toc160804577"/>
      <w:bookmarkStart w:id="65" w:name="_Toc167220269"/>
      <w:bookmarkStart w:id="66" w:name="_Toc177549002"/>
      <w:r w:rsidRPr="00201A9A">
        <w:rPr>
          <w:noProof/>
        </w:rPr>
        <w:t>1.5.1.</w:t>
      </w:r>
      <w:r w:rsidRPr="00201A9A">
        <w:rPr>
          <w:noProof/>
        </w:rPr>
        <w:tab/>
        <w:t>Potrzeby, które należy zaspokoić</w:t>
      </w:r>
      <w:r w:rsidR="00201A9A" w:rsidRPr="00201A9A">
        <w:rPr>
          <w:noProof/>
        </w:rPr>
        <w:t xml:space="preserve"> w per</w:t>
      </w:r>
      <w:r w:rsidRPr="00201A9A">
        <w:rPr>
          <w:noProof/>
        </w:rPr>
        <w:t>spektywie krótko- lub długoterminowej,</w:t>
      </w:r>
      <w:r w:rsidR="00201A9A" w:rsidRPr="00201A9A">
        <w:rPr>
          <w:noProof/>
        </w:rPr>
        <w:t xml:space="preserve"> w tym</w:t>
      </w:r>
      <w:r w:rsidRPr="00201A9A">
        <w:rPr>
          <w:noProof/>
        </w:rPr>
        <w:t xml:space="preserve"> szczegółowy terminarz przebiegu realizacji inicjatywy</w:t>
      </w:r>
      <w:bookmarkEnd w:id="62"/>
      <w:bookmarkEnd w:id="63"/>
      <w:bookmarkEnd w:id="64"/>
      <w:bookmarkEnd w:id="65"/>
      <w:bookmarkEnd w:id="66"/>
    </w:p>
    <w:p w14:paraId="302AAC46" w14:textId="57603E6D"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Fundusz ma zastosowanie od</w:t>
      </w:r>
      <w:r w:rsidR="00201A9A" w:rsidRPr="00201A9A">
        <w:rPr>
          <w:noProof/>
        </w:rPr>
        <w:t> </w:t>
      </w:r>
      <w:r w:rsidRPr="00201A9A">
        <w:rPr>
          <w:noProof/>
        </w:rPr>
        <w:t>2028</w:t>
      </w:r>
      <w:r w:rsidR="00201A9A" w:rsidRPr="00201A9A">
        <w:rPr>
          <w:noProof/>
        </w:rPr>
        <w:t> </w:t>
      </w:r>
      <w:r w:rsidRPr="00201A9A">
        <w:rPr>
          <w:noProof/>
        </w:rPr>
        <w:t>r. przez cały okres obowiązywania wieloletnich ram finansowych.</w:t>
      </w:r>
      <w:r w:rsidR="00201A9A" w:rsidRPr="00201A9A">
        <w:rPr>
          <w:noProof/>
        </w:rPr>
        <w:t xml:space="preserve"> </w:t>
      </w:r>
    </w:p>
    <w:p w14:paraId="701FC448" w14:textId="70C339A6"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Państwa członkowskie zaprogramują swoje alokacje budżetowe zgodnie</w:t>
      </w:r>
      <w:r w:rsidR="00201A9A" w:rsidRPr="00201A9A">
        <w:rPr>
          <w:noProof/>
        </w:rPr>
        <w:t xml:space="preserve"> z wym</w:t>
      </w:r>
      <w:r w:rsidRPr="00201A9A">
        <w:rPr>
          <w:noProof/>
        </w:rPr>
        <w:t>ogami określonymi</w:t>
      </w:r>
      <w:r w:rsidR="00201A9A" w:rsidRPr="00201A9A">
        <w:rPr>
          <w:noProof/>
        </w:rPr>
        <w:t xml:space="preserve"> w roz</w:t>
      </w:r>
      <w:r w:rsidRPr="00201A9A">
        <w:rPr>
          <w:noProof/>
        </w:rPr>
        <w:t>porządzeniu, uwzględniając</w:t>
      </w:r>
      <w:r w:rsidR="00201A9A" w:rsidRPr="00201A9A">
        <w:rPr>
          <w:noProof/>
        </w:rPr>
        <w:t xml:space="preserve"> w szc</w:t>
      </w:r>
      <w:r w:rsidRPr="00201A9A">
        <w:rPr>
          <w:noProof/>
        </w:rPr>
        <w:t>zególności odpowiednie wyzwania krajowe określone między innymi</w:t>
      </w:r>
      <w:r w:rsidR="00201A9A" w:rsidRPr="00201A9A">
        <w:rPr>
          <w:noProof/>
        </w:rPr>
        <w:t xml:space="preserve"> w kon</w:t>
      </w:r>
      <w:r w:rsidRPr="00201A9A">
        <w:rPr>
          <w:noProof/>
        </w:rPr>
        <w:t>tekście europejskiego semestru</w:t>
      </w:r>
      <w:r w:rsidR="00201A9A" w:rsidRPr="00201A9A">
        <w:rPr>
          <w:noProof/>
        </w:rPr>
        <w:t xml:space="preserve"> i inn</w:t>
      </w:r>
      <w:r w:rsidRPr="00201A9A">
        <w:rPr>
          <w:noProof/>
        </w:rPr>
        <w:t>ych odpowiednich dokumentów oficjalnie przyjętych</w:t>
      </w:r>
      <w:r w:rsidR="00201A9A" w:rsidRPr="00201A9A">
        <w:rPr>
          <w:noProof/>
        </w:rPr>
        <w:t xml:space="preserve"> w zwi</w:t>
      </w:r>
      <w:r w:rsidRPr="00201A9A">
        <w:rPr>
          <w:noProof/>
        </w:rPr>
        <w:t>ązku</w:t>
      </w:r>
      <w:r w:rsidR="00201A9A" w:rsidRPr="00201A9A">
        <w:rPr>
          <w:noProof/>
        </w:rPr>
        <w:t xml:space="preserve"> z cel</w:t>
      </w:r>
      <w:r w:rsidRPr="00201A9A">
        <w:rPr>
          <w:noProof/>
        </w:rPr>
        <w:t>ami wspieranymi</w:t>
      </w:r>
      <w:r w:rsidR="00201A9A" w:rsidRPr="00201A9A">
        <w:rPr>
          <w:noProof/>
        </w:rPr>
        <w:t xml:space="preserve"> w ram</w:t>
      </w:r>
      <w:r w:rsidRPr="00201A9A">
        <w:rPr>
          <w:noProof/>
        </w:rPr>
        <w:t>ach Funduszu.</w:t>
      </w:r>
      <w:r w:rsidR="00201A9A" w:rsidRPr="00201A9A">
        <w:rPr>
          <w:noProof/>
        </w:rPr>
        <w:t xml:space="preserve"> </w:t>
      </w:r>
    </w:p>
    <w:p w14:paraId="0DB9E99B" w14:textId="796C516A"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Nowy okres programowania rozpocznie się</w:t>
      </w:r>
      <w:r w:rsidR="00201A9A" w:rsidRPr="00201A9A">
        <w:rPr>
          <w:noProof/>
        </w:rPr>
        <w:t> </w:t>
      </w:r>
      <w:r w:rsidRPr="00201A9A">
        <w:rPr>
          <w:noProof/>
        </w:rPr>
        <w:t>1 stycznia 2028</w:t>
      </w:r>
      <w:r w:rsidR="00201A9A" w:rsidRPr="00201A9A">
        <w:rPr>
          <w:noProof/>
        </w:rPr>
        <w:t> </w:t>
      </w:r>
      <w:r w:rsidRPr="00201A9A">
        <w:rPr>
          <w:noProof/>
        </w:rPr>
        <w:t>r.,</w:t>
      </w:r>
      <w:r w:rsidR="00201A9A" w:rsidRPr="00201A9A">
        <w:rPr>
          <w:noProof/>
        </w:rPr>
        <w:t xml:space="preserve"> a pań</w:t>
      </w:r>
      <w:r w:rsidRPr="00201A9A">
        <w:rPr>
          <w:noProof/>
        </w:rPr>
        <w:t>stwa członkowskie mają przedłożyć swój pierwotny plan do dnia 31 stycznia 2028</w:t>
      </w:r>
      <w:r w:rsidR="00201A9A" w:rsidRPr="00201A9A">
        <w:rPr>
          <w:noProof/>
        </w:rPr>
        <w:t> </w:t>
      </w:r>
      <w:r w:rsidRPr="00201A9A">
        <w:rPr>
          <w:noProof/>
        </w:rPr>
        <w:t>r., aby zapewnić terminowe uruchomienie nowego okresu programowania. </w:t>
      </w:r>
    </w:p>
    <w:p w14:paraId="3043A511" w14:textId="02EC7830"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Wdrażanie</w:t>
      </w:r>
      <w:r w:rsidR="00201A9A" w:rsidRPr="00201A9A">
        <w:rPr>
          <w:noProof/>
        </w:rPr>
        <w:t xml:space="preserve"> w ram</w:t>
      </w:r>
      <w:r w:rsidRPr="00201A9A">
        <w:rPr>
          <w:noProof/>
        </w:rPr>
        <w:t>ach zarządzania bezpośredniego</w:t>
      </w:r>
      <w:r w:rsidR="00201A9A" w:rsidRPr="00201A9A">
        <w:rPr>
          <w:noProof/>
        </w:rPr>
        <w:t xml:space="preserve"> w zak</w:t>
      </w:r>
      <w:r w:rsidRPr="00201A9A">
        <w:rPr>
          <w:noProof/>
        </w:rPr>
        <w:t>resie Instrumentu UE rozpocznie się również natychmiast po wejściu programu</w:t>
      </w:r>
      <w:r w:rsidR="00201A9A" w:rsidRPr="00201A9A">
        <w:rPr>
          <w:noProof/>
        </w:rPr>
        <w:t xml:space="preserve"> w życ</w:t>
      </w:r>
      <w:r w:rsidRPr="00201A9A">
        <w:rPr>
          <w:noProof/>
        </w:rPr>
        <w:t>ie. </w:t>
      </w:r>
    </w:p>
    <w:p w14:paraId="2E205B23" w14:textId="0B41B305" w:rsidR="004A489F" w:rsidRPr="00201A9A" w:rsidRDefault="004A489F" w:rsidP="004A489F">
      <w:pPr>
        <w:pStyle w:val="ManualHeading3"/>
        <w:rPr>
          <w:bCs/>
          <w:noProof/>
          <w:szCs w:val="24"/>
        </w:rPr>
      </w:pPr>
      <w:bookmarkStart w:id="67" w:name="_Toc514938029"/>
      <w:bookmarkStart w:id="68" w:name="_Toc520485036"/>
      <w:bookmarkStart w:id="69" w:name="_Toc160804578"/>
      <w:bookmarkStart w:id="70" w:name="_Toc167220270"/>
      <w:bookmarkStart w:id="71" w:name="_Toc177549003"/>
      <w:r w:rsidRPr="00201A9A">
        <w:rPr>
          <w:noProof/>
        </w:rPr>
        <w:t>1.5.2.</w:t>
      </w:r>
      <w:r w:rsidRPr="00201A9A">
        <w:rPr>
          <w:noProof/>
        </w:rPr>
        <w:tab/>
        <w:t>Wartość dodana</w:t>
      </w:r>
      <w:r w:rsidR="00201A9A" w:rsidRPr="00201A9A">
        <w:rPr>
          <w:noProof/>
        </w:rPr>
        <w:t xml:space="preserve"> z tyt</w:t>
      </w:r>
      <w:r w:rsidRPr="00201A9A">
        <w:rPr>
          <w:noProof/>
        </w:rPr>
        <w:t>ułu zaangażowania Unii Europejskiej (może wynikać</w:t>
      </w:r>
      <w:r w:rsidR="00201A9A" w:rsidRPr="00201A9A">
        <w:rPr>
          <w:noProof/>
        </w:rPr>
        <w:t xml:space="preserve"> z róż</w:t>
      </w:r>
      <w:r w:rsidRPr="00201A9A">
        <w:rPr>
          <w:noProof/>
        </w:rPr>
        <w:t>nych czynników, na przykład korzyści koordynacyjnych, pewności prawa, większej efektywności lub komplementarności). Na potrzeby tej sekcji „wartość dodaną</w:t>
      </w:r>
      <w:r w:rsidR="00201A9A" w:rsidRPr="00201A9A">
        <w:rPr>
          <w:noProof/>
        </w:rPr>
        <w:t xml:space="preserve"> z tyt</w:t>
      </w:r>
      <w:r w:rsidRPr="00201A9A">
        <w:rPr>
          <w:noProof/>
        </w:rPr>
        <w:t>ułu zaangażowania Unii Europejskiej” należy rozumieć jako wartość wynikającą</w:t>
      </w:r>
      <w:r w:rsidR="00201A9A" w:rsidRPr="00201A9A">
        <w:rPr>
          <w:noProof/>
        </w:rPr>
        <w:t xml:space="preserve"> z uni</w:t>
      </w:r>
      <w:r w:rsidRPr="00201A9A">
        <w:rPr>
          <w:noProof/>
        </w:rPr>
        <w:t>jnej interwencji, wykraczającą poza wartość, która zostałaby wytworzona przez same państwa członkowskie.</w:t>
      </w:r>
      <w:bookmarkEnd w:id="67"/>
      <w:bookmarkEnd w:id="68"/>
      <w:bookmarkEnd w:id="69"/>
      <w:bookmarkEnd w:id="70"/>
      <w:bookmarkEnd w:id="71"/>
    </w:p>
    <w:p w14:paraId="2A551F04" w14:textId="0994840F"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u w:val="single"/>
        </w:rPr>
        <w:t>Przyczyny działania na poziomie europejskim (ex ante):</w:t>
      </w:r>
      <w:r w:rsidRPr="00201A9A">
        <w:rPr>
          <w:noProof/>
        </w:rPr>
        <w:t xml:space="preserve"> Unijna wartość dodana powstaje dzięki zapewnianiu inwestycji</w:t>
      </w:r>
      <w:r w:rsidR="00201A9A" w:rsidRPr="00201A9A">
        <w:rPr>
          <w:noProof/>
        </w:rPr>
        <w:t xml:space="preserve"> i ref</w:t>
      </w:r>
      <w:r w:rsidRPr="00201A9A">
        <w:rPr>
          <w:noProof/>
        </w:rPr>
        <w:t>orm których by inaczej nie realizowano, oraz dzięki rozszerzaniu zakresu istniejących działań, wspieraniu upowszechniania innowacji</w:t>
      </w:r>
      <w:r w:rsidR="00201A9A" w:rsidRPr="00201A9A">
        <w:rPr>
          <w:noProof/>
        </w:rPr>
        <w:t xml:space="preserve"> i zwi</w:t>
      </w:r>
      <w:r w:rsidRPr="00201A9A">
        <w:rPr>
          <w:noProof/>
        </w:rPr>
        <w:t>ększaniu zdolności administracji państw członkowskich. Liczne dowody wskazują, że polityki UE nie zostałyby wdrożone bez uzupełniających się inwestycji UE. Dzięki funduszom europejskim państwa członkowskie</w:t>
      </w:r>
      <w:r w:rsidR="00201A9A" w:rsidRPr="00201A9A">
        <w:rPr>
          <w:noProof/>
        </w:rPr>
        <w:t xml:space="preserve"> i ich</w:t>
      </w:r>
      <w:r w:rsidRPr="00201A9A">
        <w:rPr>
          <w:noProof/>
        </w:rPr>
        <w:t xml:space="preserve"> regiony inwestują na rzecz obszarów, grup docelowych</w:t>
      </w:r>
      <w:r w:rsidR="00201A9A" w:rsidRPr="00201A9A">
        <w:rPr>
          <w:noProof/>
        </w:rPr>
        <w:t xml:space="preserve"> i ref</w:t>
      </w:r>
      <w:r w:rsidRPr="00201A9A">
        <w:rPr>
          <w:noProof/>
        </w:rPr>
        <w:t>orm</w:t>
      </w:r>
      <w:r w:rsidR="00201A9A" w:rsidRPr="00201A9A">
        <w:rPr>
          <w:noProof/>
        </w:rPr>
        <w:t xml:space="preserve"> w spo</w:t>
      </w:r>
      <w:r w:rsidRPr="00201A9A">
        <w:rPr>
          <w:noProof/>
        </w:rPr>
        <w:t>sób, który nie byłby możliwy przy wyłącznie krajowym finansowaniu. Chociaż kompetencje dotyczące pewnych polityk wchodzących</w:t>
      </w:r>
      <w:r w:rsidR="00201A9A" w:rsidRPr="00201A9A">
        <w:rPr>
          <w:noProof/>
        </w:rPr>
        <w:t xml:space="preserve"> w zak</w:t>
      </w:r>
      <w:r w:rsidRPr="00201A9A">
        <w:rPr>
          <w:noProof/>
        </w:rPr>
        <w:t>res niniejszego Funduszu spoczywają głównie na szczeblu krajowym, to zważywszy na skalę</w:t>
      </w:r>
      <w:r w:rsidR="00201A9A" w:rsidRPr="00201A9A">
        <w:rPr>
          <w:noProof/>
        </w:rPr>
        <w:t xml:space="preserve"> i sku</w:t>
      </w:r>
      <w:r w:rsidRPr="00201A9A">
        <w:rPr>
          <w:noProof/>
        </w:rPr>
        <w:t>tki wyzwań, działania są bardziej skuteczne</w:t>
      </w:r>
      <w:r w:rsidR="00201A9A" w:rsidRPr="00201A9A">
        <w:rPr>
          <w:noProof/>
        </w:rPr>
        <w:t xml:space="preserve"> i efe</w:t>
      </w:r>
      <w:r w:rsidRPr="00201A9A">
        <w:rPr>
          <w:noProof/>
        </w:rPr>
        <w:t>ktywne, jeżeli wysiłki państw członkowskich są wspierane ze szczebla UE</w:t>
      </w:r>
      <w:r w:rsidR="00201A9A" w:rsidRPr="00201A9A">
        <w:rPr>
          <w:noProof/>
        </w:rPr>
        <w:t xml:space="preserve"> i pro</w:t>
      </w:r>
      <w:r w:rsidRPr="00201A9A">
        <w:rPr>
          <w:noProof/>
        </w:rPr>
        <w:t>muje się reformy korzystne dla poszczególnych państw</w:t>
      </w:r>
      <w:r w:rsidR="00201A9A" w:rsidRPr="00201A9A">
        <w:rPr>
          <w:noProof/>
        </w:rPr>
        <w:t xml:space="preserve"> i cał</w:t>
      </w:r>
      <w:r w:rsidRPr="00201A9A">
        <w:rPr>
          <w:noProof/>
        </w:rPr>
        <w:t xml:space="preserve">ej UE. </w:t>
      </w:r>
    </w:p>
    <w:p w14:paraId="1E939301" w14:textId="1264DC8A"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u w:val="single"/>
        </w:rPr>
        <w:t>Oczekiwana wygenerowana unijna wartość dodana (ex post):</w:t>
      </w:r>
      <w:r w:rsidRPr="00201A9A">
        <w:rPr>
          <w:noProof/>
        </w:rPr>
        <w:t xml:space="preserve"> Jak pokazały niedawne kryzysy, wiele wyzwań stojących przed europejskimi gospodarkami</w:t>
      </w:r>
      <w:r w:rsidR="00201A9A" w:rsidRPr="00201A9A">
        <w:rPr>
          <w:noProof/>
        </w:rPr>
        <w:t xml:space="preserve"> i spo</w:t>
      </w:r>
      <w:r w:rsidRPr="00201A9A">
        <w:rPr>
          <w:noProof/>
        </w:rPr>
        <w:t>łeczeństwami,</w:t>
      </w:r>
      <w:r w:rsidR="00201A9A" w:rsidRPr="00201A9A">
        <w:rPr>
          <w:noProof/>
        </w:rPr>
        <w:t xml:space="preserve"> w szc</w:t>
      </w:r>
      <w:r w:rsidRPr="00201A9A">
        <w:rPr>
          <w:noProof/>
        </w:rPr>
        <w:t>zególności</w:t>
      </w:r>
      <w:r w:rsidR="00201A9A" w:rsidRPr="00201A9A">
        <w:rPr>
          <w:noProof/>
        </w:rPr>
        <w:t xml:space="preserve"> w odn</w:t>
      </w:r>
      <w:r w:rsidRPr="00201A9A">
        <w:rPr>
          <w:noProof/>
        </w:rPr>
        <w:t>iesieniu do rolnictwa, bezpieczeństwa, spójności społecznej</w:t>
      </w:r>
      <w:r w:rsidR="00201A9A" w:rsidRPr="00201A9A">
        <w:rPr>
          <w:noProof/>
        </w:rPr>
        <w:t xml:space="preserve"> i ter</w:t>
      </w:r>
      <w:r w:rsidRPr="00201A9A">
        <w:rPr>
          <w:noProof/>
        </w:rPr>
        <w:t>ytorialnej czy przystosowania się do zmiany klimatu, wymaga ciągłych inwestycji</w:t>
      </w:r>
      <w:r w:rsidR="00201A9A" w:rsidRPr="00201A9A">
        <w:rPr>
          <w:noProof/>
        </w:rPr>
        <w:t xml:space="preserve"> i ref</w:t>
      </w:r>
      <w:r w:rsidRPr="00201A9A">
        <w:rPr>
          <w:noProof/>
        </w:rPr>
        <w:t>orm</w:t>
      </w:r>
      <w:r w:rsidR="00201A9A" w:rsidRPr="00201A9A">
        <w:rPr>
          <w:noProof/>
        </w:rPr>
        <w:t xml:space="preserve"> w tyc</w:t>
      </w:r>
      <w:r w:rsidRPr="00201A9A">
        <w:rPr>
          <w:noProof/>
        </w:rPr>
        <w:t>h obszarach. Oczekuje się, że inicjatywa przyczyni się do wdrożenia polityk</w:t>
      </w:r>
      <w:r w:rsidR="00201A9A" w:rsidRPr="00201A9A">
        <w:rPr>
          <w:noProof/>
        </w:rPr>
        <w:t xml:space="preserve"> i rea</w:t>
      </w:r>
      <w:r w:rsidRPr="00201A9A">
        <w:rPr>
          <w:noProof/>
        </w:rPr>
        <w:t>lizacji priorytetów UE</w:t>
      </w:r>
      <w:r w:rsidR="00201A9A" w:rsidRPr="00201A9A">
        <w:rPr>
          <w:noProof/>
        </w:rPr>
        <w:t xml:space="preserve"> w tyc</w:t>
      </w:r>
      <w:r w:rsidRPr="00201A9A">
        <w:rPr>
          <w:noProof/>
        </w:rPr>
        <w:t>h obszarach</w:t>
      </w:r>
      <w:r w:rsidR="00201A9A" w:rsidRPr="00201A9A">
        <w:rPr>
          <w:noProof/>
        </w:rPr>
        <w:t xml:space="preserve"> w spo</w:t>
      </w:r>
      <w:r w:rsidRPr="00201A9A">
        <w:rPr>
          <w:noProof/>
        </w:rPr>
        <w:t>sób skoordynowany</w:t>
      </w:r>
      <w:r w:rsidR="00201A9A" w:rsidRPr="00201A9A">
        <w:rPr>
          <w:noProof/>
        </w:rPr>
        <w:t xml:space="preserve"> i spó</w:t>
      </w:r>
      <w:r w:rsidRPr="00201A9A">
        <w:rPr>
          <w:noProof/>
        </w:rPr>
        <w:t>jny, będzie służyła wspieraniu najlepszych praktyk</w:t>
      </w:r>
      <w:r w:rsidR="00201A9A" w:rsidRPr="00201A9A">
        <w:rPr>
          <w:noProof/>
        </w:rPr>
        <w:t xml:space="preserve"> i wsp</w:t>
      </w:r>
      <w:r w:rsidRPr="00201A9A">
        <w:rPr>
          <w:noProof/>
        </w:rPr>
        <w:t>ółpracy (w celu poprawy zdolności</w:t>
      </w:r>
      <w:r w:rsidR="00201A9A" w:rsidRPr="00201A9A">
        <w:rPr>
          <w:noProof/>
        </w:rPr>
        <w:t xml:space="preserve"> w zak</w:t>
      </w:r>
      <w:r w:rsidRPr="00201A9A">
        <w:rPr>
          <w:noProof/>
        </w:rPr>
        <w:t>resie kształtowania</w:t>
      </w:r>
      <w:r w:rsidR="00201A9A" w:rsidRPr="00201A9A">
        <w:rPr>
          <w:noProof/>
        </w:rPr>
        <w:t xml:space="preserve"> i wdr</w:t>
      </w:r>
      <w:r w:rsidRPr="00201A9A">
        <w:rPr>
          <w:noProof/>
        </w:rPr>
        <w:t>ażania polityki oraz ułatwienia współpracy transnarodowej), propagowania wartości UE (takie jak państwo prawne</w:t>
      </w:r>
      <w:r w:rsidR="00201A9A" w:rsidRPr="00201A9A">
        <w:rPr>
          <w:noProof/>
        </w:rPr>
        <w:t xml:space="preserve"> i pra</w:t>
      </w:r>
      <w:r w:rsidRPr="00201A9A">
        <w:rPr>
          <w:noProof/>
        </w:rPr>
        <w:t>wa podstawowe) oraz wsparcia państw członkowskich</w:t>
      </w:r>
      <w:r w:rsidR="00201A9A" w:rsidRPr="00201A9A">
        <w:rPr>
          <w:noProof/>
        </w:rPr>
        <w:t xml:space="preserve"> w prz</w:t>
      </w:r>
      <w:r w:rsidRPr="00201A9A">
        <w:rPr>
          <w:noProof/>
        </w:rPr>
        <w:t>ezwyciężaniu przeszkód instytucjonalnych</w:t>
      </w:r>
      <w:r w:rsidR="00201A9A" w:rsidRPr="00201A9A">
        <w:rPr>
          <w:noProof/>
        </w:rPr>
        <w:t xml:space="preserve"> i reg</w:t>
      </w:r>
      <w:r w:rsidRPr="00201A9A">
        <w:rPr>
          <w:noProof/>
        </w:rPr>
        <w:t>ulacyjnych, które utrudniają realizację priorytetów polityki UE,</w:t>
      </w:r>
      <w:r w:rsidR="00201A9A" w:rsidRPr="00201A9A">
        <w:rPr>
          <w:noProof/>
        </w:rPr>
        <w:t xml:space="preserve"> w tym</w:t>
      </w:r>
      <w:r w:rsidRPr="00201A9A">
        <w:rPr>
          <w:noProof/>
        </w:rPr>
        <w:t xml:space="preserve"> wdrażanie dorobku prawnego UE</w:t>
      </w:r>
      <w:r w:rsidR="00201A9A" w:rsidRPr="00201A9A">
        <w:rPr>
          <w:noProof/>
        </w:rPr>
        <w:t xml:space="preserve"> i uko</w:t>
      </w:r>
      <w:r w:rsidRPr="00201A9A">
        <w:rPr>
          <w:noProof/>
        </w:rPr>
        <w:t>ńczenie tworzenia jednolitego rynku. Finansowanie na szczeblu Unii wspiera również unijne dobra publiczne, takie jak strategiczne polityki, którym państwa członkowskie mogą nie przypisywać odpowiedniego priorytetu, na przykład ze względu na niedoskonałości rynku, ale które przynoszą duże korzyści</w:t>
      </w:r>
      <w:r w:rsidR="00201A9A" w:rsidRPr="00201A9A">
        <w:rPr>
          <w:noProof/>
        </w:rPr>
        <w:t xml:space="preserve"> w cał</w:t>
      </w:r>
      <w:r w:rsidRPr="00201A9A">
        <w:rPr>
          <w:noProof/>
        </w:rPr>
        <w:t xml:space="preserve">ej UE. Obejmują one projekty przynoszące korzyści więcej niż jednemu państwu członkowskiemu, takie jak projekty transgraniczne lub ważne projekty stanowiące przedmiot wspólnego europejskiego zainteresowania. </w:t>
      </w:r>
    </w:p>
    <w:p w14:paraId="1E7B49D5" w14:textId="67E2CD8E" w:rsidR="004A489F" w:rsidRPr="00201A9A" w:rsidRDefault="004A489F" w:rsidP="004A489F">
      <w:pPr>
        <w:pStyle w:val="ManualHeading3"/>
        <w:rPr>
          <w:noProof/>
        </w:rPr>
      </w:pPr>
      <w:bookmarkStart w:id="72" w:name="_Toc514938030"/>
      <w:bookmarkStart w:id="73" w:name="_Toc520485037"/>
      <w:bookmarkStart w:id="74" w:name="_Toc160804579"/>
      <w:bookmarkStart w:id="75" w:name="_Toc167220271"/>
      <w:bookmarkStart w:id="76" w:name="_Toc177549004"/>
      <w:r w:rsidRPr="00201A9A">
        <w:rPr>
          <w:noProof/>
        </w:rPr>
        <w:t>1.5.3.</w:t>
      </w:r>
      <w:r w:rsidRPr="00201A9A">
        <w:rPr>
          <w:noProof/>
        </w:rPr>
        <w:tab/>
        <w:t>Główne wnioski wyciągnięte</w:t>
      </w:r>
      <w:r w:rsidR="00201A9A" w:rsidRPr="00201A9A">
        <w:rPr>
          <w:noProof/>
        </w:rPr>
        <w:t xml:space="preserve"> z pod</w:t>
      </w:r>
      <w:r w:rsidRPr="00201A9A">
        <w:rPr>
          <w:noProof/>
        </w:rPr>
        <w:t>obnych działań</w:t>
      </w:r>
      <w:bookmarkEnd w:id="72"/>
      <w:bookmarkEnd w:id="73"/>
      <w:bookmarkEnd w:id="74"/>
      <w:bookmarkEnd w:id="75"/>
      <w:bookmarkEnd w:id="76"/>
    </w:p>
    <w:p w14:paraId="7ACC3A41" w14:textId="57817659"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Fundusz ten opiera się na doświadczeniach zebranych podczas wdrażania innego odpowiedniego finansowania unijnego</w:t>
      </w:r>
      <w:r w:rsidR="00201A9A" w:rsidRPr="00201A9A">
        <w:rPr>
          <w:noProof/>
        </w:rPr>
        <w:t xml:space="preserve"> w okr</w:t>
      </w:r>
      <w:r w:rsidRPr="00201A9A">
        <w:rPr>
          <w:noProof/>
        </w:rPr>
        <w:t>esie programowania 2021–2027,</w:t>
      </w:r>
      <w:r w:rsidR="00201A9A" w:rsidRPr="00201A9A">
        <w:rPr>
          <w:noProof/>
        </w:rPr>
        <w:t xml:space="preserve"> z któ</w:t>
      </w:r>
      <w:r w:rsidRPr="00201A9A">
        <w:rPr>
          <w:noProof/>
        </w:rPr>
        <w:t xml:space="preserve">rego wyciągnięto następujące kluczowe wnioski: </w:t>
      </w:r>
    </w:p>
    <w:p w14:paraId="07E3D391" w14:textId="2590A2FA"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 xml:space="preserve">1) </w:t>
      </w:r>
      <w:r w:rsidRPr="00201A9A">
        <w:rPr>
          <w:noProof/>
          <w:u w:val="single"/>
        </w:rPr>
        <w:t>Uproszczenie:</w:t>
      </w:r>
      <w:r w:rsidRPr="00201A9A">
        <w:rPr>
          <w:noProof/>
        </w:rPr>
        <w:t xml:space="preserve"> istnieje potrzeba zmniejszenia złożoności oraz obciążeń administracyjnych</w:t>
      </w:r>
      <w:r w:rsidR="00201A9A" w:rsidRPr="00201A9A">
        <w:rPr>
          <w:noProof/>
        </w:rPr>
        <w:t xml:space="preserve"> i kos</w:t>
      </w:r>
      <w:r w:rsidRPr="00201A9A">
        <w:rPr>
          <w:noProof/>
        </w:rPr>
        <w:t>ztów dla organów państw członkowskich, beneficjentów</w:t>
      </w:r>
      <w:r w:rsidR="00201A9A" w:rsidRPr="00201A9A">
        <w:rPr>
          <w:noProof/>
        </w:rPr>
        <w:t xml:space="preserve"> i Kom</w:t>
      </w:r>
      <w:r w:rsidRPr="00201A9A">
        <w:rPr>
          <w:noProof/>
        </w:rPr>
        <w:t>isji, spowodowanych obecnym rozdrobnieniem wsparcia UE oraz współistnieniem różnych zasad kwalifikowalności, modeli realizacji</w:t>
      </w:r>
      <w:r w:rsidR="00201A9A" w:rsidRPr="00201A9A">
        <w:rPr>
          <w:noProof/>
        </w:rPr>
        <w:t xml:space="preserve"> i sys</w:t>
      </w:r>
      <w:r w:rsidRPr="00201A9A">
        <w:rPr>
          <w:noProof/>
        </w:rPr>
        <w:t xml:space="preserve">temów zapewniania pewności. </w:t>
      </w:r>
    </w:p>
    <w:p w14:paraId="4A381035" w14:textId="426D516E"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 xml:space="preserve">2) </w:t>
      </w:r>
      <w:r w:rsidRPr="00201A9A">
        <w:rPr>
          <w:noProof/>
          <w:u w:val="single"/>
        </w:rPr>
        <w:t>Elastyczność:</w:t>
      </w:r>
      <w:r w:rsidRPr="00201A9A">
        <w:rPr>
          <w:noProof/>
        </w:rPr>
        <w:t xml:space="preserve"> potrzeba bardziej elastycznego budżetu, który będzie</w:t>
      </w:r>
      <w:r w:rsidR="00201A9A" w:rsidRPr="00201A9A">
        <w:rPr>
          <w:noProof/>
        </w:rPr>
        <w:t xml:space="preserve"> w poz</w:t>
      </w:r>
      <w:r w:rsidRPr="00201A9A">
        <w:rPr>
          <w:noProof/>
        </w:rPr>
        <w:t>walał na reagowanie na nowe potrzeby</w:t>
      </w:r>
      <w:r w:rsidR="00201A9A" w:rsidRPr="00201A9A">
        <w:rPr>
          <w:noProof/>
        </w:rPr>
        <w:t xml:space="preserve"> i poj</w:t>
      </w:r>
      <w:r w:rsidRPr="00201A9A">
        <w:rPr>
          <w:noProof/>
        </w:rPr>
        <w:t>awiające się priorytety przez cały okres programowania.</w:t>
      </w:r>
      <w:r w:rsidR="00201A9A" w:rsidRPr="00201A9A">
        <w:rPr>
          <w:noProof/>
        </w:rPr>
        <w:t xml:space="preserve"> </w:t>
      </w:r>
      <w:r w:rsidRPr="00201A9A">
        <w:rPr>
          <w:noProof/>
        </w:rPr>
        <w:t>Elastyczność ta powinna zostać włączona do struktury Funduszu, przy jednoczesnym zapewnieniu przewidywalności finansowania unijnego</w:t>
      </w:r>
      <w:r w:rsidR="00201A9A" w:rsidRPr="00201A9A">
        <w:rPr>
          <w:noProof/>
        </w:rPr>
        <w:t xml:space="preserve"> i osi</w:t>
      </w:r>
      <w:r w:rsidRPr="00201A9A">
        <w:rPr>
          <w:noProof/>
        </w:rPr>
        <w:t xml:space="preserve">ągnięcia długoterminowych celów polityki. </w:t>
      </w:r>
    </w:p>
    <w:p w14:paraId="63D29360" w14:textId="0315E25C"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 xml:space="preserve">3) </w:t>
      </w:r>
      <w:r w:rsidRPr="00201A9A">
        <w:rPr>
          <w:noProof/>
          <w:u w:val="single"/>
        </w:rPr>
        <w:t>Spójność</w:t>
      </w:r>
      <w:r w:rsidRPr="00201A9A">
        <w:rPr>
          <w:noProof/>
        </w:rPr>
        <w:t>: potrzeba większej spójności między funduszami</w:t>
      </w:r>
      <w:r w:rsidR="00201A9A" w:rsidRPr="00201A9A">
        <w:rPr>
          <w:noProof/>
        </w:rPr>
        <w:t xml:space="preserve"> i ram</w:t>
      </w:r>
      <w:r w:rsidRPr="00201A9A">
        <w:rPr>
          <w:noProof/>
        </w:rPr>
        <w:t>ami polityki. Należy</w:t>
      </w:r>
      <w:r w:rsidR="00201A9A" w:rsidRPr="00201A9A">
        <w:rPr>
          <w:noProof/>
        </w:rPr>
        <w:t xml:space="preserve"> w peł</w:t>
      </w:r>
      <w:r w:rsidRPr="00201A9A">
        <w:rPr>
          <w:noProof/>
        </w:rPr>
        <w:t>ni wykorzystywać wielkość budżet UE, aby zachęcać do inwestycji</w:t>
      </w:r>
      <w:r w:rsidR="00201A9A" w:rsidRPr="00201A9A">
        <w:rPr>
          <w:noProof/>
        </w:rPr>
        <w:t xml:space="preserve"> i ref</w:t>
      </w:r>
      <w:r w:rsidRPr="00201A9A">
        <w:rPr>
          <w:noProof/>
        </w:rPr>
        <w:t>orm, które przyczyniają się do osiągnięcia celów Unii oraz odpowiadają na wyzwania krajowe</w:t>
      </w:r>
      <w:r w:rsidR="00201A9A" w:rsidRPr="00201A9A">
        <w:rPr>
          <w:noProof/>
        </w:rPr>
        <w:t xml:space="preserve"> i reg</w:t>
      </w:r>
      <w:r w:rsidRPr="00201A9A">
        <w:rPr>
          <w:noProof/>
        </w:rPr>
        <w:t>ionalne</w:t>
      </w:r>
      <w:r w:rsidR="00201A9A" w:rsidRPr="00201A9A">
        <w:rPr>
          <w:noProof/>
        </w:rPr>
        <w:t xml:space="preserve"> w bar</w:t>
      </w:r>
      <w:r w:rsidRPr="00201A9A">
        <w:rPr>
          <w:noProof/>
        </w:rPr>
        <w:t>dziej całościowy</w:t>
      </w:r>
      <w:r w:rsidR="00201A9A" w:rsidRPr="00201A9A">
        <w:rPr>
          <w:noProof/>
        </w:rPr>
        <w:t xml:space="preserve"> i sko</w:t>
      </w:r>
      <w:r w:rsidRPr="00201A9A">
        <w:rPr>
          <w:noProof/>
        </w:rPr>
        <w:t>ordynowany sposób. Powinno to pomóc</w:t>
      </w:r>
      <w:r w:rsidR="00201A9A" w:rsidRPr="00201A9A">
        <w:rPr>
          <w:noProof/>
        </w:rPr>
        <w:t xml:space="preserve"> w zwi</w:t>
      </w:r>
      <w:r w:rsidRPr="00201A9A">
        <w:rPr>
          <w:noProof/>
        </w:rPr>
        <w:t>ększeniu spójności między priorytetami UE</w:t>
      </w:r>
      <w:r w:rsidR="00201A9A" w:rsidRPr="00201A9A">
        <w:rPr>
          <w:noProof/>
        </w:rPr>
        <w:t xml:space="preserve"> a dzi</w:t>
      </w:r>
      <w:r w:rsidRPr="00201A9A">
        <w:rPr>
          <w:noProof/>
        </w:rPr>
        <w:t>ałaniami krajowymi</w:t>
      </w:r>
      <w:r w:rsidR="00201A9A" w:rsidRPr="00201A9A">
        <w:rPr>
          <w:noProof/>
        </w:rPr>
        <w:t xml:space="preserve"> i reg</w:t>
      </w:r>
      <w:r w:rsidRPr="00201A9A">
        <w:rPr>
          <w:noProof/>
        </w:rPr>
        <w:t xml:space="preserve">ionalnymi oraz poprawie stosunek wartości do ceny. </w:t>
      </w:r>
    </w:p>
    <w:p w14:paraId="206CA6B7" w14:textId="7BD8692E" w:rsidR="004A489F" w:rsidRPr="00201A9A" w:rsidRDefault="004A489F" w:rsidP="004A489F">
      <w:pPr>
        <w:pStyle w:val="ManualHeading3"/>
        <w:rPr>
          <w:noProof/>
        </w:rPr>
      </w:pPr>
      <w:bookmarkStart w:id="77" w:name="_Toc514938033"/>
      <w:bookmarkStart w:id="78" w:name="_Toc520485038"/>
      <w:bookmarkStart w:id="79" w:name="_Toc160804580"/>
      <w:bookmarkStart w:id="80" w:name="_Toc167220272"/>
      <w:bookmarkStart w:id="81" w:name="_Toc177549005"/>
      <w:r w:rsidRPr="00201A9A">
        <w:rPr>
          <w:noProof/>
        </w:rPr>
        <w:t>1.5.4.</w:t>
      </w:r>
      <w:r w:rsidRPr="00201A9A">
        <w:rPr>
          <w:noProof/>
        </w:rPr>
        <w:tab/>
        <w:t>Spójność</w:t>
      </w:r>
      <w:r w:rsidR="00201A9A" w:rsidRPr="00201A9A">
        <w:rPr>
          <w:noProof/>
        </w:rPr>
        <w:t xml:space="preserve"> z wie</w:t>
      </w:r>
      <w:r w:rsidRPr="00201A9A">
        <w:rPr>
          <w:noProof/>
        </w:rPr>
        <w:t>loletnimi ramami finansowymi oraz możliwa synergia</w:t>
      </w:r>
      <w:r w:rsidR="00201A9A" w:rsidRPr="00201A9A">
        <w:rPr>
          <w:noProof/>
        </w:rPr>
        <w:t xml:space="preserve"> z inn</w:t>
      </w:r>
      <w:r w:rsidRPr="00201A9A">
        <w:rPr>
          <w:noProof/>
        </w:rPr>
        <w:t>ymi właściwymi instrumentami</w:t>
      </w:r>
      <w:bookmarkEnd w:id="77"/>
      <w:bookmarkEnd w:id="78"/>
      <w:bookmarkEnd w:id="79"/>
      <w:bookmarkEnd w:id="80"/>
      <w:bookmarkEnd w:id="81"/>
    </w:p>
    <w:p w14:paraId="03446FFC" w14:textId="60740A4A"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Spójność</w:t>
      </w:r>
      <w:r w:rsidR="00201A9A" w:rsidRPr="00201A9A">
        <w:rPr>
          <w:noProof/>
        </w:rPr>
        <w:t xml:space="preserve"> i kom</w:t>
      </w:r>
      <w:r w:rsidRPr="00201A9A">
        <w:rPr>
          <w:noProof/>
        </w:rPr>
        <w:t>plementarność między Funduszem</w:t>
      </w:r>
      <w:r w:rsidR="00201A9A" w:rsidRPr="00201A9A">
        <w:rPr>
          <w:noProof/>
        </w:rPr>
        <w:t xml:space="preserve"> a inn</w:t>
      </w:r>
      <w:r w:rsidRPr="00201A9A">
        <w:rPr>
          <w:noProof/>
        </w:rPr>
        <w:t>ymi funduszami UE,</w:t>
      </w:r>
      <w:r w:rsidR="00201A9A" w:rsidRPr="00201A9A">
        <w:rPr>
          <w:noProof/>
        </w:rPr>
        <w:t xml:space="preserve"> w szc</w:t>
      </w:r>
      <w:r w:rsidRPr="00201A9A">
        <w:rPr>
          <w:noProof/>
        </w:rPr>
        <w:t>zególności Europejskim Funduszem Konkurencyjności (EFK), instrumentem „Łącząc Europę”, programem Erasmus</w:t>
      </w:r>
      <w:r w:rsidR="00201A9A" w:rsidRPr="00201A9A">
        <w:rPr>
          <w:noProof/>
        </w:rPr>
        <w:t xml:space="preserve"> i fun</w:t>
      </w:r>
      <w:r w:rsidRPr="00201A9A">
        <w:rPr>
          <w:noProof/>
        </w:rPr>
        <w:t>duszem „Globalny wymiar Europy”, gwarantuje się</w:t>
      </w:r>
      <w:r w:rsidR="00201A9A" w:rsidRPr="00201A9A">
        <w:rPr>
          <w:noProof/>
        </w:rPr>
        <w:t xml:space="preserve"> w szc</w:t>
      </w:r>
      <w:r w:rsidRPr="00201A9A">
        <w:rPr>
          <w:noProof/>
        </w:rPr>
        <w:t>zególności za pomocą mechanizmu sterującego, który zapewni wytyczne dotyczące kluczowych priorytetów polityki, które mają być finansowane</w:t>
      </w:r>
      <w:r w:rsidR="00201A9A" w:rsidRPr="00201A9A">
        <w:rPr>
          <w:noProof/>
        </w:rPr>
        <w:t xml:space="preserve"> w ram</w:t>
      </w:r>
      <w:r w:rsidRPr="00201A9A">
        <w:rPr>
          <w:noProof/>
        </w:rPr>
        <w:t>ach każdej rocznej procedury budżetowej. Potencjalne synergie z EFK, funduszem „Globalny wymiar Europy”</w:t>
      </w:r>
      <w:r w:rsidR="00201A9A" w:rsidRPr="00201A9A">
        <w:rPr>
          <w:noProof/>
        </w:rPr>
        <w:t xml:space="preserve"> i ins</w:t>
      </w:r>
      <w:r w:rsidRPr="00201A9A">
        <w:rPr>
          <w:noProof/>
        </w:rPr>
        <w:t>trumentem „Łącząc Europę” wynikają</w:t>
      </w:r>
      <w:r w:rsidR="00201A9A" w:rsidRPr="00201A9A">
        <w:rPr>
          <w:noProof/>
        </w:rPr>
        <w:t xml:space="preserve"> z moż</w:t>
      </w:r>
      <w:r w:rsidRPr="00201A9A">
        <w:rPr>
          <w:noProof/>
        </w:rPr>
        <w:t>liwości wsparcia</w:t>
      </w:r>
      <w:r w:rsidR="00201A9A" w:rsidRPr="00201A9A">
        <w:rPr>
          <w:noProof/>
        </w:rPr>
        <w:t xml:space="preserve"> w ram</w:t>
      </w:r>
      <w:r w:rsidRPr="00201A9A">
        <w:rPr>
          <w:noProof/>
        </w:rPr>
        <w:t>ach Funduszu reform</w:t>
      </w:r>
      <w:r w:rsidR="00201A9A" w:rsidRPr="00201A9A">
        <w:rPr>
          <w:noProof/>
        </w:rPr>
        <w:t xml:space="preserve"> i inw</w:t>
      </w:r>
      <w:r w:rsidRPr="00201A9A">
        <w:rPr>
          <w:noProof/>
        </w:rPr>
        <w:t>estycji stanowiących wkład</w:t>
      </w:r>
      <w:r w:rsidR="00201A9A" w:rsidRPr="00201A9A">
        <w:rPr>
          <w:noProof/>
        </w:rPr>
        <w:t xml:space="preserve"> w ini</w:t>
      </w:r>
      <w:r w:rsidRPr="00201A9A">
        <w:rPr>
          <w:noProof/>
        </w:rPr>
        <w:t>cjatywy transgraniczne</w:t>
      </w:r>
      <w:r w:rsidR="00201A9A" w:rsidRPr="00201A9A">
        <w:rPr>
          <w:noProof/>
        </w:rPr>
        <w:t xml:space="preserve"> i eur</w:t>
      </w:r>
      <w:r w:rsidRPr="00201A9A">
        <w:rPr>
          <w:noProof/>
        </w:rPr>
        <w:t xml:space="preserve">opejską konkurencyjność. </w:t>
      </w:r>
    </w:p>
    <w:p w14:paraId="7388BE2E" w14:textId="463D2F2D"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Komisja</w:t>
      </w:r>
      <w:r w:rsidR="00201A9A" w:rsidRPr="00201A9A">
        <w:rPr>
          <w:noProof/>
        </w:rPr>
        <w:t xml:space="preserve"> i pań</w:t>
      </w:r>
      <w:r w:rsidRPr="00201A9A">
        <w:rPr>
          <w:noProof/>
        </w:rPr>
        <w:t>stwa członkowskie powinny (i) zapewnić komplementarność, synergię, spójność</w:t>
      </w:r>
      <w:r w:rsidR="00201A9A" w:rsidRPr="00201A9A">
        <w:rPr>
          <w:noProof/>
        </w:rPr>
        <w:t xml:space="preserve"> i zgo</w:t>
      </w:r>
      <w:r w:rsidRPr="00201A9A">
        <w:rPr>
          <w:noProof/>
        </w:rPr>
        <w:t>dność między różnymi instrumentami na szczeblu unijnym, krajowym</w:t>
      </w:r>
      <w:r w:rsidR="00201A9A" w:rsidRPr="00201A9A">
        <w:rPr>
          <w:noProof/>
        </w:rPr>
        <w:t xml:space="preserve"> i reg</w:t>
      </w:r>
      <w:r w:rsidRPr="00201A9A">
        <w:rPr>
          <w:noProof/>
        </w:rPr>
        <w:t>ionalnym, zarówno na etapie planowania, jak</w:t>
      </w:r>
      <w:r w:rsidR="00201A9A" w:rsidRPr="00201A9A">
        <w:rPr>
          <w:noProof/>
        </w:rPr>
        <w:t xml:space="preserve"> i pod</w:t>
      </w:r>
      <w:r w:rsidRPr="00201A9A">
        <w:rPr>
          <w:noProof/>
        </w:rPr>
        <w:t>czas wdrażania; (ii) ścisłą współpracę między podmiotami odpowiedzialnymi za wdrażanie</w:t>
      </w:r>
      <w:r w:rsidR="00201A9A" w:rsidRPr="00201A9A">
        <w:rPr>
          <w:noProof/>
        </w:rPr>
        <w:t xml:space="preserve"> i kon</w:t>
      </w:r>
      <w:r w:rsidRPr="00201A9A">
        <w:rPr>
          <w:noProof/>
        </w:rPr>
        <w:t>trolę na poziomie unijnym, krajowym</w:t>
      </w:r>
      <w:r w:rsidR="00201A9A" w:rsidRPr="00201A9A">
        <w:rPr>
          <w:noProof/>
        </w:rPr>
        <w:t xml:space="preserve"> i reg</w:t>
      </w:r>
      <w:r w:rsidRPr="00201A9A">
        <w:rPr>
          <w:noProof/>
        </w:rPr>
        <w:t>ionalnym na potrzeby osiągnięcia celów Funduszu.</w:t>
      </w:r>
      <w:r w:rsidR="00201A9A" w:rsidRPr="00201A9A">
        <w:rPr>
          <w:noProof/>
        </w:rPr>
        <w:t xml:space="preserve"> </w:t>
      </w:r>
    </w:p>
    <w:p w14:paraId="5FF4EE49" w14:textId="7DC3825F"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Wsparcie finansowe</w:t>
      </w:r>
      <w:r w:rsidR="00201A9A" w:rsidRPr="00201A9A">
        <w:rPr>
          <w:noProof/>
        </w:rPr>
        <w:t xml:space="preserve"> w ram</w:t>
      </w:r>
      <w:r w:rsidRPr="00201A9A">
        <w:rPr>
          <w:noProof/>
        </w:rPr>
        <w:t>ach Funduszu powinno mieć charakter dodatkowy</w:t>
      </w:r>
      <w:r w:rsidR="00201A9A" w:rsidRPr="00201A9A">
        <w:rPr>
          <w:noProof/>
        </w:rPr>
        <w:t xml:space="preserve"> w sto</w:t>
      </w:r>
      <w:r w:rsidRPr="00201A9A">
        <w:rPr>
          <w:noProof/>
        </w:rPr>
        <w:t>sunku do wsparcia udzielanego</w:t>
      </w:r>
      <w:r w:rsidR="00201A9A" w:rsidRPr="00201A9A">
        <w:rPr>
          <w:noProof/>
        </w:rPr>
        <w:t xml:space="preserve"> z inn</w:t>
      </w:r>
      <w:r w:rsidRPr="00201A9A">
        <w:rPr>
          <w:noProof/>
        </w:rPr>
        <w:t>ych funduszy</w:t>
      </w:r>
      <w:r w:rsidR="00201A9A" w:rsidRPr="00201A9A">
        <w:rPr>
          <w:noProof/>
        </w:rPr>
        <w:t xml:space="preserve"> i pro</w:t>
      </w:r>
      <w:r w:rsidRPr="00201A9A">
        <w:rPr>
          <w:noProof/>
        </w:rPr>
        <w:t>gramów unijnych. Operacje mogą otrzymywać wsparcie</w:t>
      </w:r>
      <w:r w:rsidR="00201A9A" w:rsidRPr="00201A9A">
        <w:rPr>
          <w:noProof/>
        </w:rPr>
        <w:t xml:space="preserve"> z inn</w:t>
      </w:r>
      <w:r w:rsidRPr="00201A9A">
        <w:rPr>
          <w:noProof/>
        </w:rPr>
        <w:t>ych programów</w:t>
      </w:r>
      <w:r w:rsidR="00201A9A" w:rsidRPr="00201A9A">
        <w:rPr>
          <w:noProof/>
        </w:rPr>
        <w:t xml:space="preserve"> i ins</w:t>
      </w:r>
      <w:r w:rsidRPr="00201A9A">
        <w:rPr>
          <w:noProof/>
        </w:rPr>
        <w:t>trumentów unijnych, pod warunkiem że wsparcie takie nie pokrywa tych samych kosztów</w:t>
      </w:r>
      <w:r w:rsidR="00201A9A" w:rsidRPr="00201A9A">
        <w:rPr>
          <w:noProof/>
        </w:rPr>
        <w:t>. W tym</w:t>
      </w:r>
      <w:r w:rsidRPr="00201A9A">
        <w:rPr>
          <w:noProof/>
        </w:rPr>
        <w:t xml:space="preserve"> celu państwa członkowskie</w:t>
      </w:r>
      <w:r w:rsidR="00201A9A" w:rsidRPr="00201A9A">
        <w:rPr>
          <w:noProof/>
        </w:rPr>
        <w:t xml:space="preserve"> i Kom</w:t>
      </w:r>
      <w:r w:rsidRPr="00201A9A">
        <w:rPr>
          <w:noProof/>
        </w:rPr>
        <w:t>isja powinny współpracować przy opracowywaniu</w:t>
      </w:r>
      <w:r w:rsidR="00201A9A" w:rsidRPr="00201A9A">
        <w:rPr>
          <w:noProof/>
        </w:rPr>
        <w:t xml:space="preserve"> i wdr</w:t>
      </w:r>
      <w:r w:rsidRPr="00201A9A">
        <w:rPr>
          <w:noProof/>
        </w:rPr>
        <w:t>ażaniu operacji, które są łącznie finansowane</w:t>
      </w:r>
      <w:r w:rsidR="00201A9A" w:rsidRPr="00201A9A">
        <w:rPr>
          <w:noProof/>
        </w:rPr>
        <w:t xml:space="preserve"> w ram</w:t>
      </w:r>
      <w:r w:rsidRPr="00201A9A">
        <w:rPr>
          <w:noProof/>
        </w:rPr>
        <w:t>ach planu partnerstwa krajowego</w:t>
      </w:r>
      <w:r w:rsidR="00201A9A" w:rsidRPr="00201A9A">
        <w:rPr>
          <w:noProof/>
        </w:rPr>
        <w:t xml:space="preserve"> i reg</w:t>
      </w:r>
      <w:r w:rsidRPr="00201A9A">
        <w:rPr>
          <w:noProof/>
        </w:rPr>
        <w:t xml:space="preserve">ionalnego oraz innych programów unijnych, aby uniknąć podwójnego finansowania. </w:t>
      </w:r>
    </w:p>
    <w:p w14:paraId="526655F0" w14:textId="1FD2C0F8" w:rsidR="004A489F" w:rsidRPr="00201A9A" w:rsidRDefault="004A489F" w:rsidP="004A489F">
      <w:pPr>
        <w:pStyle w:val="ManualHeading3"/>
        <w:rPr>
          <w:noProof/>
        </w:rPr>
      </w:pPr>
      <w:bookmarkStart w:id="82" w:name="_Toc514938036"/>
      <w:bookmarkStart w:id="83" w:name="_Toc520485039"/>
      <w:bookmarkStart w:id="84" w:name="_Toc160804581"/>
      <w:bookmarkStart w:id="85" w:name="_Toc167220273"/>
      <w:bookmarkStart w:id="86" w:name="_Toc177549006"/>
      <w:r w:rsidRPr="00201A9A">
        <w:rPr>
          <w:noProof/>
        </w:rPr>
        <w:t>1.5.5.</w:t>
      </w:r>
      <w:r w:rsidRPr="00201A9A">
        <w:rPr>
          <w:noProof/>
        </w:rPr>
        <w:tab/>
        <w:t>Ocena różnych dostępnych możliwości finansowania,</w:t>
      </w:r>
      <w:r w:rsidR="00201A9A" w:rsidRPr="00201A9A">
        <w:rPr>
          <w:noProof/>
        </w:rPr>
        <w:t xml:space="preserve"> w tym</w:t>
      </w:r>
      <w:r w:rsidRPr="00201A9A">
        <w:rPr>
          <w:noProof/>
        </w:rPr>
        <w:t xml:space="preserve"> możliwości przegrupowania środków</w:t>
      </w:r>
      <w:bookmarkEnd w:id="82"/>
      <w:bookmarkEnd w:id="83"/>
      <w:bookmarkEnd w:id="84"/>
      <w:bookmarkEnd w:id="85"/>
      <w:bookmarkEnd w:id="86"/>
    </w:p>
    <w:p w14:paraId="3AFBB5D9" w14:textId="0FCC7F1D"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Z Funduszu udzielane będzie bezzwrotne wsparcie finansowe</w:t>
      </w:r>
      <w:r w:rsidR="00201A9A" w:rsidRPr="00201A9A">
        <w:rPr>
          <w:noProof/>
        </w:rPr>
        <w:t xml:space="preserve"> i poż</w:t>
      </w:r>
      <w:r w:rsidRPr="00201A9A">
        <w:rPr>
          <w:noProof/>
        </w:rPr>
        <w:t>yczki, na wniosek państw członkowskich, służące osiągnięciu jego celów. Fundusz może również zapewniać finansowanie</w:t>
      </w:r>
      <w:r w:rsidR="00201A9A" w:rsidRPr="00201A9A">
        <w:rPr>
          <w:noProof/>
        </w:rPr>
        <w:t xml:space="preserve"> w for</w:t>
      </w:r>
      <w:r w:rsidRPr="00201A9A">
        <w:rPr>
          <w:noProof/>
        </w:rPr>
        <w:t xml:space="preserve">mie instrumentów finansowych. </w:t>
      </w:r>
    </w:p>
    <w:p w14:paraId="657C219E" w14:textId="0B517A4D"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Plany partnerstwa krajowego</w:t>
      </w:r>
      <w:r w:rsidR="00201A9A" w:rsidRPr="00201A9A">
        <w:rPr>
          <w:noProof/>
        </w:rPr>
        <w:t xml:space="preserve"> i reg</w:t>
      </w:r>
      <w:r w:rsidRPr="00201A9A">
        <w:rPr>
          <w:noProof/>
        </w:rPr>
        <w:t xml:space="preserve">ionalnego oraz </w:t>
      </w:r>
      <w:r w:rsidR="00A47BEA" w:rsidRPr="00201A9A">
        <w:rPr>
          <w:noProof/>
        </w:rPr>
        <w:t>P</w:t>
      </w:r>
      <w:r w:rsidRPr="00201A9A">
        <w:rPr>
          <w:noProof/>
        </w:rPr>
        <w:t>lan Interreg będą wdrażane</w:t>
      </w:r>
      <w:r w:rsidR="00201A9A" w:rsidRPr="00201A9A">
        <w:rPr>
          <w:noProof/>
        </w:rPr>
        <w:t xml:space="preserve"> w ram</w:t>
      </w:r>
      <w:r w:rsidRPr="00201A9A">
        <w:rPr>
          <w:noProof/>
        </w:rPr>
        <w:t>ach zarządzania dzielonego, natomiast</w:t>
      </w:r>
      <w:r w:rsidR="00201A9A" w:rsidRPr="00201A9A">
        <w:rPr>
          <w:noProof/>
        </w:rPr>
        <w:t xml:space="preserve"> w prz</w:t>
      </w:r>
      <w:r w:rsidRPr="00201A9A">
        <w:rPr>
          <w:noProof/>
        </w:rPr>
        <w:t>ypadku instrumentu można będzie wykorzystać zarządzanie dzielone – bezpośrednie lub pośrednie –</w:t>
      </w:r>
      <w:r w:rsidR="00201A9A" w:rsidRPr="00201A9A">
        <w:rPr>
          <w:noProof/>
        </w:rPr>
        <w:t xml:space="preserve"> w zal</w:t>
      </w:r>
      <w:r w:rsidRPr="00201A9A">
        <w:rPr>
          <w:noProof/>
        </w:rPr>
        <w:t>eżności od rodzaju środka</w:t>
      </w:r>
      <w:r w:rsidR="00201A9A" w:rsidRPr="00201A9A">
        <w:rPr>
          <w:noProof/>
        </w:rPr>
        <w:t xml:space="preserve"> i naj</w:t>
      </w:r>
      <w:r w:rsidRPr="00201A9A">
        <w:rPr>
          <w:noProof/>
        </w:rPr>
        <w:t xml:space="preserve">skuteczniejszego kierunku działania. </w:t>
      </w:r>
    </w:p>
    <w:p w14:paraId="662297CB" w14:textId="5877F407" w:rsidR="004A489F" w:rsidRPr="00201A9A" w:rsidRDefault="004A489F" w:rsidP="004A489F">
      <w:pPr>
        <w:pStyle w:val="ManualHeading2"/>
        <w:rPr>
          <w:bCs/>
          <w:noProof/>
          <w:szCs w:val="24"/>
        </w:rPr>
      </w:pPr>
      <w:r w:rsidRPr="00201A9A">
        <w:rPr>
          <w:noProof/>
        </w:rPr>
        <w:br w:type="page"/>
      </w:r>
      <w:bookmarkStart w:id="87" w:name="_Toc514938039"/>
      <w:bookmarkStart w:id="88" w:name="_Toc520485040"/>
      <w:bookmarkStart w:id="89" w:name="_Toc160804582"/>
      <w:bookmarkStart w:id="90" w:name="_Toc167220274"/>
      <w:bookmarkStart w:id="91" w:name="_Toc177549007"/>
      <w:r w:rsidRPr="00201A9A">
        <w:rPr>
          <w:noProof/>
        </w:rPr>
        <w:t>1.6.</w:t>
      </w:r>
      <w:r w:rsidRPr="00201A9A">
        <w:rPr>
          <w:noProof/>
        </w:rPr>
        <w:tab/>
        <w:t>Czas trwania wniosku/inicjatywy</w:t>
      </w:r>
      <w:r w:rsidR="00201A9A" w:rsidRPr="00201A9A">
        <w:rPr>
          <w:noProof/>
        </w:rPr>
        <w:t xml:space="preserve"> i jeg</w:t>
      </w:r>
      <w:r w:rsidRPr="00201A9A">
        <w:rPr>
          <w:noProof/>
        </w:rPr>
        <w:t>o/jej wpływu finansowego</w:t>
      </w:r>
      <w:bookmarkEnd w:id="87"/>
      <w:bookmarkEnd w:id="88"/>
      <w:bookmarkEnd w:id="89"/>
      <w:bookmarkEnd w:id="90"/>
      <w:bookmarkEnd w:id="91"/>
    </w:p>
    <w:p w14:paraId="58262814" w14:textId="77777777" w:rsidR="004A489F" w:rsidRPr="00201A9A" w:rsidRDefault="004A489F" w:rsidP="004A489F">
      <w:pPr>
        <w:pStyle w:val="Text1"/>
        <w:rPr>
          <w:noProof/>
        </w:rPr>
      </w:pPr>
      <w:r w:rsidRPr="00201A9A">
        <w:rPr>
          <w:rFonts w:ascii="Wingdings" w:hAnsi="Wingdings"/>
          <w:noProof/>
        </w:rPr>
        <w:t></w:t>
      </w:r>
      <w:r w:rsidRPr="00201A9A">
        <w:rPr>
          <w:noProof/>
        </w:rPr>
        <w:t xml:space="preserve"> </w:t>
      </w:r>
      <w:r w:rsidRPr="00201A9A">
        <w:rPr>
          <w:b/>
          <w:noProof/>
        </w:rPr>
        <w:t xml:space="preserve">Ograniczony czas trwania </w:t>
      </w:r>
    </w:p>
    <w:p w14:paraId="4ADC5F3B" w14:textId="77777777" w:rsidR="004A489F" w:rsidRPr="00201A9A" w:rsidRDefault="004A489F" w:rsidP="004A489F">
      <w:pPr>
        <w:pStyle w:val="ListDash2"/>
        <w:rPr>
          <w:noProof/>
        </w:rPr>
      </w:pPr>
      <w:r w:rsidRPr="00201A9A">
        <w:rPr>
          <w:rFonts w:ascii="Wingdings" w:hAnsi="Wingdings"/>
          <w:noProof/>
        </w:rPr>
        <w:t></w:t>
      </w:r>
      <w:r w:rsidRPr="00201A9A">
        <w:rPr>
          <w:noProof/>
        </w:rPr>
        <w:tab/>
        <w:t xml:space="preserve">Czas trwania wniosku/inicjatywy: od [DD/MM]RRRR r. do [DD/MM]RRRR r. </w:t>
      </w:r>
    </w:p>
    <w:p w14:paraId="033E3DB8" w14:textId="7E98FFFC" w:rsidR="004A489F" w:rsidRPr="00201A9A" w:rsidRDefault="004A489F" w:rsidP="004A489F">
      <w:pPr>
        <w:pStyle w:val="ListDash2"/>
        <w:rPr>
          <w:noProof/>
        </w:rPr>
      </w:pPr>
      <w:r w:rsidRPr="00201A9A">
        <w:rPr>
          <w:rFonts w:ascii="Wingdings" w:hAnsi="Wingdings"/>
          <w:noProof/>
        </w:rPr>
        <w:t></w:t>
      </w:r>
      <w:r w:rsidRPr="00201A9A">
        <w:rPr>
          <w:noProof/>
        </w:rPr>
        <w:tab/>
        <w:t>Czas trwania wpływu finansowego: od</w:t>
      </w:r>
      <w:r w:rsidR="00201A9A" w:rsidRPr="00201A9A">
        <w:rPr>
          <w:noProof/>
        </w:rPr>
        <w:t> </w:t>
      </w:r>
      <w:r w:rsidRPr="00201A9A">
        <w:rPr>
          <w:noProof/>
        </w:rPr>
        <w:t>2028 r. do</w:t>
      </w:r>
      <w:r w:rsidR="00201A9A" w:rsidRPr="00201A9A">
        <w:rPr>
          <w:noProof/>
        </w:rPr>
        <w:t> </w:t>
      </w:r>
      <w:r w:rsidRPr="00201A9A">
        <w:rPr>
          <w:noProof/>
        </w:rPr>
        <w:t>2034 r.</w:t>
      </w:r>
      <w:r w:rsidR="00201A9A" w:rsidRPr="00201A9A">
        <w:rPr>
          <w:noProof/>
        </w:rPr>
        <w:t xml:space="preserve"> w odn</w:t>
      </w:r>
      <w:r w:rsidRPr="00201A9A">
        <w:rPr>
          <w:noProof/>
        </w:rPr>
        <w:t>iesieniu do środków na zobowiązania oraz od</w:t>
      </w:r>
      <w:r w:rsidR="00201A9A" w:rsidRPr="00201A9A">
        <w:rPr>
          <w:noProof/>
        </w:rPr>
        <w:t> </w:t>
      </w:r>
      <w:r w:rsidRPr="00201A9A">
        <w:rPr>
          <w:noProof/>
        </w:rPr>
        <w:t>2028 r. do</w:t>
      </w:r>
      <w:r w:rsidR="00201A9A" w:rsidRPr="00201A9A">
        <w:rPr>
          <w:noProof/>
        </w:rPr>
        <w:t> </w:t>
      </w:r>
      <w:r w:rsidRPr="00201A9A">
        <w:rPr>
          <w:noProof/>
        </w:rPr>
        <w:t>2035 r.</w:t>
      </w:r>
      <w:r w:rsidR="00201A9A" w:rsidRPr="00201A9A">
        <w:rPr>
          <w:noProof/>
        </w:rPr>
        <w:t xml:space="preserve"> w odn</w:t>
      </w:r>
      <w:r w:rsidRPr="00201A9A">
        <w:rPr>
          <w:noProof/>
        </w:rPr>
        <w:t xml:space="preserve">iesieniu do środków na płatności. </w:t>
      </w:r>
    </w:p>
    <w:p w14:paraId="05D262CF" w14:textId="77777777" w:rsidR="004A489F" w:rsidRPr="00201A9A" w:rsidRDefault="004A489F" w:rsidP="004A489F">
      <w:pPr>
        <w:pStyle w:val="Text1"/>
        <w:rPr>
          <w:noProof/>
        </w:rPr>
      </w:pPr>
      <w:r w:rsidRPr="00201A9A">
        <w:rPr>
          <w:rFonts w:ascii="Wingdings" w:hAnsi="Wingdings"/>
          <w:noProof/>
        </w:rPr>
        <w:t></w:t>
      </w:r>
      <w:r w:rsidRPr="00201A9A">
        <w:rPr>
          <w:noProof/>
        </w:rPr>
        <w:t xml:space="preserve"> </w:t>
      </w:r>
      <w:r w:rsidRPr="00201A9A">
        <w:rPr>
          <w:b/>
          <w:noProof/>
        </w:rPr>
        <w:t>Nieograniczony czas trwania</w:t>
      </w:r>
    </w:p>
    <w:p w14:paraId="7325640F" w14:textId="47EF21FF" w:rsidR="004A489F" w:rsidRPr="00201A9A" w:rsidRDefault="004A489F" w:rsidP="004A489F">
      <w:pPr>
        <w:pStyle w:val="ListDash1"/>
        <w:rPr>
          <w:noProof/>
        </w:rPr>
      </w:pPr>
      <w:r w:rsidRPr="00201A9A">
        <w:rPr>
          <w:noProof/>
        </w:rPr>
        <w:t>Wprowadzenie</w:t>
      </w:r>
      <w:r w:rsidR="00201A9A" w:rsidRPr="00201A9A">
        <w:rPr>
          <w:noProof/>
        </w:rPr>
        <w:t xml:space="preserve"> w życ</w:t>
      </w:r>
      <w:r w:rsidRPr="00201A9A">
        <w:rPr>
          <w:noProof/>
        </w:rPr>
        <w:t>ie</w:t>
      </w:r>
      <w:r w:rsidR="00201A9A" w:rsidRPr="00201A9A">
        <w:rPr>
          <w:noProof/>
        </w:rPr>
        <w:t xml:space="preserve"> z okr</w:t>
      </w:r>
      <w:r w:rsidRPr="00201A9A">
        <w:rPr>
          <w:noProof/>
        </w:rPr>
        <w:t>esem rozruchu od RRRR r. do RRRR r.,</w:t>
      </w:r>
    </w:p>
    <w:p w14:paraId="7C7C8182" w14:textId="77777777" w:rsidR="004A489F" w:rsidRPr="00201A9A" w:rsidRDefault="004A489F" w:rsidP="004A489F">
      <w:pPr>
        <w:pStyle w:val="ListDash1"/>
        <w:rPr>
          <w:noProof/>
        </w:rPr>
      </w:pPr>
      <w:r w:rsidRPr="00201A9A">
        <w:rPr>
          <w:noProof/>
        </w:rPr>
        <w:t>po którym następuje faza operacyjna.</w:t>
      </w:r>
    </w:p>
    <w:p w14:paraId="4F8142B3" w14:textId="77777777" w:rsidR="004A489F" w:rsidRPr="00201A9A" w:rsidRDefault="004A489F" w:rsidP="004A489F">
      <w:pPr>
        <w:pStyle w:val="ManualHeading2"/>
        <w:rPr>
          <w:bCs/>
          <w:noProof/>
          <w:szCs w:val="24"/>
        </w:rPr>
      </w:pPr>
      <w:bookmarkStart w:id="92" w:name="_Toc514938040"/>
      <w:bookmarkStart w:id="93" w:name="_Toc520485041"/>
      <w:bookmarkStart w:id="94" w:name="_Toc160804583"/>
      <w:bookmarkStart w:id="95" w:name="_Toc167220275"/>
      <w:bookmarkStart w:id="96" w:name="_Toc177549008"/>
      <w:r w:rsidRPr="00201A9A">
        <w:rPr>
          <w:noProof/>
        </w:rPr>
        <w:t>1.7.</w:t>
      </w:r>
      <w:r w:rsidRPr="00201A9A">
        <w:rPr>
          <w:noProof/>
        </w:rPr>
        <w:tab/>
        <w:t>Planowane metody wykonania budżetu</w:t>
      </w:r>
      <w:bookmarkEnd w:id="92"/>
      <w:bookmarkEnd w:id="93"/>
      <w:bookmarkEnd w:id="94"/>
      <w:bookmarkEnd w:id="95"/>
      <w:bookmarkEnd w:id="96"/>
      <w:r w:rsidRPr="00201A9A">
        <w:rPr>
          <w:noProof/>
        </w:rPr>
        <w:t xml:space="preserve"> </w:t>
      </w:r>
    </w:p>
    <w:p w14:paraId="2CE8AB37" w14:textId="77777777" w:rsidR="004A489F" w:rsidRPr="00201A9A" w:rsidRDefault="004A489F" w:rsidP="004A489F">
      <w:pPr>
        <w:pStyle w:val="Text1"/>
        <w:rPr>
          <w:noProof/>
        </w:rPr>
      </w:pPr>
      <w:r w:rsidRPr="00201A9A">
        <w:rPr>
          <w:rFonts w:ascii="Wingdings" w:hAnsi="Wingdings"/>
          <w:noProof/>
        </w:rPr>
        <w:t></w:t>
      </w:r>
      <w:r w:rsidRPr="00201A9A">
        <w:rPr>
          <w:i/>
          <w:noProof/>
        </w:rPr>
        <w:t xml:space="preserve"> </w:t>
      </w:r>
      <w:r w:rsidRPr="00201A9A">
        <w:rPr>
          <w:b/>
          <w:noProof/>
        </w:rPr>
        <w:t>Bezpośrednie zarządzanie</w:t>
      </w:r>
      <w:r w:rsidRPr="00201A9A">
        <w:rPr>
          <w:noProof/>
        </w:rPr>
        <w:t xml:space="preserve"> przez Komisję</w:t>
      </w:r>
    </w:p>
    <w:p w14:paraId="74FD1CD1" w14:textId="70DA1720" w:rsidR="004A489F" w:rsidRPr="00201A9A" w:rsidRDefault="004A489F" w:rsidP="004A489F">
      <w:pPr>
        <w:pStyle w:val="ListDash2"/>
        <w:rPr>
          <w:rFonts w:cs="EUAlbertina"/>
          <w:noProof/>
        </w:rPr>
      </w:pPr>
      <w:r w:rsidRPr="00201A9A">
        <w:rPr>
          <w:rFonts w:ascii="Wingdings" w:hAnsi="Wingdings"/>
          <w:noProof/>
        </w:rPr>
        <w:t></w:t>
      </w:r>
      <w:r w:rsidR="00201A9A" w:rsidRPr="00201A9A">
        <w:rPr>
          <w:noProof/>
        </w:rPr>
        <w:t xml:space="preserve"> w ram</w:t>
      </w:r>
      <w:r w:rsidRPr="00201A9A">
        <w:rPr>
          <w:noProof/>
        </w:rPr>
        <w:t>ach jej służb,</w:t>
      </w:r>
      <w:r w:rsidR="00201A9A" w:rsidRPr="00201A9A">
        <w:rPr>
          <w:noProof/>
        </w:rPr>
        <w:t xml:space="preserve"> w tym</w:t>
      </w:r>
      <w:r w:rsidRPr="00201A9A">
        <w:rPr>
          <w:noProof/>
        </w:rPr>
        <w:t xml:space="preserve"> za pośrednictwem jej pracowników</w:t>
      </w:r>
      <w:r w:rsidR="00201A9A" w:rsidRPr="00201A9A">
        <w:rPr>
          <w:noProof/>
        </w:rPr>
        <w:t xml:space="preserve"> w del</w:t>
      </w:r>
      <w:r w:rsidRPr="00201A9A">
        <w:rPr>
          <w:noProof/>
        </w:rPr>
        <w:t xml:space="preserve">egaturach Unii </w:t>
      </w:r>
    </w:p>
    <w:p w14:paraId="2D4774D7" w14:textId="77777777" w:rsidR="004A489F" w:rsidRPr="00201A9A" w:rsidRDefault="006B72A6" w:rsidP="004A489F">
      <w:pPr>
        <w:pStyle w:val="ListDash2"/>
        <w:rPr>
          <w:noProof/>
        </w:rPr>
      </w:pPr>
      <w:r w:rsidRPr="00201A9A">
        <w:rPr>
          <w:rFonts w:ascii="Wingdings" w:hAnsi="Wingdings"/>
          <w:noProof/>
        </w:rPr>
        <w:t></w:t>
      </w:r>
      <w:r w:rsidRPr="00201A9A">
        <w:rPr>
          <w:noProof/>
        </w:rPr>
        <w:tab/>
        <w:t>przez agencje wykonawcze</w:t>
      </w:r>
      <w:r w:rsidRPr="00201A9A">
        <w:rPr>
          <w:rStyle w:val="FootnoteReference"/>
          <w:noProof/>
        </w:rPr>
        <w:footnoteReference w:id="32"/>
      </w:r>
      <w:r w:rsidRPr="00201A9A">
        <w:rPr>
          <w:noProof/>
        </w:rPr>
        <w:t xml:space="preserve"> </w:t>
      </w:r>
    </w:p>
    <w:p w14:paraId="295A19C6" w14:textId="7B75C272" w:rsidR="004A489F" w:rsidRPr="00201A9A" w:rsidRDefault="004A489F" w:rsidP="004A489F">
      <w:pPr>
        <w:pStyle w:val="Text1"/>
        <w:rPr>
          <w:noProof/>
        </w:rPr>
      </w:pPr>
      <w:r w:rsidRPr="00201A9A">
        <w:rPr>
          <w:rFonts w:ascii="Wingdings" w:hAnsi="Wingdings"/>
          <w:noProof/>
        </w:rPr>
        <w:t></w:t>
      </w:r>
      <w:r w:rsidRPr="00201A9A">
        <w:rPr>
          <w:b/>
          <w:i/>
          <w:noProof/>
        </w:rPr>
        <w:t xml:space="preserve"> </w:t>
      </w:r>
      <w:r w:rsidRPr="00201A9A">
        <w:rPr>
          <w:b/>
          <w:noProof/>
        </w:rPr>
        <w:t>Zarządzanie dzielone</w:t>
      </w:r>
      <w:r w:rsidR="00201A9A" w:rsidRPr="00201A9A">
        <w:rPr>
          <w:noProof/>
        </w:rPr>
        <w:t xml:space="preserve"> z pań</w:t>
      </w:r>
      <w:r w:rsidRPr="00201A9A">
        <w:rPr>
          <w:noProof/>
        </w:rPr>
        <w:t xml:space="preserve">stwami członkowskimi </w:t>
      </w:r>
    </w:p>
    <w:p w14:paraId="009B8737" w14:textId="67AB262C" w:rsidR="004A489F" w:rsidRPr="00201A9A" w:rsidRDefault="004A489F" w:rsidP="004A489F">
      <w:pPr>
        <w:pStyle w:val="Text1"/>
        <w:rPr>
          <w:noProof/>
        </w:rPr>
      </w:pPr>
      <w:r w:rsidRPr="00201A9A">
        <w:rPr>
          <w:rFonts w:ascii="Wingdings" w:hAnsi="Wingdings"/>
          <w:noProof/>
        </w:rPr>
        <w:t></w:t>
      </w:r>
      <w:r w:rsidRPr="00201A9A">
        <w:rPr>
          <w:i/>
          <w:noProof/>
        </w:rPr>
        <w:t xml:space="preserve"> </w:t>
      </w:r>
      <w:r w:rsidRPr="00201A9A">
        <w:rPr>
          <w:b/>
          <w:noProof/>
        </w:rPr>
        <w:t>Zarządzanie pośrednie</w:t>
      </w:r>
      <w:r w:rsidRPr="00201A9A">
        <w:rPr>
          <w:noProof/>
        </w:rPr>
        <w:t xml:space="preserve"> przez przekazanie zadań związanych</w:t>
      </w:r>
      <w:r w:rsidR="00201A9A" w:rsidRPr="00201A9A">
        <w:rPr>
          <w:noProof/>
        </w:rPr>
        <w:t xml:space="preserve"> z wyk</w:t>
      </w:r>
      <w:r w:rsidRPr="00201A9A">
        <w:rPr>
          <w:noProof/>
        </w:rPr>
        <w:t>onaniem budżetu:</w:t>
      </w:r>
    </w:p>
    <w:p w14:paraId="699F0AFD" w14:textId="77777777" w:rsidR="004A489F" w:rsidRPr="00201A9A" w:rsidRDefault="004A489F" w:rsidP="004A489F">
      <w:pPr>
        <w:pStyle w:val="ListDash2"/>
        <w:rPr>
          <w:noProof/>
        </w:rPr>
      </w:pPr>
      <w:r w:rsidRPr="00201A9A">
        <w:rPr>
          <w:rFonts w:ascii="Wingdings" w:hAnsi="Wingdings"/>
          <w:noProof/>
        </w:rPr>
        <w:t></w:t>
      </w:r>
      <w:r w:rsidRPr="00201A9A">
        <w:rPr>
          <w:noProof/>
        </w:rPr>
        <w:t xml:space="preserve"> państwom trzecim lub organom przez nie wyznaczonym</w:t>
      </w:r>
    </w:p>
    <w:p w14:paraId="15758D17" w14:textId="70FD6811" w:rsidR="004A489F" w:rsidRPr="00201A9A" w:rsidRDefault="004A489F" w:rsidP="004A489F">
      <w:pPr>
        <w:pStyle w:val="ListDash2"/>
        <w:rPr>
          <w:noProof/>
        </w:rPr>
      </w:pPr>
      <w:r w:rsidRPr="00201A9A">
        <w:rPr>
          <w:rFonts w:ascii="Wingdings" w:hAnsi="Wingdings"/>
          <w:noProof/>
        </w:rPr>
        <w:t></w:t>
      </w:r>
      <w:r w:rsidRPr="00201A9A">
        <w:rPr>
          <w:noProof/>
        </w:rPr>
        <w:t xml:space="preserve"> organizacjom międzynarodowym</w:t>
      </w:r>
      <w:r w:rsidR="00201A9A" w:rsidRPr="00201A9A">
        <w:rPr>
          <w:noProof/>
        </w:rPr>
        <w:t xml:space="preserve"> i ich</w:t>
      </w:r>
      <w:r w:rsidRPr="00201A9A">
        <w:rPr>
          <w:noProof/>
        </w:rPr>
        <w:t xml:space="preserve"> agencjom (wyszczególnić)</w:t>
      </w:r>
    </w:p>
    <w:p w14:paraId="59B26FFD" w14:textId="39A06D45" w:rsidR="004A489F" w:rsidRPr="00201A9A" w:rsidRDefault="004A489F" w:rsidP="004A489F">
      <w:pPr>
        <w:pStyle w:val="ListDash2"/>
        <w:rPr>
          <w:noProof/>
        </w:rPr>
      </w:pPr>
      <w:r w:rsidRPr="00201A9A">
        <w:rPr>
          <w:rFonts w:ascii="Wingdings" w:hAnsi="Wingdings"/>
          <w:noProof/>
        </w:rPr>
        <w:t></w:t>
      </w:r>
      <w:r w:rsidRPr="00201A9A">
        <w:rPr>
          <w:noProof/>
        </w:rPr>
        <w:t xml:space="preserve"> Europejskiemu Bankowi Inwestycyjnemu</w:t>
      </w:r>
      <w:r w:rsidR="00201A9A" w:rsidRPr="00201A9A">
        <w:rPr>
          <w:noProof/>
        </w:rPr>
        <w:t xml:space="preserve"> i Eur</w:t>
      </w:r>
      <w:r w:rsidRPr="00201A9A">
        <w:rPr>
          <w:noProof/>
        </w:rPr>
        <w:t>opejskiemu Funduszowi Inwestycyjnemu</w:t>
      </w:r>
    </w:p>
    <w:p w14:paraId="2D7F2570" w14:textId="18BC92A4" w:rsidR="004A489F" w:rsidRPr="00201A9A" w:rsidRDefault="004A489F" w:rsidP="004A489F">
      <w:pPr>
        <w:pStyle w:val="ListDash2"/>
        <w:rPr>
          <w:noProof/>
        </w:rPr>
      </w:pPr>
      <w:r w:rsidRPr="00201A9A">
        <w:rPr>
          <w:rFonts w:ascii="Wingdings" w:hAnsi="Wingdings"/>
          <w:noProof/>
        </w:rPr>
        <w:t></w:t>
      </w:r>
      <w:r w:rsidRPr="00201A9A">
        <w:rPr>
          <w:noProof/>
        </w:rPr>
        <w:t xml:space="preserve"> organom,</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70</w:t>
      </w:r>
      <w:r w:rsidR="00201A9A" w:rsidRPr="00201A9A">
        <w:rPr>
          <w:noProof/>
        </w:rPr>
        <w:t xml:space="preserve"> i 7</w:t>
      </w:r>
      <w:r w:rsidRPr="00201A9A">
        <w:rPr>
          <w:noProof/>
        </w:rPr>
        <w:t>1 rozporządzenia finansowego</w:t>
      </w:r>
    </w:p>
    <w:p w14:paraId="01CBFC14" w14:textId="77777777" w:rsidR="004A489F" w:rsidRPr="00201A9A" w:rsidRDefault="004A489F" w:rsidP="004A489F">
      <w:pPr>
        <w:pStyle w:val="ListDash2"/>
        <w:rPr>
          <w:noProof/>
        </w:rPr>
      </w:pPr>
      <w:r w:rsidRPr="00201A9A">
        <w:rPr>
          <w:rFonts w:ascii="Wingdings" w:hAnsi="Wingdings"/>
          <w:noProof/>
        </w:rPr>
        <w:t></w:t>
      </w:r>
      <w:r w:rsidRPr="00201A9A">
        <w:rPr>
          <w:noProof/>
        </w:rPr>
        <w:t xml:space="preserve"> podmiotom prawa publicznego</w:t>
      </w:r>
    </w:p>
    <w:p w14:paraId="09923C33" w14:textId="1E1BDAA2" w:rsidR="004A489F" w:rsidRPr="00201A9A" w:rsidRDefault="004A489F" w:rsidP="004A489F">
      <w:pPr>
        <w:pStyle w:val="ListDash2"/>
        <w:rPr>
          <w:noProof/>
        </w:rPr>
      </w:pPr>
      <w:r w:rsidRPr="00201A9A">
        <w:rPr>
          <w:rFonts w:ascii="Wingdings" w:hAnsi="Wingdings"/>
          <w:noProof/>
        </w:rPr>
        <w:t></w:t>
      </w:r>
      <w:r w:rsidRPr="00201A9A">
        <w:rPr>
          <w:noProof/>
        </w:rPr>
        <w:t xml:space="preserve"> podmiotom podlegającym prawu prywatnemu, które świadczą usługi użyteczności publicznej,</w:t>
      </w:r>
      <w:r w:rsidR="00201A9A" w:rsidRPr="00201A9A">
        <w:rPr>
          <w:noProof/>
        </w:rPr>
        <w:t xml:space="preserve"> w zak</w:t>
      </w:r>
      <w:r w:rsidRPr="00201A9A">
        <w:rPr>
          <w:noProof/>
        </w:rPr>
        <w:t>resie,</w:t>
      </w:r>
      <w:r w:rsidR="00201A9A" w:rsidRPr="00201A9A">
        <w:rPr>
          <w:noProof/>
        </w:rPr>
        <w:t xml:space="preserve"> w jak</w:t>
      </w:r>
      <w:r w:rsidRPr="00201A9A">
        <w:rPr>
          <w:noProof/>
        </w:rPr>
        <w:t>im są im zapewnione odpowiednie gwarancje finansowe</w:t>
      </w:r>
    </w:p>
    <w:p w14:paraId="4A1C1518" w14:textId="7FB1EB83" w:rsidR="004A489F" w:rsidRPr="00201A9A" w:rsidRDefault="004A489F" w:rsidP="004A489F">
      <w:pPr>
        <w:pStyle w:val="ListDash2"/>
        <w:rPr>
          <w:noProof/>
        </w:rPr>
      </w:pPr>
      <w:r w:rsidRPr="00201A9A">
        <w:rPr>
          <w:rFonts w:ascii="Wingdings" w:hAnsi="Wingdings"/>
          <w:noProof/>
        </w:rPr>
        <w:t></w:t>
      </w:r>
      <w:r w:rsidRPr="00201A9A">
        <w:rPr>
          <w:noProof/>
        </w:rPr>
        <w:t xml:space="preserve"> podmiotom podlegającym prawu prywatnemu państwa członkowskiego, którym powierzono realizację partnerstwa publiczno-prywatnego</w:t>
      </w:r>
      <w:r w:rsidR="00201A9A" w:rsidRPr="00201A9A">
        <w:rPr>
          <w:noProof/>
        </w:rPr>
        <w:t xml:space="preserve"> i zap</w:t>
      </w:r>
      <w:r w:rsidRPr="00201A9A">
        <w:rPr>
          <w:noProof/>
        </w:rPr>
        <w:t>ewniono odpowiednie gwarancje finansowe</w:t>
      </w:r>
    </w:p>
    <w:p w14:paraId="32621CC4" w14:textId="400D6F4A" w:rsidR="004A489F" w:rsidRPr="00201A9A" w:rsidRDefault="004A489F" w:rsidP="004A489F">
      <w:pPr>
        <w:pStyle w:val="ListDash2"/>
        <w:rPr>
          <w:noProof/>
        </w:rPr>
      </w:pPr>
      <w:r w:rsidRPr="00201A9A">
        <w:rPr>
          <w:rFonts w:ascii="Wingdings" w:hAnsi="Wingdings"/>
          <w:noProof/>
        </w:rPr>
        <w:t></w:t>
      </w:r>
      <w:r w:rsidRPr="00201A9A">
        <w:rPr>
          <w:noProof/>
        </w:rPr>
        <w:t xml:space="preserve"> podmiotom lub osobom odpowiedzialnym za wykonanie określonych działań</w:t>
      </w:r>
      <w:r w:rsidR="00201A9A" w:rsidRPr="00201A9A">
        <w:rPr>
          <w:noProof/>
        </w:rPr>
        <w:t xml:space="preserve"> w dzi</w:t>
      </w:r>
      <w:r w:rsidRPr="00201A9A">
        <w:rPr>
          <w:noProof/>
        </w:rPr>
        <w:t>edzinie wspólnej polityki zagranicznej</w:t>
      </w:r>
      <w:r w:rsidR="00201A9A" w:rsidRPr="00201A9A">
        <w:rPr>
          <w:noProof/>
        </w:rPr>
        <w:t xml:space="preserve"> i bez</w:t>
      </w:r>
      <w:r w:rsidRPr="00201A9A">
        <w:rPr>
          <w:noProof/>
        </w:rPr>
        <w:t>pieczeństwa na mocy tytułu V Traktatu</w:t>
      </w:r>
      <w:r w:rsidR="00201A9A" w:rsidRPr="00201A9A">
        <w:rPr>
          <w:noProof/>
        </w:rPr>
        <w:t xml:space="preserve"> o Uni</w:t>
      </w:r>
      <w:r w:rsidRPr="00201A9A">
        <w:rPr>
          <w:noProof/>
        </w:rPr>
        <w:t>i Europejskiej oraz określonym we właściwym podstawowym akcie prawnym</w:t>
      </w:r>
    </w:p>
    <w:p w14:paraId="78F65AB3" w14:textId="44C9568D" w:rsidR="004A489F" w:rsidRPr="00201A9A" w:rsidRDefault="006B72A6" w:rsidP="004A489F">
      <w:pPr>
        <w:pStyle w:val="ListDash2"/>
        <w:rPr>
          <w:noProof/>
        </w:rPr>
      </w:pPr>
      <w:r w:rsidRPr="00201A9A">
        <w:rPr>
          <w:rFonts w:ascii="Wingdings" w:hAnsi="Wingdings"/>
          <w:noProof/>
        </w:rPr>
        <w:t></w:t>
      </w:r>
      <w:r w:rsidRPr="00201A9A">
        <w:rPr>
          <w:rFonts w:ascii="Wingdings" w:hAnsi="Wingdings"/>
          <w:noProof/>
        </w:rPr>
        <w:t></w:t>
      </w:r>
      <w:r w:rsidRPr="00201A9A">
        <w:rPr>
          <w:noProof/>
        </w:rPr>
        <w:t xml:space="preserve"> podmiotom mającym siedzibę</w:t>
      </w:r>
      <w:r w:rsidR="00201A9A" w:rsidRPr="00201A9A">
        <w:rPr>
          <w:noProof/>
        </w:rPr>
        <w:t xml:space="preserve"> w pań</w:t>
      </w:r>
      <w:r w:rsidRPr="00201A9A">
        <w:rPr>
          <w:noProof/>
        </w:rPr>
        <w:t>stwie członkowskim, podlegającym prawu prywatnemu państwa członkowskiego lub prawu Unii</w:t>
      </w:r>
      <w:r w:rsidR="00201A9A" w:rsidRPr="00201A9A">
        <w:rPr>
          <w:noProof/>
        </w:rPr>
        <w:t xml:space="preserve"> i kwa</w:t>
      </w:r>
      <w:r w:rsidRPr="00201A9A">
        <w:rPr>
          <w:noProof/>
        </w:rPr>
        <w:t>lifikującym się, zgodnie</w:t>
      </w:r>
      <w:r w:rsidR="00201A9A" w:rsidRPr="00201A9A">
        <w:rPr>
          <w:noProof/>
        </w:rPr>
        <w:t xml:space="preserve"> z prz</w:t>
      </w:r>
      <w:r w:rsidRPr="00201A9A">
        <w:rPr>
          <w:noProof/>
        </w:rPr>
        <w:t>episami sektorowymi, do powierzenia im wykonywania środków finansowych Unii lub gwarancji budżetowych,</w:t>
      </w:r>
      <w:r w:rsidR="00201A9A" w:rsidRPr="00201A9A">
        <w:rPr>
          <w:noProof/>
        </w:rPr>
        <w:t xml:space="preserve"> w zak</w:t>
      </w:r>
      <w:r w:rsidRPr="00201A9A">
        <w:rPr>
          <w:noProof/>
        </w:rPr>
        <w:t>resie,</w:t>
      </w:r>
      <w:r w:rsidR="00201A9A" w:rsidRPr="00201A9A">
        <w:rPr>
          <w:noProof/>
        </w:rPr>
        <w:t xml:space="preserve"> w jak</w:t>
      </w:r>
      <w:r w:rsidRPr="00201A9A">
        <w:rPr>
          <w:noProof/>
        </w:rPr>
        <w:t>im podmioty te są kontrolowane przez podmioty prawa publicznego lub podmioty podlegające prawu prywatnemu świadczące usługi użyteczności publicznej,</w:t>
      </w:r>
      <w:r w:rsidR="00201A9A" w:rsidRPr="00201A9A">
        <w:rPr>
          <w:noProof/>
        </w:rPr>
        <w:t xml:space="preserve"> a tak</w:t>
      </w:r>
      <w:r w:rsidRPr="00201A9A">
        <w:rPr>
          <w:noProof/>
        </w:rPr>
        <w:t>że posiadają odpowiednie gwarancje finansowe</w:t>
      </w:r>
      <w:r w:rsidR="00201A9A" w:rsidRPr="00201A9A">
        <w:rPr>
          <w:noProof/>
        </w:rPr>
        <w:t xml:space="preserve"> w for</w:t>
      </w:r>
      <w:r w:rsidRPr="00201A9A">
        <w:rPr>
          <w:noProof/>
        </w:rPr>
        <w:t>mie odpowiedzialności solidarnej organów kontrolnych lub równoważne gwarancje finansowe, które mogą być ograniczone,</w:t>
      </w:r>
      <w:r w:rsidR="00201A9A" w:rsidRPr="00201A9A">
        <w:rPr>
          <w:noProof/>
        </w:rPr>
        <w:t xml:space="preserve"> w odn</w:t>
      </w:r>
      <w:r w:rsidRPr="00201A9A">
        <w:rPr>
          <w:noProof/>
        </w:rPr>
        <w:t>iesieniu do każdego działania, do maksymalnej kwoty wsparcia Unii.</w:t>
      </w:r>
    </w:p>
    <w:p w14:paraId="1E027A84" w14:textId="77777777" w:rsidR="004A489F" w:rsidRPr="00201A9A" w:rsidRDefault="004A489F" w:rsidP="004A489F">
      <w:pPr>
        <w:rPr>
          <w:noProof/>
        </w:rPr>
      </w:pPr>
      <w:r w:rsidRPr="00201A9A">
        <w:rPr>
          <w:noProof/>
        </w:rPr>
        <w:t xml:space="preserve">Uwagi </w:t>
      </w:r>
    </w:p>
    <w:p w14:paraId="6022EC99" w14:textId="77777777" w:rsidR="004A489F" w:rsidRPr="00201A9A" w:rsidRDefault="004A489F" w:rsidP="004A489F">
      <w:pPr>
        <w:pBdr>
          <w:top w:val="single" w:sz="4" w:space="1" w:color="auto"/>
          <w:left w:val="single" w:sz="4" w:space="4" w:color="auto"/>
          <w:bottom w:val="single" w:sz="4" w:space="1" w:color="auto"/>
          <w:right w:val="single" w:sz="4" w:space="4" w:color="auto"/>
        </w:pBdr>
        <w:rPr>
          <w:noProof/>
        </w:rPr>
      </w:pPr>
    </w:p>
    <w:p w14:paraId="36DB90D6" w14:textId="77777777" w:rsidR="004A489F" w:rsidRPr="00201A9A" w:rsidRDefault="004A489F" w:rsidP="004A489F">
      <w:pPr>
        <w:rPr>
          <w:noProof/>
        </w:rPr>
        <w:sectPr w:rsidR="004A489F" w:rsidRPr="00201A9A" w:rsidSect="009C4ADF">
          <w:pgSz w:w="11907" w:h="16840" w:code="9"/>
          <w:pgMar w:top="1134" w:right="1418" w:bottom="1134" w:left="1418" w:header="709" w:footer="709" w:gutter="0"/>
          <w:cols w:space="708"/>
          <w:docGrid w:linePitch="360"/>
        </w:sectPr>
      </w:pPr>
    </w:p>
    <w:p w14:paraId="205020C2" w14:textId="77777777" w:rsidR="004A489F" w:rsidRPr="00201A9A" w:rsidRDefault="004A489F" w:rsidP="004A489F">
      <w:pPr>
        <w:pStyle w:val="ManualHeading1"/>
        <w:rPr>
          <w:bCs/>
          <w:noProof/>
          <w:szCs w:val="24"/>
        </w:rPr>
      </w:pPr>
      <w:bookmarkStart w:id="97" w:name="_Toc514938041"/>
      <w:bookmarkStart w:id="98" w:name="_Toc520485042"/>
      <w:bookmarkStart w:id="99" w:name="_Toc160804584"/>
      <w:bookmarkStart w:id="100" w:name="_Toc167220276"/>
      <w:bookmarkStart w:id="101" w:name="_Toc177549009"/>
      <w:r w:rsidRPr="00201A9A">
        <w:rPr>
          <w:noProof/>
        </w:rPr>
        <w:t>2.</w:t>
      </w:r>
      <w:r w:rsidRPr="00201A9A">
        <w:rPr>
          <w:noProof/>
        </w:rPr>
        <w:tab/>
        <w:t>ŚRODKI ZARZĄDZANIA</w:t>
      </w:r>
      <w:bookmarkEnd w:id="97"/>
      <w:bookmarkEnd w:id="98"/>
      <w:bookmarkEnd w:id="99"/>
      <w:bookmarkEnd w:id="100"/>
      <w:bookmarkEnd w:id="101"/>
      <w:r w:rsidRPr="00201A9A">
        <w:rPr>
          <w:noProof/>
        </w:rPr>
        <w:t xml:space="preserve"> </w:t>
      </w:r>
    </w:p>
    <w:p w14:paraId="3D05831A" w14:textId="261DDFF2" w:rsidR="004A489F" w:rsidRPr="00201A9A" w:rsidRDefault="004A489F" w:rsidP="004A489F">
      <w:pPr>
        <w:pStyle w:val="ManualHeading2"/>
        <w:rPr>
          <w:noProof/>
        </w:rPr>
      </w:pPr>
      <w:bookmarkStart w:id="102" w:name="_Toc514938042"/>
      <w:bookmarkStart w:id="103" w:name="_Toc520485043"/>
      <w:bookmarkStart w:id="104" w:name="_Toc160804585"/>
      <w:bookmarkStart w:id="105" w:name="_Toc167220277"/>
      <w:bookmarkStart w:id="106" w:name="_Toc177549010"/>
      <w:r w:rsidRPr="00201A9A">
        <w:rPr>
          <w:noProof/>
        </w:rPr>
        <w:t>2.1.</w:t>
      </w:r>
      <w:r w:rsidRPr="00201A9A">
        <w:rPr>
          <w:noProof/>
        </w:rPr>
        <w:tab/>
        <w:t>Zasady nadzoru</w:t>
      </w:r>
      <w:r w:rsidR="00201A9A" w:rsidRPr="00201A9A">
        <w:rPr>
          <w:noProof/>
        </w:rPr>
        <w:t xml:space="preserve"> i spr</w:t>
      </w:r>
      <w:r w:rsidRPr="00201A9A">
        <w:rPr>
          <w:noProof/>
        </w:rPr>
        <w:t>awozdawczości</w:t>
      </w:r>
      <w:bookmarkEnd w:id="102"/>
      <w:bookmarkEnd w:id="103"/>
      <w:bookmarkEnd w:id="104"/>
      <w:bookmarkEnd w:id="105"/>
      <w:bookmarkEnd w:id="106"/>
      <w:r w:rsidRPr="00201A9A">
        <w:rPr>
          <w:noProof/>
        </w:rPr>
        <w:t xml:space="preserve"> </w:t>
      </w:r>
    </w:p>
    <w:p w14:paraId="17834102" w14:textId="5D608EC6"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W celu monitorowania wdrażania Funduszu ustanowiony zostanie system wnioskowania</w:t>
      </w:r>
      <w:r w:rsidR="00201A9A" w:rsidRPr="00201A9A">
        <w:rPr>
          <w:noProof/>
        </w:rPr>
        <w:t xml:space="preserve"> o pła</w:t>
      </w:r>
      <w:r w:rsidRPr="00201A9A">
        <w:rPr>
          <w:noProof/>
        </w:rPr>
        <w:t>tności</w:t>
      </w:r>
      <w:r w:rsidR="00201A9A" w:rsidRPr="00201A9A">
        <w:rPr>
          <w:noProof/>
        </w:rPr>
        <w:t xml:space="preserve"> i rea</w:t>
      </w:r>
      <w:r w:rsidRPr="00201A9A">
        <w:rPr>
          <w:noProof/>
        </w:rPr>
        <w:t>lizację płatności</w:t>
      </w:r>
      <w:r w:rsidR="00201A9A" w:rsidRPr="00201A9A">
        <w:rPr>
          <w:noProof/>
        </w:rPr>
        <w:t xml:space="preserve"> z Fun</w:t>
      </w:r>
      <w:r w:rsidRPr="00201A9A">
        <w:rPr>
          <w:noProof/>
        </w:rPr>
        <w:t>duszu.</w:t>
      </w:r>
    </w:p>
    <w:p w14:paraId="2161A4EC" w14:textId="7FD4D77F"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Aby otrzymać środki</w:t>
      </w:r>
      <w:r w:rsidR="00201A9A" w:rsidRPr="00201A9A">
        <w:rPr>
          <w:noProof/>
        </w:rPr>
        <w:t xml:space="preserve"> z Fun</w:t>
      </w:r>
      <w:r w:rsidRPr="00201A9A">
        <w:rPr>
          <w:noProof/>
        </w:rPr>
        <w:t>duszu, państwa członkowskie powinny przedłożyć swoje plany partnerstwa krajowego</w:t>
      </w:r>
      <w:r w:rsidR="00201A9A" w:rsidRPr="00201A9A">
        <w:rPr>
          <w:noProof/>
        </w:rPr>
        <w:t xml:space="preserve"> i reg</w:t>
      </w:r>
      <w:r w:rsidRPr="00201A9A">
        <w:rPr>
          <w:noProof/>
        </w:rPr>
        <w:t>ionalnego</w:t>
      </w:r>
      <w:r w:rsidR="00201A9A" w:rsidRPr="00201A9A">
        <w:rPr>
          <w:noProof/>
        </w:rPr>
        <w:t xml:space="preserve"> w cel</w:t>
      </w:r>
      <w:r w:rsidRPr="00201A9A">
        <w:rPr>
          <w:noProof/>
        </w:rPr>
        <w:t>u określenia reform, inwestycji</w:t>
      </w:r>
      <w:r w:rsidR="00201A9A" w:rsidRPr="00201A9A">
        <w:rPr>
          <w:noProof/>
        </w:rPr>
        <w:t xml:space="preserve"> i inn</w:t>
      </w:r>
      <w:r w:rsidRPr="00201A9A">
        <w:rPr>
          <w:noProof/>
        </w:rPr>
        <w:t>ych interwencji, które mają zostać sfinansowane. Komisja ma ocenić te plany</w:t>
      </w:r>
      <w:r w:rsidR="00201A9A" w:rsidRPr="00201A9A">
        <w:rPr>
          <w:noProof/>
        </w:rPr>
        <w:t xml:space="preserve"> w opa</w:t>
      </w:r>
      <w:r w:rsidRPr="00201A9A">
        <w:rPr>
          <w:noProof/>
        </w:rPr>
        <w:t>rciu</w:t>
      </w:r>
      <w:r w:rsidR="00201A9A" w:rsidRPr="00201A9A">
        <w:rPr>
          <w:noProof/>
        </w:rPr>
        <w:t xml:space="preserve"> o wym</w:t>
      </w:r>
      <w:r w:rsidRPr="00201A9A">
        <w:rPr>
          <w:noProof/>
        </w:rPr>
        <w:t>ogi określone</w:t>
      </w:r>
      <w:r w:rsidR="00201A9A" w:rsidRPr="00201A9A">
        <w:rPr>
          <w:noProof/>
        </w:rPr>
        <w:t xml:space="preserve"> w nin</w:t>
      </w:r>
      <w:r w:rsidRPr="00201A9A">
        <w:rPr>
          <w:noProof/>
        </w:rPr>
        <w:t>iejszym rozporządzeniu. Wypłata wkładu finansowego nastąpi po wypełnieniu wcześniej określonych celów uzgodnionych</w:t>
      </w:r>
      <w:r w:rsidR="00201A9A" w:rsidRPr="00201A9A">
        <w:rPr>
          <w:noProof/>
        </w:rPr>
        <w:t xml:space="preserve"> z zai</w:t>
      </w:r>
      <w:r w:rsidRPr="00201A9A">
        <w:rPr>
          <w:noProof/>
        </w:rPr>
        <w:t>nteresowanymi państwami członkowskimi</w:t>
      </w:r>
      <w:r w:rsidR="00201A9A" w:rsidRPr="00201A9A">
        <w:rPr>
          <w:noProof/>
        </w:rPr>
        <w:t>. W tym</w:t>
      </w:r>
      <w:r w:rsidRPr="00201A9A">
        <w:rPr>
          <w:noProof/>
        </w:rPr>
        <w:t xml:space="preserve"> celu państwa członkowskie mogą składać wnioski</w:t>
      </w:r>
      <w:r w:rsidR="00201A9A" w:rsidRPr="00201A9A">
        <w:rPr>
          <w:noProof/>
        </w:rPr>
        <w:t xml:space="preserve"> o pła</w:t>
      </w:r>
      <w:r w:rsidRPr="00201A9A">
        <w:rPr>
          <w:noProof/>
        </w:rPr>
        <w:t>tność do sześciu razy</w:t>
      </w:r>
      <w:r w:rsidR="00201A9A" w:rsidRPr="00201A9A">
        <w:rPr>
          <w:noProof/>
        </w:rPr>
        <w:t xml:space="preserve"> w rok</w:t>
      </w:r>
      <w:r w:rsidRPr="00201A9A">
        <w:rPr>
          <w:noProof/>
        </w:rPr>
        <w:t>u zgodnie ze wzorem załączonym do niniejszego rozporządzenia.</w:t>
      </w:r>
    </w:p>
    <w:p w14:paraId="3A00B83E" w14:textId="77D183B6"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Wykonanie Funduszu będzie monitorowane za pomocą ram wykonania przewidzianych</w:t>
      </w:r>
      <w:r w:rsidR="00201A9A" w:rsidRPr="00201A9A">
        <w:rPr>
          <w:noProof/>
        </w:rPr>
        <w:t xml:space="preserve"> w roz</w:t>
      </w:r>
      <w:r w:rsidRPr="00201A9A">
        <w:rPr>
          <w:noProof/>
        </w:rPr>
        <w:t>porządzeniu</w:t>
      </w:r>
      <w:r w:rsidR="00201A9A" w:rsidRPr="00201A9A">
        <w:rPr>
          <w:noProof/>
        </w:rPr>
        <w:t xml:space="preserve"> w spr</w:t>
      </w:r>
      <w:r w:rsidRPr="00201A9A">
        <w:rPr>
          <w:noProof/>
        </w:rPr>
        <w:t>awie wykonania, którego dotyczy wniosek przedstawiany równolegle</w:t>
      </w:r>
      <w:r w:rsidR="00201A9A" w:rsidRPr="00201A9A">
        <w:rPr>
          <w:noProof/>
        </w:rPr>
        <w:t xml:space="preserve"> z wni</w:t>
      </w:r>
      <w:r w:rsidRPr="00201A9A">
        <w:rPr>
          <w:noProof/>
        </w:rPr>
        <w:t>oskiem dotyczącym niniejszego rozporządzenia,</w:t>
      </w:r>
      <w:r w:rsidR="00201A9A" w:rsidRPr="00201A9A">
        <w:rPr>
          <w:noProof/>
        </w:rPr>
        <w:t xml:space="preserve"> w tym</w:t>
      </w:r>
      <w:r w:rsidRPr="00201A9A">
        <w:rPr>
          <w:noProof/>
        </w:rPr>
        <w:t xml:space="preserve"> za pomocą wspólnego wykazu obszarów interwencji oraz wskaźników produktu</w:t>
      </w:r>
      <w:r w:rsidR="00201A9A" w:rsidRPr="00201A9A">
        <w:rPr>
          <w:noProof/>
        </w:rPr>
        <w:t xml:space="preserve"> i rez</w:t>
      </w:r>
      <w:r w:rsidRPr="00201A9A">
        <w:rPr>
          <w:noProof/>
        </w:rPr>
        <w:t>ultatu.</w:t>
      </w:r>
    </w:p>
    <w:p w14:paraId="48A8F971" w14:textId="39983A88"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Komisja opublikuje sprawozdanie</w:t>
      </w:r>
      <w:r w:rsidR="00201A9A" w:rsidRPr="00201A9A">
        <w:rPr>
          <w:noProof/>
        </w:rPr>
        <w:t xml:space="preserve"> z wdr</w:t>
      </w:r>
      <w:r w:rsidRPr="00201A9A">
        <w:rPr>
          <w:noProof/>
        </w:rPr>
        <w:t>ażania nie później niż cztery lata po rozpoczęciu realizacji programu, aby ocenić postępy</w:t>
      </w:r>
      <w:r w:rsidR="00201A9A" w:rsidRPr="00201A9A">
        <w:rPr>
          <w:noProof/>
        </w:rPr>
        <w:t xml:space="preserve"> w osi</w:t>
      </w:r>
      <w:r w:rsidRPr="00201A9A">
        <w:rPr>
          <w:noProof/>
        </w:rPr>
        <w:t>ąganiu celów programu. Najpóźniej trzy lata po zakończeniu okresu programowania programu Komisja przeprowadzi ocenę retrospektywną</w:t>
      </w:r>
      <w:r w:rsidR="00201A9A" w:rsidRPr="00201A9A">
        <w:rPr>
          <w:noProof/>
        </w:rPr>
        <w:t xml:space="preserve"> w cel</w:t>
      </w:r>
      <w:r w:rsidRPr="00201A9A">
        <w:rPr>
          <w:noProof/>
        </w:rPr>
        <w:t>u oceny skuteczności, efektywności, adekwatności, spójności</w:t>
      </w:r>
      <w:r w:rsidR="00201A9A" w:rsidRPr="00201A9A">
        <w:rPr>
          <w:noProof/>
        </w:rPr>
        <w:t xml:space="preserve"> i uni</w:t>
      </w:r>
      <w:r w:rsidRPr="00201A9A">
        <w:rPr>
          <w:noProof/>
        </w:rPr>
        <w:t xml:space="preserve">jnej wartości dodanej programu. </w:t>
      </w:r>
    </w:p>
    <w:p w14:paraId="15763281" w14:textId="1D64AA71" w:rsidR="004A489F" w:rsidRPr="00201A9A" w:rsidRDefault="004A489F" w:rsidP="004A489F">
      <w:pPr>
        <w:pStyle w:val="ManualHeading2"/>
        <w:rPr>
          <w:bCs/>
          <w:noProof/>
          <w:szCs w:val="24"/>
        </w:rPr>
      </w:pPr>
      <w:bookmarkStart w:id="107" w:name="_Toc514938045"/>
      <w:bookmarkStart w:id="108" w:name="_Toc520485044"/>
      <w:bookmarkStart w:id="109" w:name="_Toc160804586"/>
      <w:bookmarkStart w:id="110" w:name="_Toc167220278"/>
      <w:bookmarkStart w:id="111" w:name="_Toc177549011"/>
      <w:r w:rsidRPr="00201A9A">
        <w:rPr>
          <w:noProof/>
        </w:rPr>
        <w:t>2.2.</w:t>
      </w:r>
      <w:r w:rsidRPr="00201A9A">
        <w:rPr>
          <w:noProof/>
        </w:rPr>
        <w:tab/>
        <w:t>System zarządzania</w:t>
      </w:r>
      <w:r w:rsidR="00201A9A" w:rsidRPr="00201A9A">
        <w:rPr>
          <w:noProof/>
        </w:rPr>
        <w:t xml:space="preserve"> i kon</w:t>
      </w:r>
      <w:r w:rsidRPr="00201A9A">
        <w:rPr>
          <w:noProof/>
        </w:rPr>
        <w:t>troli</w:t>
      </w:r>
      <w:bookmarkEnd w:id="107"/>
      <w:bookmarkEnd w:id="108"/>
      <w:bookmarkEnd w:id="109"/>
      <w:bookmarkEnd w:id="110"/>
      <w:bookmarkEnd w:id="111"/>
      <w:r w:rsidRPr="00201A9A">
        <w:rPr>
          <w:noProof/>
        </w:rPr>
        <w:t xml:space="preserve"> </w:t>
      </w:r>
    </w:p>
    <w:p w14:paraId="727C3928" w14:textId="1ECE0DD0" w:rsidR="004A489F" w:rsidRPr="00201A9A" w:rsidRDefault="004A489F" w:rsidP="004A489F">
      <w:pPr>
        <w:pStyle w:val="ManualHeading3"/>
        <w:rPr>
          <w:noProof/>
        </w:rPr>
      </w:pPr>
      <w:bookmarkStart w:id="112" w:name="_Toc514938046"/>
      <w:bookmarkStart w:id="113" w:name="_Toc520485045"/>
      <w:bookmarkStart w:id="114" w:name="_Toc160804587"/>
      <w:bookmarkStart w:id="115" w:name="_Toc167220279"/>
      <w:bookmarkStart w:id="116" w:name="_Toc177549012"/>
      <w:r w:rsidRPr="00201A9A">
        <w:rPr>
          <w:noProof/>
        </w:rPr>
        <w:t>2.2.1.</w:t>
      </w:r>
      <w:r w:rsidRPr="00201A9A">
        <w:rPr>
          <w:noProof/>
        </w:rPr>
        <w:tab/>
        <w:t>Uzasadnienie dla proponowanych metod wykonania budżetu, mechanizmów finansowania wykonania, sposobów dokonywania płatności</w:t>
      </w:r>
      <w:r w:rsidR="00201A9A" w:rsidRPr="00201A9A">
        <w:rPr>
          <w:noProof/>
        </w:rPr>
        <w:t xml:space="preserve"> i str</w:t>
      </w:r>
      <w:r w:rsidRPr="00201A9A">
        <w:rPr>
          <w:noProof/>
        </w:rPr>
        <w:t>ategii kontroli</w:t>
      </w:r>
      <w:bookmarkEnd w:id="112"/>
      <w:bookmarkEnd w:id="113"/>
      <w:bookmarkEnd w:id="114"/>
      <w:bookmarkEnd w:id="115"/>
      <w:bookmarkEnd w:id="116"/>
    </w:p>
    <w:p w14:paraId="22A99983" w14:textId="1402DB5E"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Zarządzanie Funduszem, jego kontrola</w:t>
      </w:r>
      <w:r w:rsidR="00201A9A" w:rsidRPr="00201A9A">
        <w:rPr>
          <w:noProof/>
        </w:rPr>
        <w:t xml:space="preserve"> i aud</w:t>
      </w:r>
      <w:r w:rsidRPr="00201A9A">
        <w:rPr>
          <w:noProof/>
        </w:rPr>
        <w:t>yt będą regulowane przepisami szczegółowymi</w:t>
      </w:r>
      <w:r w:rsidR="00201A9A" w:rsidRPr="00201A9A">
        <w:rPr>
          <w:noProof/>
        </w:rPr>
        <w:t xml:space="preserve"> w cel</w:t>
      </w:r>
      <w:r w:rsidRPr="00201A9A">
        <w:rPr>
          <w:noProof/>
        </w:rPr>
        <w:t>u zapewnienia przejrzystości, rozliczalności</w:t>
      </w:r>
      <w:r w:rsidR="00201A9A" w:rsidRPr="00201A9A">
        <w:rPr>
          <w:noProof/>
        </w:rPr>
        <w:t xml:space="preserve"> i wła</w:t>
      </w:r>
      <w:r w:rsidRPr="00201A9A">
        <w:rPr>
          <w:noProof/>
        </w:rPr>
        <w:t>ściwego wykorzystania finansowania unijnego, zgodnie</w:t>
      </w:r>
      <w:r w:rsidR="00201A9A" w:rsidRPr="00201A9A">
        <w:rPr>
          <w:noProof/>
        </w:rPr>
        <w:t xml:space="preserve"> z maj</w:t>
      </w:r>
      <w:r w:rsidRPr="00201A9A">
        <w:rPr>
          <w:noProof/>
        </w:rPr>
        <w:t>ącym zastosowanie prawem</w:t>
      </w:r>
      <w:r w:rsidR="00201A9A" w:rsidRPr="00201A9A">
        <w:rPr>
          <w:noProof/>
        </w:rPr>
        <w:t xml:space="preserve"> i zas</w:t>
      </w:r>
      <w:r w:rsidRPr="00201A9A">
        <w:rPr>
          <w:noProof/>
        </w:rPr>
        <w:t xml:space="preserve">adą należytego zarządzania finansami. </w:t>
      </w:r>
    </w:p>
    <w:p w14:paraId="5F72F24E" w14:textId="48A6BBB0"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Rozporządzenie zawiera</w:t>
      </w:r>
      <w:r w:rsidR="00201A9A" w:rsidRPr="00201A9A">
        <w:rPr>
          <w:noProof/>
        </w:rPr>
        <w:t xml:space="preserve"> w szc</w:t>
      </w:r>
      <w:r w:rsidRPr="00201A9A">
        <w:rPr>
          <w:noProof/>
        </w:rPr>
        <w:t>zególności silne zabezpieczenia mające na celu zapewnienie solidności</w:t>
      </w:r>
      <w:r w:rsidR="00201A9A" w:rsidRPr="00201A9A">
        <w:rPr>
          <w:noProof/>
        </w:rPr>
        <w:t xml:space="preserve"> i jak</w:t>
      </w:r>
      <w:r w:rsidRPr="00201A9A">
        <w:rPr>
          <w:noProof/>
        </w:rPr>
        <w:t>ości krajowych systemów kontroli oraz umożliwienie skutecznych</w:t>
      </w:r>
      <w:r w:rsidR="00201A9A" w:rsidRPr="00201A9A">
        <w:rPr>
          <w:noProof/>
        </w:rPr>
        <w:t xml:space="preserve"> i ter</w:t>
      </w:r>
      <w:r w:rsidRPr="00201A9A">
        <w:rPr>
          <w:noProof/>
        </w:rPr>
        <w:t>minowych działań</w:t>
      </w:r>
      <w:r w:rsidR="00201A9A" w:rsidRPr="00201A9A">
        <w:rPr>
          <w:noProof/>
        </w:rPr>
        <w:t xml:space="preserve"> w prz</w:t>
      </w:r>
      <w:r w:rsidRPr="00201A9A">
        <w:rPr>
          <w:noProof/>
        </w:rPr>
        <w:t xml:space="preserve">ypadku niedociągnięć. </w:t>
      </w:r>
    </w:p>
    <w:p w14:paraId="57C6919F" w14:textId="6B56EAB4"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Kluczowe wymogi dotyczące systemów zarządzania</w:t>
      </w:r>
      <w:r w:rsidR="00201A9A" w:rsidRPr="00201A9A">
        <w:rPr>
          <w:noProof/>
        </w:rPr>
        <w:t xml:space="preserve"> i kon</w:t>
      </w:r>
      <w:r w:rsidRPr="00201A9A">
        <w:rPr>
          <w:noProof/>
        </w:rPr>
        <w:t>troli państw członkowskich,</w:t>
      </w:r>
      <w:r w:rsidR="00201A9A" w:rsidRPr="00201A9A">
        <w:rPr>
          <w:noProof/>
        </w:rPr>
        <w:t xml:space="preserve"> w tym</w:t>
      </w:r>
      <w:r w:rsidRPr="00201A9A">
        <w:rPr>
          <w:noProof/>
        </w:rPr>
        <w:t xml:space="preserve"> dotyczące zapobiegania przypadkom nadużyć finansowych, korupcji</w:t>
      </w:r>
      <w:r w:rsidR="00201A9A" w:rsidRPr="00201A9A">
        <w:rPr>
          <w:noProof/>
        </w:rPr>
        <w:t xml:space="preserve"> i kon</w:t>
      </w:r>
      <w:r w:rsidRPr="00201A9A">
        <w:rPr>
          <w:noProof/>
        </w:rPr>
        <w:t>fliktów interesów, ich wykrywania</w:t>
      </w:r>
      <w:r w:rsidR="00201A9A" w:rsidRPr="00201A9A">
        <w:rPr>
          <w:noProof/>
        </w:rPr>
        <w:t xml:space="preserve"> i kor</w:t>
      </w:r>
      <w:r w:rsidRPr="00201A9A">
        <w:rPr>
          <w:noProof/>
        </w:rPr>
        <w:t>ygowania,</w:t>
      </w:r>
      <w:r w:rsidR="00201A9A" w:rsidRPr="00201A9A">
        <w:rPr>
          <w:noProof/>
        </w:rPr>
        <w:t xml:space="preserve"> a tak</w:t>
      </w:r>
      <w:r w:rsidRPr="00201A9A">
        <w:rPr>
          <w:noProof/>
        </w:rPr>
        <w:t>że zgodności</w:t>
      </w:r>
      <w:r w:rsidR="00201A9A" w:rsidRPr="00201A9A">
        <w:rPr>
          <w:noProof/>
        </w:rPr>
        <w:t xml:space="preserve"> z maj</w:t>
      </w:r>
      <w:r w:rsidRPr="00201A9A">
        <w:rPr>
          <w:noProof/>
        </w:rPr>
        <w:t>ącym zastosowanie prawem,</w:t>
      </w:r>
      <w:r w:rsidR="00201A9A" w:rsidRPr="00201A9A">
        <w:rPr>
          <w:noProof/>
        </w:rPr>
        <w:t xml:space="preserve"> w tym z zas</w:t>
      </w:r>
      <w:r w:rsidRPr="00201A9A">
        <w:rPr>
          <w:noProof/>
        </w:rPr>
        <w:t>adami dotyczącymi zamówień publicznych</w:t>
      </w:r>
      <w:r w:rsidR="00201A9A" w:rsidRPr="00201A9A">
        <w:rPr>
          <w:noProof/>
        </w:rPr>
        <w:t xml:space="preserve"> i zas</w:t>
      </w:r>
      <w:r w:rsidRPr="00201A9A">
        <w:rPr>
          <w:noProof/>
        </w:rPr>
        <w:t xml:space="preserve">adami pomocy państwa, będą jasno określone </w:t>
      </w:r>
      <w:r w:rsidRPr="00201A9A">
        <w:rPr>
          <w:i/>
          <w:noProof/>
        </w:rPr>
        <w:t>ex ante</w:t>
      </w:r>
      <w:r w:rsidR="00201A9A" w:rsidRPr="00201A9A">
        <w:rPr>
          <w:noProof/>
        </w:rPr>
        <w:t xml:space="preserve"> i będ</w:t>
      </w:r>
      <w:r w:rsidRPr="00201A9A">
        <w:rPr>
          <w:noProof/>
        </w:rPr>
        <w:t>ą musiały być spełnione przez cały okres wdrażania.</w:t>
      </w:r>
      <w:r w:rsidR="00201A9A" w:rsidRPr="00201A9A">
        <w:rPr>
          <w:noProof/>
        </w:rPr>
        <w:t xml:space="preserve"> </w:t>
      </w:r>
      <w:r w:rsidRPr="00201A9A">
        <w:rPr>
          <w:noProof/>
        </w:rPr>
        <w:t>Przed zatwierdzeniem każdego planu Komisja oceni, czy państwa członkowskie dysponują odpowiednimi rozwiązaniami umożliwiającymi spełnienie tych wymogów</w:t>
      </w:r>
      <w:r w:rsidR="00201A9A" w:rsidRPr="00201A9A">
        <w:rPr>
          <w:noProof/>
        </w:rPr>
        <w:t xml:space="preserve"> i zap</w:t>
      </w:r>
      <w:r w:rsidRPr="00201A9A">
        <w:rPr>
          <w:noProof/>
        </w:rPr>
        <w:t>ewnienie ochrony interesów finansowych Unii. Wymogi te powinny umożliwić maksymalne wykorzystanie istniejących już struktur zarządzania funduszami UE,</w:t>
      </w:r>
      <w:r w:rsidR="00201A9A" w:rsidRPr="00201A9A">
        <w:rPr>
          <w:noProof/>
        </w:rPr>
        <w:t xml:space="preserve"> z ewe</w:t>
      </w:r>
      <w:r w:rsidRPr="00201A9A">
        <w:rPr>
          <w:noProof/>
        </w:rPr>
        <w:t>ntualnymi dostosowaniami ich procedur</w:t>
      </w:r>
      <w:r w:rsidR="00201A9A" w:rsidRPr="00201A9A">
        <w:rPr>
          <w:noProof/>
        </w:rPr>
        <w:t xml:space="preserve"> w cel</w:t>
      </w:r>
      <w:r w:rsidRPr="00201A9A">
        <w:rPr>
          <w:noProof/>
        </w:rPr>
        <w:t>u zapewnienia odpowiedniej pewności</w:t>
      </w:r>
      <w:r w:rsidR="00201A9A" w:rsidRPr="00201A9A">
        <w:rPr>
          <w:noProof/>
        </w:rPr>
        <w:t>. W prz</w:t>
      </w:r>
      <w:r w:rsidRPr="00201A9A">
        <w:rPr>
          <w:noProof/>
        </w:rPr>
        <w:t xml:space="preserve">ypadku poważnego niedociągnięcia państwa członkowskie będą musiały podjąć działania naprawcze przed dokonaniem płatności. </w:t>
      </w:r>
    </w:p>
    <w:p w14:paraId="77CD6131" w14:textId="1F7942D0"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Poziom</w:t>
      </w:r>
      <w:r w:rsidR="00201A9A" w:rsidRPr="00201A9A">
        <w:rPr>
          <w:noProof/>
        </w:rPr>
        <w:t xml:space="preserve"> i int</w:t>
      </w:r>
      <w:r w:rsidRPr="00201A9A">
        <w:rPr>
          <w:noProof/>
        </w:rPr>
        <w:t>ensywność kontroli są dostosowane do opartego na celach modelu realizacji Funduszu</w:t>
      </w:r>
      <w:r w:rsidR="00201A9A" w:rsidRPr="00201A9A">
        <w:rPr>
          <w:noProof/>
        </w:rPr>
        <w:t xml:space="preserve"> i opi</w:t>
      </w:r>
      <w:r w:rsidRPr="00201A9A">
        <w:rPr>
          <w:noProof/>
        </w:rPr>
        <w:t>erają się na jasnej kolejności</w:t>
      </w:r>
      <w:r w:rsidR="00201A9A" w:rsidRPr="00201A9A">
        <w:rPr>
          <w:noProof/>
        </w:rPr>
        <w:t xml:space="preserve"> i pod</w:t>
      </w:r>
      <w:r w:rsidRPr="00201A9A">
        <w:rPr>
          <w:noProof/>
        </w:rPr>
        <w:t>ziale obowiązków między Komisję</w:t>
      </w:r>
      <w:r w:rsidR="00201A9A" w:rsidRPr="00201A9A">
        <w:rPr>
          <w:noProof/>
        </w:rPr>
        <w:t xml:space="preserve"> a pań</w:t>
      </w:r>
      <w:r w:rsidRPr="00201A9A">
        <w:rPr>
          <w:noProof/>
        </w:rPr>
        <w:t>stwa członkowskie.</w:t>
      </w:r>
    </w:p>
    <w:p w14:paraId="1D168C3D" w14:textId="0B89DC0F"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Zgodnie</w:t>
      </w:r>
      <w:r w:rsidR="00201A9A" w:rsidRPr="00201A9A">
        <w:rPr>
          <w:noProof/>
        </w:rPr>
        <w:t xml:space="preserve"> z mod</w:t>
      </w:r>
      <w:r w:rsidRPr="00201A9A">
        <w:rPr>
          <w:noProof/>
        </w:rPr>
        <w:t>elem „jednolitej kontroli” audyty Komisji</w:t>
      </w:r>
      <w:r w:rsidR="00201A9A" w:rsidRPr="00201A9A">
        <w:rPr>
          <w:noProof/>
        </w:rPr>
        <w:t xml:space="preserve"> w ram</w:t>
      </w:r>
      <w:r w:rsidRPr="00201A9A">
        <w:rPr>
          <w:noProof/>
        </w:rPr>
        <w:t>ach zarządzania dzielonego będą przede wszystkim obejmować audyty systemów, aby uniknąć powielania kontroli</w:t>
      </w:r>
      <w:r w:rsidR="00201A9A" w:rsidRPr="00201A9A">
        <w:rPr>
          <w:noProof/>
        </w:rPr>
        <w:t xml:space="preserve"> i aud</w:t>
      </w:r>
      <w:r w:rsidRPr="00201A9A">
        <w:rPr>
          <w:noProof/>
        </w:rPr>
        <w:t>ytów oraz zmniejszyć obciążenie administracyjne,</w:t>
      </w:r>
      <w:r w:rsidR="00201A9A" w:rsidRPr="00201A9A">
        <w:rPr>
          <w:noProof/>
        </w:rPr>
        <w:t xml:space="preserve"> a tym</w:t>
      </w:r>
      <w:r w:rsidRPr="00201A9A">
        <w:rPr>
          <w:noProof/>
        </w:rPr>
        <w:t xml:space="preserve"> samym zaspokoić potrzeby</w:t>
      </w:r>
      <w:r w:rsidR="00201A9A" w:rsidRPr="00201A9A">
        <w:rPr>
          <w:noProof/>
        </w:rPr>
        <w:t xml:space="preserve"> w zak</w:t>
      </w:r>
      <w:r w:rsidRPr="00201A9A">
        <w:rPr>
          <w:noProof/>
        </w:rPr>
        <w:t>resie uproszczenia</w:t>
      </w:r>
      <w:r w:rsidR="00201A9A" w:rsidRPr="00201A9A">
        <w:rPr>
          <w:noProof/>
        </w:rPr>
        <w:t xml:space="preserve"> i prz</w:t>
      </w:r>
      <w:r w:rsidRPr="00201A9A">
        <w:rPr>
          <w:noProof/>
        </w:rPr>
        <w:t>ewidywalności. Instytucja audytowa powinna przeprowadzać audyty</w:t>
      </w:r>
      <w:r w:rsidR="00201A9A" w:rsidRPr="00201A9A">
        <w:rPr>
          <w:noProof/>
        </w:rPr>
        <w:t xml:space="preserve"> i zap</w:t>
      </w:r>
      <w:r w:rsidRPr="00201A9A">
        <w:rPr>
          <w:noProof/>
        </w:rPr>
        <w:t>ewniać, aby opinie audytowe przedstawiane Komisji były wiarygodne. Te opinie audytowe powinny dać Komisji pewność, że systemy zarządzania</w:t>
      </w:r>
      <w:r w:rsidR="00201A9A" w:rsidRPr="00201A9A">
        <w:rPr>
          <w:noProof/>
        </w:rPr>
        <w:t xml:space="preserve"> i kon</w:t>
      </w:r>
      <w:r w:rsidRPr="00201A9A">
        <w:rPr>
          <w:noProof/>
        </w:rPr>
        <w:t>troli państwa członkowskiego funkcjonują prawidłowo oraz że twierdzenia zawarte</w:t>
      </w:r>
      <w:r w:rsidR="00201A9A" w:rsidRPr="00201A9A">
        <w:rPr>
          <w:noProof/>
        </w:rPr>
        <w:t xml:space="preserve"> w dek</w:t>
      </w:r>
      <w:r w:rsidRPr="00201A9A">
        <w:rPr>
          <w:noProof/>
        </w:rPr>
        <w:t>laracji zarządczej przedłożonej przez jednostkę koordynującą są prawidłowe.  </w:t>
      </w:r>
    </w:p>
    <w:p w14:paraId="050EC852" w14:textId="08ED1B92"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Komisja zachowa jednak możliwość przeprowadzania bardziej ukierunkowanych kontroli, na przykład</w:t>
      </w:r>
      <w:r w:rsidR="00201A9A" w:rsidRPr="00201A9A">
        <w:rPr>
          <w:noProof/>
        </w:rPr>
        <w:t xml:space="preserve"> w prz</w:t>
      </w:r>
      <w:r w:rsidRPr="00201A9A">
        <w:rPr>
          <w:noProof/>
        </w:rPr>
        <w:t>ypadku szczególnego ryzyka lub podejrzenia nadużyć finansowych, korupcji, konfliktów interesów lub poważnego naruszenia przez państwo członkowskie jego obowiązków, oraz będzie działać terminowo</w:t>
      </w:r>
      <w:r w:rsidR="00201A9A" w:rsidRPr="00201A9A">
        <w:rPr>
          <w:noProof/>
        </w:rPr>
        <w:t xml:space="preserve"> i pro</w:t>
      </w:r>
      <w:r w:rsidRPr="00201A9A">
        <w:rPr>
          <w:noProof/>
        </w:rPr>
        <w:t>porcjonalnie, jeżeli państwa członkowskie nie usuną niedociągnięć we właściwy sposób.</w:t>
      </w:r>
    </w:p>
    <w:p w14:paraId="2327A232" w14:textId="7491230A" w:rsidR="004A489F" w:rsidRPr="00201A9A" w:rsidRDefault="004A489F" w:rsidP="004A489F">
      <w:pPr>
        <w:pStyle w:val="ManualHeading3"/>
        <w:rPr>
          <w:bCs/>
          <w:noProof/>
          <w:szCs w:val="24"/>
        </w:rPr>
      </w:pPr>
      <w:bookmarkStart w:id="117" w:name="_Toc514938047"/>
      <w:bookmarkStart w:id="118" w:name="_Toc520485046"/>
      <w:bookmarkStart w:id="119" w:name="_Toc160804588"/>
      <w:bookmarkStart w:id="120" w:name="_Toc167220280"/>
      <w:bookmarkStart w:id="121" w:name="_Toc177549013"/>
      <w:r w:rsidRPr="00201A9A">
        <w:rPr>
          <w:noProof/>
        </w:rPr>
        <w:t>2.2.2.</w:t>
      </w:r>
      <w:r w:rsidRPr="00201A9A">
        <w:rPr>
          <w:noProof/>
        </w:rPr>
        <w:tab/>
        <w:t>Informacje dotyczące zidentyfikowanego ryzyka</w:t>
      </w:r>
      <w:r w:rsidR="00201A9A" w:rsidRPr="00201A9A">
        <w:rPr>
          <w:noProof/>
        </w:rPr>
        <w:t xml:space="preserve"> i sys</w:t>
      </w:r>
      <w:r w:rsidRPr="00201A9A">
        <w:rPr>
          <w:noProof/>
        </w:rPr>
        <w:t>temów kontroli wewnętrznej ustanowionych</w:t>
      </w:r>
      <w:r w:rsidR="00201A9A" w:rsidRPr="00201A9A">
        <w:rPr>
          <w:noProof/>
        </w:rPr>
        <w:t xml:space="preserve"> w cel</w:t>
      </w:r>
      <w:r w:rsidRPr="00201A9A">
        <w:rPr>
          <w:noProof/>
        </w:rPr>
        <w:t>u jego ograniczenia</w:t>
      </w:r>
      <w:bookmarkEnd w:id="117"/>
      <w:bookmarkEnd w:id="118"/>
      <w:bookmarkEnd w:id="119"/>
      <w:bookmarkEnd w:id="120"/>
      <w:bookmarkEnd w:id="121"/>
    </w:p>
    <w:p w14:paraId="428618AD" w14:textId="3DA39998"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Ryzyko dotyczy głównie nieprawidłowości lub poważnego niewypełnienia przez państwa członkowskie obowiązków wynikających</w:t>
      </w:r>
      <w:r w:rsidR="00201A9A" w:rsidRPr="00201A9A">
        <w:rPr>
          <w:noProof/>
        </w:rPr>
        <w:t xml:space="preserve"> z nin</w:t>
      </w:r>
      <w:r w:rsidRPr="00201A9A">
        <w:rPr>
          <w:noProof/>
        </w:rPr>
        <w:t>iejszego rozporządzenia,</w:t>
      </w:r>
      <w:r w:rsidR="00201A9A" w:rsidRPr="00201A9A">
        <w:rPr>
          <w:noProof/>
        </w:rPr>
        <w:t xml:space="preserve"> w szc</w:t>
      </w:r>
      <w:r w:rsidRPr="00201A9A">
        <w:rPr>
          <w:noProof/>
        </w:rPr>
        <w:t>zególności</w:t>
      </w:r>
      <w:r w:rsidR="00201A9A" w:rsidRPr="00201A9A">
        <w:rPr>
          <w:noProof/>
        </w:rPr>
        <w:t xml:space="preserve"> w odn</w:t>
      </w:r>
      <w:r w:rsidRPr="00201A9A">
        <w:rPr>
          <w:noProof/>
        </w:rPr>
        <w:t>iesieniu do ochrony interesów finansowych Unii oraz przestrzegania warunków horyzontalnych dotyczących państwa prawnego</w:t>
      </w:r>
      <w:r w:rsidR="00201A9A" w:rsidRPr="00201A9A">
        <w:rPr>
          <w:noProof/>
        </w:rPr>
        <w:t xml:space="preserve"> i Kar</w:t>
      </w:r>
      <w:r w:rsidRPr="00201A9A">
        <w:rPr>
          <w:noProof/>
        </w:rPr>
        <w:t>ty.</w:t>
      </w:r>
    </w:p>
    <w:p w14:paraId="2D6D8DC0" w14:textId="52DF0B98"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Aby chronić interesy finansowe Unii, proponowanym rozporządzeniem ustanawia się proporcjonalne środki na szczeblu państw członkowskich</w:t>
      </w:r>
      <w:r w:rsidR="00201A9A" w:rsidRPr="00201A9A">
        <w:rPr>
          <w:noProof/>
        </w:rPr>
        <w:t xml:space="preserve"> i Kom</w:t>
      </w:r>
      <w:r w:rsidRPr="00201A9A">
        <w:rPr>
          <w:noProof/>
        </w:rPr>
        <w:t>isji, zgodnie</w:t>
      </w:r>
      <w:r w:rsidR="00201A9A" w:rsidRPr="00201A9A">
        <w:rPr>
          <w:noProof/>
        </w:rPr>
        <w:t xml:space="preserve"> z ich</w:t>
      </w:r>
      <w:r w:rsidRPr="00201A9A">
        <w:rPr>
          <w:noProof/>
        </w:rPr>
        <w:t xml:space="preserve"> odpowiednimi obowiązkami. </w:t>
      </w:r>
    </w:p>
    <w:p w14:paraId="5EE3BD9D" w14:textId="4A1C37EA"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Państwa członkowskie są zobowiązane do utrzymywania solidnych systemów zarządzania, kontroli</w:t>
      </w:r>
      <w:r w:rsidR="00201A9A" w:rsidRPr="00201A9A">
        <w:rPr>
          <w:noProof/>
        </w:rPr>
        <w:t xml:space="preserve"> i aud</w:t>
      </w:r>
      <w:r w:rsidRPr="00201A9A">
        <w:rPr>
          <w:noProof/>
        </w:rPr>
        <w:t>ytu</w:t>
      </w:r>
      <w:r w:rsidR="00201A9A" w:rsidRPr="00201A9A">
        <w:rPr>
          <w:noProof/>
        </w:rPr>
        <w:t xml:space="preserve"> w cel</w:t>
      </w:r>
      <w:r w:rsidRPr="00201A9A">
        <w:rPr>
          <w:noProof/>
        </w:rPr>
        <w:t>u zapewniania zgodności ze wszystkimi kluczowymi wymogami przez cały okres wdrażania oraz przedstawiania co roku pakietu dokumentów dotyczących poświadczenia wiarygodności służącego sporządzaniu sprawozdań na temat należytego</w:t>
      </w:r>
      <w:r w:rsidR="00201A9A" w:rsidRPr="00201A9A">
        <w:rPr>
          <w:noProof/>
        </w:rPr>
        <w:t xml:space="preserve"> i pra</w:t>
      </w:r>
      <w:r w:rsidRPr="00201A9A">
        <w:rPr>
          <w:noProof/>
        </w:rPr>
        <w:t>widłowego wykorzystania środków finansowych.</w:t>
      </w:r>
    </w:p>
    <w:p w14:paraId="61EE1915" w14:textId="231BA5EC"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r w:rsidRPr="00201A9A">
        <w:rPr>
          <w:noProof/>
        </w:rPr>
        <w:t>Komisja będzie przeprowadzać regularne audyty prac prowadzonych przez organy krajowe</w:t>
      </w:r>
      <w:r w:rsidR="00201A9A" w:rsidRPr="00201A9A">
        <w:rPr>
          <w:noProof/>
        </w:rPr>
        <w:t xml:space="preserve"> w cel</w:t>
      </w:r>
      <w:r w:rsidRPr="00201A9A">
        <w:rPr>
          <w:noProof/>
        </w:rPr>
        <w:t>u oceny rzetelności</w:t>
      </w:r>
      <w:r w:rsidR="00201A9A" w:rsidRPr="00201A9A">
        <w:rPr>
          <w:noProof/>
        </w:rPr>
        <w:t xml:space="preserve"> i wia</w:t>
      </w:r>
      <w:r w:rsidRPr="00201A9A">
        <w:rPr>
          <w:noProof/>
        </w:rPr>
        <w:t>rygodności procedur krajowych oraz,</w:t>
      </w:r>
      <w:r w:rsidR="00201A9A" w:rsidRPr="00201A9A">
        <w:rPr>
          <w:noProof/>
        </w:rPr>
        <w:t xml:space="preserve"> w sto</w:t>
      </w:r>
      <w:r w:rsidRPr="00201A9A">
        <w:rPr>
          <w:noProof/>
        </w:rPr>
        <w:t>sownych przypadkach, wydawać zalecenia wraz</w:t>
      </w:r>
      <w:r w:rsidR="00201A9A" w:rsidRPr="00201A9A">
        <w:rPr>
          <w:noProof/>
        </w:rPr>
        <w:t xml:space="preserve"> z jas</w:t>
      </w:r>
      <w:r w:rsidRPr="00201A9A">
        <w:rPr>
          <w:noProof/>
        </w:rPr>
        <w:t>nym harmonogramem wdrażania</w:t>
      </w:r>
      <w:r w:rsidR="00201A9A" w:rsidRPr="00201A9A">
        <w:rPr>
          <w:noProof/>
        </w:rPr>
        <w:t xml:space="preserve"> w cel</w:t>
      </w:r>
      <w:r w:rsidRPr="00201A9A">
        <w:rPr>
          <w:noProof/>
        </w:rPr>
        <w:t>u usunięcia niedociągnięć. Możliwe będzie zablokowanie płatności</w:t>
      </w:r>
      <w:r w:rsidR="00201A9A" w:rsidRPr="00201A9A">
        <w:rPr>
          <w:noProof/>
        </w:rPr>
        <w:t xml:space="preserve"> w dow</w:t>
      </w:r>
      <w:r w:rsidRPr="00201A9A">
        <w:rPr>
          <w:noProof/>
        </w:rPr>
        <w:t>olnym momencie</w:t>
      </w:r>
      <w:r w:rsidR="00201A9A" w:rsidRPr="00201A9A">
        <w:rPr>
          <w:noProof/>
        </w:rPr>
        <w:t xml:space="preserve"> w tra</w:t>
      </w:r>
      <w:r w:rsidRPr="00201A9A">
        <w:rPr>
          <w:noProof/>
        </w:rPr>
        <w:t>kcie realizacji</w:t>
      </w:r>
      <w:r w:rsidR="00201A9A" w:rsidRPr="00201A9A">
        <w:rPr>
          <w:noProof/>
        </w:rPr>
        <w:t xml:space="preserve"> i zgo</w:t>
      </w:r>
      <w:r w:rsidRPr="00201A9A">
        <w:rPr>
          <w:noProof/>
        </w:rPr>
        <w:t>dnie</w:t>
      </w:r>
      <w:r w:rsidR="00201A9A" w:rsidRPr="00201A9A">
        <w:rPr>
          <w:noProof/>
        </w:rPr>
        <w:t xml:space="preserve"> z zas</w:t>
      </w:r>
      <w:r w:rsidRPr="00201A9A">
        <w:rPr>
          <w:noProof/>
        </w:rPr>
        <w:t>adą proporcjonalności,</w:t>
      </w:r>
      <w:r w:rsidR="00201A9A" w:rsidRPr="00201A9A">
        <w:rPr>
          <w:noProof/>
        </w:rPr>
        <w:t xml:space="preserve"> z uwz</w:t>
      </w:r>
      <w:r w:rsidRPr="00201A9A">
        <w:rPr>
          <w:noProof/>
        </w:rPr>
        <w:t>ględnieniem charakteru, czasu trwania, wagi</w:t>
      </w:r>
      <w:r w:rsidR="00201A9A" w:rsidRPr="00201A9A">
        <w:rPr>
          <w:noProof/>
        </w:rPr>
        <w:t xml:space="preserve"> i zak</w:t>
      </w:r>
      <w:r w:rsidRPr="00201A9A">
        <w:rPr>
          <w:noProof/>
        </w:rPr>
        <w:t>resu stwierdzonego niedociągnięcia. </w:t>
      </w:r>
    </w:p>
    <w:p w14:paraId="06452DCC" w14:textId="0DEFCF67" w:rsidR="004A489F" w:rsidRPr="00201A9A" w:rsidRDefault="004A489F" w:rsidP="004A489F">
      <w:pPr>
        <w:pStyle w:val="ManualHeading3"/>
        <w:rPr>
          <w:noProof/>
        </w:rPr>
      </w:pPr>
      <w:bookmarkStart w:id="122" w:name="_Toc514938048"/>
      <w:bookmarkStart w:id="123" w:name="_Toc520485047"/>
      <w:bookmarkStart w:id="124" w:name="_Toc160804589"/>
      <w:bookmarkStart w:id="125" w:name="_Toc167220281"/>
      <w:bookmarkStart w:id="126" w:name="_Toc177549014"/>
      <w:r w:rsidRPr="00201A9A">
        <w:rPr>
          <w:noProof/>
        </w:rPr>
        <w:t>2.2.3.</w:t>
      </w:r>
      <w:r w:rsidRPr="00201A9A">
        <w:rPr>
          <w:noProof/>
        </w:rPr>
        <w:tab/>
        <w:t>Oszacowanie</w:t>
      </w:r>
      <w:r w:rsidR="00201A9A" w:rsidRPr="00201A9A">
        <w:rPr>
          <w:noProof/>
        </w:rPr>
        <w:t xml:space="preserve"> i uza</w:t>
      </w:r>
      <w:r w:rsidRPr="00201A9A">
        <w:rPr>
          <w:noProof/>
        </w:rPr>
        <w:t>sadnienie efektywności kosztowej kontroli (relacja kosztów kontroli do wartości zarządzanych funduszy powiązanych) oraz ocena prawdopodobnego ryzyka błędu (przy płatności</w:t>
      </w:r>
      <w:r w:rsidR="00201A9A" w:rsidRPr="00201A9A">
        <w:rPr>
          <w:noProof/>
        </w:rPr>
        <w:t xml:space="preserve"> i prz</w:t>
      </w:r>
      <w:r w:rsidRPr="00201A9A">
        <w:rPr>
          <w:noProof/>
        </w:rPr>
        <w:t>y zamykaniu)</w:t>
      </w:r>
      <w:bookmarkEnd w:id="122"/>
      <w:bookmarkEnd w:id="123"/>
      <w:bookmarkEnd w:id="124"/>
      <w:bookmarkEnd w:id="125"/>
      <w:bookmarkEnd w:id="126"/>
      <w:r w:rsidRPr="00201A9A">
        <w:rPr>
          <w:noProof/>
        </w:rPr>
        <w:t xml:space="preserve"> </w:t>
      </w:r>
    </w:p>
    <w:p w14:paraId="26FAA58E" w14:textId="77777777" w:rsidR="00C104B5" w:rsidRPr="00201A9A" w:rsidRDefault="00C104B5" w:rsidP="000458B2">
      <w:pPr>
        <w:pStyle w:val="Text1"/>
        <w:pBdr>
          <w:top w:val="single" w:sz="4" w:space="1" w:color="auto"/>
          <w:left w:val="single" w:sz="4" w:space="4" w:color="auto"/>
          <w:bottom w:val="single" w:sz="4" w:space="0" w:color="auto"/>
          <w:right w:val="single" w:sz="4" w:space="4" w:color="auto"/>
        </w:pBdr>
        <w:rPr>
          <w:noProof/>
        </w:rPr>
      </w:pPr>
    </w:p>
    <w:p w14:paraId="78AE0622" w14:textId="1250C04C" w:rsidR="007A4833" w:rsidRPr="00201A9A" w:rsidRDefault="007A4833" w:rsidP="000458B2">
      <w:pPr>
        <w:pStyle w:val="Text1"/>
        <w:pBdr>
          <w:top w:val="single" w:sz="4" w:space="1" w:color="auto"/>
          <w:left w:val="single" w:sz="4" w:space="4" w:color="auto"/>
          <w:bottom w:val="single" w:sz="4" w:space="0" w:color="auto"/>
          <w:right w:val="single" w:sz="4" w:space="4" w:color="auto"/>
        </w:pBdr>
        <w:rPr>
          <w:noProof/>
        </w:rPr>
      </w:pPr>
      <w:r w:rsidRPr="00201A9A">
        <w:rPr>
          <w:noProof/>
        </w:rPr>
        <w:t>Dokonywana przez Komisję ocena poziomu ryzyka</w:t>
      </w:r>
      <w:r w:rsidR="00201A9A" w:rsidRPr="00201A9A">
        <w:rPr>
          <w:noProof/>
        </w:rPr>
        <w:t xml:space="preserve"> w mom</w:t>
      </w:r>
      <w:r w:rsidRPr="00201A9A">
        <w:rPr>
          <w:noProof/>
        </w:rPr>
        <w:t>encie dokonywania płatności</w:t>
      </w:r>
      <w:r w:rsidR="00201A9A" w:rsidRPr="00201A9A">
        <w:rPr>
          <w:noProof/>
        </w:rPr>
        <w:t xml:space="preserve"> i w mom</w:t>
      </w:r>
      <w:r w:rsidRPr="00201A9A">
        <w:rPr>
          <w:noProof/>
        </w:rPr>
        <w:t>encie zamknięcia będzie oparta na zestawie kryteriów, np. profilu ryzyka kamieni milowych</w:t>
      </w:r>
      <w:r w:rsidR="00201A9A" w:rsidRPr="00201A9A">
        <w:rPr>
          <w:noProof/>
        </w:rPr>
        <w:t xml:space="preserve"> i war</w:t>
      </w:r>
      <w:r w:rsidRPr="00201A9A">
        <w:rPr>
          <w:noProof/>
        </w:rPr>
        <w:t>tości docelowych, informacji zawartych</w:t>
      </w:r>
      <w:r w:rsidR="00201A9A" w:rsidRPr="00201A9A">
        <w:rPr>
          <w:noProof/>
        </w:rPr>
        <w:t xml:space="preserve"> w roc</w:t>
      </w:r>
      <w:r w:rsidRPr="00201A9A">
        <w:rPr>
          <w:noProof/>
        </w:rPr>
        <w:t>znym pakiecie dokumentów na potrzeby poświadczenia wiarygodności przedkładanym przez państwa członkowskie,</w:t>
      </w:r>
      <w:r w:rsidR="00201A9A" w:rsidRPr="00201A9A">
        <w:rPr>
          <w:noProof/>
        </w:rPr>
        <w:t xml:space="preserve"> w szc</w:t>
      </w:r>
      <w:r w:rsidRPr="00201A9A">
        <w:rPr>
          <w:noProof/>
        </w:rPr>
        <w:t>zególności na podsumowaniu audytów przeprowadzonych przez organy krajowe, wynikach audytów własnych Komisji,</w:t>
      </w:r>
      <w:r w:rsidR="00201A9A" w:rsidRPr="00201A9A">
        <w:rPr>
          <w:noProof/>
        </w:rPr>
        <w:t xml:space="preserve"> a tak</w:t>
      </w:r>
      <w:r w:rsidRPr="00201A9A">
        <w:rPr>
          <w:noProof/>
        </w:rPr>
        <w:t>że na ustaleniach</w:t>
      </w:r>
      <w:r w:rsidR="00201A9A" w:rsidRPr="00201A9A">
        <w:rPr>
          <w:noProof/>
        </w:rPr>
        <w:t xml:space="preserve"> z kon</w:t>
      </w:r>
      <w:r w:rsidRPr="00201A9A">
        <w:rPr>
          <w:noProof/>
        </w:rPr>
        <w:t>troli Służby Audytu Wewnętrznego</w:t>
      </w:r>
      <w:r w:rsidR="00201A9A" w:rsidRPr="00201A9A">
        <w:rPr>
          <w:noProof/>
        </w:rPr>
        <w:t xml:space="preserve"> i Try</w:t>
      </w:r>
      <w:r w:rsidRPr="00201A9A">
        <w:rPr>
          <w:noProof/>
        </w:rPr>
        <w:t>bunału Obrachunkowego. Biorąc pod uwagę nowatorski charakter tego podejścia, poziomy wydatków niskiego ryzyka, które należy uznać za równoważne</w:t>
      </w:r>
      <w:r w:rsidR="00201A9A" w:rsidRPr="00201A9A">
        <w:rPr>
          <w:noProof/>
        </w:rPr>
        <w:t xml:space="preserve"> z pro</w:t>
      </w:r>
      <w:r w:rsidRPr="00201A9A">
        <w:rPr>
          <w:noProof/>
        </w:rPr>
        <w:t>giem istotności, zostaną ustalone po rozpoczęciu wdrażania.</w:t>
      </w:r>
    </w:p>
    <w:p w14:paraId="472E467B" w14:textId="247C1FDB" w:rsidR="002F794C" w:rsidRPr="00201A9A" w:rsidRDefault="002669A8" w:rsidP="006125B0">
      <w:pPr>
        <w:pStyle w:val="Text1"/>
        <w:pBdr>
          <w:top w:val="single" w:sz="4" w:space="1" w:color="auto"/>
          <w:left w:val="single" w:sz="4" w:space="4" w:color="auto"/>
          <w:bottom w:val="single" w:sz="4" w:space="0" w:color="auto"/>
          <w:right w:val="single" w:sz="4" w:space="4" w:color="auto"/>
        </w:pBdr>
        <w:rPr>
          <w:noProof/>
        </w:rPr>
      </w:pPr>
      <w:r w:rsidRPr="00201A9A">
        <w:rPr>
          <w:noProof/>
        </w:rPr>
        <w:t>Aby zapewnić opłacalność kontroli, Komisja dąży do osiągnięcia właściwej równowagi między skutecznością, efektywnością</w:t>
      </w:r>
      <w:r w:rsidR="00201A9A" w:rsidRPr="00201A9A">
        <w:rPr>
          <w:noProof/>
        </w:rPr>
        <w:t xml:space="preserve"> i osz</w:t>
      </w:r>
      <w:r w:rsidRPr="00201A9A">
        <w:rPr>
          <w:noProof/>
        </w:rPr>
        <w:t>czędnością. Model „jednolitej kontroli” powinno mieć konkretne zastosowanie</w:t>
      </w:r>
      <w:r w:rsidR="00201A9A" w:rsidRPr="00201A9A">
        <w:rPr>
          <w:noProof/>
        </w:rPr>
        <w:t xml:space="preserve"> w odn</w:t>
      </w:r>
      <w:r w:rsidRPr="00201A9A">
        <w:rPr>
          <w:noProof/>
        </w:rPr>
        <w:t>iesieniu do Funduszu</w:t>
      </w:r>
      <w:r w:rsidR="00201A9A" w:rsidRPr="00201A9A">
        <w:rPr>
          <w:noProof/>
        </w:rPr>
        <w:t xml:space="preserve"> w cel</w:t>
      </w:r>
      <w:r w:rsidRPr="00201A9A">
        <w:rPr>
          <w:noProof/>
        </w:rPr>
        <w:t>u zmniejszenia obciążeń administracyjnych</w:t>
      </w:r>
      <w:r w:rsidR="00201A9A" w:rsidRPr="00201A9A">
        <w:rPr>
          <w:noProof/>
        </w:rPr>
        <w:t xml:space="preserve"> i kos</w:t>
      </w:r>
      <w:r w:rsidRPr="00201A9A">
        <w:rPr>
          <w:noProof/>
        </w:rPr>
        <w:t>ztów ponoszonych przez odbiorców finansowania unijnego,</w:t>
      </w:r>
      <w:r w:rsidR="00201A9A" w:rsidRPr="00201A9A">
        <w:rPr>
          <w:noProof/>
        </w:rPr>
        <w:t xml:space="preserve"> a tak</w:t>
      </w:r>
      <w:r w:rsidRPr="00201A9A">
        <w:rPr>
          <w:noProof/>
        </w:rPr>
        <w:t>że</w:t>
      </w:r>
      <w:r w:rsidR="00201A9A" w:rsidRPr="00201A9A">
        <w:rPr>
          <w:noProof/>
        </w:rPr>
        <w:t xml:space="preserve"> w cel</w:t>
      </w:r>
      <w:r w:rsidRPr="00201A9A">
        <w:rPr>
          <w:noProof/>
        </w:rPr>
        <w:t>u uniknięcia powielania audytów</w:t>
      </w:r>
      <w:r w:rsidR="00201A9A" w:rsidRPr="00201A9A">
        <w:rPr>
          <w:noProof/>
        </w:rPr>
        <w:t xml:space="preserve"> i wer</w:t>
      </w:r>
      <w:r w:rsidRPr="00201A9A">
        <w:rPr>
          <w:noProof/>
        </w:rPr>
        <w:t>yfikacji zarządczych</w:t>
      </w:r>
      <w:r w:rsidR="00201A9A" w:rsidRPr="00201A9A">
        <w:rPr>
          <w:noProof/>
        </w:rPr>
        <w:t xml:space="preserve"> w odn</w:t>
      </w:r>
      <w:r w:rsidRPr="00201A9A">
        <w:rPr>
          <w:noProof/>
        </w:rPr>
        <w:t xml:space="preserve">iesieniu do tych samych środków. </w:t>
      </w:r>
    </w:p>
    <w:p w14:paraId="5552A789" w14:textId="2F178682" w:rsidR="004A489F" w:rsidRPr="00201A9A" w:rsidRDefault="004A489F" w:rsidP="004A489F">
      <w:pPr>
        <w:pStyle w:val="ManualHeading2"/>
        <w:rPr>
          <w:bCs/>
          <w:noProof/>
          <w:szCs w:val="24"/>
        </w:rPr>
      </w:pPr>
      <w:bookmarkStart w:id="127" w:name="_Toc514938049"/>
      <w:bookmarkStart w:id="128" w:name="_Toc520485048"/>
      <w:bookmarkStart w:id="129" w:name="_Toc160804590"/>
      <w:bookmarkStart w:id="130" w:name="_Toc167220282"/>
      <w:bookmarkStart w:id="131" w:name="_Toc177549015"/>
      <w:r w:rsidRPr="00201A9A">
        <w:rPr>
          <w:noProof/>
        </w:rPr>
        <w:t>2.3.</w:t>
      </w:r>
      <w:r w:rsidRPr="00201A9A">
        <w:rPr>
          <w:noProof/>
        </w:rPr>
        <w:tab/>
        <w:t>Środki zapobiegania nadużyciom finansowym</w:t>
      </w:r>
      <w:r w:rsidR="00201A9A" w:rsidRPr="00201A9A">
        <w:rPr>
          <w:noProof/>
        </w:rPr>
        <w:t xml:space="preserve"> i nie</w:t>
      </w:r>
      <w:r w:rsidRPr="00201A9A">
        <w:rPr>
          <w:noProof/>
        </w:rPr>
        <w:t>prawidłowościom</w:t>
      </w:r>
      <w:bookmarkEnd w:id="127"/>
      <w:bookmarkEnd w:id="128"/>
      <w:bookmarkEnd w:id="129"/>
      <w:bookmarkEnd w:id="130"/>
      <w:bookmarkEnd w:id="131"/>
      <w:r w:rsidRPr="00201A9A">
        <w:rPr>
          <w:noProof/>
        </w:rPr>
        <w:t xml:space="preserve"> </w:t>
      </w:r>
    </w:p>
    <w:p w14:paraId="5EF21E37" w14:textId="5E64D851" w:rsidR="004A489F" w:rsidRPr="00201A9A" w:rsidRDefault="004A489F" w:rsidP="004A489F">
      <w:pPr>
        <w:pStyle w:val="Text1"/>
        <w:pBdr>
          <w:top w:val="single" w:sz="4" w:space="1" w:color="auto"/>
          <w:left w:val="single" w:sz="4" w:space="4" w:color="auto"/>
          <w:bottom w:val="single" w:sz="4" w:space="0" w:color="auto"/>
          <w:right w:val="single" w:sz="4" w:space="4" w:color="auto"/>
        </w:pBdr>
        <w:rPr>
          <w:noProof/>
        </w:rPr>
      </w:pPr>
      <w:r w:rsidRPr="00201A9A">
        <w:rPr>
          <w:noProof/>
        </w:rPr>
        <w:t>W rozporządzeniu zawarto niezbędne przepisy</w:t>
      </w:r>
      <w:r w:rsidR="00201A9A" w:rsidRPr="00201A9A">
        <w:rPr>
          <w:noProof/>
        </w:rPr>
        <w:t xml:space="preserve"> w cel</w:t>
      </w:r>
      <w:r w:rsidRPr="00201A9A">
        <w:rPr>
          <w:noProof/>
        </w:rPr>
        <w:t>u zapewnienia zgodności wdrażania Funduszu</w:t>
      </w:r>
      <w:r w:rsidR="00201A9A" w:rsidRPr="00201A9A">
        <w:rPr>
          <w:noProof/>
        </w:rPr>
        <w:t xml:space="preserve"> z och</w:t>
      </w:r>
      <w:r w:rsidRPr="00201A9A">
        <w:rPr>
          <w:noProof/>
        </w:rPr>
        <w:t>roną interesów finansowych Unii.</w:t>
      </w:r>
    </w:p>
    <w:p w14:paraId="097E0FF5" w14:textId="141B71AF" w:rsidR="004A489F" w:rsidRPr="00201A9A" w:rsidRDefault="004A489F" w:rsidP="004A489F">
      <w:pPr>
        <w:pStyle w:val="Text1"/>
        <w:pBdr>
          <w:top w:val="single" w:sz="4" w:space="1" w:color="auto"/>
          <w:left w:val="single" w:sz="4" w:space="4" w:color="auto"/>
          <w:bottom w:val="single" w:sz="4" w:space="0" w:color="auto"/>
          <w:right w:val="single" w:sz="4" w:space="4" w:color="auto"/>
        </w:pBdr>
        <w:rPr>
          <w:noProof/>
        </w:rPr>
      </w:pPr>
      <w:r w:rsidRPr="00201A9A">
        <w:rPr>
          <w:noProof/>
        </w:rPr>
        <w:t>Interesy finansowe Unii należy chronić za pomocą proporcjonalnych środków,</w:t>
      </w:r>
      <w:r w:rsidR="00201A9A" w:rsidRPr="00201A9A">
        <w:rPr>
          <w:noProof/>
        </w:rPr>
        <w:t xml:space="preserve"> w tym</w:t>
      </w:r>
      <w:r w:rsidRPr="00201A9A">
        <w:rPr>
          <w:noProof/>
        </w:rPr>
        <w:t xml:space="preserve"> środków dotyczących zapobiegania nadużyciom finansowym, korupcji</w:t>
      </w:r>
      <w:r w:rsidR="00201A9A" w:rsidRPr="00201A9A">
        <w:rPr>
          <w:noProof/>
        </w:rPr>
        <w:t xml:space="preserve"> i kon</w:t>
      </w:r>
      <w:r w:rsidRPr="00201A9A">
        <w:rPr>
          <w:noProof/>
        </w:rPr>
        <w:t>fliktom interesów, ich wykrywania, korygowania</w:t>
      </w:r>
      <w:r w:rsidR="00201A9A" w:rsidRPr="00201A9A">
        <w:rPr>
          <w:noProof/>
        </w:rPr>
        <w:t xml:space="preserve"> i pro</w:t>
      </w:r>
      <w:r w:rsidRPr="00201A9A">
        <w:rPr>
          <w:noProof/>
        </w:rPr>
        <w:t>wadzenia dochodzeń</w:t>
      </w:r>
      <w:r w:rsidR="00201A9A" w:rsidRPr="00201A9A">
        <w:rPr>
          <w:noProof/>
        </w:rPr>
        <w:t xml:space="preserve"> w ich</w:t>
      </w:r>
      <w:r w:rsidRPr="00201A9A">
        <w:rPr>
          <w:noProof/>
        </w:rPr>
        <w:t xml:space="preserve"> sprawie oraz,</w:t>
      </w:r>
      <w:r w:rsidR="00201A9A" w:rsidRPr="00201A9A">
        <w:rPr>
          <w:noProof/>
        </w:rPr>
        <w:t xml:space="preserve"> w sto</w:t>
      </w:r>
      <w:r w:rsidRPr="00201A9A">
        <w:rPr>
          <w:noProof/>
        </w:rPr>
        <w:t>sownych przypadkach, nakładania kar administracyjnych</w:t>
      </w:r>
      <w:r w:rsidR="00201A9A" w:rsidRPr="00201A9A">
        <w:rPr>
          <w:noProof/>
        </w:rPr>
        <w:t>. W szc</w:t>
      </w:r>
      <w:r w:rsidRPr="00201A9A">
        <w:rPr>
          <w:noProof/>
        </w:rPr>
        <w:t>zególności Europejski Urząd ds. Zwalczania Nadużyć Finansowych (OLAF) jest uprawniony do prowadzenia dochodzeń administracyjnych,</w:t>
      </w:r>
      <w:r w:rsidR="00201A9A" w:rsidRPr="00201A9A">
        <w:rPr>
          <w:noProof/>
        </w:rPr>
        <w:t xml:space="preserve"> w tym</w:t>
      </w:r>
      <w:r w:rsidRPr="00201A9A">
        <w:rPr>
          <w:noProof/>
        </w:rPr>
        <w:t xml:space="preserve"> kontroli na miejscu</w:t>
      </w:r>
      <w:r w:rsidR="00201A9A" w:rsidRPr="00201A9A">
        <w:rPr>
          <w:noProof/>
        </w:rPr>
        <w:t xml:space="preserve"> i ins</w:t>
      </w:r>
      <w:r w:rsidRPr="00201A9A">
        <w:rPr>
          <w:noProof/>
        </w:rPr>
        <w:t>pekcji,</w:t>
      </w:r>
      <w:r w:rsidR="00201A9A" w:rsidRPr="00201A9A">
        <w:rPr>
          <w:noProof/>
        </w:rPr>
        <w:t xml:space="preserve"> w cel</w:t>
      </w:r>
      <w:r w:rsidRPr="00201A9A">
        <w:rPr>
          <w:noProof/>
        </w:rPr>
        <w:t>u ustalenia, czy miały miejsce nadużycia finansowe, korupcja lub wszelka inna nielegalna działalność na szkodę interesów finansowych Unii. Prokuratura Europejska (EPPO) jest uprawniona do prowadzenia postępowań przygotowawczych oraz wnoszenia</w:t>
      </w:r>
      <w:r w:rsidR="00201A9A" w:rsidRPr="00201A9A">
        <w:rPr>
          <w:noProof/>
        </w:rPr>
        <w:t xml:space="preserve"> i pop</w:t>
      </w:r>
      <w:r w:rsidRPr="00201A9A">
        <w:rPr>
          <w:noProof/>
        </w:rPr>
        <w:t>ierania oskarżeń</w:t>
      </w:r>
      <w:r w:rsidR="00201A9A" w:rsidRPr="00201A9A">
        <w:rPr>
          <w:noProof/>
        </w:rPr>
        <w:t xml:space="preserve"> w spr</w:t>
      </w:r>
      <w:r w:rsidRPr="00201A9A">
        <w:rPr>
          <w:noProof/>
        </w:rPr>
        <w:t>awie nadużyć finansowych</w:t>
      </w:r>
      <w:r w:rsidR="00201A9A" w:rsidRPr="00201A9A">
        <w:rPr>
          <w:noProof/>
        </w:rPr>
        <w:t xml:space="preserve"> i inn</w:t>
      </w:r>
      <w:r w:rsidRPr="00201A9A">
        <w:rPr>
          <w:noProof/>
        </w:rPr>
        <w:t>ych przestępstw naruszających interesy finansowe Unii. Każda osoba lub podmiot, które otrzymują środki finansowe Unii, są zobowiązane</w:t>
      </w:r>
      <w:r w:rsidR="00201A9A" w:rsidRPr="00201A9A">
        <w:rPr>
          <w:noProof/>
        </w:rPr>
        <w:t xml:space="preserve"> w peł</w:t>
      </w:r>
      <w:r w:rsidRPr="00201A9A">
        <w:rPr>
          <w:noProof/>
        </w:rPr>
        <w:t>ni współpracować</w:t>
      </w:r>
      <w:r w:rsidR="00201A9A" w:rsidRPr="00201A9A">
        <w:rPr>
          <w:noProof/>
        </w:rPr>
        <w:t xml:space="preserve"> w cel</w:t>
      </w:r>
      <w:r w:rsidRPr="00201A9A">
        <w:rPr>
          <w:noProof/>
        </w:rPr>
        <w:t>u ochrony interesów finansowych Unii, przyznać konieczne prawa</w:t>
      </w:r>
      <w:r w:rsidR="00201A9A" w:rsidRPr="00201A9A">
        <w:rPr>
          <w:noProof/>
        </w:rPr>
        <w:t xml:space="preserve"> i dos</w:t>
      </w:r>
      <w:r w:rsidRPr="00201A9A">
        <w:rPr>
          <w:noProof/>
        </w:rPr>
        <w:t>tęp Komisji, OLAF-owi, EPPO</w:t>
      </w:r>
      <w:r w:rsidR="00201A9A" w:rsidRPr="00201A9A">
        <w:rPr>
          <w:noProof/>
        </w:rPr>
        <w:t xml:space="preserve"> i Eur</w:t>
      </w:r>
      <w:r w:rsidRPr="00201A9A">
        <w:rPr>
          <w:noProof/>
        </w:rPr>
        <w:t>opejskiemu Trybunałowi Obrachunkowemu (ETO) oraz zapewnić, aby wszelkie osoby trzecie uczestniczące we wdrażaniu środków finansowych Unii przyznały tym organom równoważne prawa. Państwa członkowskie powinny niezwłocznie zgłaszać Komisji wykryte nieprawidłowości,</w:t>
      </w:r>
      <w:r w:rsidR="00201A9A" w:rsidRPr="00201A9A">
        <w:rPr>
          <w:noProof/>
        </w:rPr>
        <w:t xml:space="preserve"> w tym</w:t>
      </w:r>
      <w:r w:rsidRPr="00201A9A">
        <w:rPr>
          <w:noProof/>
        </w:rPr>
        <w:t xml:space="preserve"> nadużycia finansowe, oraz działania następcze,</w:t>
      </w:r>
      <w:r w:rsidR="00201A9A" w:rsidRPr="00201A9A">
        <w:rPr>
          <w:noProof/>
        </w:rPr>
        <w:t xml:space="preserve"> a tak</w:t>
      </w:r>
      <w:r w:rsidRPr="00201A9A">
        <w:rPr>
          <w:noProof/>
        </w:rPr>
        <w:t>że działania podjęte</w:t>
      </w:r>
      <w:r w:rsidR="00201A9A" w:rsidRPr="00201A9A">
        <w:rPr>
          <w:noProof/>
        </w:rPr>
        <w:t xml:space="preserve"> w nas</w:t>
      </w:r>
      <w:r w:rsidRPr="00201A9A">
        <w:rPr>
          <w:noProof/>
        </w:rPr>
        <w:t xml:space="preserve">tępstwie dochodzeń prowadzonych przez OLAF. </w:t>
      </w:r>
      <w:r w:rsidRPr="00201A9A">
        <w:rPr>
          <w:noProof/>
          <w:u w:val="single"/>
        </w:rPr>
        <w:t>Właściwe organy państw członkowskich uczestniczących we wzmocnionej współpracy</w:t>
      </w:r>
      <w:r w:rsidR="00201A9A" w:rsidRPr="00201A9A">
        <w:rPr>
          <w:noProof/>
          <w:u w:val="single"/>
        </w:rPr>
        <w:t xml:space="preserve"> w zak</w:t>
      </w:r>
      <w:r w:rsidRPr="00201A9A">
        <w:rPr>
          <w:noProof/>
          <w:u w:val="single"/>
        </w:rPr>
        <w:t>resie ustanowienia Prokuratury Europejskiej na podstawie rozporządzenia (UE) 2017/1939 powinny również bez zbędnej zwłoki zgłaszać Prokuraturze Europejskiej wszelkie czyny zabronione,</w:t>
      </w:r>
      <w:r w:rsidR="00201A9A" w:rsidRPr="00201A9A">
        <w:rPr>
          <w:noProof/>
          <w:u w:val="single"/>
        </w:rPr>
        <w:t xml:space="preserve"> w odn</w:t>
      </w:r>
      <w:r w:rsidRPr="00201A9A">
        <w:rPr>
          <w:noProof/>
          <w:u w:val="single"/>
        </w:rPr>
        <w:t>iesieniu do których mogłaby ona wykonywać swoją właściwość, zgodnie</w:t>
      </w:r>
      <w:r w:rsidR="00201A9A" w:rsidRPr="00201A9A">
        <w:rPr>
          <w:noProof/>
          <w:u w:val="single"/>
        </w:rPr>
        <w:t xml:space="preserve"> z roz</w:t>
      </w:r>
      <w:r w:rsidRPr="00201A9A">
        <w:rPr>
          <w:noProof/>
          <w:u w:val="single"/>
        </w:rPr>
        <w:t>porządzeniem (UE) 2017/1939.</w:t>
      </w:r>
    </w:p>
    <w:p w14:paraId="4436D3AA" w14:textId="77777777" w:rsidR="004A489F" w:rsidRPr="00201A9A" w:rsidRDefault="004A489F" w:rsidP="004A489F">
      <w:pPr>
        <w:rPr>
          <w:noProof/>
        </w:rPr>
        <w:sectPr w:rsidR="004A489F" w:rsidRPr="00201A9A" w:rsidSect="009C4ADF">
          <w:pgSz w:w="11907" w:h="16840" w:code="9"/>
          <w:pgMar w:top="1134" w:right="1418" w:bottom="1134" w:left="1418" w:header="709" w:footer="709" w:gutter="0"/>
          <w:cols w:space="708"/>
          <w:docGrid w:linePitch="360"/>
        </w:sectPr>
      </w:pPr>
    </w:p>
    <w:p w14:paraId="0662FA4D" w14:textId="77777777" w:rsidR="004A489F" w:rsidRPr="00201A9A" w:rsidRDefault="004A489F" w:rsidP="004A489F">
      <w:pPr>
        <w:pStyle w:val="ManualHeading1"/>
        <w:rPr>
          <w:bCs/>
          <w:noProof/>
          <w:szCs w:val="24"/>
        </w:rPr>
      </w:pPr>
      <w:bookmarkStart w:id="132" w:name="_Toc514938050"/>
      <w:bookmarkStart w:id="133" w:name="_Toc520485049"/>
      <w:bookmarkStart w:id="134" w:name="_Toc160804591"/>
      <w:bookmarkStart w:id="135" w:name="_Toc167220283"/>
      <w:bookmarkStart w:id="136" w:name="_Toc177549016"/>
      <w:r w:rsidRPr="00201A9A">
        <w:rPr>
          <w:noProof/>
        </w:rPr>
        <w:t>3.</w:t>
      </w:r>
      <w:r w:rsidRPr="00201A9A">
        <w:rPr>
          <w:noProof/>
        </w:rPr>
        <w:tab/>
        <w:t>SZACUNKOWY WPŁYW FINANSOWY WNIOSKU/INICJATYWY</w:t>
      </w:r>
      <w:bookmarkEnd w:id="132"/>
      <w:bookmarkEnd w:id="133"/>
      <w:bookmarkEnd w:id="134"/>
      <w:bookmarkEnd w:id="135"/>
      <w:bookmarkEnd w:id="136"/>
      <w:r w:rsidRPr="00201A9A">
        <w:rPr>
          <w:noProof/>
        </w:rPr>
        <w:t xml:space="preserve"> </w:t>
      </w:r>
    </w:p>
    <w:p w14:paraId="1E2911C6" w14:textId="5ED17066" w:rsidR="004A489F" w:rsidRPr="00201A9A" w:rsidRDefault="004A489F" w:rsidP="004A489F">
      <w:pPr>
        <w:pStyle w:val="ManualHeading2"/>
        <w:rPr>
          <w:noProof/>
        </w:rPr>
      </w:pPr>
      <w:bookmarkStart w:id="137" w:name="_Toc514938051"/>
      <w:bookmarkStart w:id="138" w:name="_Toc520485050"/>
      <w:bookmarkStart w:id="139" w:name="_Toc160804592"/>
      <w:bookmarkStart w:id="140" w:name="_Toc167220284"/>
      <w:bookmarkStart w:id="141" w:name="_Toc177549017"/>
      <w:r w:rsidRPr="00201A9A">
        <w:rPr>
          <w:noProof/>
        </w:rPr>
        <w:t>3.1.</w:t>
      </w:r>
      <w:r w:rsidRPr="00201A9A">
        <w:rPr>
          <w:noProof/>
        </w:rPr>
        <w:tab/>
      </w:r>
      <w:bookmarkStart w:id="142" w:name="_Hlk203293023"/>
      <w:r w:rsidRPr="00201A9A">
        <w:rPr>
          <w:noProof/>
        </w:rPr>
        <w:t>Działy wieloletnich ram finansowych</w:t>
      </w:r>
      <w:r w:rsidR="00201A9A" w:rsidRPr="00201A9A">
        <w:rPr>
          <w:noProof/>
        </w:rPr>
        <w:t xml:space="preserve"> i lin</w:t>
      </w:r>
      <w:r w:rsidRPr="00201A9A">
        <w:rPr>
          <w:noProof/>
        </w:rPr>
        <w:t xml:space="preserve">ie budżetowe po stronie wydatków </w:t>
      </w:r>
    </w:p>
    <w:tbl>
      <w:tblPr>
        <w:tblW w:w="5000" w:type="pct"/>
        <w:tblCellMar>
          <w:top w:w="15" w:type="dxa"/>
          <w:bottom w:w="15" w:type="dxa"/>
        </w:tblCellMar>
        <w:tblLook w:val="04A0" w:firstRow="1" w:lastRow="0" w:firstColumn="1" w:lastColumn="0" w:noHBand="0" w:noVBand="1"/>
      </w:tblPr>
      <w:tblGrid>
        <w:gridCol w:w="1034"/>
        <w:gridCol w:w="2910"/>
        <w:gridCol w:w="1452"/>
        <w:gridCol w:w="718"/>
        <w:gridCol w:w="1203"/>
        <w:gridCol w:w="723"/>
        <w:gridCol w:w="1247"/>
      </w:tblGrid>
      <w:tr w:rsidR="001A7D7F" w:rsidRPr="00201A9A" w14:paraId="6846B070" w14:textId="77777777" w:rsidTr="006125B0">
        <w:trPr>
          <w:trHeight w:val="315"/>
        </w:trPr>
        <w:tc>
          <w:tcPr>
            <w:tcW w:w="471" w:type="pct"/>
            <w:vMerge w:val="restart"/>
            <w:tcBorders>
              <w:top w:val="single" w:sz="8" w:space="0" w:color="auto"/>
              <w:left w:val="single" w:sz="8" w:space="0" w:color="auto"/>
              <w:bottom w:val="nil"/>
              <w:right w:val="single" w:sz="8" w:space="0" w:color="auto"/>
            </w:tcBorders>
            <w:vAlign w:val="center"/>
            <w:hideMark/>
          </w:tcPr>
          <w:bookmarkEnd w:id="142"/>
          <w:p w14:paraId="289B9C71"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Dział wieloletnich ram finansowych</w:t>
            </w:r>
          </w:p>
        </w:tc>
        <w:tc>
          <w:tcPr>
            <w:tcW w:w="2204" w:type="pct"/>
            <w:vMerge w:val="restart"/>
            <w:tcBorders>
              <w:top w:val="single" w:sz="8" w:space="0" w:color="auto"/>
              <w:left w:val="single" w:sz="8" w:space="0" w:color="auto"/>
              <w:bottom w:val="nil"/>
              <w:right w:val="single" w:sz="8" w:space="0" w:color="auto"/>
            </w:tcBorders>
            <w:vAlign w:val="center"/>
            <w:hideMark/>
          </w:tcPr>
          <w:p w14:paraId="74CD67C6"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Linia budżetowa</w:t>
            </w:r>
          </w:p>
        </w:tc>
        <w:tc>
          <w:tcPr>
            <w:tcW w:w="465" w:type="pct"/>
            <w:tcBorders>
              <w:top w:val="single" w:sz="8" w:space="0" w:color="auto"/>
              <w:left w:val="single" w:sz="8" w:space="0" w:color="auto"/>
              <w:bottom w:val="single" w:sz="8" w:space="0" w:color="FFFFFF"/>
              <w:right w:val="single" w:sz="8" w:space="0" w:color="auto"/>
            </w:tcBorders>
            <w:vAlign w:val="center"/>
            <w:hideMark/>
          </w:tcPr>
          <w:p w14:paraId="07131723"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 xml:space="preserve">Rodzaj </w:t>
            </w:r>
          </w:p>
        </w:tc>
        <w:tc>
          <w:tcPr>
            <w:tcW w:w="1860" w:type="pct"/>
            <w:gridSpan w:val="4"/>
            <w:vMerge w:val="restart"/>
            <w:tcBorders>
              <w:top w:val="single" w:sz="8" w:space="0" w:color="auto"/>
              <w:left w:val="single" w:sz="8" w:space="0" w:color="auto"/>
              <w:bottom w:val="nil"/>
              <w:right w:val="nil"/>
            </w:tcBorders>
            <w:vAlign w:val="center"/>
            <w:hideMark/>
          </w:tcPr>
          <w:p w14:paraId="026B451A"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 xml:space="preserve">Wkład </w:t>
            </w:r>
          </w:p>
        </w:tc>
      </w:tr>
      <w:tr w:rsidR="004A489F" w:rsidRPr="00201A9A" w14:paraId="3383E97E" w14:textId="77777777" w:rsidTr="006125B0">
        <w:trPr>
          <w:trHeight w:val="300"/>
        </w:trPr>
        <w:tc>
          <w:tcPr>
            <w:tcW w:w="471" w:type="pct"/>
            <w:vMerge/>
            <w:tcBorders>
              <w:top w:val="single" w:sz="8" w:space="0" w:color="auto"/>
              <w:left w:val="single" w:sz="8" w:space="0" w:color="auto"/>
              <w:bottom w:val="nil"/>
              <w:right w:val="single" w:sz="8" w:space="0" w:color="auto"/>
            </w:tcBorders>
            <w:vAlign w:val="center"/>
            <w:hideMark/>
          </w:tcPr>
          <w:p w14:paraId="7AEBA927" w14:textId="77777777" w:rsidR="004A489F" w:rsidRPr="00201A9A" w:rsidRDefault="004A489F">
            <w:pPr>
              <w:spacing w:before="0" w:after="0"/>
              <w:jc w:val="left"/>
              <w:rPr>
                <w:rFonts w:eastAsia="Times New Roman"/>
                <w:noProof/>
                <w:color w:val="000000"/>
                <w:sz w:val="16"/>
                <w:szCs w:val="16"/>
                <w:lang w:eastAsia="en-IE"/>
              </w:rPr>
            </w:pPr>
          </w:p>
        </w:tc>
        <w:tc>
          <w:tcPr>
            <w:tcW w:w="2204" w:type="pct"/>
            <w:vMerge/>
            <w:tcBorders>
              <w:top w:val="single" w:sz="8" w:space="0" w:color="auto"/>
              <w:left w:val="single" w:sz="8" w:space="0" w:color="auto"/>
              <w:bottom w:val="nil"/>
              <w:right w:val="single" w:sz="8" w:space="0" w:color="auto"/>
            </w:tcBorders>
            <w:vAlign w:val="center"/>
            <w:hideMark/>
          </w:tcPr>
          <w:p w14:paraId="3DC546A9" w14:textId="77777777" w:rsidR="004A489F" w:rsidRPr="00201A9A" w:rsidRDefault="004A489F">
            <w:pPr>
              <w:spacing w:before="0" w:after="0"/>
              <w:jc w:val="left"/>
              <w:rPr>
                <w:rFonts w:eastAsia="Times New Roman"/>
                <w:noProof/>
                <w:color w:val="000000"/>
                <w:sz w:val="16"/>
                <w:szCs w:val="16"/>
                <w:lang w:eastAsia="en-IE"/>
              </w:rPr>
            </w:pPr>
          </w:p>
        </w:tc>
        <w:tc>
          <w:tcPr>
            <w:tcW w:w="465" w:type="pct"/>
            <w:tcBorders>
              <w:top w:val="single" w:sz="8" w:space="0" w:color="FFFFFF"/>
              <w:left w:val="single" w:sz="8" w:space="0" w:color="auto"/>
              <w:bottom w:val="single" w:sz="8" w:space="0" w:color="auto"/>
              <w:right w:val="single" w:sz="8" w:space="0" w:color="auto"/>
            </w:tcBorders>
            <w:vAlign w:val="center"/>
            <w:hideMark/>
          </w:tcPr>
          <w:p w14:paraId="5434A739"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wydatków</w:t>
            </w:r>
          </w:p>
        </w:tc>
        <w:tc>
          <w:tcPr>
            <w:tcW w:w="1860" w:type="pct"/>
            <w:gridSpan w:val="4"/>
            <w:vMerge/>
            <w:tcBorders>
              <w:top w:val="single" w:sz="8" w:space="0" w:color="FFFFFF"/>
              <w:left w:val="single" w:sz="8" w:space="0" w:color="auto"/>
              <w:bottom w:val="single" w:sz="8" w:space="0" w:color="auto"/>
              <w:right w:val="single" w:sz="8" w:space="0" w:color="auto"/>
            </w:tcBorders>
            <w:vAlign w:val="center"/>
            <w:hideMark/>
          </w:tcPr>
          <w:p w14:paraId="030009C8" w14:textId="77777777" w:rsidR="004A489F" w:rsidRPr="00201A9A" w:rsidRDefault="004A489F">
            <w:pPr>
              <w:spacing w:before="0" w:after="0"/>
              <w:jc w:val="left"/>
              <w:rPr>
                <w:rFonts w:eastAsia="Times New Roman"/>
                <w:noProof/>
                <w:color w:val="000000"/>
                <w:sz w:val="16"/>
                <w:szCs w:val="16"/>
                <w:lang w:eastAsia="en-IE"/>
              </w:rPr>
            </w:pPr>
          </w:p>
        </w:tc>
      </w:tr>
      <w:tr w:rsidR="004A489F" w:rsidRPr="00201A9A" w14:paraId="7F2AFAD8" w14:textId="77777777" w:rsidTr="006125B0">
        <w:trPr>
          <w:trHeight w:val="900"/>
        </w:trPr>
        <w:tc>
          <w:tcPr>
            <w:tcW w:w="471" w:type="pct"/>
            <w:vMerge/>
            <w:tcBorders>
              <w:top w:val="single" w:sz="8" w:space="0" w:color="auto"/>
              <w:left w:val="single" w:sz="8" w:space="0" w:color="auto"/>
              <w:bottom w:val="nil"/>
              <w:right w:val="single" w:sz="8" w:space="0" w:color="auto"/>
            </w:tcBorders>
            <w:vAlign w:val="center"/>
            <w:hideMark/>
          </w:tcPr>
          <w:p w14:paraId="66A14437" w14:textId="77777777" w:rsidR="004A489F" w:rsidRPr="00201A9A" w:rsidRDefault="004A489F">
            <w:pPr>
              <w:spacing w:before="0" w:after="0"/>
              <w:jc w:val="left"/>
              <w:rPr>
                <w:rFonts w:eastAsia="Times New Roman"/>
                <w:noProof/>
                <w:color w:val="000000"/>
                <w:sz w:val="16"/>
                <w:szCs w:val="16"/>
                <w:lang w:eastAsia="en-IE"/>
              </w:rPr>
            </w:pPr>
          </w:p>
        </w:tc>
        <w:tc>
          <w:tcPr>
            <w:tcW w:w="2204" w:type="pct"/>
            <w:tcBorders>
              <w:top w:val="nil"/>
              <w:left w:val="nil"/>
              <w:bottom w:val="nil"/>
              <w:right w:val="single" w:sz="8" w:space="0" w:color="auto"/>
            </w:tcBorders>
            <w:vAlign w:val="center"/>
            <w:hideMark/>
          </w:tcPr>
          <w:p w14:paraId="53C2E0B9" w14:textId="77777777" w:rsidR="004A489F" w:rsidRPr="00201A9A" w:rsidRDefault="004A489F">
            <w:pPr>
              <w:spacing w:before="0" w:after="0"/>
              <w:rPr>
                <w:rFonts w:eastAsia="Times New Roman"/>
                <w:noProof/>
                <w:color w:val="000000"/>
                <w:sz w:val="16"/>
                <w:szCs w:val="16"/>
              </w:rPr>
            </w:pPr>
            <w:r w:rsidRPr="00201A9A">
              <w:rPr>
                <w:noProof/>
                <w:color w:val="000000"/>
                <w:sz w:val="16"/>
              </w:rPr>
              <w:t xml:space="preserve">Numer </w:t>
            </w:r>
          </w:p>
        </w:tc>
        <w:bookmarkStart w:id="143" w:name="3.1!C7"/>
        <w:tc>
          <w:tcPr>
            <w:tcW w:w="465" w:type="pct"/>
            <w:tcBorders>
              <w:top w:val="nil"/>
              <w:left w:val="nil"/>
              <w:bottom w:val="nil"/>
              <w:right w:val="single" w:sz="8" w:space="0" w:color="auto"/>
            </w:tcBorders>
            <w:vAlign w:val="center"/>
            <w:hideMark/>
          </w:tcPr>
          <w:p w14:paraId="763404E0" w14:textId="77777777" w:rsidR="004A489F" w:rsidRPr="00201A9A" w:rsidRDefault="004A489F">
            <w:pPr>
              <w:spacing w:before="0" w:after="0"/>
              <w:jc w:val="center"/>
              <w:rPr>
                <w:rFonts w:ascii="Calibri" w:eastAsia="Times New Roman" w:hAnsi="Calibri" w:cs="Calibri"/>
                <w:noProof/>
                <w:color w:val="0563C1"/>
                <w:sz w:val="16"/>
                <w:szCs w:val="16"/>
                <w:u w:val="single"/>
              </w:rPr>
            </w:pPr>
            <w:r w:rsidRPr="00201A9A">
              <w:rPr>
                <w:rFonts w:ascii="Calibri" w:eastAsia="Times New Roman" w:hAnsi="Calibri" w:cs="Calibri"/>
                <w:noProof/>
                <w:color w:val="0563C1"/>
                <w:sz w:val="16"/>
                <w:u w:val="single"/>
              </w:rPr>
              <w:fldChar w:fldCharType="begin" w:fldLock="1"/>
            </w:r>
            <w:r w:rsidRPr="00201A9A">
              <w:rPr>
                <w:rFonts w:ascii="Calibri" w:eastAsia="Times New Roman" w:hAnsi="Calibri" w:cs="Calibri"/>
                <w:noProof/>
                <w:color w:val="0563C1"/>
                <w:sz w:val="16"/>
                <w:u w:val="single"/>
              </w:rPr>
              <w:instrText>HYPERLINK "" \l "3.1!A50"</w:instrText>
            </w:r>
            <w:r w:rsidRPr="00201A9A">
              <w:rPr>
                <w:rFonts w:ascii="Calibri" w:eastAsia="Times New Roman" w:hAnsi="Calibri" w:cs="Calibri"/>
                <w:noProof/>
                <w:color w:val="0563C1"/>
                <w:sz w:val="16"/>
                <w:u w:val="single"/>
              </w:rPr>
              <w:fldChar w:fldCharType="separate"/>
            </w:r>
            <w:r w:rsidRPr="00201A9A">
              <w:rPr>
                <w:rFonts w:ascii="Calibri" w:hAnsi="Calibri"/>
                <w:noProof/>
                <w:color w:val="0563C1"/>
                <w:sz w:val="16"/>
                <w:u w:val="single"/>
              </w:rPr>
              <w:t>Zróżn./niezróżn.[1]</w:t>
            </w:r>
            <w:r w:rsidRPr="00201A9A">
              <w:rPr>
                <w:rFonts w:ascii="Calibri" w:eastAsia="Times New Roman" w:hAnsi="Calibri" w:cs="Calibri"/>
                <w:noProof/>
                <w:color w:val="0563C1"/>
                <w:sz w:val="16"/>
                <w:u w:val="single"/>
              </w:rPr>
              <w:fldChar w:fldCharType="end"/>
            </w:r>
            <w:bookmarkEnd w:id="143"/>
          </w:p>
        </w:tc>
        <w:bookmarkStart w:id="144" w:name="3.1!D7"/>
        <w:tc>
          <w:tcPr>
            <w:tcW w:w="465" w:type="pct"/>
            <w:tcBorders>
              <w:top w:val="nil"/>
              <w:left w:val="nil"/>
              <w:bottom w:val="nil"/>
              <w:right w:val="single" w:sz="8" w:space="0" w:color="auto"/>
            </w:tcBorders>
            <w:vAlign w:val="center"/>
            <w:hideMark/>
          </w:tcPr>
          <w:p w14:paraId="44AC0640" w14:textId="77777777" w:rsidR="004A489F" w:rsidRPr="00201A9A" w:rsidRDefault="004A489F">
            <w:pPr>
              <w:spacing w:before="0" w:after="0"/>
              <w:jc w:val="center"/>
              <w:rPr>
                <w:rFonts w:ascii="Calibri" w:eastAsia="Times New Roman" w:hAnsi="Calibri" w:cs="Calibri"/>
                <w:noProof/>
                <w:color w:val="0563C1"/>
                <w:sz w:val="16"/>
                <w:szCs w:val="16"/>
                <w:u w:val="single"/>
              </w:rPr>
            </w:pPr>
            <w:r w:rsidRPr="00201A9A">
              <w:rPr>
                <w:rFonts w:ascii="Calibri" w:eastAsia="Times New Roman" w:hAnsi="Calibri" w:cs="Calibri"/>
                <w:noProof/>
                <w:color w:val="0563C1"/>
                <w:sz w:val="16"/>
                <w:u w:val="single"/>
              </w:rPr>
              <w:fldChar w:fldCharType="begin" w:fldLock="1"/>
            </w:r>
            <w:r w:rsidRPr="00201A9A">
              <w:rPr>
                <w:rFonts w:ascii="Calibri" w:eastAsia="Times New Roman" w:hAnsi="Calibri" w:cs="Calibri"/>
                <w:noProof/>
                <w:color w:val="0563C1"/>
                <w:sz w:val="16"/>
                <w:u w:val="single"/>
              </w:rPr>
              <w:instrText>HYPERLINK "" \l "3.1!A51"</w:instrText>
            </w:r>
            <w:r w:rsidRPr="00201A9A">
              <w:rPr>
                <w:rFonts w:ascii="Calibri" w:eastAsia="Times New Roman" w:hAnsi="Calibri" w:cs="Calibri"/>
                <w:noProof/>
                <w:color w:val="0563C1"/>
                <w:sz w:val="16"/>
                <w:u w:val="single"/>
              </w:rPr>
              <w:fldChar w:fldCharType="separate"/>
            </w:r>
            <w:r w:rsidRPr="00201A9A">
              <w:rPr>
                <w:rFonts w:ascii="Calibri" w:hAnsi="Calibri"/>
                <w:noProof/>
                <w:color w:val="0563C1"/>
                <w:sz w:val="16"/>
                <w:u w:val="single"/>
              </w:rPr>
              <w:t>państw EFTA[2]</w:t>
            </w:r>
            <w:r w:rsidRPr="00201A9A">
              <w:rPr>
                <w:rFonts w:ascii="Calibri" w:eastAsia="Times New Roman" w:hAnsi="Calibri" w:cs="Calibri"/>
                <w:noProof/>
                <w:color w:val="0563C1"/>
                <w:sz w:val="16"/>
                <w:u w:val="single"/>
              </w:rPr>
              <w:fldChar w:fldCharType="end"/>
            </w:r>
            <w:bookmarkEnd w:id="144"/>
          </w:p>
        </w:tc>
        <w:bookmarkStart w:id="145" w:name="3.1!E7"/>
        <w:tc>
          <w:tcPr>
            <w:tcW w:w="465" w:type="pct"/>
            <w:tcBorders>
              <w:top w:val="nil"/>
              <w:left w:val="nil"/>
              <w:bottom w:val="nil"/>
              <w:right w:val="single" w:sz="8" w:space="0" w:color="auto"/>
            </w:tcBorders>
            <w:vAlign w:val="center"/>
            <w:hideMark/>
          </w:tcPr>
          <w:p w14:paraId="1678AF47" w14:textId="1851DDF6" w:rsidR="004A489F" w:rsidRPr="00201A9A" w:rsidRDefault="004A489F">
            <w:pPr>
              <w:spacing w:before="0" w:after="0"/>
              <w:jc w:val="center"/>
              <w:rPr>
                <w:rFonts w:ascii="Calibri" w:eastAsia="Times New Roman" w:hAnsi="Calibri" w:cs="Calibri"/>
                <w:noProof/>
                <w:color w:val="0563C1"/>
                <w:sz w:val="16"/>
                <w:szCs w:val="16"/>
                <w:u w:val="single"/>
              </w:rPr>
            </w:pPr>
            <w:r w:rsidRPr="00201A9A">
              <w:rPr>
                <w:rFonts w:ascii="Calibri" w:eastAsia="Times New Roman" w:hAnsi="Calibri" w:cs="Calibri"/>
                <w:noProof/>
                <w:color w:val="0563C1"/>
                <w:sz w:val="16"/>
                <w:u w:val="single"/>
              </w:rPr>
              <w:fldChar w:fldCharType="begin" w:fldLock="1"/>
            </w:r>
            <w:r w:rsidRPr="00201A9A">
              <w:rPr>
                <w:rFonts w:ascii="Calibri" w:eastAsia="Times New Roman" w:hAnsi="Calibri" w:cs="Calibri"/>
                <w:noProof/>
                <w:color w:val="0563C1"/>
                <w:sz w:val="16"/>
                <w:u w:val="single"/>
              </w:rPr>
              <w:instrText>HYPERLINK "" \l "3.1!A52"</w:instrText>
            </w:r>
            <w:r w:rsidRPr="00201A9A">
              <w:rPr>
                <w:rFonts w:ascii="Calibri" w:eastAsia="Times New Roman" w:hAnsi="Calibri" w:cs="Calibri"/>
                <w:noProof/>
                <w:color w:val="0563C1"/>
                <w:sz w:val="16"/>
                <w:u w:val="single"/>
              </w:rPr>
              <w:fldChar w:fldCharType="separate"/>
            </w:r>
            <w:r w:rsidRPr="00201A9A">
              <w:rPr>
                <w:rFonts w:ascii="Calibri" w:hAnsi="Calibri"/>
                <w:noProof/>
                <w:color w:val="0563C1"/>
                <w:sz w:val="16"/>
                <w:u w:val="single"/>
              </w:rPr>
              <w:t>krajów kandydujących</w:t>
            </w:r>
            <w:r w:rsidR="00201A9A" w:rsidRPr="00201A9A">
              <w:rPr>
                <w:rFonts w:ascii="Calibri" w:hAnsi="Calibri"/>
                <w:noProof/>
                <w:color w:val="0563C1"/>
                <w:sz w:val="16"/>
                <w:u w:val="single"/>
              </w:rPr>
              <w:t xml:space="preserve"> i pot</w:t>
            </w:r>
            <w:r w:rsidRPr="00201A9A">
              <w:rPr>
                <w:rFonts w:ascii="Calibri" w:hAnsi="Calibri"/>
                <w:noProof/>
                <w:color w:val="0563C1"/>
                <w:sz w:val="16"/>
                <w:u w:val="single"/>
              </w:rPr>
              <w:t>encjalnych kandydatów[3]</w:t>
            </w:r>
            <w:r w:rsidRPr="00201A9A">
              <w:rPr>
                <w:rFonts w:ascii="Calibri" w:eastAsia="Times New Roman" w:hAnsi="Calibri" w:cs="Calibri"/>
                <w:noProof/>
                <w:color w:val="0563C1"/>
                <w:sz w:val="16"/>
                <w:u w:val="single"/>
              </w:rPr>
              <w:fldChar w:fldCharType="end"/>
            </w:r>
            <w:bookmarkEnd w:id="145"/>
          </w:p>
        </w:tc>
        <w:tc>
          <w:tcPr>
            <w:tcW w:w="465" w:type="pct"/>
            <w:tcBorders>
              <w:top w:val="nil"/>
              <w:left w:val="nil"/>
              <w:bottom w:val="nil"/>
              <w:right w:val="single" w:sz="8" w:space="0" w:color="auto"/>
            </w:tcBorders>
            <w:vAlign w:val="center"/>
            <w:hideMark/>
          </w:tcPr>
          <w:p w14:paraId="2EE8EB18"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innych państw trzecich</w:t>
            </w:r>
          </w:p>
        </w:tc>
        <w:tc>
          <w:tcPr>
            <w:tcW w:w="465" w:type="pct"/>
            <w:tcBorders>
              <w:top w:val="nil"/>
              <w:left w:val="nil"/>
              <w:bottom w:val="nil"/>
              <w:right w:val="single" w:sz="8" w:space="0" w:color="auto"/>
            </w:tcBorders>
            <w:vAlign w:val="center"/>
            <w:hideMark/>
          </w:tcPr>
          <w:p w14:paraId="388FC951" w14:textId="2A3DC72A" w:rsidR="004A489F" w:rsidRPr="00201A9A" w:rsidRDefault="004A489F">
            <w:pPr>
              <w:spacing w:before="0" w:after="0"/>
              <w:jc w:val="center"/>
              <w:rPr>
                <w:rFonts w:eastAsia="Times New Roman"/>
                <w:noProof/>
                <w:color w:val="000000"/>
                <w:sz w:val="16"/>
                <w:szCs w:val="16"/>
              </w:rPr>
            </w:pPr>
            <w:r w:rsidRPr="00201A9A">
              <w:rPr>
                <w:noProof/>
                <w:color w:val="000000"/>
                <w:sz w:val="16"/>
              </w:rPr>
              <w:t>pochodzący</w:t>
            </w:r>
            <w:r w:rsidR="00201A9A" w:rsidRPr="00201A9A">
              <w:rPr>
                <w:noProof/>
                <w:color w:val="000000"/>
                <w:sz w:val="16"/>
              </w:rPr>
              <w:t xml:space="preserve"> z poz</w:t>
            </w:r>
            <w:r w:rsidRPr="00201A9A">
              <w:rPr>
                <w:noProof/>
                <w:color w:val="000000"/>
                <w:sz w:val="16"/>
              </w:rPr>
              <w:t xml:space="preserve">ostałych dochodów przeznaczonych na określony cel </w:t>
            </w:r>
          </w:p>
        </w:tc>
      </w:tr>
      <w:tr w:rsidR="004A489F" w:rsidRPr="00201A9A" w14:paraId="46CF533B" w14:textId="77777777" w:rsidTr="006125B0">
        <w:trPr>
          <w:trHeight w:val="300"/>
        </w:trPr>
        <w:tc>
          <w:tcPr>
            <w:tcW w:w="471" w:type="pct"/>
            <w:tcBorders>
              <w:top w:val="single" w:sz="8" w:space="0" w:color="000000"/>
              <w:left w:val="single" w:sz="8" w:space="0" w:color="000000"/>
              <w:bottom w:val="nil"/>
              <w:right w:val="single" w:sz="8" w:space="0" w:color="auto"/>
            </w:tcBorders>
            <w:shd w:val="clear" w:color="000000" w:fill="BFBFBF"/>
            <w:vAlign w:val="center"/>
            <w:hideMark/>
          </w:tcPr>
          <w:p w14:paraId="2EE6292E"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4EC6952A" w14:textId="4BE52594" w:rsidR="004A489F" w:rsidRPr="00201A9A" w:rsidRDefault="004A489F">
            <w:pPr>
              <w:spacing w:before="0" w:after="0"/>
              <w:rPr>
                <w:rFonts w:eastAsia="Times New Roman"/>
                <w:noProof/>
                <w:color w:val="000000"/>
                <w:sz w:val="16"/>
                <w:szCs w:val="16"/>
              </w:rPr>
            </w:pPr>
            <w:r w:rsidRPr="00201A9A">
              <w:rPr>
                <w:noProof/>
                <w:color w:val="000000"/>
                <w:sz w:val="16"/>
              </w:rPr>
              <w:t xml:space="preserve">02. </w:t>
            </w:r>
            <w:r w:rsidRPr="00201A9A">
              <w:rPr>
                <w:noProof/>
                <w:sz w:val="16"/>
              </w:rPr>
              <w:t>Europejski Fundusz Spójności Gospodarczej, Społecznej</w:t>
            </w:r>
            <w:r w:rsidR="00201A9A" w:rsidRPr="00201A9A">
              <w:rPr>
                <w:noProof/>
                <w:sz w:val="16"/>
              </w:rPr>
              <w:t xml:space="preserve"> i Ter</w:t>
            </w:r>
            <w:r w:rsidRPr="00201A9A">
              <w:rPr>
                <w:noProof/>
                <w:sz w:val="16"/>
              </w:rPr>
              <w:t>ytorialnej, Rolnictwa</w:t>
            </w:r>
            <w:r w:rsidR="00201A9A" w:rsidRPr="00201A9A">
              <w:rPr>
                <w:noProof/>
                <w:sz w:val="16"/>
              </w:rPr>
              <w:t xml:space="preserve"> i Obs</w:t>
            </w:r>
            <w:r w:rsidRPr="00201A9A">
              <w:rPr>
                <w:noProof/>
                <w:sz w:val="16"/>
              </w:rPr>
              <w:t>zarów Wiejskich, Rybołówstwa</w:t>
            </w:r>
            <w:r w:rsidR="00201A9A" w:rsidRPr="00201A9A">
              <w:rPr>
                <w:noProof/>
                <w:sz w:val="16"/>
              </w:rPr>
              <w:t xml:space="preserve"> i Pol</w:t>
            </w:r>
            <w:r w:rsidRPr="00201A9A">
              <w:rPr>
                <w:noProof/>
                <w:sz w:val="16"/>
              </w:rPr>
              <w:t>ityki Morskiej, Dobrobytu</w:t>
            </w:r>
            <w:r w:rsidR="00201A9A" w:rsidRPr="00201A9A">
              <w:rPr>
                <w:noProof/>
                <w:sz w:val="16"/>
              </w:rPr>
              <w:t xml:space="preserve"> i Bez</w:t>
            </w:r>
            <w:r w:rsidRPr="00201A9A">
              <w:rPr>
                <w:noProof/>
                <w:sz w:val="16"/>
              </w:rPr>
              <w:t>pieczeństwa</w:t>
            </w:r>
          </w:p>
        </w:tc>
        <w:tc>
          <w:tcPr>
            <w:tcW w:w="465" w:type="pct"/>
            <w:tcBorders>
              <w:top w:val="single" w:sz="8" w:space="0" w:color="000000"/>
              <w:left w:val="single" w:sz="8" w:space="0" w:color="auto"/>
              <w:bottom w:val="nil"/>
              <w:right w:val="single" w:sz="8" w:space="0" w:color="auto"/>
            </w:tcBorders>
            <w:shd w:val="clear" w:color="000000" w:fill="BFBFBF"/>
            <w:vAlign w:val="center"/>
            <w:hideMark/>
          </w:tcPr>
          <w:p w14:paraId="335542BA" w14:textId="77777777" w:rsidR="004A489F" w:rsidRPr="00201A9A" w:rsidRDefault="004A489F">
            <w:pPr>
              <w:spacing w:before="0" w:after="0"/>
              <w:jc w:val="center"/>
              <w:rPr>
                <w:rFonts w:eastAsia="Times New Roman"/>
                <w:b/>
                <w:noProof/>
                <w:color w:val="000000"/>
                <w:sz w:val="16"/>
                <w:szCs w:val="16"/>
              </w:rPr>
            </w:pPr>
            <w:r w:rsidRPr="00201A9A">
              <w:rPr>
                <w:b/>
                <w:noProof/>
                <w:color w:val="000000"/>
                <w:sz w:val="16"/>
              </w:rPr>
              <w:t>Zróżn.</w:t>
            </w:r>
          </w:p>
        </w:tc>
        <w:tc>
          <w:tcPr>
            <w:tcW w:w="465" w:type="pct"/>
            <w:tcBorders>
              <w:top w:val="single" w:sz="8" w:space="0" w:color="000000"/>
              <w:left w:val="single" w:sz="8" w:space="0" w:color="auto"/>
              <w:bottom w:val="nil"/>
              <w:right w:val="single" w:sz="8" w:space="0" w:color="auto"/>
            </w:tcBorders>
            <w:shd w:val="clear" w:color="000000" w:fill="BFBFBF"/>
            <w:vAlign w:val="center"/>
            <w:hideMark/>
          </w:tcPr>
          <w:p w14:paraId="68EDA492" w14:textId="77777777" w:rsidR="004A489F" w:rsidRPr="00201A9A" w:rsidRDefault="004A489F">
            <w:pPr>
              <w:spacing w:before="0" w:after="0"/>
              <w:jc w:val="center"/>
              <w:rPr>
                <w:rFonts w:eastAsia="Times New Roman"/>
                <w:b/>
                <w:noProof/>
                <w:color w:val="000000"/>
                <w:sz w:val="16"/>
                <w:szCs w:val="16"/>
              </w:rPr>
            </w:pPr>
            <w:r w:rsidRPr="00201A9A">
              <w:rPr>
                <w:b/>
                <w:noProof/>
                <w:color w:val="000000"/>
                <w:sz w:val="16"/>
              </w:rPr>
              <w:t>TAK</w:t>
            </w:r>
          </w:p>
        </w:tc>
        <w:tc>
          <w:tcPr>
            <w:tcW w:w="465" w:type="pct"/>
            <w:tcBorders>
              <w:top w:val="single" w:sz="8" w:space="0" w:color="000000"/>
              <w:left w:val="single" w:sz="8" w:space="0" w:color="auto"/>
              <w:bottom w:val="nil"/>
              <w:right w:val="single" w:sz="8" w:space="0" w:color="auto"/>
            </w:tcBorders>
            <w:shd w:val="clear" w:color="000000" w:fill="BFBFBF"/>
            <w:vAlign w:val="center"/>
            <w:hideMark/>
          </w:tcPr>
          <w:p w14:paraId="7FCF6E6B" w14:textId="77777777" w:rsidR="004A489F" w:rsidRPr="00201A9A" w:rsidRDefault="004A489F">
            <w:pPr>
              <w:spacing w:before="0" w:after="0"/>
              <w:jc w:val="center"/>
              <w:rPr>
                <w:rFonts w:eastAsia="Times New Roman"/>
                <w:b/>
                <w:noProof/>
                <w:color w:val="000000"/>
                <w:sz w:val="16"/>
                <w:szCs w:val="16"/>
              </w:rPr>
            </w:pPr>
            <w:r w:rsidRPr="00201A9A">
              <w:rPr>
                <w:b/>
                <w:noProof/>
                <w:color w:val="000000"/>
                <w:sz w:val="16"/>
              </w:rPr>
              <w:t>TAK</w:t>
            </w:r>
          </w:p>
        </w:tc>
        <w:tc>
          <w:tcPr>
            <w:tcW w:w="465" w:type="pct"/>
            <w:tcBorders>
              <w:top w:val="single" w:sz="8" w:space="0" w:color="000000"/>
              <w:left w:val="single" w:sz="8" w:space="0" w:color="auto"/>
              <w:bottom w:val="nil"/>
              <w:right w:val="single" w:sz="8" w:space="0" w:color="auto"/>
            </w:tcBorders>
            <w:shd w:val="clear" w:color="000000" w:fill="BFBFBF"/>
            <w:vAlign w:val="center"/>
            <w:hideMark/>
          </w:tcPr>
          <w:p w14:paraId="53CC08F7" w14:textId="77777777" w:rsidR="004A489F" w:rsidRPr="00201A9A" w:rsidRDefault="004A489F">
            <w:pPr>
              <w:spacing w:before="0" w:after="0"/>
              <w:jc w:val="center"/>
              <w:rPr>
                <w:rFonts w:eastAsia="Times New Roman"/>
                <w:b/>
                <w:noProof/>
                <w:color w:val="000000"/>
                <w:sz w:val="16"/>
                <w:szCs w:val="16"/>
              </w:rPr>
            </w:pPr>
            <w:r w:rsidRPr="00201A9A">
              <w:rPr>
                <w:b/>
                <w:noProof/>
                <w:color w:val="000000"/>
                <w:sz w:val="16"/>
              </w:rPr>
              <w:t>TAK</w:t>
            </w:r>
          </w:p>
        </w:tc>
        <w:tc>
          <w:tcPr>
            <w:tcW w:w="465" w:type="pct"/>
            <w:tcBorders>
              <w:top w:val="single" w:sz="8" w:space="0" w:color="000000"/>
              <w:left w:val="single" w:sz="8" w:space="0" w:color="auto"/>
              <w:bottom w:val="nil"/>
              <w:right w:val="single" w:sz="8" w:space="0" w:color="000000"/>
            </w:tcBorders>
            <w:shd w:val="clear" w:color="000000" w:fill="BFBFBF"/>
            <w:vAlign w:val="center"/>
            <w:hideMark/>
          </w:tcPr>
          <w:p w14:paraId="5580BC94" w14:textId="77777777" w:rsidR="004A489F" w:rsidRPr="00201A9A" w:rsidRDefault="004A489F">
            <w:pPr>
              <w:spacing w:before="0" w:after="0"/>
              <w:jc w:val="center"/>
              <w:rPr>
                <w:rFonts w:eastAsia="Times New Roman"/>
                <w:b/>
                <w:noProof/>
                <w:color w:val="000000"/>
                <w:sz w:val="16"/>
                <w:szCs w:val="16"/>
              </w:rPr>
            </w:pPr>
            <w:r w:rsidRPr="00201A9A">
              <w:rPr>
                <w:b/>
                <w:noProof/>
                <w:color w:val="000000"/>
                <w:sz w:val="16"/>
              </w:rPr>
              <w:t>TAK</w:t>
            </w:r>
          </w:p>
        </w:tc>
      </w:tr>
      <w:tr w:rsidR="004A489F" w:rsidRPr="00201A9A" w14:paraId="4480FC15" w14:textId="77777777" w:rsidTr="006125B0">
        <w:trPr>
          <w:trHeight w:val="300"/>
        </w:trPr>
        <w:tc>
          <w:tcPr>
            <w:tcW w:w="471" w:type="pct"/>
            <w:tcBorders>
              <w:top w:val="single" w:sz="8" w:space="0" w:color="auto"/>
              <w:left w:val="single" w:sz="8" w:space="0" w:color="000000"/>
              <w:bottom w:val="nil"/>
              <w:right w:val="single" w:sz="8" w:space="0" w:color="auto"/>
            </w:tcBorders>
            <w:shd w:val="clear" w:color="000000" w:fill="D9D9D9"/>
            <w:vAlign w:val="center"/>
            <w:hideMark/>
          </w:tcPr>
          <w:p w14:paraId="1AB8D3A1"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9B8F1F" w14:textId="05221EE4" w:rsidR="004A489F" w:rsidRPr="00201A9A" w:rsidRDefault="004A489F">
            <w:pPr>
              <w:spacing w:before="0" w:after="0"/>
              <w:rPr>
                <w:rFonts w:eastAsia="Times New Roman"/>
                <w:noProof/>
                <w:color w:val="000000"/>
                <w:sz w:val="16"/>
                <w:szCs w:val="16"/>
              </w:rPr>
            </w:pPr>
            <w:r w:rsidRPr="00201A9A">
              <w:rPr>
                <w:noProof/>
                <w:color w:val="000000"/>
                <w:sz w:val="16"/>
              </w:rPr>
              <w:t>02.01 Wydatki na wsparcie Funduszu Partnerstwa Krajowego</w:t>
            </w:r>
            <w:r w:rsidR="00201A9A" w:rsidRPr="00201A9A">
              <w:rPr>
                <w:noProof/>
                <w:color w:val="000000"/>
                <w:sz w:val="16"/>
              </w:rPr>
              <w:t xml:space="preserve"> i Reg</w:t>
            </w:r>
            <w:r w:rsidRPr="00201A9A">
              <w:rPr>
                <w:noProof/>
                <w:color w:val="000000"/>
                <w:sz w:val="16"/>
              </w:rPr>
              <w:t>ionalnego</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4DCE649D"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Niezróżn.</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01F6B866"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710CE0F7"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161F619D"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c>
          <w:tcPr>
            <w:tcW w:w="465" w:type="pct"/>
            <w:tcBorders>
              <w:top w:val="single" w:sz="8" w:space="0" w:color="auto"/>
              <w:left w:val="single" w:sz="8" w:space="0" w:color="auto"/>
              <w:bottom w:val="nil"/>
              <w:right w:val="single" w:sz="8" w:space="0" w:color="000000"/>
            </w:tcBorders>
            <w:shd w:val="clear" w:color="000000" w:fill="D9D9D9"/>
            <w:vAlign w:val="center"/>
            <w:hideMark/>
          </w:tcPr>
          <w:p w14:paraId="4CF09495"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4F816019" w14:textId="77777777" w:rsidTr="006125B0">
        <w:trPr>
          <w:trHeight w:val="300"/>
        </w:trPr>
        <w:tc>
          <w:tcPr>
            <w:tcW w:w="471" w:type="pct"/>
            <w:tcBorders>
              <w:top w:val="single" w:sz="8" w:space="0" w:color="auto"/>
              <w:left w:val="single" w:sz="8" w:space="0" w:color="000000"/>
              <w:bottom w:val="nil"/>
              <w:right w:val="single" w:sz="8" w:space="0" w:color="auto"/>
            </w:tcBorders>
            <w:shd w:val="clear" w:color="000000" w:fill="D9D9D9"/>
            <w:vAlign w:val="center"/>
            <w:hideMark/>
          </w:tcPr>
          <w:p w14:paraId="2353974F"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E077D5" w14:textId="25D475FD" w:rsidR="004A489F" w:rsidRPr="00201A9A" w:rsidRDefault="004A489F">
            <w:pPr>
              <w:spacing w:before="0" w:after="0"/>
              <w:rPr>
                <w:rFonts w:eastAsia="Times New Roman"/>
                <w:noProof/>
                <w:color w:val="000000"/>
                <w:sz w:val="16"/>
                <w:szCs w:val="16"/>
              </w:rPr>
            </w:pPr>
            <w:r w:rsidRPr="00201A9A">
              <w:rPr>
                <w:noProof/>
                <w:color w:val="000000"/>
                <w:sz w:val="16"/>
              </w:rPr>
              <w:t>02.02 Plany partnerstwa krajowego</w:t>
            </w:r>
            <w:r w:rsidR="00201A9A" w:rsidRPr="00201A9A">
              <w:rPr>
                <w:noProof/>
                <w:color w:val="000000"/>
                <w:sz w:val="16"/>
              </w:rPr>
              <w:t xml:space="preserve"> i reg</w:t>
            </w:r>
            <w:r w:rsidRPr="00201A9A">
              <w:rPr>
                <w:noProof/>
                <w:color w:val="000000"/>
                <w:sz w:val="16"/>
              </w:rPr>
              <w:t xml:space="preserve">ionalnego oraz </w:t>
            </w:r>
            <w:r w:rsidR="00A47BEA" w:rsidRPr="00201A9A">
              <w:rPr>
                <w:noProof/>
                <w:color w:val="000000"/>
                <w:sz w:val="16"/>
              </w:rPr>
              <w:t>P</w:t>
            </w:r>
            <w:r w:rsidRPr="00201A9A">
              <w:rPr>
                <w:noProof/>
                <w:color w:val="000000"/>
                <w:sz w:val="16"/>
              </w:rPr>
              <w:t>lan Interreg – Wydatki operacyjne</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366200D1"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68C634FB"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16EB5FF9"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c>
          <w:tcPr>
            <w:tcW w:w="465" w:type="pct"/>
            <w:tcBorders>
              <w:top w:val="single" w:sz="8" w:space="0" w:color="auto"/>
              <w:left w:val="single" w:sz="8" w:space="0" w:color="auto"/>
              <w:bottom w:val="nil"/>
              <w:right w:val="single" w:sz="8" w:space="0" w:color="auto"/>
            </w:tcBorders>
            <w:shd w:val="clear" w:color="000000" w:fill="D9D9D9"/>
            <w:vAlign w:val="center"/>
            <w:hideMark/>
          </w:tcPr>
          <w:p w14:paraId="5ECD7E51"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c>
          <w:tcPr>
            <w:tcW w:w="465" w:type="pct"/>
            <w:tcBorders>
              <w:top w:val="single" w:sz="8" w:space="0" w:color="auto"/>
              <w:left w:val="single" w:sz="8" w:space="0" w:color="auto"/>
              <w:bottom w:val="nil"/>
              <w:right w:val="single" w:sz="8" w:space="0" w:color="000000"/>
            </w:tcBorders>
            <w:shd w:val="clear" w:color="000000" w:fill="D9D9D9"/>
            <w:vAlign w:val="center"/>
            <w:hideMark/>
          </w:tcPr>
          <w:p w14:paraId="0C73BF5F"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3AC8ABBB"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31508EF4"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7A88E162" w14:textId="77777777" w:rsidR="004A489F" w:rsidRPr="00201A9A" w:rsidRDefault="004A489F">
            <w:pPr>
              <w:spacing w:before="0" w:after="0"/>
              <w:rPr>
                <w:rFonts w:eastAsia="Times New Roman"/>
                <w:noProof/>
                <w:color w:val="000000"/>
                <w:sz w:val="16"/>
                <w:szCs w:val="16"/>
              </w:rPr>
            </w:pPr>
            <w:r w:rsidRPr="00201A9A">
              <w:rPr>
                <w:noProof/>
                <w:color w:val="000000"/>
                <w:sz w:val="16"/>
              </w:rPr>
              <w:t>02.02.01 Trwały dobrobyt Europy</w:t>
            </w:r>
          </w:p>
        </w:tc>
        <w:tc>
          <w:tcPr>
            <w:tcW w:w="465" w:type="pct"/>
            <w:tcBorders>
              <w:top w:val="single" w:sz="8" w:space="0" w:color="auto"/>
              <w:left w:val="single" w:sz="8" w:space="0" w:color="auto"/>
              <w:bottom w:val="nil"/>
              <w:right w:val="single" w:sz="8" w:space="0" w:color="auto"/>
            </w:tcBorders>
            <w:vAlign w:val="center"/>
            <w:hideMark/>
          </w:tcPr>
          <w:p w14:paraId="703B5606"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8" w:space="0" w:color="auto"/>
              <w:left w:val="single" w:sz="8" w:space="0" w:color="auto"/>
              <w:bottom w:val="nil"/>
              <w:right w:val="single" w:sz="8" w:space="0" w:color="auto"/>
            </w:tcBorders>
            <w:vAlign w:val="center"/>
            <w:hideMark/>
          </w:tcPr>
          <w:p w14:paraId="2F6013E6"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13E831CE"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4DCB57BE"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000000"/>
            </w:tcBorders>
            <w:vAlign w:val="center"/>
            <w:hideMark/>
          </w:tcPr>
          <w:p w14:paraId="0CF1FECD"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27650C66"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3F70F3AF"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6B4156BD" w14:textId="47D81ADF" w:rsidR="004A489F" w:rsidRPr="00201A9A" w:rsidRDefault="004A489F">
            <w:pPr>
              <w:spacing w:before="0" w:after="0"/>
              <w:rPr>
                <w:rFonts w:eastAsia="Times New Roman"/>
                <w:noProof/>
                <w:color w:val="000000"/>
                <w:sz w:val="16"/>
                <w:szCs w:val="16"/>
              </w:rPr>
            </w:pPr>
            <w:r w:rsidRPr="00201A9A">
              <w:rPr>
                <w:noProof/>
                <w:color w:val="000000"/>
                <w:sz w:val="16"/>
              </w:rPr>
              <w:t>02.02.02 Europejskie zdolności obronne</w:t>
            </w:r>
            <w:r w:rsidR="00201A9A" w:rsidRPr="00201A9A">
              <w:rPr>
                <w:noProof/>
                <w:color w:val="000000"/>
                <w:sz w:val="16"/>
              </w:rPr>
              <w:t xml:space="preserve"> i bez</w:t>
            </w:r>
            <w:r w:rsidRPr="00201A9A">
              <w:rPr>
                <w:noProof/>
                <w:color w:val="000000"/>
                <w:sz w:val="16"/>
              </w:rPr>
              <w:t>pieczeństwo</w:t>
            </w:r>
          </w:p>
        </w:tc>
        <w:tc>
          <w:tcPr>
            <w:tcW w:w="465" w:type="pct"/>
            <w:tcBorders>
              <w:top w:val="single" w:sz="8" w:space="0" w:color="auto"/>
              <w:left w:val="single" w:sz="8" w:space="0" w:color="auto"/>
              <w:bottom w:val="nil"/>
              <w:right w:val="single" w:sz="8" w:space="0" w:color="auto"/>
            </w:tcBorders>
            <w:vAlign w:val="center"/>
            <w:hideMark/>
          </w:tcPr>
          <w:p w14:paraId="44A98C84"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8" w:space="0" w:color="auto"/>
              <w:left w:val="single" w:sz="8" w:space="0" w:color="auto"/>
              <w:bottom w:val="nil"/>
              <w:right w:val="single" w:sz="8" w:space="0" w:color="auto"/>
            </w:tcBorders>
            <w:vAlign w:val="center"/>
            <w:hideMark/>
          </w:tcPr>
          <w:p w14:paraId="37808789"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58DC559B"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17CCF60D"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000000"/>
            </w:tcBorders>
            <w:vAlign w:val="center"/>
            <w:hideMark/>
          </w:tcPr>
          <w:p w14:paraId="2D0802ED"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3B5F157F"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6A9977C6"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1C94D527" w14:textId="5A590924" w:rsidR="004A489F" w:rsidRPr="00201A9A" w:rsidRDefault="004A489F">
            <w:pPr>
              <w:spacing w:before="0" w:after="0"/>
              <w:rPr>
                <w:rFonts w:eastAsia="Times New Roman"/>
                <w:noProof/>
                <w:color w:val="000000"/>
                <w:sz w:val="16"/>
                <w:szCs w:val="16"/>
              </w:rPr>
            </w:pPr>
            <w:r w:rsidRPr="00201A9A">
              <w:rPr>
                <w:noProof/>
                <w:color w:val="000000"/>
                <w:sz w:val="16"/>
              </w:rPr>
              <w:t>02.02.02.01 Migracja, azyl, zarządzanie granicami, wizy</w:t>
            </w:r>
            <w:r w:rsidR="00201A9A" w:rsidRPr="00201A9A">
              <w:rPr>
                <w:noProof/>
                <w:color w:val="000000"/>
                <w:sz w:val="16"/>
              </w:rPr>
              <w:t xml:space="preserve"> i bez</w:t>
            </w:r>
            <w:r w:rsidRPr="00201A9A">
              <w:rPr>
                <w:noProof/>
                <w:color w:val="000000"/>
                <w:sz w:val="16"/>
              </w:rPr>
              <w:t>pieczeństwo wewnętrzne</w:t>
            </w:r>
          </w:p>
        </w:tc>
        <w:tc>
          <w:tcPr>
            <w:tcW w:w="465" w:type="pct"/>
            <w:tcBorders>
              <w:top w:val="single" w:sz="8" w:space="0" w:color="auto"/>
              <w:left w:val="single" w:sz="8" w:space="0" w:color="auto"/>
              <w:bottom w:val="nil"/>
              <w:right w:val="single" w:sz="8" w:space="0" w:color="auto"/>
            </w:tcBorders>
            <w:vAlign w:val="center"/>
            <w:hideMark/>
          </w:tcPr>
          <w:p w14:paraId="14C1F411"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8" w:space="0" w:color="auto"/>
              <w:left w:val="single" w:sz="8" w:space="0" w:color="auto"/>
              <w:bottom w:val="nil"/>
              <w:right w:val="single" w:sz="8" w:space="0" w:color="auto"/>
            </w:tcBorders>
            <w:vAlign w:val="center"/>
            <w:hideMark/>
          </w:tcPr>
          <w:p w14:paraId="6FBCDACF"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3B231E9A"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4D59C6E5"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000000"/>
            </w:tcBorders>
            <w:vAlign w:val="center"/>
            <w:hideMark/>
          </w:tcPr>
          <w:p w14:paraId="08302DF0"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725B265E"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49C883A6"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2C6F6154" w14:textId="77777777" w:rsidR="004A489F" w:rsidRPr="00201A9A" w:rsidRDefault="004A489F">
            <w:pPr>
              <w:spacing w:before="0" w:after="0"/>
              <w:rPr>
                <w:rFonts w:eastAsia="Times New Roman"/>
                <w:noProof/>
                <w:color w:val="000000"/>
                <w:sz w:val="16"/>
                <w:szCs w:val="16"/>
              </w:rPr>
            </w:pPr>
            <w:r w:rsidRPr="00201A9A">
              <w:rPr>
                <w:noProof/>
                <w:color w:val="000000"/>
                <w:sz w:val="16"/>
              </w:rPr>
              <w:t>02.02.02.02 Pozostałe</w:t>
            </w:r>
          </w:p>
        </w:tc>
        <w:tc>
          <w:tcPr>
            <w:tcW w:w="465" w:type="pct"/>
            <w:tcBorders>
              <w:top w:val="single" w:sz="8" w:space="0" w:color="auto"/>
              <w:left w:val="single" w:sz="8" w:space="0" w:color="auto"/>
              <w:bottom w:val="nil"/>
              <w:right w:val="single" w:sz="8" w:space="0" w:color="auto"/>
            </w:tcBorders>
            <w:vAlign w:val="center"/>
            <w:hideMark/>
          </w:tcPr>
          <w:p w14:paraId="47F5AE2E"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8" w:space="0" w:color="auto"/>
              <w:left w:val="single" w:sz="8" w:space="0" w:color="auto"/>
              <w:bottom w:val="nil"/>
              <w:right w:val="single" w:sz="8" w:space="0" w:color="auto"/>
            </w:tcBorders>
            <w:vAlign w:val="center"/>
            <w:hideMark/>
          </w:tcPr>
          <w:p w14:paraId="3727EC4F"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11A16520"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77B1289B"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000000"/>
            </w:tcBorders>
            <w:vAlign w:val="center"/>
            <w:hideMark/>
          </w:tcPr>
          <w:p w14:paraId="626FB40C"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213D3ACB"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2DDBE793"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684FBCF4" w14:textId="25F90692" w:rsidR="004A489F" w:rsidRPr="00201A9A" w:rsidRDefault="004A489F">
            <w:pPr>
              <w:spacing w:before="0" w:after="0"/>
              <w:rPr>
                <w:rFonts w:eastAsia="Times New Roman"/>
                <w:noProof/>
                <w:color w:val="000000"/>
                <w:sz w:val="16"/>
                <w:szCs w:val="16"/>
              </w:rPr>
            </w:pPr>
            <w:r w:rsidRPr="00201A9A">
              <w:rPr>
                <w:noProof/>
                <w:color w:val="000000"/>
                <w:sz w:val="16"/>
              </w:rPr>
              <w:t>02.02.03 Wspieranie ludzi, wzmacnianie społeczeństw Europy</w:t>
            </w:r>
            <w:r w:rsidR="00201A9A" w:rsidRPr="00201A9A">
              <w:rPr>
                <w:noProof/>
                <w:color w:val="000000"/>
                <w:sz w:val="16"/>
              </w:rPr>
              <w:t xml:space="preserve"> i eur</w:t>
            </w:r>
            <w:r w:rsidRPr="00201A9A">
              <w:rPr>
                <w:noProof/>
                <w:color w:val="000000"/>
                <w:sz w:val="16"/>
              </w:rPr>
              <w:t>opejskiego modelu społecznego</w:t>
            </w:r>
          </w:p>
        </w:tc>
        <w:tc>
          <w:tcPr>
            <w:tcW w:w="465" w:type="pct"/>
            <w:tcBorders>
              <w:top w:val="single" w:sz="8" w:space="0" w:color="auto"/>
              <w:left w:val="single" w:sz="8" w:space="0" w:color="auto"/>
              <w:bottom w:val="nil"/>
              <w:right w:val="single" w:sz="8" w:space="0" w:color="auto"/>
            </w:tcBorders>
            <w:vAlign w:val="center"/>
            <w:hideMark/>
          </w:tcPr>
          <w:p w14:paraId="5610D294"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8" w:space="0" w:color="auto"/>
              <w:left w:val="single" w:sz="8" w:space="0" w:color="auto"/>
              <w:bottom w:val="nil"/>
              <w:right w:val="single" w:sz="8" w:space="0" w:color="auto"/>
            </w:tcBorders>
            <w:vAlign w:val="center"/>
            <w:hideMark/>
          </w:tcPr>
          <w:p w14:paraId="5E6B4DDB"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5596BF72"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133B600B"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000000"/>
            </w:tcBorders>
            <w:vAlign w:val="center"/>
            <w:hideMark/>
          </w:tcPr>
          <w:p w14:paraId="67E0417D"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16CD625E"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4505442E"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761568A8" w14:textId="0FE521CB" w:rsidR="004A489F" w:rsidRPr="00201A9A" w:rsidRDefault="004A489F">
            <w:pPr>
              <w:spacing w:before="0" w:after="0"/>
              <w:rPr>
                <w:rFonts w:eastAsia="Times New Roman"/>
                <w:noProof/>
                <w:color w:val="000000"/>
                <w:sz w:val="16"/>
                <w:szCs w:val="16"/>
              </w:rPr>
            </w:pPr>
            <w:r w:rsidRPr="00201A9A">
              <w:rPr>
                <w:noProof/>
                <w:color w:val="000000"/>
                <w:sz w:val="16"/>
              </w:rPr>
              <w:t>02.02.04 Utrzymanie jakości życia</w:t>
            </w:r>
            <w:r w:rsidR="00201A9A" w:rsidRPr="00201A9A">
              <w:rPr>
                <w:noProof/>
                <w:color w:val="000000"/>
                <w:sz w:val="16"/>
              </w:rPr>
              <w:t xml:space="preserve"> w Eur</w:t>
            </w:r>
            <w:r w:rsidRPr="00201A9A">
              <w:rPr>
                <w:noProof/>
                <w:color w:val="000000"/>
                <w:sz w:val="16"/>
              </w:rPr>
              <w:t>opie</w:t>
            </w:r>
          </w:p>
        </w:tc>
        <w:tc>
          <w:tcPr>
            <w:tcW w:w="465" w:type="pct"/>
            <w:tcBorders>
              <w:top w:val="single" w:sz="8" w:space="0" w:color="auto"/>
              <w:left w:val="single" w:sz="8" w:space="0" w:color="auto"/>
              <w:bottom w:val="nil"/>
              <w:right w:val="single" w:sz="8" w:space="0" w:color="auto"/>
            </w:tcBorders>
            <w:vAlign w:val="center"/>
            <w:hideMark/>
          </w:tcPr>
          <w:p w14:paraId="2E5CEDF8"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8" w:space="0" w:color="auto"/>
              <w:left w:val="single" w:sz="8" w:space="0" w:color="auto"/>
              <w:bottom w:val="nil"/>
              <w:right w:val="single" w:sz="8" w:space="0" w:color="auto"/>
            </w:tcBorders>
            <w:vAlign w:val="center"/>
            <w:hideMark/>
          </w:tcPr>
          <w:p w14:paraId="3E21FD2A"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38FA0555"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6AAB55E2"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000000"/>
            </w:tcBorders>
            <w:vAlign w:val="center"/>
            <w:hideMark/>
          </w:tcPr>
          <w:p w14:paraId="4A0AAE4B"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587491A0"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604371EF"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1676CA19" w14:textId="07F1CF79" w:rsidR="004A489F" w:rsidRPr="00201A9A" w:rsidRDefault="004A489F">
            <w:pPr>
              <w:spacing w:before="0" w:after="0"/>
              <w:rPr>
                <w:rFonts w:eastAsia="Times New Roman"/>
                <w:noProof/>
                <w:color w:val="000000"/>
                <w:sz w:val="16"/>
                <w:szCs w:val="16"/>
              </w:rPr>
            </w:pPr>
            <w:r w:rsidRPr="00201A9A">
              <w:rPr>
                <w:noProof/>
                <w:color w:val="000000"/>
                <w:sz w:val="16"/>
              </w:rPr>
              <w:t>02.02.04.01 Interwencje</w:t>
            </w:r>
            <w:r w:rsidR="00201A9A" w:rsidRPr="00201A9A">
              <w:rPr>
                <w:noProof/>
                <w:color w:val="000000"/>
                <w:sz w:val="16"/>
              </w:rPr>
              <w:t xml:space="preserve"> w ram</w:t>
            </w:r>
            <w:r w:rsidRPr="00201A9A">
              <w:rPr>
                <w:noProof/>
                <w:color w:val="000000"/>
                <w:sz w:val="16"/>
              </w:rPr>
              <w:t>ach WPR i WPRyb</w:t>
            </w:r>
          </w:p>
        </w:tc>
        <w:tc>
          <w:tcPr>
            <w:tcW w:w="465" w:type="pct"/>
            <w:tcBorders>
              <w:top w:val="single" w:sz="8" w:space="0" w:color="auto"/>
              <w:left w:val="single" w:sz="8" w:space="0" w:color="auto"/>
              <w:bottom w:val="nil"/>
              <w:right w:val="single" w:sz="8" w:space="0" w:color="auto"/>
            </w:tcBorders>
            <w:vAlign w:val="center"/>
            <w:hideMark/>
          </w:tcPr>
          <w:p w14:paraId="6633E69D"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8" w:space="0" w:color="auto"/>
              <w:left w:val="single" w:sz="8" w:space="0" w:color="auto"/>
              <w:bottom w:val="nil"/>
              <w:right w:val="single" w:sz="8" w:space="0" w:color="auto"/>
            </w:tcBorders>
            <w:vAlign w:val="center"/>
            <w:hideMark/>
          </w:tcPr>
          <w:p w14:paraId="70230473" w14:textId="77777777" w:rsidR="004A489F" w:rsidRPr="00201A9A" w:rsidRDefault="00BF3C65">
            <w:pPr>
              <w:spacing w:before="0" w:after="0"/>
              <w:jc w:val="center"/>
              <w:rPr>
                <w:rFonts w:eastAsia="Times New Roman"/>
                <w:noProof/>
                <w:color w:val="000000"/>
                <w:sz w:val="16"/>
                <w:szCs w:val="16"/>
              </w:rPr>
            </w:pPr>
            <w:r w:rsidRPr="00201A9A">
              <w:rPr>
                <w:noProof/>
                <w:color w:val="000000"/>
                <w:sz w:val="16"/>
              </w:rPr>
              <w:t>NIE</w:t>
            </w:r>
          </w:p>
        </w:tc>
        <w:tc>
          <w:tcPr>
            <w:tcW w:w="465" w:type="pct"/>
            <w:tcBorders>
              <w:top w:val="single" w:sz="8" w:space="0" w:color="auto"/>
              <w:left w:val="single" w:sz="8" w:space="0" w:color="auto"/>
              <w:bottom w:val="nil"/>
              <w:right w:val="single" w:sz="8" w:space="0" w:color="auto"/>
            </w:tcBorders>
            <w:vAlign w:val="center"/>
            <w:hideMark/>
          </w:tcPr>
          <w:p w14:paraId="0A6EB3CE" w14:textId="77777777" w:rsidR="004A489F" w:rsidRPr="00201A9A" w:rsidRDefault="00BF3C65">
            <w:pPr>
              <w:spacing w:before="0" w:after="0"/>
              <w:jc w:val="center"/>
              <w:rPr>
                <w:rFonts w:eastAsia="Times New Roman"/>
                <w:noProof/>
                <w:color w:val="000000"/>
                <w:sz w:val="16"/>
                <w:szCs w:val="16"/>
              </w:rPr>
            </w:pPr>
            <w:r w:rsidRPr="00201A9A">
              <w:rPr>
                <w:noProof/>
                <w:color w:val="000000"/>
                <w:sz w:val="16"/>
              </w:rPr>
              <w:t>NIE</w:t>
            </w:r>
          </w:p>
        </w:tc>
        <w:tc>
          <w:tcPr>
            <w:tcW w:w="465" w:type="pct"/>
            <w:tcBorders>
              <w:top w:val="single" w:sz="8" w:space="0" w:color="auto"/>
              <w:left w:val="single" w:sz="8" w:space="0" w:color="auto"/>
              <w:bottom w:val="nil"/>
              <w:right w:val="single" w:sz="8" w:space="0" w:color="auto"/>
            </w:tcBorders>
            <w:vAlign w:val="center"/>
            <w:hideMark/>
          </w:tcPr>
          <w:p w14:paraId="53F49B69" w14:textId="77777777" w:rsidR="004A489F" w:rsidRPr="00201A9A" w:rsidRDefault="00BF3C65">
            <w:pPr>
              <w:spacing w:before="0" w:after="0"/>
              <w:jc w:val="center"/>
              <w:rPr>
                <w:rFonts w:eastAsia="Times New Roman"/>
                <w:noProof/>
                <w:color w:val="000000"/>
                <w:sz w:val="16"/>
                <w:szCs w:val="16"/>
              </w:rPr>
            </w:pPr>
            <w:r w:rsidRPr="00201A9A">
              <w:rPr>
                <w:noProof/>
                <w:color w:val="000000"/>
                <w:sz w:val="16"/>
              </w:rPr>
              <w:t>NIE</w:t>
            </w:r>
          </w:p>
        </w:tc>
        <w:tc>
          <w:tcPr>
            <w:tcW w:w="465" w:type="pct"/>
            <w:tcBorders>
              <w:top w:val="single" w:sz="8" w:space="0" w:color="auto"/>
              <w:left w:val="single" w:sz="8" w:space="0" w:color="auto"/>
              <w:bottom w:val="nil"/>
              <w:right w:val="single" w:sz="8" w:space="0" w:color="000000"/>
            </w:tcBorders>
            <w:vAlign w:val="center"/>
            <w:hideMark/>
          </w:tcPr>
          <w:p w14:paraId="69FAE01C"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7A9AD8D1"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0B037FD8"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204C3758" w14:textId="77777777" w:rsidR="004A489F" w:rsidRPr="00201A9A" w:rsidRDefault="004A489F">
            <w:pPr>
              <w:spacing w:before="0" w:after="0"/>
              <w:rPr>
                <w:rFonts w:eastAsia="Times New Roman"/>
                <w:noProof/>
                <w:color w:val="000000"/>
                <w:sz w:val="16"/>
                <w:szCs w:val="16"/>
              </w:rPr>
            </w:pPr>
            <w:r w:rsidRPr="00201A9A">
              <w:rPr>
                <w:noProof/>
                <w:color w:val="000000"/>
                <w:sz w:val="16"/>
              </w:rPr>
              <w:t>02.02.04.02 Pozostałe</w:t>
            </w:r>
          </w:p>
        </w:tc>
        <w:tc>
          <w:tcPr>
            <w:tcW w:w="465" w:type="pct"/>
            <w:tcBorders>
              <w:top w:val="single" w:sz="8" w:space="0" w:color="auto"/>
              <w:left w:val="single" w:sz="8" w:space="0" w:color="auto"/>
              <w:bottom w:val="nil"/>
              <w:right w:val="single" w:sz="8" w:space="0" w:color="auto"/>
            </w:tcBorders>
            <w:vAlign w:val="center"/>
            <w:hideMark/>
          </w:tcPr>
          <w:p w14:paraId="26F3F573"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8" w:space="0" w:color="auto"/>
              <w:left w:val="single" w:sz="8" w:space="0" w:color="auto"/>
              <w:bottom w:val="nil"/>
              <w:right w:val="single" w:sz="8" w:space="0" w:color="auto"/>
            </w:tcBorders>
            <w:vAlign w:val="center"/>
            <w:hideMark/>
          </w:tcPr>
          <w:p w14:paraId="781C0561"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66075AD0"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4333D213"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000000"/>
            </w:tcBorders>
            <w:vAlign w:val="center"/>
            <w:hideMark/>
          </w:tcPr>
          <w:p w14:paraId="360F0E0D"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0D800F6C"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217CD0CD"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4C62FA26" w14:textId="665653A0" w:rsidR="004A489F" w:rsidRPr="00201A9A" w:rsidRDefault="004A489F">
            <w:pPr>
              <w:spacing w:before="0" w:after="0"/>
              <w:rPr>
                <w:rFonts w:eastAsia="Times New Roman"/>
                <w:noProof/>
                <w:color w:val="000000"/>
                <w:sz w:val="16"/>
                <w:szCs w:val="16"/>
              </w:rPr>
            </w:pPr>
            <w:r w:rsidRPr="00201A9A">
              <w:rPr>
                <w:noProof/>
                <w:color w:val="000000"/>
                <w:sz w:val="16"/>
              </w:rPr>
              <w:t>02.02.05 Ochrona demokracji</w:t>
            </w:r>
            <w:r w:rsidR="00201A9A" w:rsidRPr="00201A9A">
              <w:rPr>
                <w:noProof/>
                <w:color w:val="000000"/>
                <w:sz w:val="16"/>
              </w:rPr>
              <w:t xml:space="preserve"> i pań</w:t>
            </w:r>
            <w:r w:rsidRPr="00201A9A">
              <w:rPr>
                <w:noProof/>
                <w:color w:val="000000"/>
                <w:sz w:val="16"/>
              </w:rPr>
              <w:t>stwa prawnego oraz przestrzeganie wartości Unii</w:t>
            </w:r>
          </w:p>
        </w:tc>
        <w:tc>
          <w:tcPr>
            <w:tcW w:w="465" w:type="pct"/>
            <w:tcBorders>
              <w:top w:val="single" w:sz="8" w:space="0" w:color="auto"/>
              <w:left w:val="single" w:sz="8" w:space="0" w:color="auto"/>
              <w:bottom w:val="nil"/>
              <w:right w:val="single" w:sz="8" w:space="0" w:color="auto"/>
            </w:tcBorders>
            <w:vAlign w:val="center"/>
            <w:hideMark/>
          </w:tcPr>
          <w:p w14:paraId="0C236E0E"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8" w:space="0" w:color="auto"/>
              <w:left w:val="single" w:sz="8" w:space="0" w:color="auto"/>
              <w:bottom w:val="nil"/>
              <w:right w:val="single" w:sz="8" w:space="0" w:color="auto"/>
            </w:tcBorders>
            <w:vAlign w:val="center"/>
            <w:hideMark/>
          </w:tcPr>
          <w:p w14:paraId="4641D84A"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67137A7A"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714E943A"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000000"/>
            </w:tcBorders>
            <w:vAlign w:val="center"/>
            <w:hideMark/>
          </w:tcPr>
          <w:p w14:paraId="6E996336"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1B0E21CE"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04DC5F01"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153568C1" w14:textId="77777777" w:rsidR="004A489F" w:rsidRPr="00201A9A" w:rsidRDefault="004A489F">
            <w:pPr>
              <w:spacing w:before="0" w:after="0"/>
              <w:rPr>
                <w:rFonts w:eastAsia="Times New Roman"/>
                <w:noProof/>
                <w:color w:val="000000"/>
                <w:sz w:val="16"/>
                <w:szCs w:val="16"/>
              </w:rPr>
            </w:pPr>
            <w:r w:rsidRPr="00201A9A">
              <w:rPr>
                <w:noProof/>
                <w:color w:val="000000"/>
                <w:sz w:val="16"/>
              </w:rPr>
              <w:t>02.02.06 Elastyczność</w:t>
            </w:r>
          </w:p>
        </w:tc>
        <w:tc>
          <w:tcPr>
            <w:tcW w:w="465" w:type="pct"/>
            <w:tcBorders>
              <w:top w:val="single" w:sz="8" w:space="0" w:color="auto"/>
              <w:left w:val="single" w:sz="8" w:space="0" w:color="auto"/>
              <w:bottom w:val="nil"/>
              <w:right w:val="single" w:sz="8" w:space="0" w:color="auto"/>
            </w:tcBorders>
            <w:vAlign w:val="center"/>
            <w:hideMark/>
          </w:tcPr>
          <w:p w14:paraId="3D008137"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8" w:space="0" w:color="auto"/>
              <w:left w:val="single" w:sz="8" w:space="0" w:color="auto"/>
              <w:bottom w:val="nil"/>
              <w:right w:val="single" w:sz="8" w:space="0" w:color="auto"/>
            </w:tcBorders>
            <w:vAlign w:val="center"/>
            <w:hideMark/>
          </w:tcPr>
          <w:p w14:paraId="5769F14C"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165AD40B"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35855EE5"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000000"/>
            </w:tcBorders>
            <w:vAlign w:val="center"/>
            <w:hideMark/>
          </w:tcPr>
          <w:p w14:paraId="58965A2C"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4FB81795"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08338AD2"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3C61497F" w14:textId="77777777" w:rsidR="004A489F" w:rsidRPr="00201A9A" w:rsidRDefault="004A489F">
            <w:pPr>
              <w:spacing w:before="0" w:after="0"/>
              <w:rPr>
                <w:rFonts w:eastAsia="Times New Roman"/>
                <w:noProof/>
                <w:color w:val="000000"/>
                <w:sz w:val="16"/>
                <w:szCs w:val="16"/>
              </w:rPr>
            </w:pPr>
            <w:r w:rsidRPr="00201A9A">
              <w:rPr>
                <w:noProof/>
                <w:color w:val="000000"/>
                <w:sz w:val="16"/>
              </w:rPr>
              <w:t>02.02.07 Plan Interreg</w:t>
            </w:r>
          </w:p>
        </w:tc>
        <w:tc>
          <w:tcPr>
            <w:tcW w:w="465" w:type="pct"/>
            <w:tcBorders>
              <w:top w:val="single" w:sz="8" w:space="0" w:color="auto"/>
              <w:left w:val="single" w:sz="8" w:space="0" w:color="auto"/>
              <w:bottom w:val="nil"/>
              <w:right w:val="single" w:sz="8" w:space="0" w:color="auto"/>
            </w:tcBorders>
            <w:vAlign w:val="center"/>
            <w:hideMark/>
          </w:tcPr>
          <w:p w14:paraId="7B4D513E"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8" w:space="0" w:color="auto"/>
              <w:left w:val="single" w:sz="8" w:space="0" w:color="auto"/>
              <w:bottom w:val="nil"/>
              <w:right w:val="single" w:sz="8" w:space="0" w:color="auto"/>
            </w:tcBorders>
            <w:vAlign w:val="center"/>
            <w:hideMark/>
          </w:tcPr>
          <w:p w14:paraId="6032BBFF"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156304E0"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12BEB3AF"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000000"/>
            </w:tcBorders>
            <w:vAlign w:val="center"/>
            <w:hideMark/>
          </w:tcPr>
          <w:p w14:paraId="38FFFDCB"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1CED0CD4" w14:textId="77777777" w:rsidTr="006125B0">
        <w:trPr>
          <w:trHeight w:val="300"/>
        </w:trPr>
        <w:tc>
          <w:tcPr>
            <w:tcW w:w="471" w:type="pct"/>
            <w:tcBorders>
              <w:top w:val="single" w:sz="8" w:space="0" w:color="auto"/>
              <w:left w:val="single" w:sz="8" w:space="0" w:color="000000"/>
              <w:bottom w:val="nil"/>
              <w:right w:val="single" w:sz="8" w:space="0" w:color="auto"/>
            </w:tcBorders>
            <w:vAlign w:val="center"/>
            <w:hideMark/>
          </w:tcPr>
          <w:p w14:paraId="646D89DD"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8" w:space="0" w:color="auto"/>
              <w:left w:val="single" w:sz="8" w:space="0" w:color="auto"/>
              <w:bottom w:val="single" w:sz="8" w:space="0" w:color="auto"/>
              <w:right w:val="single" w:sz="8" w:space="0" w:color="auto"/>
            </w:tcBorders>
            <w:vAlign w:val="center"/>
            <w:hideMark/>
          </w:tcPr>
          <w:p w14:paraId="594EE236" w14:textId="73B79972" w:rsidR="004A489F" w:rsidRPr="00201A9A" w:rsidRDefault="004A489F">
            <w:pPr>
              <w:spacing w:before="0" w:after="0"/>
              <w:rPr>
                <w:rFonts w:eastAsia="Times New Roman"/>
                <w:noProof/>
                <w:color w:val="000000"/>
                <w:sz w:val="16"/>
                <w:szCs w:val="16"/>
              </w:rPr>
            </w:pPr>
            <w:r w:rsidRPr="00201A9A">
              <w:rPr>
                <w:noProof/>
                <w:color w:val="000000"/>
                <w:sz w:val="16"/>
              </w:rPr>
              <w:t>02.02.08 Pomoc techniczna</w:t>
            </w:r>
            <w:r w:rsidR="00201A9A" w:rsidRPr="00201A9A">
              <w:rPr>
                <w:noProof/>
                <w:color w:val="000000"/>
                <w:sz w:val="16"/>
              </w:rPr>
              <w:t xml:space="preserve"> z ini</w:t>
            </w:r>
            <w:r w:rsidRPr="00201A9A">
              <w:rPr>
                <w:noProof/>
                <w:color w:val="000000"/>
                <w:sz w:val="16"/>
              </w:rPr>
              <w:t>cjatywy Komisji – wydatki operacyjne</w:t>
            </w:r>
          </w:p>
        </w:tc>
        <w:tc>
          <w:tcPr>
            <w:tcW w:w="465" w:type="pct"/>
            <w:tcBorders>
              <w:top w:val="single" w:sz="8" w:space="0" w:color="auto"/>
              <w:left w:val="single" w:sz="8" w:space="0" w:color="auto"/>
              <w:bottom w:val="nil"/>
              <w:right w:val="single" w:sz="8" w:space="0" w:color="auto"/>
            </w:tcBorders>
            <w:vAlign w:val="center"/>
            <w:hideMark/>
          </w:tcPr>
          <w:p w14:paraId="42492648"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8" w:space="0" w:color="auto"/>
              <w:left w:val="single" w:sz="8" w:space="0" w:color="auto"/>
              <w:bottom w:val="nil"/>
              <w:right w:val="single" w:sz="8" w:space="0" w:color="auto"/>
            </w:tcBorders>
            <w:vAlign w:val="center"/>
            <w:hideMark/>
          </w:tcPr>
          <w:p w14:paraId="0B4E6AE1"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5A670198"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auto"/>
            </w:tcBorders>
            <w:vAlign w:val="center"/>
            <w:hideMark/>
          </w:tcPr>
          <w:p w14:paraId="3CB5057A"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nil"/>
              <w:right w:val="single" w:sz="8" w:space="0" w:color="000000"/>
            </w:tcBorders>
            <w:vAlign w:val="center"/>
            <w:hideMark/>
          </w:tcPr>
          <w:p w14:paraId="079FEA52"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4ACB2799" w14:textId="77777777" w:rsidTr="006125B0">
        <w:trPr>
          <w:trHeight w:val="300"/>
        </w:trPr>
        <w:tc>
          <w:tcPr>
            <w:tcW w:w="471" w:type="pct"/>
            <w:tcBorders>
              <w:top w:val="single" w:sz="8" w:space="0" w:color="auto"/>
              <w:left w:val="single" w:sz="8" w:space="0" w:color="000000"/>
              <w:bottom w:val="single" w:sz="4" w:space="0" w:color="auto"/>
              <w:right w:val="single" w:sz="8" w:space="0" w:color="auto"/>
            </w:tcBorders>
            <w:shd w:val="clear" w:color="000000" w:fill="D9D9D9"/>
            <w:vAlign w:val="center"/>
            <w:hideMark/>
          </w:tcPr>
          <w:p w14:paraId="4D11EDF7"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43E30B79" w14:textId="77777777" w:rsidR="004A489F" w:rsidRPr="00201A9A" w:rsidRDefault="004A489F">
            <w:pPr>
              <w:spacing w:before="0" w:after="0"/>
              <w:rPr>
                <w:rFonts w:eastAsia="Times New Roman"/>
                <w:noProof/>
                <w:color w:val="000000"/>
                <w:sz w:val="16"/>
                <w:szCs w:val="16"/>
              </w:rPr>
            </w:pPr>
            <w:r w:rsidRPr="00201A9A">
              <w:rPr>
                <w:noProof/>
                <w:color w:val="000000"/>
                <w:sz w:val="16"/>
              </w:rPr>
              <w:t>02.03 Instrument UE</w:t>
            </w:r>
          </w:p>
        </w:tc>
        <w:tc>
          <w:tcPr>
            <w:tcW w:w="465"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783C0CA0"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32BD5701"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24BF8507"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single" w:sz="4" w:space="0" w:color="auto"/>
              <w:right w:val="single" w:sz="8" w:space="0" w:color="auto"/>
            </w:tcBorders>
            <w:shd w:val="clear" w:color="000000" w:fill="D9D9D9"/>
            <w:vAlign w:val="center"/>
            <w:hideMark/>
          </w:tcPr>
          <w:p w14:paraId="625F11D7"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8" w:space="0" w:color="auto"/>
              <w:left w:val="single" w:sz="8" w:space="0" w:color="auto"/>
              <w:bottom w:val="single" w:sz="4" w:space="0" w:color="auto"/>
              <w:right w:val="single" w:sz="8" w:space="0" w:color="000000"/>
            </w:tcBorders>
            <w:shd w:val="clear" w:color="000000" w:fill="D9D9D9"/>
            <w:vAlign w:val="center"/>
            <w:hideMark/>
          </w:tcPr>
          <w:p w14:paraId="743C5D10"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60C25DC4"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EBAEAED"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3D377D8" w14:textId="77777777" w:rsidR="004A489F" w:rsidRPr="00201A9A" w:rsidRDefault="004A489F">
            <w:pPr>
              <w:spacing w:before="0" w:after="0"/>
              <w:rPr>
                <w:rFonts w:eastAsia="Times New Roman"/>
                <w:noProof/>
                <w:color w:val="000000"/>
                <w:sz w:val="16"/>
                <w:szCs w:val="16"/>
              </w:rPr>
            </w:pPr>
            <w:r w:rsidRPr="00201A9A">
              <w:rPr>
                <w:noProof/>
                <w:color w:val="000000"/>
                <w:sz w:val="16"/>
              </w:rPr>
              <w:t>02.03.01 Działania Unii</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2A942C1"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272C32D"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7B65FC1"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A8430C1"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C4F1415"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153B85EF"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vAlign w:val="center"/>
            <w:hideMark/>
          </w:tcPr>
          <w:p w14:paraId="1B9416E0"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vAlign w:val="center"/>
            <w:hideMark/>
          </w:tcPr>
          <w:p w14:paraId="1B3E4DB8" w14:textId="77777777" w:rsidR="004A489F" w:rsidRPr="00201A9A" w:rsidRDefault="004A489F">
            <w:pPr>
              <w:spacing w:before="0" w:after="0"/>
              <w:rPr>
                <w:rFonts w:eastAsia="Times New Roman"/>
                <w:noProof/>
                <w:color w:val="000000"/>
                <w:sz w:val="16"/>
                <w:szCs w:val="16"/>
              </w:rPr>
            </w:pPr>
            <w:r w:rsidRPr="00201A9A">
              <w:rPr>
                <w:noProof/>
                <w:color w:val="000000"/>
                <w:sz w:val="16"/>
              </w:rPr>
              <w:t>02.03.01.01 Sytuacje kryzysowe – Solidarność Unii Europejskiej</w:t>
            </w:r>
          </w:p>
        </w:tc>
        <w:tc>
          <w:tcPr>
            <w:tcW w:w="465" w:type="pct"/>
            <w:tcBorders>
              <w:top w:val="single" w:sz="4" w:space="0" w:color="auto"/>
              <w:left w:val="single" w:sz="4" w:space="0" w:color="auto"/>
              <w:bottom w:val="single" w:sz="4" w:space="0" w:color="auto"/>
              <w:right w:val="single" w:sz="4" w:space="0" w:color="auto"/>
            </w:tcBorders>
            <w:vAlign w:val="center"/>
            <w:hideMark/>
          </w:tcPr>
          <w:p w14:paraId="4038441D"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4" w:space="0" w:color="auto"/>
              <w:left w:val="single" w:sz="4" w:space="0" w:color="auto"/>
              <w:bottom w:val="single" w:sz="4" w:space="0" w:color="auto"/>
              <w:right w:val="single" w:sz="4" w:space="0" w:color="auto"/>
            </w:tcBorders>
            <w:vAlign w:val="center"/>
            <w:hideMark/>
          </w:tcPr>
          <w:p w14:paraId="4999F62F" w14:textId="77777777" w:rsidR="004A489F" w:rsidRPr="00201A9A" w:rsidRDefault="004A489F">
            <w:pPr>
              <w:spacing w:before="0" w:after="0"/>
              <w:jc w:val="center"/>
              <w:rPr>
                <w:rFonts w:eastAsia="Times New Roman"/>
                <w:noProof/>
                <w:color w:val="FF0000"/>
                <w:sz w:val="16"/>
                <w:szCs w:val="16"/>
              </w:rPr>
            </w:pPr>
            <w:r w:rsidRPr="00201A9A">
              <w:rPr>
                <w:noProof/>
                <w:color w:val="FF0000"/>
                <w:sz w:val="16"/>
              </w:rPr>
              <w:t>TAK</w:t>
            </w:r>
          </w:p>
        </w:tc>
        <w:tc>
          <w:tcPr>
            <w:tcW w:w="465" w:type="pct"/>
            <w:tcBorders>
              <w:top w:val="single" w:sz="4" w:space="0" w:color="auto"/>
              <w:left w:val="single" w:sz="4" w:space="0" w:color="auto"/>
              <w:bottom w:val="single" w:sz="4" w:space="0" w:color="auto"/>
              <w:right w:val="single" w:sz="4" w:space="0" w:color="auto"/>
            </w:tcBorders>
            <w:vAlign w:val="center"/>
            <w:hideMark/>
          </w:tcPr>
          <w:p w14:paraId="32864743" w14:textId="77777777" w:rsidR="004A489F" w:rsidRPr="00201A9A" w:rsidRDefault="004A489F">
            <w:pPr>
              <w:spacing w:before="0" w:after="0"/>
              <w:jc w:val="center"/>
              <w:rPr>
                <w:rFonts w:eastAsia="Times New Roman"/>
                <w:noProof/>
                <w:color w:val="FF0000"/>
                <w:sz w:val="16"/>
                <w:szCs w:val="16"/>
              </w:rPr>
            </w:pPr>
            <w:r w:rsidRPr="00201A9A">
              <w:rPr>
                <w:noProof/>
                <w:color w:val="FF0000"/>
                <w:sz w:val="16"/>
              </w:rPr>
              <w:t>TAK</w:t>
            </w:r>
          </w:p>
        </w:tc>
        <w:tc>
          <w:tcPr>
            <w:tcW w:w="465" w:type="pct"/>
            <w:tcBorders>
              <w:top w:val="single" w:sz="4" w:space="0" w:color="auto"/>
              <w:left w:val="single" w:sz="4" w:space="0" w:color="auto"/>
              <w:bottom w:val="single" w:sz="4" w:space="0" w:color="auto"/>
              <w:right w:val="single" w:sz="4" w:space="0" w:color="auto"/>
            </w:tcBorders>
            <w:vAlign w:val="center"/>
            <w:hideMark/>
          </w:tcPr>
          <w:p w14:paraId="6468952D" w14:textId="77777777" w:rsidR="004A489F" w:rsidRPr="00201A9A" w:rsidRDefault="004A489F">
            <w:pPr>
              <w:spacing w:before="0" w:after="0"/>
              <w:jc w:val="center"/>
              <w:rPr>
                <w:rFonts w:eastAsia="Times New Roman"/>
                <w:noProof/>
                <w:color w:val="FF0000"/>
                <w:sz w:val="16"/>
                <w:szCs w:val="16"/>
              </w:rPr>
            </w:pPr>
            <w:r w:rsidRPr="00201A9A">
              <w:rPr>
                <w:noProof/>
                <w:color w:val="FF0000"/>
                <w:sz w:val="16"/>
              </w:rPr>
              <w:t>TAK</w:t>
            </w:r>
          </w:p>
        </w:tc>
        <w:tc>
          <w:tcPr>
            <w:tcW w:w="465" w:type="pct"/>
            <w:tcBorders>
              <w:top w:val="single" w:sz="4" w:space="0" w:color="auto"/>
              <w:left w:val="single" w:sz="4" w:space="0" w:color="auto"/>
              <w:bottom w:val="single" w:sz="4" w:space="0" w:color="auto"/>
              <w:right w:val="single" w:sz="4" w:space="0" w:color="auto"/>
            </w:tcBorders>
            <w:vAlign w:val="center"/>
            <w:hideMark/>
          </w:tcPr>
          <w:p w14:paraId="1B2FD643"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2C922993"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vAlign w:val="center"/>
            <w:hideMark/>
          </w:tcPr>
          <w:p w14:paraId="278DE124"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vAlign w:val="center"/>
            <w:hideMark/>
          </w:tcPr>
          <w:p w14:paraId="0902E837" w14:textId="77777777" w:rsidR="004A489F" w:rsidRPr="00201A9A" w:rsidRDefault="004A489F">
            <w:pPr>
              <w:spacing w:before="0" w:after="0"/>
              <w:rPr>
                <w:rFonts w:eastAsia="Times New Roman"/>
                <w:noProof/>
                <w:color w:val="000000"/>
                <w:sz w:val="16"/>
                <w:szCs w:val="16"/>
              </w:rPr>
            </w:pPr>
            <w:r w:rsidRPr="00201A9A">
              <w:rPr>
                <w:noProof/>
                <w:color w:val="000000"/>
                <w:sz w:val="16"/>
              </w:rPr>
              <w:t>02.03.01.02 Sieć bezpieczeństwa oparta na jedności (stabilizacja rynków rolnych)</w:t>
            </w:r>
          </w:p>
        </w:tc>
        <w:tc>
          <w:tcPr>
            <w:tcW w:w="465" w:type="pct"/>
            <w:tcBorders>
              <w:top w:val="single" w:sz="4" w:space="0" w:color="auto"/>
              <w:left w:val="single" w:sz="4" w:space="0" w:color="auto"/>
              <w:bottom w:val="single" w:sz="4" w:space="0" w:color="auto"/>
              <w:right w:val="single" w:sz="4" w:space="0" w:color="auto"/>
            </w:tcBorders>
            <w:vAlign w:val="center"/>
            <w:hideMark/>
          </w:tcPr>
          <w:p w14:paraId="4F933A0E"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4" w:space="0" w:color="auto"/>
              <w:left w:val="single" w:sz="4" w:space="0" w:color="auto"/>
              <w:bottom w:val="single" w:sz="4" w:space="0" w:color="auto"/>
              <w:right w:val="single" w:sz="4" w:space="0" w:color="auto"/>
            </w:tcBorders>
            <w:vAlign w:val="center"/>
            <w:hideMark/>
          </w:tcPr>
          <w:p w14:paraId="5E270E24" w14:textId="77777777" w:rsidR="004A489F" w:rsidRPr="00201A9A" w:rsidRDefault="004A489F">
            <w:pPr>
              <w:spacing w:before="0" w:after="0"/>
              <w:jc w:val="center"/>
              <w:rPr>
                <w:rFonts w:eastAsia="Times New Roman"/>
                <w:noProof/>
                <w:color w:val="FF0000"/>
                <w:sz w:val="16"/>
                <w:szCs w:val="16"/>
              </w:rPr>
            </w:pPr>
            <w:r w:rsidRPr="00201A9A">
              <w:rPr>
                <w:noProof/>
                <w:color w:val="FF0000"/>
                <w:sz w:val="16"/>
              </w:rPr>
              <w:t>TAK</w:t>
            </w:r>
          </w:p>
        </w:tc>
        <w:tc>
          <w:tcPr>
            <w:tcW w:w="465" w:type="pct"/>
            <w:tcBorders>
              <w:top w:val="single" w:sz="4" w:space="0" w:color="auto"/>
              <w:left w:val="single" w:sz="4" w:space="0" w:color="auto"/>
              <w:bottom w:val="single" w:sz="4" w:space="0" w:color="auto"/>
              <w:right w:val="single" w:sz="4" w:space="0" w:color="auto"/>
            </w:tcBorders>
            <w:vAlign w:val="center"/>
            <w:hideMark/>
          </w:tcPr>
          <w:p w14:paraId="1B5659DD" w14:textId="77777777" w:rsidR="004A489F" w:rsidRPr="00201A9A" w:rsidRDefault="004A489F">
            <w:pPr>
              <w:spacing w:before="0" w:after="0"/>
              <w:jc w:val="center"/>
              <w:rPr>
                <w:rFonts w:eastAsia="Times New Roman"/>
                <w:noProof/>
                <w:color w:val="FF0000"/>
                <w:sz w:val="16"/>
                <w:szCs w:val="16"/>
              </w:rPr>
            </w:pPr>
            <w:r w:rsidRPr="00201A9A">
              <w:rPr>
                <w:noProof/>
                <w:color w:val="FF0000"/>
                <w:sz w:val="16"/>
              </w:rPr>
              <w:t>TAK</w:t>
            </w:r>
          </w:p>
        </w:tc>
        <w:tc>
          <w:tcPr>
            <w:tcW w:w="465" w:type="pct"/>
            <w:tcBorders>
              <w:top w:val="single" w:sz="4" w:space="0" w:color="auto"/>
              <w:left w:val="single" w:sz="4" w:space="0" w:color="auto"/>
              <w:bottom w:val="single" w:sz="4" w:space="0" w:color="auto"/>
              <w:right w:val="single" w:sz="4" w:space="0" w:color="auto"/>
            </w:tcBorders>
            <w:vAlign w:val="center"/>
            <w:hideMark/>
          </w:tcPr>
          <w:p w14:paraId="5AC24482" w14:textId="77777777" w:rsidR="004A489F" w:rsidRPr="00201A9A" w:rsidRDefault="004A489F">
            <w:pPr>
              <w:spacing w:before="0" w:after="0"/>
              <w:jc w:val="center"/>
              <w:rPr>
                <w:rFonts w:eastAsia="Times New Roman"/>
                <w:noProof/>
                <w:color w:val="FF0000"/>
                <w:sz w:val="16"/>
                <w:szCs w:val="16"/>
              </w:rPr>
            </w:pPr>
            <w:r w:rsidRPr="00201A9A">
              <w:rPr>
                <w:noProof/>
                <w:color w:val="FF0000"/>
                <w:sz w:val="16"/>
              </w:rPr>
              <w:t>TAK</w:t>
            </w:r>
          </w:p>
        </w:tc>
        <w:tc>
          <w:tcPr>
            <w:tcW w:w="465" w:type="pct"/>
            <w:tcBorders>
              <w:top w:val="single" w:sz="4" w:space="0" w:color="auto"/>
              <w:left w:val="single" w:sz="4" w:space="0" w:color="auto"/>
              <w:bottom w:val="single" w:sz="4" w:space="0" w:color="auto"/>
              <w:right w:val="single" w:sz="4" w:space="0" w:color="auto"/>
            </w:tcBorders>
            <w:vAlign w:val="center"/>
            <w:hideMark/>
          </w:tcPr>
          <w:p w14:paraId="69CB052B"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14795142"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vAlign w:val="center"/>
            <w:hideMark/>
          </w:tcPr>
          <w:p w14:paraId="7E51B5E7"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vAlign w:val="center"/>
            <w:hideMark/>
          </w:tcPr>
          <w:p w14:paraId="1FBC6664" w14:textId="32ADCBDE" w:rsidR="004A489F" w:rsidRPr="00201A9A" w:rsidRDefault="004A489F">
            <w:pPr>
              <w:spacing w:before="0" w:after="0"/>
              <w:rPr>
                <w:rFonts w:eastAsia="Times New Roman"/>
                <w:noProof/>
                <w:color w:val="000000"/>
                <w:sz w:val="16"/>
                <w:szCs w:val="16"/>
              </w:rPr>
            </w:pPr>
            <w:r w:rsidRPr="00201A9A">
              <w:rPr>
                <w:noProof/>
                <w:color w:val="000000"/>
                <w:sz w:val="16"/>
              </w:rPr>
              <w:t>02.03.01.03 Migracja, azyl, zarządzanie granicami, wizy</w:t>
            </w:r>
            <w:r w:rsidR="00201A9A" w:rsidRPr="00201A9A">
              <w:rPr>
                <w:noProof/>
                <w:color w:val="000000"/>
                <w:sz w:val="16"/>
              </w:rPr>
              <w:t xml:space="preserve"> i bez</w:t>
            </w:r>
            <w:r w:rsidRPr="00201A9A">
              <w:rPr>
                <w:noProof/>
                <w:color w:val="000000"/>
                <w:sz w:val="16"/>
              </w:rPr>
              <w:t>pieczeństwo wewnętrzne</w:t>
            </w:r>
          </w:p>
        </w:tc>
        <w:tc>
          <w:tcPr>
            <w:tcW w:w="465" w:type="pct"/>
            <w:tcBorders>
              <w:top w:val="single" w:sz="4" w:space="0" w:color="auto"/>
              <w:left w:val="single" w:sz="4" w:space="0" w:color="auto"/>
              <w:bottom w:val="single" w:sz="4" w:space="0" w:color="auto"/>
              <w:right w:val="single" w:sz="4" w:space="0" w:color="auto"/>
            </w:tcBorders>
            <w:vAlign w:val="center"/>
            <w:hideMark/>
          </w:tcPr>
          <w:p w14:paraId="19B0CD64"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4" w:space="0" w:color="auto"/>
              <w:left w:val="single" w:sz="4" w:space="0" w:color="auto"/>
              <w:bottom w:val="single" w:sz="4" w:space="0" w:color="auto"/>
              <w:right w:val="single" w:sz="4" w:space="0" w:color="auto"/>
            </w:tcBorders>
            <w:vAlign w:val="center"/>
            <w:hideMark/>
          </w:tcPr>
          <w:p w14:paraId="2EC43E9C"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4" w:space="0" w:color="auto"/>
              <w:left w:val="single" w:sz="4" w:space="0" w:color="auto"/>
              <w:bottom w:val="single" w:sz="4" w:space="0" w:color="auto"/>
              <w:right w:val="single" w:sz="4" w:space="0" w:color="auto"/>
            </w:tcBorders>
            <w:vAlign w:val="center"/>
            <w:hideMark/>
          </w:tcPr>
          <w:p w14:paraId="39A2B2E0"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4" w:space="0" w:color="auto"/>
              <w:left w:val="single" w:sz="4" w:space="0" w:color="auto"/>
              <w:bottom w:val="single" w:sz="4" w:space="0" w:color="auto"/>
              <w:right w:val="single" w:sz="4" w:space="0" w:color="auto"/>
            </w:tcBorders>
            <w:vAlign w:val="center"/>
            <w:hideMark/>
          </w:tcPr>
          <w:p w14:paraId="31B50ACD"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4" w:space="0" w:color="auto"/>
              <w:left w:val="single" w:sz="4" w:space="0" w:color="auto"/>
              <w:bottom w:val="single" w:sz="4" w:space="0" w:color="auto"/>
              <w:right w:val="single" w:sz="4" w:space="0" w:color="auto"/>
            </w:tcBorders>
            <w:vAlign w:val="center"/>
            <w:hideMark/>
          </w:tcPr>
          <w:p w14:paraId="096C22A2"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4A713FB0"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vAlign w:val="center"/>
            <w:hideMark/>
          </w:tcPr>
          <w:p w14:paraId="0D2F117E"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vAlign w:val="center"/>
            <w:hideMark/>
          </w:tcPr>
          <w:p w14:paraId="61BED14F" w14:textId="77777777" w:rsidR="004A489F" w:rsidRPr="00201A9A" w:rsidRDefault="004A489F">
            <w:pPr>
              <w:spacing w:before="0" w:after="0"/>
              <w:rPr>
                <w:rFonts w:eastAsia="Times New Roman"/>
                <w:noProof/>
                <w:color w:val="000000"/>
                <w:sz w:val="16"/>
                <w:szCs w:val="16"/>
              </w:rPr>
            </w:pPr>
            <w:r w:rsidRPr="00201A9A">
              <w:rPr>
                <w:noProof/>
                <w:color w:val="000000"/>
                <w:sz w:val="16"/>
              </w:rPr>
              <w:t>02.03.01.04 Pozostałe działania Unii</w:t>
            </w:r>
          </w:p>
        </w:tc>
        <w:tc>
          <w:tcPr>
            <w:tcW w:w="465" w:type="pct"/>
            <w:tcBorders>
              <w:top w:val="single" w:sz="4" w:space="0" w:color="auto"/>
              <w:left w:val="single" w:sz="4" w:space="0" w:color="auto"/>
              <w:bottom w:val="single" w:sz="4" w:space="0" w:color="auto"/>
              <w:right w:val="single" w:sz="4" w:space="0" w:color="auto"/>
            </w:tcBorders>
            <w:vAlign w:val="center"/>
            <w:hideMark/>
          </w:tcPr>
          <w:p w14:paraId="7070A8ED"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4" w:space="0" w:color="auto"/>
              <w:left w:val="single" w:sz="4" w:space="0" w:color="auto"/>
              <w:bottom w:val="single" w:sz="4" w:space="0" w:color="auto"/>
              <w:right w:val="single" w:sz="4" w:space="0" w:color="auto"/>
            </w:tcBorders>
            <w:vAlign w:val="center"/>
            <w:hideMark/>
          </w:tcPr>
          <w:p w14:paraId="2D0D7526"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4" w:space="0" w:color="auto"/>
              <w:left w:val="single" w:sz="4" w:space="0" w:color="auto"/>
              <w:bottom w:val="single" w:sz="4" w:space="0" w:color="auto"/>
              <w:right w:val="single" w:sz="4" w:space="0" w:color="auto"/>
            </w:tcBorders>
            <w:vAlign w:val="center"/>
            <w:hideMark/>
          </w:tcPr>
          <w:p w14:paraId="7853FFC1"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4" w:space="0" w:color="auto"/>
              <w:left w:val="single" w:sz="4" w:space="0" w:color="auto"/>
              <w:bottom w:val="single" w:sz="4" w:space="0" w:color="auto"/>
              <w:right w:val="single" w:sz="4" w:space="0" w:color="auto"/>
            </w:tcBorders>
            <w:vAlign w:val="center"/>
            <w:hideMark/>
          </w:tcPr>
          <w:p w14:paraId="49877DDB"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4" w:space="0" w:color="auto"/>
              <w:left w:val="single" w:sz="4" w:space="0" w:color="auto"/>
              <w:bottom w:val="single" w:sz="4" w:space="0" w:color="auto"/>
              <w:right w:val="single" w:sz="4" w:space="0" w:color="auto"/>
            </w:tcBorders>
            <w:vAlign w:val="center"/>
            <w:hideMark/>
          </w:tcPr>
          <w:p w14:paraId="6DF42661"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r w:rsidR="004A489F" w:rsidRPr="00201A9A" w14:paraId="78DF0CA4" w14:textId="77777777" w:rsidTr="006125B0">
        <w:trPr>
          <w:trHeight w:val="300"/>
        </w:trPr>
        <w:tc>
          <w:tcPr>
            <w:tcW w:w="47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5A524DE" w14:textId="77777777" w:rsidR="004A489F" w:rsidRPr="00201A9A" w:rsidRDefault="004A489F">
            <w:pPr>
              <w:spacing w:before="0" w:after="0"/>
              <w:jc w:val="center"/>
              <w:rPr>
                <w:rFonts w:eastAsia="Times New Roman"/>
                <w:noProof/>
                <w:color w:val="0000FF"/>
                <w:sz w:val="16"/>
                <w:szCs w:val="16"/>
              </w:rPr>
            </w:pPr>
            <w:r w:rsidRPr="00201A9A">
              <w:rPr>
                <w:noProof/>
                <w:color w:val="0000FF"/>
                <w:sz w:val="16"/>
              </w:rPr>
              <w:t>1</w:t>
            </w:r>
          </w:p>
        </w:tc>
        <w:tc>
          <w:tcPr>
            <w:tcW w:w="220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B8441FF" w14:textId="13520319" w:rsidR="004A489F" w:rsidRPr="00201A9A" w:rsidRDefault="004A489F">
            <w:pPr>
              <w:spacing w:before="0" w:after="0"/>
              <w:rPr>
                <w:rFonts w:eastAsia="Times New Roman"/>
                <w:noProof/>
                <w:color w:val="000000"/>
                <w:sz w:val="16"/>
                <w:szCs w:val="16"/>
              </w:rPr>
            </w:pPr>
            <w:r w:rsidRPr="00201A9A">
              <w:rPr>
                <w:noProof/>
                <w:color w:val="000000"/>
                <w:sz w:val="16"/>
              </w:rPr>
              <w:t>02.03.02. Rezerwa na nowe wyzwania</w:t>
            </w:r>
            <w:r w:rsidR="00201A9A" w:rsidRPr="00201A9A">
              <w:rPr>
                <w:noProof/>
                <w:color w:val="000000"/>
                <w:sz w:val="16"/>
              </w:rPr>
              <w:t xml:space="preserve"> i pri</w:t>
            </w:r>
            <w:r w:rsidRPr="00201A9A">
              <w:rPr>
                <w:noProof/>
                <w:color w:val="000000"/>
                <w:sz w:val="16"/>
              </w:rPr>
              <w:t>orytety</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BE4BC75"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Zróżn.</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11ED921"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77C8DF1"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05E5747"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TAK</w:t>
            </w:r>
          </w:p>
        </w:tc>
        <w:tc>
          <w:tcPr>
            <w:tcW w:w="46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E471AE2" w14:textId="77777777" w:rsidR="004A489F" w:rsidRPr="00201A9A" w:rsidRDefault="004A489F">
            <w:pPr>
              <w:spacing w:before="0" w:after="0"/>
              <w:jc w:val="center"/>
              <w:rPr>
                <w:rFonts w:eastAsia="Times New Roman"/>
                <w:noProof/>
                <w:color w:val="000000"/>
                <w:sz w:val="16"/>
                <w:szCs w:val="16"/>
              </w:rPr>
            </w:pPr>
            <w:r w:rsidRPr="00201A9A">
              <w:rPr>
                <w:noProof/>
                <w:color w:val="000000"/>
                <w:sz w:val="16"/>
              </w:rPr>
              <w:t>NIE</w:t>
            </w:r>
          </w:p>
        </w:tc>
      </w:tr>
    </w:tbl>
    <w:p w14:paraId="1FF4E6CB" w14:textId="77777777" w:rsidR="004A489F" w:rsidRPr="00201A9A" w:rsidRDefault="004A489F" w:rsidP="004A489F">
      <w:pPr>
        <w:pStyle w:val="Text1"/>
        <w:rPr>
          <w:noProof/>
        </w:rPr>
      </w:pPr>
    </w:p>
    <w:bookmarkEnd w:id="137"/>
    <w:bookmarkEnd w:id="138"/>
    <w:bookmarkEnd w:id="139"/>
    <w:bookmarkEnd w:id="140"/>
    <w:bookmarkEnd w:id="141"/>
    <w:p w14:paraId="1146ACED" w14:textId="77777777" w:rsidR="004A489F" w:rsidRPr="00201A9A" w:rsidRDefault="004A489F" w:rsidP="004A489F">
      <w:pPr>
        <w:pStyle w:val="Text1"/>
        <w:rPr>
          <w:noProof/>
        </w:rPr>
        <w:sectPr w:rsidR="004A489F" w:rsidRPr="00201A9A" w:rsidSect="009C4ADF">
          <w:pgSz w:w="11907" w:h="16840" w:code="1"/>
          <w:pgMar w:top="1134" w:right="1418" w:bottom="1134" w:left="1418" w:header="709" w:footer="709" w:gutter="0"/>
          <w:cols w:space="708"/>
          <w:docGrid w:linePitch="360"/>
        </w:sectPr>
      </w:pPr>
    </w:p>
    <w:p w14:paraId="5F64B5E5" w14:textId="77777777" w:rsidR="004A489F" w:rsidRPr="00201A9A" w:rsidRDefault="004A489F" w:rsidP="004A489F">
      <w:pPr>
        <w:pStyle w:val="ManualHeading2"/>
        <w:rPr>
          <w:bCs/>
          <w:noProof/>
          <w:szCs w:val="24"/>
        </w:rPr>
      </w:pPr>
      <w:bookmarkStart w:id="146" w:name="_Toc514938052"/>
      <w:bookmarkStart w:id="147" w:name="_Toc520485051"/>
      <w:bookmarkStart w:id="148" w:name="_Toc160804593"/>
      <w:bookmarkStart w:id="149" w:name="_Toc167220285"/>
      <w:bookmarkStart w:id="150" w:name="_Toc177549018"/>
      <w:r w:rsidRPr="00201A9A">
        <w:rPr>
          <w:noProof/>
        </w:rPr>
        <w:t>3.2.</w:t>
      </w:r>
      <w:r w:rsidRPr="00201A9A">
        <w:rPr>
          <w:noProof/>
        </w:rPr>
        <w:tab/>
        <w:t>Szacunkowy wpływ finansowy wniosku na środki</w:t>
      </w:r>
      <w:bookmarkEnd w:id="146"/>
      <w:bookmarkEnd w:id="147"/>
      <w:bookmarkEnd w:id="148"/>
      <w:bookmarkEnd w:id="149"/>
      <w:bookmarkEnd w:id="150"/>
      <w:r w:rsidRPr="00201A9A">
        <w:rPr>
          <w:noProof/>
        </w:rPr>
        <w:t xml:space="preserve"> </w:t>
      </w:r>
    </w:p>
    <w:p w14:paraId="35A2FC11" w14:textId="77777777" w:rsidR="004A489F" w:rsidRPr="00201A9A" w:rsidRDefault="004A489F" w:rsidP="004A489F">
      <w:pPr>
        <w:pStyle w:val="ManualHeading3"/>
        <w:rPr>
          <w:noProof/>
        </w:rPr>
      </w:pPr>
      <w:bookmarkStart w:id="151" w:name="_Toc514938053"/>
      <w:bookmarkStart w:id="152" w:name="_Toc520485052"/>
      <w:bookmarkStart w:id="153" w:name="_Toc160804594"/>
      <w:bookmarkStart w:id="154" w:name="_Toc167220286"/>
      <w:bookmarkStart w:id="155" w:name="_Toc177549019"/>
      <w:r w:rsidRPr="00201A9A">
        <w:rPr>
          <w:noProof/>
        </w:rPr>
        <w:t>3.2.1.</w:t>
      </w:r>
      <w:r w:rsidRPr="00201A9A">
        <w:rPr>
          <w:noProof/>
        </w:rPr>
        <w:tab/>
        <w:t>Podsumowanie szacunkowego wpływu na środki operacyjne</w:t>
      </w:r>
      <w:bookmarkEnd w:id="151"/>
      <w:bookmarkEnd w:id="152"/>
      <w:bookmarkEnd w:id="153"/>
      <w:bookmarkEnd w:id="154"/>
      <w:bookmarkEnd w:id="155"/>
      <w:r w:rsidRPr="00201A9A">
        <w:rPr>
          <w:noProof/>
        </w:rPr>
        <w:t xml:space="preserve"> </w:t>
      </w:r>
    </w:p>
    <w:p w14:paraId="48ACE4E7" w14:textId="608BFB44" w:rsidR="004A489F" w:rsidRPr="00201A9A" w:rsidRDefault="004A489F" w:rsidP="004A489F">
      <w:pPr>
        <w:pStyle w:val="ListDash1"/>
        <w:rPr>
          <w:noProof/>
        </w:rPr>
      </w:pPr>
      <w:r w:rsidRPr="00201A9A">
        <w:rPr>
          <w:rFonts w:ascii="Wingdings" w:hAnsi="Wingdings"/>
          <w:noProof/>
        </w:rPr>
        <w:t></w:t>
      </w:r>
      <w:r w:rsidRPr="00201A9A">
        <w:rPr>
          <w:noProof/>
        </w:rPr>
        <w:tab/>
        <w:t>Wniosek/inicjatywa nie wiąże się</w:t>
      </w:r>
      <w:r w:rsidR="00201A9A" w:rsidRPr="00201A9A">
        <w:rPr>
          <w:noProof/>
        </w:rPr>
        <w:t xml:space="preserve"> z kon</w:t>
      </w:r>
      <w:r w:rsidRPr="00201A9A">
        <w:rPr>
          <w:noProof/>
        </w:rPr>
        <w:t xml:space="preserve">iecznością wykorzystania środków operacyjnych </w:t>
      </w:r>
    </w:p>
    <w:p w14:paraId="2BD64BC2" w14:textId="785D1145" w:rsidR="004A489F" w:rsidRPr="00201A9A" w:rsidRDefault="004A489F" w:rsidP="004A489F">
      <w:pPr>
        <w:pStyle w:val="ListDash1"/>
        <w:rPr>
          <w:noProof/>
        </w:rPr>
      </w:pPr>
      <w:r w:rsidRPr="00201A9A">
        <w:rPr>
          <w:rFonts w:ascii="Wingdings" w:hAnsi="Wingdings"/>
          <w:noProof/>
        </w:rPr>
        <w:t></w:t>
      </w:r>
      <w:r w:rsidRPr="00201A9A">
        <w:rPr>
          <w:noProof/>
        </w:rPr>
        <w:tab/>
        <w:t>Wniosek/inicjatywa wiąże się</w:t>
      </w:r>
      <w:r w:rsidR="00201A9A" w:rsidRPr="00201A9A">
        <w:rPr>
          <w:noProof/>
        </w:rPr>
        <w:t xml:space="preserve"> z kon</w:t>
      </w:r>
      <w:r w:rsidRPr="00201A9A">
        <w:rPr>
          <w:noProof/>
        </w:rPr>
        <w:t>iecznością wykorzystania środków operacyjnych, jak określono poniżej</w:t>
      </w:r>
    </w:p>
    <w:p w14:paraId="57252326" w14:textId="5B70C132" w:rsidR="004A489F" w:rsidRPr="00201A9A" w:rsidRDefault="004A489F" w:rsidP="004A489F">
      <w:pPr>
        <w:pStyle w:val="ManualHeading3"/>
        <w:rPr>
          <w:noProof/>
        </w:rPr>
      </w:pPr>
      <w:bookmarkStart w:id="156" w:name="_Toc160804595"/>
      <w:bookmarkStart w:id="157" w:name="_Toc167220287"/>
      <w:bookmarkStart w:id="158" w:name="_Toc177549020"/>
      <w:r w:rsidRPr="00201A9A">
        <w:rPr>
          <w:noProof/>
        </w:rPr>
        <w:t>3.2.1.1.</w:t>
      </w:r>
      <w:r w:rsidRPr="00201A9A">
        <w:rPr>
          <w:noProof/>
        </w:rPr>
        <w:tab/>
        <w:t>Środki</w:t>
      </w:r>
      <w:r w:rsidR="00201A9A" w:rsidRPr="00201A9A">
        <w:rPr>
          <w:noProof/>
        </w:rPr>
        <w:t xml:space="preserve"> z uch</w:t>
      </w:r>
      <w:r w:rsidRPr="00201A9A">
        <w:rPr>
          <w:noProof/>
        </w:rPr>
        <w:t>walonego budżetu</w:t>
      </w:r>
      <w:bookmarkEnd w:id="156"/>
      <w:bookmarkEnd w:id="157"/>
      <w:bookmarkEnd w:id="158"/>
    </w:p>
    <w:tbl>
      <w:tblPr>
        <w:tblW w:w="5860" w:type="dxa"/>
        <w:tblInd w:w="118" w:type="dxa"/>
        <w:tblCellMar>
          <w:top w:w="15" w:type="dxa"/>
          <w:bottom w:w="15" w:type="dxa"/>
        </w:tblCellMar>
        <w:tblLook w:val="04A0" w:firstRow="1" w:lastRow="0" w:firstColumn="1" w:lastColumn="0" w:noHBand="0" w:noVBand="1"/>
      </w:tblPr>
      <w:tblGrid>
        <w:gridCol w:w="4700"/>
        <w:gridCol w:w="1160"/>
      </w:tblGrid>
      <w:tr w:rsidR="004A489F" w:rsidRPr="00201A9A" w14:paraId="2C033615" w14:textId="77777777">
        <w:trPr>
          <w:trHeight w:val="840"/>
        </w:trPr>
        <w:tc>
          <w:tcPr>
            <w:tcW w:w="4700" w:type="dxa"/>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46C24232" w14:textId="1E59ADDA" w:rsidR="004A489F" w:rsidRPr="00201A9A" w:rsidRDefault="004A489F">
            <w:pPr>
              <w:spacing w:before="0" w:after="0"/>
              <w:jc w:val="center"/>
              <w:rPr>
                <w:rFonts w:eastAsia="Times New Roman"/>
                <w:b/>
                <w:noProof/>
                <w:color w:val="000000"/>
                <w:sz w:val="22"/>
              </w:rPr>
            </w:pPr>
            <w:r w:rsidRPr="00201A9A">
              <w:rPr>
                <w:b/>
                <w:noProof/>
                <w:color w:val="000000"/>
                <w:sz w:val="22"/>
              </w:rPr>
              <w:t>Dział wieloletnich ram</w:t>
            </w:r>
            <w:r w:rsidR="00201A9A" w:rsidRPr="00201A9A">
              <w:rPr>
                <w:b/>
                <w:noProof/>
                <w:color w:val="000000"/>
                <w:sz w:val="22"/>
              </w:rPr>
              <w:t xml:space="preserve"> </w:t>
            </w:r>
            <w:r w:rsidRPr="00201A9A">
              <w:rPr>
                <w:b/>
                <w:noProof/>
                <w:color w:val="000000"/>
                <w:sz w:val="22"/>
              </w:rPr>
              <w:br/>
              <w:t>finansowych</w:t>
            </w:r>
          </w:p>
        </w:tc>
        <w:tc>
          <w:tcPr>
            <w:tcW w:w="1160" w:type="dxa"/>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25724664" w14:textId="77777777" w:rsidR="004A489F" w:rsidRPr="00201A9A" w:rsidRDefault="004A489F">
            <w:pPr>
              <w:spacing w:before="0" w:after="0"/>
              <w:jc w:val="center"/>
              <w:rPr>
                <w:rFonts w:eastAsia="Times New Roman"/>
                <w:b/>
                <w:noProof/>
                <w:color w:val="000000"/>
                <w:sz w:val="22"/>
              </w:rPr>
            </w:pPr>
            <w:r w:rsidRPr="00201A9A">
              <w:rPr>
                <w:b/>
                <w:noProof/>
                <w:color w:val="000000"/>
                <w:sz w:val="22"/>
              </w:rPr>
              <w:t>1</w:t>
            </w:r>
          </w:p>
        </w:tc>
      </w:tr>
    </w:tbl>
    <w:p w14:paraId="123E8F9C" w14:textId="77777777" w:rsidR="004A489F" w:rsidRPr="00201A9A" w:rsidRDefault="004A489F" w:rsidP="004A489F">
      <w:pPr>
        <w:pStyle w:val="Text1"/>
        <w:rPr>
          <w:noProof/>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2987"/>
        <w:gridCol w:w="1340"/>
        <w:gridCol w:w="705"/>
        <w:gridCol w:w="1201"/>
        <w:gridCol w:w="1201"/>
        <w:gridCol w:w="1082"/>
        <w:gridCol w:w="1201"/>
        <w:gridCol w:w="1198"/>
        <w:gridCol w:w="1201"/>
        <w:gridCol w:w="1201"/>
        <w:gridCol w:w="1190"/>
      </w:tblGrid>
      <w:tr w:rsidR="007B2694" w:rsidRPr="00201A9A" w14:paraId="3AEF76EB" w14:textId="77777777" w:rsidTr="001F3400">
        <w:trPr>
          <w:trHeight w:val="420"/>
        </w:trPr>
        <w:tc>
          <w:tcPr>
            <w:tcW w:w="1734" w:type="pct"/>
            <w:gridSpan w:val="3"/>
            <w:vMerge w:val="restart"/>
            <w:vAlign w:val="center"/>
            <w:hideMark/>
          </w:tcPr>
          <w:p w14:paraId="05180E32" w14:textId="77777777" w:rsidR="004A489F" w:rsidRPr="00201A9A" w:rsidRDefault="004A489F">
            <w:pPr>
              <w:spacing w:before="0" w:after="0"/>
              <w:jc w:val="left"/>
              <w:rPr>
                <w:rFonts w:eastAsia="Times New Roman"/>
                <w:noProof/>
                <w:sz w:val="20"/>
                <w:szCs w:val="24"/>
              </w:rPr>
            </w:pPr>
            <w:bookmarkStart w:id="159" w:name="_Toc160804596"/>
            <w:bookmarkStart w:id="160" w:name="_Toc167220288"/>
            <w:bookmarkStart w:id="161" w:name="_Toc177549021"/>
          </w:p>
        </w:tc>
        <w:tc>
          <w:tcPr>
            <w:tcW w:w="414" w:type="pct"/>
            <w:vAlign w:val="center"/>
            <w:hideMark/>
          </w:tcPr>
          <w:p w14:paraId="06E54253"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414" w:type="pct"/>
            <w:vAlign w:val="center"/>
            <w:hideMark/>
          </w:tcPr>
          <w:p w14:paraId="242E196F"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373" w:type="pct"/>
            <w:vAlign w:val="center"/>
            <w:hideMark/>
          </w:tcPr>
          <w:p w14:paraId="17928268"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414" w:type="pct"/>
            <w:vAlign w:val="center"/>
            <w:hideMark/>
          </w:tcPr>
          <w:p w14:paraId="6AA18368"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413" w:type="pct"/>
            <w:vAlign w:val="center"/>
            <w:hideMark/>
          </w:tcPr>
          <w:p w14:paraId="513B0C64"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414" w:type="pct"/>
            <w:vAlign w:val="center"/>
            <w:hideMark/>
          </w:tcPr>
          <w:p w14:paraId="61572979"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414" w:type="pct"/>
            <w:vAlign w:val="center"/>
            <w:hideMark/>
          </w:tcPr>
          <w:p w14:paraId="67DEFC4B"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413" w:type="pct"/>
            <w:vMerge w:val="restart"/>
            <w:vAlign w:val="center"/>
            <w:hideMark/>
          </w:tcPr>
          <w:p w14:paraId="7081B451"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OGÓŁEM WRF</w:t>
            </w:r>
            <w:r w:rsidRPr="00201A9A">
              <w:rPr>
                <w:noProof/>
              </w:rPr>
              <w:t xml:space="preserve"> </w:t>
            </w:r>
            <w:r w:rsidRPr="00201A9A">
              <w:rPr>
                <w:noProof/>
              </w:rPr>
              <w:br/>
            </w:r>
            <w:r w:rsidRPr="00201A9A">
              <w:rPr>
                <w:b/>
                <w:noProof/>
                <w:color w:val="000000"/>
                <w:sz w:val="20"/>
              </w:rPr>
              <w:t>2028-2034</w:t>
            </w:r>
          </w:p>
        </w:tc>
      </w:tr>
      <w:tr w:rsidR="007B2694" w:rsidRPr="00201A9A" w14:paraId="5F7D3680" w14:textId="77777777" w:rsidTr="001F3400">
        <w:trPr>
          <w:trHeight w:val="300"/>
        </w:trPr>
        <w:tc>
          <w:tcPr>
            <w:tcW w:w="1734" w:type="pct"/>
            <w:gridSpan w:val="3"/>
            <w:vMerge/>
            <w:vAlign w:val="center"/>
            <w:hideMark/>
          </w:tcPr>
          <w:p w14:paraId="0FB1FA01" w14:textId="77777777" w:rsidR="004A489F" w:rsidRPr="00201A9A" w:rsidRDefault="004A489F">
            <w:pPr>
              <w:spacing w:before="0" w:after="0"/>
              <w:jc w:val="left"/>
              <w:rPr>
                <w:rFonts w:eastAsia="Times New Roman"/>
                <w:noProof/>
                <w:sz w:val="20"/>
                <w:szCs w:val="24"/>
                <w:lang w:eastAsia="en-IE"/>
              </w:rPr>
            </w:pPr>
          </w:p>
        </w:tc>
        <w:tc>
          <w:tcPr>
            <w:tcW w:w="414" w:type="pct"/>
            <w:vAlign w:val="center"/>
            <w:hideMark/>
          </w:tcPr>
          <w:p w14:paraId="39D0A9AB"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2028</w:t>
            </w:r>
          </w:p>
        </w:tc>
        <w:tc>
          <w:tcPr>
            <w:tcW w:w="414" w:type="pct"/>
            <w:vAlign w:val="center"/>
            <w:hideMark/>
          </w:tcPr>
          <w:p w14:paraId="1509CC88"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2029</w:t>
            </w:r>
          </w:p>
        </w:tc>
        <w:tc>
          <w:tcPr>
            <w:tcW w:w="373" w:type="pct"/>
            <w:vAlign w:val="center"/>
            <w:hideMark/>
          </w:tcPr>
          <w:p w14:paraId="33F834DB"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2030</w:t>
            </w:r>
          </w:p>
        </w:tc>
        <w:tc>
          <w:tcPr>
            <w:tcW w:w="414" w:type="pct"/>
            <w:vAlign w:val="center"/>
            <w:hideMark/>
          </w:tcPr>
          <w:p w14:paraId="541078EB"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2031</w:t>
            </w:r>
          </w:p>
        </w:tc>
        <w:tc>
          <w:tcPr>
            <w:tcW w:w="413" w:type="pct"/>
            <w:vAlign w:val="center"/>
            <w:hideMark/>
          </w:tcPr>
          <w:p w14:paraId="16FBB487"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2032</w:t>
            </w:r>
          </w:p>
        </w:tc>
        <w:tc>
          <w:tcPr>
            <w:tcW w:w="414" w:type="pct"/>
            <w:vAlign w:val="center"/>
            <w:hideMark/>
          </w:tcPr>
          <w:p w14:paraId="51495AC3"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2033</w:t>
            </w:r>
          </w:p>
        </w:tc>
        <w:tc>
          <w:tcPr>
            <w:tcW w:w="414" w:type="pct"/>
            <w:vAlign w:val="center"/>
            <w:hideMark/>
          </w:tcPr>
          <w:p w14:paraId="062BBBC4"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2034</w:t>
            </w:r>
          </w:p>
        </w:tc>
        <w:tc>
          <w:tcPr>
            <w:tcW w:w="413" w:type="pct"/>
            <w:vMerge/>
            <w:vAlign w:val="center"/>
            <w:hideMark/>
          </w:tcPr>
          <w:p w14:paraId="56CF0846" w14:textId="77777777" w:rsidR="004A489F" w:rsidRPr="00201A9A" w:rsidRDefault="004A489F">
            <w:pPr>
              <w:spacing w:before="0" w:after="0"/>
              <w:jc w:val="left"/>
              <w:rPr>
                <w:rFonts w:eastAsia="Times New Roman"/>
                <w:b/>
                <w:noProof/>
                <w:color w:val="000000"/>
                <w:sz w:val="20"/>
                <w:szCs w:val="20"/>
                <w:lang w:eastAsia="en-IE"/>
              </w:rPr>
            </w:pPr>
          </w:p>
        </w:tc>
      </w:tr>
      <w:tr w:rsidR="004A489F" w:rsidRPr="00201A9A" w14:paraId="6E2DC5D7" w14:textId="77777777" w:rsidTr="001F3400">
        <w:trPr>
          <w:trHeight w:val="300"/>
        </w:trPr>
        <w:tc>
          <w:tcPr>
            <w:tcW w:w="5000" w:type="pct"/>
            <w:gridSpan w:val="11"/>
            <w:vAlign w:val="center"/>
            <w:hideMark/>
          </w:tcPr>
          <w:p w14:paraId="61A0BADE" w14:textId="77777777" w:rsidR="004A489F" w:rsidRPr="00201A9A" w:rsidRDefault="004A489F">
            <w:pPr>
              <w:spacing w:before="0" w:after="0"/>
              <w:jc w:val="left"/>
              <w:rPr>
                <w:rFonts w:eastAsia="Times New Roman"/>
                <w:noProof/>
                <w:color w:val="000000"/>
                <w:sz w:val="21"/>
                <w:szCs w:val="21"/>
              </w:rPr>
            </w:pPr>
            <w:r w:rsidRPr="00201A9A">
              <w:rPr>
                <w:noProof/>
                <w:color w:val="000000"/>
                <w:sz w:val="21"/>
              </w:rPr>
              <w:t xml:space="preserve">Środki operacyjne </w:t>
            </w:r>
          </w:p>
        </w:tc>
      </w:tr>
      <w:tr w:rsidR="001F3400" w:rsidRPr="00201A9A" w14:paraId="068F77B7" w14:textId="77777777" w:rsidTr="001F3400">
        <w:trPr>
          <w:trHeight w:val="300"/>
        </w:trPr>
        <w:tc>
          <w:tcPr>
            <w:tcW w:w="1029" w:type="pct"/>
            <w:vMerge w:val="restart"/>
            <w:vAlign w:val="center"/>
            <w:hideMark/>
          </w:tcPr>
          <w:p w14:paraId="6D0BB839" w14:textId="7BEAC654" w:rsidR="007B2694" w:rsidRPr="00201A9A" w:rsidRDefault="007B2694" w:rsidP="007B2694">
            <w:pPr>
              <w:spacing w:before="0" w:after="0"/>
              <w:jc w:val="left"/>
              <w:rPr>
                <w:rFonts w:eastAsia="Times New Roman"/>
                <w:noProof/>
                <w:color w:val="000000"/>
                <w:sz w:val="20"/>
                <w:szCs w:val="20"/>
              </w:rPr>
            </w:pPr>
            <w:r w:rsidRPr="00201A9A">
              <w:rPr>
                <w:noProof/>
                <w:sz w:val="18"/>
              </w:rPr>
              <w:t>02. Europejski Fundusz Spójności Gospodarczej, Społecznej</w:t>
            </w:r>
            <w:r w:rsidR="00201A9A" w:rsidRPr="00201A9A">
              <w:rPr>
                <w:noProof/>
                <w:sz w:val="18"/>
              </w:rPr>
              <w:t xml:space="preserve"> i Ter</w:t>
            </w:r>
            <w:r w:rsidRPr="00201A9A">
              <w:rPr>
                <w:noProof/>
                <w:sz w:val="18"/>
              </w:rPr>
              <w:t>ytorialnej, Rolnictwa</w:t>
            </w:r>
            <w:r w:rsidR="00201A9A" w:rsidRPr="00201A9A">
              <w:rPr>
                <w:noProof/>
                <w:sz w:val="18"/>
              </w:rPr>
              <w:t xml:space="preserve"> i Obs</w:t>
            </w:r>
            <w:r w:rsidRPr="00201A9A">
              <w:rPr>
                <w:noProof/>
                <w:sz w:val="18"/>
              </w:rPr>
              <w:t>zarów Wiejskich, Rybołówstwa</w:t>
            </w:r>
            <w:r w:rsidR="00201A9A" w:rsidRPr="00201A9A">
              <w:rPr>
                <w:noProof/>
                <w:sz w:val="18"/>
              </w:rPr>
              <w:t xml:space="preserve"> i Pol</w:t>
            </w:r>
            <w:r w:rsidRPr="00201A9A">
              <w:rPr>
                <w:noProof/>
                <w:sz w:val="18"/>
              </w:rPr>
              <w:t>ityki Morskiej, Dobrobytu</w:t>
            </w:r>
            <w:r w:rsidR="00201A9A" w:rsidRPr="00201A9A">
              <w:rPr>
                <w:noProof/>
                <w:sz w:val="18"/>
              </w:rPr>
              <w:t xml:space="preserve"> i Bez</w:t>
            </w:r>
            <w:r w:rsidRPr="00201A9A">
              <w:rPr>
                <w:noProof/>
                <w:sz w:val="18"/>
              </w:rPr>
              <w:t>pieczeństwa</w:t>
            </w:r>
          </w:p>
        </w:tc>
        <w:tc>
          <w:tcPr>
            <w:tcW w:w="462" w:type="pct"/>
            <w:vAlign w:val="center"/>
            <w:hideMark/>
          </w:tcPr>
          <w:p w14:paraId="75A74AEE"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2DF27FC7"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4B1CBDC0" w14:textId="77777777" w:rsidR="007B2694" w:rsidRPr="00201A9A" w:rsidRDefault="007B2694" w:rsidP="007B2694">
            <w:pPr>
              <w:spacing w:before="0" w:after="0"/>
              <w:jc w:val="center"/>
              <w:rPr>
                <w:rFonts w:eastAsia="Times New Roman"/>
                <w:noProof/>
                <w:color w:val="000000"/>
                <w:sz w:val="18"/>
                <w:szCs w:val="18"/>
              </w:rPr>
            </w:pPr>
            <w:r w:rsidRPr="00201A9A">
              <w:rPr>
                <w:noProof/>
                <w:color w:val="000000"/>
                <w:sz w:val="18"/>
              </w:rPr>
              <w:t>135 571,000</w:t>
            </w:r>
          </w:p>
        </w:tc>
        <w:tc>
          <w:tcPr>
            <w:tcW w:w="414" w:type="pct"/>
            <w:vAlign w:val="center"/>
            <w:hideMark/>
          </w:tcPr>
          <w:p w14:paraId="28A83B07"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133 134,000</w:t>
            </w:r>
          </w:p>
        </w:tc>
        <w:tc>
          <w:tcPr>
            <w:tcW w:w="373" w:type="pct"/>
            <w:vAlign w:val="center"/>
            <w:hideMark/>
          </w:tcPr>
          <w:p w14:paraId="58ED51EF"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130 131,000</w:t>
            </w:r>
          </w:p>
        </w:tc>
        <w:tc>
          <w:tcPr>
            <w:tcW w:w="414" w:type="pct"/>
            <w:vAlign w:val="center"/>
            <w:hideMark/>
          </w:tcPr>
          <w:p w14:paraId="236D2839"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127 411,000</w:t>
            </w:r>
          </w:p>
        </w:tc>
        <w:tc>
          <w:tcPr>
            <w:tcW w:w="413" w:type="pct"/>
            <w:vAlign w:val="center"/>
            <w:hideMark/>
          </w:tcPr>
          <w:p w14:paraId="2DACE9DA"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123 879,000</w:t>
            </w:r>
          </w:p>
        </w:tc>
        <w:tc>
          <w:tcPr>
            <w:tcW w:w="414" w:type="pct"/>
            <w:vAlign w:val="center"/>
            <w:hideMark/>
          </w:tcPr>
          <w:p w14:paraId="5D940D2F"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111 535,000</w:t>
            </w:r>
          </w:p>
        </w:tc>
        <w:tc>
          <w:tcPr>
            <w:tcW w:w="414" w:type="pct"/>
            <w:vAlign w:val="center"/>
            <w:hideMark/>
          </w:tcPr>
          <w:p w14:paraId="13CABEBC"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103 415,000</w:t>
            </w:r>
          </w:p>
        </w:tc>
        <w:tc>
          <w:tcPr>
            <w:tcW w:w="413" w:type="pct"/>
            <w:shd w:val="clear" w:color="000000" w:fill="D9D9D9"/>
            <w:vAlign w:val="center"/>
            <w:hideMark/>
          </w:tcPr>
          <w:p w14:paraId="6403F308" w14:textId="77777777" w:rsidR="007B2694" w:rsidRPr="00201A9A" w:rsidRDefault="007B2694" w:rsidP="007B2694">
            <w:pPr>
              <w:spacing w:before="0" w:after="0"/>
              <w:jc w:val="right"/>
              <w:rPr>
                <w:rFonts w:eastAsia="Times New Roman"/>
                <w:b/>
                <w:noProof/>
                <w:color w:val="000000"/>
                <w:sz w:val="20"/>
                <w:szCs w:val="20"/>
              </w:rPr>
            </w:pPr>
            <w:r w:rsidRPr="00201A9A">
              <w:rPr>
                <w:b/>
                <w:noProof/>
                <w:color w:val="000000"/>
                <w:sz w:val="18"/>
              </w:rPr>
              <w:t>865 076,000</w:t>
            </w:r>
          </w:p>
        </w:tc>
      </w:tr>
      <w:tr w:rsidR="001F3400" w:rsidRPr="00201A9A" w14:paraId="006276A4" w14:textId="77777777" w:rsidTr="001F3400">
        <w:trPr>
          <w:trHeight w:val="300"/>
        </w:trPr>
        <w:tc>
          <w:tcPr>
            <w:tcW w:w="1029" w:type="pct"/>
            <w:vMerge/>
            <w:vAlign w:val="center"/>
            <w:hideMark/>
          </w:tcPr>
          <w:p w14:paraId="48F059FB"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47B8DC5B"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19EA77A9"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52FD57C0"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p.m.</w:t>
            </w:r>
          </w:p>
        </w:tc>
        <w:tc>
          <w:tcPr>
            <w:tcW w:w="414" w:type="pct"/>
            <w:vAlign w:val="center"/>
            <w:hideMark/>
          </w:tcPr>
          <w:p w14:paraId="5C1C33EB"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4100B00A"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526E382A"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696D7680"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27680523"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5C99D41F"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46BA33F"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5A72DF8A" w14:textId="77777777" w:rsidTr="001F3400">
        <w:trPr>
          <w:trHeight w:val="300"/>
        </w:trPr>
        <w:tc>
          <w:tcPr>
            <w:tcW w:w="1029" w:type="pct"/>
            <w:vMerge w:val="restart"/>
            <w:vAlign w:val="center"/>
            <w:hideMark/>
          </w:tcPr>
          <w:p w14:paraId="5C6E2162" w14:textId="5B47893F" w:rsidR="007B2694" w:rsidRPr="00201A9A" w:rsidRDefault="007B2694" w:rsidP="007B2694">
            <w:pPr>
              <w:spacing w:before="0" w:after="0"/>
              <w:jc w:val="left"/>
              <w:rPr>
                <w:rFonts w:eastAsia="Times New Roman"/>
                <w:noProof/>
                <w:color w:val="000000"/>
                <w:sz w:val="20"/>
                <w:szCs w:val="20"/>
              </w:rPr>
            </w:pPr>
            <w:r w:rsidRPr="00201A9A">
              <w:rPr>
                <w:noProof/>
                <w:sz w:val="18"/>
              </w:rPr>
              <w:t>02.01 Wydatki na wsparcie Funduszu Partnerstwa Krajowego</w:t>
            </w:r>
            <w:r w:rsidR="00201A9A" w:rsidRPr="00201A9A">
              <w:rPr>
                <w:noProof/>
                <w:sz w:val="18"/>
              </w:rPr>
              <w:t xml:space="preserve"> i Reg</w:t>
            </w:r>
            <w:r w:rsidRPr="00201A9A">
              <w:rPr>
                <w:noProof/>
                <w:sz w:val="18"/>
              </w:rPr>
              <w:t>ionalnego</w:t>
            </w:r>
          </w:p>
        </w:tc>
        <w:tc>
          <w:tcPr>
            <w:tcW w:w="462" w:type="pct"/>
            <w:vAlign w:val="center"/>
            <w:hideMark/>
          </w:tcPr>
          <w:p w14:paraId="0803821A"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09A2C49D"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445D721C"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4FEF630E"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2DB7E37C"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029EC5E5"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201A9E5C"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383A03CB"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24B06175"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D978FC3"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7317146D" w14:textId="77777777" w:rsidTr="001F3400">
        <w:trPr>
          <w:trHeight w:val="300"/>
        </w:trPr>
        <w:tc>
          <w:tcPr>
            <w:tcW w:w="1029" w:type="pct"/>
            <w:vMerge/>
            <w:vAlign w:val="center"/>
            <w:hideMark/>
          </w:tcPr>
          <w:p w14:paraId="03F697B7"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2626EE25"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3E8AD0CA"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6E78BCEE"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28F4F7B7"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58CFE7B1"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3AF864B1"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663BA9A6"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19E82CDC"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7B0DA871"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60403EA"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6D0093F2" w14:textId="77777777" w:rsidTr="001F3400">
        <w:trPr>
          <w:trHeight w:val="300"/>
        </w:trPr>
        <w:tc>
          <w:tcPr>
            <w:tcW w:w="1029" w:type="pct"/>
            <w:vMerge w:val="restart"/>
            <w:vAlign w:val="center"/>
            <w:hideMark/>
          </w:tcPr>
          <w:p w14:paraId="5777936E" w14:textId="7B6A07D8" w:rsidR="007B2694" w:rsidRPr="00201A9A" w:rsidRDefault="007B2694" w:rsidP="007B2694">
            <w:pPr>
              <w:spacing w:before="0" w:after="0"/>
              <w:jc w:val="left"/>
              <w:rPr>
                <w:rFonts w:eastAsia="Times New Roman"/>
                <w:noProof/>
                <w:color w:val="000000"/>
                <w:sz w:val="20"/>
                <w:szCs w:val="20"/>
              </w:rPr>
            </w:pPr>
            <w:r w:rsidRPr="00201A9A">
              <w:rPr>
                <w:noProof/>
                <w:sz w:val="18"/>
              </w:rPr>
              <w:t>02.02 Plany partnerstwa krajowego</w:t>
            </w:r>
            <w:r w:rsidR="00201A9A" w:rsidRPr="00201A9A">
              <w:rPr>
                <w:noProof/>
                <w:sz w:val="18"/>
              </w:rPr>
              <w:t xml:space="preserve"> i reg</w:t>
            </w:r>
            <w:r w:rsidRPr="00201A9A">
              <w:rPr>
                <w:noProof/>
                <w:sz w:val="18"/>
              </w:rPr>
              <w:t xml:space="preserve">ionalnego oraz </w:t>
            </w:r>
            <w:r w:rsidR="00A47BEA" w:rsidRPr="00201A9A">
              <w:rPr>
                <w:noProof/>
                <w:sz w:val="18"/>
              </w:rPr>
              <w:t>P</w:t>
            </w:r>
            <w:r w:rsidRPr="00201A9A">
              <w:rPr>
                <w:noProof/>
                <w:sz w:val="18"/>
              </w:rPr>
              <w:t>lan Interreg – Wydatki operacyjne</w:t>
            </w:r>
          </w:p>
        </w:tc>
        <w:tc>
          <w:tcPr>
            <w:tcW w:w="462" w:type="pct"/>
            <w:vAlign w:val="center"/>
            <w:hideMark/>
          </w:tcPr>
          <w:p w14:paraId="215FCA4A"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72E03EDD"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1FD89727" w14:textId="77777777" w:rsidR="007B2694" w:rsidRPr="00201A9A" w:rsidRDefault="007B2694" w:rsidP="007B2694">
            <w:pPr>
              <w:spacing w:before="0" w:after="0"/>
              <w:jc w:val="center"/>
              <w:rPr>
                <w:rFonts w:eastAsia="Times New Roman"/>
                <w:noProof/>
                <w:color w:val="000000"/>
                <w:sz w:val="18"/>
                <w:szCs w:val="18"/>
              </w:rPr>
            </w:pPr>
            <w:r w:rsidRPr="00201A9A">
              <w:rPr>
                <w:noProof/>
                <w:color w:val="000000"/>
                <w:sz w:val="18"/>
              </w:rPr>
              <w:t>123 887,000</w:t>
            </w:r>
          </w:p>
        </w:tc>
        <w:tc>
          <w:tcPr>
            <w:tcW w:w="414" w:type="pct"/>
            <w:vAlign w:val="center"/>
            <w:hideMark/>
          </w:tcPr>
          <w:p w14:paraId="532B782D"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122 988,000</w:t>
            </w:r>
          </w:p>
        </w:tc>
        <w:tc>
          <w:tcPr>
            <w:tcW w:w="373" w:type="pct"/>
            <w:vAlign w:val="center"/>
            <w:hideMark/>
          </w:tcPr>
          <w:p w14:paraId="45AE3B5A"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120 223,000</w:t>
            </w:r>
          </w:p>
        </w:tc>
        <w:tc>
          <w:tcPr>
            <w:tcW w:w="414" w:type="pct"/>
            <w:vAlign w:val="center"/>
            <w:hideMark/>
          </w:tcPr>
          <w:p w14:paraId="4827BFD7"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117 315,000</w:t>
            </w:r>
          </w:p>
        </w:tc>
        <w:tc>
          <w:tcPr>
            <w:tcW w:w="413" w:type="pct"/>
            <w:vAlign w:val="center"/>
            <w:hideMark/>
          </w:tcPr>
          <w:p w14:paraId="37F77445"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114 259,000</w:t>
            </w:r>
          </w:p>
        </w:tc>
        <w:tc>
          <w:tcPr>
            <w:tcW w:w="414" w:type="pct"/>
            <w:vAlign w:val="center"/>
            <w:hideMark/>
          </w:tcPr>
          <w:p w14:paraId="2B345AC0"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101 388,000</w:t>
            </w:r>
          </w:p>
        </w:tc>
        <w:tc>
          <w:tcPr>
            <w:tcW w:w="414" w:type="pct"/>
            <w:vAlign w:val="center"/>
            <w:hideMark/>
          </w:tcPr>
          <w:p w14:paraId="128A4FDE"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93 083,000</w:t>
            </w:r>
          </w:p>
        </w:tc>
        <w:tc>
          <w:tcPr>
            <w:tcW w:w="413" w:type="pct"/>
            <w:shd w:val="clear" w:color="000000" w:fill="D9D9D9"/>
            <w:vAlign w:val="center"/>
            <w:hideMark/>
          </w:tcPr>
          <w:p w14:paraId="5F26C280" w14:textId="77777777" w:rsidR="007B2694" w:rsidRPr="00201A9A" w:rsidRDefault="007B2694" w:rsidP="007B2694">
            <w:pPr>
              <w:spacing w:before="0" w:after="0"/>
              <w:jc w:val="right"/>
              <w:rPr>
                <w:rFonts w:eastAsia="Times New Roman"/>
                <w:b/>
                <w:noProof/>
                <w:color w:val="000000"/>
                <w:sz w:val="20"/>
                <w:szCs w:val="20"/>
              </w:rPr>
            </w:pPr>
            <w:r w:rsidRPr="00201A9A">
              <w:rPr>
                <w:b/>
                <w:noProof/>
                <w:color w:val="000000"/>
                <w:sz w:val="18"/>
              </w:rPr>
              <w:t>793 143,000</w:t>
            </w:r>
          </w:p>
        </w:tc>
      </w:tr>
      <w:tr w:rsidR="001F3400" w:rsidRPr="00201A9A" w14:paraId="7E367E56" w14:textId="77777777" w:rsidTr="001F3400">
        <w:trPr>
          <w:trHeight w:val="300"/>
        </w:trPr>
        <w:tc>
          <w:tcPr>
            <w:tcW w:w="1029" w:type="pct"/>
            <w:vMerge/>
            <w:vAlign w:val="center"/>
            <w:hideMark/>
          </w:tcPr>
          <w:p w14:paraId="4A3896E3"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7801528F"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65C93ED1"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747BD654"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p.m.</w:t>
            </w:r>
          </w:p>
        </w:tc>
        <w:tc>
          <w:tcPr>
            <w:tcW w:w="414" w:type="pct"/>
            <w:vAlign w:val="center"/>
            <w:hideMark/>
          </w:tcPr>
          <w:p w14:paraId="4DDA3EC3"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48A6AE8F"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3D83771F"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777DAB90"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2B2BA235"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43FA9E80"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009F66C7"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2FFE1471" w14:textId="77777777" w:rsidTr="001F3400">
        <w:trPr>
          <w:trHeight w:val="300"/>
        </w:trPr>
        <w:tc>
          <w:tcPr>
            <w:tcW w:w="1029" w:type="pct"/>
            <w:vMerge w:val="restart"/>
            <w:vAlign w:val="center"/>
            <w:hideMark/>
          </w:tcPr>
          <w:p w14:paraId="0B99A33B" w14:textId="77777777" w:rsidR="007B2694" w:rsidRPr="00201A9A" w:rsidRDefault="007B2694" w:rsidP="007B2694">
            <w:pPr>
              <w:spacing w:before="0" w:after="0"/>
              <w:jc w:val="left"/>
              <w:rPr>
                <w:rFonts w:eastAsia="Times New Roman"/>
                <w:noProof/>
                <w:color w:val="000000"/>
                <w:sz w:val="20"/>
                <w:szCs w:val="20"/>
              </w:rPr>
            </w:pPr>
            <w:r w:rsidRPr="00201A9A">
              <w:rPr>
                <w:noProof/>
                <w:sz w:val="18"/>
              </w:rPr>
              <w:t>02.02.01 Trwały dobrobyt Europy</w:t>
            </w:r>
          </w:p>
        </w:tc>
        <w:tc>
          <w:tcPr>
            <w:tcW w:w="462" w:type="pct"/>
            <w:vAlign w:val="center"/>
            <w:hideMark/>
          </w:tcPr>
          <w:p w14:paraId="2017C25C"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4A88188A"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62224D28"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58F6EE5E"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14236923"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2D852727"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683BC8ED"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58980A0E"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5BC6B2BF"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70C4264C"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02FE050C" w14:textId="77777777" w:rsidTr="001F3400">
        <w:trPr>
          <w:trHeight w:val="300"/>
        </w:trPr>
        <w:tc>
          <w:tcPr>
            <w:tcW w:w="1029" w:type="pct"/>
            <w:vMerge/>
            <w:vAlign w:val="center"/>
            <w:hideMark/>
          </w:tcPr>
          <w:p w14:paraId="4162FD01"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0D90F3EC"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0CEA4F13"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13E83112"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4DAF369C"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55CEEBEB"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7E3D69C3"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150F646A"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0A8BF2AE"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35E9AB38"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05A4B0C"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0FD2AFB2" w14:textId="77777777" w:rsidTr="001F3400">
        <w:trPr>
          <w:trHeight w:val="300"/>
        </w:trPr>
        <w:tc>
          <w:tcPr>
            <w:tcW w:w="1029" w:type="pct"/>
            <w:vMerge w:val="restart"/>
            <w:vAlign w:val="center"/>
            <w:hideMark/>
          </w:tcPr>
          <w:p w14:paraId="6614503C" w14:textId="61689147" w:rsidR="007B2694" w:rsidRPr="00201A9A" w:rsidRDefault="007B2694" w:rsidP="007B2694">
            <w:pPr>
              <w:spacing w:before="0" w:after="0"/>
              <w:jc w:val="left"/>
              <w:rPr>
                <w:rFonts w:eastAsia="Times New Roman"/>
                <w:noProof/>
                <w:color w:val="000000"/>
                <w:sz w:val="20"/>
                <w:szCs w:val="20"/>
              </w:rPr>
            </w:pPr>
            <w:r w:rsidRPr="00201A9A">
              <w:rPr>
                <w:noProof/>
                <w:sz w:val="18"/>
              </w:rPr>
              <w:t>02.02.02 Europejskie zdolności obronne</w:t>
            </w:r>
            <w:r w:rsidR="00201A9A" w:rsidRPr="00201A9A">
              <w:rPr>
                <w:noProof/>
                <w:sz w:val="18"/>
              </w:rPr>
              <w:t xml:space="preserve"> i bez</w:t>
            </w:r>
            <w:r w:rsidRPr="00201A9A">
              <w:rPr>
                <w:noProof/>
                <w:sz w:val="18"/>
              </w:rPr>
              <w:t>pieczeństwo</w:t>
            </w:r>
          </w:p>
        </w:tc>
        <w:tc>
          <w:tcPr>
            <w:tcW w:w="462" w:type="pct"/>
            <w:vAlign w:val="center"/>
            <w:hideMark/>
          </w:tcPr>
          <w:p w14:paraId="3456F474"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06ECCAC7"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452BF674"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429AA8E4"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424E0A1F"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46E71231"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29B1ADDB"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20676C0C"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3AA8D8C2"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7A90607E"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366D5704" w14:textId="77777777" w:rsidTr="001F3400">
        <w:trPr>
          <w:trHeight w:val="300"/>
        </w:trPr>
        <w:tc>
          <w:tcPr>
            <w:tcW w:w="1029" w:type="pct"/>
            <w:vMerge/>
            <w:vAlign w:val="center"/>
            <w:hideMark/>
          </w:tcPr>
          <w:p w14:paraId="20AB0520"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5BF05EB6"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2F6E4DE6"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35AF4BF8"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210233A6"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6C8436E0"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273A2BD5"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7DB058FA"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71525D69"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7FD6893D"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45BF25A"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456F1255" w14:textId="77777777" w:rsidTr="001F3400">
        <w:trPr>
          <w:trHeight w:val="300"/>
        </w:trPr>
        <w:tc>
          <w:tcPr>
            <w:tcW w:w="1029" w:type="pct"/>
            <w:vMerge w:val="restart"/>
            <w:vAlign w:val="center"/>
            <w:hideMark/>
          </w:tcPr>
          <w:p w14:paraId="1BAFF2A5" w14:textId="678F2186" w:rsidR="007B2694" w:rsidRPr="00201A9A" w:rsidRDefault="007B2694" w:rsidP="007B2694">
            <w:pPr>
              <w:spacing w:before="0" w:after="0"/>
              <w:jc w:val="left"/>
              <w:rPr>
                <w:rFonts w:eastAsia="Times New Roman"/>
                <w:noProof/>
                <w:color w:val="000000"/>
                <w:sz w:val="20"/>
                <w:szCs w:val="20"/>
              </w:rPr>
            </w:pPr>
            <w:r w:rsidRPr="00201A9A">
              <w:rPr>
                <w:noProof/>
                <w:sz w:val="18"/>
              </w:rPr>
              <w:t>02.02.02.01 Migracja, azyl, zarządzanie granicami, wizy</w:t>
            </w:r>
            <w:r w:rsidR="00201A9A" w:rsidRPr="00201A9A">
              <w:rPr>
                <w:noProof/>
                <w:sz w:val="18"/>
              </w:rPr>
              <w:t xml:space="preserve"> i bez</w:t>
            </w:r>
            <w:r w:rsidRPr="00201A9A">
              <w:rPr>
                <w:noProof/>
                <w:sz w:val="18"/>
              </w:rPr>
              <w:t>pieczeństwo wewnętrzne</w:t>
            </w:r>
          </w:p>
        </w:tc>
        <w:tc>
          <w:tcPr>
            <w:tcW w:w="462" w:type="pct"/>
            <w:vAlign w:val="center"/>
            <w:hideMark/>
          </w:tcPr>
          <w:p w14:paraId="47FC74A4"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3B13831B"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7699803E"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5 847,000</w:t>
            </w:r>
          </w:p>
        </w:tc>
        <w:tc>
          <w:tcPr>
            <w:tcW w:w="414" w:type="pct"/>
            <w:vAlign w:val="center"/>
            <w:hideMark/>
          </w:tcPr>
          <w:p w14:paraId="79D9B7C4" w14:textId="77777777" w:rsidR="007B2694" w:rsidRPr="00201A9A" w:rsidRDefault="007B2694" w:rsidP="007B2694">
            <w:pPr>
              <w:spacing w:before="0" w:after="0"/>
              <w:jc w:val="left"/>
              <w:rPr>
                <w:rFonts w:eastAsia="Times New Roman"/>
                <w:noProof/>
                <w:sz w:val="20"/>
                <w:szCs w:val="20"/>
              </w:rPr>
            </w:pPr>
            <w:r w:rsidRPr="00201A9A">
              <w:rPr>
                <w:noProof/>
                <w:sz w:val="18"/>
              </w:rPr>
              <w:t>5 633,000</w:t>
            </w:r>
          </w:p>
        </w:tc>
        <w:tc>
          <w:tcPr>
            <w:tcW w:w="373" w:type="pct"/>
            <w:vAlign w:val="center"/>
            <w:hideMark/>
          </w:tcPr>
          <w:p w14:paraId="306BD41D" w14:textId="77777777" w:rsidR="007B2694" w:rsidRPr="00201A9A" w:rsidRDefault="007B2694" w:rsidP="007B2694">
            <w:pPr>
              <w:spacing w:before="0" w:after="0"/>
              <w:jc w:val="left"/>
              <w:rPr>
                <w:rFonts w:eastAsia="Times New Roman"/>
                <w:noProof/>
                <w:sz w:val="20"/>
                <w:szCs w:val="20"/>
              </w:rPr>
            </w:pPr>
            <w:r w:rsidRPr="00201A9A">
              <w:rPr>
                <w:noProof/>
                <w:sz w:val="18"/>
              </w:rPr>
              <w:t>5 407,000</w:t>
            </w:r>
          </w:p>
        </w:tc>
        <w:tc>
          <w:tcPr>
            <w:tcW w:w="414" w:type="pct"/>
            <w:vAlign w:val="center"/>
            <w:hideMark/>
          </w:tcPr>
          <w:p w14:paraId="33B52464" w14:textId="77777777" w:rsidR="007B2694" w:rsidRPr="00201A9A" w:rsidRDefault="007B2694" w:rsidP="007B2694">
            <w:pPr>
              <w:spacing w:before="0" w:after="0"/>
              <w:jc w:val="left"/>
              <w:rPr>
                <w:rFonts w:eastAsia="Times New Roman"/>
                <w:noProof/>
                <w:sz w:val="20"/>
                <w:szCs w:val="20"/>
              </w:rPr>
            </w:pPr>
            <w:r w:rsidRPr="00201A9A">
              <w:rPr>
                <w:noProof/>
                <w:sz w:val="18"/>
              </w:rPr>
              <w:t>5 170,000</w:t>
            </w:r>
          </w:p>
        </w:tc>
        <w:tc>
          <w:tcPr>
            <w:tcW w:w="413" w:type="pct"/>
            <w:vAlign w:val="center"/>
            <w:hideMark/>
          </w:tcPr>
          <w:p w14:paraId="4741F196" w14:textId="77777777" w:rsidR="007B2694" w:rsidRPr="00201A9A" w:rsidRDefault="007B2694" w:rsidP="007B2694">
            <w:pPr>
              <w:spacing w:before="0" w:after="0"/>
              <w:jc w:val="left"/>
              <w:rPr>
                <w:rFonts w:eastAsia="Times New Roman"/>
                <w:noProof/>
                <w:sz w:val="20"/>
                <w:szCs w:val="20"/>
              </w:rPr>
            </w:pPr>
            <w:r w:rsidRPr="00201A9A">
              <w:rPr>
                <w:noProof/>
                <w:sz w:val="18"/>
              </w:rPr>
              <w:t>4 922,000</w:t>
            </w:r>
          </w:p>
        </w:tc>
        <w:tc>
          <w:tcPr>
            <w:tcW w:w="414" w:type="pct"/>
            <w:vAlign w:val="center"/>
            <w:hideMark/>
          </w:tcPr>
          <w:p w14:paraId="47DDD87D" w14:textId="77777777" w:rsidR="007B2694" w:rsidRPr="00201A9A" w:rsidRDefault="007B2694" w:rsidP="007B2694">
            <w:pPr>
              <w:spacing w:before="0" w:after="0"/>
              <w:jc w:val="left"/>
              <w:rPr>
                <w:rFonts w:eastAsia="Times New Roman"/>
                <w:noProof/>
                <w:sz w:val="20"/>
                <w:szCs w:val="20"/>
              </w:rPr>
            </w:pPr>
            <w:r w:rsidRPr="00201A9A">
              <w:rPr>
                <w:noProof/>
                <w:sz w:val="18"/>
              </w:rPr>
              <w:t>3 945,000</w:t>
            </w:r>
          </w:p>
        </w:tc>
        <w:tc>
          <w:tcPr>
            <w:tcW w:w="414" w:type="pct"/>
            <w:vAlign w:val="center"/>
            <w:hideMark/>
          </w:tcPr>
          <w:p w14:paraId="24C71AD0" w14:textId="77777777" w:rsidR="007B2694" w:rsidRPr="00201A9A" w:rsidRDefault="007B2694" w:rsidP="007B2694">
            <w:pPr>
              <w:spacing w:before="0" w:after="0"/>
              <w:jc w:val="left"/>
              <w:rPr>
                <w:rFonts w:eastAsia="Times New Roman"/>
                <w:noProof/>
                <w:sz w:val="20"/>
                <w:szCs w:val="20"/>
              </w:rPr>
            </w:pPr>
            <w:r w:rsidRPr="00201A9A">
              <w:rPr>
                <w:noProof/>
                <w:sz w:val="18"/>
              </w:rPr>
              <w:t>3 291,510</w:t>
            </w:r>
          </w:p>
        </w:tc>
        <w:tc>
          <w:tcPr>
            <w:tcW w:w="413" w:type="pct"/>
            <w:shd w:val="clear" w:color="000000" w:fill="D9D9D9"/>
            <w:vAlign w:val="center"/>
            <w:hideMark/>
          </w:tcPr>
          <w:p w14:paraId="055C6A85"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34 215,510</w:t>
            </w:r>
          </w:p>
        </w:tc>
      </w:tr>
      <w:tr w:rsidR="001F3400" w:rsidRPr="00201A9A" w14:paraId="02E26FDD" w14:textId="77777777" w:rsidTr="001F3400">
        <w:trPr>
          <w:trHeight w:val="300"/>
        </w:trPr>
        <w:tc>
          <w:tcPr>
            <w:tcW w:w="1029" w:type="pct"/>
            <w:vMerge/>
            <w:vAlign w:val="center"/>
            <w:hideMark/>
          </w:tcPr>
          <w:p w14:paraId="511F328D"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34E325BD"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092B8753"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65F32F73"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p.m.</w:t>
            </w:r>
          </w:p>
        </w:tc>
        <w:tc>
          <w:tcPr>
            <w:tcW w:w="414" w:type="pct"/>
            <w:vAlign w:val="center"/>
            <w:hideMark/>
          </w:tcPr>
          <w:p w14:paraId="3D7046BD"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17569316"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6F555EF9"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39296833"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048F3C2E"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0604676A"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71FFF18C"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14DAB186" w14:textId="77777777" w:rsidTr="001F3400">
        <w:trPr>
          <w:trHeight w:val="300"/>
        </w:trPr>
        <w:tc>
          <w:tcPr>
            <w:tcW w:w="1029" w:type="pct"/>
            <w:vMerge w:val="restart"/>
            <w:vAlign w:val="center"/>
            <w:hideMark/>
          </w:tcPr>
          <w:p w14:paraId="43EA2942" w14:textId="77777777" w:rsidR="007B2694" w:rsidRPr="00201A9A" w:rsidRDefault="007B2694" w:rsidP="007B2694">
            <w:pPr>
              <w:spacing w:before="0" w:after="0"/>
              <w:jc w:val="left"/>
              <w:rPr>
                <w:rFonts w:eastAsia="Times New Roman"/>
                <w:noProof/>
                <w:color w:val="000000"/>
                <w:sz w:val="20"/>
                <w:szCs w:val="20"/>
              </w:rPr>
            </w:pPr>
            <w:r w:rsidRPr="00201A9A">
              <w:rPr>
                <w:noProof/>
                <w:sz w:val="18"/>
              </w:rPr>
              <w:t>02.02.02.02 Pozostałe</w:t>
            </w:r>
          </w:p>
        </w:tc>
        <w:tc>
          <w:tcPr>
            <w:tcW w:w="462" w:type="pct"/>
            <w:vAlign w:val="center"/>
            <w:hideMark/>
          </w:tcPr>
          <w:p w14:paraId="093D96C2"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1ACD496D"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50868FDF"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554A3D78"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1C250E2C"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549D5ED6"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344C2211"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67C3B659"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5A375BCF"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8C9E81F"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2A3B4A3B" w14:textId="77777777" w:rsidTr="001F3400">
        <w:trPr>
          <w:trHeight w:val="300"/>
        </w:trPr>
        <w:tc>
          <w:tcPr>
            <w:tcW w:w="1029" w:type="pct"/>
            <w:vMerge/>
            <w:vAlign w:val="center"/>
            <w:hideMark/>
          </w:tcPr>
          <w:p w14:paraId="24D9275D"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39C7F1C7"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469334B6"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185A06A8"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50BE1B05"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281F6D4E"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58B0FEAF"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19276601"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1780F375"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490880BB"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63F6CBC"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2E6FB917" w14:textId="77777777" w:rsidTr="001F3400">
        <w:trPr>
          <w:trHeight w:val="300"/>
        </w:trPr>
        <w:tc>
          <w:tcPr>
            <w:tcW w:w="1029" w:type="pct"/>
            <w:vMerge w:val="restart"/>
            <w:vAlign w:val="center"/>
            <w:hideMark/>
          </w:tcPr>
          <w:p w14:paraId="3F9B7C6B" w14:textId="5343679C" w:rsidR="007B2694" w:rsidRPr="00201A9A" w:rsidRDefault="007B2694" w:rsidP="007B2694">
            <w:pPr>
              <w:spacing w:before="0" w:after="0"/>
              <w:jc w:val="left"/>
              <w:rPr>
                <w:rFonts w:eastAsia="Times New Roman"/>
                <w:noProof/>
                <w:color w:val="000000"/>
                <w:sz w:val="20"/>
                <w:szCs w:val="20"/>
              </w:rPr>
            </w:pPr>
            <w:r w:rsidRPr="00201A9A">
              <w:rPr>
                <w:noProof/>
                <w:sz w:val="18"/>
              </w:rPr>
              <w:t>02.02.03 Wspieranie ludzi, wzmacnianie społeczeństw Europy</w:t>
            </w:r>
            <w:r w:rsidR="00201A9A" w:rsidRPr="00201A9A">
              <w:rPr>
                <w:noProof/>
                <w:sz w:val="18"/>
              </w:rPr>
              <w:t xml:space="preserve"> i eur</w:t>
            </w:r>
            <w:r w:rsidRPr="00201A9A">
              <w:rPr>
                <w:noProof/>
                <w:sz w:val="18"/>
              </w:rPr>
              <w:t>opejskiego modelu społecznego</w:t>
            </w:r>
          </w:p>
        </w:tc>
        <w:tc>
          <w:tcPr>
            <w:tcW w:w="462" w:type="pct"/>
            <w:vAlign w:val="center"/>
            <w:hideMark/>
          </w:tcPr>
          <w:p w14:paraId="4B00FD8C"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000BB430"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5C0C3E1F"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5CB81D4D"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1E490BFC"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735D836F"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65881EB3"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320EB017"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78862DE1"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4E9B1489"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4EF00ECC" w14:textId="77777777" w:rsidTr="001F3400">
        <w:trPr>
          <w:trHeight w:val="300"/>
        </w:trPr>
        <w:tc>
          <w:tcPr>
            <w:tcW w:w="1029" w:type="pct"/>
            <w:vMerge/>
            <w:vAlign w:val="center"/>
            <w:hideMark/>
          </w:tcPr>
          <w:p w14:paraId="0F1C81B9"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53A94BEE"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20D2CC5E"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51F702FF"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0C3ACA1B"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46681CA4"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231F8736"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0B92EEF9"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1EE67D75"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0B67B16C"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240E2D64"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0DE0FB31" w14:textId="77777777" w:rsidTr="001F3400">
        <w:trPr>
          <w:trHeight w:val="300"/>
        </w:trPr>
        <w:tc>
          <w:tcPr>
            <w:tcW w:w="1029" w:type="pct"/>
            <w:vMerge w:val="restart"/>
            <w:vAlign w:val="center"/>
            <w:hideMark/>
          </w:tcPr>
          <w:p w14:paraId="6A748E29" w14:textId="5B1D4555" w:rsidR="007B2694" w:rsidRPr="00201A9A" w:rsidRDefault="007B2694" w:rsidP="007B2694">
            <w:pPr>
              <w:spacing w:before="0" w:after="0"/>
              <w:jc w:val="left"/>
              <w:rPr>
                <w:rFonts w:eastAsia="Times New Roman"/>
                <w:noProof/>
                <w:color w:val="000000"/>
                <w:sz w:val="20"/>
                <w:szCs w:val="20"/>
              </w:rPr>
            </w:pPr>
            <w:r w:rsidRPr="00201A9A">
              <w:rPr>
                <w:noProof/>
                <w:sz w:val="18"/>
              </w:rPr>
              <w:t>02.02.04 Utrzymanie jakości życia</w:t>
            </w:r>
            <w:r w:rsidR="00201A9A" w:rsidRPr="00201A9A">
              <w:rPr>
                <w:noProof/>
                <w:sz w:val="18"/>
              </w:rPr>
              <w:t xml:space="preserve"> w Eur</w:t>
            </w:r>
            <w:r w:rsidRPr="00201A9A">
              <w:rPr>
                <w:noProof/>
                <w:sz w:val="18"/>
              </w:rPr>
              <w:t>opie</w:t>
            </w:r>
          </w:p>
        </w:tc>
        <w:tc>
          <w:tcPr>
            <w:tcW w:w="462" w:type="pct"/>
            <w:vAlign w:val="center"/>
            <w:hideMark/>
          </w:tcPr>
          <w:p w14:paraId="147EA3DF"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596167D8"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08D9AE67"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22044C3C"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19ED50B9"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403E8227"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3913EDCE"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4C96D74B"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51CE41D2"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70BFEC81"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2D3C6C01" w14:textId="77777777" w:rsidTr="001F3400">
        <w:trPr>
          <w:trHeight w:val="300"/>
        </w:trPr>
        <w:tc>
          <w:tcPr>
            <w:tcW w:w="1029" w:type="pct"/>
            <w:vMerge/>
            <w:vAlign w:val="center"/>
            <w:hideMark/>
          </w:tcPr>
          <w:p w14:paraId="0B1130B0"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2D859805"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7925C79D"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3967BD09"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5BCBC46E"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333B98B6"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105E5569"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0DFF6814"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1A486CF5"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6788B47D"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0281162D"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05F69D34" w14:textId="77777777" w:rsidTr="001F3400">
        <w:trPr>
          <w:trHeight w:val="300"/>
        </w:trPr>
        <w:tc>
          <w:tcPr>
            <w:tcW w:w="1029" w:type="pct"/>
            <w:vMerge w:val="restart"/>
            <w:vAlign w:val="center"/>
            <w:hideMark/>
          </w:tcPr>
          <w:p w14:paraId="020829ED" w14:textId="3C0714FC" w:rsidR="007B2694" w:rsidRPr="00201A9A" w:rsidRDefault="007B2694" w:rsidP="007B2694">
            <w:pPr>
              <w:spacing w:before="0" w:after="0"/>
              <w:jc w:val="left"/>
              <w:rPr>
                <w:rFonts w:eastAsia="Times New Roman"/>
                <w:noProof/>
                <w:color w:val="000000"/>
                <w:sz w:val="20"/>
                <w:szCs w:val="20"/>
              </w:rPr>
            </w:pPr>
            <w:r w:rsidRPr="00201A9A">
              <w:rPr>
                <w:noProof/>
                <w:sz w:val="18"/>
              </w:rPr>
              <w:t>02.02.04.01 Interwencje</w:t>
            </w:r>
            <w:r w:rsidR="00201A9A" w:rsidRPr="00201A9A">
              <w:rPr>
                <w:noProof/>
                <w:sz w:val="18"/>
              </w:rPr>
              <w:t xml:space="preserve"> w ram</w:t>
            </w:r>
            <w:r w:rsidRPr="00201A9A">
              <w:rPr>
                <w:noProof/>
                <w:sz w:val="18"/>
              </w:rPr>
              <w:t>ach WPR i WPRyb</w:t>
            </w:r>
          </w:p>
        </w:tc>
        <w:tc>
          <w:tcPr>
            <w:tcW w:w="462" w:type="pct"/>
            <w:vAlign w:val="center"/>
            <w:hideMark/>
          </w:tcPr>
          <w:p w14:paraId="0E3D1F20"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59DFC0AE"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77EFAA93" w14:textId="77777777" w:rsidR="007B2694" w:rsidRPr="00201A9A" w:rsidRDefault="007B2694" w:rsidP="007B2694">
            <w:pPr>
              <w:spacing w:before="0" w:after="0"/>
              <w:jc w:val="center"/>
              <w:rPr>
                <w:rFonts w:eastAsia="Times New Roman"/>
                <w:noProof/>
                <w:color w:val="000000"/>
                <w:sz w:val="18"/>
                <w:szCs w:val="18"/>
              </w:rPr>
            </w:pPr>
            <w:r w:rsidRPr="00201A9A">
              <w:rPr>
                <w:noProof/>
                <w:color w:val="000000"/>
                <w:sz w:val="18"/>
              </w:rPr>
              <w:t>42 272,000</w:t>
            </w:r>
          </w:p>
        </w:tc>
        <w:tc>
          <w:tcPr>
            <w:tcW w:w="414" w:type="pct"/>
            <w:vAlign w:val="center"/>
            <w:hideMark/>
          </w:tcPr>
          <w:p w14:paraId="406FC1AA"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42 268,000</w:t>
            </w:r>
          </w:p>
        </w:tc>
        <w:tc>
          <w:tcPr>
            <w:tcW w:w="373" w:type="pct"/>
            <w:vAlign w:val="center"/>
            <w:hideMark/>
          </w:tcPr>
          <w:p w14:paraId="1A655EC4"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42 265,000</w:t>
            </w:r>
          </w:p>
        </w:tc>
        <w:tc>
          <w:tcPr>
            <w:tcW w:w="414" w:type="pct"/>
            <w:vAlign w:val="center"/>
            <w:hideMark/>
          </w:tcPr>
          <w:p w14:paraId="3DF14E09"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42 261,000</w:t>
            </w:r>
          </w:p>
        </w:tc>
        <w:tc>
          <w:tcPr>
            <w:tcW w:w="413" w:type="pct"/>
            <w:vAlign w:val="center"/>
            <w:hideMark/>
          </w:tcPr>
          <w:p w14:paraId="6D4B7806"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42 257,000</w:t>
            </w:r>
          </w:p>
        </w:tc>
        <w:tc>
          <w:tcPr>
            <w:tcW w:w="414" w:type="pct"/>
            <w:vAlign w:val="center"/>
            <w:hideMark/>
          </w:tcPr>
          <w:p w14:paraId="03486656"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42 204,000</w:t>
            </w:r>
          </w:p>
        </w:tc>
        <w:tc>
          <w:tcPr>
            <w:tcW w:w="414" w:type="pct"/>
            <w:vAlign w:val="center"/>
            <w:hideMark/>
          </w:tcPr>
          <w:p w14:paraId="0B8A90F1"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42 172,000</w:t>
            </w:r>
          </w:p>
        </w:tc>
        <w:tc>
          <w:tcPr>
            <w:tcW w:w="413" w:type="pct"/>
            <w:shd w:val="clear" w:color="000000" w:fill="D9D9D9"/>
            <w:vAlign w:val="center"/>
            <w:hideMark/>
          </w:tcPr>
          <w:p w14:paraId="5DE71AA9" w14:textId="77777777" w:rsidR="007B2694" w:rsidRPr="00201A9A" w:rsidRDefault="007B2694" w:rsidP="007B2694">
            <w:pPr>
              <w:spacing w:before="0" w:after="0"/>
              <w:jc w:val="right"/>
              <w:rPr>
                <w:rFonts w:eastAsia="Times New Roman"/>
                <w:b/>
                <w:noProof/>
                <w:color w:val="000000"/>
                <w:sz w:val="20"/>
                <w:szCs w:val="20"/>
              </w:rPr>
            </w:pPr>
            <w:r w:rsidRPr="00201A9A">
              <w:rPr>
                <w:b/>
                <w:noProof/>
                <w:color w:val="000000"/>
                <w:sz w:val="18"/>
              </w:rPr>
              <w:t>295 699,000</w:t>
            </w:r>
          </w:p>
        </w:tc>
      </w:tr>
      <w:tr w:rsidR="001F3400" w:rsidRPr="00201A9A" w14:paraId="7A22501E" w14:textId="77777777" w:rsidTr="001F3400">
        <w:trPr>
          <w:trHeight w:val="300"/>
        </w:trPr>
        <w:tc>
          <w:tcPr>
            <w:tcW w:w="1029" w:type="pct"/>
            <w:vMerge/>
            <w:vAlign w:val="center"/>
            <w:hideMark/>
          </w:tcPr>
          <w:p w14:paraId="60F999F2"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293D2BF"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5C08D090"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593602B9"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p.m.</w:t>
            </w:r>
          </w:p>
        </w:tc>
        <w:tc>
          <w:tcPr>
            <w:tcW w:w="414" w:type="pct"/>
            <w:vAlign w:val="center"/>
            <w:hideMark/>
          </w:tcPr>
          <w:p w14:paraId="081347F4"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66BC1FD3"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5A1DC6BB"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435DCF0C"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00DCD468"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32CD537A"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0A0843EB"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153F4332" w14:textId="77777777" w:rsidTr="001F3400">
        <w:trPr>
          <w:trHeight w:val="300"/>
        </w:trPr>
        <w:tc>
          <w:tcPr>
            <w:tcW w:w="1029" w:type="pct"/>
            <w:vMerge w:val="restart"/>
            <w:vAlign w:val="center"/>
            <w:hideMark/>
          </w:tcPr>
          <w:p w14:paraId="11688ADF" w14:textId="77777777" w:rsidR="007B2694" w:rsidRPr="00201A9A" w:rsidRDefault="007B2694" w:rsidP="007B2694">
            <w:pPr>
              <w:spacing w:before="0" w:after="0"/>
              <w:jc w:val="left"/>
              <w:rPr>
                <w:rFonts w:eastAsia="Times New Roman"/>
                <w:noProof/>
                <w:color w:val="000000"/>
                <w:sz w:val="20"/>
                <w:szCs w:val="20"/>
              </w:rPr>
            </w:pPr>
            <w:r w:rsidRPr="00201A9A">
              <w:rPr>
                <w:noProof/>
                <w:sz w:val="18"/>
              </w:rPr>
              <w:t>02.02.04.02 Pozostałe</w:t>
            </w:r>
          </w:p>
        </w:tc>
        <w:tc>
          <w:tcPr>
            <w:tcW w:w="462" w:type="pct"/>
            <w:vAlign w:val="center"/>
            <w:hideMark/>
          </w:tcPr>
          <w:p w14:paraId="72A44189"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22730B46"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3284427D"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16F788E2"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314B06EA"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26551D6B"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2A56669E"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4FAB7F95"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014A5C36"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CC0385F"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2DF704B3" w14:textId="77777777" w:rsidTr="001F3400">
        <w:trPr>
          <w:trHeight w:val="300"/>
        </w:trPr>
        <w:tc>
          <w:tcPr>
            <w:tcW w:w="1029" w:type="pct"/>
            <w:vMerge/>
            <w:vAlign w:val="center"/>
            <w:hideMark/>
          </w:tcPr>
          <w:p w14:paraId="37019A5C"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538B9EAA"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2E52BCD2"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37228EB2"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43C9044D"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11B6DC4F"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2F2E907A"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286960A1"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6DACBED3"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1721A9A7"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01762F08"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321220B9" w14:textId="77777777" w:rsidTr="001F3400">
        <w:trPr>
          <w:trHeight w:val="300"/>
        </w:trPr>
        <w:tc>
          <w:tcPr>
            <w:tcW w:w="1029" w:type="pct"/>
            <w:vMerge w:val="restart"/>
            <w:vAlign w:val="center"/>
            <w:hideMark/>
          </w:tcPr>
          <w:p w14:paraId="787C02BE" w14:textId="1639CDFC" w:rsidR="007B2694" w:rsidRPr="00201A9A" w:rsidRDefault="007B2694" w:rsidP="007B2694">
            <w:pPr>
              <w:spacing w:before="0" w:after="0"/>
              <w:jc w:val="left"/>
              <w:rPr>
                <w:rFonts w:eastAsia="Times New Roman"/>
                <w:noProof/>
                <w:color w:val="000000"/>
                <w:sz w:val="20"/>
                <w:szCs w:val="20"/>
              </w:rPr>
            </w:pPr>
            <w:r w:rsidRPr="00201A9A">
              <w:rPr>
                <w:noProof/>
                <w:sz w:val="18"/>
              </w:rPr>
              <w:t>02.02.05 Ochrona demokracji</w:t>
            </w:r>
            <w:r w:rsidR="00201A9A" w:rsidRPr="00201A9A">
              <w:rPr>
                <w:noProof/>
                <w:sz w:val="18"/>
              </w:rPr>
              <w:t xml:space="preserve"> i pań</w:t>
            </w:r>
            <w:r w:rsidRPr="00201A9A">
              <w:rPr>
                <w:noProof/>
                <w:sz w:val="18"/>
              </w:rPr>
              <w:t>stwa prawnego oraz przestrzeganie wartości Unii</w:t>
            </w:r>
          </w:p>
        </w:tc>
        <w:tc>
          <w:tcPr>
            <w:tcW w:w="462" w:type="pct"/>
            <w:vAlign w:val="center"/>
            <w:hideMark/>
          </w:tcPr>
          <w:p w14:paraId="488235D0"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46573551"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1AA54C94"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52778FAC"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4FCFA561"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6C0869A7"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19CA2FB2"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7C94753C"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66627A20"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AF41D3A"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7B326D67" w14:textId="77777777" w:rsidTr="001F3400">
        <w:trPr>
          <w:trHeight w:val="300"/>
        </w:trPr>
        <w:tc>
          <w:tcPr>
            <w:tcW w:w="1029" w:type="pct"/>
            <w:vMerge/>
            <w:vAlign w:val="center"/>
            <w:hideMark/>
          </w:tcPr>
          <w:p w14:paraId="7C7E2D59"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0F9EAEDD"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55A70DC1"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04C78B2B"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7632B33B"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1212CAA2"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75F4676A"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3C30410C"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223C46CC"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7D74C6FD"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0402D1AC"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412ABBCB" w14:textId="77777777" w:rsidTr="001F3400">
        <w:trPr>
          <w:trHeight w:val="300"/>
        </w:trPr>
        <w:tc>
          <w:tcPr>
            <w:tcW w:w="1029" w:type="pct"/>
            <w:vMerge w:val="restart"/>
            <w:vAlign w:val="center"/>
          </w:tcPr>
          <w:p w14:paraId="589BF1EA" w14:textId="77777777" w:rsidR="007B2694" w:rsidRPr="00201A9A" w:rsidRDefault="007B2694" w:rsidP="007B2694">
            <w:pPr>
              <w:spacing w:before="0" w:after="0"/>
              <w:jc w:val="left"/>
              <w:rPr>
                <w:rFonts w:eastAsia="Times New Roman"/>
                <w:noProof/>
                <w:color w:val="000000"/>
                <w:sz w:val="20"/>
                <w:szCs w:val="20"/>
              </w:rPr>
            </w:pPr>
            <w:r w:rsidRPr="00201A9A">
              <w:rPr>
                <w:noProof/>
                <w:sz w:val="18"/>
              </w:rPr>
              <w:t>02.02.06 Elastyczność</w:t>
            </w:r>
          </w:p>
        </w:tc>
        <w:tc>
          <w:tcPr>
            <w:tcW w:w="462" w:type="pct"/>
            <w:vAlign w:val="center"/>
          </w:tcPr>
          <w:p w14:paraId="719C949E"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tcPr>
          <w:p w14:paraId="1EFE5FD8"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tcPr>
          <w:p w14:paraId="1FAFB16B"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tcPr>
          <w:p w14:paraId="32362871"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tcPr>
          <w:p w14:paraId="62BA5755"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tcPr>
          <w:p w14:paraId="21B54161"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tcPr>
          <w:p w14:paraId="4199F67D"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tcPr>
          <w:p w14:paraId="4A91E17E"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tcPr>
          <w:p w14:paraId="59846E92"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tcPr>
          <w:p w14:paraId="4892C209"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3456D217" w14:textId="77777777" w:rsidTr="001F3400">
        <w:trPr>
          <w:trHeight w:val="300"/>
        </w:trPr>
        <w:tc>
          <w:tcPr>
            <w:tcW w:w="1029" w:type="pct"/>
            <w:vMerge/>
            <w:vAlign w:val="center"/>
          </w:tcPr>
          <w:p w14:paraId="1F734380"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tcPr>
          <w:p w14:paraId="23F1366E"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tcPr>
          <w:p w14:paraId="77C1E4E3"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tcPr>
          <w:p w14:paraId="6476CAE1"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tcPr>
          <w:p w14:paraId="3C5201AA"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tcPr>
          <w:p w14:paraId="3116AE20"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tcPr>
          <w:p w14:paraId="4E22D385"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tcPr>
          <w:p w14:paraId="2919839D"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tcPr>
          <w:p w14:paraId="52DADFE5"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tcPr>
          <w:p w14:paraId="31CC476F"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tcPr>
          <w:p w14:paraId="04DD2EBE"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1D39FF82" w14:textId="77777777" w:rsidTr="001F3400">
        <w:trPr>
          <w:trHeight w:val="300"/>
        </w:trPr>
        <w:tc>
          <w:tcPr>
            <w:tcW w:w="1029" w:type="pct"/>
            <w:vMerge w:val="restart"/>
            <w:vAlign w:val="center"/>
            <w:hideMark/>
          </w:tcPr>
          <w:p w14:paraId="01C69680" w14:textId="77777777" w:rsidR="007B2694" w:rsidRPr="00201A9A" w:rsidRDefault="007B2694" w:rsidP="007B2694">
            <w:pPr>
              <w:spacing w:before="0" w:after="0"/>
              <w:jc w:val="left"/>
              <w:rPr>
                <w:rFonts w:eastAsia="Times New Roman"/>
                <w:noProof/>
                <w:color w:val="000000"/>
                <w:sz w:val="20"/>
                <w:szCs w:val="20"/>
              </w:rPr>
            </w:pPr>
            <w:r w:rsidRPr="00201A9A">
              <w:rPr>
                <w:noProof/>
                <w:sz w:val="18"/>
              </w:rPr>
              <w:t>02.02.07 Plan Interreg</w:t>
            </w:r>
          </w:p>
        </w:tc>
        <w:tc>
          <w:tcPr>
            <w:tcW w:w="462" w:type="pct"/>
            <w:vAlign w:val="center"/>
            <w:hideMark/>
          </w:tcPr>
          <w:p w14:paraId="3A884D52"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1A0B0BB3"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34CC9264"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0,000</w:t>
            </w:r>
          </w:p>
        </w:tc>
        <w:tc>
          <w:tcPr>
            <w:tcW w:w="414" w:type="pct"/>
            <w:vAlign w:val="center"/>
            <w:hideMark/>
          </w:tcPr>
          <w:p w14:paraId="2718E14B" w14:textId="77777777" w:rsidR="007B2694" w:rsidRPr="00201A9A" w:rsidRDefault="007B2694" w:rsidP="007B2694">
            <w:pPr>
              <w:spacing w:before="0" w:after="0"/>
              <w:jc w:val="left"/>
              <w:rPr>
                <w:rFonts w:eastAsia="Times New Roman"/>
                <w:noProof/>
                <w:sz w:val="20"/>
                <w:szCs w:val="20"/>
              </w:rPr>
            </w:pPr>
            <w:r w:rsidRPr="00201A9A">
              <w:rPr>
                <w:noProof/>
                <w:sz w:val="18"/>
              </w:rPr>
              <w:t>1 753,000</w:t>
            </w:r>
          </w:p>
        </w:tc>
        <w:tc>
          <w:tcPr>
            <w:tcW w:w="373" w:type="pct"/>
            <w:vAlign w:val="center"/>
            <w:hideMark/>
          </w:tcPr>
          <w:p w14:paraId="0087C15B" w14:textId="77777777" w:rsidR="007B2694" w:rsidRPr="00201A9A" w:rsidRDefault="007B2694" w:rsidP="007B2694">
            <w:pPr>
              <w:spacing w:before="0" w:after="0"/>
              <w:jc w:val="left"/>
              <w:rPr>
                <w:rFonts w:eastAsia="Times New Roman"/>
                <w:noProof/>
                <w:sz w:val="20"/>
                <w:szCs w:val="20"/>
              </w:rPr>
            </w:pPr>
            <w:r w:rsidRPr="00201A9A">
              <w:rPr>
                <w:noProof/>
                <w:sz w:val="18"/>
              </w:rPr>
              <w:t>1 782,000</w:t>
            </w:r>
          </w:p>
        </w:tc>
        <w:tc>
          <w:tcPr>
            <w:tcW w:w="414" w:type="pct"/>
            <w:vAlign w:val="center"/>
            <w:hideMark/>
          </w:tcPr>
          <w:p w14:paraId="731181FE" w14:textId="77777777" w:rsidR="007B2694" w:rsidRPr="00201A9A" w:rsidRDefault="007B2694" w:rsidP="007B2694">
            <w:pPr>
              <w:spacing w:before="0" w:after="0"/>
              <w:jc w:val="left"/>
              <w:rPr>
                <w:rFonts w:eastAsia="Times New Roman"/>
                <w:noProof/>
                <w:sz w:val="20"/>
                <w:szCs w:val="20"/>
              </w:rPr>
            </w:pPr>
            <w:r w:rsidRPr="00201A9A">
              <w:rPr>
                <w:noProof/>
                <w:sz w:val="18"/>
              </w:rPr>
              <w:t>1 810,000</w:t>
            </w:r>
          </w:p>
        </w:tc>
        <w:tc>
          <w:tcPr>
            <w:tcW w:w="413" w:type="pct"/>
            <w:vAlign w:val="center"/>
            <w:hideMark/>
          </w:tcPr>
          <w:p w14:paraId="01B4E77D" w14:textId="77777777" w:rsidR="007B2694" w:rsidRPr="00201A9A" w:rsidRDefault="007B2694" w:rsidP="007B2694">
            <w:pPr>
              <w:spacing w:before="0" w:after="0"/>
              <w:jc w:val="left"/>
              <w:rPr>
                <w:rFonts w:eastAsia="Times New Roman"/>
                <w:noProof/>
                <w:sz w:val="20"/>
                <w:szCs w:val="20"/>
              </w:rPr>
            </w:pPr>
            <w:r w:rsidRPr="00201A9A">
              <w:rPr>
                <w:noProof/>
                <w:sz w:val="18"/>
              </w:rPr>
              <w:t>1 840,000</w:t>
            </w:r>
          </w:p>
        </w:tc>
        <w:tc>
          <w:tcPr>
            <w:tcW w:w="414" w:type="pct"/>
            <w:vAlign w:val="center"/>
            <w:hideMark/>
          </w:tcPr>
          <w:p w14:paraId="142148F5" w14:textId="77777777" w:rsidR="007B2694" w:rsidRPr="00201A9A" w:rsidRDefault="007B2694" w:rsidP="007B2694">
            <w:pPr>
              <w:spacing w:before="0" w:after="0"/>
              <w:jc w:val="left"/>
              <w:rPr>
                <w:rFonts w:eastAsia="Times New Roman"/>
                <w:noProof/>
                <w:sz w:val="20"/>
                <w:szCs w:val="20"/>
              </w:rPr>
            </w:pPr>
            <w:r w:rsidRPr="00201A9A">
              <w:rPr>
                <w:noProof/>
                <w:sz w:val="18"/>
              </w:rPr>
              <w:t>1 524,000</w:t>
            </w:r>
          </w:p>
        </w:tc>
        <w:tc>
          <w:tcPr>
            <w:tcW w:w="414" w:type="pct"/>
            <w:vAlign w:val="center"/>
            <w:hideMark/>
          </w:tcPr>
          <w:p w14:paraId="5BF8885E" w14:textId="77777777" w:rsidR="007B2694" w:rsidRPr="00201A9A" w:rsidRDefault="007B2694" w:rsidP="007B2694">
            <w:pPr>
              <w:spacing w:before="0" w:after="0"/>
              <w:jc w:val="left"/>
              <w:rPr>
                <w:rFonts w:eastAsia="Times New Roman"/>
                <w:noProof/>
                <w:sz w:val="20"/>
                <w:szCs w:val="20"/>
              </w:rPr>
            </w:pPr>
            <w:r w:rsidRPr="00201A9A">
              <w:rPr>
                <w:noProof/>
                <w:sz w:val="18"/>
              </w:rPr>
              <w:t>1 555,000</w:t>
            </w:r>
          </w:p>
        </w:tc>
        <w:tc>
          <w:tcPr>
            <w:tcW w:w="413" w:type="pct"/>
            <w:shd w:val="clear" w:color="000000" w:fill="D9D9D9"/>
            <w:vAlign w:val="center"/>
            <w:hideMark/>
          </w:tcPr>
          <w:p w14:paraId="689452D1"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10 264,000</w:t>
            </w:r>
          </w:p>
        </w:tc>
      </w:tr>
      <w:tr w:rsidR="001F3400" w:rsidRPr="00201A9A" w14:paraId="5F7C4B25" w14:textId="77777777" w:rsidTr="001F3400">
        <w:trPr>
          <w:trHeight w:val="300"/>
        </w:trPr>
        <w:tc>
          <w:tcPr>
            <w:tcW w:w="1029" w:type="pct"/>
            <w:vMerge/>
            <w:vAlign w:val="center"/>
            <w:hideMark/>
          </w:tcPr>
          <w:p w14:paraId="550BE110"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43C5FD8D"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1D9CE2CA"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26B52DAF"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p.m.</w:t>
            </w:r>
          </w:p>
        </w:tc>
        <w:tc>
          <w:tcPr>
            <w:tcW w:w="414" w:type="pct"/>
            <w:vAlign w:val="center"/>
            <w:hideMark/>
          </w:tcPr>
          <w:p w14:paraId="0FA6654C"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7D88DC76"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067EA27E"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432C668F"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19674AED"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2AB22ACF"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0211055"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33F30A5F" w14:textId="77777777" w:rsidTr="001F3400">
        <w:trPr>
          <w:trHeight w:val="300"/>
        </w:trPr>
        <w:tc>
          <w:tcPr>
            <w:tcW w:w="1029" w:type="pct"/>
            <w:vMerge w:val="restart"/>
            <w:vAlign w:val="center"/>
            <w:hideMark/>
          </w:tcPr>
          <w:p w14:paraId="3E5BA21C" w14:textId="49BA7B13" w:rsidR="007B2694" w:rsidRPr="00201A9A" w:rsidRDefault="007B2694" w:rsidP="007B2694">
            <w:pPr>
              <w:spacing w:before="0" w:after="0"/>
              <w:jc w:val="left"/>
              <w:rPr>
                <w:rFonts w:eastAsia="Times New Roman"/>
                <w:noProof/>
                <w:color w:val="000000"/>
                <w:sz w:val="20"/>
                <w:szCs w:val="20"/>
              </w:rPr>
            </w:pPr>
            <w:r w:rsidRPr="00201A9A">
              <w:rPr>
                <w:noProof/>
                <w:sz w:val="18"/>
              </w:rPr>
              <w:t>02.02.08 Pomoc techniczna</w:t>
            </w:r>
            <w:r w:rsidR="00201A9A" w:rsidRPr="00201A9A">
              <w:rPr>
                <w:noProof/>
                <w:sz w:val="18"/>
              </w:rPr>
              <w:t xml:space="preserve"> z ini</w:t>
            </w:r>
            <w:r w:rsidRPr="00201A9A">
              <w:rPr>
                <w:noProof/>
                <w:sz w:val="18"/>
              </w:rPr>
              <w:t>cjatywy Komisji – wydatki operacyjne</w:t>
            </w:r>
          </w:p>
        </w:tc>
        <w:tc>
          <w:tcPr>
            <w:tcW w:w="462" w:type="pct"/>
            <w:vAlign w:val="center"/>
            <w:hideMark/>
          </w:tcPr>
          <w:p w14:paraId="5C66D394"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6FCFB293"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0E029B21"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1505FFDB"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2235373F"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6E9538B0"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6DAC98BE"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116CA4F1"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10006508"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7A308F36"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538E1B80" w14:textId="77777777" w:rsidTr="001F3400">
        <w:trPr>
          <w:trHeight w:val="300"/>
        </w:trPr>
        <w:tc>
          <w:tcPr>
            <w:tcW w:w="1029" w:type="pct"/>
            <w:vMerge/>
            <w:vAlign w:val="center"/>
            <w:hideMark/>
          </w:tcPr>
          <w:p w14:paraId="0DE1ACD1"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25AF7A49"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57F30A60"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21E1E622"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72467759"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145D78BC"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60ED913F"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14EA0CA2"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71F36828"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21EFC769"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06C1CACF"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3F4E8707" w14:textId="77777777" w:rsidTr="001F3400">
        <w:trPr>
          <w:trHeight w:val="300"/>
        </w:trPr>
        <w:tc>
          <w:tcPr>
            <w:tcW w:w="1029" w:type="pct"/>
            <w:vMerge w:val="restart"/>
            <w:vAlign w:val="center"/>
            <w:hideMark/>
          </w:tcPr>
          <w:p w14:paraId="0DC1CF1A" w14:textId="77777777" w:rsidR="007B2694" w:rsidRPr="00201A9A" w:rsidRDefault="007B2694" w:rsidP="007B2694">
            <w:pPr>
              <w:spacing w:before="0" w:after="0"/>
              <w:jc w:val="left"/>
              <w:rPr>
                <w:rFonts w:eastAsia="Times New Roman"/>
                <w:noProof/>
                <w:color w:val="000000"/>
                <w:sz w:val="20"/>
                <w:szCs w:val="20"/>
              </w:rPr>
            </w:pPr>
            <w:r w:rsidRPr="00201A9A">
              <w:rPr>
                <w:noProof/>
                <w:sz w:val="18"/>
              </w:rPr>
              <w:t>02.03 Instrument UE</w:t>
            </w:r>
          </w:p>
        </w:tc>
        <w:tc>
          <w:tcPr>
            <w:tcW w:w="462" w:type="pct"/>
            <w:vAlign w:val="center"/>
            <w:hideMark/>
          </w:tcPr>
          <w:p w14:paraId="5F32C480"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39A95B36"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311CF1FF" w14:textId="77777777" w:rsidR="007B2694" w:rsidRPr="00201A9A" w:rsidRDefault="007B2694" w:rsidP="007B2694">
            <w:pPr>
              <w:spacing w:before="0" w:after="0"/>
              <w:jc w:val="center"/>
              <w:rPr>
                <w:rFonts w:eastAsia="Times New Roman"/>
                <w:noProof/>
                <w:color w:val="000000"/>
                <w:sz w:val="18"/>
                <w:szCs w:val="18"/>
              </w:rPr>
            </w:pPr>
            <w:r w:rsidRPr="00201A9A">
              <w:rPr>
                <w:noProof/>
                <w:color w:val="000000"/>
                <w:sz w:val="18"/>
              </w:rPr>
              <w:t>11 684,000</w:t>
            </w:r>
          </w:p>
        </w:tc>
        <w:tc>
          <w:tcPr>
            <w:tcW w:w="414" w:type="pct"/>
            <w:vAlign w:val="center"/>
            <w:hideMark/>
          </w:tcPr>
          <w:p w14:paraId="3E7C9323"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10 146,000</w:t>
            </w:r>
          </w:p>
        </w:tc>
        <w:tc>
          <w:tcPr>
            <w:tcW w:w="373" w:type="pct"/>
            <w:vAlign w:val="center"/>
            <w:hideMark/>
          </w:tcPr>
          <w:p w14:paraId="4C2574D7"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9 909,000</w:t>
            </w:r>
          </w:p>
        </w:tc>
        <w:tc>
          <w:tcPr>
            <w:tcW w:w="414" w:type="pct"/>
            <w:vAlign w:val="center"/>
            <w:hideMark/>
          </w:tcPr>
          <w:p w14:paraId="54002EC0"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10 095,000</w:t>
            </w:r>
          </w:p>
        </w:tc>
        <w:tc>
          <w:tcPr>
            <w:tcW w:w="413" w:type="pct"/>
            <w:vAlign w:val="center"/>
            <w:hideMark/>
          </w:tcPr>
          <w:p w14:paraId="260E6301"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9 621,000</w:t>
            </w:r>
          </w:p>
        </w:tc>
        <w:tc>
          <w:tcPr>
            <w:tcW w:w="414" w:type="pct"/>
            <w:vAlign w:val="center"/>
            <w:hideMark/>
          </w:tcPr>
          <w:p w14:paraId="10F8DC62"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10 147,000</w:t>
            </w:r>
          </w:p>
        </w:tc>
        <w:tc>
          <w:tcPr>
            <w:tcW w:w="414" w:type="pct"/>
            <w:vAlign w:val="center"/>
            <w:hideMark/>
          </w:tcPr>
          <w:p w14:paraId="362B45DD" w14:textId="77777777" w:rsidR="007B2694" w:rsidRPr="00201A9A" w:rsidRDefault="007B2694" w:rsidP="007B2694">
            <w:pPr>
              <w:spacing w:before="0" w:after="0"/>
              <w:jc w:val="left"/>
              <w:rPr>
                <w:rFonts w:eastAsia="Times New Roman"/>
                <w:noProof/>
                <w:sz w:val="20"/>
                <w:szCs w:val="20"/>
              </w:rPr>
            </w:pPr>
            <w:r w:rsidRPr="00201A9A">
              <w:rPr>
                <w:noProof/>
                <w:color w:val="000000"/>
                <w:sz w:val="18"/>
              </w:rPr>
              <w:t>10 331,000</w:t>
            </w:r>
          </w:p>
        </w:tc>
        <w:tc>
          <w:tcPr>
            <w:tcW w:w="413" w:type="pct"/>
            <w:shd w:val="clear" w:color="000000" w:fill="D9D9D9"/>
            <w:vAlign w:val="center"/>
            <w:hideMark/>
          </w:tcPr>
          <w:p w14:paraId="3523F3D8" w14:textId="77777777" w:rsidR="007B2694" w:rsidRPr="00201A9A" w:rsidRDefault="007B2694" w:rsidP="007B2694">
            <w:pPr>
              <w:spacing w:before="0" w:after="0"/>
              <w:jc w:val="right"/>
              <w:rPr>
                <w:rFonts w:eastAsia="Times New Roman"/>
                <w:b/>
                <w:noProof/>
                <w:color w:val="000000"/>
                <w:sz w:val="20"/>
                <w:szCs w:val="20"/>
              </w:rPr>
            </w:pPr>
            <w:r w:rsidRPr="00201A9A">
              <w:rPr>
                <w:b/>
                <w:noProof/>
                <w:color w:val="000000"/>
                <w:sz w:val="18"/>
              </w:rPr>
              <w:t>71 933,000</w:t>
            </w:r>
          </w:p>
        </w:tc>
      </w:tr>
      <w:tr w:rsidR="001F3400" w:rsidRPr="00201A9A" w14:paraId="481F68A9" w14:textId="77777777" w:rsidTr="001F3400">
        <w:trPr>
          <w:trHeight w:val="300"/>
        </w:trPr>
        <w:tc>
          <w:tcPr>
            <w:tcW w:w="1029" w:type="pct"/>
            <w:vMerge/>
            <w:vAlign w:val="center"/>
            <w:hideMark/>
          </w:tcPr>
          <w:p w14:paraId="429EDE0D"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3B96FA3"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5BFCB507"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08B9AE34"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p.m.</w:t>
            </w:r>
          </w:p>
        </w:tc>
        <w:tc>
          <w:tcPr>
            <w:tcW w:w="414" w:type="pct"/>
            <w:vAlign w:val="center"/>
            <w:hideMark/>
          </w:tcPr>
          <w:p w14:paraId="565CC081"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3F51F6DF"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467892F7"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1AAAF249"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2B1DAB38"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2C3E4EDF"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6D649E72"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15889ABC" w14:textId="77777777" w:rsidTr="001F3400">
        <w:trPr>
          <w:trHeight w:val="300"/>
        </w:trPr>
        <w:tc>
          <w:tcPr>
            <w:tcW w:w="1029" w:type="pct"/>
            <w:vMerge w:val="restart"/>
            <w:vAlign w:val="center"/>
            <w:hideMark/>
          </w:tcPr>
          <w:p w14:paraId="77FEEEF0" w14:textId="77777777" w:rsidR="007B2694" w:rsidRPr="00201A9A" w:rsidRDefault="007B2694" w:rsidP="007B2694">
            <w:pPr>
              <w:spacing w:before="0" w:after="0"/>
              <w:jc w:val="left"/>
              <w:rPr>
                <w:rFonts w:eastAsia="Times New Roman"/>
                <w:noProof/>
                <w:color w:val="000000"/>
                <w:sz w:val="20"/>
                <w:szCs w:val="20"/>
              </w:rPr>
            </w:pPr>
            <w:r w:rsidRPr="00201A9A">
              <w:rPr>
                <w:noProof/>
                <w:sz w:val="18"/>
              </w:rPr>
              <w:t>02.03.01 Działania Unii</w:t>
            </w:r>
          </w:p>
        </w:tc>
        <w:tc>
          <w:tcPr>
            <w:tcW w:w="462" w:type="pct"/>
            <w:vAlign w:val="center"/>
            <w:hideMark/>
          </w:tcPr>
          <w:p w14:paraId="0A215B56"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3CB9A651"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392E547B"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10 512,000</w:t>
            </w:r>
          </w:p>
        </w:tc>
        <w:tc>
          <w:tcPr>
            <w:tcW w:w="414" w:type="pct"/>
            <w:vAlign w:val="center"/>
            <w:hideMark/>
          </w:tcPr>
          <w:p w14:paraId="416BD178" w14:textId="77777777" w:rsidR="007B2694" w:rsidRPr="00201A9A" w:rsidRDefault="007B2694" w:rsidP="007B2694">
            <w:pPr>
              <w:spacing w:before="0" w:after="0"/>
              <w:jc w:val="left"/>
              <w:rPr>
                <w:rFonts w:eastAsia="Times New Roman"/>
                <w:noProof/>
                <w:sz w:val="20"/>
                <w:szCs w:val="20"/>
              </w:rPr>
            </w:pPr>
            <w:r w:rsidRPr="00201A9A">
              <w:rPr>
                <w:noProof/>
                <w:sz w:val="18"/>
              </w:rPr>
              <w:t>8 951,000</w:t>
            </w:r>
          </w:p>
        </w:tc>
        <w:tc>
          <w:tcPr>
            <w:tcW w:w="373" w:type="pct"/>
            <w:vAlign w:val="center"/>
            <w:hideMark/>
          </w:tcPr>
          <w:p w14:paraId="604FB9D0" w14:textId="77777777" w:rsidR="007B2694" w:rsidRPr="00201A9A" w:rsidRDefault="007B2694" w:rsidP="007B2694">
            <w:pPr>
              <w:spacing w:before="0" w:after="0"/>
              <w:jc w:val="left"/>
              <w:rPr>
                <w:rFonts w:eastAsia="Times New Roman"/>
                <w:noProof/>
                <w:sz w:val="20"/>
                <w:szCs w:val="20"/>
              </w:rPr>
            </w:pPr>
            <w:r w:rsidRPr="00201A9A">
              <w:rPr>
                <w:noProof/>
                <w:sz w:val="18"/>
              </w:rPr>
              <w:t>8 690,000</w:t>
            </w:r>
          </w:p>
        </w:tc>
        <w:tc>
          <w:tcPr>
            <w:tcW w:w="414" w:type="pct"/>
            <w:vAlign w:val="center"/>
            <w:hideMark/>
          </w:tcPr>
          <w:p w14:paraId="6D985CDE" w14:textId="77777777" w:rsidR="007B2694" w:rsidRPr="00201A9A" w:rsidRDefault="007B2694" w:rsidP="007B2694">
            <w:pPr>
              <w:spacing w:before="0" w:after="0"/>
              <w:jc w:val="left"/>
              <w:rPr>
                <w:rFonts w:eastAsia="Times New Roman"/>
                <w:noProof/>
                <w:sz w:val="20"/>
                <w:szCs w:val="20"/>
              </w:rPr>
            </w:pPr>
            <w:r w:rsidRPr="00201A9A">
              <w:rPr>
                <w:noProof/>
                <w:sz w:val="18"/>
              </w:rPr>
              <w:t>8 852,000</w:t>
            </w:r>
          </w:p>
        </w:tc>
        <w:tc>
          <w:tcPr>
            <w:tcW w:w="413" w:type="pct"/>
            <w:vAlign w:val="center"/>
            <w:hideMark/>
          </w:tcPr>
          <w:p w14:paraId="092F979B" w14:textId="77777777" w:rsidR="007B2694" w:rsidRPr="00201A9A" w:rsidRDefault="007B2694" w:rsidP="007B2694">
            <w:pPr>
              <w:spacing w:before="0" w:after="0"/>
              <w:jc w:val="left"/>
              <w:rPr>
                <w:rFonts w:eastAsia="Times New Roman"/>
                <w:noProof/>
                <w:sz w:val="20"/>
                <w:szCs w:val="20"/>
              </w:rPr>
            </w:pPr>
            <w:r w:rsidRPr="00201A9A">
              <w:rPr>
                <w:noProof/>
                <w:sz w:val="18"/>
              </w:rPr>
              <w:t>8 353,000</w:t>
            </w:r>
          </w:p>
        </w:tc>
        <w:tc>
          <w:tcPr>
            <w:tcW w:w="414" w:type="pct"/>
            <w:vAlign w:val="center"/>
            <w:hideMark/>
          </w:tcPr>
          <w:p w14:paraId="01D7B89B" w14:textId="77777777" w:rsidR="007B2694" w:rsidRPr="00201A9A" w:rsidRDefault="007B2694" w:rsidP="007B2694">
            <w:pPr>
              <w:spacing w:before="0" w:after="0"/>
              <w:jc w:val="left"/>
              <w:rPr>
                <w:rFonts w:eastAsia="Times New Roman"/>
                <w:noProof/>
                <w:sz w:val="20"/>
                <w:szCs w:val="20"/>
              </w:rPr>
            </w:pPr>
            <w:r w:rsidRPr="00201A9A">
              <w:rPr>
                <w:noProof/>
                <w:sz w:val="18"/>
              </w:rPr>
              <w:t>8 853,000</w:t>
            </w:r>
          </w:p>
        </w:tc>
        <w:tc>
          <w:tcPr>
            <w:tcW w:w="414" w:type="pct"/>
            <w:vAlign w:val="center"/>
            <w:hideMark/>
          </w:tcPr>
          <w:p w14:paraId="4BD1B4A0" w14:textId="77777777" w:rsidR="007B2694" w:rsidRPr="00201A9A" w:rsidRDefault="007B2694" w:rsidP="007B2694">
            <w:pPr>
              <w:spacing w:before="0" w:after="0"/>
              <w:jc w:val="left"/>
              <w:rPr>
                <w:rFonts w:eastAsia="Times New Roman"/>
                <w:noProof/>
                <w:sz w:val="20"/>
                <w:szCs w:val="20"/>
              </w:rPr>
            </w:pPr>
            <w:r w:rsidRPr="00201A9A">
              <w:rPr>
                <w:noProof/>
                <w:sz w:val="18"/>
              </w:rPr>
              <w:t>9 012,000</w:t>
            </w:r>
          </w:p>
        </w:tc>
        <w:tc>
          <w:tcPr>
            <w:tcW w:w="413" w:type="pct"/>
            <w:shd w:val="clear" w:color="000000" w:fill="D9D9D9"/>
            <w:vAlign w:val="center"/>
            <w:hideMark/>
          </w:tcPr>
          <w:p w14:paraId="470B3F4F"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63 223,000</w:t>
            </w:r>
          </w:p>
        </w:tc>
      </w:tr>
      <w:tr w:rsidR="001F3400" w:rsidRPr="00201A9A" w14:paraId="00F99E54" w14:textId="77777777" w:rsidTr="001F3400">
        <w:trPr>
          <w:trHeight w:val="300"/>
        </w:trPr>
        <w:tc>
          <w:tcPr>
            <w:tcW w:w="1029" w:type="pct"/>
            <w:vMerge/>
            <w:vAlign w:val="center"/>
            <w:hideMark/>
          </w:tcPr>
          <w:p w14:paraId="34A4DA64"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335AFBBB"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447800C3"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4AC20BC9"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p.m.</w:t>
            </w:r>
          </w:p>
        </w:tc>
        <w:tc>
          <w:tcPr>
            <w:tcW w:w="414" w:type="pct"/>
            <w:vAlign w:val="center"/>
            <w:hideMark/>
          </w:tcPr>
          <w:p w14:paraId="114AFAC9"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04839F8E"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488CB658"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593C2ACE"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7442FCB2"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48E52D07"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AFD42D5"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2B2C6D88" w14:textId="77777777" w:rsidTr="001F3400">
        <w:trPr>
          <w:trHeight w:val="300"/>
        </w:trPr>
        <w:tc>
          <w:tcPr>
            <w:tcW w:w="1029" w:type="pct"/>
            <w:vMerge w:val="restart"/>
            <w:vAlign w:val="center"/>
            <w:hideMark/>
          </w:tcPr>
          <w:p w14:paraId="033BB1CB" w14:textId="77777777" w:rsidR="007B2694" w:rsidRPr="00201A9A" w:rsidRDefault="007B2694" w:rsidP="007B2694">
            <w:pPr>
              <w:spacing w:before="0" w:after="0"/>
              <w:jc w:val="left"/>
              <w:rPr>
                <w:rFonts w:eastAsia="Times New Roman"/>
                <w:noProof/>
                <w:color w:val="000000"/>
                <w:sz w:val="20"/>
                <w:szCs w:val="20"/>
              </w:rPr>
            </w:pPr>
            <w:r w:rsidRPr="00201A9A">
              <w:rPr>
                <w:noProof/>
                <w:sz w:val="18"/>
              </w:rPr>
              <w:t>02.03.01.01 Sytuacja kryzysowa – Solidarność Unii Europejskiej</w:t>
            </w:r>
          </w:p>
        </w:tc>
        <w:tc>
          <w:tcPr>
            <w:tcW w:w="462" w:type="pct"/>
            <w:vAlign w:val="center"/>
            <w:hideMark/>
          </w:tcPr>
          <w:p w14:paraId="242071D8"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0BBC3A2F"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4F10C593"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2 706,000</w:t>
            </w:r>
          </w:p>
        </w:tc>
        <w:tc>
          <w:tcPr>
            <w:tcW w:w="414" w:type="pct"/>
            <w:vAlign w:val="center"/>
            <w:hideMark/>
          </w:tcPr>
          <w:p w14:paraId="517865D7" w14:textId="77777777" w:rsidR="007B2694" w:rsidRPr="00201A9A" w:rsidRDefault="007B2694" w:rsidP="007B2694">
            <w:pPr>
              <w:spacing w:before="0" w:after="0"/>
              <w:jc w:val="left"/>
              <w:rPr>
                <w:rFonts w:eastAsia="Times New Roman"/>
                <w:noProof/>
                <w:sz w:val="20"/>
                <w:szCs w:val="20"/>
              </w:rPr>
            </w:pPr>
            <w:r w:rsidRPr="00201A9A">
              <w:rPr>
                <w:noProof/>
                <w:sz w:val="18"/>
              </w:rPr>
              <w:t>2 760,000</w:t>
            </w:r>
          </w:p>
        </w:tc>
        <w:tc>
          <w:tcPr>
            <w:tcW w:w="373" w:type="pct"/>
            <w:vAlign w:val="center"/>
            <w:hideMark/>
          </w:tcPr>
          <w:p w14:paraId="12E7CB90" w14:textId="77777777" w:rsidR="007B2694" w:rsidRPr="00201A9A" w:rsidRDefault="007B2694" w:rsidP="007B2694">
            <w:pPr>
              <w:spacing w:before="0" w:after="0"/>
              <w:jc w:val="left"/>
              <w:rPr>
                <w:rFonts w:eastAsia="Times New Roman"/>
                <w:noProof/>
                <w:sz w:val="20"/>
                <w:szCs w:val="20"/>
              </w:rPr>
            </w:pPr>
            <w:r w:rsidRPr="00201A9A">
              <w:rPr>
                <w:noProof/>
                <w:sz w:val="18"/>
              </w:rPr>
              <w:t>2 815,000</w:t>
            </w:r>
          </w:p>
        </w:tc>
        <w:tc>
          <w:tcPr>
            <w:tcW w:w="414" w:type="pct"/>
            <w:vAlign w:val="center"/>
            <w:hideMark/>
          </w:tcPr>
          <w:p w14:paraId="617920B6" w14:textId="77777777" w:rsidR="007B2694" w:rsidRPr="00201A9A" w:rsidRDefault="007B2694" w:rsidP="007B2694">
            <w:pPr>
              <w:spacing w:before="0" w:after="0"/>
              <w:jc w:val="left"/>
              <w:rPr>
                <w:rFonts w:eastAsia="Times New Roman"/>
                <w:noProof/>
                <w:sz w:val="20"/>
                <w:szCs w:val="20"/>
              </w:rPr>
            </w:pPr>
            <w:r w:rsidRPr="00201A9A">
              <w:rPr>
                <w:noProof/>
                <w:sz w:val="18"/>
              </w:rPr>
              <w:t>2 872,000</w:t>
            </w:r>
          </w:p>
        </w:tc>
        <w:tc>
          <w:tcPr>
            <w:tcW w:w="413" w:type="pct"/>
            <w:vAlign w:val="center"/>
            <w:hideMark/>
          </w:tcPr>
          <w:p w14:paraId="7EE8D84E" w14:textId="77777777" w:rsidR="007B2694" w:rsidRPr="00201A9A" w:rsidRDefault="007B2694" w:rsidP="007B2694">
            <w:pPr>
              <w:spacing w:before="0" w:after="0"/>
              <w:jc w:val="left"/>
              <w:rPr>
                <w:rFonts w:eastAsia="Times New Roman"/>
                <w:noProof/>
                <w:sz w:val="20"/>
                <w:szCs w:val="20"/>
              </w:rPr>
            </w:pPr>
            <w:r w:rsidRPr="00201A9A">
              <w:rPr>
                <w:noProof/>
                <w:sz w:val="18"/>
              </w:rPr>
              <w:t>2 929,000</w:t>
            </w:r>
          </w:p>
        </w:tc>
        <w:tc>
          <w:tcPr>
            <w:tcW w:w="414" w:type="pct"/>
            <w:vAlign w:val="center"/>
            <w:hideMark/>
          </w:tcPr>
          <w:p w14:paraId="45BF21A5" w14:textId="77777777" w:rsidR="007B2694" w:rsidRPr="00201A9A" w:rsidRDefault="007B2694" w:rsidP="007B2694">
            <w:pPr>
              <w:spacing w:before="0" w:after="0"/>
              <w:jc w:val="left"/>
              <w:rPr>
                <w:rFonts w:eastAsia="Times New Roman"/>
                <w:noProof/>
                <w:sz w:val="20"/>
                <w:szCs w:val="20"/>
              </w:rPr>
            </w:pPr>
            <w:r w:rsidRPr="00201A9A">
              <w:rPr>
                <w:noProof/>
                <w:sz w:val="18"/>
              </w:rPr>
              <w:t>2 988,000</w:t>
            </w:r>
          </w:p>
        </w:tc>
        <w:tc>
          <w:tcPr>
            <w:tcW w:w="414" w:type="pct"/>
            <w:vAlign w:val="center"/>
            <w:hideMark/>
          </w:tcPr>
          <w:p w14:paraId="507A93C7" w14:textId="77777777" w:rsidR="007B2694" w:rsidRPr="00201A9A" w:rsidRDefault="007B2694" w:rsidP="007B2694">
            <w:pPr>
              <w:spacing w:before="0" w:after="0"/>
              <w:jc w:val="left"/>
              <w:rPr>
                <w:rFonts w:eastAsia="Times New Roman"/>
                <w:noProof/>
                <w:sz w:val="20"/>
                <w:szCs w:val="20"/>
              </w:rPr>
            </w:pPr>
            <w:r w:rsidRPr="00201A9A">
              <w:rPr>
                <w:noProof/>
                <w:sz w:val="18"/>
              </w:rPr>
              <w:t>3 047,000</w:t>
            </w:r>
          </w:p>
        </w:tc>
        <w:tc>
          <w:tcPr>
            <w:tcW w:w="413" w:type="pct"/>
            <w:shd w:val="clear" w:color="000000" w:fill="D9D9D9"/>
            <w:vAlign w:val="center"/>
            <w:hideMark/>
          </w:tcPr>
          <w:p w14:paraId="09841529"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20 117,000</w:t>
            </w:r>
          </w:p>
        </w:tc>
      </w:tr>
      <w:tr w:rsidR="001F3400" w:rsidRPr="00201A9A" w14:paraId="029A578C" w14:textId="77777777" w:rsidTr="001F3400">
        <w:trPr>
          <w:trHeight w:val="300"/>
        </w:trPr>
        <w:tc>
          <w:tcPr>
            <w:tcW w:w="1029" w:type="pct"/>
            <w:vMerge/>
            <w:vAlign w:val="center"/>
            <w:hideMark/>
          </w:tcPr>
          <w:p w14:paraId="6272D79E"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AC6A0BD"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6111526B"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7093B21A"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p.m.</w:t>
            </w:r>
          </w:p>
        </w:tc>
        <w:tc>
          <w:tcPr>
            <w:tcW w:w="414" w:type="pct"/>
            <w:vAlign w:val="center"/>
            <w:hideMark/>
          </w:tcPr>
          <w:p w14:paraId="6D248A7A"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2DE14E0D"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377C1992"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2EEDCF81"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743E5D0E"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1784D015"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5D2F81FB"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0E154C48" w14:textId="77777777" w:rsidTr="001F3400">
        <w:trPr>
          <w:trHeight w:val="300"/>
        </w:trPr>
        <w:tc>
          <w:tcPr>
            <w:tcW w:w="1029" w:type="pct"/>
            <w:vMerge w:val="restart"/>
            <w:vAlign w:val="center"/>
            <w:hideMark/>
          </w:tcPr>
          <w:p w14:paraId="761D55C5" w14:textId="77777777" w:rsidR="007B2694" w:rsidRPr="00201A9A" w:rsidRDefault="007B2694" w:rsidP="007B2694">
            <w:pPr>
              <w:spacing w:before="0" w:after="0"/>
              <w:jc w:val="left"/>
              <w:rPr>
                <w:rFonts w:eastAsia="Times New Roman"/>
                <w:noProof/>
                <w:color w:val="000000"/>
                <w:sz w:val="20"/>
                <w:szCs w:val="20"/>
              </w:rPr>
            </w:pPr>
            <w:r w:rsidRPr="00201A9A">
              <w:rPr>
                <w:noProof/>
                <w:sz w:val="18"/>
              </w:rPr>
              <w:t>02.03.01.02 Sieć bezpieczeństwa oparta na jedności (stabilizacja rynków rolnych)</w:t>
            </w:r>
          </w:p>
        </w:tc>
        <w:tc>
          <w:tcPr>
            <w:tcW w:w="462" w:type="pct"/>
            <w:vAlign w:val="center"/>
            <w:hideMark/>
          </w:tcPr>
          <w:p w14:paraId="5E706472"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18CA6054"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26DE341C"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900,000</w:t>
            </w:r>
          </w:p>
        </w:tc>
        <w:tc>
          <w:tcPr>
            <w:tcW w:w="414" w:type="pct"/>
            <w:vAlign w:val="center"/>
            <w:hideMark/>
          </w:tcPr>
          <w:p w14:paraId="3581D57D" w14:textId="77777777" w:rsidR="007B2694" w:rsidRPr="00201A9A" w:rsidRDefault="007B2694" w:rsidP="007B2694">
            <w:pPr>
              <w:spacing w:before="0" w:after="0"/>
              <w:jc w:val="left"/>
              <w:rPr>
                <w:rFonts w:eastAsia="Times New Roman"/>
                <w:noProof/>
                <w:sz w:val="20"/>
                <w:szCs w:val="20"/>
              </w:rPr>
            </w:pPr>
            <w:r w:rsidRPr="00201A9A">
              <w:rPr>
                <w:noProof/>
                <w:sz w:val="18"/>
              </w:rPr>
              <w:t>900,000</w:t>
            </w:r>
          </w:p>
        </w:tc>
        <w:tc>
          <w:tcPr>
            <w:tcW w:w="373" w:type="pct"/>
            <w:vAlign w:val="center"/>
            <w:hideMark/>
          </w:tcPr>
          <w:p w14:paraId="50E7E28B" w14:textId="77777777" w:rsidR="007B2694" w:rsidRPr="00201A9A" w:rsidRDefault="007B2694" w:rsidP="007B2694">
            <w:pPr>
              <w:spacing w:before="0" w:after="0"/>
              <w:jc w:val="left"/>
              <w:rPr>
                <w:rFonts w:eastAsia="Times New Roman"/>
                <w:noProof/>
                <w:sz w:val="20"/>
                <w:szCs w:val="20"/>
              </w:rPr>
            </w:pPr>
            <w:r w:rsidRPr="00201A9A">
              <w:rPr>
                <w:noProof/>
                <w:sz w:val="18"/>
              </w:rPr>
              <w:t>900,000</w:t>
            </w:r>
          </w:p>
        </w:tc>
        <w:tc>
          <w:tcPr>
            <w:tcW w:w="414" w:type="pct"/>
            <w:vAlign w:val="center"/>
            <w:hideMark/>
          </w:tcPr>
          <w:p w14:paraId="6AEAC8EF" w14:textId="77777777" w:rsidR="007B2694" w:rsidRPr="00201A9A" w:rsidRDefault="007B2694" w:rsidP="007B2694">
            <w:pPr>
              <w:spacing w:before="0" w:after="0"/>
              <w:jc w:val="left"/>
              <w:rPr>
                <w:rFonts w:eastAsia="Times New Roman"/>
                <w:noProof/>
                <w:sz w:val="20"/>
                <w:szCs w:val="20"/>
              </w:rPr>
            </w:pPr>
            <w:r w:rsidRPr="00201A9A">
              <w:rPr>
                <w:noProof/>
                <w:sz w:val="18"/>
              </w:rPr>
              <w:t>900,000</w:t>
            </w:r>
          </w:p>
        </w:tc>
        <w:tc>
          <w:tcPr>
            <w:tcW w:w="413" w:type="pct"/>
            <w:vAlign w:val="center"/>
            <w:hideMark/>
          </w:tcPr>
          <w:p w14:paraId="4C2B5BE1" w14:textId="77777777" w:rsidR="007B2694" w:rsidRPr="00201A9A" w:rsidRDefault="007B2694" w:rsidP="007B2694">
            <w:pPr>
              <w:spacing w:before="0" w:after="0"/>
              <w:jc w:val="left"/>
              <w:rPr>
                <w:rFonts w:eastAsia="Times New Roman"/>
                <w:noProof/>
                <w:sz w:val="20"/>
                <w:szCs w:val="20"/>
              </w:rPr>
            </w:pPr>
            <w:r w:rsidRPr="00201A9A">
              <w:rPr>
                <w:noProof/>
                <w:sz w:val="18"/>
              </w:rPr>
              <w:t>901,000</w:t>
            </w:r>
          </w:p>
        </w:tc>
        <w:tc>
          <w:tcPr>
            <w:tcW w:w="414" w:type="pct"/>
            <w:vAlign w:val="center"/>
            <w:hideMark/>
          </w:tcPr>
          <w:p w14:paraId="3670A5AC" w14:textId="77777777" w:rsidR="007B2694" w:rsidRPr="00201A9A" w:rsidRDefault="007B2694" w:rsidP="007B2694">
            <w:pPr>
              <w:spacing w:before="0" w:after="0"/>
              <w:jc w:val="left"/>
              <w:rPr>
                <w:rFonts w:eastAsia="Times New Roman"/>
                <w:noProof/>
                <w:sz w:val="20"/>
                <w:szCs w:val="20"/>
              </w:rPr>
            </w:pPr>
            <w:r w:rsidRPr="00201A9A">
              <w:rPr>
                <w:noProof/>
                <w:sz w:val="18"/>
              </w:rPr>
              <w:t>900,000</w:t>
            </w:r>
          </w:p>
        </w:tc>
        <w:tc>
          <w:tcPr>
            <w:tcW w:w="414" w:type="pct"/>
            <w:vAlign w:val="center"/>
            <w:hideMark/>
          </w:tcPr>
          <w:p w14:paraId="1A9096A5" w14:textId="77777777" w:rsidR="007B2694" w:rsidRPr="00201A9A" w:rsidRDefault="007B2694" w:rsidP="007B2694">
            <w:pPr>
              <w:spacing w:before="0" w:after="0"/>
              <w:jc w:val="left"/>
              <w:rPr>
                <w:rFonts w:eastAsia="Times New Roman"/>
                <w:noProof/>
                <w:sz w:val="20"/>
                <w:szCs w:val="20"/>
              </w:rPr>
            </w:pPr>
            <w:r w:rsidRPr="00201A9A">
              <w:rPr>
                <w:noProof/>
                <w:sz w:val="18"/>
              </w:rPr>
              <w:t>900,000</w:t>
            </w:r>
          </w:p>
        </w:tc>
        <w:tc>
          <w:tcPr>
            <w:tcW w:w="413" w:type="pct"/>
            <w:shd w:val="clear" w:color="000000" w:fill="D9D9D9"/>
            <w:vAlign w:val="center"/>
            <w:hideMark/>
          </w:tcPr>
          <w:p w14:paraId="37F005A5"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6 301,000</w:t>
            </w:r>
          </w:p>
        </w:tc>
      </w:tr>
      <w:tr w:rsidR="001F3400" w:rsidRPr="00201A9A" w14:paraId="4E825000" w14:textId="77777777" w:rsidTr="001F3400">
        <w:trPr>
          <w:trHeight w:val="300"/>
        </w:trPr>
        <w:tc>
          <w:tcPr>
            <w:tcW w:w="1029" w:type="pct"/>
            <w:vMerge/>
            <w:vAlign w:val="center"/>
            <w:hideMark/>
          </w:tcPr>
          <w:p w14:paraId="621C289E"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D4F13A8"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0DB20135"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00E4F466"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p.m.</w:t>
            </w:r>
          </w:p>
        </w:tc>
        <w:tc>
          <w:tcPr>
            <w:tcW w:w="414" w:type="pct"/>
            <w:vAlign w:val="center"/>
            <w:hideMark/>
          </w:tcPr>
          <w:p w14:paraId="6A808BA0"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60795729"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2A11A3A0"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01BF01E7"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17B8A70E"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21ED770B"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2DFC98E5"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40368653" w14:textId="77777777" w:rsidTr="001F3400">
        <w:trPr>
          <w:trHeight w:val="300"/>
        </w:trPr>
        <w:tc>
          <w:tcPr>
            <w:tcW w:w="1029" w:type="pct"/>
            <w:vMerge w:val="restart"/>
            <w:vAlign w:val="center"/>
            <w:hideMark/>
          </w:tcPr>
          <w:p w14:paraId="7843DC6C" w14:textId="4DD1FF99" w:rsidR="007B2694" w:rsidRPr="00201A9A" w:rsidRDefault="007B2694" w:rsidP="007B2694">
            <w:pPr>
              <w:spacing w:before="0" w:after="0"/>
              <w:jc w:val="left"/>
              <w:rPr>
                <w:rFonts w:eastAsia="Times New Roman"/>
                <w:noProof/>
                <w:color w:val="000000"/>
                <w:sz w:val="20"/>
                <w:szCs w:val="20"/>
              </w:rPr>
            </w:pPr>
            <w:r w:rsidRPr="00201A9A">
              <w:rPr>
                <w:noProof/>
                <w:sz w:val="18"/>
              </w:rPr>
              <w:t>02.03.01.03 Migracja, azyl, zarządzanie granicami, wizy</w:t>
            </w:r>
            <w:r w:rsidR="00201A9A" w:rsidRPr="00201A9A">
              <w:rPr>
                <w:noProof/>
                <w:sz w:val="18"/>
              </w:rPr>
              <w:t xml:space="preserve"> i bez</w:t>
            </w:r>
            <w:r w:rsidRPr="00201A9A">
              <w:rPr>
                <w:noProof/>
                <w:sz w:val="18"/>
              </w:rPr>
              <w:t>pieczeństwo wewnętrzne</w:t>
            </w:r>
          </w:p>
        </w:tc>
        <w:tc>
          <w:tcPr>
            <w:tcW w:w="462" w:type="pct"/>
            <w:vAlign w:val="center"/>
            <w:hideMark/>
          </w:tcPr>
          <w:p w14:paraId="5E6C25ED"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75F7D753"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400C9060"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3 401,000</w:t>
            </w:r>
          </w:p>
        </w:tc>
        <w:tc>
          <w:tcPr>
            <w:tcW w:w="414" w:type="pct"/>
            <w:vAlign w:val="center"/>
            <w:hideMark/>
          </w:tcPr>
          <w:p w14:paraId="3D0B8B37" w14:textId="77777777" w:rsidR="007B2694" w:rsidRPr="00201A9A" w:rsidRDefault="007B2694" w:rsidP="007B2694">
            <w:pPr>
              <w:spacing w:before="0" w:after="0"/>
              <w:jc w:val="left"/>
              <w:rPr>
                <w:rFonts w:eastAsia="Times New Roman"/>
                <w:noProof/>
                <w:sz w:val="20"/>
                <w:szCs w:val="20"/>
              </w:rPr>
            </w:pPr>
            <w:r w:rsidRPr="00201A9A">
              <w:rPr>
                <w:noProof/>
                <w:sz w:val="18"/>
              </w:rPr>
              <w:t>3 469,000</w:t>
            </w:r>
          </w:p>
        </w:tc>
        <w:tc>
          <w:tcPr>
            <w:tcW w:w="373" w:type="pct"/>
            <w:vAlign w:val="center"/>
            <w:hideMark/>
          </w:tcPr>
          <w:p w14:paraId="7EE89CBC" w14:textId="77777777" w:rsidR="007B2694" w:rsidRPr="00201A9A" w:rsidRDefault="007B2694" w:rsidP="007B2694">
            <w:pPr>
              <w:spacing w:before="0" w:after="0"/>
              <w:jc w:val="left"/>
              <w:rPr>
                <w:rFonts w:eastAsia="Times New Roman"/>
                <w:noProof/>
                <w:sz w:val="20"/>
                <w:szCs w:val="20"/>
              </w:rPr>
            </w:pPr>
            <w:r w:rsidRPr="00201A9A">
              <w:rPr>
                <w:noProof/>
                <w:sz w:val="18"/>
              </w:rPr>
              <w:t>3 539,000</w:t>
            </w:r>
          </w:p>
        </w:tc>
        <w:tc>
          <w:tcPr>
            <w:tcW w:w="414" w:type="pct"/>
            <w:vAlign w:val="center"/>
            <w:hideMark/>
          </w:tcPr>
          <w:p w14:paraId="3CD1DDBF" w14:textId="77777777" w:rsidR="007B2694" w:rsidRPr="00201A9A" w:rsidRDefault="007B2694" w:rsidP="007B2694">
            <w:pPr>
              <w:spacing w:before="0" w:after="0"/>
              <w:jc w:val="left"/>
              <w:rPr>
                <w:rFonts w:eastAsia="Times New Roman"/>
                <w:noProof/>
                <w:sz w:val="20"/>
                <w:szCs w:val="20"/>
              </w:rPr>
            </w:pPr>
            <w:r w:rsidRPr="00201A9A">
              <w:rPr>
                <w:noProof/>
                <w:sz w:val="18"/>
              </w:rPr>
              <w:t>3 609,000</w:t>
            </w:r>
          </w:p>
        </w:tc>
        <w:tc>
          <w:tcPr>
            <w:tcW w:w="413" w:type="pct"/>
            <w:vAlign w:val="center"/>
            <w:hideMark/>
          </w:tcPr>
          <w:p w14:paraId="5A34AF31" w14:textId="77777777" w:rsidR="007B2694" w:rsidRPr="00201A9A" w:rsidRDefault="007B2694" w:rsidP="007B2694">
            <w:pPr>
              <w:spacing w:before="0" w:after="0"/>
              <w:jc w:val="left"/>
              <w:rPr>
                <w:rFonts w:eastAsia="Times New Roman"/>
                <w:noProof/>
                <w:sz w:val="20"/>
                <w:szCs w:val="20"/>
              </w:rPr>
            </w:pPr>
            <w:r w:rsidRPr="00201A9A">
              <w:rPr>
                <w:noProof/>
                <w:sz w:val="18"/>
              </w:rPr>
              <w:t>3 682,000</w:t>
            </w:r>
          </w:p>
        </w:tc>
        <w:tc>
          <w:tcPr>
            <w:tcW w:w="414" w:type="pct"/>
            <w:vAlign w:val="center"/>
            <w:hideMark/>
          </w:tcPr>
          <w:p w14:paraId="3231DD98" w14:textId="77777777" w:rsidR="007B2694" w:rsidRPr="00201A9A" w:rsidRDefault="007B2694" w:rsidP="007B2694">
            <w:pPr>
              <w:spacing w:before="0" w:after="0"/>
              <w:jc w:val="left"/>
              <w:rPr>
                <w:rFonts w:eastAsia="Times New Roman"/>
                <w:noProof/>
                <w:sz w:val="20"/>
                <w:szCs w:val="20"/>
              </w:rPr>
            </w:pPr>
            <w:r w:rsidRPr="00201A9A">
              <w:rPr>
                <w:noProof/>
                <w:sz w:val="18"/>
              </w:rPr>
              <w:t>3 755,000</w:t>
            </w:r>
          </w:p>
        </w:tc>
        <w:tc>
          <w:tcPr>
            <w:tcW w:w="414" w:type="pct"/>
            <w:vAlign w:val="center"/>
            <w:hideMark/>
          </w:tcPr>
          <w:p w14:paraId="3E0ECE2F" w14:textId="77777777" w:rsidR="007B2694" w:rsidRPr="00201A9A" w:rsidRDefault="007B2694" w:rsidP="007B2694">
            <w:pPr>
              <w:spacing w:before="0" w:after="0"/>
              <w:jc w:val="left"/>
              <w:rPr>
                <w:rFonts w:eastAsia="Times New Roman"/>
                <w:noProof/>
                <w:sz w:val="20"/>
                <w:szCs w:val="20"/>
              </w:rPr>
            </w:pPr>
            <w:r w:rsidRPr="00201A9A">
              <w:rPr>
                <w:noProof/>
                <w:sz w:val="18"/>
              </w:rPr>
              <w:t>3 830,000</w:t>
            </w:r>
          </w:p>
        </w:tc>
        <w:tc>
          <w:tcPr>
            <w:tcW w:w="413" w:type="pct"/>
            <w:shd w:val="clear" w:color="000000" w:fill="D9D9D9"/>
            <w:vAlign w:val="center"/>
            <w:hideMark/>
          </w:tcPr>
          <w:p w14:paraId="5908C33B"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25 285,000</w:t>
            </w:r>
          </w:p>
        </w:tc>
      </w:tr>
      <w:tr w:rsidR="001F3400" w:rsidRPr="00201A9A" w14:paraId="45190D74" w14:textId="77777777" w:rsidTr="001F3400">
        <w:trPr>
          <w:trHeight w:val="300"/>
        </w:trPr>
        <w:tc>
          <w:tcPr>
            <w:tcW w:w="1029" w:type="pct"/>
            <w:vMerge/>
            <w:vAlign w:val="center"/>
            <w:hideMark/>
          </w:tcPr>
          <w:p w14:paraId="06CBFA78"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5A5478AD"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75A66FB1"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0D17DA41"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671CBA51"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542492EF"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1A25CF0A"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378481E8"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717881DC"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371ADA4C"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C355560"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6B1470CC" w14:textId="77777777" w:rsidTr="001F3400">
        <w:trPr>
          <w:trHeight w:val="300"/>
        </w:trPr>
        <w:tc>
          <w:tcPr>
            <w:tcW w:w="1029" w:type="pct"/>
            <w:vMerge w:val="restart"/>
            <w:vAlign w:val="center"/>
            <w:hideMark/>
          </w:tcPr>
          <w:p w14:paraId="6D260337" w14:textId="77777777" w:rsidR="007B2694" w:rsidRPr="00201A9A" w:rsidRDefault="007B2694" w:rsidP="007B2694">
            <w:pPr>
              <w:spacing w:before="0" w:after="0"/>
              <w:jc w:val="left"/>
              <w:rPr>
                <w:rFonts w:eastAsia="Times New Roman"/>
                <w:noProof/>
                <w:color w:val="000000"/>
                <w:sz w:val="20"/>
                <w:szCs w:val="20"/>
              </w:rPr>
            </w:pPr>
            <w:r w:rsidRPr="00201A9A">
              <w:rPr>
                <w:noProof/>
                <w:sz w:val="18"/>
              </w:rPr>
              <w:t>02.03.01.04 Pozostałe działania Unii</w:t>
            </w:r>
          </w:p>
        </w:tc>
        <w:tc>
          <w:tcPr>
            <w:tcW w:w="462" w:type="pct"/>
            <w:vAlign w:val="center"/>
            <w:hideMark/>
          </w:tcPr>
          <w:p w14:paraId="66563A48"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1506CC2D"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40D3A307"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122224BA"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42E7BD9A"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4F61821A"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6AC91262"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3ED32BDE"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4646BDA3"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22E5F5D3"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0C40D2BD" w14:textId="77777777" w:rsidTr="001F3400">
        <w:trPr>
          <w:trHeight w:val="300"/>
        </w:trPr>
        <w:tc>
          <w:tcPr>
            <w:tcW w:w="1029" w:type="pct"/>
            <w:vMerge/>
            <w:vAlign w:val="center"/>
            <w:hideMark/>
          </w:tcPr>
          <w:p w14:paraId="0A383773"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29B3FBA3"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78C97347"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63586D8A" w14:textId="77777777" w:rsidR="007B2694" w:rsidRPr="00201A9A" w:rsidRDefault="007B2694" w:rsidP="007B2694">
            <w:pPr>
              <w:spacing w:before="0" w:after="0"/>
              <w:jc w:val="center"/>
              <w:rPr>
                <w:rFonts w:eastAsia="Times New Roman"/>
                <w:noProof/>
                <w:color w:val="000000"/>
                <w:sz w:val="18"/>
                <w:szCs w:val="18"/>
                <w:lang w:eastAsia="en-IE"/>
              </w:rPr>
            </w:pPr>
          </w:p>
        </w:tc>
        <w:tc>
          <w:tcPr>
            <w:tcW w:w="414" w:type="pct"/>
            <w:vAlign w:val="center"/>
            <w:hideMark/>
          </w:tcPr>
          <w:p w14:paraId="526F45FC" w14:textId="77777777" w:rsidR="007B2694" w:rsidRPr="00201A9A" w:rsidRDefault="007B2694" w:rsidP="007B2694">
            <w:pPr>
              <w:spacing w:before="0" w:after="0"/>
              <w:jc w:val="left"/>
              <w:rPr>
                <w:rFonts w:eastAsia="Times New Roman"/>
                <w:noProof/>
                <w:sz w:val="20"/>
                <w:szCs w:val="20"/>
                <w:lang w:eastAsia="en-IE"/>
              </w:rPr>
            </w:pPr>
          </w:p>
        </w:tc>
        <w:tc>
          <w:tcPr>
            <w:tcW w:w="373" w:type="pct"/>
            <w:vAlign w:val="center"/>
            <w:hideMark/>
          </w:tcPr>
          <w:p w14:paraId="11DCC23F"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5D149B5D" w14:textId="77777777" w:rsidR="007B2694" w:rsidRPr="00201A9A" w:rsidRDefault="007B2694" w:rsidP="007B2694">
            <w:pPr>
              <w:spacing w:before="0" w:after="0"/>
              <w:jc w:val="left"/>
              <w:rPr>
                <w:rFonts w:eastAsia="Times New Roman"/>
                <w:noProof/>
                <w:sz w:val="20"/>
                <w:szCs w:val="20"/>
                <w:lang w:eastAsia="en-IE"/>
              </w:rPr>
            </w:pPr>
          </w:p>
        </w:tc>
        <w:tc>
          <w:tcPr>
            <w:tcW w:w="413" w:type="pct"/>
            <w:vAlign w:val="center"/>
            <w:hideMark/>
          </w:tcPr>
          <w:p w14:paraId="7A992CA0"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61520144" w14:textId="77777777" w:rsidR="007B2694" w:rsidRPr="00201A9A" w:rsidRDefault="007B2694" w:rsidP="007B2694">
            <w:pPr>
              <w:spacing w:before="0" w:after="0"/>
              <w:jc w:val="left"/>
              <w:rPr>
                <w:rFonts w:eastAsia="Times New Roman"/>
                <w:noProof/>
                <w:sz w:val="20"/>
                <w:szCs w:val="20"/>
                <w:lang w:eastAsia="en-IE"/>
              </w:rPr>
            </w:pPr>
          </w:p>
        </w:tc>
        <w:tc>
          <w:tcPr>
            <w:tcW w:w="414" w:type="pct"/>
            <w:vAlign w:val="center"/>
            <w:hideMark/>
          </w:tcPr>
          <w:p w14:paraId="22077362" w14:textId="77777777" w:rsidR="007B2694" w:rsidRPr="00201A9A" w:rsidRDefault="007B2694" w:rsidP="007B2694">
            <w:pPr>
              <w:spacing w:before="0" w:after="0"/>
              <w:jc w:val="left"/>
              <w:rPr>
                <w:rFonts w:eastAsia="Times New Roman"/>
                <w:noProof/>
                <w:sz w:val="20"/>
                <w:szCs w:val="20"/>
                <w:lang w:eastAsia="en-IE"/>
              </w:rPr>
            </w:pPr>
          </w:p>
        </w:tc>
        <w:tc>
          <w:tcPr>
            <w:tcW w:w="413" w:type="pct"/>
            <w:shd w:val="clear" w:color="000000" w:fill="D9D9D9"/>
            <w:vAlign w:val="center"/>
            <w:hideMark/>
          </w:tcPr>
          <w:p w14:paraId="12E23CBD"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0DC6A370" w14:textId="77777777" w:rsidTr="001F3400">
        <w:trPr>
          <w:trHeight w:val="300"/>
        </w:trPr>
        <w:tc>
          <w:tcPr>
            <w:tcW w:w="1029" w:type="pct"/>
            <w:vMerge w:val="restart"/>
            <w:vAlign w:val="center"/>
            <w:hideMark/>
          </w:tcPr>
          <w:p w14:paraId="2DE1595A" w14:textId="26EA4A7C" w:rsidR="007B2694" w:rsidRPr="00201A9A" w:rsidRDefault="007B2694" w:rsidP="007B2694">
            <w:pPr>
              <w:spacing w:before="0" w:after="0"/>
              <w:jc w:val="left"/>
              <w:rPr>
                <w:rFonts w:eastAsia="Times New Roman"/>
                <w:noProof/>
                <w:color w:val="000000"/>
                <w:sz w:val="20"/>
                <w:szCs w:val="20"/>
              </w:rPr>
            </w:pPr>
            <w:r w:rsidRPr="00201A9A">
              <w:rPr>
                <w:noProof/>
                <w:sz w:val="18"/>
              </w:rPr>
              <w:t>02.03.02. Rezerwa na nowe wyzwania</w:t>
            </w:r>
            <w:r w:rsidR="00201A9A" w:rsidRPr="00201A9A">
              <w:rPr>
                <w:noProof/>
                <w:sz w:val="18"/>
              </w:rPr>
              <w:t xml:space="preserve"> i pri</w:t>
            </w:r>
            <w:r w:rsidRPr="00201A9A">
              <w:rPr>
                <w:noProof/>
                <w:sz w:val="18"/>
              </w:rPr>
              <w:t>orytety</w:t>
            </w:r>
          </w:p>
        </w:tc>
        <w:tc>
          <w:tcPr>
            <w:tcW w:w="462" w:type="pct"/>
            <w:vAlign w:val="center"/>
            <w:hideMark/>
          </w:tcPr>
          <w:p w14:paraId="392DB07B"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28D82FE8"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(1a)</w:t>
            </w:r>
          </w:p>
        </w:tc>
        <w:tc>
          <w:tcPr>
            <w:tcW w:w="414" w:type="pct"/>
            <w:vAlign w:val="center"/>
            <w:hideMark/>
          </w:tcPr>
          <w:p w14:paraId="08B2AD3A" w14:textId="77777777" w:rsidR="007B2694" w:rsidRPr="00201A9A" w:rsidRDefault="007B2694" w:rsidP="007B2694">
            <w:pPr>
              <w:spacing w:before="0" w:after="0"/>
              <w:jc w:val="center"/>
              <w:rPr>
                <w:rFonts w:eastAsia="Times New Roman"/>
                <w:noProof/>
                <w:color w:val="000000"/>
                <w:sz w:val="18"/>
                <w:szCs w:val="18"/>
              </w:rPr>
            </w:pPr>
            <w:r w:rsidRPr="00201A9A">
              <w:rPr>
                <w:noProof/>
                <w:color w:val="000000"/>
                <w:sz w:val="18"/>
              </w:rPr>
              <w:t>1 172,000</w:t>
            </w:r>
          </w:p>
        </w:tc>
        <w:tc>
          <w:tcPr>
            <w:tcW w:w="414" w:type="pct"/>
            <w:vAlign w:val="center"/>
            <w:hideMark/>
          </w:tcPr>
          <w:p w14:paraId="49AC4AA9" w14:textId="77777777" w:rsidR="007B2694" w:rsidRPr="00201A9A" w:rsidRDefault="007B2694" w:rsidP="007B2694">
            <w:pPr>
              <w:spacing w:before="0" w:after="0"/>
              <w:jc w:val="right"/>
              <w:rPr>
                <w:rFonts w:eastAsia="Times New Roman"/>
                <w:noProof/>
                <w:sz w:val="20"/>
                <w:szCs w:val="20"/>
              </w:rPr>
            </w:pPr>
            <w:r w:rsidRPr="00201A9A">
              <w:rPr>
                <w:noProof/>
                <w:color w:val="000000"/>
                <w:sz w:val="18"/>
              </w:rPr>
              <w:t>1 195,000</w:t>
            </w:r>
          </w:p>
        </w:tc>
        <w:tc>
          <w:tcPr>
            <w:tcW w:w="373" w:type="pct"/>
            <w:vAlign w:val="center"/>
            <w:hideMark/>
          </w:tcPr>
          <w:p w14:paraId="71B8FEE5" w14:textId="77777777" w:rsidR="007B2694" w:rsidRPr="00201A9A" w:rsidRDefault="007B2694" w:rsidP="007B2694">
            <w:pPr>
              <w:spacing w:before="0" w:after="0"/>
              <w:jc w:val="right"/>
              <w:rPr>
                <w:rFonts w:eastAsia="Times New Roman"/>
                <w:noProof/>
                <w:sz w:val="20"/>
                <w:szCs w:val="20"/>
              </w:rPr>
            </w:pPr>
            <w:r w:rsidRPr="00201A9A">
              <w:rPr>
                <w:noProof/>
                <w:color w:val="000000"/>
                <w:sz w:val="18"/>
              </w:rPr>
              <w:t>1 219,000</w:t>
            </w:r>
          </w:p>
        </w:tc>
        <w:tc>
          <w:tcPr>
            <w:tcW w:w="414" w:type="pct"/>
            <w:vAlign w:val="center"/>
            <w:hideMark/>
          </w:tcPr>
          <w:p w14:paraId="61179EA9" w14:textId="77777777" w:rsidR="007B2694" w:rsidRPr="00201A9A" w:rsidRDefault="007B2694" w:rsidP="007B2694">
            <w:pPr>
              <w:spacing w:before="0" w:after="0"/>
              <w:jc w:val="right"/>
              <w:rPr>
                <w:rFonts w:eastAsia="Times New Roman"/>
                <w:noProof/>
                <w:sz w:val="20"/>
                <w:szCs w:val="20"/>
              </w:rPr>
            </w:pPr>
            <w:r w:rsidRPr="00201A9A">
              <w:rPr>
                <w:noProof/>
                <w:color w:val="000000"/>
                <w:sz w:val="18"/>
              </w:rPr>
              <w:t>1 243,000</w:t>
            </w:r>
          </w:p>
        </w:tc>
        <w:tc>
          <w:tcPr>
            <w:tcW w:w="413" w:type="pct"/>
            <w:vAlign w:val="center"/>
            <w:hideMark/>
          </w:tcPr>
          <w:p w14:paraId="622EA2D1" w14:textId="77777777" w:rsidR="007B2694" w:rsidRPr="00201A9A" w:rsidRDefault="007B2694" w:rsidP="007B2694">
            <w:pPr>
              <w:spacing w:before="0" w:after="0"/>
              <w:jc w:val="right"/>
              <w:rPr>
                <w:rFonts w:eastAsia="Times New Roman"/>
                <w:noProof/>
                <w:sz w:val="20"/>
                <w:szCs w:val="20"/>
              </w:rPr>
            </w:pPr>
            <w:r w:rsidRPr="00201A9A">
              <w:rPr>
                <w:noProof/>
                <w:color w:val="000000"/>
                <w:sz w:val="18"/>
              </w:rPr>
              <w:t>1 268,000</w:t>
            </w:r>
          </w:p>
        </w:tc>
        <w:tc>
          <w:tcPr>
            <w:tcW w:w="414" w:type="pct"/>
            <w:vAlign w:val="center"/>
            <w:hideMark/>
          </w:tcPr>
          <w:p w14:paraId="32291B92" w14:textId="77777777" w:rsidR="007B2694" w:rsidRPr="00201A9A" w:rsidRDefault="007B2694" w:rsidP="007B2694">
            <w:pPr>
              <w:spacing w:before="0" w:after="0"/>
              <w:jc w:val="right"/>
              <w:rPr>
                <w:rFonts w:eastAsia="Times New Roman"/>
                <w:noProof/>
                <w:sz w:val="20"/>
                <w:szCs w:val="20"/>
              </w:rPr>
            </w:pPr>
            <w:r w:rsidRPr="00201A9A">
              <w:rPr>
                <w:noProof/>
                <w:color w:val="000000"/>
                <w:sz w:val="18"/>
              </w:rPr>
              <w:t>1 294,000</w:t>
            </w:r>
          </w:p>
        </w:tc>
        <w:tc>
          <w:tcPr>
            <w:tcW w:w="414" w:type="pct"/>
            <w:vAlign w:val="center"/>
            <w:hideMark/>
          </w:tcPr>
          <w:p w14:paraId="6E137C3D" w14:textId="77777777" w:rsidR="007B2694" w:rsidRPr="00201A9A" w:rsidRDefault="007B2694" w:rsidP="007B2694">
            <w:pPr>
              <w:spacing w:before="0" w:after="0"/>
              <w:jc w:val="right"/>
              <w:rPr>
                <w:rFonts w:eastAsia="Times New Roman"/>
                <w:noProof/>
                <w:sz w:val="20"/>
                <w:szCs w:val="20"/>
              </w:rPr>
            </w:pPr>
            <w:r w:rsidRPr="00201A9A">
              <w:rPr>
                <w:noProof/>
                <w:color w:val="000000"/>
                <w:sz w:val="18"/>
              </w:rPr>
              <w:t>1 319,000</w:t>
            </w:r>
          </w:p>
        </w:tc>
        <w:tc>
          <w:tcPr>
            <w:tcW w:w="413" w:type="pct"/>
            <w:shd w:val="clear" w:color="000000" w:fill="D9D9D9"/>
            <w:vAlign w:val="center"/>
            <w:hideMark/>
          </w:tcPr>
          <w:p w14:paraId="7C9225F2" w14:textId="77777777" w:rsidR="007B2694" w:rsidRPr="00201A9A" w:rsidRDefault="007B2694" w:rsidP="007B2694">
            <w:pPr>
              <w:spacing w:before="0" w:after="0"/>
              <w:jc w:val="right"/>
              <w:rPr>
                <w:rFonts w:eastAsia="Times New Roman"/>
                <w:b/>
                <w:noProof/>
                <w:color w:val="000000"/>
                <w:sz w:val="20"/>
                <w:szCs w:val="20"/>
              </w:rPr>
            </w:pPr>
            <w:r w:rsidRPr="00201A9A">
              <w:rPr>
                <w:b/>
                <w:noProof/>
                <w:color w:val="000000"/>
                <w:sz w:val="18"/>
              </w:rPr>
              <w:t>8 710,000</w:t>
            </w:r>
          </w:p>
        </w:tc>
      </w:tr>
      <w:tr w:rsidR="001F3400" w:rsidRPr="00201A9A" w14:paraId="3F9B81BB" w14:textId="77777777" w:rsidTr="001F3400">
        <w:trPr>
          <w:trHeight w:val="315"/>
        </w:trPr>
        <w:tc>
          <w:tcPr>
            <w:tcW w:w="1029" w:type="pct"/>
            <w:vMerge/>
            <w:vAlign w:val="center"/>
            <w:hideMark/>
          </w:tcPr>
          <w:p w14:paraId="1878B02B"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690B291A"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6C34AF39"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(2a)</w:t>
            </w:r>
          </w:p>
        </w:tc>
        <w:tc>
          <w:tcPr>
            <w:tcW w:w="414" w:type="pct"/>
            <w:vAlign w:val="center"/>
            <w:hideMark/>
          </w:tcPr>
          <w:p w14:paraId="3C33034F" w14:textId="77777777" w:rsidR="007B2694" w:rsidRPr="00201A9A" w:rsidRDefault="007B2694" w:rsidP="007B2694">
            <w:pPr>
              <w:spacing w:before="0" w:after="0"/>
              <w:jc w:val="center"/>
              <w:rPr>
                <w:rFonts w:eastAsia="Times New Roman"/>
                <w:noProof/>
                <w:color w:val="000000"/>
                <w:sz w:val="18"/>
                <w:szCs w:val="18"/>
              </w:rPr>
            </w:pPr>
            <w:r w:rsidRPr="00201A9A">
              <w:rPr>
                <w:noProof/>
                <w:sz w:val="18"/>
              </w:rPr>
              <w:t>p.m.</w:t>
            </w:r>
          </w:p>
        </w:tc>
        <w:tc>
          <w:tcPr>
            <w:tcW w:w="414" w:type="pct"/>
            <w:vAlign w:val="center"/>
            <w:hideMark/>
          </w:tcPr>
          <w:p w14:paraId="0C12D33B" w14:textId="77777777" w:rsidR="007B2694" w:rsidRPr="00201A9A" w:rsidRDefault="007B2694" w:rsidP="007B2694">
            <w:pPr>
              <w:spacing w:before="0" w:after="0"/>
              <w:jc w:val="right"/>
              <w:rPr>
                <w:rFonts w:eastAsia="Times New Roman"/>
                <w:noProof/>
                <w:sz w:val="20"/>
                <w:szCs w:val="20"/>
                <w:lang w:eastAsia="en-IE"/>
              </w:rPr>
            </w:pPr>
          </w:p>
        </w:tc>
        <w:tc>
          <w:tcPr>
            <w:tcW w:w="373" w:type="pct"/>
            <w:vAlign w:val="center"/>
            <w:hideMark/>
          </w:tcPr>
          <w:p w14:paraId="493E36A1" w14:textId="77777777" w:rsidR="007B2694" w:rsidRPr="00201A9A" w:rsidRDefault="007B2694" w:rsidP="007B2694">
            <w:pPr>
              <w:spacing w:before="0" w:after="0"/>
              <w:jc w:val="right"/>
              <w:rPr>
                <w:rFonts w:eastAsia="Times New Roman"/>
                <w:noProof/>
                <w:sz w:val="20"/>
                <w:szCs w:val="20"/>
                <w:lang w:eastAsia="en-IE"/>
              </w:rPr>
            </w:pPr>
          </w:p>
        </w:tc>
        <w:tc>
          <w:tcPr>
            <w:tcW w:w="414" w:type="pct"/>
            <w:vAlign w:val="center"/>
            <w:hideMark/>
          </w:tcPr>
          <w:p w14:paraId="72C2A12B" w14:textId="77777777" w:rsidR="007B2694" w:rsidRPr="00201A9A" w:rsidRDefault="007B2694" w:rsidP="007B2694">
            <w:pPr>
              <w:spacing w:before="0" w:after="0"/>
              <w:jc w:val="right"/>
              <w:rPr>
                <w:rFonts w:eastAsia="Times New Roman"/>
                <w:noProof/>
                <w:sz w:val="20"/>
                <w:szCs w:val="20"/>
                <w:lang w:eastAsia="en-IE"/>
              </w:rPr>
            </w:pPr>
          </w:p>
        </w:tc>
        <w:tc>
          <w:tcPr>
            <w:tcW w:w="413" w:type="pct"/>
            <w:vAlign w:val="center"/>
            <w:hideMark/>
          </w:tcPr>
          <w:p w14:paraId="2FADD0EE" w14:textId="77777777" w:rsidR="007B2694" w:rsidRPr="00201A9A" w:rsidRDefault="007B2694" w:rsidP="007B2694">
            <w:pPr>
              <w:spacing w:before="0" w:after="0"/>
              <w:jc w:val="right"/>
              <w:rPr>
                <w:rFonts w:eastAsia="Times New Roman"/>
                <w:noProof/>
                <w:sz w:val="20"/>
                <w:szCs w:val="20"/>
                <w:lang w:eastAsia="en-IE"/>
              </w:rPr>
            </w:pPr>
          </w:p>
        </w:tc>
        <w:tc>
          <w:tcPr>
            <w:tcW w:w="414" w:type="pct"/>
            <w:vAlign w:val="center"/>
            <w:hideMark/>
          </w:tcPr>
          <w:p w14:paraId="3A34F9ED" w14:textId="77777777" w:rsidR="007B2694" w:rsidRPr="00201A9A" w:rsidRDefault="007B2694" w:rsidP="007B2694">
            <w:pPr>
              <w:spacing w:before="0" w:after="0"/>
              <w:jc w:val="right"/>
              <w:rPr>
                <w:rFonts w:eastAsia="Times New Roman"/>
                <w:noProof/>
                <w:sz w:val="20"/>
                <w:szCs w:val="20"/>
                <w:lang w:eastAsia="en-IE"/>
              </w:rPr>
            </w:pPr>
          </w:p>
        </w:tc>
        <w:tc>
          <w:tcPr>
            <w:tcW w:w="414" w:type="pct"/>
            <w:vAlign w:val="center"/>
            <w:hideMark/>
          </w:tcPr>
          <w:p w14:paraId="1D64CD2B" w14:textId="77777777" w:rsidR="007B2694" w:rsidRPr="00201A9A" w:rsidRDefault="007B2694" w:rsidP="007B2694">
            <w:pPr>
              <w:spacing w:before="0" w:after="0"/>
              <w:jc w:val="right"/>
              <w:rPr>
                <w:rFonts w:eastAsia="Times New Roman"/>
                <w:noProof/>
                <w:sz w:val="20"/>
                <w:szCs w:val="20"/>
                <w:lang w:eastAsia="en-IE"/>
              </w:rPr>
            </w:pPr>
          </w:p>
        </w:tc>
        <w:tc>
          <w:tcPr>
            <w:tcW w:w="413" w:type="pct"/>
            <w:shd w:val="clear" w:color="000000" w:fill="D9D9D9"/>
            <w:vAlign w:val="center"/>
            <w:hideMark/>
          </w:tcPr>
          <w:p w14:paraId="3F1FBCD1"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0,000</w:t>
            </w:r>
          </w:p>
        </w:tc>
      </w:tr>
      <w:tr w:rsidR="001F3400" w:rsidRPr="00201A9A" w14:paraId="57B88915" w14:textId="77777777" w:rsidTr="001F3400">
        <w:trPr>
          <w:trHeight w:val="300"/>
        </w:trPr>
        <w:tc>
          <w:tcPr>
            <w:tcW w:w="1029" w:type="pct"/>
            <w:vMerge w:val="restart"/>
            <w:vAlign w:val="center"/>
            <w:hideMark/>
          </w:tcPr>
          <w:p w14:paraId="4BCCBAAD" w14:textId="77777777" w:rsidR="007B2694" w:rsidRPr="00201A9A" w:rsidRDefault="007B2694" w:rsidP="007B2694">
            <w:pPr>
              <w:spacing w:before="0" w:after="0"/>
              <w:jc w:val="left"/>
              <w:rPr>
                <w:rFonts w:eastAsia="Times New Roman"/>
                <w:noProof/>
                <w:color w:val="000000"/>
                <w:sz w:val="20"/>
                <w:szCs w:val="20"/>
              </w:rPr>
            </w:pPr>
            <w:r w:rsidRPr="00201A9A">
              <w:rPr>
                <w:noProof/>
                <w:sz w:val="18"/>
              </w:rPr>
              <w:t>OGÓŁEM środki</w:t>
            </w:r>
          </w:p>
        </w:tc>
        <w:tc>
          <w:tcPr>
            <w:tcW w:w="462" w:type="pct"/>
            <w:vAlign w:val="center"/>
            <w:hideMark/>
          </w:tcPr>
          <w:p w14:paraId="08224D3A"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zobowiązania</w:t>
            </w:r>
          </w:p>
        </w:tc>
        <w:tc>
          <w:tcPr>
            <w:tcW w:w="242" w:type="pct"/>
            <w:vAlign w:val="center"/>
            <w:hideMark/>
          </w:tcPr>
          <w:p w14:paraId="26F95D66" w14:textId="77777777" w:rsidR="007B2694" w:rsidRPr="00201A9A" w:rsidRDefault="007B2694" w:rsidP="007B2694">
            <w:pPr>
              <w:spacing w:before="0" w:after="0"/>
              <w:jc w:val="center"/>
              <w:rPr>
                <w:rFonts w:eastAsia="Times New Roman"/>
                <w:noProof/>
                <w:color w:val="000000"/>
                <w:sz w:val="14"/>
                <w:szCs w:val="14"/>
              </w:rPr>
            </w:pPr>
            <w:r w:rsidRPr="00201A9A">
              <w:rPr>
                <w:noProof/>
                <w:sz w:val="18"/>
              </w:rPr>
              <w:t>=1a+1b+3</w:t>
            </w:r>
          </w:p>
        </w:tc>
        <w:tc>
          <w:tcPr>
            <w:tcW w:w="414" w:type="pct"/>
            <w:shd w:val="clear" w:color="000000" w:fill="D9D9D9"/>
            <w:vAlign w:val="center"/>
            <w:hideMark/>
          </w:tcPr>
          <w:p w14:paraId="4780D5CA" w14:textId="77777777" w:rsidR="007B2694" w:rsidRPr="00201A9A" w:rsidRDefault="007B2694" w:rsidP="007B2694">
            <w:pPr>
              <w:spacing w:before="0" w:after="0"/>
              <w:jc w:val="right"/>
              <w:rPr>
                <w:rFonts w:eastAsia="Times New Roman"/>
                <w:b/>
                <w:noProof/>
                <w:color w:val="000000"/>
                <w:sz w:val="20"/>
                <w:szCs w:val="20"/>
              </w:rPr>
            </w:pPr>
            <w:r w:rsidRPr="00201A9A">
              <w:rPr>
                <w:b/>
                <w:noProof/>
                <w:color w:val="000000"/>
                <w:sz w:val="18"/>
              </w:rPr>
              <w:t>135 571,000</w:t>
            </w:r>
          </w:p>
        </w:tc>
        <w:tc>
          <w:tcPr>
            <w:tcW w:w="414" w:type="pct"/>
            <w:shd w:val="clear" w:color="000000" w:fill="D9D9D9"/>
            <w:vAlign w:val="center"/>
            <w:hideMark/>
          </w:tcPr>
          <w:p w14:paraId="34968804" w14:textId="77777777" w:rsidR="007B2694" w:rsidRPr="00201A9A" w:rsidRDefault="007B2694" w:rsidP="007B2694">
            <w:pPr>
              <w:spacing w:before="0" w:after="0"/>
              <w:jc w:val="right"/>
              <w:rPr>
                <w:rFonts w:eastAsia="Times New Roman"/>
                <w:b/>
                <w:noProof/>
                <w:color w:val="000000"/>
                <w:sz w:val="20"/>
                <w:szCs w:val="20"/>
              </w:rPr>
            </w:pPr>
            <w:r w:rsidRPr="00201A9A">
              <w:rPr>
                <w:b/>
                <w:noProof/>
                <w:color w:val="000000"/>
                <w:sz w:val="18"/>
              </w:rPr>
              <w:t>133 134,000</w:t>
            </w:r>
          </w:p>
        </w:tc>
        <w:tc>
          <w:tcPr>
            <w:tcW w:w="373" w:type="pct"/>
            <w:shd w:val="clear" w:color="000000" w:fill="D9D9D9"/>
            <w:vAlign w:val="center"/>
            <w:hideMark/>
          </w:tcPr>
          <w:p w14:paraId="0DECCEEF" w14:textId="77777777" w:rsidR="007B2694" w:rsidRPr="00201A9A" w:rsidRDefault="007B2694" w:rsidP="007B2694">
            <w:pPr>
              <w:spacing w:before="0" w:after="0"/>
              <w:jc w:val="right"/>
              <w:rPr>
                <w:rFonts w:eastAsia="Times New Roman"/>
                <w:b/>
                <w:noProof/>
                <w:color w:val="000000"/>
                <w:sz w:val="20"/>
                <w:szCs w:val="20"/>
              </w:rPr>
            </w:pPr>
            <w:r w:rsidRPr="00201A9A">
              <w:rPr>
                <w:b/>
                <w:noProof/>
                <w:color w:val="000000"/>
                <w:sz w:val="18"/>
              </w:rPr>
              <w:t>130 131,000</w:t>
            </w:r>
          </w:p>
        </w:tc>
        <w:tc>
          <w:tcPr>
            <w:tcW w:w="414" w:type="pct"/>
            <w:shd w:val="clear" w:color="000000" w:fill="D9D9D9"/>
            <w:vAlign w:val="center"/>
            <w:hideMark/>
          </w:tcPr>
          <w:p w14:paraId="50CB5342" w14:textId="77777777" w:rsidR="007B2694" w:rsidRPr="00201A9A" w:rsidRDefault="007B2694" w:rsidP="007B2694">
            <w:pPr>
              <w:spacing w:before="0" w:after="0"/>
              <w:jc w:val="right"/>
              <w:rPr>
                <w:rFonts w:eastAsia="Times New Roman"/>
                <w:b/>
                <w:noProof/>
                <w:color w:val="000000"/>
                <w:sz w:val="20"/>
                <w:szCs w:val="20"/>
              </w:rPr>
            </w:pPr>
            <w:r w:rsidRPr="00201A9A">
              <w:rPr>
                <w:b/>
                <w:noProof/>
                <w:color w:val="000000"/>
                <w:sz w:val="18"/>
              </w:rPr>
              <w:t>127 411,000</w:t>
            </w:r>
          </w:p>
        </w:tc>
        <w:tc>
          <w:tcPr>
            <w:tcW w:w="413" w:type="pct"/>
            <w:shd w:val="clear" w:color="000000" w:fill="D9D9D9"/>
            <w:vAlign w:val="center"/>
            <w:hideMark/>
          </w:tcPr>
          <w:p w14:paraId="2345D9CE" w14:textId="77777777" w:rsidR="007B2694" w:rsidRPr="00201A9A" w:rsidRDefault="007B2694" w:rsidP="007B2694">
            <w:pPr>
              <w:spacing w:before="0" w:after="0"/>
              <w:jc w:val="right"/>
              <w:rPr>
                <w:rFonts w:eastAsia="Times New Roman"/>
                <w:b/>
                <w:noProof/>
                <w:color w:val="000000"/>
                <w:sz w:val="20"/>
                <w:szCs w:val="20"/>
              </w:rPr>
            </w:pPr>
            <w:r w:rsidRPr="00201A9A">
              <w:rPr>
                <w:b/>
                <w:noProof/>
                <w:color w:val="000000"/>
                <w:sz w:val="18"/>
              </w:rPr>
              <w:t>123 879,000</w:t>
            </w:r>
          </w:p>
        </w:tc>
        <w:tc>
          <w:tcPr>
            <w:tcW w:w="414" w:type="pct"/>
            <w:shd w:val="clear" w:color="000000" w:fill="D9D9D9"/>
            <w:vAlign w:val="center"/>
            <w:hideMark/>
          </w:tcPr>
          <w:p w14:paraId="49C16A9C" w14:textId="77777777" w:rsidR="007B2694" w:rsidRPr="00201A9A" w:rsidRDefault="007B2694" w:rsidP="007B2694">
            <w:pPr>
              <w:spacing w:before="0" w:after="0"/>
              <w:jc w:val="right"/>
              <w:rPr>
                <w:rFonts w:eastAsia="Times New Roman"/>
                <w:b/>
                <w:noProof/>
                <w:color w:val="000000"/>
                <w:sz w:val="20"/>
                <w:szCs w:val="20"/>
              </w:rPr>
            </w:pPr>
            <w:r w:rsidRPr="00201A9A">
              <w:rPr>
                <w:b/>
                <w:noProof/>
                <w:color w:val="000000"/>
                <w:sz w:val="18"/>
              </w:rPr>
              <w:t>111 535,000</w:t>
            </w:r>
          </w:p>
        </w:tc>
        <w:tc>
          <w:tcPr>
            <w:tcW w:w="414" w:type="pct"/>
            <w:shd w:val="clear" w:color="000000" w:fill="D9D9D9"/>
            <w:vAlign w:val="center"/>
            <w:hideMark/>
          </w:tcPr>
          <w:p w14:paraId="1C23B40C" w14:textId="77777777" w:rsidR="007B2694" w:rsidRPr="00201A9A" w:rsidRDefault="007B2694" w:rsidP="007B2694">
            <w:pPr>
              <w:spacing w:before="0" w:after="0"/>
              <w:jc w:val="right"/>
              <w:rPr>
                <w:rFonts w:eastAsia="Times New Roman"/>
                <w:b/>
                <w:noProof/>
                <w:color w:val="000000"/>
                <w:sz w:val="20"/>
                <w:szCs w:val="20"/>
              </w:rPr>
            </w:pPr>
            <w:r w:rsidRPr="00201A9A">
              <w:rPr>
                <w:b/>
                <w:noProof/>
                <w:color w:val="000000"/>
                <w:sz w:val="18"/>
              </w:rPr>
              <w:t>103 415,000</w:t>
            </w:r>
          </w:p>
        </w:tc>
        <w:tc>
          <w:tcPr>
            <w:tcW w:w="413" w:type="pct"/>
            <w:shd w:val="clear" w:color="000000" w:fill="D9D9D9"/>
            <w:vAlign w:val="center"/>
            <w:hideMark/>
          </w:tcPr>
          <w:p w14:paraId="20BEEDE1" w14:textId="77777777" w:rsidR="007B2694" w:rsidRPr="00201A9A" w:rsidRDefault="007B2694" w:rsidP="007B2694">
            <w:pPr>
              <w:spacing w:before="0" w:after="0"/>
              <w:jc w:val="right"/>
              <w:rPr>
                <w:rFonts w:eastAsia="Times New Roman"/>
                <w:b/>
                <w:noProof/>
                <w:color w:val="000000"/>
                <w:sz w:val="20"/>
                <w:szCs w:val="20"/>
              </w:rPr>
            </w:pPr>
            <w:r w:rsidRPr="00201A9A">
              <w:rPr>
                <w:b/>
                <w:noProof/>
                <w:color w:val="000000"/>
                <w:sz w:val="18"/>
              </w:rPr>
              <w:t>865 076,000</w:t>
            </w:r>
          </w:p>
        </w:tc>
      </w:tr>
      <w:tr w:rsidR="001F3400" w:rsidRPr="00201A9A" w14:paraId="0E1EF03E" w14:textId="77777777" w:rsidTr="001F3400">
        <w:trPr>
          <w:trHeight w:val="300"/>
        </w:trPr>
        <w:tc>
          <w:tcPr>
            <w:tcW w:w="1029" w:type="pct"/>
            <w:vMerge/>
            <w:vAlign w:val="center"/>
            <w:hideMark/>
          </w:tcPr>
          <w:p w14:paraId="5D6FDB3F" w14:textId="77777777" w:rsidR="007B2694" w:rsidRPr="00201A9A" w:rsidRDefault="007B2694" w:rsidP="007B2694">
            <w:pPr>
              <w:spacing w:before="0" w:after="0"/>
              <w:jc w:val="left"/>
              <w:rPr>
                <w:rFonts w:eastAsia="Times New Roman"/>
                <w:noProof/>
                <w:color w:val="000000"/>
                <w:sz w:val="20"/>
                <w:szCs w:val="20"/>
                <w:lang w:eastAsia="en-IE"/>
              </w:rPr>
            </w:pPr>
          </w:p>
        </w:tc>
        <w:tc>
          <w:tcPr>
            <w:tcW w:w="462" w:type="pct"/>
            <w:vAlign w:val="center"/>
            <w:hideMark/>
          </w:tcPr>
          <w:p w14:paraId="273AD9F4" w14:textId="77777777" w:rsidR="007B2694" w:rsidRPr="00201A9A" w:rsidRDefault="007B2694" w:rsidP="007B2694">
            <w:pPr>
              <w:spacing w:before="0" w:after="0"/>
              <w:rPr>
                <w:rFonts w:eastAsia="Times New Roman"/>
                <w:noProof/>
                <w:color w:val="000000"/>
                <w:sz w:val="18"/>
                <w:szCs w:val="18"/>
              </w:rPr>
            </w:pPr>
            <w:r w:rsidRPr="00201A9A">
              <w:rPr>
                <w:noProof/>
                <w:sz w:val="18"/>
              </w:rPr>
              <w:t>Środki na płatności</w:t>
            </w:r>
          </w:p>
        </w:tc>
        <w:tc>
          <w:tcPr>
            <w:tcW w:w="242" w:type="pct"/>
            <w:vAlign w:val="center"/>
            <w:hideMark/>
          </w:tcPr>
          <w:p w14:paraId="17C825DB" w14:textId="77777777" w:rsidR="007B2694" w:rsidRPr="00201A9A" w:rsidRDefault="007B2694" w:rsidP="007B2694">
            <w:pPr>
              <w:spacing w:before="0" w:after="0"/>
              <w:jc w:val="center"/>
              <w:rPr>
                <w:rFonts w:eastAsia="Times New Roman"/>
                <w:noProof/>
                <w:color w:val="000000"/>
                <w:sz w:val="14"/>
                <w:szCs w:val="14"/>
              </w:rPr>
            </w:pPr>
            <w:r w:rsidRPr="00201A9A">
              <w:rPr>
                <w:noProof/>
                <w:sz w:val="18"/>
              </w:rPr>
              <w:t>=2a+2b+3</w:t>
            </w:r>
          </w:p>
        </w:tc>
        <w:tc>
          <w:tcPr>
            <w:tcW w:w="414" w:type="pct"/>
            <w:shd w:val="clear" w:color="000000" w:fill="D9D9D9"/>
            <w:vAlign w:val="center"/>
            <w:hideMark/>
          </w:tcPr>
          <w:p w14:paraId="74610F95"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p.m.</w:t>
            </w:r>
          </w:p>
        </w:tc>
        <w:tc>
          <w:tcPr>
            <w:tcW w:w="414" w:type="pct"/>
            <w:shd w:val="clear" w:color="000000" w:fill="D9D9D9"/>
            <w:vAlign w:val="center"/>
            <w:hideMark/>
          </w:tcPr>
          <w:p w14:paraId="4A9FBCD7"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p.m.</w:t>
            </w:r>
          </w:p>
        </w:tc>
        <w:tc>
          <w:tcPr>
            <w:tcW w:w="373" w:type="pct"/>
            <w:shd w:val="clear" w:color="000000" w:fill="D9D9D9"/>
            <w:vAlign w:val="center"/>
            <w:hideMark/>
          </w:tcPr>
          <w:p w14:paraId="6D1C6BBB"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p.m.</w:t>
            </w:r>
          </w:p>
        </w:tc>
        <w:tc>
          <w:tcPr>
            <w:tcW w:w="414" w:type="pct"/>
            <w:shd w:val="clear" w:color="000000" w:fill="D9D9D9"/>
            <w:vAlign w:val="center"/>
            <w:hideMark/>
          </w:tcPr>
          <w:p w14:paraId="765DC6C9"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p.m.</w:t>
            </w:r>
          </w:p>
        </w:tc>
        <w:tc>
          <w:tcPr>
            <w:tcW w:w="413" w:type="pct"/>
            <w:shd w:val="clear" w:color="000000" w:fill="D9D9D9"/>
            <w:vAlign w:val="center"/>
            <w:hideMark/>
          </w:tcPr>
          <w:p w14:paraId="06A015EB"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p.m.</w:t>
            </w:r>
          </w:p>
        </w:tc>
        <w:tc>
          <w:tcPr>
            <w:tcW w:w="414" w:type="pct"/>
            <w:shd w:val="clear" w:color="000000" w:fill="D9D9D9"/>
            <w:vAlign w:val="center"/>
            <w:hideMark/>
          </w:tcPr>
          <w:p w14:paraId="46758674"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p.m.</w:t>
            </w:r>
          </w:p>
        </w:tc>
        <w:tc>
          <w:tcPr>
            <w:tcW w:w="414" w:type="pct"/>
            <w:shd w:val="clear" w:color="000000" w:fill="D9D9D9"/>
            <w:vAlign w:val="center"/>
            <w:hideMark/>
          </w:tcPr>
          <w:p w14:paraId="25B3DED1"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p.m.</w:t>
            </w:r>
          </w:p>
        </w:tc>
        <w:tc>
          <w:tcPr>
            <w:tcW w:w="413" w:type="pct"/>
            <w:shd w:val="clear" w:color="000000" w:fill="D9D9D9"/>
            <w:vAlign w:val="center"/>
            <w:hideMark/>
          </w:tcPr>
          <w:p w14:paraId="0077C721" w14:textId="77777777" w:rsidR="007B2694" w:rsidRPr="00201A9A" w:rsidRDefault="007B2694" w:rsidP="007B2694">
            <w:pPr>
              <w:spacing w:before="0" w:after="0"/>
              <w:jc w:val="right"/>
              <w:rPr>
                <w:rFonts w:eastAsia="Times New Roman"/>
                <w:b/>
                <w:noProof/>
                <w:color w:val="000000"/>
                <w:sz w:val="20"/>
                <w:szCs w:val="20"/>
              </w:rPr>
            </w:pPr>
            <w:r w:rsidRPr="00201A9A">
              <w:rPr>
                <w:b/>
                <w:noProof/>
                <w:sz w:val="18"/>
              </w:rPr>
              <w:t>p.m.</w:t>
            </w:r>
          </w:p>
        </w:tc>
      </w:tr>
    </w:tbl>
    <w:p w14:paraId="53F3374A" w14:textId="77777777" w:rsidR="004A489F" w:rsidRPr="00201A9A" w:rsidRDefault="004A489F" w:rsidP="004A489F">
      <w:pPr>
        <w:pStyle w:val="ManualHeading3"/>
        <w:rPr>
          <w:noProof/>
        </w:rPr>
      </w:pPr>
    </w:p>
    <w:tbl>
      <w:tblPr>
        <w:tblW w:w="5000" w:type="pct"/>
        <w:tblCellMar>
          <w:top w:w="15" w:type="dxa"/>
          <w:bottom w:w="15" w:type="dxa"/>
        </w:tblCellMar>
        <w:tblLook w:val="04A0" w:firstRow="1" w:lastRow="0" w:firstColumn="1" w:lastColumn="0" w:noHBand="0" w:noVBand="1"/>
      </w:tblPr>
      <w:tblGrid>
        <w:gridCol w:w="2413"/>
        <w:gridCol w:w="1234"/>
        <w:gridCol w:w="80"/>
        <w:gridCol w:w="435"/>
        <w:gridCol w:w="796"/>
        <w:gridCol w:w="516"/>
        <w:gridCol w:w="436"/>
        <w:gridCol w:w="185"/>
        <w:gridCol w:w="947"/>
        <w:gridCol w:w="1116"/>
        <w:gridCol w:w="1575"/>
        <w:gridCol w:w="1116"/>
        <w:gridCol w:w="1116"/>
        <w:gridCol w:w="1116"/>
        <w:gridCol w:w="1139"/>
      </w:tblGrid>
      <w:tr w:rsidR="005B2A0C" w:rsidRPr="00201A9A" w14:paraId="27A7C50C" w14:textId="77777777" w:rsidTr="005B2A0C">
        <w:trPr>
          <w:trHeight w:val="300"/>
        </w:trPr>
        <w:tc>
          <w:tcPr>
            <w:tcW w:w="1467" w:type="pct"/>
            <w:gridSpan w:val="4"/>
            <w:vMerge w:val="restart"/>
            <w:tcBorders>
              <w:top w:val="single" w:sz="8" w:space="0" w:color="auto"/>
              <w:left w:val="single" w:sz="8" w:space="0" w:color="auto"/>
              <w:bottom w:val="nil"/>
              <w:right w:val="nil"/>
            </w:tcBorders>
            <w:vAlign w:val="center"/>
            <w:hideMark/>
          </w:tcPr>
          <w:p w14:paraId="349D0323" w14:textId="77777777" w:rsidR="004A489F" w:rsidRPr="00201A9A" w:rsidRDefault="004A489F">
            <w:pPr>
              <w:spacing w:before="0" w:after="0"/>
              <w:jc w:val="left"/>
              <w:rPr>
                <w:rFonts w:eastAsia="Times New Roman"/>
                <w:noProof/>
                <w:sz w:val="20"/>
                <w:szCs w:val="24"/>
                <w:lang w:eastAsia="en-IE"/>
              </w:rPr>
            </w:pPr>
          </w:p>
        </w:tc>
        <w:tc>
          <w:tcPr>
            <w:tcW w:w="615" w:type="pct"/>
            <w:gridSpan w:val="3"/>
            <w:tcBorders>
              <w:top w:val="single" w:sz="8" w:space="0" w:color="auto"/>
              <w:left w:val="single" w:sz="8" w:space="0" w:color="auto"/>
              <w:bottom w:val="single" w:sz="8" w:space="0" w:color="auto"/>
              <w:right w:val="single" w:sz="8" w:space="0" w:color="auto"/>
            </w:tcBorders>
            <w:vAlign w:val="center"/>
            <w:hideMark/>
          </w:tcPr>
          <w:p w14:paraId="068E316E"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399" w:type="pct"/>
            <w:gridSpan w:val="2"/>
            <w:tcBorders>
              <w:top w:val="single" w:sz="8" w:space="0" w:color="auto"/>
              <w:left w:val="single" w:sz="8" w:space="0" w:color="auto"/>
              <w:bottom w:val="single" w:sz="8" w:space="0" w:color="auto"/>
              <w:right w:val="single" w:sz="8" w:space="0" w:color="auto"/>
            </w:tcBorders>
            <w:vAlign w:val="center"/>
            <w:hideMark/>
          </w:tcPr>
          <w:p w14:paraId="180B0907"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392" w:type="pct"/>
            <w:tcBorders>
              <w:top w:val="single" w:sz="8" w:space="0" w:color="auto"/>
              <w:left w:val="single" w:sz="8" w:space="0" w:color="auto"/>
              <w:bottom w:val="single" w:sz="8" w:space="0" w:color="auto"/>
              <w:right w:val="single" w:sz="8" w:space="0" w:color="auto"/>
            </w:tcBorders>
            <w:vAlign w:val="center"/>
            <w:hideMark/>
          </w:tcPr>
          <w:p w14:paraId="7A6610A1"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555" w:type="pct"/>
            <w:tcBorders>
              <w:top w:val="single" w:sz="8" w:space="0" w:color="auto"/>
              <w:left w:val="single" w:sz="8" w:space="0" w:color="auto"/>
              <w:bottom w:val="single" w:sz="8" w:space="0" w:color="auto"/>
              <w:right w:val="single" w:sz="8" w:space="0" w:color="auto"/>
            </w:tcBorders>
            <w:vAlign w:val="center"/>
            <w:hideMark/>
          </w:tcPr>
          <w:p w14:paraId="3898EE72"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392" w:type="pct"/>
            <w:tcBorders>
              <w:top w:val="single" w:sz="8" w:space="0" w:color="auto"/>
              <w:left w:val="single" w:sz="8" w:space="0" w:color="auto"/>
              <w:bottom w:val="single" w:sz="8" w:space="0" w:color="auto"/>
              <w:right w:val="single" w:sz="8" w:space="0" w:color="auto"/>
            </w:tcBorders>
            <w:vAlign w:val="center"/>
            <w:hideMark/>
          </w:tcPr>
          <w:p w14:paraId="5E004BED"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392" w:type="pct"/>
            <w:tcBorders>
              <w:top w:val="single" w:sz="8" w:space="0" w:color="auto"/>
              <w:left w:val="single" w:sz="8" w:space="0" w:color="auto"/>
              <w:bottom w:val="single" w:sz="8" w:space="0" w:color="auto"/>
              <w:right w:val="single" w:sz="8" w:space="0" w:color="auto"/>
            </w:tcBorders>
            <w:vAlign w:val="center"/>
            <w:hideMark/>
          </w:tcPr>
          <w:p w14:paraId="4C6DABFF"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392" w:type="pct"/>
            <w:tcBorders>
              <w:top w:val="single" w:sz="8" w:space="0" w:color="auto"/>
              <w:left w:val="single" w:sz="8" w:space="0" w:color="auto"/>
              <w:bottom w:val="single" w:sz="8" w:space="0" w:color="auto"/>
              <w:right w:val="single" w:sz="8" w:space="0" w:color="auto"/>
            </w:tcBorders>
            <w:vAlign w:val="center"/>
            <w:hideMark/>
          </w:tcPr>
          <w:p w14:paraId="266C3ADE"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395" w:type="pct"/>
            <w:vMerge w:val="restart"/>
            <w:tcBorders>
              <w:top w:val="single" w:sz="8" w:space="0" w:color="auto"/>
              <w:left w:val="single" w:sz="8" w:space="0" w:color="auto"/>
              <w:bottom w:val="single" w:sz="8" w:space="0" w:color="auto"/>
              <w:right w:val="single" w:sz="8" w:space="0" w:color="auto"/>
            </w:tcBorders>
            <w:vAlign w:val="center"/>
            <w:hideMark/>
          </w:tcPr>
          <w:p w14:paraId="211B1956"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OGÓŁEM WRF</w:t>
            </w:r>
            <w:r w:rsidRPr="00201A9A">
              <w:rPr>
                <w:noProof/>
              </w:rPr>
              <w:t xml:space="preserve"> </w:t>
            </w:r>
            <w:r w:rsidRPr="00201A9A">
              <w:rPr>
                <w:noProof/>
              </w:rPr>
              <w:br/>
            </w:r>
            <w:r w:rsidRPr="00201A9A">
              <w:rPr>
                <w:b/>
                <w:noProof/>
                <w:color w:val="000000"/>
                <w:sz w:val="20"/>
              </w:rPr>
              <w:t>2028–2034</w:t>
            </w:r>
          </w:p>
        </w:tc>
      </w:tr>
      <w:tr w:rsidR="005B2A0C" w:rsidRPr="00201A9A" w14:paraId="0773E563" w14:textId="77777777" w:rsidTr="005B2A0C">
        <w:trPr>
          <w:trHeight w:val="300"/>
        </w:trPr>
        <w:tc>
          <w:tcPr>
            <w:tcW w:w="1467" w:type="pct"/>
            <w:gridSpan w:val="4"/>
            <w:vMerge/>
            <w:tcBorders>
              <w:top w:val="single" w:sz="8" w:space="0" w:color="auto"/>
              <w:left w:val="single" w:sz="8" w:space="0" w:color="auto"/>
              <w:bottom w:val="nil"/>
              <w:right w:val="nil"/>
            </w:tcBorders>
            <w:vAlign w:val="center"/>
            <w:hideMark/>
          </w:tcPr>
          <w:p w14:paraId="6A3F17CD" w14:textId="77777777" w:rsidR="004A489F" w:rsidRPr="00201A9A" w:rsidRDefault="004A489F">
            <w:pPr>
              <w:spacing w:before="0" w:after="0"/>
              <w:jc w:val="left"/>
              <w:rPr>
                <w:rFonts w:eastAsia="Times New Roman"/>
                <w:noProof/>
                <w:sz w:val="20"/>
                <w:szCs w:val="24"/>
                <w:lang w:eastAsia="en-IE"/>
              </w:rPr>
            </w:pPr>
          </w:p>
        </w:tc>
        <w:tc>
          <w:tcPr>
            <w:tcW w:w="615" w:type="pct"/>
            <w:gridSpan w:val="3"/>
            <w:tcBorders>
              <w:top w:val="single" w:sz="8" w:space="0" w:color="auto"/>
              <w:left w:val="single" w:sz="8" w:space="0" w:color="auto"/>
              <w:bottom w:val="single" w:sz="8" w:space="0" w:color="auto"/>
              <w:right w:val="single" w:sz="8" w:space="0" w:color="auto"/>
            </w:tcBorders>
            <w:vAlign w:val="center"/>
            <w:hideMark/>
          </w:tcPr>
          <w:p w14:paraId="11810764"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2028</w:t>
            </w:r>
          </w:p>
        </w:tc>
        <w:tc>
          <w:tcPr>
            <w:tcW w:w="399" w:type="pct"/>
            <w:gridSpan w:val="2"/>
            <w:tcBorders>
              <w:top w:val="single" w:sz="8" w:space="0" w:color="auto"/>
              <w:left w:val="single" w:sz="8" w:space="0" w:color="auto"/>
              <w:bottom w:val="single" w:sz="8" w:space="0" w:color="auto"/>
              <w:right w:val="single" w:sz="8" w:space="0" w:color="auto"/>
            </w:tcBorders>
            <w:vAlign w:val="center"/>
            <w:hideMark/>
          </w:tcPr>
          <w:p w14:paraId="1E053ABB"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2029</w:t>
            </w:r>
          </w:p>
        </w:tc>
        <w:tc>
          <w:tcPr>
            <w:tcW w:w="392" w:type="pct"/>
            <w:tcBorders>
              <w:top w:val="single" w:sz="8" w:space="0" w:color="auto"/>
              <w:left w:val="single" w:sz="8" w:space="0" w:color="auto"/>
              <w:bottom w:val="single" w:sz="8" w:space="0" w:color="auto"/>
              <w:right w:val="single" w:sz="8" w:space="0" w:color="auto"/>
            </w:tcBorders>
            <w:vAlign w:val="center"/>
            <w:hideMark/>
          </w:tcPr>
          <w:p w14:paraId="49AAE2A3"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2030</w:t>
            </w:r>
          </w:p>
        </w:tc>
        <w:tc>
          <w:tcPr>
            <w:tcW w:w="555" w:type="pct"/>
            <w:tcBorders>
              <w:top w:val="single" w:sz="8" w:space="0" w:color="auto"/>
              <w:left w:val="single" w:sz="8" w:space="0" w:color="auto"/>
              <w:bottom w:val="single" w:sz="8" w:space="0" w:color="auto"/>
              <w:right w:val="single" w:sz="8" w:space="0" w:color="auto"/>
            </w:tcBorders>
            <w:vAlign w:val="center"/>
            <w:hideMark/>
          </w:tcPr>
          <w:p w14:paraId="3BC564BA"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2031</w:t>
            </w:r>
          </w:p>
        </w:tc>
        <w:tc>
          <w:tcPr>
            <w:tcW w:w="392" w:type="pct"/>
            <w:tcBorders>
              <w:top w:val="single" w:sz="8" w:space="0" w:color="auto"/>
              <w:left w:val="single" w:sz="8" w:space="0" w:color="auto"/>
              <w:bottom w:val="single" w:sz="8" w:space="0" w:color="auto"/>
              <w:right w:val="single" w:sz="8" w:space="0" w:color="auto"/>
            </w:tcBorders>
            <w:vAlign w:val="center"/>
            <w:hideMark/>
          </w:tcPr>
          <w:p w14:paraId="1EB6016C"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2032</w:t>
            </w:r>
          </w:p>
        </w:tc>
        <w:tc>
          <w:tcPr>
            <w:tcW w:w="392" w:type="pct"/>
            <w:tcBorders>
              <w:top w:val="single" w:sz="8" w:space="0" w:color="auto"/>
              <w:left w:val="single" w:sz="8" w:space="0" w:color="auto"/>
              <w:bottom w:val="single" w:sz="8" w:space="0" w:color="auto"/>
              <w:right w:val="single" w:sz="8" w:space="0" w:color="auto"/>
            </w:tcBorders>
            <w:vAlign w:val="center"/>
            <w:hideMark/>
          </w:tcPr>
          <w:p w14:paraId="47615B82"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2033</w:t>
            </w:r>
          </w:p>
        </w:tc>
        <w:tc>
          <w:tcPr>
            <w:tcW w:w="392" w:type="pct"/>
            <w:tcBorders>
              <w:top w:val="single" w:sz="8" w:space="0" w:color="auto"/>
              <w:left w:val="single" w:sz="8" w:space="0" w:color="auto"/>
              <w:bottom w:val="single" w:sz="8" w:space="0" w:color="auto"/>
              <w:right w:val="single" w:sz="8" w:space="0" w:color="auto"/>
            </w:tcBorders>
            <w:vAlign w:val="center"/>
            <w:hideMark/>
          </w:tcPr>
          <w:p w14:paraId="7D006ACE"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2034</w:t>
            </w:r>
          </w:p>
        </w:tc>
        <w:tc>
          <w:tcPr>
            <w:tcW w:w="395" w:type="pct"/>
            <w:vMerge/>
            <w:tcBorders>
              <w:top w:val="single" w:sz="8" w:space="0" w:color="auto"/>
              <w:left w:val="single" w:sz="8" w:space="0" w:color="auto"/>
              <w:bottom w:val="single" w:sz="8" w:space="0" w:color="auto"/>
              <w:right w:val="single" w:sz="8" w:space="0" w:color="auto"/>
            </w:tcBorders>
            <w:vAlign w:val="center"/>
            <w:hideMark/>
          </w:tcPr>
          <w:p w14:paraId="140E6636" w14:textId="77777777" w:rsidR="004A489F" w:rsidRPr="00201A9A" w:rsidRDefault="004A489F">
            <w:pPr>
              <w:spacing w:before="0" w:after="0"/>
              <w:jc w:val="left"/>
              <w:rPr>
                <w:rFonts w:eastAsia="Times New Roman"/>
                <w:b/>
                <w:noProof/>
                <w:color w:val="000000"/>
                <w:sz w:val="20"/>
                <w:szCs w:val="20"/>
                <w:lang w:eastAsia="en-IE"/>
              </w:rPr>
            </w:pPr>
          </w:p>
        </w:tc>
      </w:tr>
      <w:tr w:rsidR="005B2A0C" w:rsidRPr="00201A9A" w14:paraId="739818DF" w14:textId="77777777" w:rsidTr="005B2A0C">
        <w:trPr>
          <w:trHeight w:val="420"/>
        </w:trPr>
        <w:tc>
          <w:tcPr>
            <w:tcW w:w="850" w:type="pct"/>
            <w:vMerge w:val="restart"/>
            <w:tcBorders>
              <w:top w:val="single" w:sz="8" w:space="0" w:color="auto"/>
              <w:left w:val="single" w:sz="8" w:space="0" w:color="auto"/>
              <w:bottom w:val="single" w:sz="8" w:space="0" w:color="auto"/>
              <w:right w:val="single" w:sz="8" w:space="0" w:color="auto"/>
            </w:tcBorders>
            <w:vAlign w:val="center"/>
            <w:hideMark/>
          </w:tcPr>
          <w:p w14:paraId="0433AA2F" w14:textId="523BF8B7" w:rsidR="005B2A0C" w:rsidRPr="00201A9A" w:rsidRDefault="005B2A0C" w:rsidP="00812AD2">
            <w:pPr>
              <w:spacing w:before="0" w:after="0"/>
              <w:rPr>
                <w:rFonts w:eastAsia="Times New Roman"/>
                <w:noProof/>
                <w:sz w:val="21"/>
                <w:szCs w:val="21"/>
              </w:rPr>
            </w:pPr>
            <w:r w:rsidRPr="00201A9A">
              <w:rPr>
                <w:noProof/>
                <w:sz w:val="21"/>
              </w:rPr>
              <w:t>OGÓŁEM środki operacyjne</w:t>
            </w:r>
            <w:r w:rsidR="00201A9A" w:rsidRPr="00201A9A">
              <w:rPr>
                <w:noProof/>
                <w:sz w:val="21"/>
              </w:rPr>
              <w:t xml:space="preserve"> </w:t>
            </w:r>
            <w:r w:rsidRPr="00201A9A">
              <w:rPr>
                <w:noProof/>
              </w:rPr>
              <w:br/>
            </w:r>
            <w:r w:rsidRPr="00201A9A">
              <w:rPr>
                <w:noProof/>
                <w:sz w:val="21"/>
              </w:rPr>
              <w:t>(w tym wkład na rzecz agencji zdecentralizowanej)</w:t>
            </w:r>
          </w:p>
        </w:tc>
        <w:tc>
          <w:tcPr>
            <w:tcW w:w="435" w:type="pct"/>
            <w:tcBorders>
              <w:top w:val="single" w:sz="8" w:space="0" w:color="auto"/>
              <w:left w:val="single" w:sz="8" w:space="0" w:color="auto"/>
              <w:bottom w:val="single" w:sz="8" w:space="0" w:color="auto"/>
              <w:right w:val="single" w:sz="8" w:space="0" w:color="auto"/>
            </w:tcBorders>
            <w:vAlign w:val="center"/>
            <w:hideMark/>
          </w:tcPr>
          <w:p w14:paraId="4D148EC9" w14:textId="77777777" w:rsidR="005B2A0C" w:rsidRPr="00201A9A" w:rsidRDefault="005B2A0C" w:rsidP="00812AD2">
            <w:pPr>
              <w:spacing w:before="0" w:after="0"/>
              <w:rPr>
                <w:rFonts w:eastAsia="Times New Roman"/>
                <w:noProof/>
                <w:sz w:val="18"/>
                <w:szCs w:val="18"/>
              </w:rPr>
            </w:pPr>
            <w:r w:rsidRPr="00201A9A">
              <w:rPr>
                <w:noProof/>
                <w:sz w:val="18"/>
              </w:rPr>
              <w:t>Środki na zobowiązania</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28B69A53" w14:textId="77777777" w:rsidR="005B2A0C" w:rsidRPr="00201A9A" w:rsidRDefault="005B2A0C" w:rsidP="00812AD2">
            <w:pPr>
              <w:spacing w:before="0" w:after="0"/>
              <w:jc w:val="center"/>
              <w:rPr>
                <w:rFonts w:eastAsia="Times New Roman"/>
                <w:noProof/>
                <w:sz w:val="14"/>
                <w:szCs w:val="14"/>
              </w:rPr>
            </w:pPr>
            <w:r w:rsidRPr="00201A9A">
              <w:rPr>
                <w:noProof/>
                <w:sz w:val="14"/>
              </w:rPr>
              <w:t>(4)</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004B2BD0" w14:textId="77777777" w:rsidR="005B2A0C" w:rsidRPr="00201A9A" w:rsidRDefault="005B2A0C" w:rsidP="00812AD2">
            <w:pPr>
              <w:spacing w:before="0" w:after="0"/>
              <w:jc w:val="right"/>
              <w:rPr>
                <w:rFonts w:eastAsia="Times New Roman"/>
                <w:noProof/>
                <w:sz w:val="18"/>
                <w:szCs w:val="18"/>
              </w:rPr>
            </w:pPr>
            <w:r w:rsidRPr="00201A9A">
              <w:rPr>
                <w:noProof/>
                <w:color w:val="000000"/>
                <w:sz w:val="18"/>
              </w:rPr>
              <w:t>135 571,000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5EDC6CE1" w14:textId="77777777" w:rsidR="005B2A0C" w:rsidRPr="00201A9A" w:rsidRDefault="005B2A0C" w:rsidP="00812AD2">
            <w:pPr>
              <w:spacing w:before="0" w:after="0"/>
              <w:jc w:val="right"/>
              <w:rPr>
                <w:rFonts w:eastAsia="Times New Roman"/>
                <w:noProof/>
                <w:sz w:val="18"/>
                <w:szCs w:val="18"/>
              </w:rPr>
            </w:pPr>
            <w:r w:rsidRPr="00201A9A">
              <w:rPr>
                <w:noProof/>
                <w:color w:val="000000"/>
                <w:sz w:val="18"/>
              </w:rPr>
              <w:t>133 134,000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49D4EC" w14:textId="77777777" w:rsidR="005B2A0C" w:rsidRPr="00201A9A" w:rsidRDefault="005B2A0C" w:rsidP="00812AD2">
            <w:pPr>
              <w:spacing w:before="0" w:after="0"/>
              <w:jc w:val="right"/>
              <w:rPr>
                <w:rFonts w:eastAsia="Times New Roman"/>
                <w:noProof/>
                <w:sz w:val="18"/>
                <w:szCs w:val="18"/>
              </w:rPr>
            </w:pPr>
            <w:r w:rsidRPr="00201A9A">
              <w:rPr>
                <w:noProof/>
                <w:color w:val="000000"/>
                <w:sz w:val="18"/>
              </w:rPr>
              <w:t>130 131,000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7A3A27" w14:textId="77777777" w:rsidR="005B2A0C" w:rsidRPr="00201A9A" w:rsidRDefault="005B2A0C" w:rsidP="00812AD2">
            <w:pPr>
              <w:spacing w:before="0" w:after="0"/>
              <w:jc w:val="right"/>
              <w:rPr>
                <w:rFonts w:eastAsia="Times New Roman"/>
                <w:noProof/>
                <w:sz w:val="18"/>
                <w:szCs w:val="18"/>
              </w:rPr>
            </w:pPr>
            <w:r w:rsidRPr="00201A9A">
              <w:rPr>
                <w:noProof/>
                <w:color w:val="000000"/>
                <w:sz w:val="18"/>
              </w:rPr>
              <w:t>127 411,000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C15AA88" w14:textId="77777777" w:rsidR="005B2A0C" w:rsidRPr="00201A9A" w:rsidRDefault="005B2A0C" w:rsidP="00812AD2">
            <w:pPr>
              <w:spacing w:before="0" w:after="0"/>
              <w:jc w:val="right"/>
              <w:rPr>
                <w:rFonts w:eastAsia="Times New Roman"/>
                <w:noProof/>
                <w:sz w:val="18"/>
                <w:szCs w:val="18"/>
              </w:rPr>
            </w:pPr>
            <w:r w:rsidRPr="00201A9A">
              <w:rPr>
                <w:noProof/>
                <w:color w:val="000000"/>
                <w:sz w:val="18"/>
              </w:rPr>
              <w:t>123 879,000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3BFE5F" w14:textId="77777777" w:rsidR="005B2A0C" w:rsidRPr="00201A9A" w:rsidRDefault="005B2A0C" w:rsidP="00812AD2">
            <w:pPr>
              <w:spacing w:before="0" w:after="0"/>
              <w:jc w:val="right"/>
              <w:rPr>
                <w:rFonts w:eastAsia="Times New Roman"/>
                <w:noProof/>
                <w:sz w:val="18"/>
                <w:szCs w:val="18"/>
              </w:rPr>
            </w:pPr>
            <w:r w:rsidRPr="00201A9A">
              <w:rPr>
                <w:noProof/>
                <w:color w:val="000000"/>
                <w:sz w:val="18"/>
              </w:rPr>
              <w:t>111 535,000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69A499F" w14:textId="77777777" w:rsidR="005B2A0C" w:rsidRPr="00201A9A" w:rsidRDefault="005B2A0C" w:rsidP="00812AD2">
            <w:pPr>
              <w:spacing w:before="0" w:after="0"/>
              <w:jc w:val="right"/>
              <w:rPr>
                <w:rFonts w:eastAsia="Times New Roman"/>
                <w:noProof/>
                <w:sz w:val="18"/>
                <w:szCs w:val="18"/>
              </w:rPr>
            </w:pPr>
            <w:r w:rsidRPr="00201A9A">
              <w:rPr>
                <w:noProof/>
                <w:color w:val="000000"/>
                <w:sz w:val="18"/>
              </w:rPr>
              <w:t>103 414,000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071AB2" w14:textId="77777777" w:rsidR="005B2A0C" w:rsidRPr="00201A9A" w:rsidRDefault="005B2A0C" w:rsidP="00812AD2">
            <w:pPr>
              <w:spacing w:before="0" w:after="0"/>
              <w:jc w:val="right"/>
              <w:rPr>
                <w:rFonts w:eastAsia="Times New Roman"/>
                <w:b/>
                <w:noProof/>
                <w:sz w:val="18"/>
                <w:szCs w:val="18"/>
              </w:rPr>
            </w:pPr>
            <w:r w:rsidRPr="00201A9A">
              <w:rPr>
                <w:b/>
                <w:noProof/>
                <w:color w:val="000000"/>
                <w:sz w:val="18"/>
              </w:rPr>
              <w:t>865 076,000</w:t>
            </w:r>
          </w:p>
        </w:tc>
      </w:tr>
      <w:tr w:rsidR="005B2A0C" w:rsidRPr="00201A9A" w14:paraId="7CA7FB6E" w14:textId="77777777" w:rsidTr="005B2A0C">
        <w:trPr>
          <w:trHeight w:val="450"/>
        </w:trPr>
        <w:tc>
          <w:tcPr>
            <w:tcW w:w="850" w:type="pct"/>
            <w:vMerge/>
            <w:tcBorders>
              <w:top w:val="single" w:sz="8" w:space="0" w:color="auto"/>
              <w:left w:val="single" w:sz="8" w:space="0" w:color="auto"/>
              <w:bottom w:val="single" w:sz="8" w:space="0" w:color="auto"/>
              <w:right w:val="single" w:sz="8" w:space="0" w:color="auto"/>
            </w:tcBorders>
            <w:vAlign w:val="center"/>
            <w:hideMark/>
          </w:tcPr>
          <w:p w14:paraId="2CFF06AB" w14:textId="77777777" w:rsidR="005B2A0C" w:rsidRPr="00201A9A" w:rsidRDefault="005B2A0C" w:rsidP="00812AD2">
            <w:pPr>
              <w:spacing w:before="0" w:after="0"/>
              <w:jc w:val="left"/>
              <w:rPr>
                <w:rFonts w:eastAsia="Times New Roman"/>
                <w:noProof/>
                <w:sz w:val="21"/>
                <w:szCs w:val="21"/>
                <w:lang w:eastAsia="en-IE"/>
              </w:rPr>
            </w:pPr>
          </w:p>
        </w:tc>
        <w:tc>
          <w:tcPr>
            <w:tcW w:w="435" w:type="pct"/>
            <w:tcBorders>
              <w:top w:val="single" w:sz="8" w:space="0" w:color="auto"/>
              <w:left w:val="single" w:sz="8" w:space="0" w:color="auto"/>
              <w:bottom w:val="single" w:sz="8" w:space="0" w:color="auto"/>
              <w:right w:val="single" w:sz="8" w:space="0" w:color="auto"/>
            </w:tcBorders>
            <w:vAlign w:val="center"/>
            <w:hideMark/>
          </w:tcPr>
          <w:p w14:paraId="4EAF9813" w14:textId="77777777" w:rsidR="005B2A0C" w:rsidRPr="00201A9A" w:rsidRDefault="005B2A0C" w:rsidP="00812AD2">
            <w:pPr>
              <w:spacing w:before="0" w:after="0"/>
              <w:rPr>
                <w:rFonts w:eastAsia="Times New Roman"/>
                <w:noProof/>
                <w:sz w:val="18"/>
                <w:szCs w:val="18"/>
              </w:rPr>
            </w:pPr>
            <w:r w:rsidRPr="00201A9A">
              <w:rPr>
                <w:noProof/>
                <w:sz w:val="18"/>
              </w:rPr>
              <w:t>Środki na płatności</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4169F575" w14:textId="77777777" w:rsidR="005B2A0C" w:rsidRPr="00201A9A" w:rsidRDefault="005B2A0C" w:rsidP="00812AD2">
            <w:pPr>
              <w:spacing w:before="0" w:after="0"/>
              <w:jc w:val="center"/>
              <w:rPr>
                <w:rFonts w:eastAsia="Times New Roman"/>
                <w:noProof/>
                <w:sz w:val="14"/>
                <w:szCs w:val="14"/>
              </w:rPr>
            </w:pPr>
            <w:r w:rsidRPr="00201A9A">
              <w:rPr>
                <w:noProof/>
                <w:sz w:val="14"/>
              </w:rPr>
              <w:t>(5)</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18FA5A34" w14:textId="77777777" w:rsidR="005B2A0C" w:rsidRPr="00201A9A" w:rsidRDefault="005B2A0C" w:rsidP="00812AD2">
            <w:pPr>
              <w:spacing w:before="0" w:after="0"/>
              <w:jc w:val="right"/>
              <w:rPr>
                <w:rFonts w:eastAsia="Times New Roman"/>
                <w:noProof/>
                <w:sz w:val="18"/>
                <w:szCs w:val="18"/>
              </w:rPr>
            </w:pPr>
            <w:r w:rsidRPr="00201A9A">
              <w:rPr>
                <w:noProof/>
                <w:sz w:val="18"/>
              </w:rPr>
              <w:t>0,000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5763486B" w14:textId="77777777" w:rsidR="005B2A0C" w:rsidRPr="00201A9A" w:rsidRDefault="005B2A0C" w:rsidP="00812AD2">
            <w:pPr>
              <w:spacing w:before="0" w:after="0"/>
              <w:jc w:val="right"/>
              <w:rPr>
                <w:rFonts w:eastAsia="Times New Roman"/>
                <w:noProof/>
                <w:sz w:val="18"/>
                <w:szCs w:val="18"/>
              </w:rPr>
            </w:pPr>
            <w:r w:rsidRPr="00201A9A">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DE0E4F" w14:textId="77777777" w:rsidR="005B2A0C" w:rsidRPr="00201A9A" w:rsidRDefault="005B2A0C" w:rsidP="00812AD2">
            <w:pPr>
              <w:spacing w:before="0" w:after="0"/>
              <w:jc w:val="right"/>
              <w:rPr>
                <w:rFonts w:eastAsia="Times New Roman"/>
                <w:noProof/>
                <w:sz w:val="18"/>
                <w:szCs w:val="18"/>
              </w:rPr>
            </w:pPr>
            <w:r w:rsidRPr="00201A9A">
              <w:rPr>
                <w:noProof/>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D7B394" w14:textId="77777777" w:rsidR="005B2A0C" w:rsidRPr="00201A9A" w:rsidRDefault="005B2A0C" w:rsidP="00812AD2">
            <w:pPr>
              <w:spacing w:before="0" w:after="0"/>
              <w:jc w:val="right"/>
              <w:rPr>
                <w:rFonts w:eastAsia="Times New Roman"/>
                <w:noProof/>
                <w:sz w:val="18"/>
                <w:szCs w:val="18"/>
              </w:rPr>
            </w:pPr>
            <w:r w:rsidRPr="00201A9A">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112E85" w14:textId="77777777" w:rsidR="005B2A0C" w:rsidRPr="00201A9A" w:rsidRDefault="005B2A0C" w:rsidP="00812AD2">
            <w:pPr>
              <w:spacing w:before="0" w:after="0"/>
              <w:jc w:val="right"/>
              <w:rPr>
                <w:rFonts w:eastAsia="Times New Roman"/>
                <w:noProof/>
                <w:sz w:val="18"/>
                <w:szCs w:val="18"/>
              </w:rPr>
            </w:pPr>
            <w:r w:rsidRPr="00201A9A">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B32AAE3" w14:textId="77777777" w:rsidR="005B2A0C" w:rsidRPr="00201A9A" w:rsidRDefault="005B2A0C" w:rsidP="00812AD2">
            <w:pPr>
              <w:spacing w:before="0" w:after="0"/>
              <w:jc w:val="right"/>
              <w:rPr>
                <w:rFonts w:eastAsia="Times New Roman"/>
                <w:noProof/>
                <w:sz w:val="18"/>
                <w:szCs w:val="18"/>
              </w:rPr>
            </w:pPr>
            <w:r w:rsidRPr="00201A9A">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1D2A8FF" w14:textId="77777777" w:rsidR="005B2A0C" w:rsidRPr="00201A9A" w:rsidRDefault="005B2A0C" w:rsidP="00812AD2">
            <w:pPr>
              <w:spacing w:before="0" w:after="0"/>
              <w:jc w:val="right"/>
              <w:rPr>
                <w:rFonts w:eastAsia="Times New Roman"/>
                <w:noProof/>
                <w:sz w:val="18"/>
                <w:szCs w:val="18"/>
              </w:rPr>
            </w:pPr>
            <w:r w:rsidRPr="00201A9A">
              <w:rPr>
                <w:noProof/>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AA1302" w14:textId="77777777" w:rsidR="005B2A0C" w:rsidRPr="00201A9A" w:rsidRDefault="005B2A0C" w:rsidP="00812AD2">
            <w:pPr>
              <w:spacing w:before="0" w:after="0"/>
              <w:jc w:val="right"/>
              <w:rPr>
                <w:rFonts w:eastAsia="Times New Roman"/>
                <w:b/>
                <w:noProof/>
                <w:sz w:val="18"/>
                <w:szCs w:val="18"/>
              </w:rPr>
            </w:pPr>
            <w:r w:rsidRPr="00201A9A">
              <w:rPr>
                <w:b/>
                <w:noProof/>
                <w:sz w:val="18"/>
              </w:rPr>
              <w:t>0,000</w:t>
            </w:r>
          </w:p>
        </w:tc>
      </w:tr>
      <w:tr w:rsidR="005B2A0C" w:rsidRPr="00201A9A" w14:paraId="6A15D17E" w14:textId="77777777" w:rsidTr="005B2A0C">
        <w:trPr>
          <w:trHeight w:val="915"/>
        </w:trPr>
        <w:tc>
          <w:tcPr>
            <w:tcW w:w="1284" w:type="pct"/>
            <w:gridSpan w:val="2"/>
            <w:tcBorders>
              <w:top w:val="single" w:sz="8" w:space="0" w:color="auto"/>
              <w:left w:val="single" w:sz="8" w:space="0" w:color="auto"/>
              <w:bottom w:val="single" w:sz="8" w:space="0" w:color="auto"/>
              <w:right w:val="single" w:sz="8" w:space="0" w:color="auto"/>
            </w:tcBorders>
            <w:vAlign w:val="center"/>
            <w:hideMark/>
          </w:tcPr>
          <w:p w14:paraId="5365A4A5" w14:textId="77777777" w:rsidR="005B2A0C" w:rsidRPr="00201A9A" w:rsidRDefault="005B2A0C" w:rsidP="00812AD2">
            <w:pPr>
              <w:spacing w:before="0" w:after="0"/>
              <w:rPr>
                <w:rFonts w:eastAsia="Times New Roman"/>
                <w:noProof/>
                <w:sz w:val="21"/>
                <w:szCs w:val="21"/>
              </w:rPr>
            </w:pPr>
            <w:r w:rsidRPr="00201A9A">
              <w:rPr>
                <w:noProof/>
                <w:sz w:val="21"/>
              </w:rPr>
              <w:t xml:space="preserve">OGÓŁEM środki administracyjne finansowane ze środków przydzielonych na określone programy </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7D6A272D" w14:textId="77777777" w:rsidR="005B2A0C" w:rsidRPr="00201A9A" w:rsidRDefault="005B2A0C" w:rsidP="00812AD2">
            <w:pPr>
              <w:spacing w:before="0" w:after="0"/>
              <w:jc w:val="center"/>
              <w:rPr>
                <w:rFonts w:eastAsia="Times New Roman"/>
                <w:noProof/>
                <w:sz w:val="14"/>
                <w:szCs w:val="14"/>
              </w:rPr>
            </w:pPr>
            <w:r w:rsidRPr="00201A9A">
              <w:rPr>
                <w:noProof/>
                <w:sz w:val="14"/>
              </w:rPr>
              <w:t>(6)</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6C6DF65C" w14:textId="77777777" w:rsidR="005B2A0C" w:rsidRPr="00201A9A" w:rsidRDefault="005B2A0C" w:rsidP="00812AD2">
            <w:pPr>
              <w:spacing w:before="0" w:after="0"/>
              <w:jc w:val="right"/>
              <w:rPr>
                <w:rFonts w:eastAsia="Times New Roman"/>
                <w:noProof/>
                <w:sz w:val="18"/>
                <w:szCs w:val="18"/>
              </w:rPr>
            </w:pPr>
            <w:r w:rsidRPr="00201A9A">
              <w:rPr>
                <w:noProof/>
                <w:sz w:val="18"/>
              </w:rPr>
              <w:t>0,000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519121EE" w14:textId="77777777" w:rsidR="005B2A0C" w:rsidRPr="00201A9A" w:rsidRDefault="005B2A0C" w:rsidP="00812AD2">
            <w:pPr>
              <w:spacing w:before="0" w:after="0"/>
              <w:jc w:val="right"/>
              <w:rPr>
                <w:rFonts w:eastAsia="Times New Roman"/>
                <w:noProof/>
                <w:sz w:val="18"/>
                <w:szCs w:val="18"/>
              </w:rPr>
            </w:pPr>
            <w:r w:rsidRPr="00201A9A">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CF80B3" w14:textId="77777777" w:rsidR="005B2A0C" w:rsidRPr="00201A9A" w:rsidRDefault="005B2A0C" w:rsidP="00812AD2">
            <w:pPr>
              <w:spacing w:before="0" w:after="0"/>
              <w:jc w:val="right"/>
              <w:rPr>
                <w:rFonts w:eastAsia="Times New Roman"/>
                <w:noProof/>
                <w:sz w:val="18"/>
                <w:szCs w:val="18"/>
              </w:rPr>
            </w:pPr>
            <w:r w:rsidRPr="00201A9A">
              <w:rPr>
                <w:noProof/>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8939AD" w14:textId="77777777" w:rsidR="005B2A0C" w:rsidRPr="00201A9A" w:rsidRDefault="005B2A0C" w:rsidP="00812AD2">
            <w:pPr>
              <w:spacing w:before="0" w:after="0"/>
              <w:jc w:val="right"/>
              <w:rPr>
                <w:rFonts w:eastAsia="Times New Roman"/>
                <w:noProof/>
                <w:sz w:val="18"/>
                <w:szCs w:val="18"/>
              </w:rPr>
            </w:pPr>
            <w:r w:rsidRPr="00201A9A">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769C34" w14:textId="77777777" w:rsidR="005B2A0C" w:rsidRPr="00201A9A" w:rsidRDefault="005B2A0C" w:rsidP="00812AD2">
            <w:pPr>
              <w:spacing w:before="0" w:after="0"/>
              <w:jc w:val="right"/>
              <w:rPr>
                <w:rFonts w:eastAsia="Times New Roman"/>
                <w:noProof/>
                <w:sz w:val="18"/>
                <w:szCs w:val="18"/>
              </w:rPr>
            </w:pPr>
            <w:r w:rsidRPr="00201A9A">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53688E" w14:textId="77777777" w:rsidR="005B2A0C" w:rsidRPr="00201A9A" w:rsidRDefault="005B2A0C" w:rsidP="00812AD2">
            <w:pPr>
              <w:spacing w:before="0" w:after="0"/>
              <w:jc w:val="right"/>
              <w:rPr>
                <w:rFonts w:eastAsia="Times New Roman"/>
                <w:noProof/>
                <w:sz w:val="18"/>
                <w:szCs w:val="18"/>
              </w:rPr>
            </w:pPr>
            <w:r w:rsidRPr="00201A9A">
              <w:rPr>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DEFE8F" w14:textId="77777777" w:rsidR="005B2A0C" w:rsidRPr="00201A9A" w:rsidRDefault="005B2A0C" w:rsidP="00812AD2">
            <w:pPr>
              <w:spacing w:before="0" w:after="0"/>
              <w:jc w:val="right"/>
              <w:rPr>
                <w:rFonts w:eastAsia="Times New Roman"/>
                <w:noProof/>
                <w:sz w:val="18"/>
                <w:szCs w:val="18"/>
              </w:rPr>
            </w:pPr>
            <w:r w:rsidRPr="00201A9A">
              <w:rPr>
                <w:noProof/>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D867E0" w14:textId="77777777" w:rsidR="005B2A0C" w:rsidRPr="00201A9A" w:rsidRDefault="005B2A0C" w:rsidP="00812AD2">
            <w:pPr>
              <w:spacing w:before="0" w:after="0"/>
              <w:jc w:val="right"/>
              <w:rPr>
                <w:rFonts w:eastAsia="Times New Roman"/>
                <w:b/>
                <w:noProof/>
                <w:sz w:val="18"/>
                <w:szCs w:val="18"/>
              </w:rPr>
            </w:pPr>
            <w:r w:rsidRPr="00201A9A">
              <w:rPr>
                <w:b/>
                <w:noProof/>
                <w:sz w:val="18"/>
              </w:rPr>
              <w:t>0,000</w:t>
            </w:r>
          </w:p>
        </w:tc>
      </w:tr>
      <w:tr w:rsidR="005B2A0C" w:rsidRPr="00201A9A" w14:paraId="04E720CA" w14:textId="77777777" w:rsidTr="005B2A0C">
        <w:trPr>
          <w:trHeight w:val="555"/>
        </w:trPr>
        <w:tc>
          <w:tcPr>
            <w:tcW w:w="850" w:type="pct"/>
            <w:tcBorders>
              <w:top w:val="single" w:sz="8" w:space="0" w:color="auto"/>
              <w:left w:val="single" w:sz="8" w:space="0" w:color="auto"/>
              <w:bottom w:val="nil"/>
              <w:right w:val="single" w:sz="8" w:space="0" w:color="auto"/>
            </w:tcBorders>
            <w:shd w:val="thinDiagStripe" w:color="C0C0C0" w:fill="F1F1F1"/>
            <w:vAlign w:val="center"/>
            <w:hideMark/>
          </w:tcPr>
          <w:p w14:paraId="6212B5CC" w14:textId="77777777" w:rsidR="005B2A0C" w:rsidRPr="00201A9A" w:rsidRDefault="005B2A0C" w:rsidP="00812AD2">
            <w:pPr>
              <w:spacing w:before="0" w:after="0"/>
              <w:jc w:val="center"/>
              <w:rPr>
                <w:rFonts w:eastAsia="Times New Roman"/>
                <w:b/>
                <w:noProof/>
                <w:sz w:val="22"/>
              </w:rPr>
            </w:pPr>
            <w:r w:rsidRPr="00201A9A">
              <w:rPr>
                <w:b/>
                <w:noProof/>
                <w:sz w:val="22"/>
              </w:rPr>
              <w:t>OGÓŁEM środki</w:t>
            </w:r>
            <w:r w:rsidRPr="00201A9A">
              <w:rPr>
                <w:noProof/>
              </w:rPr>
              <w:t xml:space="preserve"> </w:t>
            </w:r>
            <w:r w:rsidRPr="00201A9A">
              <w:rPr>
                <w:noProof/>
              </w:rPr>
              <w:br/>
            </w:r>
            <w:r w:rsidRPr="00201A9A">
              <w:rPr>
                <w:b/>
                <w:noProof/>
                <w:sz w:val="22"/>
              </w:rPr>
              <w:t>w ramach DZIAŁU 1</w:t>
            </w:r>
          </w:p>
        </w:tc>
        <w:tc>
          <w:tcPr>
            <w:tcW w:w="435" w:type="pct"/>
            <w:tcBorders>
              <w:top w:val="single" w:sz="8" w:space="0" w:color="auto"/>
              <w:left w:val="single" w:sz="8" w:space="0" w:color="auto"/>
              <w:bottom w:val="single" w:sz="8" w:space="0" w:color="auto"/>
              <w:right w:val="single" w:sz="8" w:space="0" w:color="auto"/>
            </w:tcBorders>
            <w:vAlign w:val="center"/>
            <w:hideMark/>
          </w:tcPr>
          <w:p w14:paraId="02D549F3" w14:textId="77777777" w:rsidR="005B2A0C" w:rsidRPr="00201A9A" w:rsidRDefault="005B2A0C" w:rsidP="00812AD2">
            <w:pPr>
              <w:spacing w:before="0" w:after="0"/>
              <w:rPr>
                <w:rFonts w:eastAsia="Times New Roman"/>
                <w:noProof/>
                <w:sz w:val="18"/>
                <w:szCs w:val="18"/>
              </w:rPr>
            </w:pPr>
            <w:r w:rsidRPr="00201A9A">
              <w:rPr>
                <w:noProof/>
                <w:sz w:val="18"/>
              </w:rPr>
              <w:t>Środki na zobowiązania</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4B82A5E6" w14:textId="77777777" w:rsidR="005B2A0C" w:rsidRPr="00201A9A" w:rsidRDefault="005B2A0C" w:rsidP="00812AD2">
            <w:pPr>
              <w:spacing w:before="0" w:after="0"/>
              <w:jc w:val="center"/>
              <w:rPr>
                <w:rFonts w:eastAsia="Times New Roman"/>
                <w:noProof/>
                <w:sz w:val="14"/>
                <w:szCs w:val="14"/>
              </w:rPr>
            </w:pPr>
            <w:r w:rsidRPr="00201A9A">
              <w:rPr>
                <w:noProof/>
                <w:sz w:val="14"/>
              </w:rPr>
              <w:t>=4+6</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6E23525A" w14:textId="77777777" w:rsidR="005B2A0C" w:rsidRPr="00201A9A" w:rsidRDefault="005B2A0C" w:rsidP="00812AD2">
            <w:pPr>
              <w:spacing w:before="0" w:after="0"/>
              <w:jc w:val="right"/>
              <w:rPr>
                <w:rFonts w:eastAsia="Times New Roman"/>
                <w:b/>
                <w:noProof/>
                <w:sz w:val="18"/>
                <w:szCs w:val="18"/>
              </w:rPr>
            </w:pPr>
            <w:r w:rsidRPr="00201A9A">
              <w:rPr>
                <w:b/>
                <w:noProof/>
                <w:color w:val="000000"/>
                <w:sz w:val="18"/>
              </w:rPr>
              <w:t>135 571,000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5C1B49D2" w14:textId="77777777" w:rsidR="005B2A0C" w:rsidRPr="00201A9A" w:rsidRDefault="005B2A0C" w:rsidP="00812AD2">
            <w:pPr>
              <w:spacing w:before="0" w:after="0"/>
              <w:jc w:val="right"/>
              <w:rPr>
                <w:rFonts w:eastAsia="Times New Roman"/>
                <w:b/>
                <w:noProof/>
                <w:sz w:val="18"/>
                <w:szCs w:val="18"/>
              </w:rPr>
            </w:pPr>
            <w:r w:rsidRPr="00201A9A">
              <w:rPr>
                <w:b/>
                <w:noProof/>
                <w:color w:val="000000"/>
                <w:sz w:val="18"/>
              </w:rPr>
              <w:t>133 134,000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EBD256" w14:textId="77777777" w:rsidR="005B2A0C" w:rsidRPr="00201A9A" w:rsidRDefault="005B2A0C" w:rsidP="00812AD2">
            <w:pPr>
              <w:spacing w:before="0" w:after="0"/>
              <w:jc w:val="right"/>
              <w:rPr>
                <w:rFonts w:eastAsia="Times New Roman"/>
                <w:b/>
                <w:noProof/>
                <w:sz w:val="18"/>
                <w:szCs w:val="18"/>
              </w:rPr>
            </w:pPr>
            <w:r w:rsidRPr="00201A9A">
              <w:rPr>
                <w:b/>
                <w:noProof/>
                <w:color w:val="000000"/>
                <w:sz w:val="18"/>
              </w:rPr>
              <w:t>130 131,000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F0E6EF" w14:textId="77777777" w:rsidR="005B2A0C" w:rsidRPr="00201A9A" w:rsidRDefault="005B2A0C" w:rsidP="00812AD2">
            <w:pPr>
              <w:spacing w:before="0" w:after="0"/>
              <w:jc w:val="right"/>
              <w:rPr>
                <w:rFonts w:eastAsia="Times New Roman"/>
                <w:b/>
                <w:noProof/>
                <w:sz w:val="18"/>
                <w:szCs w:val="18"/>
              </w:rPr>
            </w:pPr>
            <w:r w:rsidRPr="00201A9A">
              <w:rPr>
                <w:b/>
                <w:noProof/>
                <w:color w:val="000000"/>
                <w:sz w:val="18"/>
              </w:rPr>
              <w:t>127 411,000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6D859C9" w14:textId="77777777" w:rsidR="005B2A0C" w:rsidRPr="00201A9A" w:rsidRDefault="005B2A0C" w:rsidP="00812AD2">
            <w:pPr>
              <w:spacing w:before="0" w:after="0"/>
              <w:jc w:val="right"/>
              <w:rPr>
                <w:rFonts w:eastAsia="Times New Roman"/>
                <w:b/>
                <w:noProof/>
                <w:sz w:val="18"/>
                <w:szCs w:val="18"/>
              </w:rPr>
            </w:pPr>
            <w:r w:rsidRPr="00201A9A">
              <w:rPr>
                <w:b/>
                <w:noProof/>
                <w:color w:val="000000"/>
                <w:sz w:val="18"/>
              </w:rPr>
              <w:t>123 879,000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4F92A58" w14:textId="77777777" w:rsidR="005B2A0C" w:rsidRPr="00201A9A" w:rsidRDefault="005B2A0C" w:rsidP="00812AD2">
            <w:pPr>
              <w:spacing w:before="0" w:after="0"/>
              <w:jc w:val="right"/>
              <w:rPr>
                <w:rFonts w:eastAsia="Times New Roman"/>
                <w:b/>
                <w:noProof/>
                <w:sz w:val="18"/>
                <w:szCs w:val="18"/>
              </w:rPr>
            </w:pPr>
            <w:r w:rsidRPr="00201A9A">
              <w:rPr>
                <w:b/>
                <w:noProof/>
                <w:color w:val="000000"/>
                <w:sz w:val="18"/>
              </w:rPr>
              <w:t>111 535,000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DA3FE5" w14:textId="77777777" w:rsidR="005B2A0C" w:rsidRPr="00201A9A" w:rsidRDefault="005B2A0C" w:rsidP="00812AD2">
            <w:pPr>
              <w:spacing w:before="0" w:after="0"/>
              <w:jc w:val="right"/>
              <w:rPr>
                <w:rFonts w:eastAsia="Times New Roman"/>
                <w:b/>
                <w:noProof/>
                <w:sz w:val="18"/>
                <w:szCs w:val="18"/>
              </w:rPr>
            </w:pPr>
            <w:r w:rsidRPr="00201A9A">
              <w:rPr>
                <w:b/>
                <w:noProof/>
                <w:color w:val="000000"/>
                <w:sz w:val="18"/>
              </w:rPr>
              <w:t>103 415,000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D20A6F" w14:textId="77777777" w:rsidR="005B2A0C" w:rsidRPr="00201A9A" w:rsidRDefault="005B2A0C" w:rsidP="00812AD2">
            <w:pPr>
              <w:spacing w:before="0" w:after="0"/>
              <w:jc w:val="right"/>
              <w:rPr>
                <w:rFonts w:eastAsia="Times New Roman"/>
                <w:b/>
                <w:noProof/>
                <w:sz w:val="18"/>
                <w:szCs w:val="18"/>
              </w:rPr>
            </w:pPr>
            <w:r w:rsidRPr="00201A9A">
              <w:rPr>
                <w:b/>
                <w:noProof/>
                <w:color w:val="000000"/>
                <w:sz w:val="18"/>
              </w:rPr>
              <w:t>865 076,000</w:t>
            </w:r>
          </w:p>
        </w:tc>
      </w:tr>
      <w:tr w:rsidR="005B2A0C" w:rsidRPr="00201A9A" w14:paraId="112DCA64" w14:textId="77777777" w:rsidTr="005B2A0C">
        <w:trPr>
          <w:trHeight w:val="525"/>
        </w:trPr>
        <w:tc>
          <w:tcPr>
            <w:tcW w:w="850" w:type="pct"/>
            <w:tcBorders>
              <w:top w:val="nil"/>
              <w:left w:val="single" w:sz="8" w:space="0" w:color="auto"/>
              <w:bottom w:val="single" w:sz="8" w:space="0" w:color="auto"/>
              <w:right w:val="single" w:sz="8" w:space="0" w:color="auto"/>
            </w:tcBorders>
            <w:shd w:val="thinDiagStripe" w:color="C0C0C0" w:fill="F1F1F1"/>
            <w:vAlign w:val="center"/>
            <w:hideMark/>
          </w:tcPr>
          <w:p w14:paraId="31E19E68" w14:textId="77777777" w:rsidR="005B2A0C" w:rsidRPr="00201A9A" w:rsidRDefault="005B2A0C" w:rsidP="00812AD2">
            <w:pPr>
              <w:spacing w:before="0" w:after="0"/>
              <w:jc w:val="center"/>
              <w:rPr>
                <w:rFonts w:eastAsia="Times New Roman"/>
                <w:noProof/>
                <w:sz w:val="22"/>
              </w:rPr>
            </w:pPr>
            <w:r w:rsidRPr="00201A9A">
              <w:rPr>
                <w:noProof/>
                <w:sz w:val="22"/>
              </w:rPr>
              <w:t>wieloletnich ram finansowych</w:t>
            </w:r>
          </w:p>
        </w:tc>
        <w:tc>
          <w:tcPr>
            <w:tcW w:w="435" w:type="pct"/>
            <w:tcBorders>
              <w:top w:val="single" w:sz="8" w:space="0" w:color="auto"/>
              <w:left w:val="single" w:sz="8" w:space="0" w:color="auto"/>
              <w:bottom w:val="single" w:sz="8" w:space="0" w:color="auto"/>
              <w:right w:val="single" w:sz="8" w:space="0" w:color="auto"/>
            </w:tcBorders>
            <w:vAlign w:val="center"/>
            <w:hideMark/>
          </w:tcPr>
          <w:p w14:paraId="3786B806" w14:textId="77777777" w:rsidR="005B2A0C" w:rsidRPr="00201A9A" w:rsidRDefault="005B2A0C" w:rsidP="00812AD2">
            <w:pPr>
              <w:spacing w:before="0" w:after="0"/>
              <w:rPr>
                <w:rFonts w:eastAsia="Times New Roman"/>
                <w:noProof/>
                <w:sz w:val="18"/>
                <w:szCs w:val="18"/>
              </w:rPr>
            </w:pPr>
            <w:r w:rsidRPr="00201A9A">
              <w:rPr>
                <w:noProof/>
                <w:sz w:val="18"/>
              </w:rPr>
              <w:t>Środki na płatności</w:t>
            </w:r>
          </w:p>
        </w:tc>
        <w:tc>
          <w:tcPr>
            <w:tcW w:w="182" w:type="pct"/>
            <w:gridSpan w:val="2"/>
            <w:tcBorders>
              <w:top w:val="single" w:sz="8" w:space="0" w:color="auto"/>
              <w:left w:val="single" w:sz="8" w:space="0" w:color="auto"/>
              <w:bottom w:val="single" w:sz="8" w:space="0" w:color="auto"/>
              <w:right w:val="single" w:sz="8" w:space="0" w:color="auto"/>
            </w:tcBorders>
            <w:vAlign w:val="center"/>
            <w:hideMark/>
          </w:tcPr>
          <w:p w14:paraId="464E9984" w14:textId="77777777" w:rsidR="005B2A0C" w:rsidRPr="00201A9A" w:rsidRDefault="005B2A0C" w:rsidP="00812AD2">
            <w:pPr>
              <w:spacing w:before="0" w:after="0"/>
              <w:jc w:val="center"/>
              <w:rPr>
                <w:rFonts w:eastAsia="Times New Roman"/>
                <w:noProof/>
                <w:sz w:val="14"/>
                <w:szCs w:val="14"/>
              </w:rPr>
            </w:pPr>
            <w:r w:rsidRPr="00201A9A">
              <w:rPr>
                <w:noProof/>
                <w:sz w:val="14"/>
              </w:rPr>
              <w:t>=5+6</w:t>
            </w:r>
          </w:p>
        </w:tc>
        <w:tc>
          <w:tcPr>
            <w:tcW w:w="615"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14:paraId="506446E7" w14:textId="77777777" w:rsidR="005B2A0C" w:rsidRPr="00201A9A" w:rsidRDefault="005B2A0C" w:rsidP="00812AD2">
            <w:pPr>
              <w:spacing w:before="0" w:after="0"/>
              <w:jc w:val="right"/>
              <w:rPr>
                <w:rFonts w:eastAsia="Times New Roman"/>
                <w:b/>
                <w:noProof/>
                <w:sz w:val="18"/>
                <w:szCs w:val="18"/>
              </w:rPr>
            </w:pPr>
            <w:r w:rsidRPr="00201A9A">
              <w:rPr>
                <w:b/>
                <w:noProof/>
                <w:sz w:val="18"/>
              </w:rPr>
              <w:t>0,000</w:t>
            </w:r>
          </w:p>
        </w:tc>
        <w:tc>
          <w:tcPr>
            <w:tcW w:w="39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3200DF9D" w14:textId="77777777" w:rsidR="005B2A0C" w:rsidRPr="00201A9A" w:rsidRDefault="005B2A0C" w:rsidP="00812AD2">
            <w:pPr>
              <w:spacing w:before="0" w:after="0"/>
              <w:jc w:val="right"/>
              <w:rPr>
                <w:rFonts w:eastAsia="Times New Roman"/>
                <w:b/>
                <w:noProof/>
                <w:sz w:val="18"/>
                <w:szCs w:val="18"/>
              </w:rPr>
            </w:pPr>
            <w:r w:rsidRPr="00201A9A">
              <w:rPr>
                <w:b/>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8F5FC0" w14:textId="77777777" w:rsidR="005B2A0C" w:rsidRPr="00201A9A" w:rsidRDefault="005B2A0C" w:rsidP="00812AD2">
            <w:pPr>
              <w:spacing w:before="0" w:after="0"/>
              <w:jc w:val="right"/>
              <w:rPr>
                <w:rFonts w:eastAsia="Times New Roman"/>
                <w:b/>
                <w:noProof/>
                <w:sz w:val="18"/>
                <w:szCs w:val="18"/>
              </w:rPr>
            </w:pPr>
            <w:r w:rsidRPr="00201A9A">
              <w:rPr>
                <w:b/>
                <w:noProof/>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594129" w14:textId="77777777" w:rsidR="005B2A0C" w:rsidRPr="00201A9A" w:rsidRDefault="005B2A0C" w:rsidP="00812AD2">
            <w:pPr>
              <w:spacing w:before="0" w:after="0"/>
              <w:jc w:val="right"/>
              <w:rPr>
                <w:rFonts w:eastAsia="Times New Roman"/>
                <w:b/>
                <w:noProof/>
                <w:sz w:val="18"/>
                <w:szCs w:val="18"/>
              </w:rPr>
            </w:pPr>
            <w:r w:rsidRPr="00201A9A">
              <w:rPr>
                <w:b/>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C2597C3" w14:textId="77777777" w:rsidR="005B2A0C" w:rsidRPr="00201A9A" w:rsidRDefault="005B2A0C" w:rsidP="00812AD2">
            <w:pPr>
              <w:spacing w:before="0" w:after="0"/>
              <w:jc w:val="right"/>
              <w:rPr>
                <w:rFonts w:eastAsia="Times New Roman"/>
                <w:b/>
                <w:noProof/>
                <w:sz w:val="18"/>
                <w:szCs w:val="18"/>
              </w:rPr>
            </w:pPr>
            <w:r w:rsidRPr="00201A9A">
              <w:rPr>
                <w:b/>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93BF3D2" w14:textId="77777777" w:rsidR="005B2A0C" w:rsidRPr="00201A9A" w:rsidRDefault="005B2A0C" w:rsidP="00812AD2">
            <w:pPr>
              <w:spacing w:before="0" w:after="0"/>
              <w:jc w:val="right"/>
              <w:rPr>
                <w:rFonts w:eastAsia="Times New Roman"/>
                <w:b/>
                <w:noProof/>
                <w:sz w:val="18"/>
                <w:szCs w:val="18"/>
              </w:rPr>
            </w:pPr>
            <w:r w:rsidRPr="00201A9A">
              <w:rPr>
                <w:b/>
                <w:noProof/>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05B35B" w14:textId="77777777" w:rsidR="005B2A0C" w:rsidRPr="00201A9A" w:rsidRDefault="005B2A0C" w:rsidP="00812AD2">
            <w:pPr>
              <w:spacing w:before="0" w:after="0"/>
              <w:jc w:val="right"/>
              <w:rPr>
                <w:rFonts w:eastAsia="Times New Roman"/>
                <w:b/>
                <w:noProof/>
                <w:sz w:val="18"/>
                <w:szCs w:val="18"/>
              </w:rPr>
            </w:pPr>
            <w:r w:rsidRPr="00201A9A">
              <w:rPr>
                <w:b/>
                <w:noProof/>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BE6B78" w14:textId="77777777" w:rsidR="005B2A0C" w:rsidRPr="00201A9A" w:rsidRDefault="005B2A0C" w:rsidP="00812AD2">
            <w:pPr>
              <w:spacing w:before="0" w:after="0"/>
              <w:jc w:val="right"/>
              <w:rPr>
                <w:rFonts w:eastAsia="Times New Roman"/>
                <w:b/>
                <w:noProof/>
                <w:sz w:val="18"/>
                <w:szCs w:val="18"/>
              </w:rPr>
            </w:pPr>
            <w:r w:rsidRPr="00201A9A">
              <w:rPr>
                <w:b/>
                <w:noProof/>
                <w:sz w:val="18"/>
              </w:rPr>
              <w:t>0,000</w:t>
            </w:r>
          </w:p>
        </w:tc>
      </w:tr>
      <w:tr w:rsidR="005B2A0C" w:rsidRPr="00201A9A" w14:paraId="65471564" w14:textId="77777777" w:rsidTr="005B2A0C">
        <w:trPr>
          <w:trHeight w:val="420"/>
        </w:trPr>
        <w:tc>
          <w:tcPr>
            <w:tcW w:w="1313" w:type="pct"/>
            <w:gridSpan w:val="3"/>
            <w:vMerge w:val="restart"/>
            <w:tcBorders>
              <w:top w:val="single" w:sz="8" w:space="0" w:color="auto"/>
              <w:left w:val="single" w:sz="8" w:space="0" w:color="auto"/>
              <w:bottom w:val="single" w:sz="8" w:space="0" w:color="auto"/>
              <w:right w:val="single" w:sz="8" w:space="0" w:color="auto"/>
            </w:tcBorders>
            <w:vAlign w:val="center"/>
            <w:hideMark/>
          </w:tcPr>
          <w:p w14:paraId="24BA121B" w14:textId="55CD191C" w:rsidR="004A489F" w:rsidRPr="00201A9A" w:rsidRDefault="004A489F">
            <w:pPr>
              <w:spacing w:before="0" w:after="0"/>
              <w:rPr>
                <w:rFonts w:eastAsia="Times New Roman"/>
                <w:noProof/>
                <w:color w:val="000000"/>
                <w:sz w:val="21"/>
                <w:szCs w:val="21"/>
              </w:rPr>
            </w:pPr>
            <w:r w:rsidRPr="00201A9A">
              <w:rPr>
                <w:noProof/>
                <w:color w:val="000000"/>
                <w:sz w:val="21"/>
              </w:rPr>
              <w:t>OGÓŁEM środki operacyjne</w:t>
            </w:r>
            <w:r w:rsidR="00201A9A" w:rsidRPr="00201A9A">
              <w:rPr>
                <w:noProof/>
                <w:color w:val="000000"/>
                <w:sz w:val="21"/>
              </w:rPr>
              <w:t xml:space="preserve"> </w:t>
            </w:r>
            <w:r w:rsidRPr="00201A9A">
              <w:rPr>
                <w:noProof/>
              </w:rPr>
              <w:br/>
            </w:r>
            <w:r w:rsidRPr="00201A9A">
              <w:rPr>
                <w:noProof/>
                <w:color w:val="000000"/>
                <w:sz w:val="21"/>
              </w:rPr>
              <w:t>(w tym wkład na rzecz agencji zdecentralizowanej)</w:t>
            </w:r>
          </w:p>
        </w:tc>
        <w:tc>
          <w:tcPr>
            <w:tcW w:w="435" w:type="pct"/>
            <w:gridSpan w:val="2"/>
            <w:tcBorders>
              <w:top w:val="single" w:sz="8" w:space="0" w:color="auto"/>
              <w:left w:val="single" w:sz="8" w:space="0" w:color="auto"/>
              <w:bottom w:val="single" w:sz="8" w:space="0" w:color="auto"/>
              <w:right w:val="single" w:sz="8" w:space="0" w:color="auto"/>
            </w:tcBorders>
            <w:vAlign w:val="center"/>
            <w:hideMark/>
          </w:tcPr>
          <w:p w14:paraId="11555CFE" w14:textId="77777777" w:rsidR="004A489F" w:rsidRPr="00201A9A" w:rsidRDefault="004A489F">
            <w:pPr>
              <w:spacing w:before="0" w:after="0"/>
              <w:rPr>
                <w:rFonts w:eastAsia="Times New Roman"/>
                <w:noProof/>
                <w:color w:val="000000"/>
                <w:sz w:val="18"/>
                <w:szCs w:val="18"/>
              </w:rPr>
            </w:pPr>
            <w:r w:rsidRPr="00201A9A">
              <w:rPr>
                <w:noProof/>
                <w:color w:val="000000"/>
                <w:sz w:val="18"/>
              </w:rPr>
              <w:t>Środki na zobowiązania</w:t>
            </w:r>
          </w:p>
        </w:tc>
        <w:tc>
          <w:tcPr>
            <w:tcW w:w="181" w:type="pct"/>
            <w:tcBorders>
              <w:top w:val="single" w:sz="8" w:space="0" w:color="auto"/>
              <w:left w:val="single" w:sz="8" w:space="0" w:color="auto"/>
              <w:bottom w:val="single" w:sz="8" w:space="0" w:color="auto"/>
              <w:right w:val="single" w:sz="8" w:space="0" w:color="auto"/>
            </w:tcBorders>
            <w:vAlign w:val="center"/>
            <w:hideMark/>
          </w:tcPr>
          <w:p w14:paraId="12DD452F"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(4)</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4DB3C56F"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4AA175C"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4EC458"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4CF25FB"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F0E8FF"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275E2D"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354882A"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F8865A"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r>
      <w:tr w:rsidR="005B2A0C" w:rsidRPr="00201A9A" w14:paraId="74BAB87C" w14:textId="77777777" w:rsidTr="005B2A0C">
        <w:trPr>
          <w:trHeight w:val="450"/>
        </w:trPr>
        <w:tc>
          <w:tcPr>
            <w:tcW w:w="1313" w:type="pct"/>
            <w:gridSpan w:val="3"/>
            <w:vMerge/>
            <w:tcBorders>
              <w:top w:val="single" w:sz="8" w:space="0" w:color="auto"/>
              <w:left w:val="single" w:sz="8" w:space="0" w:color="auto"/>
              <w:bottom w:val="single" w:sz="8" w:space="0" w:color="auto"/>
              <w:right w:val="single" w:sz="8" w:space="0" w:color="auto"/>
            </w:tcBorders>
            <w:vAlign w:val="center"/>
            <w:hideMark/>
          </w:tcPr>
          <w:p w14:paraId="730C9057" w14:textId="77777777" w:rsidR="004A489F" w:rsidRPr="00201A9A" w:rsidRDefault="004A489F">
            <w:pPr>
              <w:spacing w:before="0" w:after="0"/>
              <w:jc w:val="left"/>
              <w:rPr>
                <w:rFonts w:eastAsia="Times New Roman"/>
                <w:noProof/>
                <w:color w:val="000000"/>
                <w:sz w:val="21"/>
                <w:szCs w:val="21"/>
                <w:lang w:eastAsia="en-IE"/>
              </w:rPr>
            </w:pPr>
          </w:p>
        </w:tc>
        <w:tc>
          <w:tcPr>
            <w:tcW w:w="435" w:type="pct"/>
            <w:gridSpan w:val="2"/>
            <w:tcBorders>
              <w:top w:val="single" w:sz="8" w:space="0" w:color="auto"/>
              <w:left w:val="single" w:sz="8" w:space="0" w:color="auto"/>
              <w:bottom w:val="single" w:sz="8" w:space="0" w:color="auto"/>
              <w:right w:val="single" w:sz="8" w:space="0" w:color="auto"/>
            </w:tcBorders>
            <w:vAlign w:val="center"/>
            <w:hideMark/>
          </w:tcPr>
          <w:p w14:paraId="440A52D7" w14:textId="77777777" w:rsidR="004A489F" w:rsidRPr="00201A9A" w:rsidRDefault="004A489F">
            <w:pPr>
              <w:spacing w:before="0" w:after="0"/>
              <w:rPr>
                <w:rFonts w:eastAsia="Times New Roman"/>
                <w:noProof/>
                <w:color w:val="000000"/>
                <w:sz w:val="18"/>
                <w:szCs w:val="18"/>
              </w:rPr>
            </w:pPr>
            <w:r w:rsidRPr="00201A9A">
              <w:rPr>
                <w:noProof/>
                <w:color w:val="000000"/>
                <w:sz w:val="18"/>
              </w:rPr>
              <w:t>Środki na płatności</w:t>
            </w:r>
          </w:p>
        </w:tc>
        <w:tc>
          <w:tcPr>
            <w:tcW w:w="181" w:type="pct"/>
            <w:tcBorders>
              <w:top w:val="single" w:sz="8" w:space="0" w:color="auto"/>
              <w:left w:val="single" w:sz="8" w:space="0" w:color="auto"/>
              <w:bottom w:val="single" w:sz="8" w:space="0" w:color="auto"/>
              <w:right w:val="single" w:sz="8" w:space="0" w:color="auto"/>
            </w:tcBorders>
            <w:vAlign w:val="center"/>
            <w:hideMark/>
          </w:tcPr>
          <w:p w14:paraId="5B18D80C"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(5)</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63252B4F"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3FB6592"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744CC8"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EB27E14"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9BB4FC"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07AFAB7"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F13025"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D0EA57"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r>
      <w:tr w:rsidR="005B2A0C" w:rsidRPr="00201A9A" w14:paraId="419D86A3" w14:textId="77777777" w:rsidTr="005B2A0C">
        <w:trPr>
          <w:trHeight w:val="915"/>
        </w:trPr>
        <w:tc>
          <w:tcPr>
            <w:tcW w:w="1748" w:type="pct"/>
            <w:gridSpan w:val="5"/>
            <w:tcBorders>
              <w:top w:val="single" w:sz="8" w:space="0" w:color="auto"/>
              <w:left w:val="single" w:sz="8" w:space="0" w:color="auto"/>
              <w:bottom w:val="single" w:sz="8" w:space="0" w:color="auto"/>
              <w:right w:val="single" w:sz="8" w:space="0" w:color="auto"/>
            </w:tcBorders>
            <w:vAlign w:val="center"/>
            <w:hideMark/>
          </w:tcPr>
          <w:p w14:paraId="3A4465AF" w14:textId="77777777" w:rsidR="004A489F" w:rsidRPr="00201A9A" w:rsidRDefault="004A489F">
            <w:pPr>
              <w:spacing w:before="0" w:after="0"/>
              <w:rPr>
                <w:rFonts w:eastAsia="Times New Roman"/>
                <w:noProof/>
                <w:color w:val="000000"/>
                <w:sz w:val="21"/>
                <w:szCs w:val="21"/>
              </w:rPr>
            </w:pPr>
            <w:r w:rsidRPr="00201A9A">
              <w:rPr>
                <w:noProof/>
                <w:color w:val="000000"/>
                <w:sz w:val="21"/>
              </w:rPr>
              <w:t xml:space="preserve">OGÓŁEM środki administracyjne finansowane ze środków przydzielonych na określone programy </w:t>
            </w:r>
          </w:p>
        </w:tc>
        <w:tc>
          <w:tcPr>
            <w:tcW w:w="181" w:type="pct"/>
            <w:tcBorders>
              <w:top w:val="single" w:sz="8" w:space="0" w:color="auto"/>
              <w:left w:val="single" w:sz="8" w:space="0" w:color="auto"/>
              <w:bottom w:val="single" w:sz="8" w:space="0" w:color="auto"/>
              <w:right w:val="single" w:sz="8" w:space="0" w:color="auto"/>
            </w:tcBorders>
            <w:vAlign w:val="center"/>
            <w:hideMark/>
          </w:tcPr>
          <w:p w14:paraId="6CFDAF22"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(6)</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5B348CE8"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0E8D4E"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B4FA7D3"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9E63639"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BB0A30"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82B958"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0D19A6"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9D9D05"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r>
      <w:tr w:rsidR="005B2A0C" w:rsidRPr="00201A9A" w14:paraId="366C778A" w14:textId="77777777" w:rsidTr="005B2A0C">
        <w:trPr>
          <w:trHeight w:val="555"/>
        </w:trPr>
        <w:tc>
          <w:tcPr>
            <w:tcW w:w="1313" w:type="pct"/>
            <w:gridSpan w:val="3"/>
            <w:tcBorders>
              <w:top w:val="single" w:sz="8" w:space="0" w:color="auto"/>
              <w:left w:val="single" w:sz="8" w:space="0" w:color="auto"/>
              <w:bottom w:val="nil"/>
              <w:right w:val="single" w:sz="8" w:space="0" w:color="auto"/>
            </w:tcBorders>
            <w:shd w:val="thinDiagStripe" w:color="C0C0C0" w:fill="F1F1F1"/>
            <w:vAlign w:val="center"/>
            <w:hideMark/>
          </w:tcPr>
          <w:p w14:paraId="5342E013" w14:textId="77777777" w:rsidR="004A489F" w:rsidRPr="00201A9A" w:rsidRDefault="004A489F">
            <w:pPr>
              <w:spacing w:before="0" w:after="0"/>
              <w:jc w:val="center"/>
              <w:rPr>
                <w:rFonts w:eastAsia="Times New Roman"/>
                <w:b/>
                <w:noProof/>
                <w:color w:val="000000"/>
                <w:sz w:val="22"/>
              </w:rPr>
            </w:pPr>
            <w:r w:rsidRPr="00201A9A">
              <w:rPr>
                <w:b/>
                <w:noProof/>
                <w:color w:val="000000"/>
                <w:sz w:val="22"/>
              </w:rPr>
              <w:t>OGÓŁEM środki</w:t>
            </w:r>
            <w:r w:rsidRPr="00201A9A">
              <w:rPr>
                <w:noProof/>
              </w:rPr>
              <w:t xml:space="preserve"> </w:t>
            </w:r>
            <w:r w:rsidRPr="00201A9A">
              <w:rPr>
                <w:noProof/>
              </w:rPr>
              <w:br/>
            </w:r>
            <w:r w:rsidRPr="00201A9A">
              <w:rPr>
                <w:b/>
                <w:noProof/>
                <w:color w:val="000000"/>
                <w:sz w:val="22"/>
              </w:rPr>
              <w:t>w ramach DZIAŁU 1</w:t>
            </w:r>
          </w:p>
        </w:tc>
        <w:tc>
          <w:tcPr>
            <w:tcW w:w="435" w:type="pct"/>
            <w:gridSpan w:val="2"/>
            <w:tcBorders>
              <w:top w:val="single" w:sz="8" w:space="0" w:color="auto"/>
              <w:left w:val="single" w:sz="8" w:space="0" w:color="auto"/>
              <w:bottom w:val="single" w:sz="8" w:space="0" w:color="auto"/>
              <w:right w:val="single" w:sz="8" w:space="0" w:color="auto"/>
            </w:tcBorders>
            <w:vAlign w:val="center"/>
            <w:hideMark/>
          </w:tcPr>
          <w:p w14:paraId="479B0FF8" w14:textId="77777777" w:rsidR="004A489F" w:rsidRPr="00201A9A" w:rsidRDefault="004A489F">
            <w:pPr>
              <w:spacing w:before="0" w:after="0"/>
              <w:rPr>
                <w:rFonts w:eastAsia="Times New Roman"/>
                <w:noProof/>
                <w:color w:val="000000"/>
                <w:sz w:val="18"/>
                <w:szCs w:val="18"/>
              </w:rPr>
            </w:pPr>
            <w:r w:rsidRPr="00201A9A">
              <w:rPr>
                <w:noProof/>
                <w:color w:val="000000"/>
                <w:sz w:val="18"/>
              </w:rPr>
              <w:t>Środki na zobowiązania</w:t>
            </w:r>
          </w:p>
        </w:tc>
        <w:tc>
          <w:tcPr>
            <w:tcW w:w="181" w:type="pct"/>
            <w:tcBorders>
              <w:top w:val="single" w:sz="8" w:space="0" w:color="auto"/>
              <w:left w:val="single" w:sz="8" w:space="0" w:color="auto"/>
              <w:bottom w:val="single" w:sz="8" w:space="0" w:color="auto"/>
              <w:right w:val="single" w:sz="8" w:space="0" w:color="auto"/>
            </w:tcBorders>
            <w:vAlign w:val="center"/>
            <w:hideMark/>
          </w:tcPr>
          <w:p w14:paraId="22C0797C"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=4+6</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4D013C19"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36B71CF"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BF9ED2A"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0C2B5E"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E87717"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82D5AD7"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02A765"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DCBDDC"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r>
      <w:tr w:rsidR="005B2A0C" w:rsidRPr="00201A9A" w14:paraId="79F95917" w14:textId="77777777" w:rsidTr="005B2A0C">
        <w:trPr>
          <w:trHeight w:val="525"/>
        </w:trPr>
        <w:tc>
          <w:tcPr>
            <w:tcW w:w="1313" w:type="pct"/>
            <w:gridSpan w:val="3"/>
            <w:tcBorders>
              <w:top w:val="nil"/>
              <w:left w:val="single" w:sz="8" w:space="0" w:color="auto"/>
              <w:bottom w:val="single" w:sz="8" w:space="0" w:color="auto"/>
              <w:right w:val="single" w:sz="8" w:space="0" w:color="auto"/>
            </w:tcBorders>
            <w:shd w:val="thinDiagStripe" w:color="C0C0C0" w:fill="F1F1F1"/>
            <w:vAlign w:val="center"/>
            <w:hideMark/>
          </w:tcPr>
          <w:p w14:paraId="7A32C212" w14:textId="77777777" w:rsidR="004A489F" w:rsidRPr="00201A9A" w:rsidRDefault="004A489F">
            <w:pPr>
              <w:spacing w:before="0" w:after="0"/>
              <w:jc w:val="center"/>
              <w:rPr>
                <w:rFonts w:eastAsia="Times New Roman"/>
                <w:noProof/>
                <w:color w:val="000000"/>
                <w:sz w:val="22"/>
              </w:rPr>
            </w:pPr>
            <w:r w:rsidRPr="00201A9A">
              <w:rPr>
                <w:noProof/>
                <w:color w:val="000000"/>
                <w:sz w:val="22"/>
              </w:rPr>
              <w:t>wieloletnich ram finansowych</w:t>
            </w:r>
          </w:p>
        </w:tc>
        <w:tc>
          <w:tcPr>
            <w:tcW w:w="435" w:type="pct"/>
            <w:gridSpan w:val="2"/>
            <w:tcBorders>
              <w:top w:val="single" w:sz="8" w:space="0" w:color="auto"/>
              <w:left w:val="single" w:sz="8" w:space="0" w:color="auto"/>
              <w:bottom w:val="single" w:sz="8" w:space="0" w:color="auto"/>
              <w:right w:val="single" w:sz="8" w:space="0" w:color="auto"/>
            </w:tcBorders>
            <w:vAlign w:val="center"/>
            <w:hideMark/>
          </w:tcPr>
          <w:p w14:paraId="084C1DAF" w14:textId="77777777" w:rsidR="004A489F" w:rsidRPr="00201A9A" w:rsidRDefault="004A489F">
            <w:pPr>
              <w:spacing w:before="0" w:after="0"/>
              <w:rPr>
                <w:rFonts w:eastAsia="Times New Roman"/>
                <w:noProof/>
                <w:color w:val="000000"/>
                <w:sz w:val="18"/>
                <w:szCs w:val="18"/>
              </w:rPr>
            </w:pPr>
            <w:r w:rsidRPr="00201A9A">
              <w:rPr>
                <w:noProof/>
                <w:color w:val="000000"/>
                <w:sz w:val="18"/>
              </w:rPr>
              <w:t>Środki na płatności</w:t>
            </w:r>
          </w:p>
        </w:tc>
        <w:tc>
          <w:tcPr>
            <w:tcW w:w="181" w:type="pct"/>
            <w:tcBorders>
              <w:top w:val="single" w:sz="8" w:space="0" w:color="auto"/>
              <w:left w:val="single" w:sz="8" w:space="0" w:color="auto"/>
              <w:bottom w:val="single" w:sz="8" w:space="0" w:color="auto"/>
              <w:right w:val="single" w:sz="8" w:space="0" w:color="auto"/>
            </w:tcBorders>
            <w:vAlign w:val="center"/>
            <w:hideMark/>
          </w:tcPr>
          <w:p w14:paraId="6B1B80D6"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=5+6</w:t>
            </w:r>
          </w:p>
        </w:tc>
        <w:tc>
          <w:tcPr>
            <w:tcW w:w="218"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14:paraId="192A8FC6"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33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DA667D"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9A8ECC"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5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564E33B"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6E0DF8"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B1AE47E"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BCAA4B"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39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DD9DBE"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r>
    </w:tbl>
    <w:p w14:paraId="6DDBBABE" w14:textId="77777777" w:rsidR="004A489F" w:rsidRPr="00201A9A" w:rsidRDefault="004A489F" w:rsidP="004A489F">
      <w:pPr>
        <w:pStyle w:val="Text1"/>
        <w:ind w:left="0"/>
        <w:rPr>
          <w:noProof/>
        </w:rPr>
      </w:pPr>
    </w:p>
    <w:tbl>
      <w:tblPr>
        <w:tblW w:w="5860" w:type="dxa"/>
        <w:tblInd w:w="118" w:type="dxa"/>
        <w:tblCellMar>
          <w:top w:w="15" w:type="dxa"/>
          <w:bottom w:w="15" w:type="dxa"/>
        </w:tblCellMar>
        <w:tblLook w:val="04A0" w:firstRow="1" w:lastRow="0" w:firstColumn="1" w:lastColumn="0" w:noHBand="0" w:noVBand="1"/>
      </w:tblPr>
      <w:tblGrid>
        <w:gridCol w:w="4700"/>
        <w:gridCol w:w="1160"/>
      </w:tblGrid>
      <w:tr w:rsidR="004A489F" w:rsidRPr="00201A9A" w14:paraId="2A462698" w14:textId="77777777">
        <w:trPr>
          <w:trHeight w:val="840"/>
        </w:trPr>
        <w:tc>
          <w:tcPr>
            <w:tcW w:w="4700" w:type="dxa"/>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219800BD" w14:textId="6B3BE276" w:rsidR="004A489F" w:rsidRPr="00201A9A" w:rsidRDefault="004A489F">
            <w:pPr>
              <w:spacing w:before="0" w:after="0"/>
              <w:jc w:val="center"/>
              <w:rPr>
                <w:rFonts w:eastAsia="Times New Roman"/>
                <w:b/>
                <w:noProof/>
                <w:color w:val="000000"/>
                <w:sz w:val="22"/>
              </w:rPr>
            </w:pPr>
            <w:r w:rsidRPr="00201A9A">
              <w:rPr>
                <w:b/>
                <w:noProof/>
                <w:color w:val="000000"/>
                <w:sz w:val="22"/>
              </w:rPr>
              <w:t>Dział wieloletnich ram</w:t>
            </w:r>
            <w:r w:rsidR="00201A9A" w:rsidRPr="00201A9A">
              <w:rPr>
                <w:b/>
                <w:noProof/>
                <w:color w:val="000000"/>
                <w:sz w:val="22"/>
              </w:rPr>
              <w:t xml:space="preserve"> </w:t>
            </w:r>
            <w:r w:rsidRPr="00201A9A">
              <w:rPr>
                <w:noProof/>
              </w:rPr>
              <w:br/>
            </w:r>
            <w:r w:rsidRPr="00201A9A">
              <w:rPr>
                <w:b/>
                <w:noProof/>
                <w:color w:val="000000"/>
                <w:sz w:val="22"/>
              </w:rPr>
              <w:t>finansowych</w:t>
            </w:r>
          </w:p>
        </w:tc>
        <w:tc>
          <w:tcPr>
            <w:tcW w:w="1160" w:type="dxa"/>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5F6113EC" w14:textId="77777777" w:rsidR="004A489F" w:rsidRPr="00201A9A" w:rsidRDefault="00373731">
            <w:pPr>
              <w:spacing w:before="0" w:after="0"/>
              <w:jc w:val="center"/>
              <w:rPr>
                <w:rFonts w:eastAsia="Times New Roman"/>
                <w:b/>
                <w:noProof/>
                <w:color w:val="000000"/>
                <w:sz w:val="22"/>
              </w:rPr>
            </w:pPr>
            <w:r w:rsidRPr="00201A9A">
              <w:rPr>
                <w:b/>
                <w:noProof/>
                <w:color w:val="000000"/>
                <w:sz w:val="22"/>
              </w:rPr>
              <w:t>4</w:t>
            </w:r>
          </w:p>
        </w:tc>
      </w:tr>
    </w:tbl>
    <w:p w14:paraId="6043513C" w14:textId="77777777" w:rsidR="004A489F" w:rsidRPr="00201A9A" w:rsidRDefault="004A489F" w:rsidP="004A489F">
      <w:pPr>
        <w:pStyle w:val="Text1"/>
        <w:ind w:left="0"/>
        <w:rPr>
          <w:noProof/>
        </w:rPr>
      </w:pPr>
    </w:p>
    <w:tbl>
      <w:tblPr>
        <w:tblW w:w="5000" w:type="pct"/>
        <w:tblCellMar>
          <w:top w:w="15" w:type="dxa"/>
          <w:bottom w:w="15" w:type="dxa"/>
        </w:tblCellMar>
        <w:tblLook w:val="04A0" w:firstRow="1" w:lastRow="0" w:firstColumn="1" w:lastColumn="0" w:noHBand="0" w:noVBand="1"/>
      </w:tblPr>
      <w:tblGrid>
        <w:gridCol w:w="4063"/>
        <w:gridCol w:w="986"/>
        <w:gridCol w:w="1206"/>
        <w:gridCol w:w="1125"/>
        <w:gridCol w:w="801"/>
        <w:gridCol w:w="989"/>
        <w:gridCol w:w="972"/>
        <w:gridCol w:w="972"/>
        <w:gridCol w:w="973"/>
        <w:gridCol w:w="973"/>
        <w:gridCol w:w="1160"/>
      </w:tblGrid>
      <w:tr w:rsidR="004A489F" w:rsidRPr="00201A9A" w14:paraId="05ACFAD4" w14:textId="77777777">
        <w:trPr>
          <w:trHeight w:val="285"/>
        </w:trPr>
        <w:tc>
          <w:tcPr>
            <w:tcW w:w="2156" w:type="pct"/>
            <w:gridSpan w:val="3"/>
            <w:vMerge w:val="restart"/>
            <w:tcBorders>
              <w:top w:val="single" w:sz="8" w:space="0" w:color="auto"/>
              <w:left w:val="single" w:sz="8" w:space="0" w:color="auto"/>
              <w:bottom w:val="single" w:sz="8" w:space="0" w:color="auto"/>
              <w:right w:val="single" w:sz="8" w:space="0" w:color="auto"/>
            </w:tcBorders>
            <w:vAlign w:val="center"/>
            <w:hideMark/>
          </w:tcPr>
          <w:p w14:paraId="11905799" w14:textId="77777777" w:rsidR="004A489F" w:rsidRPr="00201A9A" w:rsidRDefault="004A489F">
            <w:pPr>
              <w:spacing w:before="0" w:after="0"/>
              <w:jc w:val="left"/>
              <w:rPr>
                <w:rFonts w:eastAsia="Times New Roman"/>
                <w:noProof/>
                <w:sz w:val="20"/>
                <w:szCs w:val="24"/>
                <w:lang w:eastAsia="en-IE"/>
              </w:rPr>
            </w:pPr>
          </w:p>
        </w:tc>
        <w:tc>
          <w:tcPr>
            <w:tcW w:w="403" w:type="pct"/>
            <w:tcBorders>
              <w:top w:val="single" w:sz="8" w:space="0" w:color="auto"/>
              <w:left w:val="nil"/>
              <w:bottom w:val="nil"/>
              <w:right w:val="single" w:sz="8" w:space="0" w:color="auto"/>
            </w:tcBorders>
            <w:vAlign w:val="center"/>
            <w:hideMark/>
          </w:tcPr>
          <w:p w14:paraId="697D322A"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275" w:type="pct"/>
            <w:tcBorders>
              <w:top w:val="single" w:sz="8" w:space="0" w:color="auto"/>
              <w:left w:val="nil"/>
              <w:bottom w:val="nil"/>
              <w:right w:val="single" w:sz="8" w:space="0" w:color="auto"/>
            </w:tcBorders>
            <w:vAlign w:val="center"/>
            <w:hideMark/>
          </w:tcPr>
          <w:p w14:paraId="02FA6E32"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355" w:type="pct"/>
            <w:tcBorders>
              <w:top w:val="single" w:sz="8" w:space="0" w:color="auto"/>
              <w:left w:val="nil"/>
              <w:bottom w:val="nil"/>
              <w:right w:val="single" w:sz="8" w:space="0" w:color="auto"/>
            </w:tcBorders>
            <w:vAlign w:val="center"/>
            <w:hideMark/>
          </w:tcPr>
          <w:p w14:paraId="5C622E15"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349" w:type="pct"/>
            <w:tcBorders>
              <w:top w:val="single" w:sz="8" w:space="0" w:color="auto"/>
              <w:left w:val="nil"/>
              <w:bottom w:val="nil"/>
              <w:right w:val="single" w:sz="8" w:space="0" w:color="auto"/>
            </w:tcBorders>
            <w:vAlign w:val="center"/>
            <w:hideMark/>
          </w:tcPr>
          <w:p w14:paraId="3D8EC521"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349" w:type="pct"/>
            <w:tcBorders>
              <w:top w:val="single" w:sz="8" w:space="0" w:color="auto"/>
              <w:left w:val="nil"/>
              <w:bottom w:val="nil"/>
              <w:right w:val="single" w:sz="8" w:space="0" w:color="auto"/>
            </w:tcBorders>
            <w:vAlign w:val="center"/>
            <w:hideMark/>
          </w:tcPr>
          <w:p w14:paraId="292D6A3E"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349" w:type="pct"/>
            <w:tcBorders>
              <w:top w:val="single" w:sz="8" w:space="0" w:color="auto"/>
              <w:left w:val="nil"/>
              <w:bottom w:val="nil"/>
              <w:right w:val="single" w:sz="8" w:space="0" w:color="auto"/>
            </w:tcBorders>
            <w:vAlign w:val="center"/>
            <w:hideMark/>
          </w:tcPr>
          <w:p w14:paraId="4E518B8A"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349" w:type="pct"/>
            <w:tcBorders>
              <w:top w:val="single" w:sz="8" w:space="0" w:color="auto"/>
              <w:left w:val="nil"/>
              <w:bottom w:val="nil"/>
              <w:right w:val="single" w:sz="8" w:space="0" w:color="auto"/>
            </w:tcBorders>
            <w:vAlign w:val="center"/>
            <w:hideMark/>
          </w:tcPr>
          <w:p w14:paraId="2962FDC2" w14:textId="77777777" w:rsidR="004A489F" w:rsidRPr="00201A9A" w:rsidRDefault="004A489F">
            <w:pPr>
              <w:spacing w:before="0" w:after="0"/>
              <w:jc w:val="center"/>
              <w:rPr>
                <w:rFonts w:eastAsia="Times New Roman"/>
                <w:noProof/>
                <w:color w:val="000000"/>
                <w:sz w:val="20"/>
                <w:szCs w:val="20"/>
              </w:rPr>
            </w:pPr>
            <w:r w:rsidRPr="00201A9A">
              <w:rPr>
                <w:noProof/>
                <w:color w:val="000000"/>
                <w:sz w:val="20"/>
              </w:rPr>
              <w:t>Rok</w:t>
            </w:r>
          </w:p>
        </w:tc>
        <w:tc>
          <w:tcPr>
            <w:tcW w:w="416" w:type="pct"/>
            <w:vMerge w:val="restart"/>
            <w:tcBorders>
              <w:top w:val="single" w:sz="8" w:space="0" w:color="auto"/>
              <w:left w:val="single" w:sz="8" w:space="0" w:color="auto"/>
              <w:bottom w:val="nil"/>
              <w:right w:val="single" w:sz="8" w:space="0" w:color="auto"/>
            </w:tcBorders>
            <w:vAlign w:val="center"/>
            <w:hideMark/>
          </w:tcPr>
          <w:p w14:paraId="55ADC009"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OGÓŁEM WRF</w:t>
            </w:r>
            <w:r w:rsidRPr="00201A9A">
              <w:rPr>
                <w:noProof/>
              </w:rPr>
              <w:t xml:space="preserve"> </w:t>
            </w:r>
            <w:r w:rsidRPr="00201A9A">
              <w:rPr>
                <w:noProof/>
              </w:rPr>
              <w:br/>
            </w:r>
            <w:r w:rsidRPr="00201A9A">
              <w:rPr>
                <w:b/>
                <w:noProof/>
                <w:color w:val="000000"/>
                <w:sz w:val="20"/>
              </w:rPr>
              <w:t>2028–2034</w:t>
            </w:r>
          </w:p>
        </w:tc>
      </w:tr>
      <w:tr w:rsidR="004A489F" w:rsidRPr="00201A9A" w14:paraId="7DA524B1" w14:textId="77777777">
        <w:trPr>
          <w:trHeight w:val="300"/>
        </w:trPr>
        <w:tc>
          <w:tcPr>
            <w:tcW w:w="2156" w:type="pct"/>
            <w:gridSpan w:val="3"/>
            <w:vMerge/>
            <w:tcBorders>
              <w:top w:val="single" w:sz="8" w:space="0" w:color="auto"/>
              <w:left w:val="single" w:sz="8" w:space="0" w:color="auto"/>
              <w:bottom w:val="single" w:sz="8" w:space="0" w:color="auto"/>
              <w:right w:val="single" w:sz="8" w:space="0" w:color="auto"/>
            </w:tcBorders>
            <w:vAlign w:val="center"/>
            <w:hideMark/>
          </w:tcPr>
          <w:p w14:paraId="581F5D86" w14:textId="77777777" w:rsidR="004A489F" w:rsidRPr="00201A9A" w:rsidRDefault="004A489F">
            <w:pPr>
              <w:spacing w:before="0" w:after="0"/>
              <w:jc w:val="left"/>
              <w:rPr>
                <w:rFonts w:eastAsia="Times New Roman"/>
                <w:noProof/>
                <w:sz w:val="20"/>
                <w:szCs w:val="24"/>
                <w:lang w:eastAsia="en-IE"/>
              </w:rPr>
            </w:pPr>
          </w:p>
        </w:tc>
        <w:tc>
          <w:tcPr>
            <w:tcW w:w="403" w:type="pct"/>
            <w:tcBorders>
              <w:top w:val="nil"/>
              <w:left w:val="nil"/>
              <w:bottom w:val="single" w:sz="8" w:space="0" w:color="auto"/>
              <w:right w:val="single" w:sz="8" w:space="0" w:color="auto"/>
            </w:tcBorders>
            <w:vAlign w:val="center"/>
            <w:hideMark/>
          </w:tcPr>
          <w:p w14:paraId="4653B499"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2028</w:t>
            </w:r>
          </w:p>
        </w:tc>
        <w:tc>
          <w:tcPr>
            <w:tcW w:w="275" w:type="pct"/>
            <w:tcBorders>
              <w:top w:val="nil"/>
              <w:left w:val="nil"/>
              <w:bottom w:val="single" w:sz="8" w:space="0" w:color="auto"/>
              <w:right w:val="single" w:sz="8" w:space="0" w:color="auto"/>
            </w:tcBorders>
            <w:vAlign w:val="center"/>
            <w:hideMark/>
          </w:tcPr>
          <w:p w14:paraId="14442009"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2029</w:t>
            </w:r>
          </w:p>
        </w:tc>
        <w:tc>
          <w:tcPr>
            <w:tcW w:w="355" w:type="pct"/>
            <w:tcBorders>
              <w:top w:val="nil"/>
              <w:left w:val="nil"/>
              <w:bottom w:val="single" w:sz="8" w:space="0" w:color="auto"/>
              <w:right w:val="single" w:sz="8" w:space="0" w:color="auto"/>
            </w:tcBorders>
            <w:vAlign w:val="center"/>
            <w:hideMark/>
          </w:tcPr>
          <w:p w14:paraId="148DB391"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2030</w:t>
            </w:r>
          </w:p>
        </w:tc>
        <w:tc>
          <w:tcPr>
            <w:tcW w:w="349" w:type="pct"/>
            <w:tcBorders>
              <w:top w:val="nil"/>
              <w:left w:val="nil"/>
              <w:bottom w:val="single" w:sz="8" w:space="0" w:color="auto"/>
              <w:right w:val="single" w:sz="8" w:space="0" w:color="auto"/>
            </w:tcBorders>
            <w:vAlign w:val="center"/>
            <w:hideMark/>
          </w:tcPr>
          <w:p w14:paraId="1B2E814B"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2031</w:t>
            </w:r>
          </w:p>
        </w:tc>
        <w:tc>
          <w:tcPr>
            <w:tcW w:w="349" w:type="pct"/>
            <w:tcBorders>
              <w:top w:val="nil"/>
              <w:left w:val="nil"/>
              <w:bottom w:val="single" w:sz="8" w:space="0" w:color="auto"/>
              <w:right w:val="single" w:sz="8" w:space="0" w:color="auto"/>
            </w:tcBorders>
            <w:vAlign w:val="center"/>
            <w:hideMark/>
          </w:tcPr>
          <w:p w14:paraId="6222D5E3"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2032</w:t>
            </w:r>
          </w:p>
        </w:tc>
        <w:tc>
          <w:tcPr>
            <w:tcW w:w="349" w:type="pct"/>
            <w:tcBorders>
              <w:top w:val="nil"/>
              <w:left w:val="nil"/>
              <w:bottom w:val="single" w:sz="8" w:space="0" w:color="auto"/>
              <w:right w:val="single" w:sz="8" w:space="0" w:color="auto"/>
            </w:tcBorders>
            <w:vAlign w:val="center"/>
            <w:hideMark/>
          </w:tcPr>
          <w:p w14:paraId="6D7455C8"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2033</w:t>
            </w:r>
          </w:p>
        </w:tc>
        <w:tc>
          <w:tcPr>
            <w:tcW w:w="349" w:type="pct"/>
            <w:tcBorders>
              <w:top w:val="nil"/>
              <w:left w:val="nil"/>
              <w:bottom w:val="single" w:sz="8" w:space="0" w:color="auto"/>
              <w:right w:val="single" w:sz="8" w:space="0" w:color="auto"/>
            </w:tcBorders>
            <w:vAlign w:val="center"/>
            <w:hideMark/>
          </w:tcPr>
          <w:p w14:paraId="230BBE36"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2034</w:t>
            </w:r>
          </w:p>
        </w:tc>
        <w:tc>
          <w:tcPr>
            <w:tcW w:w="416" w:type="pct"/>
            <w:vMerge/>
            <w:tcBorders>
              <w:top w:val="single" w:sz="8" w:space="0" w:color="auto"/>
              <w:left w:val="single" w:sz="8" w:space="0" w:color="auto"/>
              <w:bottom w:val="nil"/>
              <w:right w:val="single" w:sz="8" w:space="0" w:color="auto"/>
            </w:tcBorders>
            <w:vAlign w:val="center"/>
            <w:hideMark/>
          </w:tcPr>
          <w:p w14:paraId="148CEE78" w14:textId="77777777" w:rsidR="004A489F" w:rsidRPr="00201A9A" w:rsidRDefault="004A489F">
            <w:pPr>
              <w:spacing w:before="0" w:after="0"/>
              <w:jc w:val="left"/>
              <w:rPr>
                <w:rFonts w:eastAsia="Times New Roman"/>
                <w:b/>
                <w:noProof/>
                <w:color w:val="000000"/>
                <w:sz w:val="20"/>
                <w:szCs w:val="20"/>
                <w:lang w:eastAsia="en-IE"/>
              </w:rPr>
            </w:pPr>
          </w:p>
        </w:tc>
      </w:tr>
      <w:tr w:rsidR="004A489F" w:rsidRPr="00201A9A" w14:paraId="5C9BBDFC" w14:textId="77777777">
        <w:trPr>
          <w:trHeight w:val="300"/>
        </w:trPr>
        <w:tc>
          <w:tcPr>
            <w:tcW w:w="2156" w:type="pct"/>
            <w:gridSpan w:val="3"/>
            <w:tcBorders>
              <w:top w:val="single" w:sz="8" w:space="0" w:color="auto"/>
              <w:left w:val="single" w:sz="8" w:space="0" w:color="auto"/>
              <w:bottom w:val="single" w:sz="8" w:space="0" w:color="auto"/>
              <w:right w:val="single" w:sz="8" w:space="0" w:color="auto"/>
            </w:tcBorders>
            <w:vAlign w:val="center"/>
            <w:hideMark/>
          </w:tcPr>
          <w:p w14:paraId="437D95DC" w14:textId="77777777" w:rsidR="004A489F" w:rsidRPr="00201A9A" w:rsidRDefault="004A489F">
            <w:pPr>
              <w:spacing w:before="0" w:after="0"/>
              <w:jc w:val="left"/>
              <w:rPr>
                <w:rFonts w:eastAsia="Times New Roman"/>
                <w:noProof/>
                <w:color w:val="000000"/>
                <w:sz w:val="22"/>
              </w:rPr>
            </w:pPr>
            <w:r w:rsidRPr="00201A9A">
              <w:rPr>
                <w:noProof/>
                <w:color w:val="000000"/>
                <w:sz w:val="22"/>
              </w:rPr>
              <w:t xml:space="preserve">Zasoby ludzkie </w:t>
            </w:r>
          </w:p>
        </w:tc>
        <w:tc>
          <w:tcPr>
            <w:tcW w:w="40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3EAE0A1"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435,090</w:t>
            </w:r>
          </w:p>
        </w:tc>
        <w:tc>
          <w:tcPr>
            <w:tcW w:w="27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B853CF"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435,090</w:t>
            </w:r>
          </w:p>
        </w:tc>
        <w:tc>
          <w:tcPr>
            <w:tcW w:w="3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E740570"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435,090</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4018057"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435,090</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A55D99"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435,090</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B04A82C"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435,090</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CB487E9"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435,090</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CECD04"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3045,630</w:t>
            </w:r>
          </w:p>
        </w:tc>
      </w:tr>
      <w:tr w:rsidR="004A489F" w:rsidRPr="00201A9A" w14:paraId="24C1D902" w14:textId="77777777">
        <w:trPr>
          <w:trHeight w:val="300"/>
        </w:trPr>
        <w:tc>
          <w:tcPr>
            <w:tcW w:w="2156" w:type="pct"/>
            <w:gridSpan w:val="3"/>
            <w:tcBorders>
              <w:top w:val="single" w:sz="8" w:space="0" w:color="auto"/>
              <w:left w:val="single" w:sz="8" w:space="0" w:color="auto"/>
              <w:bottom w:val="single" w:sz="8" w:space="0" w:color="auto"/>
              <w:right w:val="single" w:sz="8" w:space="0" w:color="auto"/>
            </w:tcBorders>
            <w:vAlign w:val="center"/>
            <w:hideMark/>
          </w:tcPr>
          <w:p w14:paraId="5DD45AD7" w14:textId="77777777" w:rsidR="004A489F" w:rsidRPr="00201A9A" w:rsidRDefault="004A489F">
            <w:pPr>
              <w:spacing w:before="0" w:after="0"/>
              <w:jc w:val="left"/>
              <w:rPr>
                <w:rFonts w:eastAsia="Times New Roman"/>
                <w:noProof/>
                <w:color w:val="000000"/>
                <w:sz w:val="22"/>
              </w:rPr>
            </w:pPr>
            <w:r w:rsidRPr="00201A9A">
              <w:rPr>
                <w:noProof/>
                <w:color w:val="000000"/>
                <w:sz w:val="22"/>
              </w:rPr>
              <w:t xml:space="preserve">Pozostałe wydatki administracyjne </w:t>
            </w:r>
          </w:p>
        </w:tc>
        <w:tc>
          <w:tcPr>
            <w:tcW w:w="40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ADD255"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26,923</w:t>
            </w:r>
          </w:p>
        </w:tc>
        <w:tc>
          <w:tcPr>
            <w:tcW w:w="27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6AD3C1"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26,923</w:t>
            </w:r>
          </w:p>
        </w:tc>
        <w:tc>
          <w:tcPr>
            <w:tcW w:w="3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4A7AE4"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26,923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594641"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26,923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E92C1D"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26,923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4E4229"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26,923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64CC868" w14:textId="77777777" w:rsidR="004A489F" w:rsidRPr="00201A9A" w:rsidRDefault="004A489F">
            <w:pPr>
              <w:spacing w:before="0" w:after="0"/>
              <w:jc w:val="right"/>
              <w:rPr>
                <w:rFonts w:eastAsia="Times New Roman"/>
                <w:noProof/>
                <w:color w:val="000000"/>
                <w:sz w:val="18"/>
                <w:szCs w:val="18"/>
              </w:rPr>
            </w:pPr>
            <w:r w:rsidRPr="00201A9A">
              <w:rPr>
                <w:noProof/>
                <w:color w:val="000000"/>
                <w:sz w:val="18"/>
              </w:rPr>
              <w:t>26,923</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B10962"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188,461</w:t>
            </w:r>
          </w:p>
        </w:tc>
      </w:tr>
      <w:tr w:rsidR="004A489F" w:rsidRPr="00201A9A" w14:paraId="4B86E64A" w14:textId="77777777">
        <w:trPr>
          <w:trHeight w:val="300"/>
        </w:trPr>
        <w:tc>
          <w:tcPr>
            <w:tcW w:w="1436" w:type="pct"/>
            <w:tcBorders>
              <w:top w:val="single" w:sz="8" w:space="0" w:color="auto"/>
              <w:left w:val="single" w:sz="8" w:space="0" w:color="auto"/>
              <w:bottom w:val="single" w:sz="8" w:space="0" w:color="auto"/>
              <w:right w:val="single" w:sz="8" w:space="0" w:color="auto"/>
            </w:tcBorders>
            <w:vAlign w:val="center"/>
            <w:hideMark/>
          </w:tcPr>
          <w:p w14:paraId="3BAEE47D" w14:textId="77777777" w:rsidR="004A489F" w:rsidRPr="00201A9A" w:rsidRDefault="004A489F">
            <w:pPr>
              <w:spacing w:before="0" w:after="0"/>
              <w:jc w:val="center"/>
              <w:rPr>
                <w:rFonts w:eastAsia="Times New Roman"/>
                <w:b/>
                <w:noProof/>
                <w:color w:val="000000"/>
                <w:sz w:val="22"/>
              </w:rPr>
            </w:pPr>
            <w:r w:rsidRPr="00201A9A">
              <w:rPr>
                <w:b/>
                <w:noProof/>
                <w:color w:val="000000"/>
                <w:sz w:val="22"/>
              </w:rPr>
              <w:t>OGÓŁEM</w:t>
            </w:r>
          </w:p>
        </w:tc>
        <w:tc>
          <w:tcPr>
            <w:tcW w:w="720" w:type="pct"/>
            <w:gridSpan w:val="2"/>
            <w:tcBorders>
              <w:top w:val="single" w:sz="8" w:space="0" w:color="auto"/>
              <w:left w:val="single" w:sz="8" w:space="0" w:color="auto"/>
              <w:bottom w:val="single" w:sz="8" w:space="0" w:color="auto"/>
              <w:right w:val="single" w:sz="8" w:space="0" w:color="auto"/>
            </w:tcBorders>
            <w:vAlign w:val="center"/>
            <w:hideMark/>
          </w:tcPr>
          <w:p w14:paraId="3F80632E"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xml:space="preserve">Środki </w:t>
            </w:r>
          </w:p>
        </w:tc>
        <w:tc>
          <w:tcPr>
            <w:tcW w:w="40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B69B866"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462,013</w:t>
            </w:r>
          </w:p>
        </w:tc>
        <w:tc>
          <w:tcPr>
            <w:tcW w:w="27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D3EEFA"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462,013</w:t>
            </w:r>
          </w:p>
        </w:tc>
        <w:tc>
          <w:tcPr>
            <w:tcW w:w="3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A83E96E"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9ED70F"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AD39D5"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9082FB"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FDD8E2"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462,013</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764020"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3234,091</w:t>
            </w:r>
          </w:p>
        </w:tc>
      </w:tr>
      <w:tr w:rsidR="004A489F" w:rsidRPr="00201A9A" w14:paraId="2FD1242B" w14:textId="77777777">
        <w:trPr>
          <w:trHeight w:val="300"/>
        </w:trPr>
        <w:tc>
          <w:tcPr>
            <w:tcW w:w="1436" w:type="pct"/>
            <w:tcBorders>
              <w:top w:val="nil"/>
              <w:left w:val="nil"/>
              <w:bottom w:val="nil"/>
              <w:right w:val="nil"/>
            </w:tcBorders>
            <w:noWrap/>
            <w:vAlign w:val="bottom"/>
            <w:hideMark/>
          </w:tcPr>
          <w:p w14:paraId="113D767C" w14:textId="77777777" w:rsidR="004A489F" w:rsidRPr="00201A9A" w:rsidRDefault="004A489F">
            <w:pPr>
              <w:spacing w:before="0" w:after="0"/>
              <w:jc w:val="right"/>
              <w:rPr>
                <w:rFonts w:eastAsia="Times New Roman"/>
                <w:b/>
                <w:noProof/>
                <w:color w:val="000000"/>
                <w:sz w:val="20"/>
                <w:szCs w:val="20"/>
                <w:lang w:eastAsia="en-IE"/>
              </w:rPr>
            </w:pPr>
          </w:p>
        </w:tc>
        <w:tc>
          <w:tcPr>
            <w:tcW w:w="354" w:type="pct"/>
            <w:tcBorders>
              <w:top w:val="nil"/>
              <w:left w:val="nil"/>
              <w:bottom w:val="nil"/>
              <w:right w:val="nil"/>
            </w:tcBorders>
            <w:noWrap/>
            <w:vAlign w:val="bottom"/>
            <w:hideMark/>
          </w:tcPr>
          <w:p w14:paraId="7DF71F1A" w14:textId="77777777" w:rsidR="004A489F" w:rsidRPr="00201A9A" w:rsidRDefault="004A489F">
            <w:pPr>
              <w:spacing w:before="0" w:after="0"/>
              <w:jc w:val="left"/>
              <w:rPr>
                <w:rFonts w:eastAsia="Times New Roman"/>
                <w:noProof/>
                <w:sz w:val="20"/>
                <w:szCs w:val="20"/>
                <w:lang w:eastAsia="en-IE"/>
              </w:rPr>
            </w:pPr>
          </w:p>
        </w:tc>
        <w:tc>
          <w:tcPr>
            <w:tcW w:w="366" w:type="pct"/>
            <w:tcBorders>
              <w:top w:val="nil"/>
              <w:left w:val="nil"/>
              <w:bottom w:val="nil"/>
              <w:right w:val="nil"/>
            </w:tcBorders>
            <w:noWrap/>
            <w:vAlign w:val="bottom"/>
            <w:hideMark/>
          </w:tcPr>
          <w:p w14:paraId="0C712129" w14:textId="77777777" w:rsidR="004A489F" w:rsidRPr="00201A9A" w:rsidRDefault="004A489F">
            <w:pPr>
              <w:spacing w:before="0" w:after="0"/>
              <w:jc w:val="left"/>
              <w:rPr>
                <w:rFonts w:eastAsia="Times New Roman"/>
                <w:noProof/>
                <w:sz w:val="20"/>
                <w:szCs w:val="20"/>
                <w:lang w:eastAsia="en-IE"/>
              </w:rPr>
            </w:pPr>
          </w:p>
        </w:tc>
        <w:tc>
          <w:tcPr>
            <w:tcW w:w="403" w:type="pct"/>
            <w:tcBorders>
              <w:top w:val="nil"/>
              <w:left w:val="nil"/>
              <w:bottom w:val="nil"/>
              <w:right w:val="nil"/>
            </w:tcBorders>
            <w:noWrap/>
            <w:vAlign w:val="bottom"/>
            <w:hideMark/>
          </w:tcPr>
          <w:p w14:paraId="6B11C6FB" w14:textId="77777777" w:rsidR="004A489F" w:rsidRPr="00201A9A" w:rsidRDefault="004A489F">
            <w:pPr>
              <w:spacing w:before="0" w:after="0"/>
              <w:jc w:val="left"/>
              <w:rPr>
                <w:rFonts w:eastAsia="Times New Roman"/>
                <w:noProof/>
                <w:sz w:val="20"/>
                <w:szCs w:val="20"/>
                <w:lang w:eastAsia="en-IE"/>
              </w:rPr>
            </w:pPr>
          </w:p>
        </w:tc>
        <w:tc>
          <w:tcPr>
            <w:tcW w:w="275" w:type="pct"/>
            <w:tcBorders>
              <w:top w:val="nil"/>
              <w:left w:val="nil"/>
              <w:bottom w:val="nil"/>
              <w:right w:val="nil"/>
            </w:tcBorders>
            <w:noWrap/>
            <w:vAlign w:val="bottom"/>
            <w:hideMark/>
          </w:tcPr>
          <w:p w14:paraId="240B8804" w14:textId="77777777" w:rsidR="004A489F" w:rsidRPr="00201A9A" w:rsidRDefault="004A489F">
            <w:pPr>
              <w:spacing w:before="0" w:after="0"/>
              <w:jc w:val="left"/>
              <w:rPr>
                <w:rFonts w:eastAsia="Times New Roman"/>
                <w:noProof/>
                <w:sz w:val="20"/>
                <w:szCs w:val="20"/>
                <w:lang w:eastAsia="en-IE"/>
              </w:rPr>
            </w:pPr>
          </w:p>
        </w:tc>
        <w:tc>
          <w:tcPr>
            <w:tcW w:w="355" w:type="pct"/>
            <w:tcBorders>
              <w:top w:val="nil"/>
              <w:left w:val="nil"/>
              <w:bottom w:val="nil"/>
              <w:right w:val="nil"/>
            </w:tcBorders>
            <w:noWrap/>
            <w:vAlign w:val="bottom"/>
            <w:hideMark/>
          </w:tcPr>
          <w:p w14:paraId="696DCC9B" w14:textId="77777777" w:rsidR="004A489F" w:rsidRPr="00201A9A" w:rsidRDefault="004A489F">
            <w:pPr>
              <w:spacing w:before="0" w:after="0"/>
              <w:jc w:val="left"/>
              <w:rPr>
                <w:rFonts w:eastAsia="Times New Roman"/>
                <w:noProof/>
                <w:sz w:val="20"/>
                <w:szCs w:val="20"/>
                <w:lang w:eastAsia="en-IE"/>
              </w:rPr>
            </w:pPr>
          </w:p>
        </w:tc>
        <w:tc>
          <w:tcPr>
            <w:tcW w:w="349" w:type="pct"/>
            <w:tcBorders>
              <w:top w:val="nil"/>
              <w:left w:val="nil"/>
              <w:bottom w:val="nil"/>
              <w:right w:val="nil"/>
            </w:tcBorders>
            <w:noWrap/>
            <w:vAlign w:val="bottom"/>
            <w:hideMark/>
          </w:tcPr>
          <w:p w14:paraId="344F3744" w14:textId="77777777" w:rsidR="004A489F" w:rsidRPr="00201A9A" w:rsidRDefault="004A489F">
            <w:pPr>
              <w:spacing w:before="0" w:after="0"/>
              <w:jc w:val="left"/>
              <w:rPr>
                <w:rFonts w:eastAsia="Times New Roman"/>
                <w:noProof/>
                <w:sz w:val="20"/>
                <w:szCs w:val="20"/>
                <w:lang w:eastAsia="en-IE"/>
              </w:rPr>
            </w:pPr>
          </w:p>
        </w:tc>
        <w:tc>
          <w:tcPr>
            <w:tcW w:w="349" w:type="pct"/>
            <w:tcBorders>
              <w:top w:val="nil"/>
              <w:left w:val="nil"/>
              <w:bottom w:val="nil"/>
              <w:right w:val="nil"/>
            </w:tcBorders>
            <w:noWrap/>
            <w:vAlign w:val="bottom"/>
            <w:hideMark/>
          </w:tcPr>
          <w:p w14:paraId="5E080730" w14:textId="77777777" w:rsidR="004A489F" w:rsidRPr="00201A9A" w:rsidRDefault="004A489F">
            <w:pPr>
              <w:spacing w:before="0" w:after="0"/>
              <w:jc w:val="left"/>
              <w:rPr>
                <w:rFonts w:eastAsia="Times New Roman"/>
                <w:noProof/>
                <w:sz w:val="20"/>
                <w:szCs w:val="20"/>
                <w:lang w:eastAsia="en-IE"/>
              </w:rPr>
            </w:pPr>
          </w:p>
        </w:tc>
        <w:tc>
          <w:tcPr>
            <w:tcW w:w="349" w:type="pct"/>
            <w:tcBorders>
              <w:top w:val="nil"/>
              <w:left w:val="nil"/>
              <w:bottom w:val="nil"/>
              <w:right w:val="nil"/>
            </w:tcBorders>
            <w:noWrap/>
            <w:vAlign w:val="bottom"/>
            <w:hideMark/>
          </w:tcPr>
          <w:p w14:paraId="7508B452" w14:textId="77777777" w:rsidR="004A489F" w:rsidRPr="00201A9A" w:rsidRDefault="004A489F">
            <w:pPr>
              <w:spacing w:before="0" w:after="0"/>
              <w:jc w:val="left"/>
              <w:rPr>
                <w:rFonts w:eastAsia="Times New Roman"/>
                <w:noProof/>
                <w:sz w:val="20"/>
                <w:szCs w:val="20"/>
                <w:lang w:eastAsia="en-IE"/>
              </w:rPr>
            </w:pPr>
          </w:p>
        </w:tc>
        <w:tc>
          <w:tcPr>
            <w:tcW w:w="349" w:type="pct"/>
            <w:tcBorders>
              <w:top w:val="nil"/>
              <w:left w:val="nil"/>
              <w:bottom w:val="nil"/>
              <w:right w:val="nil"/>
            </w:tcBorders>
            <w:noWrap/>
            <w:vAlign w:val="bottom"/>
            <w:hideMark/>
          </w:tcPr>
          <w:p w14:paraId="69FA9F9A" w14:textId="77777777" w:rsidR="004A489F" w:rsidRPr="00201A9A" w:rsidRDefault="004A489F">
            <w:pPr>
              <w:spacing w:before="0" w:after="0"/>
              <w:jc w:val="left"/>
              <w:rPr>
                <w:rFonts w:eastAsia="Times New Roman"/>
                <w:noProof/>
                <w:sz w:val="20"/>
                <w:szCs w:val="20"/>
                <w:lang w:eastAsia="en-IE"/>
              </w:rPr>
            </w:pPr>
          </w:p>
        </w:tc>
        <w:tc>
          <w:tcPr>
            <w:tcW w:w="416" w:type="pct"/>
            <w:tcBorders>
              <w:top w:val="nil"/>
              <w:left w:val="nil"/>
              <w:bottom w:val="nil"/>
              <w:right w:val="nil"/>
            </w:tcBorders>
            <w:noWrap/>
            <w:vAlign w:val="bottom"/>
            <w:hideMark/>
          </w:tcPr>
          <w:p w14:paraId="4EC9D3DA" w14:textId="77777777" w:rsidR="004A489F" w:rsidRPr="00201A9A" w:rsidRDefault="004A489F">
            <w:pPr>
              <w:spacing w:before="0" w:after="0"/>
              <w:jc w:val="left"/>
              <w:rPr>
                <w:rFonts w:eastAsia="Times New Roman"/>
                <w:noProof/>
                <w:sz w:val="20"/>
                <w:szCs w:val="20"/>
                <w:lang w:eastAsia="en-IE"/>
              </w:rPr>
            </w:pPr>
          </w:p>
        </w:tc>
      </w:tr>
      <w:tr w:rsidR="004A489F" w:rsidRPr="00201A9A" w14:paraId="30485E49" w14:textId="77777777">
        <w:trPr>
          <w:trHeight w:val="900"/>
        </w:trPr>
        <w:tc>
          <w:tcPr>
            <w:tcW w:w="1790" w:type="pct"/>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05655486" w14:textId="77777777" w:rsidR="004A489F" w:rsidRPr="00201A9A" w:rsidRDefault="004A489F">
            <w:pPr>
              <w:spacing w:before="0" w:after="0"/>
              <w:jc w:val="center"/>
              <w:rPr>
                <w:rFonts w:eastAsia="Times New Roman"/>
                <w:b/>
                <w:noProof/>
                <w:color w:val="000000"/>
                <w:sz w:val="22"/>
              </w:rPr>
            </w:pPr>
            <w:r w:rsidRPr="00201A9A">
              <w:rPr>
                <w:b/>
                <w:noProof/>
                <w:color w:val="000000"/>
                <w:sz w:val="22"/>
              </w:rPr>
              <w:t>OGÓŁEM środki</w:t>
            </w:r>
            <w:r w:rsidRPr="00201A9A">
              <w:rPr>
                <w:noProof/>
              </w:rPr>
              <w:t xml:space="preserve"> </w:t>
            </w:r>
            <w:r w:rsidRPr="00201A9A">
              <w:rPr>
                <w:noProof/>
              </w:rPr>
              <w:br/>
            </w:r>
            <w:r w:rsidRPr="00201A9A">
              <w:rPr>
                <w:b/>
                <w:noProof/>
                <w:color w:val="000000"/>
                <w:sz w:val="22"/>
              </w:rPr>
              <w:t>w ramach DZIAŁU 4</w:t>
            </w:r>
            <w:r w:rsidRPr="00201A9A">
              <w:rPr>
                <w:noProof/>
              </w:rPr>
              <w:t xml:space="preserve"> </w:t>
            </w:r>
            <w:r w:rsidRPr="00201A9A">
              <w:rPr>
                <w:noProof/>
              </w:rPr>
              <w:br/>
            </w:r>
            <w:r w:rsidRPr="00201A9A">
              <w:rPr>
                <w:b/>
                <w:noProof/>
                <w:color w:val="000000"/>
                <w:sz w:val="22"/>
              </w:rPr>
              <w:t xml:space="preserve">wieloletnich ram finansowych </w:t>
            </w:r>
          </w:p>
        </w:tc>
        <w:tc>
          <w:tcPr>
            <w:tcW w:w="366" w:type="pct"/>
            <w:tcBorders>
              <w:top w:val="single" w:sz="8" w:space="0" w:color="auto"/>
              <w:left w:val="single" w:sz="8" w:space="0" w:color="auto"/>
              <w:bottom w:val="single" w:sz="8" w:space="0" w:color="auto"/>
              <w:right w:val="single" w:sz="8" w:space="0" w:color="auto"/>
            </w:tcBorders>
            <w:vAlign w:val="center"/>
            <w:hideMark/>
          </w:tcPr>
          <w:p w14:paraId="1B68566C"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(Środki na zobowiązania ogółem = środki na płatności ogółem)</w:t>
            </w:r>
          </w:p>
        </w:tc>
        <w:tc>
          <w:tcPr>
            <w:tcW w:w="403"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C83A7D"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462,013</w:t>
            </w:r>
          </w:p>
        </w:tc>
        <w:tc>
          <w:tcPr>
            <w:tcW w:w="27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8788B4C"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462,013</w:t>
            </w:r>
          </w:p>
        </w:tc>
        <w:tc>
          <w:tcPr>
            <w:tcW w:w="35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384E429"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C31D4FB"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C48416"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40C3734"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462,013</w:t>
            </w:r>
          </w:p>
        </w:tc>
        <w:tc>
          <w:tcPr>
            <w:tcW w:w="34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AE9F6D"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462,013</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271B20"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3234,091</w:t>
            </w:r>
          </w:p>
        </w:tc>
      </w:tr>
    </w:tbl>
    <w:p w14:paraId="6355F12E" w14:textId="77777777" w:rsidR="004A489F" w:rsidRPr="00201A9A" w:rsidRDefault="004A489F" w:rsidP="004A489F">
      <w:pPr>
        <w:pStyle w:val="Text1"/>
        <w:ind w:left="0"/>
        <w:rPr>
          <w:noProof/>
        </w:rPr>
      </w:pPr>
    </w:p>
    <w:tbl>
      <w:tblPr>
        <w:tblW w:w="5000" w:type="pct"/>
        <w:tblCellMar>
          <w:top w:w="15" w:type="dxa"/>
          <w:bottom w:w="15" w:type="dxa"/>
        </w:tblCellMar>
        <w:tblLook w:val="04A0" w:firstRow="1" w:lastRow="0" w:firstColumn="1" w:lastColumn="0" w:noHBand="0" w:noVBand="1"/>
      </w:tblPr>
      <w:tblGrid>
        <w:gridCol w:w="3928"/>
        <w:gridCol w:w="1355"/>
        <w:gridCol w:w="1116"/>
        <w:gridCol w:w="1116"/>
        <w:gridCol w:w="1116"/>
        <w:gridCol w:w="1116"/>
        <w:gridCol w:w="1116"/>
        <w:gridCol w:w="1116"/>
        <w:gridCol w:w="1116"/>
        <w:gridCol w:w="1125"/>
      </w:tblGrid>
      <w:tr w:rsidR="00373731" w:rsidRPr="00201A9A" w14:paraId="6F4C64D1" w14:textId="77777777" w:rsidTr="00373731">
        <w:trPr>
          <w:trHeight w:val="285"/>
        </w:trPr>
        <w:tc>
          <w:tcPr>
            <w:tcW w:w="1858"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731269AB" w14:textId="77777777" w:rsidR="00373731" w:rsidRPr="00201A9A" w:rsidRDefault="00373731" w:rsidP="00812AD2">
            <w:pPr>
              <w:spacing w:before="0" w:after="0"/>
              <w:jc w:val="left"/>
              <w:rPr>
                <w:rFonts w:eastAsia="Times New Roman"/>
                <w:noProof/>
                <w:sz w:val="18"/>
                <w:szCs w:val="18"/>
                <w:lang w:eastAsia="zh-CN"/>
              </w:rPr>
            </w:pPr>
          </w:p>
        </w:tc>
        <w:tc>
          <w:tcPr>
            <w:tcW w:w="392" w:type="pct"/>
            <w:tcBorders>
              <w:top w:val="single" w:sz="8" w:space="0" w:color="auto"/>
              <w:left w:val="nil"/>
              <w:bottom w:val="nil"/>
              <w:right w:val="single" w:sz="8" w:space="0" w:color="auto"/>
            </w:tcBorders>
            <w:vAlign w:val="center"/>
            <w:hideMark/>
          </w:tcPr>
          <w:p w14:paraId="246CBDE8" w14:textId="77777777" w:rsidR="00373731" w:rsidRPr="00201A9A" w:rsidRDefault="00373731" w:rsidP="00812AD2">
            <w:pPr>
              <w:spacing w:before="0" w:after="0"/>
              <w:jc w:val="center"/>
              <w:rPr>
                <w:rFonts w:eastAsia="Times New Roman"/>
                <w:noProof/>
                <w:sz w:val="18"/>
                <w:szCs w:val="18"/>
              </w:rPr>
            </w:pPr>
            <w:r w:rsidRPr="00201A9A">
              <w:rPr>
                <w:noProof/>
                <w:sz w:val="18"/>
              </w:rPr>
              <w:t>Rok</w:t>
            </w:r>
          </w:p>
        </w:tc>
        <w:tc>
          <w:tcPr>
            <w:tcW w:w="392" w:type="pct"/>
            <w:tcBorders>
              <w:top w:val="single" w:sz="8" w:space="0" w:color="auto"/>
              <w:left w:val="nil"/>
              <w:bottom w:val="nil"/>
              <w:right w:val="single" w:sz="8" w:space="0" w:color="auto"/>
            </w:tcBorders>
            <w:vAlign w:val="center"/>
            <w:hideMark/>
          </w:tcPr>
          <w:p w14:paraId="7ABE3FA0" w14:textId="77777777" w:rsidR="00373731" w:rsidRPr="00201A9A" w:rsidRDefault="00373731" w:rsidP="00812AD2">
            <w:pPr>
              <w:spacing w:before="0" w:after="0"/>
              <w:jc w:val="center"/>
              <w:rPr>
                <w:rFonts w:eastAsia="Times New Roman"/>
                <w:noProof/>
                <w:sz w:val="18"/>
                <w:szCs w:val="18"/>
              </w:rPr>
            </w:pPr>
            <w:r w:rsidRPr="00201A9A">
              <w:rPr>
                <w:noProof/>
                <w:sz w:val="18"/>
              </w:rPr>
              <w:t>Rok</w:t>
            </w:r>
          </w:p>
        </w:tc>
        <w:tc>
          <w:tcPr>
            <w:tcW w:w="392" w:type="pct"/>
            <w:tcBorders>
              <w:top w:val="single" w:sz="8" w:space="0" w:color="auto"/>
              <w:left w:val="nil"/>
              <w:bottom w:val="nil"/>
              <w:right w:val="single" w:sz="8" w:space="0" w:color="auto"/>
            </w:tcBorders>
            <w:vAlign w:val="center"/>
            <w:hideMark/>
          </w:tcPr>
          <w:p w14:paraId="6F9BCEDD" w14:textId="77777777" w:rsidR="00373731" w:rsidRPr="00201A9A" w:rsidRDefault="00373731" w:rsidP="00812AD2">
            <w:pPr>
              <w:spacing w:before="0" w:after="0"/>
              <w:jc w:val="center"/>
              <w:rPr>
                <w:rFonts w:eastAsia="Times New Roman"/>
                <w:noProof/>
                <w:sz w:val="18"/>
                <w:szCs w:val="18"/>
              </w:rPr>
            </w:pPr>
            <w:r w:rsidRPr="00201A9A">
              <w:rPr>
                <w:noProof/>
                <w:sz w:val="18"/>
              </w:rPr>
              <w:t>Rok</w:t>
            </w:r>
          </w:p>
        </w:tc>
        <w:tc>
          <w:tcPr>
            <w:tcW w:w="392" w:type="pct"/>
            <w:tcBorders>
              <w:top w:val="single" w:sz="8" w:space="0" w:color="auto"/>
              <w:left w:val="nil"/>
              <w:bottom w:val="nil"/>
              <w:right w:val="single" w:sz="8" w:space="0" w:color="auto"/>
            </w:tcBorders>
            <w:vAlign w:val="center"/>
            <w:hideMark/>
          </w:tcPr>
          <w:p w14:paraId="475BEA4C" w14:textId="77777777" w:rsidR="00373731" w:rsidRPr="00201A9A" w:rsidRDefault="00373731" w:rsidP="00812AD2">
            <w:pPr>
              <w:spacing w:before="0" w:after="0"/>
              <w:jc w:val="center"/>
              <w:rPr>
                <w:rFonts w:eastAsia="Times New Roman"/>
                <w:noProof/>
                <w:sz w:val="18"/>
                <w:szCs w:val="18"/>
              </w:rPr>
            </w:pPr>
            <w:r w:rsidRPr="00201A9A">
              <w:rPr>
                <w:noProof/>
                <w:sz w:val="18"/>
              </w:rPr>
              <w:t>Rok</w:t>
            </w:r>
          </w:p>
        </w:tc>
        <w:tc>
          <w:tcPr>
            <w:tcW w:w="392" w:type="pct"/>
            <w:tcBorders>
              <w:top w:val="single" w:sz="8" w:space="0" w:color="auto"/>
              <w:left w:val="nil"/>
              <w:bottom w:val="nil"/>
              <w:right w:val="single" w:sz="8" w:space="0" w:color="auto"/>
            </w:tcBorders>
            <w:vAlign w:val="center"/>
            <w:hideMark/>
          </w:tcPr>
          <w:p w14:paraId="2C3842BF" w14:textId="77777777" w:rsidR="00373731" w:rsidRPr="00201A9A" w:rsidRDefault="00373731" w:rsidP="00812AD2">
            <w:pPr>
              <w:spacing w:before="0" w:after="0"/>
              <w:jc w:val="center"/>
              <w:rPr>
                <w:rFonts w:eastAsia="Times New Roman"/>
                <w:noProof/>
                <w:sz w:val="18"/>
                <w:szCs w:val="18"/>
              </w:rPr>
            </w:pPr>
            <w:r w:rsidRPr="00201A9A">
              <w:rPr>
                <w:noProof/>
                <w:sz w:val="18"/>
              </w:rPr>
              <w:t>Rok</w:t>
            </w:r>
          </w:p>
        </w:tc>
        <w:tc>
          <w:tcPr>
            <w:tcW w:w="392" w:type="pct"/>
            <w:tcBorders>
              <w:top w:val="single" w:sz="8" w:space="0" w:color="auto"/>
              <w:left w:val="nil"/>
              <w:bottom w:val="nil"/>
              <w:right w:val="single" w:sz="8" w:space="0" w:color="auto"/>
            </w:tcBorders>
            <w:vAlign w:val="center"/>
            <w:hideMark/>
          </w:tcPr>
          <w:p w14:paraId="05656AC3" w14:textId="77777777" w:rsidR="00373731" w:rsidRPr="00201A9A" w:rsidRDefault="00373731" w:rsidP="00812AD2">
            <w:pPr>
              <w:spacing w:before="0" w:after="0"/>
              <w:jc w:val="center"/>
              <w:rPr>
                <w:rFonts w:eastAsia="Times New Roman"/>
                <w:noProof/>
                <w:sz w:val="18"/>
                <w:szCs w:val="18"/>
              </w:rPr>
            </w:pPr>
            <w:r w:rsidRPr="00201A9A">
              <w:rPr>
                <w:noProof/>
                <w:sz w:val="18"/>
              </w:rPr>
              <w:t>Rok</w:t>
            </w:r>
          </w:p>
        </w:tc>
        <w:tc>
          <w:tcPr>
            <w:tcW w:w="392" w:type="pct"/>
            <w:tcBorders>
              <w:top w:val="single" w:sz="8" w:space="0" w:color="auto"/>
              <w:left w:val="nil"/>
              <w:bottom w:val="nil"/>
              <w:right w:val="single" w:sz="8" w:space="0" w:color="auto"/>
            </w:tcBorders>
            <w:vAlign w:val="center"/>
            <w:hideMark/>
          </w:tcPr>
          <w:p w14:paraId="1EBD785C" w14:textId="77777777" w:rsidR="00373731" w:rsidRPr="00201A9A" w:rsidRDefault="00373731" w:rsidP="00812AD2">
            <w:pPr>
              <w:spacing w:before="0" w:after="0"/>
              <w:jc w:val="center"/>
              <w:rPr>
                <w:rFonts w:eastAsia="Times New Roman"/>
                <w:noProof/>
                <w:sz w:val="18"/>
                <w:szCs w:val="18"/>
              </w:rPr>
            </w:pPr>
            <w:r w:rsidRPr="00201A9A">
              <w:rPr>
                <w:noProof/>
                <w:sz w:val="18"/>
              </w:rPr>
              <w:t>Rok</w:t>
            </w:r>
          </w:p>
        </w:tc>
        <w:tc>
          <w:tcPr>
            <w:tcW w:w="396" w:type="pct"/>
            <w:vMerge w:val="restart"/>
            <w:tcBorders>
              <w:top w:val="single" w:sz="8" w:space="0" w:color="auto"/>
              <w:left w:val="single" w:sz="8" w:space="0" w:color="auto"/>
              <w:bottom w:val="nil"/>
              <w:right w:val="single" w:sz="8" w:space="0" w:color="auto"/>
            </w:tcBorders>
            <w:vAlign w:val="center"/>
            <w:hideMark/>
          </w:tcPr>
          <w:p w14:paraId="65BF19C4" w14:textId="77777777" w:rsidR="00373731" w:rsidRPr="00201A9A" w:rsidRDefault="00373731" w:rsidP="00812AD2">
            <w:pPr>
              <w:spacing w:before="0" w:after="0"/>
              <w:jc w:val="center"/>
              <w:rPr>
                <w:rFonts w:eastAsia="Times New Roman"/>
                <w:b/>
                <w:bCs/>
                <w:noProof/>
                <w:sz w:val="18"/>
                <w:szCs w:val="18"/>
              </w:rPr>
            </w:pPr>
            <w:r w:rsidRPr="00201A9A">
              <w:rPr>
                <w:b/>
                <w:noProof/>
                <w:sz w:val="18"/>
              </w:rPr>
              <w:t>OGÓŁEM WRF</w:t>
            </w:r>
            <w:r w:rsidRPr="00201A9A">
              <w:rPr>
                <w:noProof/>
              </w:rPr>
              <w:t xml:space="preserve"> </w:t>
            </w:r>
            <w:r w:rsidRPr="00201A9A">
              <w:rPr>
                <w:noProof/>
              </w:rPr>
              <w:br/>
            </w:r>
            <w:r w:rsidRPr="00201A9A">
              <w:rPr>
                <w:b/>
                <w:noProof/>
                <w:sz w:val="18"/>
              </w:rPr>
              <w:t>2028–2034</w:t>
            </w:r>
          </w:p>
        </w:tc>
      </w:tr>
      <w:tr w:rsidR="00373731" w:rsidRPr="00201A9A" w14:paraId="5868BC1E" w14:textId="77777777" w:rsidTr="00373731">
        <w:trPr>
          <w:trHeight w:val="300"/>
        </w:trPr>
        <w:tc>
          <w:tcPr>
            <w:tcW w:w="1858" w:type="pct"/>
            <w:gridSpan w:val="2"/>
            <w:vMerge/>
            <w:tcBorders>
              <w:top w:val="single" w:sz="8" w:space="0" w:color="auto"/>
              <w:left w:val="single" w:sz="8" w:space="0" w:color="auto"/>
              <w:bottom w:val="single" w:sz="8" w:space="0" w:color="auto"/>
              <w:right w:val="single" w:sz="8" w:space="0" w:color="auto"/>
            </w:tcBorders>
            <w:vAlign w:val="center"/>
            <w:hideMark/>
          </w:tcPr>
          <w:p w14:paraId="60C4A65A" w14:textId="77777777" w:rsidR="00373731" w:rsidRPr="00201A9A" w:rsidRDefault="00373731" w:rsidP="00812AD2">
            <w:pPr>
              <w:spacing w:before="0" w:after="0"/>
              <w:jc w:val="left"/>
              <w:rPr>
                <w:rFonts w:eastAsia="Times New Roman"/>
                <w:noProof/>
                <w:sz w:val="18"/>
                <w:szCs w:val="18"/>
                <w:lang w:eastAsia="zh-CN"/>
              </w:rPr>
            </w:pPr>
          </w:p>
        </w:tc>
        <w:tc>
          <w:tcPr>
            <w:tcW w:w="392" w:type="pct"/>
            <w:tcBorders>
              <w:top w:val="nil"/>
              <w:left w:val="nil"/>
              <w:bottom w:val="single" w:sz="8" w:space="0" w:color="auto"/>
              <w:right w:val="single" w:sz="8" w:space="0" w:color="auto"/>
            </w:tcBorders>
            <w:vAlign w:val="center"/>
            <w:hideMark/>
          </w:tcPr>
          <w:p w14:paraId="732EB16B" w14:textId="77777777" w:rsidR="00373731" w:rsidRPr="00201A9A" w:rsidRDefault="00373731" w:rsidP="00812AD2">
            <w:pPr>
              <w:spacing w:before="0" w:after="0"/>
              <w:jc w:val="center"/>
              <w:rPr>
                <w:rFonts w:eastAsia="Times New Roman"/>
                <w:b/>
                <w:bCs/>
                <w:noProof/>
                <w:sz w:val="18"/>
                <w:szCs w:val="18"/>
              </w:rPr>
            </w:pPr>
            <w:r w:rsidRPr="00201A9A">
              <w:rPr>
                <w:b/>
                <w:noProof/>
                <w:sz w:val="18"/>
              </w:rPr>
              <w:t>2028</w:t>
            </w:r>
          </w:p>
        </w:tc>
        <w:tc>
          <w:tcPr>
            <w:tcW w:w="392" w:type="pct"/>
            <w:tcBorders>
              <w:top w:val="nil"/>
              <w:left w:val="nil"/>
              <w:bottom w:val="single" w:sz="8" w:space="0" w:color="auto"/>
              <w:right w:val="single" w:sz="8" w:space="0" w:color="auto"/>
            </w:tcBorders>
            <w:vAlign w:val="center"/>
            <w:hideMark/>
          </w:tcPr>
          <w:p w14:paraId="61595732" w14:textId="77777777" w:rsidR="00373731" w:rsidRPr="00201A9A" w:rsidRDefault="00373731" w:rsidP="00812AD2">
            <w:pPr>
              <w:spacing w:before="0" w:after="0"/>
              <w:jc w:val="center"/>
              <w:rPr>
                <w:rFonts w:eastAsia="Times New Roman"/>
                <w:b/>
                <w:bCs/>
                <w:noProof/>
                <w:sz w:val="18"/>
                <w:szCs w:val="18"/>
              </w:rPr>
            </w:pPr>
            <w:r w:rsidRPr="00201A9A">
              <w:rPr>
                <w:b/>
                <w:noProof/>
                <w:sz w:val="18"/>
              </w:rPr>
              <w:t>2029</w:t>
            </w:r>
          </w:p>
        </w:tc>
        <w:tc>
          <w:tcPr>
            <w:tcW w:w="392" w:type="pct"/>
            <w:tcBorders>
              <w:top w:val="nil"/>
              <w:left w:val="nil"/>
              <w:bottom w:val="single" w:sz="8" w:space="0" w:color="auto"/>
              <w:right w:val="single" w:sz="8" w:space="0" w:color="auto"/>
            </w:tcBorders>
            <w:vAlign w:val="center"/>
            <w:hideMark/>
          </w:tcPr>
          <w:p w14:paraId="3B7306C9" w14:textId="77777777" w:rsidR="00373731" w:rsidRPr="00201A9A" w:rsidRDefault="00373731" w:rsidP="00812AD2">
            <w:pPr>
              <w:spacing w:before="0" w:after="0"/>
              <w:jc w:val="center"/>
              <w:rPr>
                <w:rFonts w:eastAsia="Times New Roman"/>
                <w:b/>
                <w:bCs/>
                <w:noProof/>
                <w:sz w:val="18"/>
                <w:szCs w:val="18"/>
              </w:rPr>
            </w:pPr>
            <w:r w:rsidRPr="00201A9A">
              <w:rPr>
                <w:b/>
                <w:noProof/>
                <w:sz w:val="18"/>
              </w:rPr>
              <w:t>2030</w:t>
            </w:r>
          </w:p>
        </w:tc>
        <w:tc>
          <w:tcPr>
            <w:tcW w:w="392" w:type="pct"/>
            <w:tcBorders>
              <w:top w:val="nil"/>
              <w:left w:val="nil"/>
              <w:bottom w:val="single" w:sz="8" w:space="0" w:color="auto"/>
              <w:right w:val="single" w:sz="8" w:space="0" w:color="auto"/>
            </w:tcBorders>
            <w:vAlign w:val="center"/>
            <w:hideMark/>
          </w:tcPr>
          <w:p w14:paraId="46D81CE5" w14:textId="77777777" w:rsidR="00373731" w:rsidRPr="00201A9A" w:rsidRDefault="00373731" w:rsidP="00812AD2">
            <w:pPr>
              <w:spacing w:before="0" w:after="0"/>
              <w:jc w:val="center"/>
              <w:rPr>
                <w:rFonts w:eastAsia="Times New Roman"/>
                <w:b/>
                <w:bCs/>
                <w:noProof/>
                <w:sz w:val="18"/>
                <w:szCs w:val="18"/>
              </w:rPr>
            </w:pPr>
            <w:r w:rsidRPr="00201A9A">
              <w:rPr>
                <w:b/>
                <w:noProof/>
                <w:sz w:val="18"/>
              </w:rPr>
              <w:t>2031</w:t>
            </w:r>
          </w:p>
        </w:tc>
        <w:tc>
          <w:tcPr>
            <w:tcW w:w="392" w:type="pct"/>
            <w:tcBorders>
              <w:top w:val="nil"/>
              <w:left w:val="nil"/>
              <w:bottom w:val="single" w:sz="8" w:space="0" w:color="auto"/>
              <w:right w:val="single" w:sz="8" w:space="0" w:color="auto"/>
            </w:tcBorders>
            <w:vAlign w:val="center"/>
            <w:hideMark/>
          </w:tcPr>
          <w:p w14:paraId="6BD948CB" w14:textId="77777777" w:rsidR="00373731" w:rsidRPr="00201A9A" w:rsidRDefault="00373731" w:rsidP="00812AD2">
            <w:pPr>
              <w:spacing w:before="0" w:after="0"/>
              <w:jc w:val="center"/>
              <w:rPr>
                <w:rFonts w:eastAsia="Times New Roman"/>
                <w:b/>
                <w:bCs/>
                <w:noProof/>
                <w:sz w:val="18"/>
                <w:szCs w:val="18"/>
              </w:rPr>
            </w:pPr>
            <w:r w:rsidRPr="00201A9A">
              <w:rPr>
                <w:b/>
                <w:noProof/>
                <w:sz w:val="18"/>
              </w:rPr>
              <w:t>2032</w:t>
            </w:r>
          </w:p>
        </w:tc>
        <w:tc>
          <w:tcPr>
            <w:tcW w:w="392" w:type="pct"/>
            <w:tcBorders>
              <w:top w:val="nil"/>
              <w:left w:val="nil"/>
              <w:bottom w:val="single" w:sz="8" w:space="0" w:color="auto"/>
              <w:right w:val="single" w:sz="8" w:space="0" w:color="auto"/>
            </w:tcBorders>
            <w:vAlign w:val="center"/>
            <w:hideMark/>
          </w:tcPr>
          <w:p w14:paraId="09CA7827" w14:textId="77777777" w:rsidR="00373731" w:rsidRPr="00201A9A" w:rsidRDefault="00373731" w:rsidP="00812AD2">
            <w:pPr>
              <w:spacing w:before="0" w:after="0"/>
              <w:jc w:val="center"/>
              <w:rPr>
                <w:rFonts w:eastAsia="Times New Roman"/>
                <w:b/>
                <w:bCs/>
                <w:noProof/>
                <w:sz w:val="18"/>
                <w:szCs w:val="18"/>
              </w:rPr>
            </w:pPr>
            <w:r w:rsidRPr="00201A9A">
              <w:rPr>
                <w:b/>
                <w:noProof/>
                <w:sz w:val="18"/>
              </w:rPr>
              <w:t>2033</w:t>
            </w:r>
          </w:p>
        </w:tc>
        <w:tc>
          <w:tcPr>
            <w:tcW w:w="392" w:type="pct"/>
            <w:tcBorders>
              <w:top w:val="nil"/>
              <w:left w:val="nil"/>
              <w:bottom w:val="single" w:sz="8" w:space="0" w:color="auto"/>
              <w:right w:val="single" w:sz="8" w:space="0" w:color="auto"/>
            </w:tcBorders>
            <w:vAlign w:val="center"/>
            <w:hideMark/>
          </w:tcPr>
          <w:p w14:paraId="377032EE" w14:textId="77777777" w:rsidR="00373731" w:rsidRPr="00201A9A" w:rsidRDefault="00373731" w:rsidP="00812AD2">
            <w:pPr>
              <w:spacing w:before="0" w:after="0"/>
              <w:jc w:val="center"/>
              <w:rPr>
                <w:rFonts w:eastAsia="Times New Roman"/>
                <w:b/>
                <w:bCs/>
                <w:noProof/>
                <w:sz w:val="18"/>
                <w:szCs w:val="18"/>
              </w:rPr>
            </w:pPr>
            <w:r w:rsidRPr="00201A9A">
              <w:rPr>
                <w:b/>
                <w:noProof/>
                <w:sz w:val="18"/>
              </w:rPr>
              <w:t>2034</w:t>
            </w:r>
          </w:p>
        </w:tc>
        <w:tc>
          <w:tcPr>
            <w:tcW w:w="396" w:type="pct"/>
            <w:vMerge/>
            <w:tcBorders>
              <w:top w:val="single" w:sz="8" w:space="0" w:color="auto"/>
              <w:left w:val="single" w:sz="8" w:space="0" w:color="auto"/>
              <w:bottom w:val="nil"/>
              <w:right w:val="single" w:sz="8" w:space="0" w:color="auto"/>
            </w:tcBorders>
            <w:vAlign w:val="center"/>
            <w:hideMark/>
          </w:tcPr>
          <w:p w14:paraId="665EA83B" w14:textId="77777777" w:rsidR="00373731" w:rsidRPr="00201A9A" w:rsidRDefault="00373731" w:rsidP="00812AD2">
            <w:pPr>
              <w:spacing w:before="0" w:after="0"/>
              <w:jc w:val="left"/>
              <w:rPr>
                <w:rFonts w:eastAsia="Times New Roman"/>
                <w:b/>
                <w:bCs/>
                <w:noProof/>
                <w:sz w:val="18"/>
                <w:szCs w:val="18"/>
                <w:lang w:eastAsia="zh-CN"/>
              </w:rPr>
            </w:pPr>
          </w:p>
        </w:tc>
      </w:tr>
      <w:tr w:rsidR="00373731" w:rsidRPr="00201A9A" w14:paraId="0058FE87" w14:textId="77777777" w:rsidTr="00373731">
        <w:trPr>
          <w:trHeight w:val="555"/>
        </w:trPr>
        <w:tc>
          <w:tcPr>
            <w:tcW w:w="1381" w:type="pct"/>
            <w:tcBorders>
              <w:top w:val="single" w:sz="8" w:space="0" w:color="auto"/>
              <w:left w:val="single" w:sz="8" w:space="0" w:color="auto"/>
              <w:bottom w:val="single" w:sz="8" w:space="0" w:color="auto"/>
              <w:right w:val="nil"/>
            </w:tcBorders>
            <w:shd w:val="clear" w:color="000000" w:fill="C0C0C0"/>
            <w:vAlign w:val="center"/>
            <w:hideMark/>
          </w:tcPr>
          <w:p w14:paraId="4505BF30" w14:textId="534631B2" w:rsidR="00373731" w:rsidRPr="00201A9A" w:rsidRDefault="00373731" w:rsidP="00812AD2">
            <w:pPr>
              <w:spacing w:before="0" w:after="0"/>
              <w:jc w:val="center"/>
              <w:rPr>
                <w:rFonts w:eastAsia="Times New Roman"/>
                <w:b/>
                <w:bCs/>
                <w:noProof/>
                <w:sz w:val="18"/>
                <w:szCs w:val="18"/>
              </w:rPr>
            </w:pPr>
            <w:r w:rsidRPr="00201A9A">
              <w:rPr>
                <w:b/>
                <w:noProof/>
                <w:sz w:val="18"/>
              </w:rPr>
              <w:t>OGÓŁEM środki</w:t>
            </w:r>
            <w:r w:rsidRPr="00201A9A">
              <w:rPr>
                <w:noProof/>
              </w:rPr>
              <w:t xml:space="preserve"> </w:t>
            </w:r>
            <w:r w:rsidRPr="00201A9A">
              <w:rPr>
                <w:noProof/>
              </w:rPr>
              <w:br/>
            </w:r>
            <w:r w:rsidRPr="00201A9A">
              <w:rPr>
                <w:b/>
                <w:noProof/>
                <w:sz w:val="18"/>
              </w:rPr>
              <w:t>na DZIAŁY 1 do</w:t>
            </w:r>
            <w:r w:rsidR="00201A9A" w:rsidRPr="00201A9A">
              <w:rPr>
                <w:b/>
                <w:noProof/>
                <w:sz w:val="18"/>
              </w:rPr>
              <w:t> </w:t>
            </w:r>
            <w:r w:rsidRPr="00201A9A">
              <w:rPr>
                <w:b/>
                <w:noProof/>
                <w:sz w:val="18"/>
              </w:rPr>
              <w:t>4</w:t>
            </w:r>
          </w:p>
        </w:tc>
        <w:tc>
          <w:tcPr>
            <w:tcW w:w="476" w:type="pct"/>
            <w:tcBorders>
              <w:top w:val="single" w:sz="8" w:space="0" w:color="auto"/>
              <w:left w:val="single" w:sz="8" w:space="0" w:color="auto"/>
              <w:bottom w:val="single" w:sz="8" w:space="0" w:color="auto"/>
              <w:right w:val="single" w:sz="8" w:space="0" w:color="auto"/>
            </w:tcBorders>
            <w:vAlign w:val="center"/>
            <w:hideMark/>
          </w:tcPr>
          <w:p w14:paraId="08846AAF" w14:textId="77777777" w:rsidR="00373731" w:rsidRPr="00201A9A" w:rsidRDefault="00373731" w:rsidP="00812AD2">
            <w:pPr>
              <w:spacing w:before="0" w:after="0"/>
              <w:rPr>
                <w:rFonts w:eastAsia="Times New Roman"/>
                <w:noProof/>
                <w:sz w:val="18"/>
                <w:szCs w:val="18"/>
              </w:rPr>
            </w:pPr>
            <w:r w:rsidRPr="00201A9A">
              <w:rPr>
                <w:noProof/>
                <w:sz w:val="18"/>
              </w:rPr>
              <w:t>Środki na zobowiązania</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FD71AC" w14:textId="77777777" w:rsidR="00373731" w:rsidRPr="00201A9A" w:rsidRDefault="00373731" w:rsidP="00812AD2">
            <w:pPr>
              <w:spacing w:before="0" w:after="0"/>
              <w:jc w:val="right"/>
              <w:rPr>
                <w:rFonts w:eastAsia="Times New Roman"/>
                <w:b/>
                <w:bCs/>
                <w:noProof/>
                <w:sz w:val="18"/>
                <w:szCs w:val="18"/>
              </w:rPr>
            </w:pPr>
            <w:r w:rsidRPr="00201A9A">
              <w:rPr>
                <w:b/>
                <w:noProof/>
                <w:color w:val="000000"/>
                <w:sz w:val="18"/>
              </w:rPr>
              <w:t>136 033,013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FEB2DE" w14:textId="77777777" w:rsidR="00373731" w:rsidRPr="00201A9A" w:rsidRDefault="00373731" w:rsidP="00812AD2">
            <w:pPr>
              <w:spacing w:before="0" w:after="0"/>
              <w:jc w:val="right"/>
              <w:rPr>
                <w:rFonts w:eastAsia="Times New Roman"/>
                <w:b/>
                <w:bCs/>
                <w:noProof/>
                <w:sz w:val="18"/>
                <w:szCs w:val="18"/>
              </w:rPr>
            </w:pPr>
            <w:r w:rsidRPr="00201A9A">
              <w:rPr>
                <w:b/>
                <w:noProof/>
                <w:color w:val="000000"/>
                <w:sz w:val="18"/>
              </w:rPr>
              <w:t>133 596,013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120D142" w14:textId="77777777" w:rsidR="00373731" w:rsidRPr="00201A9A" w:rsidRDefault="00373731" w:rsidP="00812AD2">
            <w:pPr>
              <w:spacing w:before="0" w:after="0"/>
              <w:jc w:val="right"/>
              <w:rPr>
                <w:rFonts w:eastAsia="Times New Roman"/>
                <w:b/>
                <w:bCs/>
                <w:noProof/>
                <w:sz w:val="18"/>
                <w:szCs w:val="18"/>
              </w:rPr>
            </w:pPr>
            <w:r w:rsidRPr="00201A9A">
              <w:rPr>
                <w:b/>
                <w:noProof/>
                <w:color w:val="000000"/>
                <w:sz w:val="18"/>
              </w:rPr>
              <w:t>130 593,013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0885F4" w14:textId="77777777" w:rsidR="00373731" w:rsidRPr="00201A9A" w:rsidRDefault="00373731" w:rsidP="00812AD2">
            <w:pPr>
              <w:spacing w:before="0" w:after="0"/>
              <w:jc w:val="right"/>
              <w:rPr>
                <w:rFonts w:eastAsia="Times New Roman"/>
                <w:b/>
                <w:bCs/>
                <w:noProof/>
                <w:sz w:val="18"/>
                <w:szCs w:val="18"/>
              </w:rPr>
            </w:pPr>
            <w:r w:rsidRPr="00201A9A">
              <w:rPr>
                <w:b/>
                <w:noProof/>
                <w:color w:val="000000"/>
                <w:sz w:val="18"/>
              </w:rPr>
              <w:t>127 873,013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907A539" w14:textId="77777777" w:rsidR="00373731" w:rsidRPr="00201A9A" w:rsidRDefault="00373731" w:rsidP="00812AD2">
            <w:pPr>
              <w:spacing w:before="0" w:after="0"/>
              <w:jc w:val="right"/>
              <w:rPr>
                <w:rFonts w:eastAsia="Times New Roman"/>
                <w:b/>
                <w:bCs/>
                <w:noProof/>
                <w:sz w:val="18"/>
                <w:szCs w:val="18"/>
              </w:rPr>
            </w:pPr>
            <w:r w:rsidRPr="00201A9A">
              <w:rPr>
                <w:b/>
                <w:noProof/>
                <w:color w:val="000000"/>
                <w:sz w:val="18"/>
              </w:rPr>
              <w:t>124 341,013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55A75C3" w14:textId="77777777" w:rsidR="00373731" w:rsidRPr="00201A9A" w:rsidRDefault="00373731" w:rsidP="00812AD2">
            <w:pPr>
              <w:spacing w:before="0" w:after="0"/>
              <w:jc w:val="right"/>
              <w:rPr>
                <w:rFonts w:eastAsia="Times New Roman"/>
                <w:b/>
                <w:bCs/>
                <w:noProof/>
                <w:sz w:val="18"/>
                <w:szCs w:val="18"/>
              </w:rPr>
            </w:pPr>
            <w:r w:rsidRPr="00201A9A">
              <w:rPr>
                <w:b/>
                <w:noProof/>
                <w:color w:val="000000"/>
                <w:sz w:val="18"/>
              </w:rPr>
              <w:t>111 997,013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64B5EB" w14:textId="77777777" w:rsidR="00373731" w:rsidRPr="00201A9A" w:rsidRDefault="00373731" w:rsidP="00812AD2">
            <w:pPr>
              <w:spacing w:before="0" w:after="0"/>
              <w:jc w:val="right"/>
              <w:rPr>
                <w:rFonts w:eastAsia="Times New Roman"/>
                <w:b/>
                <w:bCs/>
                <w:noProof/>
                <w:sz w:val="18"/>
                <w:szCs w:val="18"/>
              </w:rPr>
            </w:pPr>
            <w:r w:rsidRPr="00201A9A">
              <w:rPr>
                <w:b/>
                <w:noProof/>
                <w:color w:val="000000"/>
                <w:sz w:val="18"/>
              </w:rPr>
              <w:t>103 877,013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4A3F0C7" w14:textId="77777777" w:rsidR="00373731" w:rsidRPr="00201A9A" w:rsidRDefault="00373731" w:rsidP="00812AD2">
            <w:pPr>
              <w:spacing w:before="0" w:after="0"/>
              <w:jc w:val="right"/>
              <w:rPr>
                <w:rFonts w:eastAsia="Times New Roman"/>
                <w:b/>
                <w:bCs/>
                <w:noProof/>
                <w:sz w:val="18"/>
                <w:szCs w:val="18"/>
              </w:rPr>
            </w:pPr>
            <w:r w:rsidRPr="00201A9A">
              <w:rPr>
                <w:b/>
                <w:noProof/>
                <w:color w:val="000000"/>
                <w:sz w:val="18"/>
              </w:rPr>
              <w:t>868 310,091</w:t>
            </w:r>
          </w:p>
        </w:tc>
      </w:tr>
      <w:tr w:rsidR="00373731" w:rsidRPr="00201A9A" w14:paraId="797AF012" w14:textId="77777777" w:rsidTr="00373731">
        <w:trPr>
          <w:trHeight w:val="540"/>
        </w:trPr>
        <w:tc>
          <w:tcPr>
            <w:tcW w:w="1381" w:type="pct"/>
            <w:tcBorders>
              <w:top w:val="single" w:sz="8" w:space="0" w:color="auto"/>
              <w:left w:val="single" w:sz="8" w:space="0" w:color="auto"/>
              <w:bottom w:val="single" w:sz="8" w:space="0" w:color="auto"/>
              <w:right w:val="nil"/>
            </w:tcBorders>
            <w:shd w:val="clear" w:color="000000" w:fill="C0C0C0"/>
            <w:vAlign w:val="center"/>
            <w:hideMark/>
          </w:tcPr>
          <w:p w14:paraId="71293AA9" w14:textId="77777777" w:rsidR="00373731" w:rsidRPr="00201A9A" w:rsidRDefault="00373731" w:rsidP="00812AD2">
            <w:pPr>
              <w:spacing w:before="0" w:after="0"/>
              <w:jc w:val="center"/>
              <w:rPr>
                <w:rFonts w:eastAsia="Times New Roman"/>
                <w:noProof/>
                <w:sz w:val="18"/>
                <w:szCs w:val="18"/>
              </w:rPr>
            </w:pPr>
            <w:r w:rsidRPr="00201A9A">
              <w:rPr>
                <w:noProof/>
                <w:sz w:val="18"/>
              </w:rPr>
              <w:t>wieloletnich ram finansowych</w:t>
            </w:r>
            <w:r w:rsidRPr="00201A9A">
              <w:rPr>
                <w:b/>
                <w:noProof/>
                <w:sz w:val="18"/>
              </w:rPr>
              <w:t xml:space="preserve"> </w:t>
            </w:r>
          </w:p>
        </w:tc>
        <w:tc>
          <w:tcPr>
            <w:tcW w:w="476" w:type="pct"/>
            <w:tcBorders>
              <w:top w:val="single" w:sz="8" w:space="0" w:color="auto"/>
              <w:left w:val="single" w:sz="8" w:space="0" w:color="auto"/>
              <w:bottom w:val="single" w:sz="8" w:space="0" w:color="auto"/>
              <w:right w:val="single" w:sz="8" w:space="0" w:color="auto"/>
            </w:tcBorders>
            <w:vAlign w:val="center"/>
            <w:hideMark/>
          </w:tcPr>
          <w:p w14:paraId="55BC5962" w14:textId="77777777" w:rsidR="00373731" w:rsidRPr="00201A9A" w:rsidRDefault="00373731" w:rsidP="00812AD2">
            <w:pPr>
              <w:spacing w:before="0" w:after="0"/>
              <w:rPr>
                <w:rFonts w:eastAsia="Times New Roman"/>
                <w:noProof/>
                <w:sz w:val="18"/>
                <w:szCs w:val="18"/>
              </w:rPr>
            </w:pPr>
            <w:r w:rsidRPr="00201A9A">
              <w:rPr>
                <w:noProof/>
                <w:sz w:val="18"/>
              </w:rPr>
              <w:t>Środki na płatności</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5BDF3B9" w14:textId="77777777" w:rsidR="00373731" w:rsidRPr="00201A9A" w:rsidRDefault="00373731" w:rsidP="00812AD2">
            <w:pPr>
              <w:spacing w:before="0" w:after="0"/>
              <w:jc w:val="right"/>
              <w:rPr>
                <w:rFonts w:eastAsia="Times New Roman"/>
                <w:b/>
                <w:bCs/>
                <w:noProof/>
                <w:sz w:val="18"/>
                <w:szCs w:val="18"/>
              </w:rPr>
            </w:pPr>
            <w:r w:rsidRPr="00201A9A">
              <w:rPr>
                <w:b/>
                <w:noProof/>
                <w:sz w:val="18"/>
              </w:rPr>
              <w:t>p.m.</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33BC1FE" w14:textId="77777777" w:rsidR="00373731" w:rsidRPr="00201A9A" w:rsidRDefault="00373731" w:rsidP="00812AD2">
            <w:pPr>
              <w:spacing w:before="0" w:after="0"/>
              <w:jc w:val="right"/>
              <w:rPr>
                <w:rFonts w:eastAsia="Times New Roman"/>
                <w:b/>
                <w:bCs/>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8E198C" w14:textId="77777777" w:rsidR="00373731" w:rsidRPr="00201A9A" w:rsidRDefault="00373731" w:rsidP="00812AD2">
            <w:pPr>
              <w:spacing w:before="0" w:after="0"/>
              <w:jc w:val="right"/>
              <w:rPr>
                <w:rFonts w:eastAsia="Times New Roman"/>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476D566" w14:textId="77777777" w:rsidR="00373731" w:rsidRPr="00201A9A" w:rsidRDefault="00373731" w:rsidP="00812AD2">
            <w:pPr>
              <w:spacing w:before="0" w:after="0"/>
              <w:jc w:val="right"/>
              <w:rPr>
                <w:rFonts w:eastAsia="Times New Roman"/>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DE54CBF" w14:textId="77777777" w:rsidR="00373731" w:rsidRPr="00201A9A" w:rsidRDefault="00373731" w:rsidP="00812AD2">
            <w:pPr>
              <w:spacing w:before="0" w:after="0"/>
              <w:jc w:val="right"/>
              <w:rPr>
                <w:rFonts w:eastAsia="Times New Roman"/>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0BE190C" w14:textId="77777777" w:rsidR="00373731" w:rsidRPr="00201A9A" w:rsidRDefault="00373731" w:rsidP="00812AD2">
            <w:pPr>
              <w:spacing w:before="0" w:after="0"/>
              <w:jc w:val="right"/>
              <w:rPr>
                <w:rFonts w:eastAsia="Times New Roman"/>
                <w:noProof/>
                <w:sz w:val="18"/>
                <w:szCs w:val="18"/>
                <w:lang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7D3BD25" w14:textId="77777777" w:rsidR="00373731" w:rsidRPr="00201A9A" w:rsidRDefault="00373731" w:rsidP="00812AD2">
            <w:pPr>
              <w:spacing w:before="0" w:after="0"/>
              <w:jc w:val="right"/>
              <w:rPr>
                <w:rFonts w:eastAsia="Times New Roman"/>
                <w:noProof/>
                <w:sz w:val="18"/>
                <w:szCs w:val="18"/>
                <w:lang w:eastAsia="zh-CN"/>
              </w:rPr>
            </w:pP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0C21D6" w14:textId="77777777" w:rsidR="00373731" w:rsidRPr="00201A9A" w:rsidRDefault="00373731" w:rsidP="00812AD2">
            <w:pPr>
              <w:spacing w:before="0" w:after="0"/>
              <w:jc w:val="right"/>
              <w:rPr>
                <w:rFonts w:eastAsia="Times New Roman"/>
                <w:noProof/>
                <w:sz w:val="18"/>
                <w:szCs w:val="18"/>
                <w:lang w:eastAsia="zh-CN"/>
              </w:rPr>
            </w:pPr>
          </w:p>
        </w:tc>
      </w:tr>
    </w:tbl>
    <w:p w14:paraId="7C58E0F1" w14:textId="77777777" w:rsidR="004A489F" w:rsidRPr="00201A9A" w:rsidRDefault="004A489F" w:rsidP="004A489F">
      <w:pPr>
        <w:pStyle w:val="Text1"/>
        <w:ind w:left="0"/>
        <w:rPr>
          <w:noProof/>
        </w:rPr>
      </w:pPr>
    </w:p>
    <w:p w14:paraId="78BA67DF" w14:textId="6CA4FAC8" w:rsidR="004A489F" w:rsidRPr="00201A9A" w:rsidRDefault="004A489F" w:rsidP="004A489F">
      <w:pPr>
        <w:pStyle w:val="ManualHeading3"/>
        <w:rPr>
          <w:noProof/>
        </w:rPr>
      </w:pPr>
      <w:r w:rsidRPr="00201A9A">
        <w:rPr>
          <w:noProof/>
        </w:rPr>
        <w:t>3.2.1.2.</w:t>
      </w:r>
      <w:r w:rsidRPr="00201A9A">
        <w:rPr>
          <w:noProof/>
        </w:rPr>
        <w:tab/>
        <w:t>Środki</w:t>
      </w:r>
      <w:r w:rsidR="00201A9A" w:rsidRPr="00201A9A">
        <w:rPr>
          <w:noProof/>
        </w:rPr>
        <w:t xml:space="preserve"> z zew</w:t>
      </w:r>
      <w:r w:rsidRPr="00201A9A">
        <w:rPr>
          <w:noProof/>
        </w:rPr>
        <w:t>nętrznych dochodów przeznaczonych na określony cel</w:t>
      </w:r>
      <w:bookmarkEnd w:id="159"/>
      <w:bookmarkEnd w:id="160"/>
      <w:bookmarkEnd w:id="1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227"/>
        <w:gridCol w:w="1370"/>
        <w:gridCol w:w="1569"/>
        <w:gridCol w:w="1027"/>
        <w:gridCol w:w="1027"/>
        <w:gridCol w:w="1027"/>
        <w:gridCol w:w="956"/>
        <w:gridCol w:w="956"/>
        <w:gridCol w:w="956"/>
        <w:gridCol w:w="956"/>
        <w:gridCol w:w="1149"/>
      </w:tblGrid>
      <w:tr w:rsidR="009848BD" w:rsidRPr="00201A9A" w14:paraId="0DBE3E7B" w14:textId="77777777" w:rsidTr="00812AD2">
        <w:trPr>
          <w:trHeight w:val="420"/>
        </w:trPr>
        <w:tc>
          <w:tcPr>
            <w:tcW w:w="2168" w:type="pct"/>
            <w:gridSpan w:val="3"/>
            <w:vMerge w:val="restart"/>
            <w:vAlign w:val="center"/>
            <w:hideMark/>
          </w:tcPr>
          <w:p w14:paraId="222FCCA0" w14:textId="77777777" w:rsidR="009848BD" w:rsidRPr="00201A9A" w:rsidRDefault="009848BD" w:rsidP="00812AD2">
            <w:pPr>
              <w:spacing w:before="0" w:after="0"/>
              <w:jc w:val="center"/>
              <w:rPr>
                <w:rFonts w:eastAsia="Times New Roman"/>
                <w:noProof/>
                <w:sz w:val="18"/>
                <w:szCs w:val="18"/>
              </w:rPr>
            </w:pPr>
            <w:bookmarkStart w:id="162" w:name="_Toc514938054"/>
            <w:bookmarkStart w:id="163" w:name="_Toc520485053"/>
            <w:bookmarkStart w:id="164" w:name="_Toc160804597"/>
            <w:bookmarkStart w:id="165" w:name="_Toc167220289"/>
            <w:bookmarkStart w:id="166" w:name="_Toc177549022"/>
            <w:r w:rsidRPr="00201A9A">
              <w:rPr>
                <w:noProof/>
                <w:sz w:val="18"/>
              </w:rPr>
              <w:t>Społeczny Fundusz Klimatyczny</w:t>
            </w:r>
          </w:p>
        </w:tc>
        <w:tc>
          <w:tcPr>
            <w:tcW w:w="361" w:type="pct"/>
            <w:vAlign w:val="center"/>
            <w:hideMark/>
          </w:tcPr>
          <w:p w14:paraId="1EC9DE49" w14:textId="77777777" w:rsidR="009848BD" w:rsidRPr="00201A9A" w:rsidRDefault="009848BD" w:rsidP="00812AD2">
            <w:pPr>
              <w:spacing w:before="0" w:after="0"/>
              <w:jc w:val="center"/>
              <w:rPr>
                <w:rFonts w:eastAsia="Times New Roman"/>
                <w:noProof/>
                <w:sz w:val="18"/>
                <w:szCs w:val="18"/>
              </w:rPr>
            </w:pPr>
            <w:r w:rsidRPr="00201A9A">
              <w:rPr>
                <w:noProof/>
                <w:sz w:val="18"/>
              </w:rPr>
              <w:t>Rok</w:t>
            </w:r>
          </w:p>
        </w:tc>
        <w:tc>
          <w:tcPr>
            <w:tcW w:w="361" w:type="pct"/>
            <w:vAlign w:val="center"/>
            <w:hideMark/>
          </w:tcPr>
          <w:p w14:paraId="416146EC" w14:textId="77777777" w:rsidR="009848BD" w:rsidRPr="00201A9A" w:rsidRDefault="009848BD" w:rsidP="00812AD2">
            <w:pPr>
              <w:spacing w:before="0" w:after="0"/>
              <w:jc w:val="center"/>
              <w:rPr>
                <w:rFonts w:eastAsia="Times New Roman"/>
                <w:noProof/>
                <w:sz w:val="18"/>
                <w:szCs w:val="18"/>
              </w:rPr>
            </w:pPr>
            <w:r w:rsidRPr="00201A9A">
              <w:rPr>
                <w:noProof/>
                <w:sz w:val="18"/>
              </w:rPr>
              <w:t>Rok</w:t>
            </w:r>
          </w:p>
        </w:tc>
        <w:tc>
          <w:tcPr>
            <w:tcW w:w="361" w:type="pct"/>
            <w:vAlign w:val="center"/>
            <w:hideMark/>
          </w:tcPr>
          <w:p w14:paraId="4BEAB29C" w14:textId="77777777" w:rsidR="009848BD" w:rsidRPr="00201A9A" w:rsidRDefault="009848BD" w:rsidP="00812AD2">
            <w:pPr>
              <w:spacing w:before="0" w:after="0"/>
              <w:jc w:val="center"/>
              <w:rPr>
                <w:rFonts w:eastAsia="Times New Roman"/>
                <w:noProof/>
                <w:sz w:val="18"/>
                <w:szCs w:val="18"/>
              </w:rPr>
            </w:pPr>
            <w:r w:rsidRPr="00201A9A">
              <w:rPr>
                <w:noProof/>
                <w:sz w:val="18"/>
              </w:rPr>
              <w:t>Rok</w:t>
            </w:r>
          </w:p>
        </w:tc>
        <w:tc>
          <w:tcPr>
            <w:tcW w:w="336" w:type="pct"/>
            <w:vAlign w:val="center"/>
            <w:hideMark/>
          </w:tcPr>
          <w:p w14:paraId="05D2F393" w14:textId="77777777" w:rsidR="009848BD" w:rsidRPr="00201A9A" w:rsidRDefault="009848BD" w:rsidP="00812AD2">
            <w:pPr>
              <w:spacing w:before="0" w:after="0"/>
              <w:jc w:val="center"/>
              <w:rPr>
                <w:rFonts w:eastAsia="Times New Roman"/>
                <w:noProof/>
                <w:sz w:val="18"/>
                <w:szCs w:val="18"/>
              </w:rPr>
            </w:pPr>
            <w:r w:rsidRPr="00201A9A">
              <w:rPr>
                <w:noProof/>
                <w:sz w:val="18"/>
              </w:rPr>
              <w:t>Rok</w:t>
            </w:r>
          </w:p>
        </w:tc>
        <w:tc>
          <w:tcPr>
            <w:tcW w:w="336" w:type="pct"/>
            <w:vAlign w:val="center"/>
            <w:hideMark/>
          </w:tcPr>
          <w:p w14:paraId="08D70D45" w14:textId="77777777" w:rsidR="009848BD" w:rsidRPr="00201A9A" w:rsidRDefault="009848BD" w:rsidP="00812AD2">
            <w:pPr>
              <w:spacing w:before="0" w:after="0"/>
              <w:jc w:val="center"/>
              <w:rPr>
                <w:rFonts w:eastAsia="Times New Roman"/>
                <w:noProof/>
                <w:sz w:val="18"/>
                <w:szCs w:val="18"/>
              </w:rPr>
            </w:pPr>
            <w:r w:rsidRPr="00201A9A">
              <w:rPr>
                <w:noProof/>
                <w:sz w:val="18"/>
              </w:rPr>
              <w:t>Rok</w:t>
            </w:r>
          </w:p>
        </w:tc>
        <w:tc>
          <w:tcPr>
            <w:tcW w:w="336" w:type="pct"/>
            <w:vAlign w:val="center"/>
            <w:hideMark/>
          </w:tcPr>
          <w:p w14:paraId="3D24D2C1" w14:textId="77777777" w:rsidR="009848BD" w:rsidRPr="00201A9A" w:rsidRDefault="009848BD" w:rsidP="00812AD2">
            <w:pPr>
              <w:spacing w:before="0" w:after="0"/>
              <w:jc w:val="center"/>
              <w:rPr>
                <w:rFonts w:eastAsia="Times New Roman"/>
                <w:noProof/>
                <w:sz w:val="18"/>
                <w:szCs w:val="18"/>
              </w:rPr>
            </w:pPr>
            <w:r w:rsidRPr="00201A9A">
              <w:rPr>
                <w:noProof/>
                <w:sz w:val="18"/>
              </w:rPr>
              <w:t>Rok</w:t>
            </w:r>
          </w:p>
        </w:tc>
        <w:tc>
          <w:tcPr>
            <w:tcW w:w="336" w:type="pct"/>
            <w:vAlign w:val="center"/>
            <w:hideMark/>
          </w:tcPr>
          <w:p w14:paraId="48B602EA" w14:textId="77777777" w:rsidR="009848BD" w:rsidRPr="00201A9A" w:rsidRDefault="009848BD" w:rsidP="00812AD2">
            <w:pPr>
              <w:spacing w:before="0" w:after="0"/>
              <w:jc w:val="center"/>
              <w:rPr>
                <w:rFonts w:eastAsia="Times New Roman"/>
                <w:noProof/>
                <w:sz w:val="18"/>
                <w:szCs w:val="18"/>
              </w:rPr>
            </w:pPr>
            <w:r w:rsidRPr="00201A9A">
              <w:rPr>
                <w:noProof/>
                <w:sz w:val="18"/>
              </w:rPr>
              <w:t>Rok</w:t>
            </w:r>
          </w:p>
        </w:tc>
        <w:tc>
          <w:tcPr>
            <w:tcW w:w="405" w:type="pct"/>
            <w:vMerge w:val="restart"/>
            <w:vAlign w:val="center"/>
            <w:hideMark/>
          </w:tcPr>
          <w:p w14:paraId="099AABD2" w14:textId="77777777" w:rsidR="009848BD" w:rsidRPr="00201A9A" w:rsidRDefault="009848BD" w:rsidP="00812AD2">
            <w:pPr>
              <w:spacing w:before="0" w:after="0"/>
              <w:jc w:val="center"/>
              <w:rPr>
                <w:rFonts w:eastAsia="Times New Roman"/>
                <w:b/>
                <w:bCs/>
                <w:noProof/>
                <w:sz w:val="18"/>
                <w:szCs w:val="18"/>
              </w:rPr>
            </w:pPr>
            <w:r w:rsidRPr="00201A9A">
              <w:rPr>
                <w:b/>
                <w:noProof/>
                <w:sz w:val="18"/>
              </w:rPr>
              <w:t>OGÓŁEM WRF</w:t>
            </w:r>
            <w:r w:rsidRPr="00201A9A">
              <w:rPr>
                <w:noProof/>
              </w:rPr>
              <w:t xml:space="preserve"> </w:t>
            </w:r>
            <w:r w:rsidRPr="00201A9A">
              <w:rPr>
                <w:noProof/>
              </w:rPr>
              <w:br/>
            </w:r>
            <w:r w:rsidRPr="00201A9A">
              <w:rPr>
                <w:b/>
                <w:noProof/>
                <w:sz w:val="18"/>
              </w:rPr>
              <w:t>2028-2034</w:t>
            </w:r>
          </w:p>
        </w:tc>
      </w:tr>
      <w:tr w:rsidR="009848BD" w:rsidRPr="00201A9A" w14:paraId="4C893F20" w14:textId="77777777" w:rsidTr="00812AD2">
        <w:trPr>
          <w:trHeight w:val="315"/>
        </w:trPr>
        <w:tc>
          <w:tcPr>
            <w:tcW w:w="2168" w:type="pct"/>
            <w:gridSpan w:val="3"/>
            <w:vMerge/>
            <w:vAlign w:val="center"/>
            <w:hideMark/>
          </w:tcPr>
          <w:p w14:paraId="566FA815" w14:textId="77777777" w:rsidR="009848BD" w:rsidRPr="00201A9A" w:rsidRDefault="009848BD" w:rsidP="00812AD2">
            <w:pPr>
              <w:spacing w:before="0" w:after="0"/>
              <w:jc w:val="left"/>
              <w:rPr>
                <w:rFonts w:eastAsia="Times New Roman"/>
                <w:noProof/>
                <w:sz w:val="18"/>
                <w:szCs w:val="18"/>
                <w:lang w:eastAsia="zh-CN"/>
              </w:rPr>
            </w:pPr>
          </w:p>
        </w:tc>
        <w:tc>
          <w:tcPr>
            <w:tcW w:w="361" w:type="pct"/>
            <w:vAlign w:val="center"/>
            <w:hideMark/>
          </w:tcPr>
          <w:p w14:paraId="14901EB3" w14:textId="77777777" w:rsidR="009848BD" w:rsidRPr="00201A9A" w:rsidRDefault="009848BD" w:rsidP="00812AD2">
            <w:pPr>
              <w:spacing w:before="0" w:after="0"/>
              <w:jc w:val="center"/>
              <w:rPr>
                <w:rFonts w:eastAsia="Times New Roman"/>
                <w:b/>
                <w:bCs/>
                <w:noProof/>
                <w:sz w:val="18"/>
                <w:szCs w:val="18"/>
              </w:rPr>
            </w:pPr>
            <w:r w:rsidRPr="00201A9A">
              <w:rPr>
                <w:b/>
                <w:noProof/>
                <w:sz w:val="18"/>
              </w:rPr>
              <w:t>2028</w:t>
            </w:r>
          </w:p>
        </w:tc>
        <w:tc>
          <w:tcPr>
            <w:tcW w:w="361" w:type="pct"/>
            <w:vAlign w:val="center"/>
            <w:hideMark/>
          </w:tcPr>
          <w:p w14:paraId="77F6702C" w14:textId="77777777" w:rsidR="009848BD" w:rsidRPr="00201A9A" w:rsidRDefault="009848BD" w:rsidP="00812AD2">
            <w:pPr>
              <w:spacing w:before="0" w:after="0"/>
              <w:jc w:val="center"/>
              <w:rPr>
                <w:rFonts w:eastAsia="Times New Roman"/>
                <w:b/>
                <w:bCs/>
                <w:noProof/>
                <w:sz w:val="18"/>
                <w:szCs w:val="18"/>
              </w:rPr>
            </w:pPr>
            <w:r w:rsidRPr="00201A9A">
              <w:rPr>
                <w:b/>
                <w:noProof/>
                <w:sz w:val="18"/>
              </w:rPr>
              <w:t>2029</w:t>
            </w:r>
          </w:p>
        </w:tc>
        <w:tc>
          <w:tcPr>
            <w:tcW w:w="361" w:type="pct"/>
            <w:vAlign w:val="center"/>
            <w:hideMark/>
          </w:tcPr>
          <w:p w14:paraId="443A3C33" w14:textId="77777777" w:rsidR="009848BD" w:rsidRPr="00201A9A" w:rsidRDefault="009848BD" w:rsidP="00812AD2">
            <w:pPr>
              <w:spacing w:before="0" w:after="0"/>
              <w:jc w:val="center"/>
              <w:rPr>
                <w:rFonts w:eastAsia="Times New Roman"/>
                <w:b/>
                <w:bCs/>
                <w:noProof/>
                <w:sz w:val="18"/>
                <w:szCs w:val="18"/>
              </w:rPr>
            </w:pPr>
            <w:r w:rsidRPr="00201A9A">
              <w:rPr>
                <w:b/>
                <w:noProof/>
                <w:sz w:val="18"/>
              </w:rPr>
              <w:t>2030</w:t>
            </w:r>
          </w:p>
        </w:tc>
        <w:tc>
          <w:tcPr>
            <w:tcW w:w="336" w:type="pct"/>
            <w:vAlign w:val="center"/>
            <w:hideMark/>
          </w:tcPr>
          <w:p w14:paraId="09243FE1" w14:textId="77777777" w:rsidR="009848BD" w:rsidRPr="00201A9A" w:rsidRDefault="009848BD" w:rsidP="00812AD2">
            <w:pPr>
              <w:spacing w:before="0" w:after="0"/>
              <w:jc w:val="center"/>
              <w:rPr>
                <w:rFonts w:eastAsia="Times New Roman"/>
                <w:b/>
                <w:bCs/>
                <w:noProof/>
                <w:sz w:val="18"/>
                <w:szCs w:val="18"/>
              </w:rPr>
            </w:pPr>
            <w:r w:rsidRPr="00201A9A">
              <w:rPr>
                <w:b/>
                <w:noProof/>
                <w:sz w:val="18"/>
              </w:rPr>
              <w:t>2031</w:t>
            </w:r>
          </w:p>
        </w:tc>
        <w:tc>
          <w:tcPr>
            <w:tcW w:w="336" w:type="pct"/>
            <w:vAlign w:val="center"/>
            <w:hideMark/>
          </w:tcPr>
          <w:p w14:paraId="4EB35BED" w14:textId="77777777" w:rsidR="009848BD" w:rsidRPr="00201A9A" w:rsidRDefault="009848BD" w:rsidP="00812AD2">
            <w:pPr>
              <w:spacing w:before="0" w:after="0"/>
              <w:jc w:val="center"/>
              <w:rPr>
                <w:rFonts w:eastAsia="Times New Roman"/>
                <w:b/>
                <w:bCs/>
                <w:noProof/>
                <w:sz w:val="18"/>
                <w:szCs w:val="18"/>
              </w:rPr>
            </w:pPr>
            <w:r w:rsidRPr="00201A9A">
              <w:rPr>
                <w:b/>
                <w:noProof/>
                <w:sz w:val="18"/>
              </w:rPr>
              <w:t>2032</w:t>
            </w:r>
          </w:p>
        </w:tc>
        <w:tc>
          <w:tcPr>
            <w:tcW w:w="336" w:type="pct"/>
            <w:vAlign w:val="center"/>
            <w:hideMark/>
          </w:tcPr>
          <w:p w14:paraId="51DA6DFC" w14:textId="77777777" w:rsidR="009848BD" w:rsidRPr="00201A9A" w:rsidRDefault="009848BD" w:rsidP="00812AD2">
            <w:pPr>
              <w:spacing w:before="0" w:after="0"/>
              <w:jc w:val="center"/>
              <w:rPr>
                <w:rFonts w:eastAsia="Times New Roman"/>
                <w:b/>
                <w:bCs/>
                <w:noProof/>
                <w:sz w:val="18"/>
                <w:szCs w:val="18"/>
              </w:rPr>
            </w:pPr>
            <w:r w:rsidRPr="00201A9A">
              <w:rPr>
                <w:b/>
                <w:noProof/>
                <w:sz w:val="18"/>
              </w:rPr>
              <w:t>2033</w:t>
            </w:r>
          </w:p>
        </w:tc>
        <w:tc>
          <w:tcPr>
            <w:tcW w:w="336" w:type="pct"/>
            <w:vAlign w:val="center"/>
            <w:hideMark/>
          </w:tcPr>
          <w:p w14:paraId="43BA430D" w14:textId="77777777" w:rsidR="009848BD" w:rsidRPr="00201A9A" w:rsidRDefault="009848BD" w:rsidP="00812AD2">
            <w:pPr>
              <w:spacing w:before="0" w:after="0"/>
              <w:jc w:val="center"/>
              <w:rPr>
                <w:rFonts w:eastAsia="Times New Roman"/>
                <w:b/>
                <w:bCs/>
                <w:noProof/>
                <w:sz w:val="18"/>
                <w:szCs w:val="18"/>
              </w:rPr>
            </w:pPr>
            <w:r w:rsidRPr="00201A9A">
              <w:rPr>
                <w:b/>
                <w:noProof/>
                <w:sz w:val="18"/>
              </w:rPr>
              <w:t>2034</w:t>
            </w:r>
          </w:p>
        </w:tc>
        <w:tc>
          <w:tcPr>
            <w:tcW w:w="405" w:type="pct"/>
            <w:vMerge/>
            <w:vAlign w:val="center"/>
            <w:hideMark/>
          </w:tcPr>
          <w:p w14:paraId="5BAB0FC7" w14:textId="77777777" w:rsidR="009848BD" w:rsidRPr="00201A9A" w:rsidRDefault="009848BD" w:rsidP="00812AD2">
            <w:pPr>
              <w:spacing w:before="0" w:after="0"/>
              <w:jc w:val="left"/>
              <w:rPr>
                <w:rFonts w:eastAsia="Times New Roman"/>
                <w:b/>
                <w:bCs/>
                <w:noProof/>
                <w:sz w:val="18"/>
                <w:szCs w:val="18"/>
                <w:lang w:eastAsia="zh-CN"/>
              </w:rPr>
            </w:pPr>
          </w:p>
        </w:tc>
      </w:tr>
      <w:tr w:rsidR="009848BD" w:rsidRPr="00201A9A" w14:paraId="21E68A80" w14:textId="77777777" w:rsidTr="00812AD2">
        <w:trPr>
          <w:trHeight w:val="315"/>
        </w:trPr>
        <w:tc>
          <w:tcPr>
            <w:tcW w:w="2168" w:type="pct"/>
            <w:gridSpan w:val="3"/>
            <w:vAlign w:val="center"/>
            <w:hideMark/>
          </w:tcPr>
          <w:p w14:paraId="484795CD" w14:textId="77777777" w:rsidR="009848BD" w:rsidRPr="00201A9A" w:rsidRDefault="009848BD" w:rsidP="00812AD2">
            <w:pPr>
              <w:spacing w:before="0" w:after="0"/>
              <w:rPr>
                <w:rFonts w:ascii="Wingdings" w:eastAsia="Times New Roman" w:hAnsi="Wingdings" w:cs="Calibri"/>
                <w:noProof/>
                <w:sz w:val="18"/>
                <w:szCs w:val="18"/>
              </w:rPr>
            </w:pPr>
            <w:r w:rsidRPr="00201A9A">
              <w:rPr>
                <w:rFonts w:ascii="Wingdings" w:hAnsi="Wingdings"/>
                <w:noProof/>
                <w:sz w:val="18"/>
              </w:rPr>
              <w:t></w:t>
            </w:r>
            <w:r w:rsidRPr="00201A9A">
              <w:rPr>
                <w:noProof/>
                <w:sz w:val="18"/>
              </w:rPr>
              <w:t xml:space="preserve">Środki operacyjne </w:t>
            </w:r>
          </w:p>
        </w:tc>
        <w:tc>
          <w:tcPr>
            <w:tcW w:w="361" w:type="pct"/>
            <w:vAlign w:val="center"/>
            <w:hideMark/>
          </w:tcPr>
          <w:p w14:paraId="7D4AB7E1" w14:textId="77777777" w:rsidR="009848BD" w:rsidRPr="00201A9A" w:rsidRDefault="009848BD" w:rsidP="00812AD2">
            <w:pPr>
              <w:spacing w:before="0" w:after="0"/>
              <w:rPr>
                <w:rFonts w:ascii="Wingdings" w:eastAsia="Times New Roman" w:hAnsi="Wingdings" w:cs="Calibri"/>
                <w:noProof/>
                <w:sz w:val="18"/>
                <w:szCs w:val="18"/>
                <w:lang w:eastAsia="zh-CN"/>
              </w:rPr>
            </w:pPr>
          </w:p>
        </w:tc>
        <w:tc>
          <w:tcPr>
            <w:tcW w:w="361" w:type="pct"/>
            <w:vAlign w:val="center"/>
            <w:hideMark/>
          </w:tcPr>
          <w:p w14:paraId="367D2DD9" w14:textId="77777777" w:rsidR="009848BD" w:rsidRPr="00201A9A" w:rsidRDefault="009848BD" w:rsidP="00812AD2">
            <w:pPr>
              <w:spacing w:before="0" w:after="0"/>
              <w:rPr>
                <w:rFonts w:eastAsia="Times New Roman"/>
                <w:noProof/>
                <w:sz w:val="18"/>
                <w:szCs w:val="18"/>
                <w:lang w:eastAsia="zh-CN"/>
              </w:rPr>
            </w:pPr>
          </w:p>
        </w:tc>
        <w:tc>
          <w:tcPr>
            <w:tcW w:w="361" w:type="pct"/>
            <w:vAlign w:val="center"/>
            <w:hideMark/>
          </w:tcPr>
          <w:p w14:paraId="7B54A217" w14:textId="77777777" w:rsidR="009848BD" w:rsidRPr="00201A9A" w:rsidRDefault="009848BD" w:rsidP="00812AD2">
            <w:pPr>
              <w:spacing w:before="0" w:after="0"/>
              <w:rPr>
                <w:rFonts w:eastAsia="Times New Roman"/>
                <w:noProof/>
                <w:sz w:val="18"/>
                <w:szCs w:val="18"/>
                <w:lang w:eastAsia="zh-CN"/>
              </w:rPr>
            </w:pPr>
          </w:p>
        </w:tc>
        <w:tc>
          <w:tcPr>
            <w:tcW w:w="336" w:type="pct"/>
            <w:vAlign w:val="center"/>
            <w:hideMark/>
          </w:tcPr>
          <w:p w14:paraId="78DB3866" w14:textId="77777777" w:rsidR="009848BD" w:rsidRPr="00201A9A" w:rsidRDefault="009848BD" w:rsidP="00812AD2">
            <w:pPr>
              <w:spacing w:before="0" w:after="0"/>
              <w:rPr>
                <w:rFonts w:eastAsia="Times New Roman"/>
                <w:noProof/>
                <w:sz w:val="18"/>
                <w:szCs w:val="18"/>
                <w:lang w:eastAsia="zh-CN"/>
              </w:rPr>
            </w:pPr>
          </w:p>
        </w:tc>
        <w:tc>
          <w:tcPr>
            <w:tcW w:w="336" w:type="pct"/>
            <w:vAlign w:val="center"/>
            <w:hideMark/>
          </w:tcPr>
          <w:p w14:paraId="0D0F9E90" w14:textId="77777777" w:rsidR="009848BD" w:rsidRPr="00201A9A" w:rsidRDefault="009848BD" w:rsidP="00812AD2">
            <w:pPr>
              <w:spacing w:before="0" w:after="0"/>
              <w:rPr>
                <w:rFonts w:eastAsia="Times New Roman"/>
                <w:noProof/>
                <w:sz w:val="18"/>
                <w:szCs w:val="18"/>
                <w:lang w:eastAsia="zh-CN"/>
              </w:rPr>
            </w:pPr>
          </w:p>
        </w:tc>
        <w:tc>
          <w:tcPr>
            <w:tcW w:w="336" w:type="pct"/>
            <w:vAlign w:val="center"/>
            <w:hideMark/>
          </w:tcPr>
          <w:p w14:paraId="2B42B761" w14:textId="77777777" w:rsidR="009848BD" w:rsidRPr="00201A9A" w:rsidRDefault="009848BD" w:rsidP="00812AD2">
            <w:pPr>
              <w:spacing w:before="0" w:after="0"/>
              <w:rPr>
                <w:rFonts w:eastAsia="Times New Roman"/>
                <w:noProof/>
                <w:sz w:val="18"/>
                <w:szCs w:val="18"/>
                <w:lang w:eastAsia="zh-CN"/>
              </w:rPr>
            </w:pPr>
          </w:p>
        </w:tc>
        <w:tc>
          <w:tcPr>
            <w:tcW w:w="336" w:type="pct"/>
            <w:vAlign w:val="center"/>
            <w:hideMark/>
          </w:tcPr>
          <w:p w14:paraId="3981DF80" w14:textId="77777777" w:rsidR="009848BD" w:rsidRPr="00201A9A" w:rsidRDefault="009848BD" w:rsidP="00812AD2">
            <w:pPr>
              <w:spacing w:before="0" w:after="0"/>
              <w:rPr>
                <w:rFonts w:eastAsia="Times New Roman"/>
                <w:noProof/>
                <w:sz w:val="18"/>
                <w:szCs w:val="18"/>
                <w:lang w:eastAsia="zh-CN"/>
              </w:rPr>
            </w:pPr>
          </w:p>
        </w:tc>
        <w:tc>
          <w:tcPr>
            <w:tcW w:w="405" w:type="pct"/>
            <w:vAlign w:val="center"/>
            <w:hideMark/>
          </w:tcPr>
          <w:p w14:paraId="4668147B" w14:textId="77777777" w:rsidR="009848BD" w:rsidRPr="00201A9A" w:rsidRDefault="009848BD" w:rsidP="00812AD2">
            <w:pPr>
              <w:spacing w:before="0" w:after="0"/>
              <w:rPr>
                <w:rFonts w:eastAsia="Times New Roman"/>
                <w:noProof/>
                <w:sz w:val="18"/>
                <w:szCs w:val="18"/>
                <w:lang w:eastAsia="zh-CN"/>
              </w:rPr>
            </w:pPr>
          </w:p>
        </w:tc>
      </w:tr>
      <w:tr w:rsidR="009848BD" w:rsidRPr="00201A9A" w14:paraId="0C9F1099" w14:textId="77777777" w:rsidTr="00812AD2">
        <w:trPr>
          <w:trHeight w:val="315"/>
        </w:trPr>
        <w:tc>
          <w:tcPr>
            <w:tcW w:w="1135" w:type="pct"/>
            <w:vMerge w:val="restart"/>
            <w:vAlign w:val="center"/>
            <w:hideMark/>
          </w:tcPr>
          <w:p w14:paraId="245C25D8" w14:textId="729FBE4F" w:rsidR="009848BD" w:rsidRPr="00201A9A" w:rsidRDefault="009848BD" w:rsidP="00812AD2">
            <w:pPr>
              <w:spacing w:before="0" w:after="0"/>
              <w:jc w:val="left"/>
              <w:rPr>
                <w:rFonts w:eastAsia="Times New Roman"/>
                <w:noProof/>
                <w:sz w:val="18"/>
                <w:szCs w:val="18"/>
              </w:rPr>
            </w:pPr>
            <w:r w:rsidRPr="00201A9A">
              <w:rPr>
                <w:noProof/>
                <w:sz w:val="18"/>
              </w:rPr>
              <w:t>02.02.03 Wspieranie ludzi, wzmacnianie społeczeństw Europy</w:t>
            </w:r>
            <w:r w:rsidR="00201A9A" w:rsidRPr="00201A9A">
              <w:rPr>
                <w:noProof/>
                <w:sz w:val="18"/>
              </w:rPr>
              <w:t xml:space="preserve"> i eur</w:t>
            </w:r>
            <w:r w:rsidRPr="00201A9A">
              <w:rPr>
                <w:noProof/>
                <w:sz w:val="18"/>
              </w:rPr>
              <w:t>opejskiego modelu społecznego</w:t>
            </w:r>
          </w:p>
        </w:tc>
        <w:tc>
          <w:tcPr>
            <w:tcW w:w="482" w:type="pct"/>
            <w:vAlign w:val="center"/>
            <w:hideMark/>
          </w:tcPr>
          <w:p w14:paraId="7E24A509" w14:textId="77777777" w:rsidR="009848BD" w:rsidRPr="00201A9A" w:rsidRDefault="009848BD" w:rsidP="00812AD2">
            <w:pPr>
              <w:spacing w:before="0" w:after="0"/>
              <w:rPr>
                <w:rFonts w:eastAsia="Times New Roman"/>
                <w:noProof/>
                <w:sz w:val="18"/>
                <w:szCs w:val="18"/>
              </w:rPr>
            </w:pPr>
            <w:r w:rsidRPr="00201A9A">
              <w:rPr>
                <w:noProof/>
                <w:sz w:val="18"/>
              </w:rPr>
              <w:t>Środki na zobowiązania</w:t>
            </w:r>
          </w:p>
        </w:tc>
        <w:tc>
          <w:tcPr>
            <w:tcW w:w="552" w:type="pct"/>
            <w:vAlign w:val="center"/>
            <w:hideMark/>
          </w:tcPr>
          <w:p w14:paraId="5EDC34BE" w14:textId="77777777" w:rsidR="009848BD" w:rsidRPr="00201A9A" w:rsidRDefault="009848BD" w:rsidP="00812AD2">
            <w:pPr>
              <w:spacing w:before="0" w:after="0"/>
              <w:jc w:val="center"/>
              <w:rPr>
                <w:rFonts w:eastAsia="Times New Roman"/>
                <w:noProof/>
                <w:sz w:val="18"/>
                <w:szCs w:val="18"/>
              </w:rPr>
            </w:pPr>
            <w:r w:rsidRPr="00201A9A">
              <w:rPr>
                <w:noProof/>
                <w:sz w:val="18"/>
              </w:rPr>
              <w:t>(1a)</w:t>
            </w:r>
          </w:p>
        </w:tc>
        <w:tc>
          <w:tcPr>
            <w:tcW w:w="361" w:type="pct"/>
            <w:vAlign w:val="center"/>
            <w:hideMark/>
          </w:tcPr>
          <w:p w14:paraId="40E03B35" w14:textId="77777777" w:rsidR="009848BD" w:rsidRPr="00201A9A" w:rsidRDefault="009848BD" w:rsidP="00812AD2">
            <w:pPr>
              <w:spacing w:before="0" w:after="0"/>
              <w:jc w:val="right"/>
              <w:rPr>
                <w:rFonts w:eastAsia="Times New Roman"/>
                <w:noProof/>
                <w:sz w:val="18"/>
                <w:szCs w:val="18"/>
              </w:rPr>
            </w:pPr>
            <w:r w:rsidRPr="00201A9A">
              <w:rPr>
                <w:noProof/>
                <w:sz w:val="18"/>
              </w:rPr>
              <w:t>10 481,600</w:t>
            </w:r>
          </w:p>
        </w:tc>
        <w:tc>
          <w:tcPr>
            <w:tcW w:w="361" w:type="pct"/>
            <w:vAlign w:val="center"/>
            <w:hideMark/>
          </w:tcPr>
          <w:p w14:paraId="754C4674" w14:textId="77777777" w:rsidR="009848BD" w:rsidRPr="00201A9A" w:rsidRDefault="009848BD" w:rsidP="00812AD2">
            <w:pPr>
              <w:spacing w:before="0" w:after="0"/>
              <w:jc w:val="right"/>
              <w:rPr>
                <w:rFonts w:eastAsia="Times New Roman"/>
                <w:noProof/>
                <w:sz w:val="18"/>
                <w:szCs w:val="18"/>
              </w:rPr>
            </w:pPr>
            <w:r w:rsidRPr="00201A9A">
              <w:rPr>
                <w:noProof/>
                <w:sz w:val="18"/>
              </w:rPr>
              <w:t>10 281,600</w:t>
            </w:r>
          </w:p>
        </w:tc>
        <w:tc>
          <w:tcPr>
            <w:tcW w:w="361" w:type="pct"/>
            <w:vAlign w:val="center"/>
            <w:hideMark/>
          </w:tcPr>
          <w:p w14:paraId="0A37C70E" w14:textId="77777777" w:rsidR="009848BD" w:rsidRPr="00201A9A" w:rsidRDefault="009848BD" w:rsidP="00812AD2">
            <w:pPr>
              <w:spacing w:before="0" w:after="0"/>
              <w:jc w:val="right"/>
              <w:rPr>
                <w:rFonts w:eastAsia="Times New Roman"/>
                <w:noProof/>
                <w:sz w:val="18"/>
                <w:szCs w:val="18"/>
              </w:rPr>
            </w:pPr>
            <w:r w:rsidRPr="00201A9A">
              <w:rPr>
                <w:noProof/>
                <w:sz w:val="18"/>
              </w:rPr>
              <w:t>10 081,600</w:t>
            </w:r>
          </w:p>
        </w:tc>
        <w:tc>
          <w:tcPr>
            <w:tcW w:w="336" w:type="pct"/>
            <w:vAlign w:val="center"/>
            <w:hideMark/>
          </w:tcPr>
          <w:p w14:paraId="18DC21C1" w14:textId="77777777" w:rsidR="009848BD" w:rsidRPr="00201A9A" w:rsidRDefault="009848BD" w:rsidP="00812AD2">
            <w:pPr>
              <w:spacing w:before="0" w:after="0"/>
              <w:jc w:val="right"/>
              <w:rPr>
                <w:rFonts w:eastAsia="Times New Roman"/>
                <w:noProof/>
                <w:sz w:val="18"/>
                <w:szCs w:val="18"/>
              </w:rPr>
            </w:pPr>
            <w:r w:rsidRPr="00201A9A">
              <w:rPr>
                <w:noProof/>
                <w:sz w:val="18"/>
              </w:rPr>
              <w:t>9 781,600</w:t>
            </w:r>
          </w:p>
        </w:tc>
        <w:tc>
          <w:tcPr>
            <w:tcW w:w="336" w:type="pct"/>
            <w:vAlign w:val="center"/>
            <w:hideMark/>
          </w:tcPr>
          <w:p w14:paraId="5007AF65" w14:textId="77777777" w:rsidR="009848BD" w:rsidRPr="00201A9A" w:rsidRDefault="009848BD" w:rsidP="00812AD2">
            <w:pPr>
              <w:spacing w:before="0" w:after="0"/>
              <w:jc w:val="right"/>
              <w:rPr>
                <w:rFonts w:eastAsia="Times New Roman"/>
                <w:noProof/>
                <w:sz w:val="18"/>
                <w:szCs w:val="18"/>
              </w:rPr>
            </w:pPr>
            <w:r w:rsidRPr="00201A9A">
              <w:rPr>
                <w:noProof/>
                <w:sz w:val="18"/>
              </w:rPr>
              <w:t>9 381,600</w:t>
            </w:r>
          </w:p>
        </w:tc>
        <w:tc>
          <w:tcPr>
            <w:tcW w:w="336" w:type="pct"/>
            <w:vAlign w:val="center"/>
            <w:hideMark/>
          </w:tcPr>
          <w:p w14:paraId="51E09E11" w14:textId="77777777" w:rsidR="009848BD" w:rsidRPr="00201A9A" w:rsidRDefault="009848BD" w:rsidP="00812AD2">
            <w:pPr>
              <w:spacing w:before="0" w:after="0"/>
              <w:jc w:val="right"/>
              <w:rPr>
                <w:rFonts w:eastAsia="Times New Roman"/>
                <w:noProof/>
                <w:sz w:val="18"/>
                <w:szCs w:val="18"/>
                <w:lang w:eastAsia="zh-CN"/>
              </w:rPr>
            </w:pPr>
          </w:p>
        </w:tc>
        <w:tc>
          <w:tcPr>
            <w:tcW w:w="336" w:type="pct"/>
            <w:vAlign w:val="center"/>
            <w:hideMark/>
          </w:tcPr>
          <w:p w14:paraId="311CCCFD" w14:textId="77777777" w:rsidR="009848BD" w:rsidRPr="00201A9A" w:rsidRDefault="009848BD" w:rsidP="00812AD2">
            <w:pPr>
              <w:spacing w:before="0" w:after="0"/>
              <w:jc w:val="right"/>
              <w:rPr>
                <w:rFonts w:eastAsia="Times New Roman"/>
                <w:noProof/>
                <w:sz w:val="18"/>
                <w:szCs w:val="18"/>
                <w:lang w:eastAsia="zh-CN"/>
              </w:rPr>
            </w:pPr>
          </w:p>
        </w:tc>
        <w:tc>
          <w:tcPr>
            <w:tcW w:w="405" w:type="pct"/>
            <w:shd w:val="clear" w:color="000000" w:fill="D0CECE"/>
            <w:vAlign w:val="center"/>
            <w:hideMark/>
          </w:tcPr>
          <w:p w14:paraId="38F0E572" w14:textId="77777777" w:rsidR="009848BD" w:rsidRPr="00201A9A" w:rsidRDefault="009848BD" w:rsidP="00812AD2">
            <w:pPr>
              <w:spacing w:before="0" w:after="0"/>
              <w:jc w:val="right"/>
              <w:rPr>
                <w:rFonts w:eastAsia="Times New Roman"/>
                <w:b/>
                <w:bCs/>
                <w:noProof/>
                <w:sz w:val="18"/>
                <w:szCs w:val="18"/>
              </w:rPr>
            </w:pPr>
            <w:r w:rsidRPr="00201A9A">
              <w:rPr>
                <w:b/>
                <w:noProof/>
                <w:sz w:val="18"/>
              </w:rPr>
              <w:t>50 008,000</w:t>
            </w:r>
          </w:p>
        </w:tc>
      </w:tr>
      <w:tr w:rsidR="009848BD" w:rsidRPr="00201A9A" w14:paraId="016340F8" w14:textId="77777777" w:rsidTr="00812AD2">
        <w:trPr>
          <w:trHeight w:val="315"/>
        </w:trPr>
        <w:tc>
          <w:tcPr>
            <w:tcW w:w="1135" w:type="pct"/>
            <w:vMerge/>
            <w:vAlign w:val="center"/>
            <w:hideMark/>
          </w:tcPr>
          <w:p w14:paraId="4D4C6A50" w14:textId="77777777" w:rsidR="009848BD" w:rsidRPr="00201A9A" w:rsidRDefault="009848BD" w:rsidP="00812AD2">
            <w:pPr>
              <w:spacing w:before="0" w:after="0"/>
              <w:jc w:val="left"/>
              <w:rPr>
                <w:rFonts w:eastAsia="Times New Roman"/>
                <w:noProof/>
                <w:sz w:val="18"/>
                <w:szCs w:val="18"/>
                <w:lang w:eastAsia="zh-CN"/>
              </w:rPr>
            </w:pPr>
          </w:p>
        </w:tc>
        <w:tc>
          <w:tcPr>
            <w:tcW w:w="482" w:type="pct"/>
            <w:vAlign w:val="center"/>
            <w:hideMark/>
          </w:tcPr>
          <w:p w14:paraId="079769C4" w14:textId="77777777" w:rsidR="009848BD" w:rsidRPr="00201A9A" w:rsidRDefault="009848BD" w:rsidP="00812AD2">
            <w:pPr>
              <w:spacing w:before="0" w:after="0"/>
              <w:rPr>
                <w:rFonts w:eastAsia="Times New Roman"/>
                <w:noProof/>
                <w:sz w:val="18"/>
                <w:szCs w:val="18"/>
              </w:rPr>
            </w:pPr>
            <w:r w:rsidRPr="00201A9A">
              <w:rPr>
                <w:noProof/>
                <w:sz w:val="18"/>
              </w:rPr>
              <w:t>Środki na płatności</w:t>
            </w:r>
          </w:p>
        </w:tc>
        <w:tc>
          <w:tcPr>
            <w:tcW w:w="552" w:type="pct"/>
            <w:vAlign w:val="center"/>
            <w:hideMark/>
          </w:tcPr>
          <w:p w14:paraId="56C12A7E" w14:textId="77777777" w:rsidR="009848BD" w:rsidRPr="00201A9A" w:rsidRDefault="009848BD" w:rsidP="00812AD2">
            <w:pPr>
              <w:spacing w:before="0" w:after="0"/>
              <w:jc w:val="center"/>
              <w:rPr>
                <w:rFonts w:eastAsia="Times New Roman"/>
                <w:noProof/>
                <w:sz w:val="18"/>
                <w:szCs w:val="18"/>
              </w:rPr>
            </w:pPr>
            <w:r w:rsidRPr="00201A9A">
              <w:rPr>
                <w:noProof/>
                <w:sz w:val="18"/>
              </w:rPr>
              <w:t>(2a)</w:t>
            </w:r>
          </w:p>
        </w:tc>
        <w:tc>
          <w:tcPr>
            <w:tcW w:w="361" w:type="pct"/>
            <w:vAlign w:val="center"/>
            <w:hideMark/>
          </w:tcPr>
          <w:p w14:paraId="4B87F6A5" w14:textId="77777777" w:rsidR="009848BD" w:rsidRPr="00201A9A" w:rsidRDefault="009848BD" w:rsidP="00812AD2">
            <w:pPr>
              <w:spacing w:before="0" w:after="0"/>
              <w:jc w:val="right"/>
              <w:rPr>
                <w:rFonts w:eastAsia="Times New Roman"/>
                <w:noProof/>
                <w:sz w:val="18"/>
                <w:szCs w:val="18"/>
              </w:rPr>
            </w:pPr>
            <w:r w:rsidRPr="00201A9A">
              <w:rPr>
                <w:noProof/>
                <w:sz w:val="18"/>
              </w:rPr>
              <w:t>p.m.</w:t>
            </w:r>
          </w:p>
        </w:tc>
        <w:tc>
          <w:tcPr>
            <w:tcW w:w="361" w:type="pct"/>
            <w:vAlign w:val="center"/>
            <w:hideMark/>
          </w:tcPr>
          <w:p w14:paraId="3A0DEDBC" w14:textId="77777777" w:rsidR="009848BD" w:rsidRPr="00201A9A" w:rsidRDefault="009848BD" w:rsidP="00812AD2">
            <w:pPr>
              <w:spacing w:before="0" w:after="0"/>
              <w:jc w:val="right"/>
              <w:rPr>
                <w:rFonts w:eastAsia="Times New Roman"/>
                <w:noProof/>
                <w:sz w:val="18"/>
                <w:szCs w:val="18"/>
              </w:rPr>
            </w:pPr>
            <w:r w:rsidRPr="00201A9A">
              <w:rPr>
                <w:noProof/>
                <w:sz w:val="18"/>
              </w:rPr>
              <w:t>p.m.</w:t>
            </w:r>
          </w:p>
        </w:tc>
        <w:tc>
          <w:tcPr>
            <w:tcW w:w="361" w:type="pct"/>
            <w:vAlign w:val="center"/>
            <w:hideMark/>
          </w:tcPr>
          <w:p w14:paraId="43661E50" w14:textId="77777777" w:rsidR="009848BD" w:rsidRPr="00201A9A" w:rsidRDefault="009848BD" w:rsidP="00812AD2">
            <w:pPr>
              <w:spacing w:before="0" w:after="0"/>
              <w:jc w:val="right"/>
              <w:rPr>
                <w:rFonts w:eastAsia="Times New Roman"/>
                <w:noProof/>
                <w:sz w:val="18"/>
                <w:szCs w:val="18"/>
              </w:rPr>
            </w:pPr>
            <w:r w:rsidRPr="00201A9A">
              <w:rPr>
                <w:noProof/>
                <w:sz w:val="18"/>
              </w:rPr>
              <w:t>p.m.</w:t>
            </w:r>
          </w:p>
        </w:tc>
        <w:tc>
          <w:tcPr>
            <w:tcW w:w="336" w:type="pct"/>
            <w:vAlign w:val="center"/>
            <w:hideMark/>
          </w:tcPr>
          <w:p w14:paraId="3FA5B4CF" w14:textId="77777777" w:rsidR="009848BD" w:rsidRPr="00201A9A" w:rsidRDefault="009848BD" w:rsidP="00812AD2">
            <w:pPr>
              <w:spacing w:before="0" w:after="0"/>
              <w:jc w:val="right"/>
              <w:rPr>
                <w:rFonts w:eastAsia="Times New Roman"/>
                <w:noProof/>
                <w:sz w:val="18"/>
                <w:szCs w:val="18"/>
              </w:rPr>
            </w:pPr>
            <w:r w:rsidRPr="00201A9A">
              <w:rPr>
                <w:noProof/>
                <w:sz w:val="18"/>
              </w:rPr>
              <w:t>p.m.</w:t>
            </w:r>
          </w:p>
        </w:tc>
        <w:tc>
          <w:tcPr>
            <w:tcW w:w="336" w:type="pct"/>
            <w:vAlign w:val="center"/>
            <w:hideMark/>
          </w:tcPr>
          <w:p w14:paraId="5316498E" w14:textId="77777777" w:rsidR="009848BD" w:rsidRPr="00201A9A" w:rsidRDefault="009848BD" w:rsidP="00812AD2">
            <w:pPr>
              <w:spacing w:before="0" w:after="0"/>
              <w:jc w:val="right"/>
              <w:rPr>
                <w:rFonts w:eastAsia="Times New Roman"/>
                <w:noProof/>
                <w:sz w:val="18"/>
                <w:szCs w:val="18"/>
              </w:rPr>
            </w:pPr>
            <w:r w:rsidRPr="00201A9A">
              <w:rPr>
                <w:noProof/>
                <w:sz w:val="18"/>
              </w:rPr>
              <w:t>p.m.</w:t>
            </w:r>
          </w:p>
        </w:tc>
        <w:tc>
          <w:tcPr>
            <w:tcW w:w="336" w:type="pct"/>
            <w:vAlign w:val="center"/>
            <w:hideMark/>
          </w:tcPr>
          <w:p w14:paraId="1910BD0E" w14:textId="77777777" w:rsidR="009848BD" w:rsidRPr="00201A9A" w:rsidRDefault="009848BD" w:rsidP="00812AD2">
            <w:pPr>
              <w:spacing w:before="0" w:after="0"/>
              <w:jc w:val="right"/>
              <w:rPr>
                <w:rFonts w:eastAsia="Times New Roman"/>
                <w:noProof/>
                <w:sz w:val="18"/>
                <w:szCs w:val="18"/>
                <w:lang w:eastAsia="zh-CN"/>
              </w:rPr>
            </w:pPr>
          </w:p>
        </w:tc>
        <w:tc>
          <w:tcPr>
            <w:tcW w:w="336" w:type="pct"/>
            <w:vAlign w:val="center"/>
            <w:hideMark/>
          </w:tcPr>
          <w:p w14:paraId="32318E37" w14:textId="77777777" w:rsidR="009848BD" w:rsidRPr="00201A9A" w:rsidRDefault="009848BD" w:rsidP="00812AD2">
            <w:pPr>
              <w:spacing w:before="0" w:after="0"/>
              <w:jc w:val="right"/>
              <w:rPr>
                <w:rFonts w:eastAsia="Times New Roman"/>
                <w:noProof/>
                <w:sz w:val="18"/>
                <w:szCs w:val="18"/>
                <w:lang w:eastAsia="zh-CN"/>
              </w:rPr>
            </w:pPr>
          </w:p>
        </w:tc>
        <w:tc>
          <w:tcPr>
            <w:tcW w:w="405" w:type="pct"/>
            <w:shd w:val="clear" w:color="000000" w:fill="D0CECE"/>
            <w:vAlign w:val="center"/>
            <w:hideMark/>
          </w:tcPr>
          <w:p w14:paraId="32299C70" w14:textId="77777777" w:rsidR="009848BD" w:rsidRPr="00201A9A" w:rsidRDefault="009848BD" w:rsidP="00812AD2">
            <w:pPr>
              <w:spacing w:before="0" w:after="0"/>
              <w:jc w:val="right"/>
              <w:rPr>
                <w:rFonts w:eastAsia="Times New Roman"/>
                <w:b/>
                <w:bCs/>
                <w:noProof/>
                <w:sz w:val="18"/>
                <w:szCs w:val="18"/>
              </w:rPr>
            </w:pPr>
            <w:r w:rsidRPr="00201A9A">
              <w:rPr>
                <w:b/>
                <w:noProof/>
                <w:sz w:val="18"/>
              </w:rPr>
              <w:t>50 008,000</w:t>
            </w:r>
          </w:p>
        </w:tc>
      </w:tr>
      <w:tr w:rsidR="009848BD" w:rsidRPr="00201A9A" w14:paraId="7FB701A8" w14:textId="77777777" w:rsidTr="00812AD2">
        <w:trPr>
          <w:trHeight w:val="300"/>
        </w:trPr>
        <w:tc>
          <w:tcPr>
            <w:tcW w:w="5000" w:type="pct"/>
            <w:gridSpan w:val="11"/>
            <w:noWrap/>
            <w:vAlign w:val="bottom"/>
            <w:hideMark/>
          </w:tcPr>
          <w:p w14:paraId="57C01A1F" w14:textId="77777777" w:rsidR="009848BD" w:rsidRPr="00201A9A" w:rsidRDefault="009848BD" w:rsidP="00812AD2">
            <w:pPr>
              <w:spacing w:before="0" w:after="0"/>
              <w:jc w:val="left"/>
              <w:rPr>
                <w:rFonts w:eastAsia="Times New Roman"/>
                <w:noProof/>
                <w:sz w:val="18"/>
                <w:szCs w:val="18"/>
              </w:rPr>
            </w:pPr>
            <w:r w:rsidRPr="00201A9A">
              <w:rPr>
                <w:noProof/>
                <w:sz w:val="18"/>
              </w:rPr>
              <w:t xml:space="preserve">• Środki administracyjne finansowane ze środków przydzielonych na określone programy[3] </w:t>
            </w:r>
          </w:p>
        </w:tc>
      </w:tr>
      <w:tr w:rsidR="009848BD" w:rsidRPr="00201A9A" w14:paraId="354202F5" w14:textId="77777777" w:rsidTr="00812AD2">
        <w:trPr>
          <w:trHeight w:val="300"/>
        </w:trPr>
        <w:tc>
          <w:tcPr>
            <w:tcW w:w="1135" w:type="pct"/>
            <w:vAlign w:val="center"/>
            <w:hideMark/>
          </w:tcPr>
          <w:p w14:paraId="2AC79300" w14:textId="77777777" w:rsidR="009848BD" w:rsidRPr="00201A9A" w:rsidRDefault="009848BD" w:rsidP="00812AD2">
            <w:pPr>
              <w:spacing w:before="0" w:after="0"/>
              <w:rPr>
                <w:rFonts w:eastAsia="Times New Roman"/>
                <w:noProof/>
                <w:sz w:val="18"/>
                <w:szCs w:val="18"/>
              </w:rPr>
            </w:pPr>
            <w:r w:rsidRPr="00201A9A">
              <w:rPr>
                <w:noProof/>
                <w:sz w:val="18"/>
              </w:rPr>
              <w:t>02.0102</w:t>
            </w:r>
          </w:p>
        </w:tc>
        <w:tc>
          <w:tcPr>
            <w:tcW w:w="482" w:type="pct"/>
            <w:vAlign w:val="center"/>
            <w:hideMark/>
          </w:tcPr>
          <w:p w14:paraId="455F4256" w14:textId="77777777" w:rsidR="009848BD" w:rsidRPr="00201A9A" w:rsidRDefault="009848BD" w:rsidP="00812AD2">
            <w:pPr>
              <w:spacing w:before="0" w:after="0"/>
              <w:rPr>
                <w:rFonts w:eastAsia="Times New Roman"/>
                <w:noProof/>
                <w:sz w:val="18"/>
                <w:szCs w:val="18"/>
                <w:lang w:eastAsia="zh-CN"/>
              </w:rPr>
            </w:pPr>
          </w:p>
        </w:tc>
        <w:tc>
          <w:tcPr>
            <w:tcW w:w="552" w:type="pct"/>
            <w:vAlign w:val="center"/>
            <w:hideMark/>
          </w:tcPr>
          <w:p w14:paraId="7280C730" w14:textId="77777777" w:rsidR="009848BD" w:rsidRPr="00201A9A" w:rsidRDefault="009848BD" w:rsidP="00812AD2">
            <w:pPr>
              <w:spacing w:before="0" w:after="0"/>
              <w:jc w:val="center"/>
              <w:rPr>
                <w:rFonts w:eastAsia="Times New Roman"/>
                <w:noProof/>
                <w:sz w:val="18"/>
                <w:szCs w:val="18"/>
              </w:rPr>
            </w:pPr>
            <w:r w:rsidRPr="00201A9A">
              <w:rPr>
                <w:noProof/>
                <w:sz w:val="18"/>
              </w:rPr>
              <w:t>(3)</w:t>
            </w:r>
          </w:p>
        </w:tc>
        <w:tc>
          <w:tcPr>
            <w:tcW w:w="361" w:type="pct"/>
            <w:vAlign w:val="center"/>
            <w:hideMark/>
          </w:tcPr>
          <w:p w14:paraId="5166767F" w14:textId="77777777" w:rsidR="009848BD" w:rsidRPr="00201A9A" w:rsidRDefault="009848BD" w:rsidP="00812AD2">
            <w:pPr>
              <w:spacing w:before="0" w:after="0"/>
              <w:jc w:val="right"/>
              <w:rPr>
                <w:rFonts w:eastAsia="Times New Roman"/>
                <w:b/>
                <w:bCs/>
                <w:noProof/>
                <w:sz w:val="18"/>
                <w:szCs w:val="18"/>
              </w:rPr>
            </w:pPr>
            <w:r w:rsidRPr="00201A9A">
              <w:rPr>
                <w:b/>
                <w:noProof/>
                <w:sz w:val="18"/>
              </w:rPr>
              <w:t>18,400</w:t>
            </w:r>
          </w:p>
        </w:tc>
        <w:tc>
          <w:tcPr>
            <w:tcW w:w="361" w:type="pct"/>
            <w:vAlign w:val="center"/>
            <w:hideMark/>
          </w:tcPr>
          <w:p w14:paraId="62DCBBEE" w14:textId="77777777" w:rsidR="009848BD" w:rsidRPr="00201A9A" w:rsidRDefault="009848BD" w:rsidP="00812AD2">
            <w:pPr>
              <w:spacing w:before="0" w:after="0"/>
              <w:jc w:val="right"/>
              <w:rPr>
                <w:rFonts w:eastAsia="Times New Roman"/>
                <w:b/>
                <w:bCs/>
                <w:noProof/>
                <w:sz w:val="18"/>
                <w:szCs w:val="18"/>
              </w:rPr>
            </w:pPr>
            <w:r w:rsidRPr="00201A9A">
              <w:rPr>
                <w:b/>
                <w:noProof/>
                <w:sz w:val="18"/>
              </w:rPr>
              <w:t>18,400</w:t>
            </w:r>
          </w:p>
        </w:tc>
        <w:tc>
          <w:tcPr>
            <w:tcW w:w="361" w:type="pct"/>
            <w:vAlign w:val="center"/>
            <w:hideMark/>
          </w:tcPr>
          <w:p w14:paraId="4922727A" w14:textId="77777777" w:rsidR="009848BD" w:rsidRPr="00201A9A" w:rsidRDefault="009848BD" w:rsidP="00812AD2">
            <w:pPr>
              <w:spacing w:before="0" w:after="0"/>
              <w:jc w:val="right"/>
              <w:rPr>
                <w:rFonts w:eastAsia="Times New Roman"/>
                <w:b/>
                <w:bCs/>
                <w:noProof/>
                <w:sz w:val="18"/>
                <w:szCs w:val="18"/>
              </w:rPr>
            </w:pPr>
            <w:r w:rsidRPr="00201A9A">
              <w:rPr>
                <w:b/>
                <w:noProof/>
                <w:sz w:val="18"/>
              </w:rPr>
              <w:t>18,400</w:t>
            </w:r>
          </w:p>
        </w:tc>
        <w:tc>
          <w:tcPr>
            <w:tcW w:w="336" w:type="pct"/>
            <w:vAlign w:val="center"/>
            <w:hideMark/>
          </w:tcPr>
          <w:p w14:paraId="498E8411" w14:textId="77777777" w:rsidR="009848BD" w:rsidRPr="00201A9A" w:rsidRDefault="009848BD" w:rsidP="00812AD2">
            <w:pPr>
              <w:spacing w:before="0" w:after="0"/>
              <w:jc w:val="right"/>
              <w:rPr>
                <w:rFonts w:eastAsia="Times New Roman"/>
                <w:b/>
                <w:bCs/>
                <w:noProof/>
                <w:sz w:val="18"/>
                <w:szCs w:val="18"/>
              </w:rPr>
            </w:pPr>
            <w:r w:rsidRPr="00201A9A">
              <w:rPr>
                <w:b/>
                <w:noProof/>
                <w:sz w:val="18"/>
              </w:rPr>
              <w:t>18,400</w:t>
            </w:r>
          </w:p>
        </w:tc>
        <w:tc>
          <w:tcPr>
            <w:tcW w:w="336" w:type="pct"/>
            <w:vAlign w:val="center"/>
            <w:hideMark/>
          </w:tcPr>
          <w:p w14:paraId="7B6D6088" w14:textId="77777777" w:rsidR="009848BD" w:rsidRPr="00201A9A" w:rsidRDefault="009848BD" w:rsidP="00812AD2">
            <w:pPr>
              <w:spacing w:before="0" w:after="0"/>
              <w:jc w:val="right"/>
              <w:rPr>
                <w:rFonts w:eastAsia="Times New Roman"/>
                <w:b/>
                <w:bCs/>
                <w:noProof/>
                <w:sz w:val="18"/>
                <w:szCs w:val="18"/>
              </w:rPr>
            </w:pPr>
            <w:r w:rsidRPr="00201A9A">
              <w:rPr>
                <w:b/>
                <w:noProof/>
                <w:sz w:val="18"/>
              </w:rPr>
              <w:t>18,400</w:t>
            </w:r>
          </w:p>
        </w:tc>
        <w:tc>
          <w:tcPr>
            <w:tcW w:w="336" w:type="pct"/>
            <w:vAlign w:val="center"/>
            <w:hideMark/>
          </w:tcPr>
          <w:p w14:paraId="2E1D31E0" w14:textId="77777777" w:rsidR="009848BD" w:rsidRPr="00201A9A" w:rsidRDefault="009848BD" w:rsidP="00812AD2">
            <w:pPr>
              <w:spacing w:before="0" w:after="0"/>
              <w:jc w:val="right"/>
              <w:rPr>
                <w:rFonts w:eastAsia="Times New Roman"/>
                <w:b/>
                <w:bCs/>
                <w:noProof/>
                <w:sz w:val="18"/>
                <w:szCs w:val="18"/>
                <w:lang w:eastAsia="zh-CN"/>
              </w:rPr>
            </w:pPr>
          </w:p>
        </w:tc>
        <w:tc>
          <w:tcPr>
            <w:tcW w:w="336" w:type="pct"/>
            <w:vAlign w:val="center"/>
            <w:hideMark/>
          </w:tcPr>
          <w:p w14:paraId="310F2A94" w14:textId="77777777" w:rsidR="009848BD" w:rsidRPr="00201A9A" w:rsidRDefault="009848BD" w:rsidP="00812AD2">
            <w:pPr>
              <w:spacing w:before="0" w:after="0"/>
              <w:jc w:val="right"/>
              <w:rPr>
                <w:rFonts w:eastAsia="Times New Roman"/>
                <w:noProof/>
                <w:sz w:val="18"/>
                <w:szCs w:val="18"/>
                <w:lang w:eastAsia="zh-CN"/>
              </w:rPr>
            </w:pPr>
          </w:p>
        </w:tc>
        <w:tc>
          <w:tcPr>
            <w:tcW w:w="405" w:type="pct"/>
            <w:shd w:val="clear" w:color="000000" w:fill="D9D9D9"/>
            <w:vAlign w:val="center"/>
            <w:hideMark/>
          </w:tcPr>
          <w:p w14:paraId="2DE13F31" w14:textId="77777777" w:rsidR="009848BD" w:rsidRPr="00201A9A" w:rsidRDefault="009848BD" w:rsidP="00812AD2">
            <w:pPr>
              <w:spacing w:before="0" w:after="0"/>
              <w:jc w:val="right"/>
              <w:rPr>
                <w:rFonts w:eastAsia="Times New Roman"/>
                <w:b/>
                <w:bCs/>
                <w:noProof/>
                <w:sz w:val="18"/>
                <w:szCs w:val="18"/>
              </w:rPr>
            </w:pPr>
            <w:r w:rsidRPr="00201A9A">
              <w:rPr>
                <w:b/>
                <w:noProof/>
                <w:sz w:val="18"/>
              </w:rPr>
              <w:t>92,000</w:t>
            </w:r>
          </w:p>
        </w:tc>
      </w:tr>
      <w:tr w:rsidR="009848BD" w:rsidRPr="00201A9A" w14:paraId="62728A84" w14:textId="77777777" w:rsidTr="00812AD2">
        <w:trPr>
          <w:trHeight w:val="315"/>
        </w:trPr>
        <w:tc>
          <w:tcPr>
            <w:tcW w:w="1135" w:type="pct"/>
            <w:vAlign w:val="center"/>
            <w:hideMark/>
          </w:tcPr>
          <w:p w14:paraId="407847C5" w14:textId="77777777" w:rsidR="009848BD" w:rsidRPr="00201A9A" w:rsidRDefault="009848BD" w:rsidP="00812AD2">
            <w:pPr>
              <w:spacing w:before="0" w:after="0"/>
              <w:jc w:val="center"/>
              <w:rPr>
                <w:rFonts w:eastAsia="Times New Roman"/>
                <w:b/>
                <w:bCs/>
                <w:noProof/>
                <w:sz w:val="18"/>
                <w:szCs w:val="18"/>
              </w:rPr>
            </w:pPr>
            <w:r w:rsidRPr="00201A9A">
              <w:rPr>
                <w:b/>
                <w:noProof/>
                <w:sz w:val="18"/>
              </w:rPr>
              <w:t>OGÓŁEM środki na dział 1</w:t>
            </w:r>
          </w:p>
        </w:tc>
        <w:tc>
          <w:tcPr>
            <w:tcW w:w="482" w:type="pct"/>
            <w:vAlign w:val="center"/>
            <w:hideMark/>
          </w:tcPr>
          <w:p w14:paraId="61663771" w14:textId="77777777" w:rsidR="009848BD" w:rsidRPr="00201A9A" w:rsidRDefault="009848BD" w:rsidP="00812AD2">
            <w:pPr>
              <w:spacing w:before="0" w:after="0"/>
              <w:rPr>
                <w:rFonts w:eastAsia="Times New Roman"/>
                <w:noProof/>
                <w:sz w:val="18"/>
                <w:szCs w:val="18"/>
              </w:rPr>
            </w:pPr>
            <w:r w:rsidRPr="00201A9A">
              <w:rPr>
                <w:noProof/>
                <w:sz w:val="18"/>
              </w:rPr>
              <w:t>Środki na zobowiązania</w:t>
            </w:r>
          </w:p>
        </w:tc>
        <w:tc>
          <w:tcPr>
            <w:tcW w:w="552" w:type="pct"/>
            <w:vAlign w:val="center"/>
            <w:hideMark/>
          </w:tcPr>
          <w:p w14:paraId="2969D2F4" w14:textId="77777777" w:rsidR="009848BD" w:rsidRPr="00201A9A" w:rsidRDefault="009848BD" w:rsidP="00812AD2">
            <w:pPr>
              <w:spacing w:before="0" w:after="0"/>
              <w:jc w:val="center"/>
              <w:rPr>
                <w:rFonts w:eastAsia="Times New Roman"/>
                <w:noProof/>
                <w:sz w:val="18"/>
                <w:szCs w:val="18"/>
              </w:rPr>
            </w:pPr>
            <w:r w:rsidRPr="00201A9A">
              <w:rPr>
                <w:noProof/>
                <w:sz w:val="18"/>
              </w:rPr>
              <w:t>=1a+1b+3</w:t>
            </w:r>
          </w:p>
        </w:tc>
        <w:tc>
          <w:tcPr>
            <w:tcW w:w="361" w:type="pct"/>
            <w:shd w:val="clear" w:color="000000" w:fill="D9D9D9"/>
            <w:vAlign w:val="center"/>
            <w:hideMark/>
          </w:tcPr>
          <w:p w14:paraId="5BCE9981" w14:textId="77777777" w:rsidR="009848BD" w:rsidRPr="00201A9A" w:rsidRDefault="009848BD" w:rsidP="00812AD2">
            <w:pPr>
              <w:spacing w:before="0" w:after="0"/>
              <w:jc w:val="right"/>
              <w:rPr>
                <w:rFonts w:eastAsia="Times New Roman"/>
                <w:b/>
                <w:bCs/>
                <w:noProof/>
                <w:sz w:val="18"/>
                <w:szCs w:val="18"/>
              </w:rPr>
            </w:pPr>
            <w:r w:rsidRPr="00201A9A">
              <w:rPr>
                <w:b/>
                <w:noProof/>
                <w:sz w:val="18"/>
              </w:rPr>
              <w:t>10500,000</w:t>
            </w:r>
          </w:p>
        </w:tc>
        <w:tc>
          <w:tcPr>
            <w:tcW w:w="361" w:type="pct"/>
            <w:shd w:val="clear" w:color="000000" w:fill="D9D9D9"/>
            <w:vAlign w:val="center"/>
            <w:hideMark/>
          </w:tcPr>
          <w:p w14:paraId="1FE3D2EA" w14:textId="77777777" w:rsidR="009848BD" w:rsidRPr="00201A9A" w:rsidRDefault="009848BD" w:rsidP="00812AD2">
            <w:pPr>
              <w:spacing w:before="0" w:after="0"/>
              <w:jc w:val="right"/>
              <w:rPr>
                <w:rFonts w:eastAsia="Times New Roman"/>
                <w:b/>
                <w:bCs/>
                <w:noProof/>
                <w:sz w:val="18"/>
                <w:szCs w:val="18"/>
              </w:rPr>
            </w:pPr>
            <w:r w:rsidRPr="00201A9A">
              <w:rPr>
                <w:b/>
                <w:noProof/>
                <w:sz w:val="18"/>
              </w:rPr>
              <w:t>10300,000</w:t>
            </w:r>
          </w:p>
        </w:tc>
        <w:tc>
          <w:tcPr>
            <w:tcW w:w="361" w:type="pct"/>
            <w:shd w:val="clear" w:color="000000" w:fill="D9D9D9"/>
            <w:vAlign w:val="center"/>
            <w:hideMark/>
          </w:tcPr>
          <w:p w14:paraId="021F27D0" w14:textId="77777777" w:rsidR="009848BD" w:rsidRPr="00201A9A" w:rsidRDefault="009848BD" w:rsidP="00812AD2">
            <w:pPr>
              <w:spacing w:before="0" w:after="0"/>
              <w:jc w:val="right"/>
              <w:rPr>
                <w:rFonts w:eastAsia="Times New Roman"/>
                <w:b/>
                <w:bCs/>
                <w:noProof/>
                <w:sz w:val="18"/>
                <w:szCs w:val="18"/>
              </w:rPr>
            </w:pPr>
            <w:r w:rsidRPr="00201A9A">
              <w:rPr>
                <w:b/>
                <w:noProof/>
                <w:sz w:val="18"/>
              </w:rPr>
              <w:t>10100,000</w:t>
            </w:r>
          </w:p>
        </w:tc>
        <w:tc>
          <w:tcPr>
            <w:tcW w:w="336" w:type="pct"/>
            <w:shd w:val="clear" w:color="000000" w:fill="D9D9D9"/>
            <w:vAlign w:val="center"/>
            <w:hideMark/>
          </w:tcPr>
          <w:p w14:paraId="00471103" w14:textId="77777777" w:rsidR="009848BD" w:rsidRPr="00201A9A" w:rsidRDefault="009848BD" w:rsidP="00812AD2">
            <w:pPr>
              <w:spacing w:before="0" w:after="0"/>
              <w:jc w:val="right"/>
              <w:rPr>
                <w:rFonts w:eastAsia="Times New Roman"/>
                <w:b/>
                <w:bCs/>
                <w:noProof/>
                <w:sz w:val="18"/>
                <w:szCs w:val="18"/>
              </w:rPr>
            </w:pPr>
            <w:r w:rsidRPr="00201A9A">
              <w:rPr>
                <w:b/>
                <w:noProof/>
                <w:sz w:val="18"/>
              </w:rPr>
              <w:t>9800,000</w:t>
            </w:r>
          </w:p>
        </w:tc>
        <w:tc>
          <w:tcPr>
            <w:tcW w:w="336" w:type="pct"/>
            <w:shd w:val="clear" w:color="000000" w:fill="D9D9D9"/>
            <w:vAlign w:val="center"/>
            <w:hideMark/>
          </w:tcPr>
          <w:p w14:paraId="41644748" w14:textId="77777777" w:rsidR="009848BD" w:rsidRPr="00201A9A" w:rsidRDefault="009848BD" w:rsidP="00812AD2">
            <w:pPr>
              <w:spacing w:before="0" w:after="0"/>
              <w:jc w:val="right"/>
              <w:rPr>
                <w:rFonts w:eastAsia="Times New Roman"/>
                <w:b/>
                <w:bCs/>
                <w:noProof/>
                <w:sz w:val="18"/>
                <w:szCs w:val="18"/>
              </w:rPr>
            </w:pPr>
            <w:r w:rsidRPr="00201A9A">
              <w:rPr>
                <w:b/>
                <w:noProof/>
                <w:sz w:val="18"/>
              </w:rPr>
              <w:t>9400,000</w:t>
            </w:r>
          </w:p>
        </w:tc>
        <w:tc>
          <w:tcPr>
            <w:tcW w:w="336" w:type="pct"/>
            <w:shd w:val="clear" w:color="000000" w:fill="D9D9D9"/>
            <w:vAlign w:val="center"/>
            <w:hideMark/>
          </w:tcPr>
          <w:p w14:paraId="3F0F5F8E" w14:textId="77777777" w:rsidR="009848BD" w:rsidRPr="00201A9A" w:rsidRDefault="009848BD" w:rsidP="00812AD2">
            <w:pPr>
              <w:spacing w:before="0" w:after="0"/>
              <w:jc w:val="right"/>
              <w:rPr>
                <w:rFonts w:eastAsia="Times New Roman"/>
                <w:b/>
                <w:bCs/>
                <w:noProof/>
                <w:sz w:val="18"/>
                <w:szCs w:val="18"/>
                <w:lang w:eastAsia="zh-CN"/>
              </w:rPr>
            </w:pPr>
          </w:p>
        </w:tc>
        <w:tc>
          <w:tcPr>
            <w:tcW w:w="336" w:type="pct"/>
            <w:shd w:val="clear" w:color="000000" w:fill="D9D9D9"/>
            <w:vAlign w:val="center"/>
            <w:hideMark/>
          </w:tcPr>
          <w:p w14:paraId="4BD1A254" w14:textId="77777777" w:rsidR="009848BD" w:rsidRPr="00201A9A" w:rsidRDefault="009848BD" w:rsidP="00812AD2">
            <w:pPr>
              <w:spacing w:before="0" w:after="0"/>
              <w:jc w:val="right"/>
              <w:rPr>
                <w:rFonts w:eastAsia="Times New Roman"/>
                <w:noProof/>
                <w:sz w:val="18"/>
                <w:szCs w:val="18"/>
                <w:lang w:eastAsia="zh-CN"/>
              </w:rPr>
            </w:pPr>
          </w:p>
        </w:tc>
        <w:tc>
          <w:tcPr>
            <w:tcW w:w="405" w:type="pct"/>
            <w:shd w:val="clear" w:color="000000" w:fill="D9D9D9"/>
            <w:vAlign w:val="center"/>
            <w:hideMark/>
          </w:tcPr>
          <w:p w14:paraId="444D3EE4" w14:textId="77777777" w:rsidR="009848BD" w:rsidRPr="00201A9A" w:rsidRDefault="009848BD" w:rsidP="00812AD2">
            <w:pPr>
              <w:spacing w:before="0" w:after="0"/>
              <w:jc w:val="right"/>
              <w:rPr>
                <w:rFonts w:eastAsia="Times New Roman"/>
                <w:b/>
                <w:bCs/>
                <w:noProof/>
                <w:sz w:val="18"/>
                <w:szCs w:val="18"/>
              </w:rPr>
            </w:pPr>
            <w:r w:rsidRPr="00201A9A">
              <w:rPr>
                <w:b/>
                <w:noProof/>
                <w:sz w:val="18"/>
              </w:rPr>
              <w:t>50100,000</w:t>
            </w:r>
          </w:p>
        </w:tc>
      </w:tr>
      <w:tr w:rsidR="009848BD" w:rsidRPr="00201A9A" w14:paraId="29F0C58B" w14:textId="77777777" w:rsidTr="00812AD2">
        <w:trPr>
          <w:trHeight w:val="300"/>
        </w:trPr>
        <w:tc>
          <w:tcPr>
            <w:tcW w:w="1135" w:type="pct"/>
            <w:vAlign w:val="center"/>
            <w:hideMark/>
          </w:tcPr>
          <w:p w14:paraId="5F38D40D" w14:textId="77777777" w:rsidR="009848BD" w:rsidRPr="00201A9A" w:rsidRDefault="009848BD" w:rsidP="00812AD2">
            <w:pPr>
              <w:spacing w:before="0" w:after="0"/>
              <w:jc w:val="right"/>
              <w:rPr>
                <w:rFonts w:eastAsia="Times New Roman"/>
                <w:b/>
                <w:bCs/>
                <w:noProof/>
                <w:sz w:val="18"/>
                <w:szCs w:val="18"/>
                <w:lang w:eastAsia="zh-CN"/>
              </w:rPr>
            </w:pPr>
          </w:p>
        </w:tc>
        <w:tc>
          <w:tcPr>
            <w:tcW w:w="482" w:type="pct"/>
            <w:vAlign w:val="center"/>
            <w:hideMark/>
          </w:tcPr>
          <w:p w14:paraId="222BD85B" w14:textId="77777777" w:rsidR="009848BD" w:rsidRPr="00201A9A" w:rsidRDefault="009848BD" w:rsidP="00812AD2">
            <w:pPr>
              <w:spacing w:before="0" w:after="0"/>
              <w:rPr>
                <w:rFonts w:eastAsia="Times New Roman"/>
                <w:noProof/>
                <w:sz w:val="18"/>
                <w:szCs w:val="18"/>
              </w:rPr>
            </w:pPr>
            <w:r w:rsidRPr="00201A9A">
              <w:rPr>
                <w:noProof/>
                <w:sz w:val="18"/>
              </w:rPr>
              <w:t>Środki na płatności</w:t>
            </w:r>
          </w:p>
        </w:tc>
        <w:tc>
          <w:tcPr>
            <w:tcW w:w="552" w:type="pct"/>
            <w:vAlign w:val="center"/>
            <w:hideMark/>
          </w:tcPr>
          <w:p w14:paraId="0717E88A" w14:textId="77777777" w:rsidR="009848BD" w:rsidRPr="00201A9A" w:rsidRDefault="009848BD" w:rsidP="00812AD2">
            <w:pPr>
              <w:spacing w:before="0" w:after="0"/>
              <w:jc w:val="center"/>
              <w:rPr>
                <w:rFonts w:eastAsia="Times New Roman"/>
                <w:noProof/>
                <w:sz w:val="18"/>
                <w:szCs w:val="18"/>
              </w:rPr>
            </w:pPr>
            <w:r w:rsidRPr="00201A9A">
              <w:rPr>
                <w:noProof/>
                <w:sz w:val="18"/>
              </w:rPr>
              <w:t>=2a+2b+3</w:t>
            </w:r>
          </w:p>
        </w:tc>
        <w:tc>
          <w:tcPr>
            <w:tcW w:w="361" w:type="pct"/>
            <w:shd w:val="clear" w:color="000000" w:fill="D9D9D9"/>
            <w:vAlign w:val="center"/>
            <w:hideMark/>
          </w:tcPr>
          <w:p w14:paraId="3B40A291" w14:textId="77777777" w:rsidR="009848BD" w:rsidRPr="00201A9A" w:rsidRDefault="009848BD" w:rsidP="00812AD2">
            <w:pPr>
              <w:spacing w:before="0" w:after="0"/>
              <w:jc w:val="right"/>
              <w:rPr>
                <w:rFonts w:eastAsia="Times New Roman"/>
                <w:b/>
                <w:bCs/>
                <w:noProof/>
                <w:sz w:val="18"/>
                <w:szCs w:val="18"/>
              </w:rPr>
            </w:pPr>
            <w:r w:rsidRPr="00201A9A">
              <w:rPr>
                <w:b/>
                <w:noProof/>
                <w:sz w:val="18"/>
              </w:rPr>
              <w:t>p.m.</w:t>
            </w:r>
          </w:p>
        </w:tc>
        <w:tc>
          <w:tcPr>
            <w:tcW w:w="361" w:type="pct"/>
            <w:shd w:val="clear" w:color="000000" w:fill="D9D9D9"/>
            <w:vAlign w:val="center"/>
            <w:hideMark/>
          </w:tcPr>
          <w:p w14:paraId="39A96380" w14:textId="77777777" w:rsidR="009848BD" w:rsidRPr="00201A9A" w:rsidRDefault="009848BD" w:rsidP="00812AD2">
            <w:pPr>
              <w:spacing w:before="0" w:after="0"/>
              <w:jc w:val="right"/>
              <w:rPr>
                <w:rFonts w:eastAsia="Times New Roman"/>
                <w:b/>
                <w:bCs/>
                <w:noProof/>
                <w:sz w:val="18"/>
                <w:szCs w:val="18"/>
              </w:rPr>
            </w:pPr>
            <w:r w:rsidRPr="00201A9A">
              <w:rPr>
                <w:b/>
                <w:noProof/>
                <w:sz w:val="18"/>
              </w:rPr>
              <w:t>p.m.</w:t>
            </w:r>
          </w:p>
        </w:tc>
        <w:tc>
          <w:tcPr>
            <w:tcW w:w="361" w:type="pct"/>
            <w:shd w:val="clear" w:color="000000" w:fill="D9D9D9"/>
            <w:vAlign w:val="center"/>
            <w:hideMark/>
          </w:tcPr>
          <w:p w14:paraId="325B02A3" w14:textId="77777777" w:rsidR="009848BD" w:rsidRPr="00201A9A" w:rsidRDefault="009848BD" w:rsidP="00812AD2">
            <w:pPr>
              <w:spacing w:before="0" w:after="0"/>
              <w:jc w:val="right"/>
              <w:rPr>
                <w:rFonts w:eastAsia="Times New Roman"/>
                <w:b/>
                <w:bCs/>
                <w:noProof/>
                <w:sz w:val="18"/>
                <w:szCs w:val="18"/>
              </w:rPr>
            </w:pPr>
            <w:r w:rsidRPr="00201A9A">
              <w:rPr>
                <w:b/>
                <w:noProof/>
                <w:sz w:val="18"/>
              </w:rPr>
              <w:t>p.m.</w:t>
            </w:r>
          </w:p>
        </w:tc>
        <w:tc>
          <w:tcPr>
            <w:tcW w:w="336" w:type="pct"/>
            <w:shd w:val="clear" w:color="000000" w:fill="D9D9D9"/>
            <w:vAlign w:val="center"/>
            <w:hideMark/>
          </w:tcPr>
          <w:p w14:paraId="6880F896" w14:textId="77777777" w:rsidR="009848BD" w:rsidRPr="00201A9A" w:rsidRDefault="009848BD" w:rsidP="00812AD2">
            <w:pPr>
              <w:spacing w:before="0" w:after="0"/>
              <w:jc w:val="right"/>
              <w:rPr>
                <w:rFonts w:eastAsia="Times New Roman"/>
                <w:b/>
                <w:bCs/>
                <w:noProof/>
                <w:sz w:val="18"/>
                <w:szCs w:val="18"/>
              </w:rPr>
            </w:pPr>
            <w:r w:rsidRPr="00201A9A">
              <w:rPr>
                <w:b/>
                <w:noProof/>
                <w:sz w:val="18"/>
              </w:rPr>
              <w:t>p.m.</w:t>
            </w:r>
          </w:p>
        </w:tc>
        <w:tc>
          <w:tcPr>
            <w:tcW w:w="336" w:type="pct"/>
            <w:shd w:val="clear" w:color="000000" w:fill="D9D9D9"/>
            <w:vAlign w:val="center"/>
            <w:hideMark/>
          </w:tcPr>
          <w:p w14:paraId="36CD765F" w14:textId="77777777" w:rsidR="009848BD" w:rsidRPr="00201A9A" w:rsidRDefault="009848BD" w:rsidP="00812AD2">
            <w:pPr>
              <w:spacing w:before="0" w:after="0"/>
              <w:jc w:val="right"/>
              <w:rPr>
                <w:rFonts w:eastAsia="Times New Roman"/>
                <w:b/>
                <w:bCs/>
                <w:noProof/>
                <w:sz w:val="18"/>
                <w:szCs w:val="18"/>
              </w:rPr>
            </w:pPr>
            <w:r w:rsidRPr="00201A9A">
              <w:rPr>
                <w:b/>
                <w:noProof/>
                <w:sz w:val="18"/>
              </w:rPr>
              <w:t>p.m.</w:t>
            </w:r>
          </w:p>
        </w:tc>
        <w:tc>
          <w:tcPr>
            <w:tcW w:w="336" w:type="pct"/>
            <w:shd w:val="clear" w:color="000000" w:fill="D9D9D9"/>
            <w:vAlign w:val="center"/>
            <w:hideMark/>
          </w:tcPr>
          <w:p w14:paraId="0342F93A" w14:textId="77777777" w:rsidR="009848BD" w:rsidRPr="00201A9A" w:rsidRDefault="009848BD" w:rsidP="00812AD2">
            <w:pPr>
              <w:spacing w:before="0" w:after="0"/>
              <w:jc w:val="right"/>
              <w:rPr>
                <w:rFonts w:eastAsia="Times New Roman"/>
                <w:b/>
                <w:bCs/>
                <w:noProof/>
                <w:sz w:val="18"/>
                <w:szCs w:val="18"/>
                <w:lang w:eastAsia="zh-CN"/>
              </w:rPr>
            </w:pPr>
          </w:p>
        </w:tc>
        <w:tc>
          <w:tcPr>
            <w:tcW w:w="336" w:type="pct"/>
            <w:shd w:val="clear" w:color="000000" w:fill="D9D9D9"/>
            <w:vAlign w:val="center"/>
            <w:hideMark/>
          </w:tcPr>
          <w:p w14:paraId="3B5FC9F6" w14:textId="77777777" w:rsidR="009848BD" w:rsidRPr="00201A9A" w:rsidRDefault="009848BD" w:rsidP="00812AD2">
            <w:pPr>
              <w:spacing w:before="0" w:after="0"/>
              <w:jc w:val="right"/>
              <w:rPr>
                <w:rFonts w:eastAsia="Times New Roman"/>
                <w:noProof/>
                <w:sz w:val="18"/>
                <w:szCs w:val="18"/>
                <w:lang w:eastAsia="zh-CN"/>
              </w:rPr>
            </w:pPr>
          </w:p>
        </w:tc>
        <w:tc>
          <w:tcPr>
            <w:tcW w:w="405" w:type="pct"/>
            <w:shd w:val="clear" w:color="000000" w:fill="D9D9D9"/>
            <w:vAlign w:val="center"/>
            <w:hideMark/>
          </w:tcPr>
          <w:p w14:paraId="64D3BC6E" w14:textId="77777777" w:rsidR="009848BD" w:rsidRPr="00201A9A" w:rsidRDefault="009848BD" w:rsidP="00812AD2">
            <w:pPr>
              <w:spacing w:before="0" w:after="0"/>
              <w:jc w:val="right"/>
              <w:rPr>
                <w:rFonts w:eastAsia="Times New Roman"/>
                <w:noProof/>
                <w:sz w:val="18"/>
                <w:szCs w:val="18"/>
                <w:lang w:eastAsia="zh-CN"/>
              </w:rPr>
            </w:pPr>
          </w:p>
        </w:tc>
      </w:tr>
    </w:tbl>
    <w:p w14:paraId="14D72976" w14:textId="6C4B8290" w:rsidR="004A489F" w:rsidRPr="00201A9A" w:rsidRDefault="004A489F" w:rsidP="004A489F">
      <w:pPr>
        <w:pStyle w:val="ManualHeading3"/>
        <w:rPr>
          <w:bCs/>
          <w:noProof/>
          <w:szCs w:val="24"/>
        </w:rPr>
      </w:pPr>
      <w:r w:rsidRPr="00201A9A">
        <w:rPr>
          <w:noProof/>
        </w:rPr>
        <w:t>3.2.2.</w:t>
      </w:r>
      <w:r w:rsidRPr="00201A9A">
        <w:rPr>
          <w:noProof/>
        </w:rPr>
        <w:tab/>
        <w:t xml:space="preserve">Szacowany produkt finansowany ze środków operacyjnych </w:t>
      </w:r>
      <w:bookmarkEnd w:id="162"/>
      <w:bookmarkEnd w:id="163"/>
      <w:r w:rsidRPr="00201A9A">
        <w:rPr>
          <w:noProof/>
        </w:rPr>
        <w:t>(nie wypełniać</w:t>
      </w:r>
      <w:r w:rsidR="00201A9A" w:rsidRPr="00201A9A">
        <w:rPr>
          <w:noProof/>
        </w:rPr>
        <w:t xml:space="preserve"> w prz</w:t>
      </w:r>
      <w:r w:rsidRPr="00201A9A">
        <w:rPr>
          <w:noProof/>
        </w:rPr>
        <w:t>ypadku agencji zdecentralizowanych)</w:t>
      </w:r>
      <w:bookmarkEnd w:id="164"/>
      <w:bookmarkEnd w:id="165"/>
      <w:bookmarkEnd w:id="166"/>
    </w:p>
    <w:p w14:paraId="1D5E3DAE" w14:textId="11CE45E4" w:rsidR="004A489F" w:rsidRPr="00201A9A" w:rsidRDefault="004A489F" w:rsidP="004A489F">
      <w:pPr>
        <w:jc w:val="right"/>
        <w:rPr>
          <w:noProof/>
          <w:sz w:val="20"/>
        </w:rPr>
      </w:pPr>
      <w:r w:rsidRPr="00201A9A">
        <w:rPr>
          <w:noProof/>
          <w:sz w:val="20"/>
        </w:rPr>
        <w:t>Środki na zobowiązania</w:t>
      </w:r>
      <w:r w:rsidR="00201A9A" w:rsidRPr="00201A9A">
        <w:rPr>
          <w:noProof/>
          <w:sz w:val="20"/>
        </w:rPr>
        <w:t xml:space="preserve"> w mln</w:t>
      </w:r>
      <w:r w:rsidRPr="00201A9A">
        <w:rPr>
          <w:noProof/>
          <w:sz w:val="20"/>
        </w:rPr>
        <w:t xml:space="preserve"> EUR (do trzech miejsc po przecinku)</w:t>
      </w:r>
    </w:p>
    <w:tbl>
      <w:tblPr>
        <w:tblW w:w="5000" w:type="pct"/>
        <w:tblCellMar>
          <w:top w:w="15" w:type="dxa"/>
          <w:bottom w:w="15" w:type="dxa"/>
        </w:tblCellMar>
        <w:tblLook w:val="04A0" w:firstRow="1" w:lastRow="0" w:firstColumn="1" w:lastColumn="0" w:noHBand="0" w:noVBand="1"/>
      </w:tblPr>
      <w:tblGrid>
        <w:gridCol w:w="1792"/>
        <w:gridCol w:w="726"/>
        <w:gridCol w:w="686"/>
        <w:gridCol w:w="706"/>
        <w:gridCol w:w="636"/>
        <w:gridCol w:w="706"/>
        <w:gridCol w:w="636"/>
        <w:gridCol w:w="706"/>
        <w:gridCol w:w="636"/>
        <w:gridCol w:w="706"/>
        <w:gridCol w:w="636"/>
        <w:gridCol w:w="706"/>
        <w:gridCol w:w="703"/>
        <w:gridCol w:w="706"/>
        <w:gridCol w:w="705"/>
        <w:gridCol w:w="706"/>
        <w:gridCol w:w="705"/>
        <w:gridCol w:w="706"/>
        <w:gridCol w:w="711"/>
      </w:tblGrid>
      <w:tr w:rsidR="004A489F" w:rsidRPr="00201A9A" w14:paraId="5F81D788" w14:textId="77777777">
        <w:trPr>
          <w:trHeight w:val="300"/>
        </w:trPr>
        <w:tc>
          <w:tcPr>
            <w:tcW w:w="650" w:type="pct"/>
            <w:tcBorders>
              <w:top w:val="single" w:sz="8" w:space="0" w:color="000000"/>
              <w:left w:val="single" w:sz="8" w:space="0" w:color="000000"/>
              <w:bottom w:val="single" w:sz="4" w:space="0" w:color="000000"/>
              <w:right w:val="single" w:sz="4" w:space="0" w:color="000000"/>
            </w:tcBorders>
            <w:vAlign w:val="bottom"/>
            <w:hideMark/>
          </w:tcPr>
          <w:p w14:paraId="4370FD53" w14:textId="20A6C1A4" w:rsidR="004A489F" w:rsidRPr="00201A9A" w:rsidRDefault="004A489F">
            <w:pPr>
              <w:spacing w:before="0" w:after="0"/>
              <w:jc w:val="left"/>
              <w:rPr>
                <w:rFonts w:eastAsia="Times New Roman"/>
                <w:b/>
                <w:noProof/>
                <w:color w:val="000000"/>
                <w:sz w:val="18"/>
                <w:szCs w:val="18"/>
              </w:rPr>
            </w:pPr>
            <w:r w:rsidRPr="00201A9A">
              <w:rPr>
                <w:b/>
                <w:noProof/>
                <w:color w:val="000000"/>
                <w:sz w:val="18"/>
              </w:rPr>
              <w:t>Określić cele</w:t>
            </w:r>
            <w:r w:rsidR="00201A9A" w:rsidRPr="00201A9A">
              <w:rPr>
                <w:b/>
                <w:noProof/>
                <w:color w:val="000000"/>
                <w:sz w:val="18"/>
              </w:rPr>
              <w:t xml:space="preserve"> i pro</w:t>
            </w:r>
            <w:r w:rsidRPr="00201A9A">
              <w:rPr>
                <w:b/>
                <w:noProof/>
                <w:color w:val="000000"/>
                <w:sz w:val="18"/>
              </w:rPr>
              <w:t>dukty</w:t>
            </w:r>
          </w:p>
        </w:tc>
        <w:tc>
          <w:tcPr>
            <w:tcW w:w="242" w:type="pct"/>
            <w:tcBorders>
              <w:top w:val="single" w:sz="8" w:space="0" w:color="000000"/>
              <w:left w:val="single" w:sz="4" w:space="0" w:color="000000"/>
              <w:bottom w:val="single" w:sz="4" w:space="0" w:color="000000"/>
              <w:right w:val="single" w:sz="4" w:space="0" w:color="000000"/>
            </w:tcBorders>
            <w:noWrap/>
            <w:vAlign w:val="bottom"/>
            <w:hideMark/>
          </w:tcPr>
          <w:p w14:paraId="60B32D12"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xml:space="preserve"> </w:t>
            </w:r>
          </w:p>
        </w:tc>
        <w:tc>
          <w:tcPr>
            <w:tcW w:w="242" w:type="pct"/>
            <w:tcBorders>
              <w:top w:val="single" w:sz="8" w:space="0" w:color="000000"/>
              <w:left w:val="single" w:sz="4" w:space="0" w:color="000000"/>
              <w:bottom w:val="single" w:sz="4" w:space="0" w:color="000000"/>
              <w:right w:val="single" w:sz="4" w:space="0" w:color="000000"/>
            </w:tcBorders>
            <w:noWrap/>
            <w:vAlign w:val="bottom"/>
            <w:hideMark/>
          </w:tcPr>
          <w:p w14:paraId="54D4F629"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xml:space="preserve"> </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08F46EF2"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Rok</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2450EA8B"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Rok</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4F42ABEA"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Rok</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4BCA0C8B"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Rok</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215016DA"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Rok</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18896152"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Rok</w:t>
            </w:r>
          </w:p>
        </w:tc>
        <w:tc>
          <w:tcPr>
            <w:tcW w:w="483" w:type="pct"/>
            <w:gridSpan w:val="2"/>
            <w:tcBorders>
              <w:top w:val="single" w:sz="8" w:space="0" w:color="000000"/>
              <w:left w:val="single" w:sz="4" w:space="0" w:color="000000"/>
              <w:bottom w:val="single" w:sz="4" w:space="0" w:color="000000"/>
              <w:right w:val="single" w:sz="4" w:space="0" w:color="000000"/>
            </w:tcBorders>
            <w:vAlign w:val="center"/>
            <w:hideMark/>
          </w:tcPr>
          <w:p w14:paraId="69673C23"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Rok</w:t>
            </w:r>
          </w:p>
        </w:tc>
        <w:tc>
          <w:tcPr>
            <w:tcW w:w="483" w:type="pct"/>
            <w:gridSpan w:val="2"/>
            <w:vMerge w:val="restart"/>
            <w:tcBorders>
              <w:top w:val="single" w:sz="8" w:space="0" w:color="000000"/>
              <w:left w:val="single" w:sz="4" w:space="0" w:color="000000"/>
              <w:bottom w:val="nil"/>
              <w:right w:val="nil"/>
            </w:tcBorders>
            <w:vAlign w:val="center"/>
            <w:hideMark/>
          </w:tcPr>
          <w:p w14:paraId="387AF125"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OGÓŁEM</w:t>
            </w:r>
            <w:r w:rsidRPr="00201A9A">
              <w:rPr>
                <w:noProof/>
              </w:rPr>
              <w:t xml:space="preserve"> </w:t>
            </w:r>
            <w:r w:rsidRPr="00201A9A">
              <w:rPr>
                <w:noProof/>
              </w:rPr>
              <w:br/>
            </w:r>
            <w:r w:rsidRPr="00201A9A">
              <w:rPr>
                <w:b/>
                <w:noProof/>
                <w:color w:val="000000"/>
                <w:sz w:val="18"/>
              </w:rPr>
              <w:t>2028–2034</w:t>
            </w:r>
          </w:p>
        </w:tc>
      </w:tr>
      <w:tr w:rsidR="004A489F" w:rsidRPr="00201A9A" w14:paraId="192EFFF1"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13365400" w14:textId="77777777" w:rsidR="004A489F" w:rsidRPr="00201A9A" w:rsidRDefault="004A489F">
            <w:pPr>
              <w:spacing w:before="0" w:after="0"/>
              <w:jc w:val="center"/>
              <w:rPr>
                <w:rFonts w:ascii="Wingdings" w:eastAsia="Times New Roman" w:hAnsi="Wingdings" w:cs="Calibri"/>
                <w:noProof/>
                <w:color w:val="000000"/>
                <w:sz w:val="18"/>
                <w:szCs w:val="18"/>
              </w:rPr>
            </w:pPr>
            <w:r w:rsidRPr="00201A9A">
              <w:rPr>
                <w:rFonts w:ascii="Wingdings" w:hAnsi="Wingdings"/>
                <w:noProof/>
                <w:color w:val="000000"/>
                <w:sz w:val="18"/>
              </w:rPr>
              <w:t></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26414471" w14:textId="77777777" w:rsidR="004A489F" w:rsidRPr="00201A9A" w:rsidRDefault="004A489F">
            <w:pPr>
              <w:spacing w:before="0" w:after="0"/>
              <w:jc w:val="center"/>
              <w:rPr>
                <w:rFonts w:ascii="Wingdings" w:eastAsia="Times New Roman" w:hAnsi="Wingdings" w:cs="Calibri"/>
                <w:noProof/>
                <w:color w:val="000000"/>
                <w:sz w:val="18"/>
                <w:szCs w:val="18"/>
                <w:lang w:eastAsia="zh-CN"/>
              </w:rPr>
            </w:pP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30EB5E9F" w14:textId="77777777" w:rsidR="004A489F" w:rsidRPr="00201A9A" w:rsidRDefault="004A489F">
            <w:pPr>
              <w:spacing w:before="0" w:after="0"/>
              <w:jc w:val="left"/>
              <w:rPr>
                <w:rFonts w:eastAsia="Times New Roman"/>
                <w:noProof/>
                <w:sz w:val="20"/>
                <w:szCs w:val="20"/>
                <w:lang w:eastAsia="zh-CN"/>
              </w:rPr>
            </w:pP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5099BCBF"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2028</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34EAD410"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2029</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2FD63A23"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2030</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48811FC4"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2031</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1CAC6DE2"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2032</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1E003C1D"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2033</w:t>
            </w:r>
          </w:p>
        </w:tc>
        <w:tc>
          <w:tcPr>
            <w:tcW w:w="483" w:type="pct"/>
            <w:gridSpan w:val="2"/>
            <w:tcBorders>
              <w:top w:val="single" w:sz="4" w:space="0" w:color="000000"/>
              <w:left w:val="single" w:sz="4" w:space="0" w:color="000000"/>
              <w:bottom w:val="single" w:sz="4" w:space="0" w:color="000000"/>
              <w:right w:val="single" w:sz="4" w:space="0" w:color="000000"/>
            </w:tcBorders>
            <w:vAlign w:val="center"/>
            <w:hideMark/>
          </w:tcPr>
          <w:p w14:paraId="0A0EE32E" w14:textId="77777777" w:rsidR="004A489F" w:rsidRPr="00201A9A" w:rsidRDefault="004A489F">
            <w:pPr>
              <w:spacing w:before="0" w:after="0"/>
              <w:jc w:val="center"/>
              <w:rPr>
                <w:rFonts w:eastAsia="Times New Roman"/>
                <w:b/>
                <w:noProof/>
                <w:color w:val="000000"/>
                <w:sz w:val="20"/>
                <w:szCs w:val="20"/>
              </w:rPr>
            </w:pPr>
            <w:r w:rsidRPr="00201A9A">
              <w:rPr>
                <w:b/>
                <w:noProof/>
                <w:color w:val="000000"/>
                <w:sz w:val="20"/>
              </w:rPr>
              <w:t>2034</w:t>
            </w:r>
          </w:p>
        </w:tc>
        <w:tc>
          <w:tcPr>
            <w:tcW w:w="483" w:type="pct"/>
            <w:gridSpan w:val="2"/>
            <w:vMerge/>
            <w:tcBorders>
              <w:top w:val="single" w:sz="8" w:space="0" w:color="000000"/>
              <w:left w:val="single" w:sz="4" w:space="0" w:color="000000"/>
              <w:bottom w:val="nil"/>
              <w:right w:val="nil"/>
            </w:tcBorders>
            <w:vAlign w:val="center"/>
            <w:hideMark/>
          </w:tcPr>
          <w:p w14:paraId="782E097D" w14:textId="77777777" w:rsidR="004A489F" w:rsidRPr="00201A9A" w:rsidRDefault="004A489F">
            <w:pPr>
              <w:spacing w:before="0" w:after="0"/>
              <w:jc w:val="left"/>
              <w:rPr>
                <w:rFonts w:eastAsia="Times New Roman"/>
                <w:b/>
                <w:noProof/>
                <w:color w:val="000000"/>
                <w:sz w:val="18"/>
                <w:szCs w:val="18"/>
                <w:lang w:eastAsia="zh-CN"/>
              </w:rPr>
            </w:pPr>
          </w:p>
        </w:tc>
      </w:tr>
      <w:tr w:rsidR="004A489F" w:rsidRPr="00201A9A" w14:paraId="28D7E8A0"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3B1D7A05" w14:textId="77777777" w:rsidR="004A489F" w:rsidRPr="00201A9A" w:rsidRDefault="004A489F">
            <w:pPr>
              <w:spacing w:before="0" w:after="0"/>
              <w:jc w:val="center"/>
              <w:rPr>
                <w:rFonts w:eastAsia="Times New Roman"/>
                <w:b/>
                <w:noProof/>
                <w:color w:val="000000"/>
                <w:sz w:val="20"/>
                <w:szCs w:val="20"/>
                <w:lang w:eastAsia="zh-CN"/>
              </w:rPr>
            </w:pPr>
          </w:p>
        </w:tc>
        <w:tc>
          <w:tcPr>
            <w:tcW w:w="4350" w:type="pct"/>
            <w:gridSpan w:val="18"/>
            <w:tcBorders>
              <w:top w:val="single" w:sz="4" w:space="0" w:color="000000"/>
              <w:left w:val="single" w:sz="4" w:space="0" w:color="000000"/>
              <w:bottom w:val="single" w:sz="4" w:space="0" w:color="000000"/>
              <w:right w:val="single" w:sz="4" w:space="0" w:color="000000"/>
            </w:tcBorders>
            <w:noWrap/>
            <w:vAlign w:val="bottom"/>
            <w:hideMark/>
          </w:tcPr>
          <w:p w14:paraId="74DEF7DE" w14:textId="77777777" w:rsidR="004A489F" w:rsidRPr="00201A9A" w:rsidRDefault="004A489F">
            <w:pPr>
              <w:spacing w:before="0" w:after="0"/>
              <w:jc w:val="left"/>
              <w:rPr>
                <w:rFonts w:eastAsia="Times New Roman"/>
                <w:b/>
                <w:noProof/>
                <w:color w:val="000000"/>
                <w:sz w:val="18"/>
                <w:szCs w:val="18"/>
              </w:rPr>
            </w:pPr>
            <w:r w:rsidRPr="00201A9A">
              <w:rPr>
                <w:b/>
                <w:noProof/>
                <w:color w:val="000000"/>
                <w:sz w:val="18"/>
              </w:rPr>
              <w:t>PRODUKT</w:t>
            </w:r>
          </w:p>
        </w:tc>
      </w:tr>
      <w:tr w:rsidR="004A489F" w:rsidRPr="00201A9A" w14:paraId="7C0758B3" w14:textId="77777777">
        <w:trPr>
          <w:trHeight w:val="480"/>
        </w:trPr>
        <w:tc>
          <w:tcPr>
            <w:tcW w:w="650" w:type="pct"/>
            <w:tcBorders>
              <w:top w:val="single" w:sz="4" w:space="0" w:color="000000"/>
              <w:left w:val="single" w:sz="8" w:space="0" w:color="000000"/>
              <w:bottom w:val="nil"/>
              <w:right w:val="single" w:sz="4" w:space="0" w:color="000000"/>
            </w:tcBorders>
            <w:noWrap/>
            <w:vAlign w:val="bottom"/>
            <w:hideMark/>
          </w:tcPr>
          <w:p w14:paraId="7E040808" w14:textId="77777777" w:rsidR="004A489F" w:rsidRPr="00201A9A" w:rsidRDefault="004A489F">
            <w:pPr>
              <w:spacing w:before="0" w:after="0"/>
              <w:jc w:val="left"/>
              <w:rPr>
                <w:rFonts w:eastAsia="Times New Roman"/>
                <w:noProof/>
                <w:sz w:val="20"/>
                <w:szCs w:val="20"/>
                <w:lang w:eastAsia="zh-CN"/>
              </w:rPr>
            </w:pPr>
          </w:p>
        </w:tc>
        <w:tc>
          <w:tcPr>
            <w:tcW w:w="242" w:type="pct"/>
            <w:tcBorders>
              <w:top w:val="single" w:sz="4" w:space="0" w:color="000000"/>
              <w:left w:val="single" w:sz="4" w:space="0" w:color="000000"/>
              <w:bottom w:val="nil"/>
              <w:right w:val="single" w:sz="4" w:space="0" w:color="000000"/>
            </w:tcBorders>
            <w:noWrap/>
            <w:vAlign w:val="center"/>
            <w:hideMark/>
          </w:tcPr>
          <w:p w14:paraId="7BB506CD" w14:textId="77777777" w:rsidR="004A489F" w:rsidRPr="00201A9A" w:rsidRDefault="004A489F">
            <w:pPr>
              <w:spacing w:before="0" w:after="0"/>
              <w:jc w:val="center"/>
              <w:rPr>
                <w:rFonts w:eastAsia="Times New Roman"/>
                <w:noProof/>
                <w:color w:val="000000"/>
                <w:sz w:val="18"/>
                <w:szCs w:val="18"/>
              </w:rPr>
            </w:pPr>
            <w:bookmarkStart w:id="167" w:name="3.2.2!C5"/>
            <w:r w:rsidRPr="00201A9A">
              <w:rPr>
                <w:noProof/>
                <w:color w:val="000000"/>
                <w:sz w:val="18"/>
              </w:rPr>
              <w:t>Rodzaj</w:t>
            </w:r>
            <w:bookmarkEnd w:id="167"/>
          </w:p>
        </w:tc>
        <w:tc>
          <w:tcPr>
            <w:tcW w:w="242" w:type="pct"/>
            <w:tcBorders>
              <w:top w:val="single" w:sz="4" w:space="0" w:color="000000"/>
              <w:left w:val="single" w:sz="4" w:space="0" w:color="000000"/>
              <w:bottom w:val="nil"/>
              <w:right w:val="single" w:sz="4" w:space="0" w:color="000000"/>
            </w:tcBorders>
            <w:vAlign w:val="center"/>
            <w:hideMark/>
          </w:tcPr>
          <w:p w14:paraId="6AD2D5E4"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Średni</w:t>
            </w:r>
            <w:r w:rsidRPr="00201A9A">
              <w:rPr>
                <w:noProof/>
              </w:rPr>
              <w:t xml:space="preserve"> </w:t>
            </w:r>
            <w:r w:rsidRPr="00201A9A">
              <w:rPr>
                <w:noProof/>
              </w:rPr>
              <w:br/>
            </w:r>
            <w:r w:rsidRPr="00201A9A">
              <w:rPr>
                <w:noProof/>
                <w:color w:val="000000"/>
                <w:sz w:val="18"/>
              </w:rPr>
              <w:t>koszt</w:t>
            </w:r>
          </w:p>
        </w:tc>
        <w:tc>
          <w:tcPr>
            <w:tcW w:w="176" w:type="pct"/>
            <w:tcBorders>
              <w:top w:val="single" w:sz="4" w:space="0" w:color="000000"/>
              <w:left w:val="single" w:sz="4" w:space="0" w:color="000000"/>
              <w:bottom w:val="nil"/>
              <w:right w:val="single" w:sz="4" w:space="0" w:color="000000"/>
            </w:tcBorders>
            <w:noWrap/>
            <w:vAlign w:val="center"/>
            <w:hideMark/>
          </w:tcPr>
          <w:p w14:paraId="35646990"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Liczba</w:t>
            </w:r>
          </w:p>
        </w:tc>
        <w:tc>
          <w:tcPr>
            <w:tcW w:w="307" w:type="pct"/>
            <w:tcBorders>
              <w:top w:val="single" w:sz="4" w:space="0" w:color="000000"/>
              <w:left w:val="single" w:sz="4" w:space="0" w:color="000000"/>
              <w:bottom w:val="nil"/>
              <w:right w:val="single" w:sz="4" w:space="0" w:color="000000"/>
            </w:tcBorders>
            <w:noWrap/>
            <w:vAlign w:val="center"/>
            <w:hideMark/>
          </w:tcPr>
          <w:p w14:paraId="68329C24"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Koszt</w:t>
            </w:r>
          </w:p>
        </w:tc>
        <w:tc>
          <w:tcPr>
            <w:tcW w:w="176" w:type="pct"/>
            <w:tcBorders>
              <w:top w:val="single" w:sz="4" w:space="0" w:color="000000"/>
              <w:left w:val="single" w:sz="4" w:space="0" w:color="000000"/>
              <w:bottom w:val="nil"/>
              <w:right w:val="single" w:sz="4" w:space="0" w:color="000000"/>
            </w:tcBorders>
            <w:noWrap/>
            <w:vAlign w:val="center"/>
            <w:hideMark/>
          </w:tcPr>
          <w:p w14:paraId="789D0151"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Liczba</w:t>
            </w:r>
          </w:p>
        </w:tc>
        <w:tc>
          <w:tcPr>
            <w:tcW w:w="307" w:type="pct"/>
            <w:tcBorders>
              <w:top w:val="single" w:sz="4" w:space="0" w:color="000000"/>
              <w:left w:val="single" w:sz="4" w:space="0" w:color="000000"/>
              <w:bottom w:val="nil"/>
              <w:right w:val="single" w:sz="4" w:space="0" w:color="000000"/>
            </w:tcBorders>
            <w:noWrap/>
            <w:vAlign w:val="center"/>
            <w:hideMark/>
          </w:tcPr>
          <w:p w14:paraId="3A488460"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Koszt</w:t>
            </w:r>
          </w:p>
        </w:tc>
        <w:tc>
          <w:tcPr>
            <w:tcW w:w="176" w:type="pct"/>
            <w:tcBorders>
              <w:top w:val="single" w:sz="4" w:space="0" w:color="000000"/>
              <w:left w:val="single" w:sz="4" w:space="0" w:color="000000"/>
              <w:bottom w:val="nil"/>
              <w:right w:val="single" w:sz="4" w:space="0" w:color="000000"/>
            </w:tcBorders>
            <w:noWrap/>
            <w:vAlign w:val="center"/>
            <w:hideMark/>
          </w:tcPr>
          <w:p w14:paraId="0B0B2BC6"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Liczba</w:t>
            </w:r>
          </w:p>
        </w:tc>
        <w:tc>
          <w:tcPr>
            <w:tcW w:w="307" w:type="pct"/>
            <w:tcBorders>
              <w:top w:val="single" w:sz="4" w:space="0" w:color="000000"/>
              <w:left w:val="single" w:sz="4" w:space="0" w:color="000000"/>
              <w:bottom w:val="nil"/>
              <w:right w:val="single" w:sz="4" w:space="0" w:color="000000"/>
            </w:tcBorders>
            <w:noWrap/>
            <w:vAlign w:val="center"/>
            <w:hideMark/>
          </w:tcPr>
          <w:p w14:paraId="469AF6B0"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Koszt</w:t>
            </w:r>
          </w:p>
        </w:tc>
        <w:tc>
          <w:tcPr>
            <w:tcW w:w="176" w:type="pct"/>
            <w:tcBorders>
              <w:top w:val="single" w:sz="4" w:space="0" w:color="000000"/>
              <w:left w:val="single" w:sz="4" w:space="0" w:color="000000"/>
              <w:bottom w:val="nil"/>
              <w:right w:val="single" w:sz="4" w:space="0" w:color="000000"/>
            </w:tcBorders>
            <w:noWrap/>
            <w:vAlign w:val="center"/>
            <w:hideMark/>
          </w:tcPr>
          <w:p w14:paraId="41F69AC6"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Liczba</w:t>
            </w:r>
          </w:p>
        </w:tc>
        <w:tc>
          <w:tcPr>
            <w:tcW w:w="307" w:type="pct"/>
            <w:tcBorders>
              <w:top w:val="single" w:sz="4" w:space="0" w:color="000000"/>
              <w:left w:val="single" w:sz="4" w:space="0" w:color="000000"/>
              <w:bottom w:val="nil"/>
              <w:right w:val="single" w:sz="4" w:space="0" w:color="000000"/>
            </w:tcBorders>
            <w:noWrap/>
            <w:vAlign w:val="center"/>
            <w:hideMark/>
          </w:tcPr>
          <w:p w14:paraId="2C9C79CB"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Koszt</w:t>
            </w:r>
          </w:p>
        </w:tc>
        <w:tc>
          <w:tcPr>
            <w:tcW w:w="176" w:type="pct"/>
            <w:tcBorders>
              <w:top w:val="single" w:sz="4" w:space="0" w:color="000000"/>
              <w:left w:val="single" w:sz="4" w:space="0" w:color="000000"/>
              <w:bottom w:val="nil"/>
              <w:right w:val="single" w:sz="4" w:space="0" w:color="000000"/>
            </w:tcBorders>
            <w:noWrap/>
            <w:vAlign w:val="center"/>
            <w:hideMark/>
          </w:tcPr>
          <w:p w14:paraId="09F92EC0"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Liczba</w:t>
            </w:r>
          </w:p>
        </w:tc>
        <w:tc>
          <w:tcPr>
            <w:tcW w:w="307" w:type="pct"/>
            <w:tcBorders>
              <w:top w:val="single" w:sz="4" w:space="0" w:color="000000"/>
              <w:left w:val="single" w:sz="4" w:space="0" w:color="000000"/>
              <w:bottom w:val="nil"/>
              <w:right w:val="single" w:sz="4" w:space="0" w:color="000000"/>
            </w:tcBorders>
            <w:noWrap/>
            <w:vAlign w:val="center"/>
            <w:hideMark/>
          </w:tcPr>
          <w:p w14:paraId="37833299"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Koszt</w:t>
            </w:r>
          </w:p>
        </w:tc>
        <w:tc>
          <w:tcPr>
            <w:tcW w:w="176" w:type="pct"/>
            <w:tcBorders>
              <w:top w:val="single" w:sz="4" w:space="0" w:color="000000"/>
              <w:left w:val="single" w:sz="4" w:space="0" w:color="000000"/>
              <w:bottom w:val="nil"/>
              <w:right w:val="single" w:sz="4" w:space="0" w:color="000000"/>
            </w:tcBorders>
            <w:noWrap/>
            <w:vAlign w:val="center"/>
            <w:hideMark/>
          </w:tcPr>
          <w:p w14:paraId="3F38EFEC"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Liczba</w:t>
            </w:r>
          </w:p>
        </w:tc>
        <w:tc>
          <w:tcPr>
            <w:tcW w:w="307" w:type="pct"/>
            <w:tcBorders>
              <w:top w:val="single" w:sz="4" w:space="0" w:color="000000"/>
              <w:left w:val="single" w:sz="4" w:space="0" w:color="000000"/>
              <w:bottom w:val="nil"/>
              <w:right w:val="single" w:sz="4" w:space="0" w:color="000000"/>
            </w:tcBorders>
            <w:noWrap/>
            <w:vAlign w:val="center"/>
            <w:hideMark/>
          </w:tcPr>
          <w:p w14:paraId="0659107F"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Koszt</w:t>
            </w:r>
          </w:p>
        </w:tc>
        <w:tc>
          <w:tcPr>
            <w:tcW w:w="176" w:type="pct"/>
            <w:tcBorders>
              <w:top w:val="single" w:sz="4" w:space="0" w:color="000000"/>
              <w:left w:val="single" w:sz="4" w:space="0" w:color="000000"/>
              <w:bottom w:val="nil"/>
              <w:right w:val="single" w:sz="4" w:space="0" w:color="000000"/>
            </w:tcBorders>
            <w:noWrap/>
            <w:vAlign w:val="center"/>
            <w:hideMark/>
          </w:tcPr>
          <w:p w14:paraId="21DA90DC"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Liczba</w:t>
            </w:r>
          </w:p>
        </w:tc>
        <w:tc>
          <w:tcPr>
            <w:tcW w:w="307" w:type="pct"/>
            <w:tcBorders>
              <w:top w:val="single" w:sz="4" w:space="0" w:color="000000"/>
              <w:left w:val="single" w:sz="4" w:space="0" w:color="000000"/>
              <w:bottom w:val="nil"/>
              <w:right w:val="single" w:sz="4" w:space="0" w:color="000000"/>
            </w:tcBorders>
            <w:noWrap/>
            <w:vAlign w:val="center"/>
            <w:hideMark/>
          </w:tcPr>
          <w:p w14:paraId="58F40EA7"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Koszt</w:t>
            </w:r>
          </w:p>
        </w:tc>
        <w:tc>
          <w:tcPr>
            <w:tcW w:w="176" w:type="pct"/>
            <w:tcBorders>
              <w:top w:val="single" w:sz="4" w:space="0" w:color="000000"/>
              <w:left w:val="single" w:sz="4" w:space="0" w:color="000000"/>
              <w:bottom w:val="nil"/>
              <w:right w:val="single" w:sz="4" w:space="0" w:color="000000"/>
            </w:tcBorders>
            <w:noWrap/>
            <w:vAlign w:val="center"/>
            <w:hideMark/>
          </w:tcPr>
          <w:p w14:paraId="25E3087E"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Liczba</w:t>
            </w:r>
          </w:p>
        </w:tc>
        <w:tc>
          <w:tcPr>
            <w:tcW w:w="307" w:type="pct"/>
            <w:tcBorders>
              <w:top w:val="single" w:sz="4" w:space="0" w:color="000000"/>
              <w:left w:val="single" w:sz="4" w:space="0" w:color="000000"/>
              <w:bottom w:val="nil"/>
              <w:right w:val="single" w:sz="4" w:space="0" w:color="000000"/>
            </w:tcBorders>
            <w:noWrap/>
            <w:vAlign w:val="center"/>
            <w:hideMark/>
          </w:tcPr>
          <w:p w14:paraId="11C98BDD"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Koszt</w:t>
            </w:r>
          </w:p>
        </w:tc>
      </w:tr>
      <w:tr w:rsidR="004A489F" w:rsidRPr="00201A9A" w14:paraId="57D7C563" w14:textId="77777777">
        <w:trPr>
          <w:trHeight w:val="300"/>
        </w:trPr>
        <w:tc>
          <w:tcPr>
            <w:tcW w:w="5000" w:type="pct"/>
            <w:gridSpan w:val="19"/>
            <w:tcBorders>
              <w:top w:val="single" w:sz="4" w:space="0" w:color="000000"/>
              <w:left w:val="single" w:sz="8" w:space="0" w:color="000000"/>
              <w:bottom w:val="single" w:sz="4" w:space="0" w:color="000000"/>
              <w:right w:val="nil"/>
            </w:tcBorders>
            <w:noWrap/>
            <w:vAlign w:val="bottom"/>
            <w:hideMark/>
          </w:tcPr>
          <w:p w14:paraId="40E2CCCE" w14:textId="292C1137" w:rsidR="004A489F" w:rsidRPr="00201A9A" w:rsidRDefault="004A489F">
            <w:pPr>
              <w:spacing w:before="0" w:after="0"/>
              <w:jc w:val="left"/>
              <w:rPr>
                <w:rFonts w:eastAsia="Times New Roman"/>
                <w:noProof/>
                <w:color w:val="000000"/>
                <w:sz w:val="18"/>
                <w:szCs w:val="18"/>
              </w:rPr>
            </w:pPr>
            <w:bookmarkStart w:id="168" w:name="3.2.2!B6"/>
            <w:r w:rsidRPr="00201A9A">
              <w:rPr>
                <w:noProof/>
                <w:color w:val="000000"/>
                <w:sz w:val="18"/>
              </w:rPr>
              <w:t>CEL SZCZEGÓŁOWY nr</w:t>
            </w:r>
            <w:r w:rsidR="00201A9A" w:rsidRPr="00201A9A">
              <w:rPr>
                <w:noProof/>
                <w:color w:val="000000"/>
                <w:sz w:val="18"/>
              </w:rPr>
              <w:t> </w:t>
            </w:r>
            <w:r w:rsidRPr="00201A9A">
              <w:rPr>
                <w:noProof/>
                <w:color w:val="000000"/>
                <w:sz w:val="18"/>
              </w:rPr>
              <w:t>1</w:t>
            </w:r>
            <w:bookmarkEnd w:id="168"/>
          </w:p>
        </w:tc>
      </w:tr>
      <w:tr w:rsidR="004A489F" w:rsidRPr="00201A9A" w14:paraId="265D36C9" w14:textId="77777777">
        <w:trPr>
          <w:trHeight w:val="300"/>
        </w:trPr>
        <w:tc>
          <w:tcPr>
            <w:tcW w:w="650" w:type="pct"/>
            <w:tcBorders>
              <w:top w:val="nil"/>
              <w:left w:val="single" w:sz="8" w:space="0" w:color="000000"/>
              <w:bottom w:val="single" w:sz="4" w:space="0" w:color="000000"/>
              <w:right w:val="single" w:sz="4" w:space="0" w:color="000000"/>
            </w:tcBorders>
            <w:noWrap/>
            <w:vAlign w:val="bottom"/>
            <w:hideMark/>
          </w:tcPr>
          <w:p w14:paraId="0BBC5CE8"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Produkt</w:t>
            </w:r>
          </w:p>
        </w:tc>
        <w:tc>
          <w:tcPr>
            <w:tcW w:w="242" w:type="pct"/>
            <w:tcBorders>
              <w:top w:val="nil"/>
              <w:left w:val="single" w:sz="4" w:space="0" w:color="000000"/>
              <w:bottom w:val="single" w:sz="4" w:space="0" w:color="000000"/>
              <w:right w:val="single" w:sz="4" w:space="0" w:color="000000"/>
            </w:tcBorders>
            <w:noWrap/>
            <w:vAlign w:val="bottom"/>
            <w:hideMark/>
          </w:tcPr>
          <w:p w14:paraId="5444E002"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xml:space="preserve"> </w:t>
            </w:r>
          </w:p>
        </w:tc>
        <w:tc>
          <w:tcPr>
            <w:tcW w:w="242" w:type="pct"/>
            <w:tcBorders>
              <w:top w:val="nil"/>
              <w:left w:val="single" w:sz="4" w:space="0" w:color="000000"/>
              <w:bottom w:val="single" w:sz="4" w:space="0" w:color="000000"/>
              <w:right w:val="single" w:sz="4" w:space="0" w:color="000000"/>
            </w:tcBorders>
            <w:noWrap/>
            <w:vAlign w:val="bottom"/>
            <w:hideMark/>
          </w:tcPr>
          <w:p w14:paraId="7152A19D"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xml:space="preserve"> </w:t>
            </w:r>
          </w:p>
        </w:tc>
        <w:tc>
          <w:tcPr>
            <w:tcW w:w="176" w:type="pct"/>
            <w:tcBorders>
              <w:top w:val="nil"/>
              <w:left w:val="single" w:sz="4" w:space="0" w:color="000000"/>
              <w:bottom w:val="single" w:sz="4" w:space="0" w:color="000000"/>
              <w:right w:val="single" w:sz="4" w:space="0" w:color="000000"/>
            </w:tcBorders>
            <w:noWrap/>
            <w:vAlign w:val="bottom"/>
            <w:hideMark/>
          </w:tcPr>
          <w:p w14:paraId="0A0EEBAA" w14:textId="77777777" w:rsidR="004A489F" w:rsidRPr="00201A9A" w:rsidRDefault="004A489F">
            <w:pPr>
              <w:spacing w:before="0" w:after="0"/>
              <w:jc w:val="left"/>
              <w:rPr>
                <w:rFonts w:eastAsia="Times New Roman"/>
                <w:noProof/>
                <w:color w:val="000000"/>
                <w:sz w:val="18"/>
                <w:szCs w:val="18"/>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9739453"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620E1D80" w14:textId="77777777" w:rsidR="004A489F" w:rsidRPr="00201A9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528EA053"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4A96E6A" w14:textId="77777777" w:rsidR="004A489F" w:rsidRPr="00201A9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32FD9F51"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6D5B2DA" w14:textId="77777777" w:rsidR="004A489F" w:rsidRPr="00201A9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0F3B3987"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6E1AABD5" w14:textId="77777777" w:rsidR="004A489F" w:rsidRPr="00201A9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103F08A3"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5D3B0B3D" w14:textId="77777777" w:rsidR="004A489F" w:rsidRPr="00201A9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3D2AFB93"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35021D21" w14:textId="77777777" w:rsidR="004A489F" w:rsidRPr="00201A9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2D2455F4"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660238BF"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7E47DFAF"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r>
      <w:tr w:rsidR="004A489F" w:rsidRPr="00201A9A" w14:paraId="17CF56C7"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610B7A62"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Produkt</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1062F8BE"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xml:space="preserve"> </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3FED3D28"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xml:space="preserve"> </w:t>
            </w: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0B5000D9" w14:textId="77777777" w:rsidR="004A489F" w:rsidRPr="00201A9A" w:rsidRDefault="004A489F">
            <w:pPr>
              <w:spacing w:before="0" w:after="0"/>
              <w:jc w:val="left"/>
              <w:rPr>
                <w:rFonts w:eastAsia="Times New Roman"/>
                <w:noProof/>
                <w:color w:val="000000"/>
                <w:sz w:val="18"/>
                <w:szCs w:val="18"/>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173D4C17"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259CDE3B" w14:textId="77777777" w:rsidR="004A489F" w:rsidRPr="00201A9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0E06490A"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222CC2AD" w14:textId="77777777" w:rsidR="004A489F" w:rsidRPr="00201A9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2A35299C"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548A1971" w14:textId="77777777" w:rsidR="004A489F" w:rsidRPr="00201A9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50FEE0BD"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5D008096" w14:textId="77777777" w:rsidR="004A489F" w:rsidRPr="00201A9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751D0BB"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18C198C3" w14:textId="77777777" w:rsidR="004A489F" w:rsidRPr="00201A9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560E2A02"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786E7F44" w14:textId="77777777" w:rsidR="004A489F" w:rsidRPr="00201A9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42154D29"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463E08AB"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54DF5BBD"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r>
      <w:tr w:rsidR="004A489F" w:rsidRPr="00201A9A" w14:paraId="3E591652"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0840C01A"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Produkt</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37165493"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xml:space="preserve"> </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6EB76EE8"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xml:space="preserve"> </w:t>
            </w: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0E269C84" w14:textId="77777777" w:rsidR="004A489F" w:rsidRPr="00201A9A" w:rsidRDefault="004A489F">
            <w:pPr>
              <w:spacing w:before="0" w:after="0"/>
              <w:jc w:val="left"/>
              <w:rPr>
                <w:rFonts w:eastAsia="Times New Roman"/>
                <w:noProof/>
                <w:color w:val="000000"/>
                <w:sz w:val="18"/>
                <w:szCs w:val="18"/>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7A4F2C85"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A6BEFD7" w14:textId="77777777" w:rsidR="004A489F" w:rsidRPr="00201A9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29DCD8F5"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187BFE48" w14:textId="77777777" w:rsidR="004A489F" w:rsidRPr="00201A9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67D6CA60"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361EA3E3" w14:textId="77777777" w:rsidR="004A489F" w:rsidRPr="00201A9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5081FB3A"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258FD004" w14:textId="77777777" w:rsidR="004A489F" w:rsidRPr="00201A9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192BEB2B"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4E98F90" w14:textId="77777777" w:rsidR="004A489F" w:rsidRPr="00201A9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4F3550F7"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noWrap/>
            <w:vAlign w:val="bottom"/>
            <w:hideMark/>
          </w:tcPr>
          <w:p w14:paraId="4B7002C6" w14:textId="77777777" w:rsidR="004A489F" w:rsidRPr="00201A9A" w:rsidRDefault="004A489F">
            <w:pPr>
              <w:spacing w:before="0" w:after="0"/>
              <w:jc w:val="left"/>
              <w:rPr>
                <w:rFonts w:eastAsia="Times New Roman"/>
                <w:noProof/>
                <w:sz w:val="20"/>
                <w:szCs w:val="20"/>
                <w:lang w:eastAsia="zh-CN"/>
              </w:rPr>
            </w:pPr>
          </w:p>
        </w:tc>
        <w:tc>
          <w:tcPr>
            <w:tcW w:w="307" w:type="pct"/>
            <w:tcBorders>
              <w:top w:val="nil"/>
              <w:left w:val="single" w:sz="4" w:space="0" w:color="000000"/>
              <w:bottom w:val="single" w:sz="4" w:space="0" w:color="000000"/>
              <w:right w:val="single" w:sz="4" w:space="0" w:color="000000"/>
            </w:tcBorders>
            <w:noWrap/>
            <w:vAlign w:val="bottom"/>
            <w:hideMark/>
          </w:tcPr>
          <w:p w14:paraId="2327471D"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34DFED91"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0DA998D7"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r>
      <w:tr w:rsidR="004A489F" w:rsidRPr="00201A9A" w14:paraId="372DAD52" w14:textId="77777777">
        <w:trPr>
          <w:trHeight w:val="300"/>
        </w:trPr>
        <w:tc>
          <w:tcPr>
            <w:tcW w:w="1133" w:type="pct"/>
            <w:gridSpan w:val="3"/>
            <w:tcBorders>
              <w:top w:val="single" w:sz="4" w:space="0" w:color="000000"/>
              <w:left w:val="single" w:sz="8" w:space="0" w:color="000000"/>
              <w:bottom w:val="single" w:sz="4" w:space="0" w:color="000000"/>
              <w:right w:val="single" w:sz="4" w:space="0" w:color="000000"/>
            </w:tcBorders>
            <w:noWrap/>
            <w:vAlign w:val="bottom"/>
            <w:hideMark/>
          </w:tcPr>
          <w:p w14:paraId="7ABA13B0" w14:textId="61E499CE" w:rsidR="004A489F" w:rsidRPr="00201A9A" w:rsidRDefault="004A489F">
            <w:pPr>
              <w:spacing w:before="0" w:after="0"/>
              <w:jc w:val="left"/>
              <w:rPr>
                <w:rFonts w:eastAsia="Times New Roman"/>
                <w:noProof/>
                <w:color w:val="000000"/>
                <w:sz w:val="18"/>
                <w:szCs w:val="18"/>
              </w:rPr>
            </w:pPr>
            <w:r w:rsidRPr="00201A9A">
              <w:rPr>
                <w:noProof/>
                <w:color w:val="000000"/>
                <w:sz w:val="18"/>
              </w:rPr>
              <w:t>Cel szczegółowy nr</w:t>
            </w:r>
            <w:r w:rsidR="00201A9A" w:rsidRPr="00201A9A">
              <w:rPr>
                <w:noProof/>
                <w:color w:val="000000"/>
                <w:sz w:val="18"/>
              </w:rPr>
              <w:t> </w:t>
            </w:r>
            <w:r w:rsidRPr="00201A9A">
              <w:rPr>
                <w:noProof/>
                <w:color w:val="000000"/>
                <w:sz w:val="18"/>
              </w:rPr>
              <w:t>1 – suma cząstkowa</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F924737"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9C2E19F"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04566609"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01950F83"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E80B675"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AE4843E"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BB20661"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27AB987F"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D061148"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CD1EC7E"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C6A88FF"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2E1675C8"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2EB136A6"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F8A5299"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88F9EAF"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18C77705"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r>
      <w:tr w:rsidR="004A489F" w:rsidRPr="00201A9A" w14:paraId="49C1642F" w14:textId="77777777">
        <w:trPr>
          <w:trHeight w:val="300"/>
        </w:trPr>
        <w:tc>
          <w:tcPr>
            <w:tcW w:w="5000" w:type="pct"/>
            <w:gridSpan w:val="19"/>
            <w:tcBorders>
              <w:top w:val="single" w:sz="4" w:space="0" w:color="000000"/>
              <w:left w:val="single" w:sz="8" w:space="0" w:color="000000"/>
              <w:bottom w:val="single" w:sz="4" w:space="0" w:color="000000"/>
              <w:right w:val="nil"/>
            </w:tcBorders>
            <w:noWrap/>
            <w:vAlign w:val="bottom"/>
            <w:hideMark/>
          </w:tcPr>
          <w:p w14:paraId="6E5EE699" w14:textId="44250557" w:rsidR="004A489F" w:rsidRPr="00201A9A" w:rsidRDefault="004A489F">
            <w:pPr>
              <w:spacing w:before="0" w:after="0"/>
              <w:jc w:val="left"/>
              <w:rPr>
                <w:rFonts w:eastAsia="Times New Roman"/>
                <w:noProof/>
                <w:color w:val="000000"/>
                <w:sz w:val="18"/>
                <w:szCs w:val="18"/>
              </w:rPr>
            </w:pPr>
            <w:r w:rsidRPr="00201A9A">
              <w:rPr>
                <w:noProof/>
                <w:color w:val="000000"/>
                <w:sz w:val="18"/>
              </w:rPr>
              <w:t>CEL SZCZEGÓŁOWY nr</w:t>
            </w:r>
            <w:r w:rsidR="00201A9A" w:rsidRPr="00201A9A">
              <w:rPr>
                <w:noProof/>
                <w:color w:val="000000"/>
                <w:sz w:val="18"/>
              </w:rPr>
              <w:t> </w:t>
            </w:r>
            <w:r w:rsidRPr="00201A9A">
              <w:rPr>
                <w:noProof/>
                <w:color w:val="000000"/>
                <w:sz w:val="18"/>
              </w:rPr>
              <w:t>2</w:t>
            </w:r>
          </w:p>
        </w:tc>
      </w:tr>
      <w:tr w:rsidR="004A489F" w:rsidRPr="00201A9A" w14:paraId="72E4320D"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1B2D286E"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Produkt</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2E74D722"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xml:space="preserve"> </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536DFEA7"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xml:space="preserve"> </w:t>
            </w: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3DCF3B90" w14:textId="77777777" w:rsidR="004A489F" w:rsidRPr="00201A9A" w:rsidRDefault="004A489F">
            <w:pPr>
              <w:spacing w:before="0" w:after="0"/>
              <w:jc w:val="left"/>
              <w:rPr>
                <w:rFonts w:eastAsia="Times New Roman"/>
                <w:noProof/>
                <w:color w:val="000000"/>
                <w:sz w:val="18"/>
                <w:szCs w:val="18"/>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22CD68F" w14:textId="77777777" w:rsidR="004A489F" w:rsidRPr="00201A9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1D2FFE39" w14:textId="77777777" w:rsidR="004A489F" w:rsidRPr="00201A9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538951E" w14:textId="77777777" w:rsidR="004A489F" w:rsidRPr="00201A9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76BD7384" w14:textId="77777777" w:rsidR="004A489F" w:rsidRPr="00201A9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D058411" w14:textId="77777777" w:rsidR="004A489F" w:rsidRPr="00201A9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37A8566B" w14:textId="77777777" w:rsidR="004A489F" w:rsidRPr="00201A9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0082355" w14:textId="77777777" w:rsidR="004A489F" w:rsidRPr="00201A9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63405343" w14:textId="77777777" w:rsidR="004A489F" w:rsidRPr="00201A9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35C713F2" w14:textId="77777777" w:rsidR="004A489F" w:rsidRPr="00201A9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31550641" w14:textId="77777777" w:rsidR="004A489F" w:rsidRPr="00201A9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25DDAF33" w14:textId="77777777" w:rsidR="004A489F" w:rsidRPr="00201A9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44970B39" w14:textId="77777777" w:rsidR="004A489F" w:rsidRPr="00201A9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71965F6C"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30D7AAA5"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5CBA51E2"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r>
      <w:tr w:rsidR="004A489F" w:rsidRPr="00201A9A" w14:paraId="34C55B7C"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37610C97"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Produkt</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212CDE0A"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xml:space="preserve"> </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514EEFA9"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xml:space="preserve"> </w:t>
            </w: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5C4D11EA" w14:textId="77777777" w:rsidR="004A489F" w:rsidRPr="00201A9A" w:rsidRDefault="004A489F">
            <w:pPr>
              <w:spacing w:before="0" w:after="0"/>
              <w:jc w:val="left"/>
              <w:rPr>
                <w:rFonts w:eastAsia="Times New Roman"/>
                <w:noProof/>
                <w:color w:val="000000"/>
                <w:sz w:val="18"/>
                <w:szCs w:val="18"/>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13B530F3" w14:textId="77777777" w:rsidR="004A489F" w:rsidRPr="00201A9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2923A62E" w14:textId="77777777" w:rsidR="004A489F" w:rsidRPr="00201A9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7AB0CA0" w14:textId="77777777" w:rsidR="004A489F" w:rsidRPr="00201A9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58102EC4" w14:textId="77777777" w:rsidR="004A489F" w:rsidRPr="00201A9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7FDEEA78" w14:textId="77777777" w:rsidR="004A489F" w:rsidRPr="00201A9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25D5F28F" w14:textId="77777777" w:rsidR="004A489F" w:rsidRPr="00201A9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1BC72042" w14:textId="77777777" w:rsidR="004A489F" w:rsidRPr="00201A9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412D4251" w14:textId="77777777" w:rsidR="004A489F" w:rsidRPr="00201A9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0055FC10" w14:textId="77777777" w:rsidR="004A489F" w:rsidRPr="00201A9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7DB3B518" w14:textId="77777777" w:rsidR="004A489F" w:rsidRPr="00201A9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72375E44" w14:textId="77777777" w:rsidR="004A489F" w:rsidRPr="00201A9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51284B5E" w14:textId="77777777" w:rsidR="004A489F" w:rsidRPr="00201A9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11E027F3"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5F693DBD"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637258CB"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r>
      <w:tr w:rsidR="004A489F" w:rsidRPr="00201A9A" w14:paraId="76BFD732" w14:textId="77777777">
        <w:trPr>
          <w:trHeight w:val="300"/>
        </w:trPr>
        <w:tc>
          <w:tcPr>
            <w:tcW w:w="650" w:type="pct"/>
            <w:tcBorders>
              <w:top w:val="single" w:sz="4" w:space="0" w:color="000000"/>
              <w:left w:val="single" w:sz="8" w:space="0" w:color="000000"/>
              <w:bottom w:val="single" w:sz="4" w:space="0" w:color="000000"/>
              <w:right w:val="single" w:sz="4" w:space="0" w:color="000000"/>
            </w:tcBorders>
            <w:noWrap/>
            <w:vAlign w:val="bottom"/>
            <w:hideMark/>
          </w:tcPr>
          <w:p w14:paraId="12536191"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Produkt</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23D2B006"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xml:space="preserve"> </w:t>
            </w:r>
          </w:p>
        </w:tc>
        <w:tc>
          <w:tcPr>
            <w:tcW w:w="242" w:type="pct"/>
            <w:tcBorders>
              <w:top w:val="single" w:sz="4" w:space="0" w:color="000000"/>
              <w:left w:val="single" w:sz="4" w:space="0" w:color="000000"/>
              <w:bottom w:val="single" w:sz="4" w:space="0" w:color="000000"/>
              <w:right w:val="single" w:sz="4" w:space="0" w:color="000000"/>
            </w:tcBorders>
            <w:noWrap/>
            <w:vAlign w:val="bottom"/>
            <w:hideMark/>
          </w:tcPr>
          <w:p w14:paraId="64B7A06F" w14:textId="77777777" w:rsidR="004A489F" w:rsidRPr="00201A9A" w:rsidRDefault="004A489F">
            <w:pPr>
              <w:spacing w:before="0" w:after="0"/>
              <w:jc w:val="left"/>
              <w:rPr>
                <w:rFonts w:eastAsia="Times New Roman"/>
                <w:noProof/>
                <w:color w:val="000000"/>
                <w:sz w:val="18"/>
                <w:szCs w:val="18"/>
              </w:rPr>
            </w:pPr>
            <w:r w:rsidRPr="00201A9A">
              <w:rPr>
                <w:noProof/>
                <w:color w:val="000000"/>
                <w:sz w:val="18"/>
              </w:rPr>
              <w:t xml:space="preserve"> </w:t>
            </w: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73929C63" w14:textId="77777777" w:rsidR="004A489F" w:rsidRPr="00201A9A" w:rsidRDefault="004A489F">
            <w:pPr>
              <w:spacing w:before="0" w:after="0"/>
              <w:jc w:val="left"/>
              <w:rPr>
                <w:rFonts w:eastAsia="Times New Roman"/>
                <w:noProof/>
                <w:color w:val="000000"/>
                <w:sz w:val="18"/>
                <w:szCs w:val="18"/>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A86688A" w14:textId="77777777" w:rsidR="004A489F" w:rsidRPr="00201A9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71656998" w14:textId="77777777" w:rsidR="004A489F" w:rsidRPr="00201A9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5A90E8E6" w14:textId="77777777" w:rsidR="004A489F" w:rsidRPr="00201A9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0443A2FD" w14:textId="77777777" w:rsidR="004A489F" w:rsidRPr="00201A9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31D078D0" w14:textId="77777777" w:rsidR="004A489F" w:rsidRPr="00201A9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25B7802E" w14:textId="77777777" w:rsidR="004A489F" w:rsidRPr="00201A9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0BBD3C88" w14:textId="77777777" w:rsidR="004A489F" w:rsidRPr="00201A9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75C7DC62" w14:textId="77777777" w:rsidR="004A489F" w:rsidRPr="00201A9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0F5E9789" w14:textId="77777777" w:rsidR="004A489F" w:rsidRPr="00201A9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3AE82708" w14:textId="77777777" w:rsidR="004A489F" w:rsidRPr="00201A9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772E2396" w14:textId="77777777" w:rsidR="004A489F" w:rsidRPr="00201A9A" w:rsidRDefault="004A489F">
            <w:pPr>
              <w:spacing w:before="0" w:after="0"/>
              <w:jc w:val="left"/>
              <w:rPr>
                <w:rFonts w:eastAsia="Times New Roman"/>
                <w:noProof/>
                <w:sz w:val="20"/>
                <w:szCs w:val="20"/>
                <w:lang w:eastAsia="zh-CN"/>
              </w:rPr>
            </w:pPr>
          </w:p>
        </w:tc>
        <w:tc>
          <w:tcPr>
            <w:tcW w:w="176" w:type="pct"/>
            <w:tcBorders>
              <w:top w:val="single" w:sz="4" w:space="0" w:color="000000"/>
              <w:left w:val="single" w:sz="4" w:space="0" w:color="000000"/>
              <w:bottom w:val="single" w:sz="4" w:space="0" w:color="000000"/>
              <w:right w:val="single" w:sz="4" w:space="0" w:color="000000"/>
            </w:tcBorders>
            <w:noWrap/>
            <w:vAlign w:val="bottom"/>
            <w:hideMark/>
          </w:tcPr>
          <w:p w14:paraId="40182ED9" w14:textId="77777777" w:rsidR="004A489F" w:rsidRPr="00201A9A" w:rsidRDefault="004A489F">
            <w:pPr>
              <w:spacing w:before="0" w:after="0"/>
              <w:jc w:val="left"/>
              <w:rPr>
                <w:rFonts w:eastAsia="Times New Roman"/>
                <w:noProof/>
                <w:sz w:val="20"/>
                <w:szCs w:val="20"/>
                <w:lang w:eastAsia="zh-CN"/>
              </w:rPr>
            </w:pPr>
          </w:p>
        </w:tc>
        <w:tc>
          <w:tcPr>
            <w:tcW w:w="307" w:type="pct"/>
            <w:tcBorders>
              <w:top w:val="single" w:sz="4" w:space="0" w:color="000000"/>
              <w:left w:val="single" w:sz="4" w:space="0" w:color="000000"/>
              <w:bottom w:val="single" w:sz="4" w:space="0" w:color="000000"/>
              <w:right w:val="single" w:sz="4" w:space="0" w:color="000000"/>
            </w:tcBorders>
            <w:noWrap/>
            <w:vAlign w:val="bottom"/>
            <w:hideMark/>
          </w:tcPr>
          <w:p w14:paraId="7ACA1052" w14:textId="77777777" w:rsidR="004A489F" w:rsidRPr="00201A9A" w:rsidRDefault="004A489F">
            <w:pPr>
              <w:spacing w:before="0" w:after="0"/>
              <w:jc w:val="left"/>
              <w:rPr>
                <w:rFonts w:eastAsia="Times New Roman"/>
                <w:noProof/>
                <w:sz w:val="20"/>
                <w:szCs w:val="20"/>
                <w:lang w:eastAsia="zh-CN"/>
              </w:rPr>
            </w:pPr>
          </w:p>
        </w:tc>
        <w:tc>
          <w:tcPr>
            <w:tcW w:w="176" w:type="pct"/>
            <w:tcBorders>
              <w:top w:val="nil"/>
              <w:left w:val="single" w:sz="4" w:space="0" w:color="000000"/>
              <w:bottom w:val="single" w:sz="4" w:space="0" w:color="000000"/>
              <w:right w:val="single" w:sz="4" w:space="0" w:color="000000"/>
            </w:tcBorders>
            <w:shd w:val="clear" w:color="000000" w:fill="F2F2F2"/>
            <w:noWrap/>
            <w:vAlign w:val="bottom"/>
            <w:hideMark/>
          </w:tcPr>
          <w:p w14:paraId="34E123A8"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nil"/>
              <w:left w:val="single" w:sz="4" w:space="0" w:color="000000"/>
              <w:bottom w:val="single" w:sz="4" w:space="0" w:color="000000"/>
              <w:right w:val="single" w:sz="4" w:space="0" w:color="000000"/>
            </w:tcBorders>
            <w:shd w:val="clear" w:color="000000" w:fill="F2F2F2"/>
            <w:noWrap/>
            <w:vAlign w:val="bottom"/>
            <w:hideMark/>
          </w:tcPr>
          <w:p w14:paraId="3C21C643"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r>
      <w:tr w:rsidR="004A489F" w:rsidRPr="00201A9A" w14:paraId="4C10ED76" w14:textId="77777777">
        <w:trPr>
          <w:trHeight w:val="300"/>
        </w:trPr>
        <w:tc>
          <w:tcPr>
            <w:tcW w:w="1133" w:type="pct"/>
            <w:gridSpan w:val="3"/>
            <w:tcBorders>
              <w:top w:val="single" w:sz="4" w:space="0" w:color="000000"/>
              <w:left w:val="single" w:sz="8" w:space="0" w:color="000000"/>
              <w:bottom w:val="single" w:sz="4" w:space="0" w:color="000000"/>
              <w:right w:val="single" w:sz="4" w:space="0" w:color="000000"/>
            </w:tcBorders>
            <w:noWrap/>
            <w:vAlign w:val="bottom"/>
            <w:hideMark/>
          </w:tcPr>
          <w:p w14:paraId="38AF97B8" w14:textId="5DBF76A7" w:rsidR="004A489F" w:rsidRPr="00201A9A" w:rsidRDefault="004A489F">
            <w:pPr>
              <w:spacing w:before="0" w:after="0"/>
              <w:jc w:val="left"/>
              <w:rPr>
                <w:rFonts w:eastAsia="Times New Roman"/>
                <w:noProof/>
                <w:color w:val="000000"/>
                <w:sz w:val="18"/>
                <w:szCs w:val="18"/>
              </w:rPr>
            </w:pPr>
            <w:r w:rsidRPr="00201A9A">
              <w:rPr>
                <w:noProof/>
                <w:color w:val="000000"/>
                <w:sz w:val="18"/>
              </w:rPr>
              <w:t>Cel szczegółowy nr</w:t>
            </w:r>
            <w:r w:rsidR="00201A9A" w:rsidRPr="00201A9A">
              <w:rPr>
                <w:noProof/>
                <w:color w:val="000000"/>
                <w:sz w:val="18"/>
              </w:rPr>
              <w:t> </w:t>
            </w:r>
            <w:r w:rsidRPr="00201A9A">
              <w:rPr>
                <w:noProof/>
                <w:color w:val="000000"/>
                <w:sz w:val="18"/>
              </w:rPr>
              <w:t>2 – suma cząstkowa</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35C3FBE"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50623F4"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179E2FDE"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2A9F2487"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36491075"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2C0921EF"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567A7F6"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24A375EA"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2DEF5B10"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2855279"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5FB9C7BE"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530B16A"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8133733"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44399DEE"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716C9DB5"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4" w:space="0" w:color="000000"/>
              <w:right w:val="single" w:sz="4" w:space="0" w:color="000000"/>
            </w:tcBorders>
            <w:shd w:val="clear" w:color="000000" w:fill="F2F2F2"/>
            <w:noWrap/>
            <w:vAlign w:val="bottom"/>
            <w:hideMark/>
          </w:tcPr>
          <w:p w14:paraId="6EEB1852"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r>
      <w:tr w:rsidR="004A489F" w:rsidRPr="00201A9A" w14:paraId="5072F713" w14:textId="77777777">
        <w:trPr>
          <w:trHeight w:val="300"/>
        </w:trPr>
        <w:tc>
          <w:tcPr>
            <w:tcW w:w="1133" w:type="pct"/>
            <w:gridSpan w:val="3"/>
            <w:tcBorders>
              <w:top w:val="single" w:sz="4" w:space="0" w:color="000000"/>
              <w:left w:val="single" w:sz="8" w:space="0" w:color="000000"/>
              <w:bottom w:val="single" w:sz="8" w:space="0" w:color="000000"/>
              <w:right w:val="single" w:sz="4" w:space="0" w:color="000000"/>
            </w:tcBorders>
            <w:noWrap/>
            <w:vAlign w:val="bottom"/>
            <w:hideMark/>
          </w:tcPr>
          <w:p w14:paraId="4072A275" w14:textId="77777777" w:rsidR="004A489F" w:rsidRPr="00201A9A" w:rsidRDefault="004A489F">
            <w:pPr>
              <w:spacing w:before="0" w:after="0"/>
              <w:jc w:val="left"/>
              <w:rPr>
                <w:rFonts w:eastAsia="Times New Roman"/>
                <w:b/>
                <w:noProof/>
                <w:color w:val="000000"/>
                <w:sz w:val="18"/>
                <w:szCs w:val="18"/>
              </w:rPr>
            </w:pPr>
            <w:r w:rsidRPr="00201A9A">
              <w:rPr>
                <w:b/>
                <w:noProof/>
                <w:color w:val="000000"/>
                <w:sz w:val="18"/>
              </w:rPr>
              <w:t>OGÓŁEM</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08CF2D23"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0F0347E6"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0BE9EE2B"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28629029"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684132A2"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28406478"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495B0D7C"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4521293C"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2437BED0"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099FE724"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5672FEAF"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14A158AB"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0CD34A7A"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20DCE032"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c>
          <w:tcPr>
            <w:tcW w:w="176"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5491A8A4"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w:t>
            </w:r>
          </w:p>
        </w:tc>
        <w:tc>
          <w:tcPr>
            <w:tcW w:w="307" w:type="pct"/>
            <w:tcBorders>
              <w:top w:val="single" w:sz="4" w:space="0" w:color="000000"/>
              <w:left w:val="single" w:sz="4" w:space="0" w:color="000000"/>
              <w:bottom w:val="single" w:sz="8" w:space="0" w:color="000000"/>
              <w:right w:val="single" w:sz="4" w:space="0" w:color="000000"/>
            </w:tcBorders>
            <w:shd w:val="clear" w:color="000000" w:fill="F2F2F2"/>
            <w:noWrap/>
            <w:vAlign w:val="bottom"/>
            <w:hideMark/>
          </w:tcPr>
          <w:p w14:paraId="72FF8A8B" w14:textId="77777777" w:rsidR="004A489F" w:rsidRPr="00201A9A" w:rsidRDefault="004A489F">
            <w:pPr>
              <w:spacing w:before="0" w:after="0"/>
              <w:jc w:val="right"/>
              <w:rPr>
                <w:rFonts w:eastAsia="Times New Roman"/>
                <w:b/>
                <w:noProof/>
                <w:color w:val="000000"/>
                <w:sz w:val="18"/>
                <w:szCs w:val="18"/>
              </w:rPr>
            </w:pPr>
            <w:r w:rsidRPr="00201A9A">
              <w:rPr>
                <w:b/>
                <w:noProof/>
                <w:color w:val="000000"/>
                <w:sz w:val="18"/>
              </w:rPr>
              <w:t>0,000</w:t>
            </w:r>
          </w:p>
        </w:tc>
      </w:tr>
    </w:tbl>
    <w:p w14:paraId="657D620D" w14:textId="77777777" w:rsidR="004A489F" w:rsidRPr="00201A9A" w:rsidRDefault="004A489F" w:rsidP="004A489F">
      <w:pPr>
        <w:rPr>
          <w:noProof/>
        </w:rPr>
        <w:sectPr w:rsidR="004A489F" w:rsidRPr="00201A9A" w:rsidSect="009C4ADF">
          <w:headerReference w:type="default" r:id="rId20"/>
          <w:footerReference w:type="default" r:id="rId21"/>
          <w:pgSz w:w="16840" w:h="11907" w:orient="landscape" w:code="9"/>
          <w:pgMar w:top="1134" w:right="1418" w:bottom="567" w:left="1418" w:header="709" w:footer="709" w:gutter="0"/>
          <w:cols w:space="708"/>
          <w:docGrid w:linePitch="360"/>
        </w:sectPr>
      </w:pPr>
    </w:p>
    <w:p w14:paraId="162777DF" w14:textId="77777777" w:rsidR="004A489F" w:rsidRPr="00201A9A" w:rsidRDefault="004A489F" w:rsidP="004A489F">
      <w:pPr>
        <w:pStyle w:val="ManualHeading3"/>
        <w:rPr>
          <w:bCs/>
          <w:noProof/>
          <w:szCs w:val="24"/>
        </w:rPr>
      </w:pPr>
      <w:bookmarkStart w:id="169" w:name="_Toc514938055"/>
      <w:bookmarkStart w:id="170" w:name="_Toc520485054"/>
      <w:bookmarkStart w:id="171" w:name="_Toc160804598"/>
      <w:bookmarkStart w:id="172" w:name="_Toc167220290"/>
      <w:bookmarkStart w:id="173" w:name="_Toc177549023"/>
      <w:r w:rsidRPr="00201A9A">
        <w:rPr>
          <w:noProof/>
        </w:rPr>
        <w:t>3.2.3.</w:t>
      </w:r>
      <w:r w:rsidRPr="00201A9A">
        <w:rPr>
          <w:noProof/>
        </w:rPr>
        <w:tab/>
        <w:t>Podsumowanie szacunkowego wpływu na środki administracyjne</w:t>
      </w:r>
      <w:bookmarkEnd w:id="169"/>
      <w:bookmarkEnd w:id="170"/>
      <w:bookmarkEnd w:id="171"/>
      <w:bookmarkEnd w:id="172"/>
      <w:bookmarkEnd w:id="173"/>
      <w:r w:rsidRPr="00201A9A">
        <w:rPr>
          <w:noProof/>
        </w:rPr>
        <w:t xml:space="preserve"> </w:t>
      </w:r>
    </w:p>
    <w:p w14:paraId="032E761D" w14:textId="07E0CF7F" w:rsidR="004A489F" w:rsidRPr="00201A9A" w:rsidRDefault="004A489F" w:rsidP="004A489F">
      <w:pPr>
        <w:pStyle w:val="ListDash1"/>
        <w:rPr>
          <w:noProof/>
        </w:rPr>
      </w:pPr>
      <w:r w:rsidRPr="00201A9A">
        <w:rPr>
          <w:rFonts w:ascii="Wingdings" w:hAnsi="Wingdings"/>
          <w:noProof/>
        </w:rPr>
        <w:t></w:t>
      </w:r>
      <w:r w:rsidRPr="00201A9A">
        <w:rPr>
          <w:noProof/>
        </w:rPr>
        <w:tab/>
        <w:t>Wniosek/inicjatywa nie wiąże się</w:t>
      </w:r>
      <w:r w:rsidR="00201A9A" w:rsidRPr="00201A9A">
        <w:rPr>
          <w:noProof/>
        </w:rPr>
        <w:t xml:space="preserve"> z kon</w:t>
      </w:r>
      <w:r w:rsidRPr="00201A9A">
        <w:rPr>
          <w:noProof/>
        </w:rPr>
        <w:t xml:space="preserve">iecznością wykorzystania środków administracyjnych </w:t>
      </w:r>
    </w:p>
    <w:p w14:paraId="2875F0AE" w14:textId="1DCE1FCF" w:rsidR="004A489F" w:rsidRPr="00201A9A" w:rsidRDefault="004A489F" w:rsidP="004A489F">
      <w:pPr>
        <w:pStyle w:val="ListDash1"/>
        <w:rPr>
          <w:noProof/>
        </w:rPr>
      </w:pPr>
      <w:r w:rsidRPr="00201A9A">
        <w:rPr>
          <w:rFonts w:ascii="Wingdings" w:hAnsi="Wingdings"/>
          <w:noProof/>
        </w:rPr>
        <w:t></w:t>
      </w:r>
      <w:r w:rsidRPr="00201A9A">
        <w:rPr>
          <w:noProof/>
        </w:rPr>
        <w:tab/>
        <w:t>Wniosek/inicjatywa wiąże się</w:t>
      </w:r>
      <w:r w:rsidR="00201A9A" w:rsidRPr="00201A9A">
        <w:rPr>
          <w:noProof/>
        </w:rPr>
        <w:t xml:space="preserve"> z kon</w:t>
      </w:r>
      <w:r w:rsidRPr="00201A9A">
        <w:rPr>
          <w:noProof/>
        </w:rPr>
        <w:t>iecznością wykorzystania środków administracyjnych, jak określono poniżej</w:t>
      </w:r>
    </w:p>
    <w:p w14:paraId="4F9F1B41" w14:textId="7EEEFC26" w:rsidR="004A489F" w:rsidRPr="00201A9A" w:rsidRDefault="004A489F" w:rsidP="004A489F">
      <w:pPr>
        <w:pStyle w:val="ManualHeading3"/>
        <w:rPr>
          <w:noProof/>
        </w:rPr>
      </w:pPr>
      <w:bookmarkStart w:id="174" w:name="_Toc167220291"/>
      <w:bookmarkStart w:id="175" w:name="_Toc177549024"/>
      <w:r w:rsidRPr="00201A9A">
        <w:rPr>
          <w:noProof/>
        </w:rPr>
        <w:t>3.2.3.1. Środki</w:t>
      </w:r>
      <w:r w:rsidR="00201A9A" w:rsidRPr="00201A9A">
        <w:rPr>
          <w:noProof/>
        </w:rPr>
        <w:t xml:space="preserve"> z uch</w:t>
      </w:r>
      <w:r w:rsidRPr="00201A9A">
        <w:rPr>
          <w:noProof/>
        </w:rPr>
        <w:t>walonego budżetu</w:t>
      </w:r>
      <w:bookmarkEnd w:id="174"/>
      <w:bookmarkEnd w:id="175"/>
    </w:p>
    <w:tbl>
      <w:tblPr>
        <w:tblW w:w="5000" w:type="pct"/>
        <w:tblCellMar>
          <w:top w:w="15" w:type="dxa"/>
          <w:bottom w:w="15" w:type="dxa"/>
        </w:tblCellMar>
        <w:tblLook w:val="04A0" w:firstRow="1" w:lastRow="0" w:firstColumn="1" w:lastColumn="0" w:noHBand="0" w:noVBand="1"/>
      </w:tblPr>
      <w:tblGrid>
        <w:gridCol w:w="1713"/>
        <w:gridCol w:w="680"/>
        <w:gridCol w:w="680"/>
        <w:gridCol w:w="680"/>
        <w:gridCol w:w="681"/>
        <w:gridCol w:w="681"/>
        <w:gridCol w:w="681"/>
        <w:gridCol w:w="681"/>
        <w:gridCol w:w="862"/>
        <w:gridCol w:w="831"/>
        <w:gridCol w:w="1119"/>
      </w:tblGrid>
      <w:tr w:rsidR="004A489F" w:rsidRPr="00201A9A" w14:paraId="4AF8D65B" w14:textId="77777777">
        <w:trPr>
          <w:trHeight w:val="300"/>
        </w:trPr>
        <w:tc>
          <w:tcPr>
            <w:tcW w:w="952" w:type="pct"/>
            <w:vMerge w:val="restart"/>
            <w:tcBorders>
              <w:top w:val="single" w:sz="8" w:space="0" w:color="auto"/>
              <w:left w:val="single" w:sz="8" w:space="0" w:color="auto"/>
              <w:bottom w:val="single" w:sz="8" w:space="0" w:color="auto"/>
              <w:right w:val="single" w:sz="8" w:space="0" w:color="auto"/>
            </w:tcBorders>
            <w:vAlign w:val="center"/>
            <w:hideMark/>
          </w:tcPr>
          <w:p w14:paraId="25E56781" w14:textId="77777777" w:rsidR="004A489F" w:rsidRPr="00201A9A" w:rsidRDefault="004A489F">
            <w:pPr>
              <w:spacing w:before="0" w:after="0"/>
              <w:jc w:val="center"/>
              <w:rPr>
                <w:rFonts w:eastAsia="Times New Roman"/>
                <w:b/>
                <w:noProof/>
                <w:color w:val="000000"/>
                <w:sz w:val="14"/>
                <w:szCs w:val="14"/>
              </w:rPr>
            </w:pPr>
            <w:bookmarkStart w:id="176" w:name="_Toc167220292"/>
            <w:bookmarkStart w:id="177" w:name="_Toc177549025"/>
            <w:r w:rsidRPr="00201A9A">
              <w:rPr>
                <w:b/>
                <w:noProof/>
                <w:color w:val="000000"/>
                <w:sz w:val="14"/>
              </w:rPr>
              <w:t>ZATWIERDZONE ŚRODKI</w:t>
            </w:r>
          </w:p>
        </w:tc>
        <w:tc>
          <w:tcPr>
            <w:tcW w:w="396" w:type="pct"/>
            <w:tcBorders>
              <w:top w:val="single" w:sz="8" w:space="0" w:color="auto"/>
              <w:left w:val="single" w:sz="8" w:space="0" w:color="auto"/>
              <w:bottom w:val="single" w:sz="8" w:space="0" w:color="auto"/>
              <w:right w:val="single" w:sz="8" w:space="0" w:color="auto"/>
            </w:tcBorders>
            <w:vAlign w:val="center"/>
            <w:hideMark/>
          </w:tcPr>
          <w:p w14:paraId="6CC08000"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Rok</w:t>
            </w:r>
          </w:p>
        </w:tc>
        <w:tc>
          <w:tcPr>
            <w:tcW w:w="396" w:type="pct"/>
            <w:tcBorders>
              <w:top w:val="single" w:sz="8" w:space="0" w:color="auto"/>
              <w:left w:val="single" w:sz="8" w:space="0" w:color="auto"/>
              <w:bottom w:val="single" w:sz="8" w:space="0" w:color="auto"/>
              <w:right w:val="single" w:sz="8" w:space="0" w:color="auto"/>
            </w:tcBorders>
            <w:vAlign w:val="center"/>
            <w:hideMark/>
          </w:tcPr>
          <w:p w14:paraId="2FFB6C6C"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Rok</w:t>
            </w:r>
          </w:p>
        </w:tc>
        <w:tc>
          <w:tcPr>
            <w:tcW w:w="396" w:type="pct"/>
            <w:tcBorders>
              <w:top w:val="single" w:sz="8" w:space="0" w:color="auto"/>
              <w:left w:val="single" w:sz="8" w:space="0" w:color="auto"/>
              <w:bottom w:val="single" w:sz="8" w:space="0" w:color="auto"/>
              <w:right w:val="single" w:sz="8" w:space="0" w:color="auto"/>
            </w:tcBorders>
            <w:vAlign w:val="center"/>
            <w:hideMark/>
          </w:tcPr>
          <w:p w14:paraId="5B7B3EC7"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Rok</w:t>
            </w:r>
          </w:p>
        </w:tc>
        <w:tc>
          <w:tcPr>
            <w:tcW w:w="396" w:type="pct"/>
            <w:tcBorders>
              <w:top w:val="single" w:sz="8" w:space="0" w:color="auto"/>
              <w:left w:val="single" w:sz="8" w:space="0" w:color="auto"/>
              <w:bottom w:val="single" w:sz="8" w:space="0" w:color="auto"/>
              <w:right w:val="single" w:sz="8" w:space="0" w:color="auto"/>
            </w:tcBorders>
            <w:vAlign w:val="center"/>
            <w:hideMark/>
          </w:tcPr>
          <w:p w14:paraId="22244671"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Rok</w:t>
            </w:r>
          </w:p>
        </w:tc>
        <w:tc>
          <w:tcPr>
            <w:tcW w:w="396" w:type="pct"/>
            <w:tcBorders>
              <w:top w:val="single" w:sz="8" w:space="0" w:color="auto"/>
              <w:left w:val="single" w:sz="8" w:space="0" w:color="auto"/>
              <w:bottom w:val="single" w:sz="8" w:space="0" w:color="auto"/>
              <w:right w:val="single" w:sz="8" w:space="0" w:color="auto"/>
            </w:tcBorders>
            <w:vAlign w:val="center"/>
            <w:hideMark/>
          </w:tcPr>
          <w:p w14:paraId="64AF10F9"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Rok</w:t>
            </w:r>
          </w:p>
        </w:tc>
        <w:tc>
          <w:tcPr>
            <w:tcW w:w="396" w:type="pct"/>
            <w:tcBorders>
              <w:top w:val="single" w:sz="8" w:space="0" w:color="auto"/>
              <w:left w:val="single" w:sz="8" w:space="0" w:color="auto"/>
              <w:bottom w:val="single" w:sz="8" w:space="0" w:color="auto"/>
              <w:right w:val="single" w:sz="8" w:space="0" w:color="auto"/>
            </w:tcBorders>
            <w:vAlign w:val="center"/>
            <w:hideMark/>
          </w:tcPr>
          <w:p w14:paraId="2B2B1BF1"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Rok</w:t>
            </w:r>
          </w:p>
        </w:tc>
        <w:tc>
          <w:tcPr>
            <w:tcW w:w="396" w:type="pct"/>
            <w:tcBorders>
              <w:top w:val="single" w:sz="8" w:space="0" w:color="auto"/>
              <w:left w:val="single" w:sz="8" w:space="0" w:color="auto"/>
              <w:bottom w:val="single" w:sz="8" w:space="0" w:color="auto"/>
              <w:right w:val="single" w:sz="8" w:space="0" w:color="auto"/>
            </w:tcBorders>
            <w:vAlign w:val="center"/>
            <w:hideMark/>
          </w:tcPr>
          <w:p w14:paraId="2FDBAD37"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Rok</w:t>
            </w:r>
          </w:p>
        </w:tc>
        <w:tc>
          <w:tcPr>
            <w:tcW w:w="439" w:type="pct"/>
            <w:vMerge w:val="restart"/>
            <w:tcBorders>
              <w:top w:val="single" w:sz="8" w:space="0" w:color="auto"/>
              <w:left w:val="single" w:sz="8" w:space="0" w:color="auto"/>
              <w:bottom w:val="single" w:sz="8" w:space="0" w:color="auto"/>
              <w:right w:val="single" w:sz="8" w:space="0" w:color="auto"/>
            </w:tcBorders>
            <w:vAlign w:val="center"/>
            <w:hideMark/>
          </w:tcPr>
          <w:p w14:paraId="1990E775"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OGÓŁEM</w:t>
            </w:r>
            <w:r w:rsidRPr="00201A9A">
              <w:rPr>
                <w:noProof/>
              </w:rPr>
              <w:t xml:space="preserve"> </w:t>
            </w:r>
            <w:r w:rsidRPr="00201A9A">
              <w:rPr>
                <w:noProof/>
              </w:rPr>
              <w:br/>
            </w:r>
            <w:r w:rsidRPr="00201A9A">
              <w:rPr>
                <w:b/>
                <w:noProof/>
                <w:color w:val="000000"/>
                <w:sz w:val="14"/>
              </w:rPr>
              <w:t>2028–2034</w:t>
            </w:r>
          </w:p>
        </w:tc>
        <w:tc>
          <w:tcPr>
            <w:tcW w:w="396" w:type="pct"/>
            <w:tcBorders>
              <w:top w:val="single" w:sz="8" w:space="0" w:color="auto"/>
              <w:left w:val="single" w:sz="8" w:space="0" w:color="auto"/>
              <w:bottom w:val="single" w:sz="8" w:space="0" w:color="auto"/>
              <w:right w:val="single" w:sz="8" w:space="0" w:color="auto"/>
            </w:tcBorders>
            <w:vAlign w:val="center"/>
            <w:hideMark/>
          </w:tcPr>
          <w:p w14:paraId="670C2A20"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ZAMIEŚĆ</w:t>
            </w:r>
          </w:p>
        </w:tc>
        <w:tc>
          <w:tcPr>
            <w:tcW w:w="439" w:type="pct"/>
            <w:vMerge w:val="restart"/>
            <w:tcBorders>
              <w:top w:val="single" w:sz="8" w:space="0" w:color="auto"/>
              <w:left w:val="single" w:sz="8" w:space="0" w:color="auto"/>
              <w:bottom w:val="single" w:sz="8" w:space="0" w:color="auto"/>
              <w:right w:val="single" w:sz="8" w:space="0" w:color="auto"/>
            </w:tcBorders>
            <w:vAlign w:val="center"/>
            <w:hideMark/>
          </w:tcPr>
          <w:p w14:paraId="58B8F76C"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SUMA CAŁKOWITA</w:t>
            </w:r>
          </w:p>
        </w:tc>
      </w:tr>
      <w:tr w:rsidR="004A489F" w:rsidRPr="00201A9A" w14:paraId="248E410B" w14:textId="77777777">
        <w:trPr>
          <w:trHeight w:val="315"/>
        </w:trPr>
        <w:tc>
          <w:tcPr>
            <w:tcW w:w="952" w:type="pct"/>
            <w:vMerge/>
            <w:tcBorders>
              <w:top w:val="single" w:sz="8" w:space="0" w:color="auto"/>
              <w:left w:val="single" w:sz="8" w:space="0" w:color="auto"/>
              <w:bottom w:val="single" w:sz="8" w:space="0" w:color="auto"/>
              <w:right w:val="single" w:sz="8" w:space="0" w:color="auto"/>
            </w:tcBorders>
            <w:vAlign w:val="center"/>
            <w:hideMark/>
          </w:tcPr>
          <w:p w14:paraId="47443F05" w14:textId="77777777" w:rsidR="004A489F" w:rsidRPr="00201A9A" w:rsidRDefault="004A489F">
            <w:pPr>
              <w:spacing w:before="0" w:after="0"/>
              <w:jc w:val="left"/>
              <w:rPr>
                <w:rFonts w:eastAsia="Times New Roman"/>
                <w:b/>
                <w:noProof/>
                <w:color w:val="000000"/>
                <w:sz w:val="14"/>
                <w:szCs w:val="14"/>
                <w:lang w:eastAsia="zh-CN"/>
              </w:rPr>
            </w:pPr>
          </w:p>
        </w:tc>
        <w:tc>
          <w:tcPr>
            <w:tcW w:w="396" w:type="pct"/>
            <w:tcBorders>
              <w:top w:val="single" w:sz="8" w:space="0" w:color="auto"/>
              <w:left w:val="single" w:sz="8" w:space="0" w:color="auto"/>
              <w:bottom w:val="single" w:sz="8" w:space="0" w:color="auto"/>
              <w:right w:val="single" w:sz="8" w:space="0" w:color="auto"/>
            </w:tcBorders>
            <w:vAlign w:val="center"/>
            <w:hideMark/>
          </w:tcPr>
          <w:p w14:paraId="2032741E"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2028</w:t>
            </w:r>
          </w:p>
        </w:tc>
        <w:tc>
          <w:tcPr>
            <w:tcW w:w="396" w:type="pct"/>
            <w:tcBorders>
              <w:top w:val="single" w:sz="8" w:space="0" w:color="auto"/>
              <w:left w:val="single" w:sz="8" w:space="0" w:color="auto"/>
              <w:bottom w:val="single" w:sz="8" w:space="0" w:color="auto"/>
              <w:right w:val="single" w:sz="8" w:space="0" w:color="auto"/>
            </w:tcBorders>
            <w:vAlign w:val="center"/>
            <w:hideMark/>
          </w:tcPr>
          <w:p w14:paraId="4A9D5972"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2029</w:t>
            </w:r>
          </w:p>
        </w:tc>
        <w:tc>
          <w:tcPr>
            <w:tcW w:w="396" w:type="pct"/>
            <w:tcBorders>
              <w:top w:val="single" w:sz="8" w:space="0" w:color="auto"/>
              <w:left w:val="single" w:sz="8" w:space="0" w:color="auto"/>
              <w:bottom w:val="single" w:sz="8" w:space="0" w:color="auto"/>
              <w:right w:val="single" w:sz="8" w:space="0" w:color="auto"/>
            </w:tcBorders>
            <w:vAlign w:val="center"/>
            <w:hideMark/>
          </w:tcPr>
          <w:p w14:paraId="117D4D3F"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2030</w:t>
            </w:r>
          </w:p>
        </w:tc>
        <w:tc>
          <w:tcPr>
            <w:tcW w:w="396" w:type="pct"/>
            <w:tcBorders>
              <w:top w:val="single" w:sz="8" w:space="0" w:color="auto"/>
              <w:left w:val="single" w:sz="8" w:space="0" w:color="auto"/>
              <w:bottom w:val="single" w:sz="8" w:space="0" w:color="auto"/>
              <w:right w:val="single" w:sz="8" w:space="0" w:color="auto"/>
            </w:tcBorders>
            <w:vAlign w:val="center"/>
            <w:hideMark/>
          </w:tcPr>
          <w:p w14:paraId="0F0933C5"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2031</w:t>
            </w:r>
          </w:p>
        </w:tc>
        <w:tc>
          <w:tcPr>
            <w:tcW w:w="396" w:type="pct"/>
            <w:tcBorders>
              <w:top w:val="single" w:sz="8" w:space="0" w:color="auto"/>
              <w:left w:val="single" w:sz="8" w:space="0" w:color="auto"/>
              <w:bottom w:val="single" w:sz="8" w:space="0" w:color="auto"/>
              <w:right w:val="single" w:sz="8" w:space="0" w:color="auto"/>
            </w:tcBorders>
            <w:vAlign w:val="center"/>
            <w:hideMark/>
          </w:tcPr>
          <w:p w14:paraId="6F13C3C9"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2032</w:t>
            </w:r>
          </w:p>
        </w:tc>
        <w:tc>
          <w:tcPr>
            <w:tcW w:w="396" w:type="pct"/>
            <w:tcBorders>
              <w:top w:val="single" w:sz="8" w:space="0" w:color="auto"/>
              <w:left w:val="single" w:sz="8" w:space="0" w:color="auto"/>
              <w:bottom w:val="single" w:sz="8" w:space="0" w:color="auto"/>
              <w:right w:val="single" w:sz="8" w:space="0" w:color="auto"/>
            </w:tcBorders>
            <w:vAlign w:val="center"/>
            <w:hideMark/>
          </w:tcPr>
          <w:p w14:paraId="644AF133"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2033</w:t>
            </w:r>
          </w:p>
        </w:tc>
        <w:tc>
          <w:tcPr>
            <w:tcW w:w="396" w:type="pct"/>
            <w:tcBorders>
              <w:top w:val="single" w:sz="8" w:space="0" w:color="auto"/>
              <w:left w:val="single" w:sz="8" w:space="0" w:color="auto"/>
              <w:bottom w:val="single" w:sz="8" w:space="0" w:color="auto"/>
              <w:right w:val="single" w:sz="8" w:space="0" w:color="auto"/>
            </w:tcBorders>
            <w:vAlign w:val="center"/>
            <w:hideMark/>
          </w:tcPr>
          <w:p w14:paraId="2A14230C"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2034</w:t>
            </w:r>
          </w:p>
        </w:tc>
        <w:tc>
          <w:tcPr>
            <w:tcW w:w="439" w:type="pct"/>
            <w:vMerge/>
            <w:tcBorders>
              <w:top w:val="single" w:sz="8" w:space="0" w:color="auto"/>
              <w:left w:val="single" w:sz="8" w:space="0" w:color="auto"/>
              <w:bottom w:val="single" w:sz="8" w:space="0" w:color="auto"/>
              <w:right w:val="single" w:sz="8" w:space="0" w:color="auto"/>
            </w:tcBorders>
            <w:vAlign w:val="center"/>
            <w:hideMark/>
          </w:tcPr>
          <w:p w14:paraId="61913DF4" w14:textId="77777777" w:rsidR="004A489F" w:rsidRPr="00201A9A" w:rsidRDefault="004A489F">
            <w:pPr>
              <w:spacing w:before="0" w:after="0"/>
              <w:jc w:val="left"/>
              <w:rPr>
                <w:rFonts w:eastAsia="Times New Roman"/>
                <w:b/>
                <w:noProof/>
                <w:color w:val="000000"/>
                <w:sz w:val="14"/>
                <w:szCs w:val="14"/>
                <w:lang w:eastAsia="zh-CN"/>
              </w:rPr>
            </w:pPr>
          </w:p>
        </w:tc>
        <w:tc>
          <w:tcPr>
            <w:tcW w:w="396" w:type="pct"/>
            <w:tcBorders>
              <w:top w:val="single" w:sz="8" w:space="0" w:color="auto"/>
              <w:left w:val="single" w:sz="8" w:space="0" w:color="auto"/>
              <w:bottom w:val="single" w:sz="8" w:space="0" w:color="auto"/>
              <w:right w:val="single" w:sz="8" w:space="0" w:color="auto"/>
            </w:tcBorders>
            <w:vAlign w:val="center"/>
            <w:hideMark/>
          </w:tcPr>
          <w:p w14:paraId="1C029521"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2034</w:t>
            </w:r>
          </w:p>
        </w:tc>
        <w:tc>
          <w:tcPr>
            <w:tcW w:w="439" w:type="pct"/>
            <w:vMerge/>
            <w:tcBorders>
              <w:top w:val="single" w:sz="8" w:space="0" w:color="auto"/>
              <w:left w:val="single" w:sz="8" w:space="0" w:color="auto"/>
              <w:bottom w:val="single" w:sz="8" w:space="0" w:color="auto"/>
              <w:right w:val="single" w:sz="8" w:space="0" w:color="auto"/>
            </w:tcBorders>
            <w:vAlign w:val="center"/>
            <w:hideMark/>
          </w:tcPr>
          <w:p w14:paraId="2A1FE483" w14:textId="77777777" w:rsidR="004A489F" w:rsidRPr="00201A9A" w:rsidRDefault="004A489F">
            <w:pPr>
              <w:spacing w:before="0" w:after="0"/>
              <w:jc w:val="left"/>
              <w:rPr>
                <w:rFonts w:eastAsia="Times New Roman"/>
                <w:b/>
                <w:noProof/>
                <w:color w:val="000000"/>
                <w:sz w:val="14"/>
                <w:szCs w:val="14"/>
                <w:lang w:eastAsia="zh-CN"/>
              </w:rPr>
            </w:pPr>
          </w:p>
        </w:tc>
      </w:tr>
      <w:tr w:rsidR="004A489F" w:rsidRPr="00201A9A" w14:paraId="3696F10B" w14:textId="77777777">
        <w:trPr>
          <w:trHeight w:val="315"/>
        </w:trPr>
        <w:tc>
          <w:tcPr>
            <w:tcW w:w="4165" w:type="pct"/>
            <w:gridSpan w:val="9"/>
            <w:tcBorders>
              <w:top w:val="single" w:sz="8" w:space="0" w:color="auto"/>
              <w:left w:val="single" w:sz="8" w:space="0" w:color="auto"/>
              <w:bottom w:val="single" w:sz="8" w:space="0" w:color="auto"/>
              <w:right w:val="nil"/>
            </w:tcBorders>
            <w:vAlign w:val="center"/>
            <w:hideMark/>
          </w:tcPr>
          <w:p w14:paraId="00621978" w14:textId="77777777" w:rsidR="004A489F" w:rsidRPr="00201A9A" w:rsidRDefault="004A489F">
            <w:pPr>
              <w:spacing w:before="0" w:after="0"/>
              <w:jc w:val="left"/>
              <w:rPr>
                <w:rFonts w:eastAsia="Times New Roman"/>
                <w:b/>
                <w:noProof/>
                <w:sz w:val="14"/>
                <w:szCs w:val="14"/>
              </w:rPr>
            </w:pPr>
            <w:r w:rsidRPr="00201A9A">
              <w:rPr>
                <w:b/>
                <w:noProof/>
                <w:sz w:val="14"/>
              </w:rPr>
              <w:t>DZIAŁ 7</w:t>
            </w:r>
          </w:p>
        </w:tc>
        <w:tc>
          <w:tcPr>
            <w:tcW w:w="396" w:type="pct"/>
            <w:tcBorders>
              <w:top w:val="single" w:sz="8" w:space="0" w:color="auto"/>
              <w:left w:val="single" w:sz="8" w:space="0" w:color="auto"/>
              <w:bottom w:val="single" w:sz="8" w:space="0" w:color="auto"/>
              <w:right w:val="single" w:sz="8" w:space="0" w:color="auto"/>
            </w:tcBorders>
            <w:vAlign w:val="center"/>
            <w:hideMark/>
          </w:tcPr>
          <w:p w14:paraId="4E77B53C" w14:textId="77777777" w:rsidR="004A489F" w:rsidRPr="00201A9A" w:rsidRDefault="004A489F">
            <w:pPr>
              <w:spacing w:before="0" w:after="0"/>
              <w:jc w:val="left"/>
              <w:rPr>
                <w:rFonts w:eastAsia="Times New Roman"/>
                <w:b/>
                <w:noProof/>
                <w:sz w:val="14"/>
                <w:szCs w:val="14"/>
                <w:lang w:eastAsia="zh-CN"/>
              </w:rPr>
            </w:pPr>
          </w:p>
        </w:tc>
        <w:tc>
          <w:tcPr>
            <w:tcW w:w="439" w:type="pct"/>
            <w:tcBorders>
              <w:top w:val="single" w:sz="8" w:space="0" w:color="auto"/>
              <w:left w:val="single" w:sz="8" w:space="0" w:color="auto"/>
              <w:bottom w:val="single" w:sz="8" w:space="0" w:color="auto"/>
              <w:right w:val="single" w:sz="8" w:space="0" w:color="auto"/>
            </w:tcBorders>
            <w:vAlign w:val="center"/>
            <w:hideMark/>
          </w:tcPr>
          <w:p w14:paraId="617091D1" w14:textId="77777777" w:rsidR="004A489F" w:rsidRPr="00201A9A" w:rsidRDefault="004A489F">
            <w:pPr>
              <w:spacing w:before="0" w:after="0"/>
              <w:jc w:val="left"/>
              <w:rPr>
                <w:rFonts w:eastAsia="Times New Roman"/>
                <w:noProof/>
                <w:sz w:val="14"/>
                <w:szCs w:val="14"/>
                <w:lang w:eastAsia="zh-CN"/>
              </w:rPr>
            </w:pPr>
          </w:p>
        </w:tc>
      </w:tr>
      <w:tr w:rsidR="004A489F" w:rsidRPr="00201A9A" w14:paraId="1A70005F"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57A9FEF9" w14:textId="77777777" w:rsidR="004A489F" w:rsidRPr="00201A9A" w:rsidRDefault="004A489F">
            <w:pPr>
              <w:spacing w:before="0" w:after="0"/>
              <w:jc w:val="left"/>
              <w:rPr>
                <w:rFonts w:eastAsia="Times New Roman"/>
                <w:noProof/>
                <w:color w:val="000000"/>
                <w:sz w:val="14"/>
                <w:szCs w:val="14"/>
              </w:rPr>
            </w:pPr>
            <w:r w:rsidRPr="00201A9A">
              <w:rPr>
                <w:noProof/>
                <w:color w:val="000000"/>
                <w:sz w:val="14"/>
              </w:rPr>
              <w:t xml:space="preserve">Zasoby ludzkie </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A77757"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9A1920"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C2B645"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D74024"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C4A56F"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70B4C92"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435,090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854E2F"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435,090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0155669"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3045,630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DA0E55E"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435,090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08C1E38"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3480,720</w:t>
            </w:r>
          </w:p>
        </w:tc>
      </w:tr>
      <w:tr w:rsidR="004A489F" w:rsidRPr="00201A9A" w14:paraId="29B5B87A"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55CAEE90" w14:textId="77777777" w:rsidR="004A489F" w:rsidRPr="00201A9A" w:rsidRDefault="004A489F">
            <w:pPr>
              <w:spacing w:before="0" w:after="0"/>
              <w:jc w:val="left"/>
              <w:rPr>
                <w:rFonts w:eastAsia="Times New Roman"/>
                <w:noProof/>
                <w:color w:val="000000"/>
                <w:sz w:val="14"/>
                <w:szCs w:val="14"/>
              </w:rPr>
            </w:pPr>
            <w:r w:rsidRPr="00201A9A">
              <w:rPr>
                <w:noProof/>
                <w:color w:val="000000"/>
                <w:sz w:val="14"/>
              </w:rPr>
              <w:t xml:space="preserve">Pozostałe wydatki administracyjne </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52EFC8A"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69B23C8"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B88DD8"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B26574E"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8F04240"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42A4EEC"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26,923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2253A7"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26,923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F0160B"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188,461</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8A7ED0"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26,923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2FAABB"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215,384</w:t>
            </w:r>
          </w:p>
        </w:tc>
      </w:tr>
      <w:tr w:rsidR="004A489F" w:rsidRPr="00201A9A" w14:paraId="4A5F825B" w14:textId="77777777">
        <w:trPr>
          <w:trHeight w:val="315"/>
        </w:trPr>
        <w:tc>
          <w:tcPr>
            <w:tcW w:w="952"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3B72F391"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Suma cząstkowa DZIAŁ 7</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3F6D3F2"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2DD5AF"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6B948F"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62F00B3"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43AA931"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79B8A8"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462,013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ADE88A"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462,013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BEB200"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3234,091</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BF88DC"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462,013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F2381D"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3696,104</w:t>
            </w:r>
          </w:p>
        </w:tc>
      </w:tr>
      <w:tr w:rsidR="004A489F" w:rsidRPr="00201A9A" w14:paraId="7FC6E296" w14:textId="77777777">
        <w:trPr>
          <w:trHeight w:val="315"/>
        </w:trPr>
        <w:tc>
          <w:tcPr>
            <w:tcW w:w="4165" w:type="pct"/>
            <w:gridSpan w:val="9"/>
            <w:tcBorders>
              <w:top w:val="single" w:sz="8" w:space="0" w:color="auto"/>
              <w:left w:val="single" w:sz="8" w:space="0" w:color="auto"/>
              <w:bottom w:val="single" w:sz="8" w:space="0" w:color="auto"/>
              <w:right w:val="nil"/>
            </w:tcBorders>
            <w:vAlign w:val="center"/>
            <w:hideMark/>
          </w:tcPr>
          <w:p w14:paraId="4D18C462" w14:textId="77777777" w:rsidR="004A489F" w:rsidRPr="00201A9A" w:rsidRDefault="004A489F">
            <w:pPr>
              <w:spacing w:before="0" w:after="0"/>
              <w:jc w:val="left"/>
              <w:rPr>
                <w:rFonts w:eastAsia="Times New Roman"/>
                <w:b/>
                <w:noProof/>
                <w:sz w:val="14"/>
                <w:szCs w:val="14"/>
              </w:rPr>
            </w:pPr>
            <w:r w:rsidRPr="00201A9A">
              <w:rPr>
                <w:b/>
                <w:noProof/>
                <w:sz w:val="14"/>
              </w:rPr>
              <w:t>Poza DZIAŁEM 7</w:t>
            </w:r>
          </w:p>
        </w:tc>
        <w:tc>
          <w:tcPr>
            <w:tcW w:w="396" w:type="pct"/>
            <w:tcBorders>
              <w:top w:val="single" w:sz="8" w:space="0" w:color="auto"/>
              <w:left w:val="single" w:sz="8" w:space="0" w:color="auto"/>
              <w:bottom w:val="single" w:sz="8" w:space="0" w:color="auto"/>
              <w:right w:val="single" w:sz="8" w:space="0" w:color="auto"/>
            </w:tcBorders>
            <w:vAlign w:val="center"/>
            <w:hideMark/>
          </w:tcPr>
          <w:p w14:paraId="4A32CFF3" w14:textId="77777777" w:rsidR="004A489F" w:rsidRPr="00201A9A" w:rsidRDefault="004A489F">
            <w:pPr>
              <w:spacing w:before="0" w:after="0"/>
              <w:jc w:val="left"/>
              <w:rPr>
                <w:rFonts w:eastAsia="Times New Roman"/>
                <w:b/>
                <w:noProof/>
                <w:sz w:val="14"/>
                <w:szCs w:val="14"/>
                <w:lang w:eastAsia="zh-CN"/>
              </w:rPr>
            </w:pPr>
          </w:p>
        </w:tc>
        <w:tc>
          <w:tcPr>
            <w:tcW w:w="439" w:type="pct"/>
            <w:tcBorders>
              <w:top w:val="single" w:sz="8" w:space="0" w:color="auto"/>
              <w:left w:val="single" w:sz="8" w:space="0" w:color="auto"/>
              <w:bottom w:val="single" w:sz="8" w:space="0" w:color="auto"/>
              <w:right w:val="single" w:sz="8" w:space="0" w:color="auto"/>
            </w:tcBorders>
            <w:vAlign w:val="center"/>
            <w:hideMark/>
          </w:tcPr>
          <w:p w14:paraId="1A6069C8" w14:textId="77777777" w:rsidR="004A489F" w:rsidRPr="00201A9A" w:rsidRDefault="004A489F">
            <w:pPr>
              <w:spacing w:before="0" w:after="0"/>
              <w:jc w:val="left"/>
              <w:rPr>
                <w:rFonts w:eastAsia="Times New Roman"/>
                <w:noProof/>
                <w:sz w:val="14"/>
                <w:szCs w:val="14"/>
                <w:lang w:eastAsia="zh-CN"/>
              </w:rPr>
            </w:pPr>
          </w:p>
        </w:tc>
      </w:tr>
      <w:tr w:rsidR="004A489F" w:rsidRPr="00201A9A" w14:paraId="59B5C0C3"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0BEF98E5" w14:textId="77777777" w:rsidR="004A489F" w:rsidRPr="00201A9A" w:rsidRDefault="004A489F">
            <w:pPr>
              <w:spacing w:before="0" w:after="0"/>
              <w:jc w:val="left"/>
              <w:rPr>
                <w:rFonts w:eastAsia="Times New Roman"/>
                <w:noProof/>
                <w:color w:val="000000"/>
                <w:sz w:val="14"/>
                <w:szCs w:val="14"/>
              </w:rPr>
            </w:pPr>
            <w:r w:rsidRPr="00201A9A">
              <w:rPr>
                <w:noProof/>
                <w:color w:val="000000"/>
                <w:sz w:val="14"/>
              </w:rPr>
              <w:t xml:space="preserve">Zasoby ludzkie </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C93B2C"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FEFC062"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BB42853"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7BD5E3"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C94838"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E4759F"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981102D"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29,290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56901F"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205,030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E3E62D"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29,290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802424A"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234,320</w:t>
            </w:r>
          </w:p>
        </w:tc>
      </w:tr>
      <w:tr w:rsidR="004A489F" w:rsidRPr="00201A9A" w14:paraId="0AC82E9B"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2CB0D54E" w14:textId="6ED34DE7" w:rsidR="004A489F" w:rsidRPr="00201A9A" w:rsidRDefault="004A489F">
            <w:pPr>
              <w:spacing w:before="0" w:after="0"/>
              <w:jc w:val="left"/>
              <w:rPr>
                <w:rFonts w:eastAsia="Times New Roman"/>
                <w:noProof/>
                <w:color w:val="000000"/>
                <w:sz w:val="14"/>
                <w:szCs w:val="14"/>
              </w:rPr>
            </w:pPr>
            <w:r w:rsidRPr="00201A9A">
              <w:rPr>
                <w:noProof/>
                <w:color w:val="000000"/>
                <w:sz w:val="14"/>
              </w:rPr>
              <w:t>Pozostałe wydatki</w:t>
            </w:r>
            <w:r w:rsidR="00201A9A" w:rsidRPr="00201A9A">
              <w:rPr>
                <w:noProof/>
                <w:color w:val="000000"/>
                <w:sz w:val="14"/>
              </w:rPr>
              <w:t xml:space="preserve"> o cha</w:t>
            </w:r>
            <w:r w:rsidRPr="00201A9A">
              <w:rPr>
                <w:noProof/>
                <w:color w:val="000000"/>
                <w:sz w:val="14"/>
              </w:rPr>
              <w:t>rakterze administracyjnym</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F3CA5C"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1A6E7AB"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124019"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631C2AB"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05EDD1"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8140A5"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99CBFE"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0337EC7"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0,000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937847"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7A096B"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0,000</w:t>
            </w:r>
          </w:p>
        </w:tc>
      </w:tr>
      <w:tr w:rsidR="004A489F" w:rsidRPr="00201A9A" w14:paraId="52AFEA82" w14:textId="77777777">
        <w:trPr>
          <w:trHeight w:val="315"/>
        </w:trPr>
        <w:tc>
          <w:tcPr>
            <w:tcW w:w="952"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3CB0B6E4"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Suma cząstkowa poza DZIAŁEM 7</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26526B6"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D8B04CF"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445A3B"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466BE5"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EA5D73B"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B3EBE42"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29,290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15E349"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29,290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BD445B"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205,030</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F432ED"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29,290</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55255BC"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234,320</w:t>
            </w:r>
          </w:p>
        </w:tc>
      </w:tr>
      <w:tr w:rsidR="004A489F" w:rsidRPr="00201A9A" w14:paraId="1A733069" w14:textId="77777777">
        <w:trPr>
          <w:trHeight w:val="315"/>
        </w:trPr>
        <w:tc>
          <w:tcPr>
            <w:tcW w:w="4165" w:type="pct"/>
            <w:gridSpan w:val="9"/>
            <w:tcBorders>
              <w:top w:val="single" w:sz="8" w:space="0" w:color="auto"/>
              <w:left w:val="single" w:sz="8" w:space="0" w:color="auto"/>
              <w:bottom w:val="single" w:sz="8" w:space="0" w:color="auto"/>
              <w:right w:val="nil"/>
            </w:tcBorders>
            <w:noWrap/>
            <w:vAlign w:val="center"/>
            <w:hideMark/>
          </w:tcPr>
          <w:p w14:paraId="41C45591" w14:textId="77777777" w:rsidR="004A489F" w:rsidRPr="00201A9A" w:rsidRDefault="004A489F">
            <w:pPr>
              <w:spacing w:before="0" w:after="0"/>
              <w:jc w:val="right"/>
              <w:rPr>
                <w:rFonts w:eastAsia="Times New Roman"/>
                <w:b/>
                <w:noProof/>
                <w:color w:val="000000"/>
                <w:sz w:val="14"/>
                <w:szCs w:val="14"/>
                <w:lang w:eastAsia="zh-CN"/>
              </w:rPr>
            </w:pPr>
          </w:p>
        </w:tc>
        <w:tc>
          <w:tcPr>
            <w:tcW w:w="835" w:type="pct"/>
            <w:gridSpan w:val="2"/>
            <w:tcBorders>
              <w:top w:val="single" w:sz="8" w:space="0" w:color="auto"/>
              <w:left w:val="single" w:sz="8" w:space="0" w:color="auto"/>
              <w:bottom w:val="single" w:sz="8" w:space="0" w:color="auto"/>
              <w:right w:val="nil"/>
            </w:tcBorders>
            <w:noWrap/>
            <w:vAlign w:val="bottom"/>
            <w:hideMark/>
          </w:tcPr>
          <w:p w14:paraId="24137B70" w14:textId="77777777" w:rsidR="004A489F" w:rsidRPr="00201A9A" w:rsidRDefault="004A489F">
            <w:pPr>
              <w:spacing w:before="0" w:after="0"/>
              <w:jc w:val="center"/>
              <w:rPr>
                <w:rFonts w:eastAsia="Times New Roman"/>
                <w:noProof/>
                <w:sz w:val="14"/>
                <w:szCs w:val="14"/>
                <w:lang w:eastAsia="zh-CN"/>
              </w:rPr>
            </w:pPr>
          </w:p>
        </w:tc>
      </w:tr>
      <w:tr w:rsidR="004A489F" w:rsidRPr="00201A9A" w14:paraId="621AE4DE" w14:textId="77777777">
        <w:trPr>
          <w:trHeight w:val="315"/>
        </w:trPr>
        <w:tc>
          <w:tcPr>
            <w:tcW w:w="952" w:type="pct"/>
            <w:tcBorders>
              <w:top w:val="single" w:sz="8" w:space="0" w:color="auto"/>
              <w:left w:val="single" w:sz="8" w:space="0" w:color="auto"/>
              <w:bottom w:val="single" w:sz="8" w:space="0" w:color="auto"/>
              <w:right w:val="single" w:sz="8" w:space="0" w:color="auto"/>
            </w:tcBorders>
            <w:vAlign w:val="center"/>
            <w:hideMark/>
          </w:tcPr>
          <w:p w14:paraId="5014F2E0"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OGÓŁEM</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EB66732"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A1D19D"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8F355D1"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300E57"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0A2EA28"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4FDF677"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491,303</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DE52FAF"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491,303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C634176"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3439,121</w:t>
            </w:r>
          </w:p>
        </w:tc>
        <w:tc>
          <w:tcPr>
            <w:tcW w:w="39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D3337E"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491,303</w:t>
            </w:r>
          </w:p>
        </w:tc>
        <w:tc>
          <w:tcPr>
            <w:tcW w:w="439"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6B4AA1"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3930,424</w:t>
            </w:r>
          </w:p>
        </w:tc>
      </w:tr>
    </w:tbl>
    <w:p w14:paraId="3CCB0572" w14:textId="1C0FB911" w:rsidR="004A489F" w:rsidRPr="00201A9A" w:rsidRDefault="004A489F" w:rsidP="004A489F">
      <w:pPr>
        <w:pStyle w:val="ManualHeading3"/>
        <w:rPr>
          <w:noProof/>
        </w:rPr>
      </w:pPr>
      <w:r w:rsidRPr="00201A9A">
        <w:rPr>
          <w:noProof/>
        </w:rPr>
        <w:t>3.2.3.2.</w:t>
      </w:r>
      <w:r w:rsidRPr="00201A9A">
        <w:rPr>
          <w:noProof/>
        </w:rPr>
        <w:tab/>
        <w:t>Środki</w:t>
      </w:r>
      <w:r w:rsidR="00201A9A" w:rsidRPr="00201A9A">
        <w:rPr>
          <w:noProof/>
        </w:rPr>
        <w:t xml:space="preserve"> z zew</w:t>
      </w:r>
      <w:r w:rsidRPr="00201A9A">
        <w:rPr>
          <w:noProof/>
        </w:rPr>
        <w:t>nętrznych dochodów przeznaczonych na określony cel</w:t>
      </w:r>
      <w:bookmarkEnd w:id="176"/>
      <w:bookmarkEnd w:id="177"/>
      <w:r w:rsidRPr="00201A9A">
        <w:rPr>
          <w:noProof/>
        </w:rPr>
        <w:t xml:space="preserve"> </w:t>
      </w:r>
    </w:p>
    <w:tbl>
      <w:tblPr>
        <w:tblW w:w="5000" w:type="pct"/>
        <w:tblCellMar>
          <w:top w:w="15" w:type="dxa"/>
          <w:bottom w:w="15" w:type="dxa"/>
        </w:tblCellMar>
        <w:tblLook w:val="04A0" w:firstRow="1" w:lastRow="0" w:firstColumn="1" w:lastColumn="0" w:noHBand="0" w:noVBand="1"/>
      </w:tblPr>
      <w:tblGrid>
        <w:gridCol w:w="1826"/>
        <w:gridCol w:w="576"/>
        <w:gridCol w:w="576"/>
        <w:gridCol w:w="576"/>
        <w:gridCol w:w="576"/>
        <w:gridCol w:w="576"/>
        <w:gridCol w:w="576"/>
        <w:gridCol w:w="576"/>
        <w:gridCol w:w="1047"/>
        <w:gridCol w:w="1007"/>
        <w:gridCol w:w="1377"/>
      </w:tblGrid>
      <w:tr w:rsidR="004A489F" w:rsidRPr="00201A9A" w14:paraId="1C5C319D" w14:textId="77777777">
        <w:trPr>
          <w:trHeight w:val="300"/>
        </w:trPr>
        <w:tc>
          <w:tcPr>
            <w:tcW w:w="1380" w:type="pct"/>
            <w:vMerge w:val="restart"/>
            <w:tcBorders>
              <w:top w:val="single" w:sz="8" w:space="0" w:color="auto"/>
              <w:left w:val="single" w:sz="8" w:space="0" w:color="auto"/>
              <w:bottom w:val="nil"/>
              <w:right w:val="single" w:sz="8" w:space="0" w:color="auto"/>
            </w:tcBorders>
            <w:vAlign w:val="center"/>
            <w:hideMark/>
          </w:tcPr>
          <w:p w14:paraId="539CB65D"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ZEWNĘTRZNE DOCHODY PRZEZNACZONE NA OKREŚLONY CEL</w:t>
            </w:r>
          </w:p>
        </w:tc>
        <w:tc>
          <w:tcPr>
            <w:tcW w:w="354" w:type="pct"/>
            <w:tcBorders>
              <w:top w:val="single" w:sz="8" w:space="0" w:color="auto"/>
              <w:left w:val="nil"/>
              <w:bottom w:val="nil"/>
              <w:right w:val="single" w:sz="8" w:space="0" w:color="auto"/>
            </w:tcBorders>
            <w:vAlign w:val="center"/>
            <w:hideMark/>
          </w:tcPr>
          <w:p w14:paraId="3E0CE05B"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Rok</w:t>
            </w:r>
          </w:p>
        </w:tc>
        <w:tc>
          <w:tcPr>
            <w:tcW w:w="354" w:type="pct"/>
            <w:tcBorders>
              <w:top w:val="single" w:sz="8" w:space="0" w:color="auto"/>
              <w:left w:val="nil"/>
              <w:bottom w:val="nil"/>
              <w:right w:val="single" w:sz="8" w:space="0" w:color="auto"/>
            </w:tcBorders>
            <w:vAlign w:val="center"/>
            <w:hideMark/>
          </w:tcPr>
          <w:p w14:paraId="0F07E358"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Rok</w:t>
            </w:r>
          </w:p>
        </w:tc>
        <w:tc>
          <w:tcPr>
            <w:tcW w:w="354" w:type="pct"/>
            <w:tcBorders>
              <w:top w:val="single" w:sz="8" w:space="0" w:color="auto"/>
              <w:left w:val="nil"/>
              <w:bottom w:val="nil"/>
              <w:right w:val="single" w:sz="8" w:space="0" w:color="auto"/>
            </w:tcBorders>
            <w:vAlign w:val="center"/>
            <w:hideMark/>
          </w:tcPr>
          <w:p w14:paraId="3CA96A1B"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Rok</w:t>
            </w:r>
          </w:p>
        </w:tc>
        <w:tc>
          <w:tcPr>
            <w:tcW w:w="362" w:type="pct"/>
            <w:tcBorders>
              <w:top w:val="single" w:sz="8" w:space="0" w:color="auto"/>
              <w:left w:val="nil"/>
              <w:bottom w:val="nil"/>
              <w:right w:val="single" w:sz="8" w:space="0" w:color="auto"/>
            </w:tcBorders>
            <w:vAlign w:val="center"/>
            <w:hideMark/>
          </w:tcPr>
          <w:p w14:paraId="4A585E0E"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Rok</w:t>
            </w:r>
          </w:p>
        </w:tc>
        <w:tc>
          <w:tcPr>
            <w:tcW w:w="362" w:type="pct"/>
            <w:tcBorders>
              <w:top w:val="single" w:sz="8" w:space="0" w:color="auto"/>
              <w:left w:val="nil"/>
              <w:bottom w:val="nil"/>
              <w:right w:val="single" w:sz="8" w:space="0" w:color="auto"/>
            </w:tcBorders>
            <w:vAlign w:val="center"/>
            <w:hideMark/>
          </w:tcPr>
          <w:p w14:paraId="3B1D2D88"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Rok</w:t>
            </w:r>
          </w:p>
        </w:tc>
        <w:tc>
          <w:tcPr>
            <w:tcW w:w="358" w:type="pct"/>
            <w:tcBorders>
              <w:top w:val="single" w:sz="8" w:space="0" w:color="auto"/>
              <w:left w:val="nil"/>
              <w:bottom w:val="nil"/>
              <w:right w:val="single" w:sz="8" w:space="0" w:color="auto"/>
            </w:tcBorders>
            <w:vAlign w:val="center"/>
            <w:hideMark/>
          </w:tcPr>
          <w:p w14:paraId="69688A34"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Rok</w:t>
            </w:r>
          </w:p>
        </w:tc>
        <w:tc>
          <w:tcPr>
            <w:tcW w:w="351" w:type="pct"/>
            <w:tcBorders>
              <w:top w:val="single" w:sz="8" w:space="0" w:color="auto"/>
              <w:left w:val="nil"/>
              <w:bottom w:val="nil"/>
              <w:right w:val="single" w:sz="8" w:space="0" w:color="auto"/>
            </w:tcBorders>
            <w:vAlign w:val="center"/>
            <w:hideMark/>
          </w:tcPr>
          <w:p w14:paraId="6A8AD7E3"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Rok</w:t>
            </w:r>
          </w:p>
        </w:tc>
        <w:tc>
          <w:tcPr>
            <w:tcW w:w="400" w:type="pct"/>
            <w:vMerge w:val="restart"/>
            <w:tcBorders>
              <w:top w:val="single" w:sz="8" w:space="0" w:color="auto"/>
              <w:left w:val="single" w:sz="8" w:space="0" w:color="auto"/>
              <w:bottom w:val="nil"/>
              <w:right w:val="single" w:sz="8" w:space="0" w:color="auto"/>
            </w:tcBorders>
            <w:vAlign w:val="center"/>
            <w:hideMark/>
          </w:tcPr>
          <w:p w14:paraId="6B8907FD"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OGÓŁEM</w:t>
            </w:r>
            <w:r w:rsidRPr="00201A9A">
              <w:rPr>
                <w:noProof/>
              </w:rPr>
              <w:t xml:space="preserve"> </w:t>
            </w:r>
            <w:r w:rsidRPr="00201A9A">
              <w:rPr>
                <w:noProof/>
              </w:rPr>
              <w:br/>
            </w:r>
            <w:r w:rsidRPr="00201A9A">
              <w:rPr>
                <w:b/>
                <w:noProof/>
                <w:color w:val="000000"/>
                <w:sz w:val="18"/>
              </w:rPr>
              <w:t>2028–2034</w:t>
            </w:r>
          </w:p>
        </w:tc>
        <w:tc>
          <w:tcPr>
            <w:tcW w:w="362" w:type="pct"/>
            <w:tcBorders>
              <w:top w:val="single" w:sz="8" w:space="0" w:color="auto"/>
              <w:left w:val="nil"/>
              <w:bottom w:val="nil"/>
              <w:right w:val="single" w:sz="8" w:space="0" w:color="auto"/>
            </w:tcBorders>
            <w:vAlign w:val="center"/>
            <w:hideMark/>
          </w:tcPr>
          <w:p w14:paraId="03045DAA"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ZAMIEŚĆ</w:t>
            </w:r>
          </w:p>
        </w:tc>
        <w:tc>
          <w:tcPr>
            <w:tcW w:w="362" w:type="pct"/>
            <w:vMerge w:val="restart"/>
            <w:tcBorders>
              <w:top w:val="single" w:sz="8" w:space="0" w:color="auto"/>
              <w:left w:val="single" w:sz="8" w:space="0" w:color="auto"/>
              <w:bottom w:val="nil"/>
              <w:right w:val="single" w:sz="8" w:space="0" w:color="auto"/>
            </w:tcBorders>
            <w:vAlign w:val="center"/>
            <w:hideMark/>
          </w:tcPr>
          <w:p w14:paraId="5989F3D6"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SUMA CAŁKOWITA</w:t>
            </w:r>
          </w:p>
        </w:tc>
      </w:tr>
      <w:tr w:rsidR="004A489F" w:rsidRPr="00201A9A" w14:paraId="384235E0" w14:textId="77777777">
        <w:trPr>
          <w:trHeight w:val="315"/>
        </w:trPr>
        <w:tc>
          <w:tcPr>
            <w:tcW w:w="1380" w:type="pct"/>
            <w:vMerge/>
            <w:tcBorders>
              <w:top w:val="single" w:sz="8" w:space="0" w:color="auto"/>
              <w:left w:val="single" w:sz="8" w:space="0" w:color="auto"/>
              <w:bottom w:val="nil"/>
              <w:right w:val="single" w:sz="8" w:space="0" w:color="auto"/>
            </w:tcBorders>
            <w:vAlign w:val="center"/>
            <w:hideMark/>
          </w:tcPr>
          <w:p w14:paraId="17E8087D" w14:textId="77777777" w:rsidR="004A489F" w:rsidRPr="00201A9A" w:rsidRDefault="004A489F">
            <w:pPr>
              <w:spacing w:before="0" w:after="0"/>
              <w:jc w:val="left"/>
              <w:rPr>
                <w:rFonts w:eastAsia="Times New Roman"/>
                <w:b/>
                <w:noProof/>
                <w:color w:val="000000"/>
                <w:sz w:val="18"/>
                <w:szCs w:val="18"/>
                <w:lang w:eastAsia="zh-CN"/>
              </w:rPr>
            </w:pPr>
          </w:p>
        </w:tc>
        <w:tc>
          <w:tcPr>
            <w:tcW w:w="354" w:type="pct"/>
            <w:tcBorders>
              <w:top w:val="nil"/>
              <w:left w:val="nil"/>
              <w:bottom w:val="single" w:sz="8" w:space="0" w:color="auto"/>
              <w:right w:val="single" w:sz="8" w:space="0" w:color="auto"/>
            </w:tcBorders>
            <w:vAlign w:val="center"/>
            <w:hideMark/>
          </w:tcPr>
          <w:p w14:paraId="3B9A5C95"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2028</w:t>
            </w:r>
          </w:p>
        </w:tc>
        <w:tc>
          <w:tcPr>
            <w:tcW w:w="354" w:type="pct"/>
            <w:tcBorders>
              <w:top w:val="nil"/>
              <w:left w:val="nil"/>
              <w:bottom w:val="single" w:sz="8" w:space="0" w:color="auto"/>
              <w:right w:val="single" w:sz="8" w:space="0" w:color="auto"/>
            </w:tcBorders>
            <w:vAlign w:val="center"/>
            <w:hideMark/>
          </w:tcPr>
          <w:p w14:paraId="2BDE8A4F"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2029</w:t>
            </w:r>
          </w:p>
        </w:tc>
        <w:tc>
          <w:tcPr>
            <w:tcW w:w="354" w:type="pct"/>
            <w:tcBorders>
              <w:top w:val="nil"/>
              <w:left w:val="nil"/>
              <w:bottom w:val="single" w:sz="8" w:space="0" w:color="auto"/>
              <w:right w:val="single" w:sz="8" w:space="0" w:color="auto"/>
            </w:tcBorders>
            <w:vAlign w:val="center"/>
            <w:hideMark/>
          </w:tcPr>
          <w:p w14:paraId="136CCBCC"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2030</w:t>
            </w:r>
          </w:p>
        </w:tc>
        <w:tc>
          <w:tcPr>
            <w:tcW w:w="362" w:type="pct"/>
            <w:tcBorders>
              <w:top w:val="nil"/>
              <w:left w:val="nil"/>
              <w:bottom w:val="single" w:sz="8" w:space="0" w:color="auto"/>
              <w:right w:val="single" w:sz="8" w:space="0" w:color="auto"/>
            </w:tcBorders>
            <w:vAlign w:val="center"/>
            <w:hideMark/>
          </w:tcPr>
          <w:p w14:paraId="4FD31571"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2031</w:t>
            </w:r>
          </w:p>
        </w:tc>
        <w:tc>
          <w:tcPr>
            <w:tcW w:w="362" w:type="pct"/>
            <w:tcBorders>
              <w:top w:val="nil"/>
              <w:left w:val="nil"/>
              <w:bottom w:val="single" w:sz="8" w:space="0" w:color="auto"/>
              <w:right w:val="single" w:sz="8" w:space="0" w:color="auto"/>
            </w:tcBorders>
            <w:vAlign w:val="center"/>
            <w:hideMark/>
          </w:tcPr>
          <w:p w14:paraId="6FEA8310"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2032</w:t>
            </w:r>
          </w:p>
        </w:tc>
        <w:tc>
          <w:tcPr>
            <w:tcW w:w="358" w:type="pct"/>
            <w:tcBorders>
              <w:top w:val="nil"/>
              <w:left w:val="nil"/>
              <w:bottom w:val="single" w:sz="8" w:space="0" w:color="auto"/>
              <w:right w:val="single" w:sz="8" w:space="0" w:color="auto"/>
            </w:tcBorders>
            <w:vAlign w:val="center"/>
            <w:hideMark/>
          </w:tcPr>
          <w:p w14:paraId="12B2F60D"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2033</w:t>
            </w:r>
          </w:p>
        </w:tc>
        <w:tc>
          <w:tcPr>
            <w:tcW w:w="351" w:type="pct"/>
            <w:tcBorders>
              <w:top w:val="nil"/>
              <w:left w:val="nil"/>
              <w:bottom w:val="single" w:sz="8" w:space="0" w:color="auto"/>
              <w:right w:val="single" w:sz="8" w:space="0" w:color="auto"/>
            </w:tcBorders>
            <w:vAlign w:val="center"/>
            <w:hideMark/>
          </w:tcPr>
          <w:p w14:paraId="7696004D"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2034</w:t>
            </w:r>
          </w:p>
        </w:tc>
        <w:tc>
          <w:tcPr>
            <w:tcW w:w="400" w:type="pct"/>
            <w:vMerge/>
            <w:tcBorders>
              <w:top w:val="single" w:sz="8" w:space="0" w:color="auto"/>
              <w:left w:val="single" w:sz="8" w:space="0" w:color="auto"/>
              <w:bottom w:val="nil"/>
              <w:right w:val="single" w:sz="8" w:space="0" w:color="auto"/>
            </w:tcBorders>
            <w:vAlign w:val="center"/>
            <w:hideMark/>
          </w:tcPr>
          <w:p w14:paraId="739670EC" w14:textId="77777777" w:rsidR="004A489F" w:rsidRPr="00201A9A" w:rsidRDefault="004A489F">
            <w:pPr>
              <w:spacing w:before="0" w:after="0"/>
              <w:jc w:val="left"/>
              <w:rPr>
                <w:rFonts w:eastAsia="Times New Roman"/>
                <w:b/>
                <w:noProof/>
                <w:color w:val="000000"/>
                <w:sz w:val="18"/>
                <w:szCs w:val="18"/>
                <w:lang w:eastAsia="zh-CN"/>
              </w:rPr>
            </w:pPr>
          </w:p>
        </w:tc>
        <w:tc>
          <w:tcPr>
            <w:tcW w:w="362" w:type="pct"/>
            <w:tcBorders>
              <w:top w:val="nil"/>
              <w:left w:val="nil"/>
              <w:bottom w:val="single" w:sz="8" w:space="0" w:color="auto"/>
              <w:right w:val="single" w:sz="8" w:space="0" w:color="auto"/>
            </w:tcBorders>
            <w:vAlign w:val="center"/>
            <w:hideMark/>
          </w:tcPr>
          <w:p w14:paraId="6D76FDC0"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2034</w:t>
            </w:r>
          </w:p>
        </w:tc>
        <w:tc>
          <w:tcPr>
            <w:tcW w:w="362" w:type="pct"/>
            <w:vMerge/>
            <w:tcBorders>
              <w:top w:val="single" w:sz="8" w:space="0" w:color="auto"/>
              <w:left w:val="single" w:sz="8" w:space="0" w:color="auto"/>
              <w:bottom w:val="nil"/>
              <w:right w:val="single" w:sz="8" w:space="0" w:color="auto"/>
            </w:tcBorders>
            <w:vAlign w:val="center"/>
            <w:hideMark/>
          </w:tcPr>
          <w:p w14:paraId="08F19DDF" w14:textId="77777777" w:rsidR="004A489F" w:rsidRPr="00201A9A" w:rsidRDefault="004A489F">
            <w:pPr>
              <w:spacing w:before="0" w:after="0"/>
              <w:jc w:val="left"/>
              <w:rPr>
                <w:rFonts w:eastAsia="Times New Roman"/>
                <w:b/>
                <w:noProof/>
                <w:color w:val="000000"/>
                <w:sz w:val="18"/>
                <w:szCs w:val="18"/>
                <w:lang w:eastAsia="zh-CN"/>
              </w:rPr>
            </w:pPr>
          </w:p>
        </w:tc>
      </w:tr>
      <w:tr w:rsidR="004A489F" w:rsidRPr="00201A9A" w14:paraId="0AFB5D99" w14:textId="77777777">
        <w:trPr>
          <w:trHeight w:val="315"/>
        </w:trPr>
        <w:tc>
          <w:tcPr>
            <w:tcW w:w="4276" w:type="pct"/>
            <w:gridSpan w:val="9"/>
            <w:tcBorders>
              <w:top w:val="single" w:sz="8" w:space="0" w:color="auto"/>
              <w:left w:val="single" w:sz="8" w:space="0" w:color="auto"/>
              <w:bottom w:val="single" w:sz="8" w:space="0" w:color="auto"/>
              <w:right w:val="nil"/>
            </w:tcBorders>
            <w:vAlign w:val="center"/>
            <w:hideMark/>
          </w:tcPr>
          <w:p w14:paraId="5F199F40" w14:textId="77777777" w:rsidR="004A489F" w:rsidRPr="00201A9A" w:rsidRDefault="004A489F">
            <w:pPr>
              <w:spacing w:before="0" w:after="0"/>
              <w:jc w:val="left"/>
              <w:rPr>
                <w:rFonts w:eastAsia="Times New Roman"/>
                <w:b/>
                <w:noProof/>
                <w:sz w:val="16"/>
                <w:szCs w:val="16"/>
              </w:rPr>
            </w:pPr>
            <w:r w:rsidRPr="00201A9A">
              <w:rPr>
                <w:b/>
                <w:noProof/>
                <w:sz w:val="16"/>
              </w:rPr>
              <w:t>DZIAŁ 7</w:t>
            </w:r>
          </w:p>
        </w:tc>
        <w:tc>
          <w:tcPr>
            <w:tcW w:w="362" w:type="pct"/>
            <w:tcBorders>
              <w:top w:val="single" w:sz="8" w:space="0" w:color="auto"/>
              <w:left w:val="single" w:sz="8" w:space="0" w:color="auto"/>
              <w:bottom w:val="single" w:sz="8" w:space="0" w:color="auto"/>
              <w:right w:val="single" w:sz="8" w:space="0" w:color="auto"/>
            </w:tcBorders>
            <w:vAlign w:val="center"/>
            <w:hideMark/>
          </w:tcPr>
          <w:p w14:paraId="74FF4206" w14:textId="77777777" w:rsidR="004A489F" w:rsidRPr="00201A9A" w:rsidRDefault="004A489F">
            <w:pPr>
              <w:spacing w:before="0" w:after="0"/>
              <w:jc w:val="left"/>
              <w:rPr>
                <w:rFonts w:eastAsia="Times New Roman"/>
                <w:b/>
                <w:noProof/>
                <w:sz w:val="16"/>
                <w:szCs w:val="16"/>
                <w:lang w:eastAsia="zh-CN"/>
              </w:rPr>
            </w:pPr>
          </w:p>
        </w:tc>
        <w:tc>
          <w:tcPr>
            <w:tcW w:w="362" w:type="pct"/>
            <w:tcBorders>
              <w:top w:val="single" w:sz="8" w:space="0" w:color="auto"/>
              <w:left w:val="single" w:sz="8" w:space="0" w:color="auto"/>
              <w:bottom w:val="single" w:sz="8" w:space="0" w:color="auto"/>
              <w:right w:val="single" w:sz="8" w:space="0" w:color="auto"/>
            </w:tcBorders>
            <w:vAlign w:val="center"/>
            <w:hideMark/>
          </w:tcPr>
          <w:p w14:paraId="7F94CFF8" w14:textId="77777777" w:rsidR="004A489F" w:rsidRPr="00201A9A" w:rsidRDefault="004A489F">
            <w:pPr>
              <w:spacing w:before="0" w:after="0"/>
              <w:jc w:val="left"/>
              <w:rPr>
                <w:rFonts w:eastAsia="Times New Roman"/>
                <w:noProof/>
                <w:sz w:val="20"/>
                <w:szCs w:val="20"/>
                <w:lang w:eastAsia="zh-CN"/>
              </w:rPr>
            </w:pPr>
          </w:p>
        </w:tc>
      </w:tr>
      <w:tr w:rsidR="004A489F" w:rsidRPr="00201A9A" w14:paraId="660AB62A"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68427DD6" w14:textId="77777777" w:rsidR="004A489F" w:rsidRPr="00201A9A" w:rsidRDefault="004A489F">
            <w:pPr>
              <w:spacing w:before="0" w:after="0"/>
              <w:jc w:val="left"/>
              <w:rPr>
                <w:rFonts w:eastAsia="Times New Roman"/>
                <w:noProof/>
                <w:color w:val="000000"/>
                <w:sz w:val="16"/>
                <w:szCs w:val="16"/>
              </w:rPr>
            </w:pPr>
            <w:r w:rsidRPr="00201A9A">
              <w:rPr>
                <w:noProof/>
                <w:color w:val="000000"/>
                <w:sz w:val="16"/>
              </w:rPr>
              <w:t xml:space="preserve">Zasoby ludzkie </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E270FA"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7,150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1518C9"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7,150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64BB6C"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7,150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77075B"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7,150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622831"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7,150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BACBCA3"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CD9514"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5DCEE44"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35,751</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AD83E9"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6AA8059"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35,751</w:t>
            </w:r>
          </w:p>
        </w:tc>
      </w:tr>
      <w:tr w:rsidR="004A489F" w:rsidRPr="00201A9A" w14:paraId="4E1A04AD"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43FB4F4F" w14:textId="77777777" w:rsidR="004A489F" w:rsidRPr="00201A9A" w:rsidRDefault="004A489F">
            <w:pPr>
              <w:spacing w:before="0" w:after="0"/>
              <w:jc w:val="left"/>
              <w:rPr>
                <w:rFonts w:eastAsia="Times New Roman"/>
                <w:noProof/>
                <w:color w:val="000000"/>
                <w:sz w:val="16"/>
                <w:szCs w:val="16"/>
              </w:rPr>
            </w:pPr>
            <w:r w:rsidRPr="00201A9A">
              <w:rPr>
                <w:noProof/>
                <w:color w:val="000000"/>
                <w:sz w:val="16"/>
              </w:rPr>
              <w:t xml:space="preserve">Pozostałe wydatki administracyjne </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1E72AD"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221CAD"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B32425"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7E4654"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5CE8C5"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5AA8C2"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308D020"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253791"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D16447"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00F73E"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r>
      <w:tr w:rsidR="004A489F" w:rsidRPr="00201A9A" w14:paraId="5D157F8D" w14:textId="77777777">
        <w:trPr>
          <w:trHeight w:val="315"/>
        </w:trPr>
        <w:tc>
          <w:tcPr>
            <w:tcW w:w="1380"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5732440D" w14:textId="77777777" w:rsidR="004A489F" w:rsidRPr="00201A9A" w:rsidRDefault="004A489F">
            <w:pPr>
              <w:spacing w:before="0" w:after="0"/>
              <w:jc w:val="center"/>
              <w:rPr>
                <w:rFonts w:eastAsia="Times New Roman"/>
                <w:b/>
                <w:noProof/>
                <w:color w:val="000000"/>
                <w:sz w:val="16"/>
                <w:szCs w:val="16"/>
              </w:rPr>
            </w:pPr>
            <w:r w:rsidRPr="00201A9A">
              <w:rPr>
                <w:b/>
                <w:noProof/>
                <w:color w:val="000000"/>
                <w:sz w:val="16"/>
              </w:rPr>
              <w:t>Suma cząstkowa DZIAŁ 7</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E699372"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7,150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4A4564"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7,150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550A63"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7,150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07C3195"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7,150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87151E"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7,150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44217B5"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94659A"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60A9F88"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35,751</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971567"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1CC09A"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35,751</w:t>
            </w:r>
          </w:p>
        </w:tc>
      </w:tr>
      <w:tr w:rsidR="004A489F" w:rsidRPr="00201A9A" w14:paraId="53EBFC20" w14:textId="77777777">
        <w:trPr>
          <w:trHeight w:val="315"/>
        </w:trPr>
        <w:tc>
          <w:tcPr>
            <w:tcW w:w="4276" w:type="pct"/>
            <w:gridSpan w:val="9"/>
            <w:tcBorders>
              <w:top w:val="single" w:sz="8" w:space="0" w:color="auto"/>
              <w:left w:val="single" w:sz="8" w:space="0" w:color="auto"/>
              <w:bottom w:val="single" w:sz="8" w:space="0" w:color="auto"/>
              <w:right w:val="nil"/>
            </w:tcBorders>
            <w:vAlign w:val="center"/>
            <w:hideMark/>
          </w:tcPr>
          <w:p w14:paraId="1CCB397D" w14:textId="77777777" w:rsidR="004A489F" w:rsidRPr="00201A9A" w:rsidRDefault="004A489F">
            <w:pPr>
              <w:spacing w:before="0" w:after="0"/>
              <w:jc w:val="left"/>
              <w:rPr>
                <w:rFonts w:eastAsia="Times New Roman"/>
                <w:b/>
                <w:noProof/>
                <w:sz w:val="16"/>
                <w:szCs w:val="16"/>
              </w:rPr>
            </w:pPr>
            <w:r w:rsidRPr="00201A9A">
              <w:rPr>
                <w:b/>
                <w:noProof/>
                <w:sz w:val="16"/>
              </w:rPr>
              <w:t>Poza DZIAŁEM 7</w:t>
            </w:r>
          </w:p>
        </w:tc>
        <w:tc>
          <w:tcPr>
            <w:tcW w:w="362" w:type="pct"/>
            <w:tcBorders>
              <w:top w:val="single" w:sz="8" w:space="0" w:color="auto"/>
              <w:left w:val="single" w:sz="8" w:space="0" w:color="auto"/>
              <w:bottom w:val="single" w:sz="8" w:space="0" w:color="auto"/>
              <w:right w:val="single" w:sz="8" w:space="0" w:color="auto"/>
            </w:tcBorders>
            <w:vAlign w:val="center"/>
            <w:hideMark/>
          </w:tcPr>
          <w:p w14:paraId="3B692E27" w14:textId="77777777" w:rsidR="004A489F" w:rsidRPr="00201A9A" w:rsidRDefault="004A489F">
            <w:pPr>
              <w:spacing w:before="0" w:after="0"/>
              <w:jc w:val="left"/>
              <w:rPr>
                <w:rFonts w:eastAsia="Times New Roman"/>
                <w:b/>
                <w:noProof/>
                <w:sz w:val="16"/>
                <w:szCs w:val="16"/>
                <w:lang w:eastAsia="zh-CN"/>
              </w:rPr>
            </w:pPr>
          </w:p>
        </w:tc>
        <w:tc>
          <w:tcPr>
            <w:tcW w:w="362" w:type="pct"/>
            <w:tcBorders>
              <w:top w:val="single" w:sz="8" w:space="0" w:color="auto"/>
              <w:left w:val="single" w:sz="8" w:space="0" w:color="auto"/>
              <w:bottom w:val="single" w:sz="8" w:space="0" w:color="auto"/>
              <w:right w:val="single" w:sz="8" w:space="0" w:color="auto"/>
            </w:tcBorders>
            <w:vAlign w:val="center"/>
            <w:hideMark/>
          </w:tcPr>
          <w:p w14:paraId="4D1C5B6B" w14:textId="77777777" w:rsidR="004A489F" w:rsidRPr="00201A9A" w:rsidRDefault="004A489F">
            <w:pPr>
              <w:spacing w:before="0" w:after="0"/>
              <w:jc w:val="left"/>
              <w:rPr>
                <w:rFonts w:eastAsia="Times New Roman"/>
                <w:noProof/>
                <w:sz w:val="20"/>
                <w:szCs w:val="20"/>
                <w:lang w:eastAsia="zh-CN"/>
              </w:rPr>
            </w:pPr>
          </w:p>
        </w:tc>
      </w:tr>
      <w:tr w:rsidR="004A489F" w:rsidRPr="00201A9A" w14:paraId="6970C482"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1F3432D1" w14:textId="77777777" w:rsidR="004A489F" w:rsidRPr="00201A9A" w:rsidRDefault="004A489F">
            <w:pPr>
              <w:spacing w:before="0" w:after="0"/>
              <w:jc w:val="left"/>
              <w:rPr>
                <w:rFonts w:eastAsia="Times New Roman"/>
                <w:noProof/>
                <w:color w:val="000000"/>
                <w:sz w:val="16"/>
                <w:szCs w:val="16"/>
              </w:rPr>
            </w:pPr>
            <w:r w:rsidRPr="00201A9A">
              <w:rPr>
                <w:noProof/>
                <w:color w:val="000000"/>
                <w:sz w:val="16"/>
              </w:rPr>
              <w:t xml:space="preserve">Zasoby ludzkie </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8E3193"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10B057"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49CE93"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386B67F"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13D87E"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E650FA5"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161DCA"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98187A0"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3CFCA3"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3B4C831"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r>
      <w:tr w:rsidR="004A489F" w:rsidRPr="00201A9A" w14:paraId="47F78F6C"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262F9EB9" w14:textId="7ED19876" w:rsidR="004A489F" w:rsidRPr="00201A9A" w:rsidRDefault="004A489F">
            <w:pPr>
              <w:spacing w:before="0" w:after="0"/>
              <w:jc w:val="left"/>
              <w:rPr>
                <w:rFonts w:eastAsia="Times New Roman"/>
                <w:noProof/>
                <w:color w:val="000000"/>
                <w:sz w:val="16"/>
                <w:szCs w:val="16"/>
              </w:rPr>
            </w:pPr>
            <w:r w:rsidRPr="00201A9A">
              <w:rPr>
                <w:noProof/>
                <w:color w:val="000000"/>
                <w:sz w:val="16"/>
              </w:rPr>
              <w:t>Pozostałe wydatki</w:t>
            </w:r>
            <w:r w:rsidR="00201A9A" w:rsidRPr="00201A9A">
              <w:rPr>
                <w:noProof/>
                <w:color w:val="000000"/>
                <w:sz w:val="16"/>
              </w:rPr>
              <w:t xml:space="preserve"> o cha</w:t>
            </w:r>
            <w:r w:rsidRPr="00201A9A">
              <w:rPr>
                <w:noProof/>
                <w:color w:val="000000"/>
                <w:sz w:val="16"/>
              </w:rPr>
              <w:t>rakterze administracyjnym</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BE8DD7A"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F85429F"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59BB88"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7C2E4B"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608BD93"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5D9170"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A131C8"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FF930F"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B97247"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61E0BC"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r>
      <w:tr w:rsidR="004A489F" w:rsidRPr="00201A9A" w14:paraId="32C25E01" w14:textId="77777777">
        <w:trPr>
          <w:trHeight w:val="315"/>
        </w:trPr>
        <w:tc>
          <w:tcPr>
            <w:tcW w:w="1380"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7F45F720" w14:textId="77777777" w:rsidR="004A489F" w:rsidRPr="00201A9A" w:rsidRDefault="004A489F">
            <w:pPr>
              <w:spacing w:before="0" w:after="0"/>
              <w:jc w:val="center"/>
              <w:rPr>
                <w:rFonts w:eastAsia="Times New Roman"/>
                <w:b/>
                <w:noProof/>
                <w:color w:val="000000"/>
                <w:sz w:val="16"/>
                <w:szCs w:val="16"/>
              </w:rPr>
            </w:pPr>
            <w:r w:rsidRPr="00201A9A">
              <w:rPr>
                <w:b/>
                <w:noProof/>
                <w:color w:val="000000"/>
                <w:sz w:val="16"/>
              </w:rPr>
              <w:t>Suma cząstkowa poza DZIAŁEM 7</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267F1C"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E73201"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765297"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4B3901"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3D6C684"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c>
          <w:tcPr>
            <w:tcW w:w="358"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8A5FB0"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c>
          <w:tcPr>
            <w:tcW w:w="35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85C372"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c>
          <w:tcPr>
            <w:tcW w:w="4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A7C475"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288063"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9D24589"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r>
      <w:tr w:rsidR="004A489F" w:rsidRPr="00201A9A" w14:paraId="791D30E2" w14:textId="77777777">
        <w:trPr>
          <w:trHeight w:val="315"/>
        </w:trPr>
        <w:tc>
          <w:tcPr>
            <w:tcW w:w="4276" w:type="pct"/>
            <w:gridSpan w:val="9"/>
            <w:tcBorders>
              <w:top w:val="single" w:sz="8" w:space="0" w:color="auto"/>
              <w:left w:val="single" w:sz="8" w:space="0" w:color="auto"/>
              <w:bottom w:val="single" w:sz="8" w:space="0" w:color="auto"/>
              <w:right w:val="nil"/>
            </w:tcBorders>
            <w:noWrap/>
            <w:vAlign w:val="center"/>
            <w:hideMark/>
          </w:tcPr>
          <w:p w14:paraId="659D1FE8" w14:textId="77777777" w:rsidR="004A489F" w:rsidRPr="00201A9A" w:rsidRDefault="004A489F">
            <w:pPr>
              <w:spacing w:before="0" w:after="0"/>
              <w:jc w:val="right"/>
              <w:rPr>
                <w:rFonts w:eastAsia="Times New Roman"/>
                <w:b/>
                <w:noProof/>
                <w:color w:val="000000"/>
                <w:sz w:val="16"/>
                <w:szCs w:val="16"/>
                <w:lang w:eastAsia="zh-CN"/>
              </w:rPr>
            </w:pPr>
          </w:p>
        </w:tc>
        <w:tc>
          <w:tcPr>
            <w:tcW w:w="724" w:type="pct"/>
            <w:gridSpan w:val="2"/>
            <w:tcBorders>
              <w:top w:val="single" w:sz="8" w:space="0" w:color="auto"/>
              <w:left w:val="single" w:sz="8" w:space="0" w:color="auto"/>
              <w:bottom w:val="single" w:sz="8" w:space="0" w:color="auto"/>
              <w:right w:val="nil"/>
            </w:tcBorders>
            <w:noWrap/>
            <w:vAlign w:val="bottom"/>
            <w:hideMark/>
          </w:tcPr>
          <w:p w14:paraId="57DDF56D" w14:textId="77777777" w:rsidR="004A489F" w:rsidRPr="00201A9A" w:rsidRDefault="004A489F">
            <w:pPr>
              <w:spacing w:before="0" w:after="0"/>
              <w:jc w:val="center"/>
              <w:rPr>
                <w:rFonts w:eastAsia="Times New Roman"/>
                <w:noProof/>
                <w:sz w:val="20"/>
                <w:szCs w:val="20"/>
                <w:lang w:eastAsia="zh-CN"/>
              </w:rPr>
            </w:pPr>
          </w:p>
        </w:tc>
      </w:tr>
      <w:tr w:rsidR="004A489F" w:rsidRPr="00201A9A" w14:paraId="25F58201" w14:textId="77777777">
        <w:trPr>
          <w:trHeight w:val="330"/>
        </w:trPr>
        <w:tc>
          <w:tcPr>
            <w:tcW w:w="1380" w:type="pct"/>
            <w:tcBorders>
              <w:top w:val="single" w:sz="12" w:space="0" w:color="auto"/>
              <w:left w:val="single" w:sz="12" w:space="0" w:color="auto"/>
              <w:bottom w:val="single" w:sz="12" w:space="0" w:color="auto"/>
              <w:right w:val="single" w:sz="8" w:space="0" w:color="auto"/>
            </w:tcBorders>
            <w:vAlign w:val="center"/>
            <w:hideMark/>
          </w:tcPr>
          <w:p w14:paraId="6FE94995" w14:textId="77777777" w:rsidR="004A489F" w:rsidRPr="00201A9A" w:rsidRDefault="004A489F">
            <w:pPr>
              <w:spacing w:before="0" w:after="0"/>
              <w:jc w:val="center"/>
              <w:rPr>
                <w:rFonts w:eastAsia="Times New Roman"/>
                <w:b/>
                <w:noProof/>
                <w:color w:val="000000"/>
                <w:sz w:val="16"/>
                <w:szCs w:val="16"/>
              </w:rPr>
            </w:pPr>
            <w:r w:rsidRPr="00201A9A">
              <w:rPr>
                <w:b/>
                <w:noProof/>
                <w:color w:val="000000"/>
                <w:sz w:val="16"/>
              </w:rPr>
              <w:t>OGÓŁEM</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63B8C027"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7,150</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41B08F14"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7,150</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2D6DD639"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7,150</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69C00805"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7,150</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07009451"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7,150</w:t>
            </w:r>
          </w:p>
        </w:tc>
        <w:tc>
          <w:tcPr>
            <w:tcW w:w="358" w:type="pct"/>
            <w:tcBorders>
              <w:top w:val="single" w:sz="12" w:space="0" w:color="auto"/>
              <w:left w:val="nil"/>
              <w:bottom w:val="single" w:sz="12" w:space="0" w:color="auto"/>
              <w:right w:val="single" w:sz="8" w:space="0" w:color="auto"/>
            </w:tcBorders>
            <w:shd w:val="clear" w:color="000000" w:fill="D9D9D9"/>
            <w:vAlign w:val="center"/>
            <w:hideMark/>
          </w:tcPr>
          <w:p w14:paraId="3C469B80"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c>
          <w:tcPr>
            <w:tcW w:w="351" w:type="pct"/>
            <w:tcBorders>
              <w:top w:val="single" w:sz="12" w:space="0" w:color="auto"/>
              <w:left w:val="nil"/>
              <w:bottom w:val="single" w:sz="12" w:space="0" w:color="auto"/>
              <w:right w:val="single" w:sz="8" w:space="0" w:color="auto"/>
            </w:tcBorders>
            <w:shd w:val="clear" w:color="000000" w:fill="D9D9D9"/>
            <w:vAlign w:val="center"/>
            <w:hideMark/>
          </w:tcPr>
          <w:p w14:paraId="7BC8608D"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c>
          <w:tcPr>
            <w:tcW w:w="400" w:type="pct"/>
            <w:tcBorders>
              <w:top w:val="single" w:sz="12" w:space="0" w:color="auto"/>
              <w:left w:val="nil"/>
              <w:bottom w:val="single" w:sz="12" w:space="0" w:color="auto"/>
              <w:right w:val="single" w:sz="8" w:space="0" w:color="auto"/>
            </w:tcBorders>
            <w:shd w:val="clear" w:color="000000" w:fill="D9D9D9"/>
            <w:vAlign w:val="center"/>
            <w:hideMark/>
          </w:tcPr>
          <w:p w14:paraId="512D065F"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35,751</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475A3BCF"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0,000</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6BB5511C"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35,751</w:t>
            </w:r>
          </w:p>
        </w:tc>
      </w:tr>
    </w:tbl>
    <w:p w14:paraId="56892A51" w14:textId="77777777" w:rsidR="004A489F" w:rsidRPr="00201A9A" w:rsidRDefault="004A489F" w:rsidP="004A489F">
      <w:pPr>
        <w:pStyle w:val="ManualHeading3"/>
        <w:ind w:left="0" w:firstLine="0"/>
        <w:rPr>
          <w:noProof/>
        </w:rPr>
      </w:pPr>
      <w:bookmarkStart w:id="178" w:name="_Toc167220293"/>
      <w:bookmarkStart w:id="179" w:name="_Toc177549026"/>
      <w:r w:rsidRPr="00201A9A">
        <w:rPr>
          <w:noProof/>
        </w:rPr>
        <w:t>3.2.3.3.</w:t>
      </w:r>
      <w:r w:rsidRPr="00201A9A">
        <w:rPr>
          <w:noProof/>
        </w:rPr>
        <w:tab/>
        <w:t>Ogółem środki</w:t>
      </w:r>
      <w:bookmarkEnd w:id="178"/>
      <w:bookmarkEnd w:id="179"/>
    </w:p>
    <w:tbl>
      <w:tblPr>
        <w:tblW w:w="5000" w:type="pct"/>
        <w:tblCellMar>
          <w:top w:w="15" w:type="dxa"/>
          <w:bottom w:w="15" w:type="dxa"/>
        </w:tblCellMar>
        <w:tblLook w:val="04A0" w:firstRow="1" w:lastRow="0" w:firstColumn="1" w:lastColumn="0" w:noHBand="0" w:noVBand="1"/>
      </w:tblPr>
      <w:tblGrid>
        <w:gridCol w:w="1780"/>
        <w:gridCol w:w="671"/>
        <w:gridCol w:w="671"/>
        <w:gridCol w:w="671"/>
        <w:gridCol w:w="671"/>
        <w:gridCol w:w="671"/>
        <w:gridCol w:w="671"/>
        <w:gridCol w:w="671"/>
        <w:gridCol w:w="862"/>
        <w:gridCol w:w="831"/>
        <w:gridCol w:w="1119"/>
      </w:tblGrid>
      <w:tr w:rsidR="004A489F" w:rsidRPr="00201A9A" w14:paraId="35CAA433" w14:textId="77777777">
        <w:trPr>
          <w:trHeight w:val="510"/>
        </w:trPr>
        <w:tc>
          <w:tcPr>
            <w:tcW w:w="1380" w:type="pct"/>
            <w:vMerge w:val="restart"/>
            <w:tcBorders>
              <w:top w:val="single" w:sz="8" w:space="0" w:color="auto"/>
              <w:left w:val="single" w:sz="8" w:space="0" w:color="auto"/>
              <w:bottom w:val="nil"/>
              <w:right w:val="single" w:sz="8" w:space="0" w:color="auto"/>
            </w:tcBorders>
            <w:vAlign w:val="center"/>
            <w:hideMark/>
          </w:tcPr>
          <w:p w14:paraId="672949FA"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OGÓŁEM</w:t>
            </w:r>
            <w:r w:rsidRPr="00201A9A">
              <w:rPr>
                <w:noProof/>
              </w:rPr>
              <w:t xml:space="preserve"> </w:t>
            </w:r>
            <w:r w:rsidRPr="00201A9A">
              <w:rPr>
                <w:noProof/>
              </w:rPr>
              <w:br/>
            </w:r>
            <w:r w:rsidRPr="00201A9A">
              <w:rPr>
                <w:b/>
                <w:noProof/>
                <w:color w:val="000000"/>
                <w:sz w:val="14"/>
              </w:rPr>
              <w:t>ZATWIERDZONE ŚRODKI</w:t>
            </w:r>
            <w:r w:rsidRPr="00201A9A">
              <w:rPr>
                <w:noProof/>
              </w:rPr>
              <w:t xml:space="preserve"> </w:t>
            </w:r>
            <w:r w:rsidRPr="00201A9A">
              <w:rPr>
                <w:noProof/>
              </w:rPr>
              <w:br/>
            </w:r>
            <w:r w:rsidRPr="00201A9A">
              <w:rPr>
                <w:b/>
                <w:noProof/>
                <w:color w:val="000000"/>
                <w:sz w:val="14"/>
              </w:rPr>
              <w:t>+</w:t>
            </w:r>
            <w:r w:rsidRPr="00201A9A">
              <w:rPr>
                <w:noProof/>
              </w:rPr>
              <w:t xml:space="preserve"> </w:t>
            </w:r>
            <w:r w:rsidRPr="00201A9A">
              <w:rPr>
                <w:noProof/>
              </w:rPr>
              <w:br/>
            </w:r>
            <w:r w:rsidRPr="00201A9A">
              <w:rPr>
                <w:b/>
                <w:noProof/>
                <w:color w:val="000000"/>
                <w:sz w:val="14"/>
              </w:rPr>
              <w:t>ZEWNĘTRZNE DOCHODY PRZEZNACZONE NA OKREŚLONY CEL</w:t>
            </w:r>
          </w:p>
        </w:tc>
        <w:tc>
          <w:tcPr>
            <w:tcW w:w="354" w:type="pct"/>
            <w:tcBorders>
              <w:top w:val="single" w:sz="8" w:space="0" w:color="auto"/>
              <w:left w:val="nil"/>
              <w:bottom w:val="nil"/>
              <w:right w:val="single" w:sz="8" w:space="0" w:color="auto"/>
            </w:tcBorders>
            <w:vAlign w:val="center"/>
            <w:hideMark/>
          </w:tcPr>
          <w:p w14:paraId="3607F2E2"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Rok</w:t>
            </w:r>
          </w:p>
        </w:tc>
        <w:tc>
          <w:tcPr>
            <w:tcW w:w="354" w:type="pct"/>
            <w:tcBorders>
              <w:top w:val="single" w:sz="8" w:space="0" w:color="auto"/>
              <w:left w:val="nil"/>
              <w:bottom w:val="nil"/>
              <w:right w:val="single" w:sz="8" w:space="0" w:color="auto"/>
            </w:tcBorders>
            <w:vAlign w:val="center"/>
            <w:hideMark/>
          </w:tcPr>
          <w:p w14:paraId="69FD93A1"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Rok</w:t>
            </w:r>
          </w:p>
        </w:tc>
        <w:tc>
          <w:tcPr>
            <w:tcW w:w="354" w:type="pct"/>
            <w:tcBorders>
              <w:top w:val="single" w:sz="8" w:space="0" w:color="auto"/>
              <w:left w:val="nil"/>
              <w:bottom w:val="nil"/>
              <w:right w:val="single" w:sz="8" w:space="0" w:color="auto"/>
            </w:tcBorders>
            <w:vAlign w:val="center"/>
            <w:hideMark/>
          </w:tcPr>
          <w:p w14:paraId="401564ED"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Rok</w:t>
            </w:r>
          </w:p>
        </w:tc>
        <w:tc>
          <w:tcPr>
            <w:tcW w:w="362" w:type="pct"/>
            <w:tcBorders>
              <w:top w:val="single" w:sz="8" w:space="0" w:color="auto"/>
              <w:left w:val="nil"/>
              <w:bottom w:val="nil"/>
              <w:right w:val="single" w:sz="8" w:space="0" w:color="auto"/>
            </w:tcBorders>
            <w:vAlign w:val="center"/>
            <w:hideMark/>
          </w:tcPr>
          <w:p w14:paraId="0FCD9EFC"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Rok</w:t>
            </w:r>
          </w:p>
        </w:tc>
        <w:tc>
          <w:tcPr>
            <w:tcW w:w="362" w:type="pct"/>
            <w:tcBorders>
              <w:top w:val="single" w:sz="8" w:space="0" w:color="auto"/>
              <w:left w:val="nil"/>
              <w:bottom w:val="nil"/>
              <w:right w:val="single" w:sz="8" w:space="0" w:color="auto"/>
            </w:tcBorders>
            <w:vAlign w:val="center"/>
            <w:hideMark/>
          </w:tcPr>
          <w:p w14:paraId="5E58D694"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Rok</w:t>
            </w:r>
          </w:p>
        </w:tc>
        <w:tc>
          <w:tcPr>
            <w:tcW w:w="361" w:type="pct"/>
            <w:tcBorders>
              <w:top w:val="single" w:sz="8" w:space="0" w:color="auto"/>
              <w:left w:val="nil"/>
              <w:bottom w:val="nil"/>
              <w:right w:val="single" w:sz="8" w:space="0" w:color="auto"/>
            </w:tcBorders>
            <w:vAlign w:val="center"/>
            <w:hideMark/>
          </w:tcPr>
          <w:p w14:paraId="112CCBFA"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Rok</w:t>
            </w:r>
          </w:p>
        </w:tc>
        <w:tc>
          <w:tcPr>
            <w:tcW w:w="356" w:type="pct"/>
            <w:tcBorders>
              <w:top w:val="single" w:sz="8" w:space="0" w:color="auto"/>
              <w:left w:val="nil"/>
              <w:bottom w:val="nil"/>
              <w:right w:val="single" w:sz="8" w:space="0" w:color="auto"/>
            </w:tcBorders>
            <w:vAlign w:val="center"/>
            <w:hideMark/>
          </w:tcPr>
          <w:p w14:paraId="7E99F1FC"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Rok</w:t>
            </w:r>
          </w:p>
        </w:tc>
        <w:tc>
          <w:tcPr>
            <w:tcW w:w="392" w:type="pct"/>
            <w:vMerge w:val="restart"/>
            <w:tcBorders>
              <w:top w:val="single" w:sz="8" w:space="0" w:color="auto"/>
              <w:left w:val="single" w:sz="8" w:space="0" w:color="auto"/>
              <w:bottom w:val="nil"/>
              <w:right w:val="single" w:sz="8" w:space="0" w:color="auto"/>
            </w:tcBorders>
            <w:vAlign w:val="center"/>
            <w:hideMark/>
          </w:tcPr>
          <w:p w14:paraId="72E54B47"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OGÓŁEM</w:t>
            </w:r>
            <w:r w:rsidRPr="00201A9A">
              <w:rPr>
                <w:noProof/>
              </w:rPr>
              <w:t xml:space="preserve"> </w:t>
            </w:r>
            <w:r w:rsidRPr="00201A9A">
              <w:rPr>
                <w:noProof/>
              </w:rPr>
              <w:br/>
            </w:r>
            <w:r w:rsidRPr="00201A9A">
              <w:rPr>
                <w:b/>
                <w:noProof/>
                <w:color w:val="000000"/>
                <w:sz w:val="14"/>
              </w:rPr>
              <w:t>2028–2034</w:t>
            </w:r>
          </w:p>
        </w:tc>
        <w:tc>
          <w:tcPr>
            <w:tcW w:w="362" w:type="pct"/>
            <w:tcBorders>
              <w:top w:val="single" w:sz="8" w:space="0" w:color="auto"/>
              <w:left w:val="nil"/>
              <w:bottom w:val="nil"/>
              <w:right w:val="single" w:sz="8" w:space="0" w:color="auto"/>
            </w:tcBorders>
            <w:vAlign w:val="center"/>
            <w:hideMark/>
          </w:tcPr>
          <w:p w14:paraId="6185D103" w14:textId="77777777" w:rsidR="004A489F" w:rsidRPr="00201A9A" w:rsidRDefault="004A489F">
            <w:pPr>
              <w:spacing w:before="0" w:after="0"/>
              <w:jc w:val="center"/>
              <w:rPr>
                <w:rFonts w:eastAsia="Times New Roman"/>
                <w:noProof/>
                <w:color w:val="000000"/>
                <w:sz w:val="14"/>
                <w:szCs w:val="14"/>
              </w:rPr>
            </w:pPr>
            <w:r w:rsidRPr="00201A9A">
              <w:rPr>
                <w:noProof/>
                <w:color w:val="000000"/>
                <w:sz w:val="14"/>
              </w:rPr>
              <w:t>ZAMIEŚĆ</w:t>
            </w:r>
          </w:p>
        </w:tc>
        <w:tc>
          <w:tcPr>
            <w:tcW w:w="362" w:type="pct"/>
            <w:vMerge w:val="restart"/>
            <w:tcBorders>
              <w:top w:val="single" w:sz="8" w:space="0" w:color="auto"/>
              <w:left w:val="single" w:sz="8" w:space="0" w:color="auto"/>
              <w:bottom w:val="nil"/>
              <w:right w:val="single" w:sz="8" w:space="0" w:color="auto"/>
            </w:tcBorders>
            <w:vAlign w:val="center"/>
            <w:hideMark/>
          </w:tcPr>
          <w:p w14:paraId="65B0416B"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SUMA CAŁKOWITA</w:t>
            </w:r>
          </w:p>
        </w:tc>
      </w:tr>
      <w:tr w:rsidR="004A489F" w:rsidRPr="00201A9A" w14:paraId="4F76E5DF" w14:textId="77777777">
        <w:trPr>
          <w:trHeight w:val="510"/>
        </w:trPr>
        <w:tc>
          <w:tcPr>
            <w:tcW w:w="1380" w:type="pct"/>
            <w:vMerge/>
            <w:tcBorders>
              <w:top w:val="single" w:sz="8" w:space="0" w:color="auto"/>
              <w:left w:val="single" w:sz="8" w:space="0" w:color="auto"/>
              <w:bottom w:val="nil"/>
              <w:right w:val="single" w:sz="8" w:space="0" w:color="auto"/>
            </w:tcBorders>
            <w:vAlign w:val="center"/>
            <w:hideMark/>
          </w:tcPr>
          <w:p w14:paraId="3A0A1BCF" w14:textId="77777777" w:rsidR="004A489F" w:rsidRPr="00201A9A" w:rsidRDefault="004A489F">
            <w:pPr>
              <w:spacing w:before="0" w:after="0"/>
              <w:jc w:val="left"/>
              <w:rPr>
                <w:rFonts w:eastAsia="Times New Roman"/>
                <w:b/>
                <w:noProof/>
                <w:color w:val="000000"/>
                <w:sz w:val="14"/>
                <w:szCs w:val="14"/>
                <w:lang w:eastAsia="zh-CN"/>
              </w:rPr>
            </w:pPr>
          </w:p>
        </w:tc>
        <w:tc>
          <w:tcPr>
            <w:tcW w:w="354" w:type="pct"/>
            <w:tcBorders>
              <w:top w:val="nil"/>
              <w:left w:val="nil"/>
              <w:bottom w:val="single" w:sz="8" w:space="0" w:color="auto"/>
              <w:right w:val="single" w:sz="8" w:space="0" w:color="auto"/>
            </w:tcBorders>
            <w:vAlign w:val="center"/>
            <w:hideMark/>
          </w:tcPr>
          <w:p w14:paraId="30D9A187"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2028</w:t>
            </w:r>
          </w:p>
        </w:tc>
        <w:tc>
          <w:tcPr>
            <w:tcW w:w="354" w:type="pct"/>
            <w:tcBorders>
              <w:top w:val="nil"/>
              <w:left w:val="nil"/>
              <w:bottom w:val="single" w:sz="8" w:space="0" w:color="auto"/>
              <w:right w:val="single" w:sz="8" w:space="0" w:color="auto"/>
            </w:tcBorders>
            <w:vAlign w:val="center"/>
            <w:hideMark/>
          </w:tcPr>
          <w:p w14:paraId="28167CE7"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2029</w:t>
            </w:r>
          </w:p>
        </w:tc>
        <w:tc>
          <w:tcPr>
            <w:tcW w:w="354" w:type="pct"/>
            <w:tcBorders>
              <w:top w:val="nil"/>
              <w:left w:val="nil"/>
              <w:bottom w:val="single" w:sz="8" w:space="0" w:color="auto"/>
              <w:right w:val="single" w:sz="8" w:space="0" w:color="auto"/>
            </w:tcBorders>
            <w:vAlign w:val="center"/>
            <w:hideMark/>
          </w:tcPr>
          <w:p w14:paraId="01C280FD"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2030</w:t>
            </w:r>
          </w:p>
        </w:tc>
        <w:tc>
          <w:tcPr>
            <w:tcW w:w="362" w:type="pct"/>
            <w:tcBorders>
              <w:top w:val="nil"/>
              <w:left w:val="nil"/>
              <w:bottom w:val="single" w:sz="8" w:space="0" w:color="auto"/>
              <w:right w:val="single" w:sz="8" w:space="0" w:color="auto"/>
            </w:tcBorders>
            <w:vAlign w:val="center"/>
            <w:hideMark/>
          </w:tcPr>
          <w:p w14:paraId="1DDB1FF0"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2031</w:t>
            </w:r>
          </w:p>
        </w:tc>
        <w:tc>
          <w:tcPr>
            <w:tcW w:w="362" w:type="pct"/>
            <w:tcBorders>
              <w:top w:val="nil"/>
              <w:left w:val="nil"/>
              <w:bottom w:val="single" w:sz="8" w:space="0" w:color="auto"/>
              <w:right w:val="single" w:sz="8" w:space="0" w:color="auto"/>
            </w:tcBorders>
            <w:vAlign w:val="center"/>
            <w:hideMark/>
          </w:tcPr>
          <w:p w14:paraId="7A64EC3D"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2032</w:t>
            </w:r>
          </w:p>
        </w:tc>
        <w:tc>
          <w:tcPr>
            <w:tcW w:w="361" w:type="pct"/>
            <w:tcBorders>
              <w:top w:val="nil"/>
              <w:left w:val="nil"/>
              <w:bottom w:val="single" w:sz="8" w:space="0" w:color="auto"/>
              <w:right w:val="single" w:sz="8" w:space="0" w:color="auto"/>
            </w:tcBorders>
            <w:vAlign w:val="center"/>
            <w:hideMark/>
          </w:tcPr>
          <w:p w14:paraId="0CC7DDE5"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2033</w:t>
            </w:r>
          </w:p>
        </w:tc>
        <w:tc>
          <w:tcPr>
            <w:tcW w:w="356" w:type="pct"/>
            <w:tcBorders>
              <w:top w:val="nil"/>
              <w:left w:val="nil"/>
              <w:bottom w:val="single" w:sz="8" w:space="0" w:color="auto"/>
              <w:right w:val="single" w:sz="8" w:space="0" w:color="auto"/>
            </w:tcBorders>
            <w:vAlign w:val="center"/>
            <w:hideMark/>
          </w:tcPr>
          <w:p w14:paraId="6A9845DF"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2034</w:t>
            </w:r>
          </w:p>
        </w:tc>
        <w:tc>
          <w:tcPr>
            <w:tcW w:w="392" w:type="pct"/>
            <w:vMerge/>
            <w:tcBorders>
              <w:top w:val="single" w:sz="8" w:space="0" w:color="auto"/>
              <w:left w:val="single" w:sz="8" w:space="0" w:color="auto"/>
              <w:bottom w:val="nil"/>
              <w:right w:val="single" w:sz="8" w:space="0" w:color="auto"/>
            </w:tcBorders>
            <w:vAlign w:val="center"/>
            <w:hideMark/>
          </w:tcPr>
          <w:p w14:paraId="6EBD783E" w14:textId="77777777" w:rsidR="004A489F" w:rsidRPr="00201A9A" w:rsidRDefault="004A489F">
            <w:pPr>
              <w:spacing w:before="0" w:after="0"/>
              <w:jc w:val="left"/>
              <w:rPr>
                <w:rFonts w:eastAsia="Times New Roman"/>
                <w:b/>
                <w:noProof/>
                <w:color w:val="000000"/>
                <w:sz w:val="14"/>
                <w:szCs w:val="14"/>
                <w:lang w:eastAsia="zh-CN"/>
              </w:rPr>
            </w:pPr>
          </w:p>
        </w:tc>
        <w:tc>
          <w:tcPr>
            <w:tcW w:w="362" w:type="pct"/>
            <w:tcBorders>
              <w:top w:val="nil"/>
              <w:left w:val="nil"/>
              <w:bottom w:val="single" w:sz="8" w:space="0" w:color="auto"/>
              <w:right w:val="single" w:sz="8" w:space="0" w:color="auto"/>
            </w:tcBorders>
            <w:vAlign w:val="center"/>
            <w:hideMark/>
          </w:tcPr>
          <w:p w14:paraId="75BAC281"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2034</w:t>
            </w:r>
          </w:p>
        </w:tc>
        <w:tc>
          <w:tcPr>
            <w:tcW w:w="362" w:type="pct"/>
            <w:vMerge/>
            <w:tcBorders>
              <w:top w:val="single" w:sz="8" w:space="0" w:color="auto"/>
              <w:left w:val="single" w:sz="8" w:space="0" w:color="auto"/>
              <w:bottom w:val="nil"/>
              <w:right w:val="single" w:sz="8" w:space="0" w:color="auto"/>
            </w:tcBorders>
            <w:vAlign w:val="center"/>
            <w:hideMark/>
          </w:tcPr>
          <w:p w14:paraId="18C4C2EE" w14:textId="77777777" w:rsidR="004A489F" w:rsidRPr="00201A9A" w:rsidRDefault="004A489F">
            <w:pPr>
              <w:spacing w:before="0" w:after="0"/>
              <w:jc w:val="left"/>
              <w:rPr>
                <w:rFonts w:eastAsia="Times New Roman"/>
                <w:b/>
                <w:noProof/>
                <w:color w:val="000000"/>
                <w:sz w:val="14"/>
                <w:szCs w:val="14"/>
                <w:lang w:eastAsia="zh-CN"/>
              </w:rPr>
            </w:pPr>
          </w:p>
        </w:tc>
      </w:tr>
      <w:tr w:rsidR="004A489F" w:rsidRPr="00201A9A" w14:paraId="1818A445" w14:textId="77777777">
        <w:trPr>
          <w:trHeight w:val="315"/>
        </w:trPr>
        <w:tc>
          <w:tcPr>
            <w:tcW w:w="4276" w:type="pct"/>
            <w:gridSpan w:val="9"/>
            <w:tcBorders>
              <w:top w:val="single" w:sz="8" w:space="0" w:color="auto"/>
              <w:left w:val="single" w:sz="8" w:space="0" w:color="auto"/>
              <w:bottom w:val="single" w:sz="8" w:space="0" w:color="auto"/>
              <w:right w:val="nil"/>
            </w:tcBorders>
            <w:vAlign w:val="center"/>
            <w:hideMark/>
          </w:tcPr>
          <w:p w14:paraId="1F5D8BCF" w14:textId="77777777" w:rsidR="004A489F" w:rsidRPr="00201A9A" w:rsidRDefault="004A489F">
            <w:pPr>
              <w:spacing w:before="0" w:after="0"/>
              <w:jc w:val="left"/>
              <w:rPr>
                <w:rFonts w:eastAsia="Times New Roman"/>
                <w:b/>
                <w:noProof/>
                <w:sz w:val="14"/>
                <w:szCs w:val="14"/>
              </w:rPr>
            </w:pPr>
            <w:r w:rsidRPr="00201A9A">
              <w:rPr>
                <w:b/>
                <w:noProof/>
                <w:sz w:val="14"/>
              </w:rPr>
              <w:t>DZIAŁ 7</w:t>
            </w:r>
          </w:p>
        </w:tc>
        <w:tc>
          <w:tcPr>
            <w:tcW w:w="362" w:type="pct"/>
            <w:tcBorders>
              <w:top w:val="single" w:sz="8" w:space="0" w:color="auto"/>
              <w:left w:val="single" w:sz="8" w:space="0" w:color="auto"/>
              <w:bottom w:val="single" w:sz="8" w:space="0" w:color="auto"/>
              <w:right w:val="single" w:sz="8" w:space="0" w:color="auto"/>
            </w:tcBorders>
            <w:vAlign w:val="center"/>
            <w:hideMark/>
          </w:tcPr>
          <w:p w14:paraId="62C937F9" w14:textId="77777777" w:rsidR="004A489F" w:rsidRPr="00201A9A" w:rsidRDefault="004A489F">
            <w:pPr>
              <w:spacing w:before="0" w:after="0"/>
              <w:jc w:val="left"/>
              <w:rPr>
                <w:rFonts w:eastAsia="Times New Roman"/>
                <w:b/>
                <w:noProof/>
                <w:sz w:val="14"/>
                <w:szCs w:val="14"/>
                <w:lang w:eastAsia="zh-CN"/>
              </w:rPr>
            </w:pPr>
          </w:p>
        </w:tc>
        <w:tc>
          <w:tcPr>
            <w:tcW w:w="362" w:type="pct"/>
            <w:tcBorders>
              <w:top w:val="single" w:sz="8" w:space="0" w:color="auto"/>
              <w:left w:val="single" w:sz="8" w:space="0" w:color="auto"/>
              <w:bottom w:val="single" w:sz="8" w:space="0" w:color="auto"/>
              <w:right w:val="single" w:sz="8" w:space="0" w:color="auto"/>
            </w:tcBorders>
            <w:vAlign w:val="center"/>
            <w:hideMark/>
          </w:tcPr>
          <w:p w14:paraId="5C753900" w14:textId="77777777" w:rsidR="004A489F" w:rsidRPr="00201A9A" w:rsidRDefault="004A489F">
            <w:pPr>
              <w:spacing w:before="0" w:after="0"/>
              <w:jc w:val="left"/>
              <w:rPr>
                <w:rFonts w:eastAsia="Times New Roman"/>
                <w:noProof/>
                <w:sz w:val="14"/>
                <w:szCs w:val="14"/>
                <w:lang w:eastAsia="zh-CN"/>
              </w:rPr>
            </w:pPr>
          </w:p>
        </w:tc>
      </w:tr>
      <w:tr w:rsidR="004A489F" w:rsidRPr="00201A9A" w14:paraId="75980BF9"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0462BACB" w14:textId="77777777" w:rsidR="004A489F" w:rsidRPr="00201A9A" w:rsidRDefault="004A489F">
            <w:pPr>
              <w:spacing w:before="0" w:after="0"/>
              <w:jc w:val="left"/>
              <w:rPr>
                <w:rFonts w:eastAsia="Times New Roman"/>
                <w:noProof/>
                <w:color w:val="000000"/>
                <w:sz w:val="14"/>
                <w:szCs w:val="14"/>
              </w:rPr>
            </w:pPr>
            <w:r w:rsidRPr="00201A9A">
              <w:rPr>
                <w:noProof/>
                <w:color w:val="000000"/>
                <w:sz w:val="14"/>
              </w:rPr>
              <w:t xml:space="preserve">Zasoby ludzkie </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A4BB69"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442,240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B697CA"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442,240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EA08C3"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442,240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45ED55D"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442,240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2C374A"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442,240</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51D7F2"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435,090</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D60C06"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435,090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09802FE"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3081,381</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B7A8AF"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CF1651"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3081,381</w:t>
            </w:r>
          </w:p>
        </w:tc>
      </w:tr>
      <w:tr w:rsidR="004A489F" w:rsidRPr="00201A9A" w14:paraId="14E93071"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651034AF" w14:textId="77777777" w:rsidR="004A489F" w:rsidRPr="00201A9A" w:rsidRDefault="004A489F">
            <w:pPr>
              <w:spacing w:before="0" w:after="0"/>
              <w:jc w:val="left"/>
              <w:rPr>
                <w:rFonts w:eastAsia="Times New Roman"/>
                <w:noProof/>
                <w:color w:val="000000"/>
                <w:sz w:val="14"/>
                <w:szCs w:val="14"/>
              </w:rPr>
            </w:pPr>
            <w:r w:rsidRPr="00201A9A">
              <w:rPr>
                <w:noProof/>
                <w:color w:val="000000"/>
                <w:sz w:val="14"/>
              </w:rPr>
              <w:t xml:space="preserve">Pozostałe wydatki administracyjne </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C206B3"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26,923</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87D4CC"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26,923</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CFB72CB"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26,923</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6FCA0A"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26,923</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CA69183"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26,923</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292B0E"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26,923</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F65711A"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26,923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B0FB69"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188,461</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A9ECD9"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AF0047D"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188,461</w:t>
            </w:r>
          </w:p>
        </w:tc>
      </w:tr>
      <w:tr w:rsidR="004A489F" w:rsidRPr="00201A9A" w14:paraId="0D5DC79A" w14:textId="77777777">
        <w:trPr>
          <w:trHeight w:val="315"/>
        </w:trPr>
        <w:tc>
          <w:tcPr>
            <w:tcW w:w="1380"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50F40A6F"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Suma cząstkowa DZIAŁ 7</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4124AF"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469,163</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2917AF"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469,163</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E7E3A56"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469,163</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B90E40F"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469,163</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08A0616"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469,163</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A1876C0"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462,013</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9067CA"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462,013</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EA6129"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3269,842</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9E4540"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5D37C8C"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3269,842</w:t>
            </w:r>
          </w:p>
        </w:tc>
      </w:tr>
      <w:tr w:rsidR="004A489F" w:rsidRPr="00201A9A" w14:paraId="5AC6F14B" w14:textId="77777777">
        <w:trPr>
          <w:trHeight w:val="315"/>
        </w:trPr>
        <w:tc>
          <w:tcPr>
            <w:tcW w:w="4276" w:type="pct"/>
            <w:gridSpan w:val="9"/>
            <w:tcBorders>
              <w:top w:val="single" w:sz="8" w:space="0" w:color="auto"/>
              <w:left w:val="single" w:sz="8" w:space="0" w:color="auto"/>
              <w:bottom w:val="single" w:sz="8" w:space="0" w:color="auto"/>
              <w:right w:val="nil"/>
            </w:tcBorders>
            <w:vAlign w:val="center"/>
            <w:hideMark/>
          </w:tcPr>
          <w:p w14:paraId="61BF1006" w14:textId="77777777" w:rsidR="004A489F" w:rsidRPr="00201A9A" w:rsidRDefault="004A489F">
            <w:pPr>
              <w:spacing w:before="0" w:after="0"/>
              <w:jc w:val="left"/>
              <w:rPr>
                <w:rFonts w:eastAsia="Times New Roman"/>
                <w:b/>
                <w:noProof/>
                <w:sz w:val="14"/>
                <w:szCs w:val="14"/>
              </w:rPr>
            </w:pPr>
            <w:r w:rsidRPr="00201A9A">
              <w:rPr>
                <w:b/>
                <w:noProof/>
                <w:sz w:val="14"/>
              </w:rPr>
              <w:t>Poza DZIAŁEM 7</w:t>
            </w:r>
          </w:p>
        </w:tc>
        <w:tc>
          <w:tcPr>
            <w:tcW w:w="362" w:type="pct"/>
            <w:tcBorders>
              <w:top w:val="single" w:sz="8" w:space="0" w:color="auto"/>
              <w:left w:val="single" w:sz="8" w:space="0" w:color="auto"/>
              <w:bottom w:val="single" w:sz="8" w:space="0" w:color="auto"/>
              <w:right w:val="single" w:sz="8" w:space="0" w:color="auto"/>
            </w:tcBorders>
            <w:vAlign w:val="center"/>
            <w:hideMark/>
          </w:tcPr>
          <w:p w14:paraId="79D68F0B" w14:textId="77777777" w:rsidR="004A489F" w:rsidRPr="00201A9A" w:rsidRDefault="004A489F">
            <w:pPr>
              <w:spacing w:before="0" w:after="0"/>
              <w:jc w:val="left"/>
              <w:rPr>
                <w:rFonts w:eastAsia="Times New Roman"/>
                <w:b/>
                <w:noProof/>
                <w:sz w:val="14"/>
                <w:szCs w:val="14"/>
                <w:lang w:eastAsia="zh-CN"/>
              </w:rPr>
            </w:pPr>
          </w:p>
        </w:tc>
        <w:tc>
          <w:tcPr>
            <w:tcW w:w="362" w:type="pct"/>
            <w:tcBorders>
              <w:top w:val="single" w:sz="8" w:space="0" w:color="auto"/>
              <w:left w:val="single" w:sz="8" w:space="0" w:color="auto"/>
              <w:bottom w:val="single" w:sz="8" w:space="0" w:color="auto"/>
              <w:right w:val="single" w:sz="8" w:space="0" w:color="auto"/>
            </w:tcBorders>
            <w:vAlign w:val="center"/>
            <w:hideMark/>
          </w:tcPr>
          <w:p w14:paraId="373A832C" w14:textId="77777777" w:rsidR="004A489F" w:rsidRPr="00201A9A" w:rsidRDefault="004A489F">
            <w:pPr>
              <w:spacing w:before="0" w:after="0"/>
              <w:jc w:val="left"/>
              <w:rPr>
                <w:rFonts w:eastAsia="Times New Roman"/>
                <w:noProof/>
                <w:sz w:val="14"/>
                <w:szCs w:val="14"/>
                <w:lang w:eastAsia="zh-CN"/>
              </w:rPr>
            </w:pPr>
          </w:p>
        </w:tc>
      </w:tr>
      <w:tr w:rsidR="004A489F" w:rsidRPr="00201A9A" w14:paraId="4BF4A395"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1D23C0EF" w14:textId="77777777" w:rsidR="004A489F" w:rsidRPr="00201A9A" w:rsidRDefault="004A489F">
            <w:pPr>
              <w:spacing w:before="0" w:after="0"/>
              <w:jc w:val="left"/>
              <w:rPr>
                <w:rFonts w:eastAsia="Times New Roman"/>
                <w:noProof/>
                <w:color w:val="000000"/>
                <w:sz w:val="14"/>
                <w:szCs w:val="14"/>
              </w:rPr>
            </w:pPr>
            <w:r w:rsidRPr="00201A9A">
              <w:rPr>
                <w:noProof/>
                <w:color w:val="000000"/>
                <w:sz w:val="14"/>
              </w:rPr>
              <w:t xml:space="preserve">Zasoby ludzkie </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FAD5FDF"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29,290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43E00E"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29,290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BF73E3E"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29,290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71BC376"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29,290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F267848"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29,290</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E14A01"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29,290</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AE0FF21"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29,290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4A844A5"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205,030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65E3580"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3734E2"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205,030</w:t>
            </w:r>
          </w:p>
        </w:tc>
      </w:tr>
      <w:tr w:rsidR="004A489F" w:rsidRPr="00201A9A" w14:paraId="36720AF3" w14:textId="77777777">
        <w:trPr>
          <w:trHeight w:val="315"/>
        </w:trPr>
        <w:tc>
          <w:tcPr>
            <w:tcW w:w="1380" w:type="pct"/>
            <w:tcBorders>
              <w:top w:val="single" w:sz="8" w:space="0" w:color="auto"/>
              <w:left w:val="single" w:sz="8" w:space="0" w:color="auto"/>
              <w:bottom w:val="single" w:sz="8" w:space="0" w:color="auto"/>
              <w:right w:val="single" w:sz="8" w:space="0" w:color="auto"/>
            </w:tcBorders>
            <w:vAlign w:val="center"/>
            <w:hideMark/>
          </w:tcPr>
          <w:p w14:paraId="03347109" w14:textId="1AECC14E" w:rsidR="004A489F" w:rsidRPr="00201A9A" w:rsidRDefault="004A489F">
            <w:pPr>
              <w:spacing w:before="0" w:after="0"/>
              <w:jc w:val="left"/>
              <w:rPr>
                <w:rFonts w:eastAsia="Times New Roman"/>
                <w:noProof/>
                <w:color w:val="000000"/>
                <w:sz w:val="14"/>
                <w:szCs w:val="14"/>
              </w:rPr>
            </w:pPr>
            <w:r w:rsidRPr="00201A9A">
              <w:rPr>
                <w:noProof/>
                <w:color w:val="000000"/>
                <w:sz w:val="14"/>
              </w:rPr>
              <w:t>Pozostałe wydatki</w:t>
            </w:r>
            <w:r w:rsidR="00201A9A" w:rsidRPr="00201A9A">
              <w:rPr>
                <w:noProof/>
                <w:color w:val="000000"/>
                <w:sz w:val="14"/>
              </w:rPr>
              <w:t xml:space="preserve"> o cha</w:t>
            </w:r>
            <w:r w:rsidRPr="00201A9A">
              <w:rPr>
                <w:noProof/>
                <w:color w:val="000000"/>
                <w:sz w:val="14"/>
              </w:rPr>
              <w:t>rakterze administracyjnym</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E11AF3"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D383FF"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07B7C18"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C546FDF"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549EF8"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F636B94"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2304A7"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76461E"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6CE9BB" w14:textId="77777777" w:rsidR="004A489F" w:rsidRPr="00201A9A" w:rsidRDefault="004A489F">
            <w:pPr>
              <w:spacing w:before="0" w:after="0"/>
              <w:jc w:val="right"/>
              <w:rPr>
                <w:rFonts w:eastAsia="Times New Roman"/>
                <w:noProof/>
                <w:color w:val="000000"/>
                <w:sz w:val="14"/>
                <w:szCs w:val="14"/>
              </w:rPr>
            </w:pPr>
            <w:r w:rsidRPr="00201A9A">
              <w:rPr>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4F7616"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0,000</w:t>
            </w:r>
          </w:p>
        </w:tc>
      </w:tr>
      <w:tr w:rsidR="004A489F" w:rsidRPr="00201A9A" w14:paraId="53F6ECAB" w14:textId="77777777">
        <w:trPr>
          <w:trHeight w:val="315"/>
        </w:trPr>
        <w:tc>
          <w:tcPr>
            <w:tcW w:w="1380"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501AE7C4"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Suma cząstkowa poza DZIAŁEM 7</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3A1BBA"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29,290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7467A06"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29,290</w:t>
            </w:r>
          </w:p>
        </w:tc>
        <w:tc>
          <w:tcPr>
            <w:tcW w:w="35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C40EA6"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29,290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72C150"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29,290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66EC6B9"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29,290</w:t>
            </w:r>
          </w:p>
        </w:tc>
        <w:tc>
          <w:tcPr>
            <w:tcW w:w="36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2CA6492"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29,290</w:t>
            </w:r>
          </w:p>
        </w:tc>
        <w:tc>
          <w:tcPr>
            <w:tcW w:w="3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812C2E"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29,290</w:t>
            </w:r>
          </w:p>
        </w:tc>
        <w:tc>
          <w:tcPr>
            <w:tcW w:w="39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B888CD8"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205,030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09013CA"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0,000</w:t>
            </w:r>
          </w:p>
        </w:tc>
        <w:tc>
          <w:tcPr>
            <w:tcW w:w="36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53CD47"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205,030</w:t>
            </w:r>
          </w:p>
        </w:tc>
      </w:tr>
      <w:tr w:rsidR="004A489F" w:rsidRPr="00201A9A" w14:paraId="32C8DFF3" w14:textId="77777777">
        <w:trPr>
          <w:trHeight w:val="315"/>
        </w:trPr>
        <w:tc>
          <w:tcPr>
            <w:tcW w:w="4276" w:type="pct"/>
            <w:gridSpan w:val="9"/>
            <w:tcBorders>
              <w:top w:val="single" w:sz="8" w:space="0" w:color="auto"/>
              <w:left w:val="single" w:sz="8" w:space="0" w:color="auto"/>
              <w:bottom w:val="single" w:sz="8" w:space="0" w:color="auto"/>
              <w:right w:val="nil"/>
            </w:tcBorders>
            <w:noWrap/>
            <w:vAlign w:val="center"/>
            <w:hideMark/>
          </w:tcPr>
          <w:p w14:paraId="42E2333A" w14:textId="77777777" w:rsidR="004A489F" w:rsidRPr="00201A9A" w:rsidRDefault="004A489F">
            <w:pPr>
              <w:spacing w:before="0" w:after="0"/>
              <w:jc w:val="right"/>
              <w:rPr>
                <w:rFonts w:eastAsia="Times New Roman"/>
                <w:b/>
                <w:noProof/>
                <w:color w:val="000000"/>
                <w:sz w:val="14"/>
                <w:szCs w:val="14"/>
                <w:lang w:eastAsia="zh-CN"/>
              </w:rPr>
            </w:pPr>
          </w:p>
        </w:tc>
        <w:tc>
          <w:tcPr>
            <w:tcW w:w="724" w:type="pct"/>
            <w:gridSpan w:val="2"/>
            <w:tcBorders>
              <w:top w:val="single" w:sz="8" w:space="0" w:color="auto"/>
              <w:left w:val="single" w:sz="8" w:space="0" w:color="auto"/>
              <w:bottom w:val="single" w:sz="8" w:space="0" w:color="auto"/>
              <w:right w:val="nil"/>
            </w:tcBorders>
            <w:noWrap/>
            <w:vAlign w:val="bottom"/>
            <w:hideMark/>
          </w:tcPr>
          <w:p w14:paraId="7AD404CB" w14:textId="77777777" w:rsidR="004A489F" w:rsidRPr="00201A9A" w:rsidRDefault="004A489F">
            <w:pPr>
              <w:spacing w:before="0" w:after="0"/>
              <w:jc w:val="center"/>
              <w:rPr>
                <w:rFonts w:eastAsia="Times New Roman"/>
                <w:noProof/>
                <w:sz w:val="14"/>
                <w:szCs w:val="14"/>
                <w:lang w:eastAsia="zh-CN"/>
              </w:rPr>
            </w:pPr>
          </w:p>
        </w:tc>
      </w:tr>
      <w:tr w:rsidR="004A489F" w:rsidRPr="00201A9A" w14:paraId="38D79050" w14:textId="77777777">
        <w:trPr>
          <w:trHeight w:val="330"/>
        </w:trPr>
        <w:tc>
          <w:tcPr>
            <w:tcW w:w="1380" w:type="pct"/>
            <w:tcBorders>
              <w:top w:val="single" w:sz="12" w:space="0" w:color="auto"/>
              <w:left w:val="single" w:sz="12" w:space="0" w:color="auto"/>
              <w:bottom w:val="single" w:sz="12" w:space="0" w:color="auto"/>
              <w:right w:val="single" w:sz="8" w:space="0" w:color="auto"/>
            </w:tcBorders>
            <w:vAlign w:val="center"/>
            <w:hideMark/>
          </w:tcPr>
          <w:p w14:paraId="5F443F06" w14:textId="77777777" w:rsidR="004A489F" w:rsidRPr="00201A9A" w:rsidRDefault="004A489F">
            <w:pPr>
              <w:spacing w:before="0" w:after="0"/>
              <w:jc w:val="center"/>
              <w:rPr>
                <w:rFonts w:eastAsia="Times New Roman"/>
                <w:b/>
                <w:noProof/>
                <w:color w:val="000000"/>
                <w:sz w:val="14"/>
                <w:szCs w:val="14"/>
              </w:rPr>
            </w:pPr>
            <w:r w:rsidRPr="00201A9A">
              <w:rPr>
                <w:b/>
                <w:noProof/>
                <w:color w:val="000000"/>
                <w:sz w:val="14"/>
              </w:rPr>
              <w:t>OGÓŁEM</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5832A989"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498,453</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2A9EDD3D"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498,453</w:t>
            </w:r>
          </w:p>
        </w:tc>
        <w:tc>
          <w:tcPr>
            <w:tcW w:w="354" w:type="pct"/>
            <w:tcBorders>
              <w:top w:val="single" w:sz="12" w:space="0" w:color="auto"/>
              <w:left w:val="nil"/>
              <w:bottom w:val="single" w:sz="12" w:space="0" w:color="auto"/>
              <w:right w:val="single" w:sz="8" w:space="0" w:color="auto"/>
            </w:tcBorders>
            <w:shd w:val="clear" w:color="000000" w:fill="D9D9D9"/>
            <w:vAlign w:val="center"/>
            <w:hideMark/>
          </w:tcPr>
          <w:p w14:paraId="2B9A394A"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498,453</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56949456"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498,453</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1D0B99E3"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498,453</w:t>
            </w:r>
          </w:p>
        </w:tc>
        <w:tc>
          <w:tcPr>
            <w:tcW w:w="361" w:type="pct"/>
            <w:tcBorders>
              <w:top w:val="single" w:sz="12" w:space="0" w:color="auto"/>
              <w:left w:val="nil"/>
              <w:bottom w:val="single" w:sz="12" w:space="0" w:color="auto"/>
              <w:right w:val="single" w:sz="8" w:space="0" w:color="auto"/>
            </w:tcBorders>
            <w:shd w:val="clear" w:color="000000" w:fill="D9D9D9"/>
            <w:vAlign w:val="center"/>
            <w:hideMark/>
          </w:tcPr>
          <w:p w14:paraId="611B497E"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491,303</w:t>
            </w:r>
          </w:p>
        </w:tc>
        <w:tc>
          <w:tcPr>
            <w:tcW w:w="356" w:type="pct"/>
            <w:tcBorders>
              <w:top w:val="single" w:sz="12" w:space="0" w:color="auto"/>
              <w:left w:val="nil"/>
              <w:bottom w:val="single" w:sz="12" w:space="0" w:color="auto"/>
              <w:right w:val="single" w:sz="8" w:space="0" w:color="auto"/>
            </w:tcBorders>
            <w:shd w:val="clear" w:color="000000" w:fill="D9D9D9"/>
            <w:vAlign w:val="center"/>
            <w:hideMark/>
          </w:tcPr>
          <w:p w14:paraId="6EDF512B"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491,303</w:t>
            </w:r>
          </w:p>
        </w:tc>
        <w:tc>
          <w:tcPr>
            <w:tcW w:w="392" w:type="pct"/>
            <w:tcBorders>
              <w:top w:val="single" w:sz="12" w:space="0" w:color="auto"/>
              <w:left w:val="nil"/>
              <w:bottom w:val="single" w:sz="12" w:space="0" w:color="auto"/>
              <w:right w:val="single" w:sz="8" w:space="0" w:color="auto"/>
            </w:tcBorders>
            <w:shd w:val="clear" w:color="000000" w:fill="D9D9D9"/>
            <w:vAlign w:val="center"/>
            <w:hideMark/>
          </w:tcPr>
          <w:p w14:paraId="0839DC21"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3474,872</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2EBE9B0E"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0,000</w:t>
            </w:r>
          </w:p>
        </w:tc>
        <w:tc>
          <w:tcPr>
            <w:tcW w:w="362" w:type="pct"/>
            <w:tcBorders>
              <w:top w:val="single" w:sz="12" w:space="0" w:color="auto"/>
              <w:left w:val="nil"/>
              <w:bottom w:val="single" w:sz="12" w:space="0" w:color="auto"/>
              <w:right w:val="single" w:sz="8" w:space="0" w:color="auto"/>
            </w:tcBorders>
            <w:shd w:val="clear" w:color="000000" w:fill="D9D9D9"/>
            <w:vAlign w:val="center"/>
            <w:hideMark/>
          </w:tcPr>
          <w:p w14:paraId="614F4359" w14:textId="77777777" w:rsidR="004A489F" w:rsidRPr="00201A9A" w:rsidRDefault="004A489F">
            <w:pPr>
              <w:spacing w:before="0" w:after="0"/>
              <w:jc w:val="right"/>
              <w:rPr>
                <w:rFonts w:eastAsia="Times New Roman"/>
                <w:b/>
                <w:noProof/>
                <w:color w:val="000000"/>
                <w:sz w:val="14"/>
                <w:szCs w:val="14"/>
              </w:rPr>
            </w:pPr>
            <w:r w:rsidRPr="00201A9A">
              <w:rPr>
                <w:b/>
                <w:noProof/>
                <w:color w:val="000000"/>
                <w:sz w:val="14"/>
              </w:rPr>
              <w:t>3474,872</w:t>
            </w:r>
          </w:p>
        </w:tc>
      </w:tr>
    </w:tbl>
    <w:p w14:paraId="40C824E1" w14:textId="77777777" w:rsidR="004A489F" w:rsidRPr="00201A9A" w:rsidRDefault="004A489F" w:rsidP="004A489F">
      <w:pPr>
        <w:pStyle w:val="Text1"/>
        <w:ind w:left="0"/>
        <w:rPr>
          <w:noProof/>
        </w:rPr>
      </w:pPr>
    </w:p>
    <w:p w14:paraId="593BA115" w14:textId="08BC6946" w:rsidR="004A489F" w:rsidRPr="00201A9A" w:rsidRDefault="004A489F" w:rsidP="004A489F">
      <w:pPr>
        <w:rPr>
          <w:noProof/>
          <w:sz w:val="22"/>
          <w:szCs w:val="28"/>
        </w:rPr>
      </w:pPr>
      <w:r w:rsidRPr="00201A9A">
        <w:rPr>
          <w:noProof/>
          <w:sz w:val="22"/>
        </w:rPr>
        <w:t>Potrzeby</w:t>
      </w:r>
      <w:r w:rsidR="00201A9A" w:rsidRPr="00201A9A">
        <w:rPr>
          <w:noProof/>
          <w:sz w:val="22"/>
        </w:rPr>
        <w:t xml:space="preserve"> w zak</w:t>
      </w:r>
      <w:r w:rsidRPr="00201A9A">
        <w:rPr>
          <w:noProof/>
          <w:sz w:val="22"/>
        </w:rPr>
        <w:t>resie środków na zasoby ludzkie</w:t>
      </w:r>
      <w:r w:rsidR="00201A9A" w:rsidRPr="00201A9A">
        <w:rPr>
          <w:noProof/>
          <w:sz w:val="22"/>
        </w:rPr>
        <w:t xml:space="preserve"> i inn</w:t>
      </w:r>
      <w:r w:rsidRPr="00201A9A">
        <w:rPr>
          <w:noProof/>
          <w:sz w:val="22"/>
        </w:rPr>
        <w:t>e wydatki</w:t>
      </w:r>
      <w:r w:rsidR="00201A9A" w:rsidRPr="00201A9A">
        <w:rPr>
          <w:noProof/>
          <w:sz w:val="22"/>
        </w:rPr>
        <w:t xml:space="preserve"> o cha</w:t>
      </w:r>
      <w:r w:rsidRPr="00201A9A">
        <w:rPr>
          <w:noProof/>
          <w:sz w:val="22"/>
        </w:rPr>
        <w:t>rakterze administracyjnym zostaną pokryte ze środków służb już przydzielonych na zarządzanie tym działaniem lub przesuniętych</w:t>
      </w:r>
      <w:r w:rsidR="00201A9A" w:rsidRPr="00201A9A">
        <w:rPr>
          <w:noProof/>
          <w:sz w:val="22"/>
        </w:rPr>
        <w:t xml:space="preserve"> w ram</w:t>
      </w:r>
      <w:r w:rsidRPr="00201A9A">
        <w:rPr>
          <w:noProof/>
          <w:sz w:val="22"/>
        </w:rPr>
        <w:t>ach tych służb, uzupełnionych</w:t>
      </w:r>
      <w:r w:rsidR="00201A9A" w:rsidRPr="00201A9A">
        <w:rPr>
          <w:noProof/>
          <w:sz w:val="22"/>
        </w:rPr>
        <w:t xml:space="preserve"> w raz</w:t>
      </w:r>
      <w:r w:rsidRPr="00201A9A">
        <w:rPr>
          <w:noProof/>
          <w:sz w:val="22"/>
        </w:rPr>
        <w:t>ie potrzeby wszelkimi dodatkowymi zasobami, które mogą zostać przydzielone służbom odpowiedzialnym za zarządzanie Funduszem</w:t>
      </w:r>
      <w:r w:rsidR="00201A9A" w:rsidRPr="00201A9A">
        <w:rPr>
          <w:noProof/>
          <w:sz w:val="22"/>
        </w:rPr>
        <w:t xml:space="preserve"> w ram</w:t>
      </w:r>
      <w:r w:rsidRPr="00201A9A">
        <w:rPr>
          <w:noProof/>
          <w:sz w:val="22"/>
        </w:rPr>
        <w:t>ach procedury rocznego przydziału środków oraz</w:t>
      </w:r>
      <w:r w:rsidR="00201A9A" w:rsidRPr="00201A9A">
        <w:rPr>
          <w:noProof/>
          <w:sz w:val="22"/>
        </w:rPr>
        <w:t xml:space="preserve"> w świ</w:t>
      </w:r>
      <w:r w:rsidRPr="00201A9A">
        <w:rPr>
          <w:noProof/>
          <w:sz w:val="22"/>
        </w:rPr>
        <w:t>etle istniejących ograniczeń budżetowych.</w:t>
      </w:r>
    </w:p>
    <w:p w14:paraId="5F9F7832" w14:textId="7C2AD485" w:rsidR="004A489F" w:rsidRPr="00201A9A" w:rsidRDefault="004A489F" w:rsidP="004A489F">
      <w:pPr>
        <w:rPr>
          <w:noProof/>
          <w:sz w:val="22"/>
          <w:szCs w:val="28"/>
        </w:rPr>
      </w:pPr>
      <w:r w:rsidRPr="00201A9A">
        <w:rPr>
          <w:noProof/>
          <w:sz w:val="22"/>
        </w:rPr>
        <w:t>Szacunki te obejmują również zasoby ludzkie</w:t>
      </w:r>
      <w:r w:rsidR="00201A9A" w:rsidRPr="00201A9A">
        <w:rPr>
          <w:noProof/>
          <w:sz w:val="22"/>
        </w:rPr>
        <w:t xml:space="preserve"> i inn</w:t>
      </w:r>
      <w:r w:rsidRPr="00201A9A">
        <w:rPr>
          <w:noProof/>
          <w:sz w:val="22"/>
        </w:rPr>
        <w:t>e wydatki</w:t>
      </w:r>
      <w:r w:rsidR="00201A9A" w:rsidRPr="00201A9A">
        <w:rPr>
          <w:noProof/>
          <w:sz w:val="22"/>
        </w:rPr>
        <w:t xml:space="preserve"> o cha</w:t>
      </w:r>
      <w:r w:rsidRPr="00201A9A">
        <w:rPr>
          <w:noProof/>
          <w:sz w:val="22"/>
        </w:rPr>
        <w:t>rakterze administracyjnym niezbędne do osiągnięcia celów określonych</w:t>
      </w:r>
      <w:r w:rsidR="00201A9A" w:rsidRPr="00201A9A">
        <w:rPr>
          <w:noProof/>
          <w:sz w:val="22"/>
        </w:rPr>
        <w:t xml:space="preserve"> w roz</w:t>
      </w:r>
      <w:r w:rsidRPr="00201A9A">
        <w:rPr>
          <w:noProof/>
          <w:sz w:val="22"/>
        </w:rPr>
        <w:t>porządzeniu (UE) 202X/XXX [powroty</w:t>
      </w:r>
      <w:r w:rsidR="00201A9A" w:rsidRPr="00201A9A">
        <w:rPr>
          <w:noProof/>
          <w:sz w:val="22"/>
        </w:rPr>
        <w:t xml:space="preserve"> i rea</w:t>
      </w:r>
      <w:r w:rsidRPr="00201A9A">
        <w:rPr>
          <w:noProof/>
          <w:sz w:val="22"/>
        </w:rPr>
        <w:t>dmisja, solidarność], rozporządzeniu (UE) 202X/XXX [wsparcie wspólnej polityki wizowej]</w:t>
      </w:r>
      <w:r w:rsidR="00201A9A" w:rsidRPr="00201A9A">
        <w:rPr>
          <w:noProof/>
          <w:sz w:val="22"/>
        </w:rPr>
        <w:t xml:space="preserve"> i roz</w:t>
      </w:r>
      <w:r w:rsidRPr="00201A9A">
        <w:rPr>
          <w:noProof/>
          <w:sz w:val="22"/>
        </w:rPr>
        <w:t>porządzeniu (UE) 202X/XXX [współpraca transgraniczna</w:t>
      </w:r>
      <w:r w:rsidR="00201A9A" w:rsidRPr="00201A9A">
        <w:rPr>
          <w:noProof/>
          <w:sz w:val="22"/>
        </w:rPr>
        <w:t xml:space="preserve"> w zwi</w:t>
      </w:r>
      <w:r w:rsidRPr="00201A9A">
        <w:rPr>
          <w:noProof/>
          <w:sz w:val="22"/>
        </w:rPr>
        <w:t>ązku</w:t>
      </w:r>
      <w:r w:rsidR="00201A9A" w:rsidRPr="00201A9A">
        <w:rPr>
          <w:noProof/>
          <w:sz w:val="22"/>
        </w:rPr>
        <w:t xml:space="preserve"> z ter</w:t>
      </w:r>
      <w:r w:rsidRPr="00201A9A">
        <w:rPr>
          <w:noProof/>
          <w:sz w:val="22"/>
        </w:rPr>
        <w:t>roryzmem oraz poważną</w:t>
      </w:r>
      <w:r w:rsidR="00201A9A" w:rsidRPr="00201A9A">
        <w:rPr>
          <w:noProof/>
          <w:sz w:val="22"/>
        </w:rPr>
        <w:t xml:space="preserve"> i zor</w:t>
      </w:r>
      <w:r w:rsidRPr="00201A9A">
        <w:rPr>
          <w:noProof/>
          <w:sz w:val="22"/>
        </w:rPr>
        <w:t>ganizowaną przestępczością] oraz wdrażania unijnego wsparcia na podstawie rozporządzenia (UE) 202X/XXX [wdrażanie unijnego wsparcia na rzecz WPR], rozporządzenie (UE) 202X/XXX [wdrażanie wsparcia Unii na rzecz rozwoju regionalnego], rozporządzenie (UE) 202X/XXX [wdrażanie wsparcia Unii na rzecz wysokiej jakości zatrudnienia, umiejętności</w:t>
      </w:r>
      <w:r w:rsidR="00201A9A" w:rsidRPr="00201A9A">
        <w:rPr>
          <w:noProof/>
          <w:sz w:val="22"/>
        </w:rPr>
        <w:t xml:space="preserve"> i włą</w:t>
      </w:r>
      <w:r w:rsidRPr="00201A9A">
        <w:rPr>
          <w:noProof/>
          <w:sz w:val="22"/>
        </w:rPr>
        <w:t>czenia społecznego], rozporządzenie (UE) 202X/XXX [wdrażanie wsparcia Unii na rzecz WPRyb/polityki morskiej].</w:t>
      </w:r>
    </w:p>
    <w:p w14:paraId="03D300A4" w14:textId="77777777" w:rsidR="004A489F" w:rsidRPr="00201A9A" w:rsidRDefault="004A489F" w:rsidP="004A489F">
      <w:pPr>
        <w:pStyle w:val="ManualHeading3"/>
        <w:rPr>
          <w:bCs/>
          <w:noProof/>
          <w:szCs w:val="24"/>
        </w:rPr>
      </w:pPr>
      <w:bookmarkStart w:id="180" w:name="_Toc167220294"/>
      <w:bookmarkStart w:id="181" w:name="_Toc177549027"/>
      <w:r w:rsidRPr="00201A9A">
        <w:rPr>
          <w:noProof/>
        </w:rPr>
        <w:t>3.2.4.</w:t>
      </w:r>
      <w:r w:rsidRPr="00201A9A">
        <w:rPr>
          <w:noProof/>
        </w:rPr>
        <w:tab/>
        <w:t>Szacowane zapotrzebowanie na zasoby ludzkie</w:t>
      </w:r>
      <w:bookmarkEnd w:id="180"/>
      <w:bookmarkEnd w:id="181"/>
      <w:r w:rsidRPr="00201A9A">
        <w:rPr>
          <w:noProof/>
        </w:rPr>
        <w:t xml:space="preserve"> </w:t>
      </w:r>
    </w:p>
    <w:p w14:paraId="50CC4B53" w14:textId="4AFD7276" w:rsidR="004A489F" w:rsidRPr="00201A9A" w:rsidRDefault="004A489F" w:rsidP="004A489F">
      <w:pPr>
        <w:pStyle w:val="ListDash1"/>
        <w:rPr>
          <w:noProof/>
        </w:rPr>
      </w:pPr>
      <w:r w:rsidRPr="00201A9A">
        <w:rPr>
          <w:rFonts w:ascii="Wingdings" w:hAnsi="Wingdings"/>
          <w:noProof/>
        </w:rPr>
        <w:t></w:t>
      </w:r>
      <w:r w:rsidRPr="00201A9A">
        <w:rPr>
          <w:noProof/>
        </w:rPr>
        <w:tab/>
        <w:t>Wniosek/inicjatywa nie wiąże się</w:t>
      </w:r>
      <w:r w:rsidR="00201A9A" w:rsidRPr="00201A9A">
        <w:rPr>
          <w:noProof/>
        </w:rPr>
        <w:t xml:space="preserve"> z kon</w:t>
      </w:r>
      <w:r w:rsidRPr="00201A9A">
        <w:rPr>
          <w:noProof/>
        </w:rPr>
        <w:t xml:space="preserve">iecznością wykorzystania zasobów ludzkich </w:t>
      </w:r>
    </w:p>
    <w:p w14:paraId="48728E63" w14:textId="1E32F1B7" w:rsidR="004A489F" w:rsidRPr="00201A9A" w:rsidRDefault="004A489F" w:rsidP="004A489F">
      <w:pPr>
        <w:pStyle w:val="ListDash1"/>
        <w:rPr>
          <w:noProof/>
        </w:rPr>
      </w:pPr>
      <w:r w:rsidRPr="00201A9A">
        <w:rPr>
          <w:rFonts w:ascii="Wingdings" w:hAnsi="Wingdings"/>
          <w:noProof/>
        </w:rPr>
        <w:t></w:t>
      </w:r>
      <w:r w:rsidRPr="00201A9A">
        <w:rPr>
          <w:noProof/>
        </w:rPr>
        <w:tab/>
        <w:t>Wniosek/inicjatywa wiąże się</w:t>
      </w:r>
      <w:r w:rsidR="00201A9A" w:rsidRPr="00201A9A">
        <w:rPr>
          <w:noProof/>
        </w:rPr>
        <w:t xml:space="preserve"> z kon</w:t>
      </w:r>
      <w:r w:rsidRPr="00201A9A">
        <w:rPr>
          <w:noProof/>
        </w:rPr>
        <w:t>iecznością wykorzystania zasobów ludzkich, jak określono poniżej</w:t>
      </w:r>
    </w:p>
    <w:p w14:paraId="6DCD40A2" w14:textId="2947FE75" w:rsidR="004A489F" w:rsidRPr="00201A9A" w:rsidRDefault="004A489F" w:rsidP="004A489F">
      <w:pPr>
        <w:pStyle w:val="ManualHeading3"/>
        <w:rPr>
          <w:noProof/>
        </w:rPr>
      </w:pPr>
      <w:bookmarkStart w:id="182" w:name="_Toc167220295"/>
      <w:bookmarkStart w:id="183" w:name="_Toc177549028"/>
      <w:r w:rsidRPr="00201A9A">
        <w:rPr>
          <w:noProof/>
        </w:rPr>
        <w:t>3.2.4.1.</w:t>
      </w:r>
      <w:r w:rsidRPr="00201A9A">
        <w:rPr>
          <w:noProof/>
        </w:rPr>
        <w:tab/>
        <w:t>Finansowane</w:t>
      </w:r>
      <w:r w:rsidR="00201A9A" w:rsidRPr="00201A9A">
        <w:rPr>
          <w:noProof/>
        </w:rPr>
        <w:t xml:space="preserve"> z uch</w:t>
      </w:r>
      <w:r w:rsidRPr="00201A9A">
        <w:rPr>
          <w:noProof/>
        </w:rPr>
        <w:t>walonego budżetu</w:t>
      </w:r>
      <w:bookmarkEnd w:id="182"/>
      <w:bookmarkEnd w:id="183"/>
    </w:p>
    <w:p w14:paraId="76356A6E" w14:textId="1A687537" w:rsidR="004A489F" w:rsidRPr="00201A9A" w:rsidRDefault="004A489F" w:rsidP="004A489F">
      <w:pPr>
        <w:spacing w:after="60"/>
        <w:jc w:val="right"/>
        <w:rPr>
          <w:i/>
          <w:noProof/>
          <w:sz w:val="20"/>
        </w:rPr>
      </w:pPr>
      <w:r w:rsidRPr="00201A9A">
        <w:rPr>
          <w:i/>
          <w:noProof/>
          <w:sz w:val="20"/>
        </w:rPr>
        <w:t>Wartości szacunkowe należy wyrazić</w:t>
      </w:r>
      <w:r w:rsidR="00201A9A" w:rsidRPr="00201A9A">
        <w:rPr>
          <w:i/>
          <w:noProof/>
          <w:sz w:val="20"/>
        </w:rPr>
        <w:t xml:space="preserve"> w ekw</w:t>
      </w:r>
      <w:r w:rsidRPr="00201A9A">
        <w:rPr>
          <w:i/>
          <w:noProof/>
          <w:sz w:val="20"/>
        </w:rPr>
        <w:t>iwalentach pełnego czasu pracy (EPC)</w:t>
      </w:r>
    </w:p>
    <w:tbl>
      <w:tblPr>
        <w:tblW w:w="5000" w:type="pct"/>
        <w:tblCellMar>
          <w:top w:w="15" w:type="dxa"/>
          <w:bottom w:w="15" w:type="dxa"/>
        </w:tblCellMar>
        <w:tblLook w:val="04A0" w:firstRow="1" w:lastRow="0" w:firstColumn="1" w:lastColumn="0" w:noHBand="0" w:noVBand="1"/>
      </w:tblPr>
      <w:tblGrid>
        <w:gridCol w:w="1296"/>
        <w:gridCol w:w="2620"/>
        <w:gridCol w:w="583"/>
        <w:gridCol w:w="616"/>
        <w:gridCol w:w="616"/>
        <w:gridCol w:w="616"/>
        <w:gridCol w:w="616"/>
        <w:gridCol w:w="616"/>
        <w:gridCol w:w="616"/>
        <w:gridCol w:w="1094"/>
      </w:tblGrid>
      <w:tr w:rsidR="00A92234" w:rsidRPr="00201A9A" w14:paraId="69645FCC" w14:textId="77777777" w:rsidTr="00F47D96">
        <w:trPr>
          <w:trHeight w:val="300"/>
        </w:trPr>
        <w:tc>
          <w:tcPr>
            <w:tcW w:w="2032" w:type="pct"/>
            <w:gridSpan w:val="2"/>
            <w:vMerge w:val="restart"/>
            <w:tcBorders>
              <w:top w:val="single" w:sz="8" w:space="0" w:color="auto"/>
              <w:left w:val="single" w:sz="8" w:space="0" w:color="auto"/>
              <w:bottom w:val="nil"/>
              <w:right w:val="nil"/>
            </w:tcBorders>
            <w:vAlign w:val="center"/>
            <w:hideMark/>
          </w:tcPr>
          <w:p w14:paraId="7A40E73B" w14:textId="77777777" w:rsidR="00A92234" w:rsidRPr="00201A9A" w:rsidRDefault="00A92234" w:rsidP="00A92234">
            <w:pPr>
              <w:spacing w:before="0" w:after="0"/>
              <w:jc w:val="center"/>
              <w:rPr>
                <w:rFonts w:eastAsia="Times New Roman"/>
                <w:b/>
                <w:bCs/>
                <w:noProof/>
                <w:color w:val="000000"/>
                <w:sz w:val="18"/>
                <w:szCs w:val="18"/>
              </w:rPr>
            </w:pPr>
            <w:r w:rsidRPr="00201A9A">
              <w:rPr>
                <w:b/>
                <w:noProof/>
                <w:color w:val="000000"/>
                <w:sz w:val="18"/>
              </w:rPr>
              <w:t>ZATWIERDZONE ŚRODKI</w:t>
            </w:r>
          </w:p>
        </w:tc>
        <w:tc>
          <w:tcPr>
            <w:tcW w:w="366" w:type="pct"/>
            <w:tcBorders>
              <w:top w:val="single" w:sz="8" w:space="0" w:color="auto"/>
              <w:left w:val="nil"/>
              <w:bottom w:val="nil"/>
              <w:right w:val="single" w:sz="8" w:space="0" w:color="auto"/>
            </w:tcBorders>
            <w:vAlign w:val="center"/>
            <w:hideMark/>
          </w:tcPr>
          <w:p w14:paraId="26F3CA95" w14:textId="77777777" w:rsidR="00A92234" w:rsidRPr="00201A9A" w:rsidRDefault="00A92234" w:rsidP="00A92234">
            <w:pPr>
              <w:spacing w:before="0" w:after="0"/>
              <w:jc w:val="center"/>
              <w:rPr>
                <w:rFonts w:eastAsia="Times New Roman"/>
                <w:noProof/>
                <w:color w:val="000000"/>
                <w:sz w:val="20"/>
                <w:szCs w:val="20"/>
              </w:rPr>
            </w:pPr>
            <w:r w:rsidRPr="00201A9A">
              <w:rPr>
                <w:noProof/>
                <w:color w:val="000000"/>
                <w:sz w:val="20"/>
              </w:rPr>
              <w:t>Rok</w:t>
            </w:r>
          </w:p>
        </w:tc>
        <w:tc>
          <w:tcPr>
            <w:tcW w:w="366" w:type="pct"/>
            <w:tcBorders>
              <w:top w:val="single" w:sz="8" w:space="0" w:color="auto"/>
              <w:left w:val="nil"/>
              <w:bottom w:val="nil"/>
              <w:right w:val="single" w:sz="8" w:space="0" w:color="auto"/>
            </w:tcBorders>
            <w:vAlign w:val="center"/>
            <w:hideMark/>
          </w:tcPr>
          <w:p w14:paraId="71AF6B40" w14:textId="77777777" w:rsidR="00A92234" w:rsidRPr="00201A9A" w:rsidRDefault="00A92234" w:rsidP="00A92234">
            <w:pPr>
              <w:spacing w:before="0" w:after="0"/>
              <w:jc w:val="center"/>
              <w:rPr>
                <w:rFonts w:eastAsia="Times New Roman"/>
                <w:noProof/>
                <w:color w:val="000000"/>
                <w:sz w:val="20"/>
                <w:szCs w:val="20"/>
              </w:rPr>
            </w:pPr>
            <w:r w:rsidRPr="00201A9A">
              <w:rPr>
                <w:noProof/>
                <w:color w:val="000000"/>
                <w:sz w:val="20"/>
              </w:rPr>
              <w:t>Rok</w:t>
            </w:r>
          </w:p>
        </w:tc>
        <w:tc>
          <w:tcPr>
            <w:tcW w:w="366" w:type="pct"/>
            <w:tcBorders>
              <w:top w:val="single" w:sz="8" w:space="0" w:color="auto"/>
              <w:left w:val="nil"/>
              <w:bottom w:val="nil"/>
              <w:right w:val="single" w:sz="8" w:space="0" w:color="auto"/>
            </w:tcBorders>
            <w:vAlign w:val="center"/>
            <w:hideMark/>
          </w:tcPr>
          <w:p w14:paraId="71B26E22" w14:textId="77777777" w:rsidR="00A92234" w:rsidRPr="00201A9A" w:rsidRDefault="00A92234" w:rsidP="00A92234">
            <w:pPr>
              <w:spacing w:before="0" w:after="0"/>
              <w:jc w:val="center"/>
              <w:rPr>
                <w:rFonts w:eastAsia="Times New Roman"/>
                <w:noProof/>
                <w:color w:val="000000"/>
                <w:sz w:val="20"/>
                <w:szCs w:val="20"/>
              </w:rPr>
            </w:pPr>
            <w:r w:rsidRPr="00201A9A">
              <w:rPr>
                <w:noProof/>
                <w:color w:val="000000"/>
                <w:sz w:val="20"/>
              </w:rPr>
              <w:t>Rok</w:t>
            </w:r>
          </w:p>
        </w:tc>
        <w:tc>
          <w:tcPr>
            <w:tcW w:w="374" w:type="pct"/>
            <w:tcBorders>
              <w:top w:val="single" w:sz="8" w:space="0" w:color="auto"/>
              <w:left w:val="nil"/>
              <w:bottom w:val="nil"/>
              <w:right w:val="single" w:sz="8" w:space="0" w:color="auto"/>
            </w:tcBorders>
            <w:vAlign w:val="center"/>
            <w:hideMark/>
          </w:tcPr>
          <w:p w14:paraId="6538002A" w14:textId="77777777" w:rsidR="00A92234" w:rsidRPr="00201A9A" w:rsidRDefault="00A92234" w:rsidP="00A92234">
            <w:pPr>
              <w:spacing w:before="0" w:after="0"/>
              <w:jc w:val="center"/>
              <w:rPr>
                <w:rFonts w:eastAsia="Times New Roman"/>
                <w:noProof/>
                <w:color w:val="000000"/>
                <w:sz w:val="20"/>
                <w:szCs w:val="20"/>
              </w:rPr>
            </w:pPr>
            <w:r w:rsidRPr="00201A9A">
              <w:rPr>
                <w:noProof/>
                <w:color w:val="000000"/>
                <w:sz w:val="20"/>
              </w:rPr>
              <w:t>Rok</w:t>
            </w:r>
          </w:p>
        </w:tc>
        <w:tc>
          <w:tcPr>
            <w:tcW w:w="374" w:type="pct"/>
            <w:tcBorders>
              <w:top w:val="single" w:sz="8" w:space="0" w:color="auto"/>
              <w:left w:val="nil"/>
              <w:bottom w:val="nil"/>
              <w:right w:val="single" w:sz="8" w:space="0" w:color="auto"/>
            </w:tcBorders>
            <w:vAlign w:val="center"/>
            <w:hideMark/>
          </w:tcPr>
          <w:p w14:paraId="306B482A" w14:textId="77777777" w:rsidR="00A92234" w:rsidRPr="00201A9A" w:rsidRDefault="00A92234" w:rsidP="00A92234">
            <w:pPr>
              <w:spacing w:before="0" w:after="0"/>
              <w:jc w:val="center"/>
              <w:rPr>
                <w:rFonts w:eastAsia="Times New Roman"/>
                <w:noProof/>
                <w:color w:val="000000"/>
                <w:sz w:val="20"/>
                <w:szCs w:val="20"/>
              </w:rPr>
            </w:pPr>
            <w:r w:rsidRPr="00201A9A">
              <w:rPr>
                <w:noProof/>
                <w:color w:val="000000"/>
                <w:sz w:val="20"/>
              </w:rPr>
              <w:t>Rok</w:t>
            </w:r>
          </w:p>
        </w:tc>
        <w:tc>
          <w:tcPr>
            <w:tcW w:w="374" w:type="pct"/>
            <w:tcBorders>
              <w:top w:val="single" w:sz="8" w:space="0" w:color="auto"/>
              <w:left w:val="nil"/>
              <w:bottom w:val="nil"/>
              <w:right w:val="single" w:sz="8" w:space="0" w:color="auto"/>
            </w:tcBorders>
            <w:vAlign w:val="center"/>
            <w:hideMark/>
          </w:tcPr>
          <w:p w14:paraId="1EBC453B" w14:textId="77777777" w:rsidR="00A92234" w:rsidRPr="00201A9A" w:rsidRDefault="00A92234" w:rsidP="00A92234">
            <w:pPr>
              <w:spacing w:before="0" w:after="0"/>
              <w:jc w:val="center"/>
              <w:rPr>
                <w:rFonts w:eastAsia="Times New Roman"/>
                <w:noProof/>
                <w:color w:val="000000"/>
                <w:sz w:val="20"/>
                <w:szCs w:val="20"/>
              </w:rPr>
            </w:pPr>
            <w:r w:rsidRPr="00201A9A">
              <w:rPr>
                <w:noProof/>
                <w:color w:val="000000"/>
                <w:sz w:val="20"/>
              </w:rPr>
              <w:t>Rok</w:t>
            </w:r>
          </w:p>
        </w:tc>
        <w:tc>
          <w:tcPr>
            <w:tcW w:w="374" w:type="pct"/>
            <w:tcBorders>
              <w:top w:val="single" w:sz="8" w:space="0" w:color="auto"/>
              <w:left w:val="nil"/>
              <w:bottom w:val="nil"/>
              <w:right w:val="single" w:sz="8" w:space="0" w:color="auto"/>
            </w:tcBorders>
            <w:vAlign w:val="center"/>
            <w:hideMark/>
          </w:tcPr>
          <w:p w14:paraId="37B8B755" w14:textId="77777777" w:rsidR="00A92234" w:rsidRPr="00201A9A" w:rsidRDefault="00A92234" w:rsidP="00A92234">
            <w:pPr>
              <w:spacing w:before="0" w:after="0"/>
              <w:jc w:val="center"/>
              <w:rPr>
                <w:rFonts w:eastAsia="Times New Roman"/>
                <w:noProof/>
                <w:color w:val="000000"/>
                <w:sz w:val="20"/>
                <w:szCs w:val="20"/>
              </w:rPr>
            </w:pPr>
            <w:r w:rsidRPr="00201A9A">
              <w:rPr>
                <w:noProof/>
                <w:color w:val="000000"/>
                <w:sz w:val="20"/>
              </w:rPr>
              <w:t>Rok</w:t>
            </w:r>
          </w:p>
        </w:tc>
        <w:tc>
          <w:tcPr>
            <w:tcW w:w="374" w:type="pct"/>
            <w:tcBorders>
              <w:top w:val="single" w:sz="8" w:space="0" w:color="auto"/>
              <w:left w:val="nil"/>
              <w:bottom w:val="nil"/>
              <w:right w:val="single" w:sz="8" w:space="0" w:color="auto"/>
            </w:tcBorders>
            <w:vAlign w:val="center"/>
            <w:hideMark/>
          </w:tcPr>
          <w:p w14:paraId="445E1BFC" w14:textId="77777777" w:rsidR="00A92234" w:rsidRPr="00201A9A" w:rsidRDefault="00A92234" w:rsidP="00A92234">
            <w:pPr>
              <w:spacing w:before="0" w:after="0"/>
              <w:jc w:val="center"/>
              <w:rPr>
                <w:rFonts w:eastAsia="Times New Roman"/>
                <w:noProof/>
                <w:color w:val="000000"/>
                <w:sz w:val="20"/>
                <w:szCs w:val="20"/>
              </w:rPr>
            </w:pPr>
            <w:r w:rsidRPr="00201A9A">
              <w:rPr>
                <w:noProof/>
                <w:color w:val="000000"/>
                <w:sz w:val="20"/>
              </w:rPr>
              <w:t>ZAMIEŚĆ</w:t>
            </w:r>
          </w:p>
        </w:tc>
      </w:tr>
      <w:tr w:rsidR="00A92234" w:rsidRPr="00201A9A" w14:paraId="415E0981" w14:textId="77777777" w:rsidTr="00F47D96">
        <w:trPr>
          <w:trHeight w:val="315"/>
        </w:trPr>
        <w:tc>
          <w:tcPr>
            <w:tcW w:w="2032" w:type="pct"/>
            <w:gridSpan w:val="2"/>
            <w:vMerge/>
            <w:tcBorders>
              <w:top w:val="single" w:sz="8" w:space="0" w:color="auto"/>
              <w:left w:val="single" w:sz="8" w:space="0" w:color="auto"/>
              <w:bottom w:val="nil"/>
              <w:right w:val="nil"/>
            </w:tcBorders>
            <w:vAlign w:val="center"/>
            <w:hideMark/>
          </w:tcPr>
          <w:p w14:paraId="4ABBF95D" w14:textId="77777777" w:rsidR="00A92234" w:rsidRPr="00201A9A" w:rsidRDefault="00A92234" w:rsidP="00A92234">
            <w:pPr>
              <w:spacing w:before="0" w:after="0"/>
              <w:jc w:val="left"/>
              <w:rPr>
                <w:rFonts w:eastAsia="Times New Roman"/>
                <w:b/>
                <w:bCs/>
                <w:noProof/>
                <w:color w:val="000000"/>
                <w:sz w:val="18"/>
                <w:szCs w:val="18"/>
                <w:lang w:eastAsia="zh-CN"/>
              </w:rPr>
            </w:pPr>
          </w:p>
        </w:tc>
        <w:tc>
          <w:tcPr>
            <w:tcW w:w="366" w:type="pct"/>
            <w:tcBorders>
              <w:top w:val="nil"/>
              <w:left w:val="nil"/>
              <w:bottom w:val="single" w:sz="8" w:space="0" w:color="auto"/>
              <w:right w:val="single" w:sz="8" w:space="0" w:color="auto"/>
            </w:tcBorders>
            <w:vAlign w:val="center"/>
            <w:hideMark/>
          </w:tcPr>
          <w:p w14:paraId="285A3FFA" w14:textId="77777777" w:rsidR="00A92234" w:rsidRPr="00201A9A" w:rsidRDefault="00A92234" w:rsidP="00A92234">
            <w:pPr>
              <w:spacing w:before="0" w:after="0"/>
              <w:jc w:val="center"/>
              <w:rPr>
                <w:rFonts w:eastAsia="Times New Roman"/>
                <w:b/>
                <w:bCs/>
                <w:noProof/>
                <w:color w:val="000000"/>
                <w:sz w:val="16"/>
                <w:szCs w:val="16"/>
              </w:rPr>
            </w:pPr>
            <w:r w:rsidRPr="00201A9A">
              <w:rPr>
                <w:b/>
                <w:noProof/>
                <w:color w:val="000000"/>
                <w:sz w:val="16"/>
              </w:rPr>
              <w:t>2028</w:t>
            </w:r>
          </w:p>
        </w:tc>
        <w:tc>
          <w:tcPr>
            <w:tcW w:w="366" w:type="pct"/>
            <w:tcBorders>
              <w:top w:val="nil"/>
              <w:left w:val="nil"/>
              <w:bottom w:val="single" w:sz="8" w:space="0" w:color="auto"/>
              <w:right w:val="single" w:sz="8" w:space="0" w:color="auto"/>
            </w:tcBorders>
            <w:vAlign w:val="center"/>
            <w:hideMark/>
          </w:tcPr>
          <w:p w14:paraId="29550F78" w14:textId="77777777" w:rsidR="00A92234" w:rsidRPr="00201A9A" w:rsidRDefault="00A92234" w:rsidP="00A92234">
            <w:pPr>
              <w:spacing w:before="0" w:after="0"/>
              <w:jc w:val="center"/>
              <w:rPr>
                <w:rFonts w:eastAsia="Times New Roman"/>
                <w:b/>
                <w:bCs/>
                <w:noProof/>
                <w:color w:val="000000"/>
                <w:sz w:val="20"/>
                <w:szCs w:val="20"/>
              </w:rPr>
            </w:pPr>
            <w:r w:rsidRPr="00201A9A">
              <w:rPr>
                <w:b/>
                <w:noProof/>
                <w:color w:val="000000"/>
                <w:sz w:val="20"/>
              </w:rPr>
              <w:t>2029</w:t>
            </w:r>
          </w:p>
        </w:tc>
        <w:tc>
          <w:tcPr>
            <w:tcW w:w="366" w:type="pct"/>
            <w:tcBorders>
              <w:top w:val="nil"/>
              <w:left w:val="nil"/>
              <w:bottom w:val="single" w:sz="8" w:space="0" w:color="auto"/>
              <w:right w:val="single" w:sz="8" w:space="0" w:color="auto"/>
            </w:tcBorders>
            <w:vAlign w:val="center"/>
            <w:hideMark/>
          </w:tcPr>
          <w:p w14:paraId="3F3F4A88" w14:textId="77777777" w:rsidR="00A92234" w:rsidRPr="00201A9A" w:rsidRDefault="00A92234" w:rsidP="00A92234">
            <w:pPr>
              <w:spacing w:before="0" w:after="0"/>
              <w:jc w:val="center"/>
              <w:rPr>
                <w:rFonts w:eastAsia="Times New Roman"/>
                <w:b/>
                <w:bCs/>
                <w:noProof/>
                <w:color w:val="000000"/>
                <w:sz w:val="20"/>
                <w:szCs w:val="20"/>
              </w:rPr>
            </w:pPr>
            <w:r w:rsidRPr="00201A9A">
              <w:rPr>
                <w:b/>
                <w:noProof/>
                <w:color w:val="000000"/>
                <w:sz w:val="20"/>
              </w:rPr>
              <w:t>2030</w:t>
            </w:r>
          </w:p>
        </w:tc>
        <w:tc>
          <w:tcPr>
            <w:tcW w:w="374" w:type="pct"/>
            <w:tcBorders>
              <w:top w:val="nil"/>
              <w:left w:val="nil"/>
              <w:bottom w:val="single" w:sz="8" w:space="0" w:color="auto"/>
              <w:right w:val="single" w:sz="8" w:space="0" w:color="auto"/>
            </w:tcBorders>
            <w:vAlign w:val="center"/>
            <w:hideMark/>
          </w:tcPr>
          <w:p w14:paraId="7A1B185F" w14:textId="77777777" w:rsidR="00A92234" w:rsidRPr="00201A9A" w:rsidRDefault="00A92234" w:rsidP="00A92234">
            <w:pPr>
              <w:spacing w:before="0" w:after="0"/>
              <w:jc w:val="center"/>
              <w:rPr>
                <w:rFonts w:eastAsia="Times New Roman"/>
                <w:b/>
                <w:bCs/>
                <w:noProof/>
                <w:color w:val="000000"/>
                <w:sz w:val="20"/>
                <w:szCs w:val="20"/>
              </w:rPr>
            </w:pPr>
            <w:r w:rsidRPr="00201A9A">
              <w:rPr>
                <w:b/>
                <w:noProof/>
                <w:color w:val="000000"/>
                <w:sz w:val="20"/>
              </w:rPr>
              <w:t>2031</w:t>
            </w:r>
          </w:p>
        </w:tc>
        <w:tc>
          <w:tcPr>
            <w:tcW w:w="374" w:type="pct"/>
            <w:tcBorders>
              <w:top w:val="nil"/>
              <w:left w:val="nil"/>
              <w:bottom w:val="single" w:sz="8" w:space="0" w:color="auto"/>
              <w:right w:val="single" w:sz="8" w:space="0" w:color="auto"/>
            </w:tcBorders>
            <w:vAlign w:val="center"/>
            <w:hideMark/>
          </w:tcPr>
          <w:p w14:paraId="7C82F3F6" w14:textId="77777777" w:rsidR="00A92234" w:rsidRPr="00201A9A" w:rsidRDefault="00A92234" w:rsidP="00A92234">
            <w:pPr>
              <w:spacing w:before="0" w:after="0"/>
              <w:jc w:val="center"/>
              <w:rPr>
                <w:rFonts w:eastAsia="Times New Roman"/>
                <w:b/>
                <w:bCs/>
                <w:noProof/>
                <w:color w:val="000000"/>
                <w:sz w:val="20"/>
                <w:szCs w:val="20"/>
              </w:rPr>
            </w:pPr>
            <w:r w:rsidRPr="00201A9A">
              <w:rPr>
                <w:b/>
                <w:noProof/>
                <w:color w:val="000000"/>
                <w:sz w:val="20"/>
              </w:rPr>
              <w:t>2032</w:t>
            </w:r>
          </w:p>
        </w:tc>
        <w:tc>
          <w:tcPr>
            <w:tcW w:w="374" w:type="pct"/>
            <w:tcBorders>
              <w:top w:val="nil"/>
              <w:left w:val="nil"/>
              <w:bottom w:val="single" w:sz="8" w:space="0" w:color="auto"/>
              <w:right w:val="single" w:sz="8" w:space="0" w:color="auto"/>
            </w:tcBorders>
            <w:vAlign w:val="center"/>
            <w:hideMark/>
          </w:tcPr>
          <w:p w14:paraId="46D62385" w14:textId="77777777" w:rsidR="00A92234" w:rsidRPr="00201A9A" w:rsidRDefault="00A92234" w:rsidP="00A92234">
            <w:pPr>
              <w:spacing w:before="0" w:after="0"/>
              <w:jc w:val="center"/>
              <w:rPr>
                <w:rFonts w:eastAsia="Times New Roman"/>
                <w:b/>
                <w:bCs/>
                <w:noProof/>
                <w:color w:val="000000"/>
                <w:sz w:val="20"/>
                <w:szCs w:val="20"/>
              </w:rPr>
            </w:pPr>
            <w:r w:rsidRPr="00201A9A">
              <w:rPr>
                <w:b/>
                <w:noProof/>
                <w:color w:val="000000"/>
                <w:sz w:val="20"/>
              </w:rPr>
              <w:t>2033</w:t>
            </w:r>
          </w:p>
        </w:tc>
        <w:tc>
          <w:tcPr>
            <w:tcW w:w="374" w:type="pct"/>
            <w:tcBorders>
              <w:top w:val="nil"/>
              <w:left w:val="nil"/>
              <w:bottom w:val="single" w:sz="8" w:space="0" w:color="auto"/>
              <w:right w:val="single" w:sz="8" w:space="0" w:color="auto"/>
            </w:tcBorders>
            <w:vAlign w:val="center"/>
            <w:hideMark/>
          </w:tcPr>
          <w:p w14:paraId="201D8899" w14:textId="77777777" w:rsidR="00A92234" w:rsidRPr="00201A9A" w:rsidRDefault="00A92234" w:rsidP="00A92234">
            <w:pPr>
              <w:spacing w:before="0" w:after="0"/>
              <w:jc w:val="center"/>
              <w:rPr>
                <w:rFonts w:eastAsia="Times New Roman"/>
                <w:b/>
                <w:bCs/>
                <w:noProof/>
                <w:color w:val="000000"/>
                <w:sz w:val="20"/>
                <w:szCs w:val="20"/>
              </w:rPr>
            </w:pPr>
            <w:r w:rsidRPr="00201A9A">
              <w:rPr>
                <w:b/>
                <w:noProof/>
                <w:color w:val="000000"/>
                <w:sz w:val="20"/>
              </w:rPr>
              <w:t>2034</w:t>
            </w:r>
          </w:p>
        </w:tc>
        <w:tc>
          <w:tcPr>
            <w:tcW w:w="374" w:type="pct"/>
            <w:tcBorders>
              <w:top w:val="nil"/>
              <w:left w:val="nil"/>
              <w:bottom w:val="single" w:sz="8" w:space="0" w:color="auto"/>
              <w:right w:val="single" w:sz="8" w:space="0" w:color="auto"/>
            </w:tcBorders>
            <w:vAlign w:val="center"/>
            <w:hideMark/>
          </w:tcPr>
          <w:p w14:paraId="280E22E9" w14:textId="77777777" w:rsidR="00A92234" w:rsidRPr="00201A9A" w:rsidRDefault="00A92234" w:rsidP="00A92234">
            <w:pPr>
              <w:spacing w:before="0" w:after="0"/>
              <w:jc w:val="center"/>
              <w:rPr>
                <w:rFonts w:eastAsia="Times New Roman"/>
                <w:b/>
                <w:bCs/>
                <w:noProof/>
                <w:color w:val="000000"/>
                <w:sz w:val="20"/>
                <w:szCs w:val="20"/>
              </w:rPr>
            </w:pPr>
            <w:r w:rsidRPr="00201A9A">
              <w:rPr>
                <w:b/>
                <w:noProof/>
                <w:color w:val="000000"/>
                <w:sz w:val="20"/>
              </w:rPr>
              <w:t>2034</w:t>
            </w:r>
          </w:p>
        </w:tc>
      </w:tr>
      <w:tr w:rsidR="00A92234" w:rsidRPr="00201A9A" w14:paraId="7990FB3F" w14:textId="77777777" w:rsidTr="00F47D96">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4F9F70EE" w14:textId="2246ECAA" w:rsidR="00A92234" w:rsidRPr="00201A9A" w:rsidRDefault="00A92234" w:rsidP="00A92234">
            <w:pPr>
              <w:spacing w:before="0" w:after="0"/>
              <w:jc w:val="left"/>
              <w:rPr>
                <w:rFonts w:ascii="Wingdings" w:eastAsia="Times New Roman" w:hAnsi="Wingdings" w:cs="Calibri"/>
                <w:b/>
                <w:bCs/>
                <w:noProof/>
                <w:color w:val="000000"/>
                <w:sz w:val="16"/>
                <w:szCs w:val="16"/>
              </w:rPr>
            </w:pPr>
            <w:r w:rsidRPr="00201A9A">
              <w:rPr>
                <w:rFonts w:ascii="Wingdings" w:hAnsi="Wingdings"/>
                <w:b/>
                <w:noProof/>
                <w:color w:val="000000"/>
                <w:sz w:val="16"/>
              </w:rPr>
              <w:t></w:t>
            </w:r>
            <w:r w:rsidRPr="00201A9A">
              <w:rPr>
                <w:b/>
                <w:noProof/>
                <w:color w:val="000000"/>
                <w:sz w:val="16"/>
              </w:rPr>
              <w:t xml:space="preserve"> Stanowiska przewidziane</w:t>
            </w:r>
            <w:r w:rsidR="00201A9A" w:rsidRPr="00201A9A">
              <w:rPr>
                <w:b/>
                <w:noProof/>
                <w:color w:val="000000"/>
                <w:sz w:val="16"/>
              </w:rPr>
              <w:t xml:space="preserve"> w pla</w:t>
            </w:r>
            <w:r w:rsidRPr="00201A9A">
              <w:rPr>
                <w:b/>
                <w:noProof/>
                <w:color w:val="000000"/>
                <w:sz w:val="16"/>
              </w:rPr>
              <w:t>nie zatrudnienia (stanowiska urzędników</w:t>
            </w:r>
            <w:r w:rsidR="00201A9A" w:rsidRPr="00201A9A">
              <w:rPr>
                <w:b/>
                <w:noProof/>
                <w:color w:val="000000"/>
                <w:sz w:val="16"/>
              </w:rPr>
              <w:t xml:space="preserve"> i pra</w:t>
            </w:r>
            <w:r w:rsidRPr="00201A9A">
              <w:rPr>
                <w:b/>
                <w:noProof/>
                <w:color w:val="000000"/>
                <w:sz w:val="16"/>
              </w:rPr>
              <w:t>cowników zatrudnionych na czas określony)</w:t>
            </w:r>
          </w:p>
        </w:tc>
        <w:tc>
          <w:tcPr>
            <w:tcW w:w="374" w:type="pct"/>
            <w:tcBorders>
              <w:top w:val="single" w:sz="8" w:space="0" w:color="auto"/>
              <w:left w:val="nil"/>
              <w:bottom w:val="single" w:sz="8" w:space="0" w:color="auto"/>
              <w:right w:val="nil"/>
            </w:tcBorders>
            <w:vAlign w:val="center"/>
            <w:hideMark/>
          </w:tcPr>
          <w:p w14:paraId="32BC36D9" w14:textId="77777777" w:rsidR="00A92234" w:rsidRPr="00201A9A" w:rsidRDefault="00A92234" w:rsidP="00A92234">
            <w:pPr>
              <w:spacing w:before="0" w:after="0"/>
              <w:jc w:val="left"/>
              <w:rPr>
                <w:rFonts w:ascii="Wingdings" w:eastAsia="Times New Roman" w:hAnsi="Wingdings" w:cs="Calibri"/>
                <w:b/>
                <w:bCs/>
                <w:noProof/>
                <w:color w:val="000000"/>
                <w:sz w:val="16"/>
                <w:szCs w:val="16"/>
                <w:lang w:eastAsia="zh-CN"/>
              </w:rPr>
            </w:pPr>
          </w:p>
        </w:tc>
      </w:tr>
      <w:tr w:rsidR="00F47D96" w:rsidRPr="00201A9A" w14:paraId="05EBCC45"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A03869D" w14:textId="397A066F" w:rsidR="00A92234" w:rsidRPr="00201A9A" w:rsidRDefault="00A92234" w:rsidP="00A92234">
            <w:pPr>
              <w:spacing w:before="0" w:after="0"/>
              <w:ind w:firstLineChars="100" w:firstLine="240"/>
              <w:jc w:val="left"/>
              <w:rPr>
                <w:rFonts w:eastAsia="Times New Roman"/>
                <w:noProof/>
                <w:color w:val="000000"/>
                <w:sz w:val="16"/>
                <w:szCs w:val="16"/>
              </w:rPr>
            </w:pPr>
            <w:r w:rsidRPr="00201A9A">
              <w:rPr>
                <w:noProof/>
                <w:color w:val="000000"/>
              </w:rPr>
              <w:t>20 01 02 01 (w centrali</w:t>
            </w:r>
            <w:r w:rsidR="00201A9A" w:rsidRPr="00201A9A">
              <w:rPr>
                <w:noProof/>
                <w:color w:val="000000"/>
              </w:rPr>
              <w:t xml:space="preserve"> i w biu</w:t>
            </w:r>
            <w:r w:rsidRPr="00201A9A">
              <w:rPr>
                <w:noProof/>
                <w:color w:val="000000"/>
              </w:rPr>
              <w:t>rach przedstawicielstw Komisji)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4501014"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2180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8576FB"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2180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323900"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C18938"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1BA097B"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0A68F6"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695E77"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2180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859BE71"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2180</w:t>
            </w:r>
          </w:p>
        </w:tc>
      </w:tr>
      <w:tr w:rsidR="00F47D96" w:rsidRPr="00201A9A" w14:paraId="17186724"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2083707" w14:textId="77777777" w:rsidR="00A92234" w:rsidRPr="00201A9A" w:rsidRDefault="00A92234" w:rsidP="00A92234">
            <w:pPr>
              <w:spacing w:before="0" w:after="0"/>
              <w:ind w:firstLineChars="100" w:firstLine="160"/>
              <w:jc w:val="left"/>
              <w:rPr>
                <w:rFonts w:eastAsia="Times New Roman"/>
                <w:noProof/>
                <w:color w:val="000000"/>
                <w:sz w:val="16"/>
                <w:szCs w:val="16"/>
              </w:rPr>
            </w:pPr>
            <w:r w:rsidRPr="00201A9A">
              <w:rPr>
                <w:noProof/>
                <w:color w:val="000000"/>
                <w:sz w:val="16"/>
              </w:rPr>
              <w:t>20 01 02 03 (w delegaturach UE)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033D7B7"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E76EF4"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C9880ED"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196C85C"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91371B"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FBDDCD"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78D6E4"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0D8C55E"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r>
      <w:tr w:rsidR="00F47D96" w:rsidRPr="00201A9A" w14:paraId="54299C23"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1E398834" w14:textId="77777777" w:rsidR="00A92234" w:rsidRPr="00201A9A" w:rsidRDefault="00A92234" w:rsidP="00A92234">
            <w:pPr>
              <w:spacing w:before="0" w:after="0"/>
              <w:ind w:firstLineChars="100" w:firstLine="160"/>
              <w:jc w:val="left"/>
              <w:rPr>
                <w:rFonts w:eastAsia="Times New Roman"/>
                <w:noProof/>
                <w:color w:val="000000"/>
                <w:sz w:val="16"/>
                <w:szCs w:val="16"/>
              </w:rPr>
            </w:pPr>
            <w:r w:rsidRPr="00201A9A">
              <w:rPr>
                <w:noProof/>
                <w:color w:val="000000"/>
                <w:sz w:val="16"/>
              </w:rPr>
              <w:t>01 01 01 01</w:t>
            </w:r>
            <w:r w:rsidRPr="00201A9A">
              <w:rPr>
                <w:noProof/>
                <w:color w:val="000000"/>
              </w:rPr>
              <w:t xml:space="preserve"> </w:t>
            </w:r>
            <w:r w:rsidRPr="00201A9A">
              <w:rPr>
                <w:noProof/>
                <w:color w:val="000000"/>
                <w:sz w:val="16"/>
              </w:rPr>
              <w:t>(pośrednie badania naukowe)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2AF3BE"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AD58EBD"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DD1A829"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2D17A1"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F05ED9"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37358C4"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B2117F1"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4FA04FFE"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r>
      <w:tr w:rsidR="00F47D96" w:rsidRPr="00201A9A" w14:paraId="68797D64"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B57D4E3" w14:textId="77777777" w:rsidR="00A92234" w:rsidRPr="00201A9A" w:rsidRDefault="00A92234" w:rsidP="00A92234">
            <w:pPr>
              <w:spacing w:before="0" w:after="0"/>
              <w:ind w:firstLineChars="100" w:firstLine="160"/>
              <w:jc w:val="left"/>
              <w:rPr>
                <w:rFonts w:eastAsia="Times New Roman"/>
                <w:noProof/>
                <w:color w:val="000000"/>
                <w:sz w:val="16"/>
                <w:szCs w:val="16"/>
              </w:rPr>
            </w:pPr>
            <w:r w:rsidRPr="00201A9A">
              <w:rPr>
                <w:noProof/>
                <w:color w:val="000000"/>
                <w:sz w:val="16"/>
              </w:rPr>
              <w:t>01 01 01 11 (bezpośrednie badania naukowe)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38EF110"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C2E288"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794E94"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0C84F11"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8E2E12"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8A3BC8"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E24604A"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348EE1CE"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r>
      <w:tr w:rsidR="00F47D96" w:rsidRPr="00201A9A" w14:paraId="5088956D"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17CC5234" w14:textId="77777777" w:rsidR="00A92234" w:rsidRPr="00201A9A" w:rsidRDefault="00A92234" w:rsidP="00A92234">
            <w:pPr>
              <w:spacing w:before="0" w:after="0"/>
              <w:ind w:firstLineChars="100" w:firstLine="160"/>
              <w:jc w:val="left"/>
              <w:rPr>
                <w:rFonts w:eastAsia="Times New Roman"/>
                <w:noProof/>
                <w:color w:val="000000"/>
                <w:sz w:val="16"/>
                <w:szCs w:val="16"/>
              </w:rPr>
            </w:pPr>
            <w:r w:rsidRPr="00201A9A">
              <w:rPr>
                <w:noProof/>
                <w:color w:val="000000"/>
                <w:sz w:val="16"/>
              </w:rPr>
              <w:t>Inna linia budżetowa (określić)</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7A4572"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C6F4DD"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ACA2F2"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F3DD87"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386660D"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605CAAE"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3D3367"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1E9C71E"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r>
      <w:tr w:rsidR="00A92234" w:rsidRPr="00201A9A" w14:paraId="039B3F91" w14:textId="77777777" w:rsidTr="00F47D96">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22D95409" w14:textId="3CBC6E64" w:rsidR="00A92234" w:rsidRPr="00201A9A" w:rsidRDefault="00A92234" w:rsidP="00A92234">
            <w:pPr>
              <w:spacing w:before="0" w:after="0"/>
              <w:jc w:val="left"/>
              <w:rPr>
                <w:rFonts w:ascii="Wingdings" w:eastAsia="Times New Roman" w:hAnsi="Wingdings" w:cs="Calibri"/>
                <w:b/>
                <w:bCs/>
                <w:noProof/>
                <w:color w:val="000000"/>
                <w:sz w:val="16"/>
                <w:szCs w:val="16"/>
              </w:rPr>
            </w:pPr>
            <w:r w:rsidRPr="00201A9A">
              <w:rPr>
                <w:rFonts w:ascii="Calibri" w:hAnsi="Calibri"/>
                <w:b/>
                <w:noProof/>
                <w:color w:val="000000"/>
                <w:sz w:val="16"/>
              </w:rPr>
              <w:t>•</w:t>
            </w:r>
            <w:r w:rsidRPr="00201A9A">
              <w:rPr>
                <w:b/>
                <w:noProof/>
                <w:color w:val="000000"/>
                <w:sz w:val="16"/>
              </w:rPr>
              <w:t xml:space="preserve"> Personel zewnętrzny (w ekwiwalentach pełnego czasu</w:t>
            </w:r>
            <w:r w:rsidR="00201A9A" w:rsidRPr="00201A9A">
              <w:rPr>
                <w:b/>
                <w:noProof/>
                <w:color w:val="000000"/>
                <w:sz w:val="16"/>
              </w:rPr>
              <w:t xml:space="preserve"> </w:t>
            </w:r>
            <w:r w:rsidRPr="00201A9A">
              <w:rPr>
                <w:b/>
                <w:noProof/>
                <w:color w:val="000000"/>
                <w:sz w:val="16"/>
              </w:rPr>
              <w:t>EPC)</w:t>
            </w:r>
          </w:p>
        </w:tc>
        <w:tc>
          <w:tcPr>
            <w:tcW w:w="374" w:type="pct"/>
            <w:tcBorders>
              <w:top w:val="single" w:sz="8" w:space="0" w:color="auto"/>
              <w:left w:val="nil"/>
              <w:bottom w:val="single" w:sz="8" w:space="0" w:color="auto"/>
              <w:right w:val="nil"/>
            </w:tcBorders>
            <w:vAlign w:val="center"/>
            <w:hideMark/>
          </w:tcPr>
          <w:p w14:paraId="0679A428" w14:textId="77777777" w:rsidR="00A92234" w:rsidRPr="00201A9A" w:rsidRDefault="00A92234" w:rsidP="00A92234">
            <w:pPr>
              <w:spacing w:before="0" w:after="0"/>
              <w:jc w:val="left"/>
              <w:rPr>
                <w:rFonts w:ascii="Wingdings" w:eastAsia="Times New Roman" w:hAnsi="Wingdings" w:cs="Calibri"/>
                <w:b/>
                <w:bCs/>
                <w:noProof/>
                <w:color w:val="000000"/>
                <w:sz w:val="16"/>
                <w:szCs w:val="16"/>
                <w:lang w:eastAsia="zh-CN"/>
              </w:rPr>
            </w:pPr>
          </w:p>
        </w:tc>
      </w:tr>
      <w:tr w:rsidR="00F47D96" w:rsidRPr="00201A9A" w14:paraId="59C6AE0D"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5E25784" w14:textId="773FB12B" w:rsidR="00A92234" w:rsidRPr="00201A9A" w:rsidRDefault="00A92234" w:rsidP="00A92234">
            <w:pPr>
              <w:spacing w:before="0" w:after="0"/>
              <w:ind w:firstLineChars="100" w:firstLine="160"/>
              <w:jc w:val="left"/>
              <w:rPr>
                <w:rFonts w:eastAsia="Times New Roman"/>
                <w:noProof/>
                <w:color w:val="000000"/>
                <w:sz w:val="16"/>
                <w:szCs w:val="16"/>
              </w:rPr>
            </w:pPr>
            <w:r w:rsidRPr="00201A9A">
              <w:rPr>
                <w:noProof/>
                <w:color w:val="000000"/>
                <w:sz w:val="16"/>
              </w:rPr>
              <w:t>20 02 01</w:t>
            </w:r>
            <w:r w:rsidRPr="00201A9A">
              <w:rPr>
                <w:rFonts w:ascii="Arial Narrow" w:hAnsi="Arial Narrow"/>
                <w:noProof/>
                <w:color w:val="000000"/>
                <w:sz w:val="20"/>
              </w:rPr>
              <w:t xml:space="preserve"> </w:t>
            </w:r>
            <w:r w:rsidRPr="00201A9A">
              <w:rPr>
                <w:noProof/>
                <w:color w:val="000000"/>
                <w:sz w:val="16"/>
              </w:rPr>
              <w:t>(CA, SNE</w:t>
            </w:r>
            <w:r w:rsidR="00201A9A" w:rsidRPr="00201A9A">
              <w:rPr>
                <w:noProof/>
                <w:color w:val="000000"/>
                <w:sz w:val="16"/>
              </w:rPr>
              <w:t xml:space="preserve"> z glo</w:t>
            </w:r>
            <w:r w:rsidRPr="00201A9A">
              <w:rPr>
                <w:noProof/>
                <w:color w:val="000000"/>
                <w:sz w:val="16"/>
              </w:rPr>
              <w:t>balnej koperty finansowej)</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446BDA"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250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EA3846"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250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27DCA78"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CD2CCA"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03C415C"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A4498E"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A68BF9"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250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754C2ED"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250</w:t>
            </w:r>
          </w:p>
        </w:tc>
      </w:tr>
      <w:tr w:rsidR="00F47D96" w:rsidRPr="00201A9A" w14:paraId="1B8B51D8"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36100C27" w14:textId="35943049" w:rsidR="00A92234" w:rsidRPr="00201A9A" w:rsidRDefault="00A92234" w:rsidP="00A92234">
            <w:pPr>
              <w:spacing w:before="0" w:after="0"/>
              <w:ind w:firstLineChars="100" w:firstLine="160"/>
              <w:jc w:val="left"/>
              <w:rPr>
                <w:rFonts w:eastAsia="Times New Roman"/>
                <w:noProof/>
                <w:color w:val="000000"/>
                <w:sz w:val="16"/>
                <w:szCs w:val="16"/>
              </w:rPr>
            </w:pPr>
            <w:r w:rsidRPr="00201A9A">
              <w:rPr>
                <w:noProof/>
                <w:color w:val="000000"/>
                <w:sz w:val="16"/>
              </w:rPr>
              <w:t>20 02 03 (CA, LA, SNE i JPD</w:t>
            </w:r>
            <w:r w:rsidR="00201A9A" w:rsidRPr="00201A9A">
              <w:rPr>
                <w:noProof/>
                <w:color w:val="000000"/>
                <w:sz w:val="16"/>
              </w:rPr>
              <w:t xml:space="preserve"> w del</w:t>
            </w:r>
            <w:r w:rsidRPr="00201A9A">
              <w:rPr>
                <w:noProof/>
                <w:color w:val="000000"/>
                <w:sz w:val="16"/>
              </w:rPr>
              <w:t>egaturach UE)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AF0F6F"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6EFD1F0"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955E25D"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DA057E"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118858"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A85C15"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9E14961"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2C8C71B"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r>
      <w:tr w:rsidR="00F47D96" w:rsidRPr="00201A9A" w14:paraId="156AD6C7" w14:textId="77777777" w:rsidTr="00F47D96">
        <w:trPr>
          <w:trHeight w:val="315"/>
        </w:trPr>
        <w:tc>
          <w:tcPr>
            <w:tcW w:w="569" w:type="pct"/>
            <w:vMerge w:val="restart"/>
            <w:tcBorders>
              <w:top w:val="single" w:sz="8" w:space="0" w:color="auto"/>
              <w:left w:val="single" w:sz="8" w:space="0" w:color="auto"/>
              <w:bottom w:val="single" w:sz="8" w:space="0" w:color="auto"/>
              <w:right w:val="single" w:sz="8" w:space="0" w:color="auto"/>
            </w:tcBorders>
            <w:vAlign w:val="center"/>
            <w:hideMark/>
          </w:tcPr>
          <w:p w14:paraId="4ACF88D6"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Linia budżetowa na wsparcie adm.</w:t>
            </w:r>
            <w:r w:rsidRPr="00201A9A">
              <w:rPr>
                <w:noProof/>
              </w:rPr>
              <w:t xml:space="preserve"> </w:t>
            </w:r>
            <w:r w:rsidRPr="00201A9A">
              <w:rPr>
                <w:noProof/>
              </w:rPr>
              <w:br/>
            </w:r>
            <w:r w:rsidRPr="00201A9A">
              <w:rPr>
                <w:noProof/>
                <w:color w:val="000000"/>
                <w:sz w:val="16"/>
              </w:rPr>
              <w:t>[XX.01.YY.YY] [2]</w:t>
            </w:r>
          </w:p>
        </w:tc>
        <w:tc>
          <w:tcPr>
            <w:tcW w:w="1463" w:type="pct"/>
            <w:tcBorders>
              <w:top w:val="single" w:sz="8" w:space="0" w:color="auto"/>
              <w:left w:val="single" w:sz="8" w:space="0" w:color="auto"/>
              <w:bottom w:val="single" w:sz="8" w:space="0" w:color="auto"/>
              <w:right w:val="single" w:sz="8" w:space="0" w:color="auto"/>
            </w:tcBorders>
            <w:vAlign w:val="center"/>
            <w:hideMark/>
          </w:tcPr>
          <w:p w14:paraId="16C14A85" w14:textId="6EDB03E5" w:rsidR="00A92234" w:rsidRPr="00201A9A" w:rsidRDefault="00A92234" w:rsidP="00A92234">
            <w:pPr>
              <w:spacing w:before="0" w:after="0"/>
              <w:ind w:firstLineChars="100" w:firstLine="160"/>
              <w:jc w:val="left"/>
              <w:rPr>
                <w:rFonts w:eastAsia="Times New Roman"/>
                <w:noProof/>
                <w:color w:val="000000"/>
                <w:sz w:val="16"/>
                <w:szCs w:val="16"/>
              </w:rPr>
            </w:pPr>
            <w:r w:rsidRPr="00201A9A">
              <w:rPr>
                <w:noProof/>
                <w:color w:val="000000"/>
                <w:sz w:val="16"/>
              </w:rPr>
              <w:t>-</w:t>
            </w:r>
            <w:r w:rsidR="00201A9A" w:rsidRPr="00201A9A">
              <w:rPr>
                <w:noProof/>
                <w:color w:val="000000"/>
                <w:sz w:val="16"/>
              </w:rPr>
              <w:t xml:space="preserve"> w cen</w:t>
            </w:r>
            <w:r w:rsidRPr="00201A9A">
              <w:rPr>
                <w:noProof/>
                <w:color w:val="000000"/>
                <w:sz w:val="16"/>
              </w:rPr>
              <w:t>trali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0547C74"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230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4372118"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230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1FD5CFA"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E4B2B2"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3A82244"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4376F1B"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AE47F0"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230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20A6FAB"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230</w:t>
            </w:r>
          </w:p>
        </w:tc>
      </w:tr>
      <w:tr w:rsidR="00F47D96" w:rsidRPr="00201A9A" w14:paraId="40671238" w14:textId="77777777" w:rsidTr="00F47D96">
        <w:trPr>
          <w:trHeight w:val="315"/>
        </w:trPr>
        <w:tc>
          <w:tcPr>
            <w:tcW w:w="569" w:type="pct"/>
            <w:vMerge/>
            <w:tcBorders>
              <w:top w:val="single" w:sz="8" w:space="0" w:color="auto"/>
              <w:left w:val="single" w:sz="8" w:space="0" w:color="auto"/>
              <w:bottom w:val="single" w:sz="8" w:space="0" w:color="auto"/>
              <w:right w:val="single" w:sz="8" w:space="0" w:color="auto"/>
            </w:tcBorders>
            <w:vAlign w:val="center"/>
            <w:hideMark/>
          </w:tcPr>
          <w:p w14:paraId="3EBE5A3F" w14:textId="77777777" w:rsidR="00A92234" w:rsidRPr="00201A9A" w:rsidRDefault="00A92234" w:rsidP="00A92234">
            <w:pPr>
              <w:spacing w:before="0" w:after="0"/>
              <w:jc w:val="left"/>
              <w:rPr>
                <w:rFonts w:eastAsia="Times New Roman"/>
                <w:noProof/>
                <w:color w:val="000000"/>
                <w:sz w:val="16"/>
                <w:szCs w:val="16"/>
                <w:lang w:eastAsia="zh-CN"/>
              </w:rPr>
            </w:pPr>
          </w:p>
        </w:tc>
        <w:tc>
          <w:tcPr>
            <w:tcW w:w="1463" w:type="pct"/>
            <w:tcBorders>
              <w:top w:val="single" w:sz="8" w:space="0" w:color="auto"/>
              <w:left w:val="single" w:sz="8" w:space="0" w:color="auto"/>
              <w:bottom w:val="single" w:sz="8" w:space="0" w:color="auto"/>
              <w:right w:val="single" w:sz="8" w:space="0" w:color="auto"/>
            </w:tcBorders>
            <w:vAlign w:val="center"/>
            <w:hideMark/>
          </w:tcPr>
          <w:p w14:paraId="27990771" w14:textId="3C3634A0" w:rsidR="00A92234" w:rsidRPr="00201A9A" w:rsidRDefault="00A92234" w:rsidP="00A92234">
            <w:pPr>
              <w:spacing w:before="0" w:after="0"/>
              <w:ind w:firstLineChars="100" w:firstLine="160"/>
              <w:jc w:val="left"/>
              <w:rPr>
                <w:rFonts w:eastAsia="Times New Roman"/>
                <w:noProof/>
                <w:color w:val="000000"/>
                <w:sz w:val="16"/>
                <w:szCs w:val="16"/>
              </w:rPr>
            </w:pPr>
            <w:r w:rsidRPr="00201A9A">
              <w:rPr>
                <w:noProof/>
                <w:color w:val="000000"/>
                <w:sz w:val="16"/>
              </w:rPr>
              <w:t>-</w:t>
            </w:r>
            <w:r w:rsidR="00201A9A" w:rsidRPr="00201A9A">
              <w:rPr>
                <w:noProof/>
                <w:color w:val="000000"/>
                <w:sz w:val="16"/>
              </w:rPr>
              <w:t xml:space="preserve"> w del</w:t>
            </w:r>
            <w:r w:rsidRPr="00201A9A">
              <w:rPr>
                <w:noProof/>
                <w:color w:val="000000"/>
                <w:sz w:val="16"/>
              </w:rPr>
              <w:t xml:space="preserve">egaturach UE </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4BF4AC0"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A37348"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8A483A"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A01C652"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21E4F8"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C59EC3E"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0C8BA73"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6FA5A2E5"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r>
      <w:tr w:rsidR="00F47D96" w:rsidRPr="00201A9A" w14:paraId="5C93F0AC"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D32BEE4" w14:textId="77777777" w:rsidR="00A92234" w:rsidRPr="00201A9A" w:rsidRDefault="00A92234" w:rsidP="00A92234">
            <w:pPr>
              <w:spacing w:before="0" w:after="0"/>
              <w:ind w:firstLineChars="100" w:firstLine="160"/>
              <w:jc w:val="left"/>
              <w:rPr>
                <w:rFonts w:eastAsia="Times New Roman"/>
                <w:noProof/>
                <w:color w:val="000000"/>
                <w:sz w:val="16"/>
                <w:szCs w:val="16"/>
              </w:rPr>
            </w:pPr>
            <w:r w:rsidRPr="00201A9A">
              <w:rPr>
                <w:noProof/>
                <w:color w:val="000000"/>
                <w:sz w:val="16"/>
              </w:rPr>
              <w:t>01 01 01 02</w:t>
            </w:r>
            <w:r w:rsidRPr="00201A9A">
              <w:rPr>
                <w:rFonts w:ascii="Arial Narrow" w:hAnsi="Arial Narrow"/>
                <w:noProof/>
                <w:color w:val="000000"/>
                <w:sz w:val="20"/>
              </w:rPr>
              <w:t xml:space="preserve"> </w:t>
            </w:r>
            <w:r w:rsidRPr="00201A9A">
              <w:rPr>
                <w:noProof/>
                <w:color w:val="000000"/>
                <w:sz w:val="16"/>
              </w:rPr>
              <w:t>(CA, SNE – pośrednie badania naukowe)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D214C9"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742255"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560361"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4CC5450"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CB641F"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ECCB1AF"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DC957CD"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03A030D"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r>
      <w:tr w:rsidR="00F47D96" w:rsidRPr="00201A9A" w14:paraId="16880058"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3284E65A" w14:textId="77777777" w:rsidR="00A92234" w:rsidRPr="00201A9A" w:rsidRDefault="00A92234" w:rsidP="00A92234">
            <w:pPr>
              <w:spacing w:before="0" w:after="0"/>
              <w:ind w:firstLineChars="100" w:firstLine="160"/>
              <w:jc w:val="left"/>
              <w:rPr>
                <w:rFonts w:eastAsia="Times New Roman"/>
                <w:noProof/>
                <w:color w:val="000000"/>
                <w:sz w:val="16"/>
                <w:szCs w:val="16"/>
              </w:rPr>
            </w:pPr>
            <w:r w:rsidRPr="00201A9A">
              <w:rPr>
                <w:noProof/>
                <w:color w:val="000000"/>
                <w:sz w:val="16"/>
              </w:rPr>
              <w:t>01 01 01 12 (CA, SNE – bezpośrednie badania naukowe)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85EBCE"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B400E6"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9340D5"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2B1DF1"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289C69"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055DA2"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1E5E280"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3B2F0963"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r>
      <w:tr w:rsidR="00F47D96" w:rsidRPr="00201A9A" w14:paraId="24097533"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A820097" w14:textId="77777777" w:rsidR="00A92234" w:rsidRPr="00201A9A" w:rsidRDefault="00A92234" w:rsidP="00A92234">
            <w:pPr>
              <w:spacing w:before="0" w:after="0"/>
              <w:ind w:firstLineChars="100" w:firstLine="160"/>
              <w:jc w:val="left"/>
              <w:rPr>
                <w:rFonts w:eastAsia="Times New Roman"/>
                <w:noProof/>
                <w:color w:val="000000"/>
                <w:sz w:val="16"/>
                <w:szCs w:val="16"/>
              </w:rPr>
            </w:pPr>
            <w:r w:rsidRPr="00201A9A">
              <w:rPr>
                <w:noProof/>
                <w:color w:val="000000"/>
                <w:sz w:val="16"/>
              </w:rPr>
              <w:t>Inna linia budżetowa (określić) – dział 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5D8BC7"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C832EC"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6567B94"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ECF8933"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CF385A"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B1B1D5"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E0009C0"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282EEA0"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r>
      <w:tr w:rsidR="00F47D96" w:rsidRPr="00201A9A" w14:paraId="4C0BB2C3"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19E1EFC9" w14:textId="77777777" w:rsidR="00A92234" w:rsidRPr="00201A9A" w:rsidRDefault="00A92234" w:rsidP="00A92234">
            <w:pPr>
              <w:spacing w:before="0" w:after="0"/>
              <w:ind w:firstLineChars="100" w:firstLine="160"/>
              <w:jc w:val="left"/>
              <w:rPr>
                <w:rFonts w:eastAsia="Times New Roman"/>
                <w:noProof/>
                <w:color w:val="000000"/>
                <w:sz w:val="16"/>
                <w:szCs w:val="16"/>
              </w:rPr>
            </w:pPr>
            <w:r w:rsidRPr="00201A9A">
              <w:rPr>
                <w:noProof/>
                <w:color w:val="000000"/>
                <w:sz w:val="16"/>
              </w:rPr>
              <w:t>Inna linia budżetowa (określić) – poza działem 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BB8A5B9"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BA6A6C"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917E43"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7A59FB1"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EC0A7C"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55B384C"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8BA21C"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42D6F898" w14:textId="77777777" w:rsidR="00A92234" w:rsidRPr="00201A9A" w:rsidRDefault="00A92234" w:rsidP="00A92234">
            <w:pPr>
              <w:spacing w:before="0" w:after="0"/>
              <w:jc w:val="center"/>
              <w:rPr>
                <w:rFonts w:eastAsia="Times New Roman"/>
                <w:noProof/>
                <w:color w:val="000000"/>
                <w:sz w:val="16"/>
                <w:szCs w:val="16"/>
              </w:rPr>
            </w:pPr>
            <w:r w:rsidRPr="00201A9A">
              <w:rPr>
                <w:noProof/>
                <w:color w:val="000000"/>
                <w:sz w:val="16"/>
              </w:rPr>
              <w:t>0</w:t>
            </w:r>
          </w:p>
        </w:tc>
      </w:tr>
      <w:tr w:rsidR="00F47D96" w:rsidRPr="00201A9A" w14:paraId="3639E766" w14:textId="77777777" w:rsidTr="00F47D96">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7D5D0FB" w14:textId="77777777" w:rsidR="00A92234" w:rsidRPr="00201A9A" w:rsidRDefault="00A92234" w:rsidP="00A92234">
            <w:pPr>
              <w:spacing w:before="0" w:after="0"/>
              <w:ind w:firstLineChars="100" w:firstLine="160"/>
              <w:jc w:val="left"/>
              <w:rPr>
                <w:rFonts w:eastAsia="Times New Roman"/>
                <w:b/>
                <w:bCs/>
                <w:noProof/>
                <w:color w:val="000000"/>
                <w:sz w:val="16"/>
                <w:szCs w:val="16"/>
              </w:rPr>
            </w:pPr>
            <w:r w:rsidRPr="00201A9A">
              <w:rPr>
                <w:b/>
                <w:noProof/>
                <w:color w:val="000000"/>
                <w:sz w:val="16"/>
              </w:rPr>
              <w:t>OGÓŁEM</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0BF2DD5" w14:textId="77777777" w:rsidR="00A92234" w:rsidRPr="00201A9A" w:rsidRDefault="00A92234" w:rsidP="00A92234">
            <w:pPr>
              <w:spacing w:before="0" w:after="0"/>
              <w:jc w:val="center"/>
              <w:rPr>
                <w:rFonts w:eastAsia="Times New Roman"/>
                <w:b/>
                <w:bCs/>
                <w:noProof/>
                <w:color w:val="000000"/>
                <w:sz w:val="16"/>
                <w:szCs w:val="16"/>
              </w:rPr>
            </w:pPr>
            <w:r w:rsidRPr="00201A9A">
              <w:rPr>
                <w:b/>
                <w:noProof/>
                <w:color w:val="000000"/>
                <w:sz w:val="16"/>
              </w:rPr>
              <w:t>2660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14E3FF0" w14:textId="77777777" w:rsidR="00A92234" w:rsidRPr="00201A9A" w:rsidRDefault="00A92234" w:rsidP="00A92234">
            <w:pPr>
              <w:spacing w:before="0" w:after="0"/>
              <w:jc w:val="center"/>
              <w:rPr>
                <w:rFonts w:eastAsia="Times New Roman"/>
                <w:b/>
                <w:bCs/>
                <w:noProof/>
                <w:color w:val="000000"/>
                <w:sz w:val="16"/>
                <w:szCs w:val="16"/>
              </w:rPr>
            </w:pPr>
            <w:r w:rsidRPr="00201A9A">
              <w:rPr>
                <w:b/>
                <w:noProof/>
                <w:color w:val="000000"/>
                <w:sz w:val="16"/>
              </w:rPr>
              <w:t>2660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F7A1D1" w14:textId="77777777" w:rsidR="00A92234" w:rsidRPr="00201A9A" w:rsidRDefault="00A92234" w:rsidP="00A92234">
            <w:pPr>
              <w:spacing w:before="0" w:after="0"/>
              <w:jc w:val="center"/>
              <w:rPr>
                <w:rFonts w:eastAsia="Times New Roman"/>
                <w:b/>
                <w:bCs/>
                <w:noProof/>
                <w:color w:val="000000"/>
                <w:sz w:val="16"/>
                <w:szCs w:val="16"/>
              </w:rPr>
            </w:pPr>
            <w:r w:rsidRPr="00201A9A">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07C1A5" w14:textId="77777777" w:rsidR="00A92234" w:rsidRPr="00201A9A" w:rsidRDefault="00A92234" w:rsidP="00A92234">
            <w:pPr>
              <w:spacing w:before="0" w:after="0"/>
              <w:jc w:val="center"/>
              <w:rPr>
                <w:rFonts w:eastAsia="Times New Roman"/>
                <w:b/>
                <w:bCs/>
                <w:noProof/>
                <w:color w:val="000000"/>
                <w:sz w:val="16"/>
                <w:szCs w:val="16"/>
              </w:rPr>
            </w:pPr>
            <w:r w:rsidRPr="00201A9A">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89C8DF0" w14:textId="77777777" w:rsidR="00A92234" w:rsidRPr="00201A9A" w:rsidRDefault="00A92234" w:rsidP="00A92234">
            <w:pPr>
              <w:spacing w:before="0" w:after="0"/>
              <w:jc w:val="center"/>
              <w:rPr>
                <w:rFonts w:eastAsia="Times New Roman"/>
                <w:b/>
                <w:bCs/>
                <w:noProof/>
                <w:color w:val="000000"/>
                <w:sz w:val="16"/>
                <w:szCs w:val="16"/>
              </w:rPr>
            </w:pPr>
            <w:r w:rsidRPr="00201A9A">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8FE1678" w14:textId="77777777" w:rsidR="00A92234" w:rsidRPr="00201A9A" w:rsidRDefault="00A92234" w:rsidP="00A92234">
            <w:pPr>
              <w:spacing w:before="0" w:after="0"/>
              <w:jc w:val="center"/>
              <w:rPr>
                <w:rFonts w:eastAsia="Times New Roman"/>
                <w:b/>
                <w:bCs/>
                <w:noProof/>
                <w:color w:val="000000"/>
                <w:sz w:val="16"/>
                <w:szCs w:val="16"/>
              </w:rPr>
            </w:pPr>
            <w:r w:rsidRPr="00201A9A">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6B0AAC0" w14:textId="77777777" w:rsidR="00A92234" w:rsidRPr="00201A9A" w:rsidRDefault="00A92234" w:rsidP="00A92234">
            <w:pPr>
              <w:spacing w:before="0" w:after="0"/>
              <w:jc w:val="center"/>
              <w:rPr>
                <w:rFonts w:eastAsia="Times New Roman"/>
                <w:b/>
                <w:bCs/>
                <w:noProof/>
                <w:color w:val="000000"/>
                <w:sz w:val="16"/>
                <w:szCs w:val="16"/>
              </w:rPr>
            </w:pPr>
            <w:r w:rsidRPr="00201A9A">
              <w:rPr>
                <w:b/>
                <w:noProof/>
                <w:color w:val="000000"/>
                <w:sz w:val="16"/>
              </w:rPr>
              <w:t>2660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2934139" w14:textId="77777777" w:rsidR="00A92234" w:rsidRPr="00201A9A" w:rsidRDefault="00A92234" w:rsidP="00A92234">
            <w:pPr>
              <w:spacing w:before="0" w:after="0"/>
              <w:jc w:val="center"/>
              <w:rPr>
                <w:rFonts w:eastAsia="Times New Roman"/>
                <w:b/>
                <w:bCs/>
                <w:noProof/>
                <w:color w:val="000000"/>
                <w:sz w:val="16"/>
                <w:szCs w:val="16"/>
              </w:rPr>
            </w:pPr>
            <w:r w:rsidRPr="00201A9A">
              <w:rPr>
                <w:b/>
                <w:noProof/>
                <w:color w:val="000000"/>
                <w:sz w:val="16"/>
              </w:rPr>
              <w:t>2660</w:t>
            </w:r>
          </w:p>
        </w:tc>
      </w:tr>
    </w:tbl>
    <w:p w14:paraId="666EF6AA" w14:textId="77777777" w:rsidR="00466745" w:rsidRPr="00201A9A" w:rsidRDefault="00466745" w:rsidP="004A489F">
      <w:pPr>
        <w:spacing w:after="60"/>
        <w:jc w:val="right"/>
        <w:rPr>
          <w:i/>
          <w:noProof/>
          <w:sz w:val="20"/>
        </w:rPr>
      </w:pPr>
    </w:p>
    <w:p w14:paraId="49F9C3F4" w14:textId="2E2E1A51" w:rsidR="004A489F" w:rsidRPr="00201A9A" w:rsidRDefault="004A489F" w:rsidP="004A489F">
      <w:pPr>
        <w:pStyle w:val="ManualHeading3"/>
        <w:rPr>
          <w:noProof/>
        </w:rPr>
      </w:pPr>
      <w:bookmarkStart w:id="184" w:name="_Toc167220296"/>
      <w:bookmarkStart w:id="185" w:name="_Toc177549029"/>
      <w:bookmarkStart w:id="186" w:name="_Hlk156979231"/>
      <w:r w:rsidRPr="00201A9A">
        <w:rPr>
          <w:noProof/>
        </w:rPr>
        <w:t>3.2.4.2.</w:t>
      </w:r>
      <w:r w:rsidRPr="00201A9A">
        <w:rPr>
          <w:noProof/>
        </w:rPr>
        <w:tab/>
        <w:t>Finansowane</w:t>
      </w:r>
      <w:r w:rsidR="00201A9A" w:rsidRPr="00201A9A">
        <w:rPr>
          <w:noProof/>
        </w:rPr>
        <w:t xml:space="preserve"> z zew</w:t>
      </w:r>
      <w:r w:rsidRPr="00201A9A">
        <w:rPr>
          <w:noProof/>
        </w:rPr>
        <w:t>nętrznych dochodów przeznaczonych na określony cel</w:t>
      </w:r>
      <w:bookmarkEnd w:id="184"/>
      <w:bookmarkEnd w:id="185"/>
    </w:p>
    <w:tbl>
      <w:tblPr>
        <w:tblW w:w="5000" w:type="pct"/>
        <w:tblCellMar>
          <w:top w:w="15" w:type="dxa"/>
          <w:bottom w:w="15" w:type="dxa"/>
        </w:tblCellMar>
        <w:tblLook w:val="04A0" w:firstRow="1" w:lastRow="0" w:firstColumn="1" w:lastColumn="0" w:noHBand="0" w:noVBand="1"/>
      </w:tblPr>
      <w:tblGrid>
        <w:gridCol w:w="1296"/>
        <w:gridCol w:w="2620"/>
        <w:gridCol w:w="583"/>
        <w:gridCol w:w="616"/>
        <w:gridCol w:w="616"/>
        <w:gridCol w:w="616"/>
        <w:gridCol w:w="616"/>
        <w:gridCol w:w="616"/>
        <w:gridCol w:w="616"/>
        <w:gridCol w:w="1094"/>
      </w:tblGrid>
      <w:tr w:rsidR="00B20C02" w:rsidRPr="00201A9A" w14:paraId="0D9D8C19" w14:textId="77777777" w:rsidTr="005C6A60">
        <w:trPr>
          <w:trHeight w:val="300"/>
        </w:trPr>
        <w:tc>
          <w:tcPr>
            <w:tcW w:w="2032" w:type="pct"/>
            <w:gridSpan w:val="2"/>
            <w:vMerge w:val="restart"/>
            <w:tcBorders>
              <w:top w:val="single" w:sz="8" w:space="0" w:color="auto"/>
              <w:left w:val="single" w:sz="8" w:space="0" w:color="auto"/>
              <w:bottom w:val="nil"/>
              <w:right w:val="nil"/>
            </w:tcBorders>
            <w:vAlign w:val="center"/>
            <w:hideMark/>
          </w:tcPr>
          <w:p w14:paraId="0DDF4C93" w14:textId="77777777" w:rsidR="00B20C02" w:rsidRPr="00201A9A" w:rsidRDefault="00B20C02" w:rsidP="00B20C02">
            <w:pPr>
              <w:spacing w:before="0" w:after="0"/>
              <w:jc w:val="center"/>
              <w:rPr>
                <w:rFonts w:eastAsia="Times New Roman"/>
                <w:b/>
                <w:bCs/>
                <w:noProof/>
                <w:color w:val="000000"/>
                <w:sz w:val="18"/>
                <w:szCs w:val="18"/>
              </w:rPr>
            </w:pPr>
            <w:bookmarkStart w:id="187" w:name="_Toc167220297"/>
            <w:bookmarkStart w:id="188" w:name="_Toc177549030"/>
            <w:r w:rsidRPr="00201A9A">
              <w:rPr>
                <w:b/>
                <w:noProof/>
                <w:color w:val="000000"/>
                <w:sz w:val="18"/>
              </w:rPr>
              <w:t>ZEWNĘTRZNE DOCHODY PRZEZNACZONE NA OKREŚLONY CEL</w:t>
            </w:r>
          </w:p>
        </w:tc>
        <w:tc>
          <w:tcPr>
            <w:tcW w:w="366" w:type="pct"/>
            <w:tcBorders>
              <w:top w:val="single" w:sz="8" w:space="0" w:color="auto"/>
              <w:left w:val="nil"/>
              <w:bottom w:val="nil"/>
              <w:right w:val="single" w:sz="8" w:space="0" w:color="auto"/>
            </w:tcBorders>
            <w:vAlign w:val="center"/>
            <w:hideMark/>
          </w:tcPr>
          <w:p w14:paraId="4A894A37" w14:textId="77777777" w:rsidR="00B20C02" w:rsidRPr="00201A9A" w:rsidRDefault="00B20C02" w:rsidP="00B20C02">
            <w:pPr>
              <w:spacing w:before="0" w:after="0"/>
              <w:jc w:val="center"/>
              <w:rPr>
                <w:rFonts w:eastAsia="Times New Roman"/>
                <w:noProof/>
                <w:color w:val="000000"/>
                <w:sz w:val="20"/>
                <w:szCs w:val="20"/>
              </w:rPr>
            </w:pPr>
            <w:r w:rsidRPr="00201A9A">
              <w:rPr>
                <w:noProof/>
                <w:color w:val="000000"/>
                <w:sz w:val="20"/>
              </w:rPr>
              <w:t>Rok</w:t>
            </w:r>
          </w:p>
        </w:tc>
        <w:tc>
          <w:tcPr>
            <w:tcW w:w="366" w:type="pct"/>
            <w:tcBorders>
              <w:top w:val="single" w:sz="8" w:space="0" w:color="auto"/>
              <w:left w:val="nil"/>
              <w:bottom w:val="nil"/>
              <w:right w:val="single" w:sz="8" w:space="0" w:color="auto"/>
            </w:tcBorders>
            <w:vAlign w:val="center"/>
            <w:hideMark/>
          </w:tcPr>
          <w:p w14:paraId="0FF0FD45" w14:textId="77777777" w:rsidR="00B20C02" w:rsidRPr="00201A9A" w:rsidRDefault="00B20C02" w:rsidP="00B20C02">
            <w:pPr>
              <w:spacing w:before="0" w:after="0"/>
              <w:jc w:val="center"/>
              <w:rPr>
                <w:rFonts w:eastAsia="Times New Roman"/>
                <w:noProof/>
                <w:color w:val="000000"/>
                <w:sz w:val="20"/>
                <w:szCs w:val="20"/>
              </w:rPr>
            </w:pPr>
            <w:r w:rsidRPr="00201A9A">
              <w:rPr>
                <w:noProof/>
                <w:color w:val="000000"/>
                <w:sz w:val="20"/>
              </w:rPr>
              <w:t>Rok</w:t>
            </w:r>
          </w:p>
        </w:tc>
        <w:tc>
          <w:tcPr>
            <w:tcW w:w="366" w:type="pct"/>
            <w:tcBorders>
              <w:top w:val="single" w:sz="8" w:space="0" w:color="auto"/>
              <w:left w:val="nil"/>
              <w:bottom w:val="nil"/>
              <w:right w:val="single" w:sz="8" w:space="0" w:color="auto"/>
            </w:tcBorders>
            <w:vAlign w:val="center"/>
            <w:hideMark/>
          </w:tcPr>
          <w:p w14:paraId="2B30F903" w14:textId="77777777" w:rsidR="00B20C02" w:rsidRPr="00201A9A" w:rsidRDefault="00B20C02" w:rsidP="00B20C02">
            <w:pPr>
              <w:spacing w:before="0" w:after="0"/>
              <w:jc w:val="center"/>
              <w:rPr>
                <w:rFonts w:eastAsia="Times New Roman"/>
                <w:noProof/>
                <w:color w:val="000000"/>
                <w:sz w:val="20"/>
                <w:szCs w:val="20"/>
              </w:rPr>
            </w:pPr>
            <w:r w:rsidRPr="00201A9A">
              <w:rPr>
                <w:noProof/>
                <w:color w:val="000000"/>
                <w:sz w:val="20"/>
              </w:rPr>
              <w:t>Rok</w:t>
            </w:r>
          </w:p>
        </w:tc>
        <w:tc>
          <w:tcPr>
            <w:tcW w:w="374" w:type="pct"/>
            <w:tcBorders>
              <w:top w:val="single" w:sz="8" w:space="0" w:color="auto"/>
              <w:left w:val="nil"/>
              <w:bottom w:val="nil"/>
              <w:right w:val="single" w:sz="8" w:space="0" w:color="auto"/>
            </w:tcBorders>
            <w:vAlign w:val="center"/>
            <w:hideMark/>
          </w:tcPr>
          <w:p w14:paraId="10CDC3BB" w14:textId="77777777" w:rsidR="00B20C02" w:rsidRPr="00201A9A" w:rsidRDefault="00B20C02" w:rsidP="00B20C02">
            <w:pPr>
              <w:spacing w:before="0" w:after="0"/>
              <w:jc w:val="center"/>
              <w:rPr>
                <w:rFonts w:eastAsia="Times New Roman"/>
                <w:noProof/>
                <w:color w:val="000000"/>
                <w:sz w:val="20"/>
                <w:szCs w:val="20"/>
              </w:rPr>
            </w:pPr>
            <w:r w:rsidRPr="00201A9A">
              <w:rPr>
                <w:noProof/>
                <w:color w:val="000000"/>
                <w:sz w:val="20"/>
              </w:rPr>
              <w:t>Rok</w:t>
            </w:r>
          </w:p>
        </w:tc>
        <w:tc>
          <w:tcPr>
            <w:tcW w:w="374" w:type="pct"/>
            <w:tcBorders>
              <w:top w:val="single" w:sz="8" w:space="0" w:color="auto"/>
              <w:left w:val="nil"/>
              <w:bottom w:val="nil"/>
              <w:right w:val="single" w:sz="8" w:space="0" w:color="auto"/>
            </w:tcBorders>
            <w:vAlign w:val="center"/>
            <w:hideMark/>
          </w:tcPr>
          <w:p w14:paraId="40DA9607" w14:textId="77777777" w:rsidR="00B20C02" w:rsidRPr="00201A9A" w:rsidRDefault="00B20C02" w:rsidP="00B20C02">
            <w:pPr>
              <w:spacing w:before="0" w:after="0"/>
              <w:jc w:val="center"/>
              <w:rPr>
                <w:rFonts w:eastAsia="Times New Roman"/>
                <w:noProof/>
                <w:color w:val="000000"/>
                <w:sz w:val="20"/>
                <w:szCs w:val="20"/>
              </w:rPr>
            </w:pPr>
            <w:r w:rsidRPr="00201A9A">
              <w:rPr>
                <w:noProof/>
                <w:color w:val="000000"/>
                <w:sz w:val="20"/>
              </w:rPr>
              <w:t>Rok</w:t>
            </w:r>
          </w:p>
        </w:tc>
        <w:tc>
          <w:tcPr>
            <w:tcW w:w="374" w:type="pct"/>
            <w:tcBorders>
              <w:top w:val="single" w:sz="8" w:space="0" w:color="auto"/>
              <w:left w:val="nil"/>
              <w:bottom w:val="nil"/>
              <w:right w:val="single" w:sz="8" w:space="0" w:color="auto"/>
            </w:tcBorders>
            <w:vAlign w:val="center"/>
            <w:hideMark/>
          </w:tcPr>
          <w:p w14:paraId="1CBA741F" w14:textId="77777777" w:rsidR="00B20C02" w:rsidRPr="00201A9A" w:rsidRDefault="00B20C02" w:rsidP="00B20C02">
            <w:pPr>
              <w:spacing w:before="0" w:after="0"/>
              <w:jc w:val="center"/>
              <w:rPr>
                <w:rFonts w:eastAsia="Times New Roman"/>
                <w:noProof/>
                <w:color w:val="000000"/>
                <w:sz w:val="20"/>
                <w:szCs w:val="20"/>
              </w:rPr>
            </w:pPr>
            <w:r w:rsidRPr="00201A9A">
              <w:rPr>
                <w:noProof/>
                <w:color w:val="000000"/>
                <w:sz w:val="20"/>
              </w:rPr>
              <w:t>Rok</w:t>
            </w:r>
          </w:p>
        </w:tc>
        <w:tc>
          <w:tcPr>
            <w:tcW w:w="374" w:type="pct"/>
            <w:tcBorders>
              <w:top w:val="single" w:sz="8" w:space="0" w:color="auto"/>
              <w:left w:val="nil"/>
              <w:bottom w:val="nil"/>
              <w:right w:val="single" w:sz="8" w:space="0" w:color="auto"/>
            </w:tcBorders>
            <w:vAlign w:val="center"/>
            <w:hideMark/>
          </w:tcPr>
          <w:p w14:paraId="38057A1E" w14:textId="77777777" w:rsidR="00B20C02" w:rsidRPr="00201A9A" w:rsidRDefault="00B20C02" w:rsidP="00B20C02">
            <w:pPr>
              <w:spacing w:before="0" w:after="0"/>
              <w:jc w:val="center"/>
              <w:rPr>
                <w:rFonts w:eastAsia="Times New Roman"/>
                <w:noProof/>
                <w:color w:val="000000"/>
                <w:sz w:val="20"/>
                <w:szCs w:val="20"/>
              </w:rPr>
            </w:pPr>
            <w:r w:rsidRPr="00201A9A">
              <w:rPr>
                <w:noProof/>
                <w:color w:val="000000"/>
                <w:sz w:val="20"/>
              </w:rPr>
              <w:t>Rok</w:t>
            </w:r>
          </w:p>
        </w:tc>
        <w:tc>
          <w:tcPr>
            <w:tcW w:w="374" w:type="pct"/>
            <w:tcBorders>
              <w:top w:val="single" w:sz="8" w:space="0" w:color="auto"/>
              <w:left w:val="nil"/>
              <w:bottom w:val="nil"/>
              <w:right w:val="single" w:sz="8" w:space="0" w:color="auto"/>
            </w:tcBorders>
            <w:vAlign w:val="center"/>
            <w:hideMark/>
          </w:tcPr>
          <w:p w14:paraId="452A94DC" w14:textId="77777777" w:rsidR="00B20C02" w:rsidRPr="00201A9A" w:rsidRDefault="00B20C02" w:rsidP="00B20C02">
            <w:pPr>
              <w:spacing w:before="0" w:after="0"/>
              <w:jc w:val="center"/>
              <w:rPr>
                <w:rFonts w:eastAsia="Times New Roman"/>
                <w:noProof/>
                <w:color w:val="000000"/>
                <w:sz w:val="20"/>
                <w:szCs w:val="20"/>
              </w:rPr>
            </w:pPr>
            <w:r w:rsidRPr="00201A9A">
              <w:rPr>
                <w:noProof/>
                <w:color w:val="000000"/>
                <w:sz w:val="20"/>
              </w:rPr>
              <w:t>ZAMIEŚĆ</w:t>
            </w:r>
          </w:p>
        </w:tc>
      </w:tr>
      <w:tr w:rsidR="00B20C02" w:rsidRPr="00201A9A" w14:paraId="1755F707" w14:textId="77777777" w:rsidTr="005C6A60">
        <w:trPr>
          <w:trHeight w:val="315"/>
        </w:trPr>
        <w:tc>
          <w:tcPr>
            <w:tcW w:w="2032" w:type="pct"/>
            <w:gridSpan w:val="2"/>
            <w:vMerge/>
            <w:tcBorders>
              <w:top w:val="single" w:sz="8" w:space="0" w:color="auto"/>
              <w:left w:val="single" w:sz="8" w:space="0" w:color="auto"/>
              <w:bottom w:val="nil"/>
              <w:right w:val="nil"/>
            </w:tcBorders>
            <w:vAlign w:val="center"/>
            <w:hideMark/>
          </w:tcPr>
          <w:p w14:paraId="70145C31" w14:textId="77777777" w:rsidR="00B20C02" w:rsidRPr="00201A9A" w:rsidRDefault="00B20C02" w:rsidP="00B20C02">
            <w:pPr>
              <w:spacing w:before="0" w:after="0"/>
              <w:jc w:val="left"/>
              <w:rPr>
                <w:rFonts w:eastAsia="Times New Roman"/>
                <w:b/>
                <w:bCs/>
                <w:noProof/>
                <w:color w:val="000000"/>
                <w:sz w:val="18"/>
                <w:szCs w:val="18"/>
                <w:lang w:eastAsia="zh-CN"/>
              </w:rPr>
            </w:pPr>
          </w:p>
        </w:tc>
        <w:tc>
          <w:tcPr>
            <w:tcW w:w="366" w:type="pct"/>
            <w:tcBorders>
              <w:top w:val="nil"/>
              <w:left w:val="nil"/>
              <w:bottom w:val="single" w:sz="8" w:space="0" w:color="auto"/>
              <w:right w:val="single" w:sz="8" w:space="0" w:color="auto"/>
            </w:tcBorders>
            <w:vAlign w:val="center"/>
            <w:hideMark/>
          </w:tcPr>
          <w:p w14:paraId="5821BE15" w14:textId="77777777" w:rsidR="00B20C02" w:rsidRPr="00201A9A" w:rsidRDefault="00B20C02" w:rsidP="00B20C02">
            <w:pPr>
              <w:spacing w:before="0" w:after="0"/>
              <w:jc w:val="center"/>
              <w:rPr>
                <w:rFonts w:eastAsia="Times New Roman"/>
                <w:b/>
                <w:bCs/>
                <w:noProof/>
                <w:color w:val="000000"/>
                <w:sz w:val="16"/>
                <w:szCs w:val="16"/>
              </w:rPr>
            </w:pPr>
            <w:r w:rsidRPr="00201A9A">
              <w:rPr>
                <w:b/>
                <w:noProof/>
                <w:color w:val="000000"/>
                <w:sz w:val="16"/>
              </w:rPr>
              <w:t>2028</w:t>
            </w:r>
          </w:p>
        </w:tc>
        <w:tc>
          <w:tcPr>
            <w:tcW w:w="366" w:type="pct"/>
            <w:tcBorders>
              <w:top w:val="nil"/>
              <w:left w:val="nil"/>
              <w:bottom w:val="single" w:sz="8" w:space="0" w:color="auto"/>
              <w:right w:val="single" w:sz="8" w:space="0" w:color="auto"/>
            </w:tcBorders>
            <w:vAlign w:val="center"/>
            <w:hideMark/>
          </w:tcPr>
          <w:p w14:paraId="21861641" w14:textId="77777777" w:rsidR="00B20C02" w:rsidRPr="00201A9A" w:rsidRDefault="00B20C02" w:rsidP="00B20C02">
            <w:pPr>
              <w:spacing w:before="0" w:after="0"/>
              <w:jc w:val="center"/>
              <w:rPr>
                <w:rFonts w:eastAsia="Times New Roman"/>
                <w:b/>
                <w:bCs/>
                <w:noProof/>
                <w:color w:val="000000"/>
                <w:sz w:val="20"/>
                <w:szCs w:val="20"/>
              </w:rPr>
            </w:pPr>
            <w:r w:rsidRPr="00201A9A">
              <w:rPr>
                <w:b/>
                <w:noProof/>
                <w:color w:val="000000"/>
                <w:sz w:val="20"/>
              </w:rPr>
              <w:t>2029</w:t>
            </w:r>
          </w:p>
        </w:tc>
        <w:tc>
          <w:tcPr>
            <w:tcW w:w="366" w:type="pct"/>
            <w:tcBorders>
              <w:top w:val="nil"/>
              <w:left w:val="nil"/>
              <w:bottom w:val="single" w:sz="8" w:space="0" w:color="auto"/>
              <w:right w:val="single" w:sz="8" w:space="0" w:color="auto"/>
            </w:tcBorders>
            <w:vAlign w:val="center"/>
            <w:hideMark/>
          </w:tcPr>
          <w:p w14:paraId="3010814C" w14:textId="77777777" w:rsidR="00B20C02" w:rsidRPr="00201A9A" w:rsidRDefault="00B20C02" w:rsidP="00B20C02">
            <w:pPr>
              <w:spacing w:before="0" w:after="0"/>
              <w:jc w:val="center"/>
              <w:rPr>
                <w:rFonts w:eastAsia="Times New Roman"/>
                <w:b/>
                <w:bCs/>
                <w:noProof/>
                <w:color w:val="000000"/>
                <w:sz w:val="20"/>
                <w:szCs w:val="20"/>
              </w:rPr>
            </w:pPr>
            <w:r w:rsidRPr="00201A9A">
              <w:rPr>
                <w:b/>
                <w:noProof/>
                <w:color w:val="000000"/>
                <w:sz w:val="20"/>
              </w:rPr>
              <w:t>2030</w:t>
            </w:r>
          </w:p>
        </w:tc>
        <w:tc>
          <w:tcPr>
            <w:tcW w:w="374" w:type="pct"/>
            <w:tcBorders>
              <w:top w:val="nil"/>
              <w:left w:val="nil"/>
              <w:bottom w:val="single" w:sz="8" w:space="0" w:color="auto"/>
              <w:right w:val="single" w:sz="8" w:space="0" w:color="auto"/>
            </w:tcBorders>
            <w:vAlign w:val="center"/>
            <w:hideMark/>
          </w:tcPr>
          <w:p w14:paraId="043D179B" w14:textId="77777777" w:rsidR="00B20C02" w:rsidRPr="00201A9A" w:rsidRDefault="00B20C02" w:rsidP="00B20C02">
            <w:pPr>
              <w:spacing w:before="0" w:after="0"/>
              <w:jc w:val="center"/>
              <w:rPr>
                <w:rFonts w:eastAsia="Times New Roman"/>
                <w:b/>
                <w:bCs/>
                <w:noProof/>
                <w:color w:val="000000"/>
                <w:sz w:val="20"/>
                <w:szCs w:val="20"/>
              </w:rPr>
            </w:pPr>
            <w:r w:rsidRPr="00201A9A">
              <w:rPr>
                <w:b/>
                <w:noProof/>
                <w:color w:val="000000"/>
                <w:sz w:val="20"/>
              </w:rPr>
              <w:t>2031</w:t>
            </w:r>
          </w:p>
        </w:tc>
        <w:tc>
          <w:tcPr>
            <w:tcW w:w="374" w:type="pct"/>
            <w:tcBorders>
              <w:top w:val="nil"/>
              <w:left w:val="nil"/>
              <w:bottom w:val="single" w:sz="8" w:space="0" w:color="auto"/>
              <w:right w:val="single" w:sz="8" w:space="0" w:color="auto"/>
            </w:tcBorders>
            <w:vAlign w:val="center"/>
            <w:hideMark/>
          </w:tcPr>
          <w:p w14:paraId="36BF445D" w14:textId="77777777" w:rsidR="00B20C02" w:rsidRPr="00201A9A" w:rsidRDefault="00B20C02" w:rsidP="00B20C02">
            <w:pPr>
              <w:spacing w:before="0" w:after="0"/>
              <w:jc w:val="center"/>
              <w:rPr>
                <w:rFonts w:eastAsia="Times New Roman"/>
                <w:b/>
                <w:bCs/>
                <w:noProof/>
                <w:color w:val="000000"/>
                <w:sz w:val="20"/>
                <w:szCs w:val="20"/>
              </w:rPr>
            </w:pPr>
            <w:r w:rsidRPr="00201A9A">
              <w:rPr>
                <w:b/>
                <w:noProof/>
                <w:color w:val="000000"/>
                <w:sz w:val="20"/>
              </w:rPr>
              <w:t>2032</w:t>
            </w:r>
          </w:p>
        </w:tc>
        <w:tc>
          <w:tcPr>
            <w:tcW w:w="374" w:type="pct"/>
            <w:tcBorders>
              <w:top w:val="nil"/>
              <w:left w:val="nil"/>
              <w:bottom w:val="single" w:sz="8" w:space="0" w:color="auto"/>
              <w:right w:val="single" w:sz="8" w:space="0" w:color="auto"/>
            </w:tcBorders>
            <w:vAlign w:val="center"/>
            <w:hideMark/>
          </w:tcPr>
          <w:p w14:paraId="62AE8052" w14:textId="77777777" w:rsidR="00B20C02" w:rsidRPr="00201A9A" w:rsidRDefault="00B20C02" w:rsidP="00B20C02">
            <w:pPr>
              <w:spacing w:before="0" w:after="0"/>
              <w:jc w:val="center"/>
              <w:rPr>
                <w:rFonts w:eastAsia="Times New Roman"/>
                <w:b/>
                <w:bCs/>
                <w:noProof/>
                <w:color w:val="000000"/>
                <w:sz w:val="20"/>
                <w:szCs w:val="20"/>
              </w:rPr>
            </w:pPr>
            <w:r w:rsidRPr="00201A9A">
              <w:rPr>
                <w:b/>
                <w:noProof/>
                <w:color w:val="000000"/>
                <w:sz w:val="20"/>
              </w:rPr>
              <w:t>2033</w:t>
            </w:r>
          </w:p>
        </w:tc>
        <w:tc>
          <w:tcPr>
            <w:tcW w:w="374" w:type="pct"/>
            <w:tcBorders>
              <w:top w:val="nil"/>
              <w:left w:val="nil"/>
              <w:bottom w:val="single" w:sz="8" w:space="0" w:color="auto"/>
              <w:right w:val="single" w:sz="8" w:space="0" w:color="auto"/>
            </w:tcBorders>
            <w:vAlign w:val="center"/>
            <w:hideMark/>
          </w:tcPr>
          <w:p w14:paraId="5B7DB024" w14:textId="77777777" w:rsidR="00B20C02" w:rsidRPr="00201A9A" w:rsidRDefault="00B20C02" w:rsidP="00B20C02">
            <w:pPr>
              <w:spacing w:before="0" w:after="0"/>
              <w:jc w:val="center"/>
              <w:rPr>
                <w:rFonts w:eastAsia="Times New Roman"/>
                <w:b/>
                <w:bCs/>
                <w:noProof/>
                <w:color w:val="000000"/>
                <w:sz w:val="20"/>
                <w:szCs w:val="20"/>
              </w:rPr>
            </w:pPr>
            <w:r w:rsidRPr="00201A9A">
              <w:rPr>
                <w:b/>
                <w:noProof/>
                <w:color w:val="000000"/>
                <w:sz w:val="20"/>
              </w:rPr>
              <w:t>2034</w:t>
            </w:r>
          </w:p>
        </w:tc>
        <w:tc>
          <w:tcPr>
            <w:tcW w:w="374" w:type="pct"/>
            <w:tcBorders>
              <w:top w:val="nil"/>
              <w:left w:val="nil"/>
              <w:bottom w:val="single" w:sz="8" w:space="0" w:color="auto"/>
              <w:right w:val="single" w:sz="8" w:space="0" w:color="auto"/>
            </w:tcBorders>
            <w:vAlign w:val="center"/>
            <w:hideMark/>
          </w:tcPr>
          <w:p w14:paraId="7FDB338F" w14:textId="77777777" w:rsidR="00B20C02" w:rsidRPr="00201A9A" w:rsidRDefault="00B20C02" w:rsidP="00B20C02">
            <w:pPr>
              <w:spacing w:before="0" w:after="0"/>
              <w:jc w:val="center"/>
              <w:rPr>
                <w:rFonts w:eastAsia="Times New Roman"/>
                <w:b/>
                <w:bCs/>
                <w:noProof/>
                <w:color w:val="000000"/>
                <w:sz w:val="20"/>
                <w:szCs w:val="20"/>
              </w:rPr>
            </w:pPr>
            <w:r w:rsidRPr="00201A9A">
              <w:rPr>
                <w:b/>
                <w:noProof/>
                <w:color w:val="000000"/>
                <w:sz w:val="20"/>
              </w:rPr>
              <w:t>2034</w:t>
            </w:r>
          </w:p>
        </w:tc>
      </w:tr>
      <w:tr w:rsidR="00B20C02" w:rsidRPr="00201A9A" w14:paraId="27FA526F" w14:textId="77777777" w:rsidTr="005C6A60">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57F2879B" w14:textId="0E352865" w:rsidR="00B20C02" w:rsidRPr="00201A9A" w:rsidRDefault="00B20C02" w:rsidP="00B20C02">
            <w:pPr>
              <w:spacing w:before="0" w:after="0"/>
              <w:jc w:val="left"/>
              <w:rPr>
                <w:rFonts w:ascii="Wingdings" w:eastAsia="Times New Roman" w:hAnsi="Wingdings" w:cs="Calibri"/>
                <w:b/>
                <w:bCs/>
                <w:noProof/>
                <w:color w:val="000000"/>
                <w:sz w:val="16"/>
                <w:szCs w:val="16"/>
              </w:rPr>
            </w:pPr>
            <w:r w:rsidRPr="00201A9A">
              <w:rPr>
                <w:rFonts w:ascii="Wingdings" w:hAnsi="Wingdings"/>
                <w:b/>
                <w:noProof/>
                <w:color w:val="000000"/>
                <w:sz w:val="16"/>
              </w:rPr>
              <w:t></w:t>
            </w:r>
            <w:r w:rsidRPr="00201A9A">
              <w:rPr>
                <w:b/>
                <w:noProof/>
                <w:color w:val="000000"/>
                <w:sz w:val="16"/>
              </w:rPr>
              <w:t xml:space="preserve"> Stanowiska przewidziane</w:t>
            </w:r>
            <w:r w:rsidR="00201A9A" w:rsidRPr="00201A9A">
              <w:rPr>
                <w:b/>
                <w:noProof/>
                <w:color w:val="000000"/>
                <w:sz w:val="16"/>
              </w:rPr>
              <w:t xml:space="preserve"> w pla</w:t>
            </w:r>
            <w:r w:rsidRPr="00201A9A">
              <w:rPr>
                <w:b/>
                <w:noProof/>
                <w:color w:val="000000"/>
                <w:sz w:val="16"/>
              </w:rPr>
              <w:t>nie zatrudnienia (stanowiska urzędników</w:t>
            </w:r>
            <w:r w:rsidR="00201A9A" w:rsidRPr="00201A9A">
              <w:rPr>
                <w:b/>
                <w:noProof/>
                <w:color w:val="000000"/>
                <w:sz w:val="16"/>
              </w:rPr>
              <w:t xml:space="preserve"> i pra</w:t>
            </w:r>
            <w:r w:rsidRPr="00201A9A">
              <w:rPr>
                <w:b/>
                <w:noProof/>
                <w:color w:val="000000"/>
                <w:sz w:val="16"/>
              </w:rPr>
              <w:t>cowników zatrudnionych na czas określony)</w:t>
            </w:r>
          </w:p>
        </w:tc>
        <w:tc>
          <w:tcPr>
            <w:tcW w:w="374" w:type="pct"/>
            <w:tcBorders>
              <w:top w:val="single" w:sz="8" w:space="0" w:color="auto"/>
              <w:left w:val="nil"/>
              <w:bottom w:val="single" w:sz="8" w:space="0" w:color="auto"/>
              <w:right w:val="nil"/>
            </w:tcBorders>
            <w:vAlign w:val="center"/>
            <w:hideMark/>
          </w:tcPr>
          <w:p w14:paraId="0E492AC4" w14:textId="77777777" w:rsidR="00B20C02" w:rsidRPr="00201A9A" w:rsidRDefault="00B20C02" w:rsidP="00B20C02">
            <w:pPr>
              <w:spacing w:before="0" w:after="0"/>
              <w:jc w:val="left"/>
              <w:rPr>
                <w:rFonts w:ascii="Wingdings" w:eastAsia="Times New Roman" w:hAnsi="Wingdings" w:cs="Calibri"/>
                <w:b/>
                <w:bCs/>
                <w:noProof/>
                <w:color w:val="000000"/>
                <w:sz w:val="16"/>
                <w:szCs w:val="16"/>
                <w:lang w:eastAsia="zh-CN"/>
              </w:rPr>
            </w:pPr>
          </w:p>
        </w:tc>
      </w:tr>
      <w:tr w:rsidR="00B20C02" w:rsidRPr="00201A9A" w14:paraId="7549124B"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49392CC3" w14:textId="54846485" w:rsidR="00B20C02" w:rsidRPr="00201A9A" w:rsidRDefault="00B20C02" w:rsidP="00B20C02">
            <w:pPr>
              <w:spacing w:before="0" w:after="0"/>
              <w:ind w:firstLineChars="100" w:firstLine="240"/>
              <w:jc w:val="left"/>
              <w:rPr>
                <w:rFonts w:eastAsia="Times New Roman"/>
                <w:noProof/>
                <w:color w:val="000000"/>
                <w:sz w:val="16"/>
                <w:szCs w:val="16"/>
              </w:rPr>
            </w:pPr>
            <w:r w:rsidRPr="00201A9A">
              <w:rPr>
                <w:noProof/>
                <w:color w:val="000000"/>
              </w:rPr>
              <w:t>20 01 02 01 (w centrali</w:t>
            </w:r>
            <w:r w:rsidR="00201A9A" w:rsidRPr="00201A9A">
              <w:rPr>
                <w:noProof/>
                <w:color w:val="000000"/>
              </w:rPr>
              <w:t xml:space="preserve"> i w biu</w:t>
            </w:r>
            <w:r w:rsidRPr="00201A9A">
              <w:rPr>
                <w:noProof/>
                <w:color w:val="000000"/>
              </w:rPr>
              <w:t>rach przedstawicielstw Komisji)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7716C6"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0B16CEA"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AC35AE"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6944AE5"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0A289B"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AC48E10"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8AC7C9"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41F7143"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r>
      <w:tr w:rsidR="00B20C02" w:rsidRPr="00201A9A" w14:paraId="074F7C0C"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0F4FCA4D" w14:textId="77777777" w:rsidR="00B20C02" w:rsidRPr="00201A9A" w:rsidRDefault="00B20C02" w:rsidP="00B20C02">
            <w:pPr>
              <w:spacing w:before="0" w:after="0"/>
              <w:ind w:firstLineChars="100" w:firstLine="160"/>
              <w:jc w:val="left"/>
              <w:rPr>
                <w:rFonts w:eastAsia="Times New Roman"/>
                <w:noProof/>
                <w:color w:val="000000"/>
                <w:sz w:val="16"/>
                <w:szCs w:val="16"/>
              </w:rPr>
            </w:pPr>
            <w:r w:rsidRPr="00201A9A">
              <w:rPr>
                <w:noProof/>
                <w:color w:val="000000"/>
                <w:sz w:val="16"/>
              </w:rPr>
              <w:t>20 01 02 03 (w delegaturach UE)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10939D"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FBA4E2"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F14A72"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8C1C7D0"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1B4C95"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B55B7B0"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274A051"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F374B44"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r>
      <w:tr w:rsidR="00B20C02" w:rsidRPr="00201A9A" w14:paraId="062C5FD6"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0F569415" w14:textId="77777777" w:rsidR="00B20C02" w:rsidRPr="00201A9A" w:rsidRDefault="00B20C02" w:rsidP="00B20C02">
            <w:pPr>
              <w:spacing w:before="0" w:after="0"/>
              <w:ind w:firstLineChars="100" w:firstLine="160"/>
              <w:jc w:val="left"/>
              <w:rPr>
                <w:rFonts w:eastAsia="Times New Roman"/>
                <w:noProof/>
                <w:color w:val="000000"/>
                <w:sz w:val="16"/>
                <w:szCs w:val="16"/>
              </w:rPr>
            </w:pPr>
            <w:r w:rsidRPr="00201A9A">
              <w:rPr>
                <w:noProof/>
                <w:color w:val="000000"/>
                <w:sz w:val="16"/>
              </w:rPr>
              <w:t>01 01 01 01</w:t>
            </w:r>
            <w:r w:rsidRPr="00201A9A">
              <w:rPr>
                <w:noProof/>
                <w:color w:val="000000"/>
              </w:rPr>
              <w:t xml:space="preserve"> </w:t>
            </w:r>
            <w:r w:rsidRPr="00201A9A">
              <w:rPr>
                <w:noProof/>
                <w:color w:val="000000"/>
                <w:sz w:val="16"/>
              </w:rPr>
              <w:t>(pośrednie badania naukowe)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7B9431"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AF0D5DF"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4499D15"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71C1D00"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C9151E8"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000102"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336765"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C1253FA"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r>
      <w:tr w:rsidR="00B20C02" w:rsidRPr="00201A9A" w14:paraId="19020EB3"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6F654930" w14:textId="77777777" w:rsidR="00B20C02" w:rsidRPr="00201A9A" w:rsidRDefault="00B20C02" w:rsidP="00B20C02">
            <w:pPr>
              <w:spacing w:before="0" w:after="0"/>
              <w:ind w:firstLineChars="100" w:firstLine="160"/>
              <w:jc w:val="left"/>
              <w:rPr>
                <w:rFonts w:eastAsia="Times New Roman"/>
                <w:noProof/>
                <w:color w:val="000000"/>
                <w:sz w:val="16"/>
                <w:szCs w:val="16"/>
              </w:rPr>
            </w:pPr>
            <w:r w:rsidRPr="00201A9A">
              <w:rPr>
                <w:noProof/>
                <w:color w:val="000000"/>
                <w:sz w:val="16"/>
              </w:rPr>
              <w:t>01 01 01 11 (bezpośrednie badania naukowe)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B5BC56"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606F97F"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49E5733"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984261A"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DB6A6E9"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32E0F09"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03B6AB"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E839542"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r>
      <w:tr w:rsidR="00B20C02" w:rsidRPr="00201A9A" w14:paraId="4A16EF96"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EFA971B" w14:textId="77777777" w:rsidR="00B20C02" w:rsidRPr="00201A9A" w:rsidRDefault="00B20C02" w:rsidP="00B20C02">
            <w:pPr>
              <w:spacing w:before="0" w:after="0"/>
              <w:ind w:firstLineChars="100" w:firstLine="160"/>
              <w:jc w:val="left"/>
              <w:rPr>
                <w:rFonts w:eastAsia="Times New Roman"/>
                <w:noProof/>
                <w:color w:val="000000"/>
                <w:sz w:val="16"/>
                <w:szCs w:val="16"/>
              </w:rPr>
            </w:pPr>
            <w:r w:rsidRPr="00201A9A">
              <w:rPr>
                <w:noProof/>
                <w:color w:val="000000"/>
                <w:sz w:val="16"/>
              </w:rPr>
              <w:t>Inna linia budżetowa (określić)</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E83DBD8"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395E32E"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394356"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D91C1A"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17CD77"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3214AA"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F4F8DB4"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9FC2B54"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r>
      <w:tr w:rsidR="00B20C02" w:rsidRPr="00201A9A" w14:paraId="423BCA7B" w14:textId="77777777" w:rsidTr="005C6A60">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6CF21E90" w14:textId="73EBB876" w:rsidR="00B20C02" w:rsidRPr="00201A9A" w:rsidRDefault="00B20C02" w:rsidP="00B20C02">
            <w:pPr>
              <w:spacing w:before="0" w:after="0"/>
              <w:jc w:val="left"/>
              <w:rPr>
                <w:rFonts w:ascii="Wingdings" w:eastAsia="Times New Roman" w:hAnsi="Wingdings" w:cs="Calibri"/>
                <w:b/>
                <w:bCs/>
                <w:noProof/>
                <w:color w:val="000000"/>
                <w:sz w:val="16"/>
                <w:szCs w:val="16"/>
              </w:rPr>
            </w:pPr>
            <w:r w:rsidRPr="00201A9A">
              <w:rPr>
                <w:rFonts w:ascii="Calibri" w:hAnsi="Calibri"/>
                <w:b/>
                <w:noProof/>
                <w:color w:val="000000"/>
                <w:sz w:val="16"/>
              </w:rPr>
              <w:t>•</w:t>
            </w:r>
            <w:r w:rsidRPr="00201A9A">
              <w:rPr>
                <w:b/>
                <w:noProof/>
                <w:color w:val="000000"/>
                <w:sz w:val="16"/>
              </w:rPr>
              <w:t xml:space="preserve"> Personel zewnętrzny (w ekwiwalentach pełnego czasu</w:t>
            </w:r>
            <w:r w:rsidR="00201A9A" w:rsidRPr="00201A9A">
              <w:rPr>
                <w:b/>
                <w:noProof/>
                <w:color w:val="000000"/>
                <w:sz w:val="16"/>
              </w:rPr>
              <w:t xml:space="preserve"> </w:t>
            </w:r>
            <w:r w:rsidRPr="00201A9A">
              <w:rPr>
                <w:b/>
                <w:noProof/>
                <w:color w:val="000000"/>
                <w:sz w:val="16"/>
              </w:rPr>
              <w:t>pracy)[1]</w:t>
            </w:r>
          </w:p>
        </w:tc>
        <w:tc>
          <w:tcPr>
            <w:tcW w:w="374" w:type="pct"/>
            <w:tcBorders>
              <w:top w:val="single" w:sz="8" w:space="0" w:color="auto"/>
              <w:left w:val="nil"/>
              <w:bottom w:val="single" w:sz="8" w:space="0" w:color="auto"/>
              <w:right w:val="nil"/>
            </w:tcBorders>
            <w:vAlign w:val="center"/>
            <w:hideMark/>
          </w:tcPr>
          <w:p w14:paraId="1F8B68AF" w14:textId="77777777" w:rsidR="00B20C02" w:rsidRPr="00201A9A" w:rsidRDefault="00B20C02" w:rsidP="00B20C02">
            <w:pPr>
              <w:spacing w:before="0" w:after="0"/>
              <w:jc w:val="left"/>
              <w:rPr>
                <w:rFonts w:ascii="Wingdings" w:eastAsia="Times New Roman" w:hAnsi="Wingdings" w:cs="Calibri"/>
                <w:b/>
                <w:bCs/>
                <w:noProof/>
                <w:color w:val="000000"/>
                <w:sz w:val="16"/>
                <w:szCs w:val="16"/>
                <w:lang w:eastAsia="zh-CN"/>
              </w:rPr>
            </w:pPr>
          </w:p>
        </w:tc>
      </w:tr>
      <w:tr w:rsidR="00B20C02" w:rsidRPr="00201A9A" w14:paraId="271D2D26"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0AD3A069" w14:textId="22E491C4" w:rsidR="00B20C02" w:rsidRPr="00201A9A" w:rsidRDefault="00B20C02" w:rsidP="00B20C02">
            <w:pPr>
              <w:spacing w:before="0" w:after="0"/>
              <w:ind w:firstLineChars="100" w:firstLine="160"/>
              <w:jc w:val="left"/>
              <w:rPr>
                <w:rFonts w:eastAsia="Times New Roman"/>
                <w:noProof/>
                <w:color w:val="000000"/>
                <w:sz w:val="16"/>
                <w:szCs w:val="16"/>
              </w:rPr>
            </w:pPr>
            <w:r w:rsidRPr="00201A9A">
              <w:rPr>
                <w:noProof/>
                <w:color w:val="000000"/>
                <w:sz w:val="16"/>
              </w:rPr>
              <w:t>20 02 01</w:t>
            </w:r>
            <w:r w:rsidRPr="00201A9A">
              <w:rPr>
                <w:rFonts w:ascii="Arial Narrow" w:hAnsi="Arial Narrow"/>
                <w:noProof/>
                <w:color w:val="000000"/>
                <w:sz w:val="20"/>
              </w:rPr>
              <w:t xml:space="preserve"> </w:t>
            </w:r>
            <w:r w:rsidRPr="00201A9A">
              <w:rPr>
                <w:noProof/>
                <w:color w:val="000000"/>
                <w:sz w:val="16"/>
              </w:rPr>
              <w:t>(CA, SNE</w:t>
            </w:r>
            <w:r w:rsidR="00201A9A" w:rsidRPr="00201A9A">
              <w:rPr>
                <w:noProof/>
                <w:color w:val="000000"/>
                <w:sz w:val="16"/>
              </w:rPr>
              <w:t xml:space="preserve"> z glo</w:t>
            </w:r>
            <w:r w:rsidRPr="00201A9A">
              <w:rPr>
                <w:noProof/>
                <w:color w:val="000000"/>
                <w:sz w:val="16"/>
              </w:rPr>
              <w:t>balnej koperty finansowej)</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BD99CF"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BC286D8"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0BBF4FF"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B29D06"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03EC678"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50E65A"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1A1CECE"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78792F1"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r>
      <w:tr w:rsidR="00B20C02" w:rsidRPr="00201A9A" w14:paraId="5039A0FD"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2559DF8D" w14:textId="3F89195F" w:rsidR="00B20C02" w:rsidRPr="00201A9A" w:rsidRDefault="00B20C02" w:rsidP="00B20C02">
            <w:pPr>
              <w:spacing w:before="0" w:after="0"/>
              <w:ind w:firstLineChars="100" w:firstLine="160"/>
              <w:jc w:val="left"/>
              <w:rPr>
                <w:rFonts w:eastAsia="Times New Roman"/>
                <w:noProof/>
                <w:color w:val="000000"/>
                <w:sz w:val="16"/>
                <w:szCs w:val="16"/>
              </w:rPr>
            </w:pPr>
            <w:r w:rsidRPr="00201A9A">
              <w:rPr>
                <w:noProof/>
                <w:color w:val="000000"/>
                <w:sz w:val="16"/>
              </w:rPr>
              <w:t>20 02 03 (CA, LA, SNE i JPD</w:t>
            </w:r>
            <w:r w:rsidR="00201A9A" w:rsidRPr="00201A9A">
              <w:rPr>
                <w:noProof/>
                <w:color w:val="000000"/>
                <w:sz w:val="16"/>
              </w:rPr>
              <w:t xml:space="preserve"> w del</w:t>
            </w:r>
            <w:r w:rsidRPr="00201A9A">
              <w:rPr>
                <w:noProof/>
                <w:color w:val="000000"/>
                <w:sz w:val="16"/>
              </w:rPr>
              <w:t>egaturach UE)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3E1E869"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9DC2DD"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494D0A"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1D2750"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7A0820"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9661DA"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734EB2B"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442EBDF1"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r>
      <w:tr w:rsidR="00B20C02" w:rsidRPr="00201A9A" w14:paraId="0924B858" w14:textId="77777777" w:rsidTr="005C6A60">
        <w:trPr>
          <w:trHeight w:val="315"/>
        </w:trPr>
        <w:tc>
          <w:tcPr>
            <w:tcW w:w="569" w:type="pct"/>
            <w:vMerge w:val="restart"/>
            <w:tcBorders>
              <w:top w:val="single" w:sz="8" w:space="0" w:color="auto"/>
              <w:left w:val="single" w:sz="8" w:space="0" w:color="auto"/>
              <w:bottom w:val="single" w:sz="8" w:space="0" w:color="auto"/>
              <w:right w:val="single" w:sz="8" w:space="0" w:color="auto"/>
            </w:tcBorders>
            <w:vAlign w:val="center"/>
            <w:hideMark/>
          </w:tcPr>
          <w:p w14:paraId="4DE1ECF7"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Linia budżetowa na wsparcie adm.</w:t>
            </w:r>
            <w:r w:rsidRPr="00201A9A">
              <w:rPr>
                <w:noProof/>
              </w:rPr>
              <w:t xml:space="preserve"> </w:t>
            </w:r>
            <w:r w:rsidRPr="00201A9A">
              <w:rPr>
                <w:noProof/>
              </w:rPr>
              <w:br/>
            </w:r>
            <w:r w:rsidRPr="00201A9A">
              <w:rPr>
                <w:noProof/>
                <w:color w:val="000000"/>
                <w:sz w:val="16"/>
              </w:rPr>
              <w:t>[XX.01.YY.YY] [2]</w:t>
            </w:r>
          </w:p>
        </w:tc>
        <w:tc>
          <w:tcPr>
            <w:tcW w:w="1463" w:type="pct"/>
            <w:tcBorders>
              <w:top w:val="single" w:sz="8" w:space="0" w:color="auto"/>
              <w:left w:val="single" w:sz="8" w:space="0" w:color="auto"/>
              <w:bottom w:val="single" w:sz="8" w:space="0" w:color="auto"/>
              <w:right w:val="single" w:sz="8" w:space="0" w:color="auto"/>
            </w:tcBorders>
            <w:vAlign w:val="center"/>
            <w:hideMark/>
          </w:tcPr>
          <w:p w14:paraId="6F4C9E83" w14:textId="79D0EECC" w:rsidR="00B20C02" w:rsidRPr="00201A9A" w:rsidRDefault="00B20C02" w:rsidP="00B20C02">
            <w:pPr>
              <w:spacing w:before="0" w:after="0"/>
              <w:ind w:firstLineChars="100" w:firstLine="160"/>
              <w:jc w:val="left"/>
              <w:rPr>
                <w:rFonts w:eastAsia="Times New Roman"/>
                <w:noProof/>
                <w:color w:val="000000"/>
                <w:sz w:val="16"/>
                <w:szCs w:val="16"/>
              </w:rPr>
            </w:pPr>
            <w:r w:rsidRPr="00201A9A">
              <w:rPr>
                <w:noProof/>
                <w:color w:val="000000"/>
                <w:sz w:val="16"/>
              </w:rPr>
              <w:t>-</w:t>
            </w:r>
            <w:r w:rsidR="00201A9A" w:rsidRPr="00201A9A">
              <w:rPr>
                <w:noProof/>
                <w:color w:val="000000"/>
                <w:sz w:val="16"/>
              </w:rPr>
              <w:t xml:space="preserve"> w cen</w:t>
            </w:r>
            <w:r w:rsidRPr="00201A9A">
              <w:rPr>
                <w:noProof/>
                <w:color w:val="000000"/>
                <w:sz w:val="16"/>
              </w:rPr>
              <w:t>trali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969FF2C"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57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6F374B"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57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FA8F8D6"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5EF340"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A698FE"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34831B3"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3A7694F"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687FC7E6"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r>
      <w:tr w:rsidR="00B20C02" w:rsidRPr="00201A9A" w14:paraId="0AA9584B" w14:textId="77777777" w:rsidTr="005C6A60">
        <w:trPr>
          <w:trHeight w:val="315"/>
        </w:trPr>
        <w:tc>
          <w:tcPr>
            <w:tcW w:w="569" w:type="pct"/>
            <w:vMerge/>
            <w:tcBorders>
              <w:top w:val="single" w:sz="8" w:space="0" w:color="auto"/>
              <w:left w:val="single" w:sz="8" w:space="0" w:color="auto"/>
              <w:bottom w:val="single" w:sz="8" w:space="0" w:color="auto"/>
              <w:right w:val="single" w:sz="8" w:space="0" w:color="auto"/>
            </w:tcBorders>
            <w:vAlign w:val="center"/>
            <w:hideMark/>
          </w:tcPr>
          <w:p w14:paraId="60C0D01F" w14:textId="77777777" w:rsidR="00B20C02" w:rsidRPr="00201A9A" w:rsidRDefault="00B20C02" w:rsidP="00B20C02">
            <w:pPr>
              <w:spacing w:before="0" w:after="0"/>
              <w:jc w:val="left"/>
              <w:rPr>
                <w:rFonts w:eastAsia="Times New Roman"/>
                <w:noProof/>
                <w:color w:val="000000"/>
                <w:sz w:val="16"/>
                <w:szCs w:val="16"/>
                <w:lang w:eastAsia="zh-CN"/>
              </w:rPr>
            </w:pPr>
          </w:p>
        </w:tc>
        <w:tc>
          <w:tcPr>
            <w:tcW w:w="1463" w:type="pct"/>
            <w:tcBorders>
              <w:top w:val="single" w:sz="8" w:space="0" w:color="auto"/>
              <w:left w:val="single" w:sz="8" w:space="0" w:color="auto"/>
              <w:bottom w:val="single" w:sz="8" w:space="0" w:color="auto"/>
              <w:right w:val="single" w:sz="8" w:space="0" w:color="auto"/>
            </w:tcBorders>
            <w:vAlign w:val="center"/>
            <w:hideMark/>
          </w:tcPr>
          <w:p w14:paraId="5FFD3264" w14:textId="1B91618D" w:rsidR="00B20C02" w:rsidRPr="00201A9A" w:rsidRDefault="00B20C02" w:rsidP="00B20C02">
            <w:pPr>
              <w:spacing w:before="0" w:after="0"/>
              <w:ind w:firstLineChars="100" w:firstLine="160"/>
              <w:jc w:val="left"/>
              <w:rPr>
                <w:rFonts w:eastAsia="Times New Roman"/>
                <w:noProof/>
                <w:color w:val="000000"/>
                <w:sz w:val="16"/>
                <w:szCs w:val="16"/>
              </w:rPr>
            </w:pPr>
            <w:r w:rsidRPr="00201A9A">
              <w:rPr>
                <w:noProof/>
                <w:color w:val="000000"/>
                <w:sz w:val="16"/>
              </w:rPr>
              <w:t>-</w:t>
            </w:r>
            <w:r w:rsidR="00201A9A" w:rsidRPr="00201A9A">
              <w:rPr>
                <w:noProof/>
                <w:color w:val="000000"/>
                <w:sz w:val="16"/>
              </w:rPr>
              <w:t xml:space="preserve"> w del</w:t>
            </w:r>
            <w:r w:rsidRPr="00201A9A">
              <w:rPr>
                <w:noProof/>
                <w:color w:val="000000"/>
                <w:sz w:val="16"/>
              </w:rPr>
              <w:t xml:space="preserve">egaturach UE </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F830D35"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9E6CCB"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5C0669D"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2D57B8"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38B2103"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B7E2A89"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2329753"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9E3FE8F"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r>
      <w:tr w:rsidR="00B20C02" w:rsidRPr="00201A9A" w14:paraId="71D1023F"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1DACEC65" w14:textId="77777777" w:rsidR="00B20C02" w:rsidRPr="00201A9A" w:rsidRDefault="00B20C02" w:rsidP="00B20C02">
            <w:pPr>
              <w:spacing w:before="0" w:after="0"/>
              <w:ind w:firstLineChars="100" w:firstLine="160"/>
              <w:jc w:val="left"/>
              <w:rPr>
                <w:rFonts w:eastAsia="Times New Roman"/>
                <w:noProof/>
                <w:color w:val="000000"/>
                <w:sz w:val="16"/>
                <w:szCs w:val="16"/>
              </w:rPr>
            </w:pPr>
            <w:r w:rsidRPr="00201A9A">
              <w:rPr>
                <w:noProof/>
                <w:color w:val="000000"/>
                <w:sz w:val="16"/>
              </w:rPr>
              <w:t>01 01 01 02</w:t>
            </w:r>
            <w:r w:rsidRPr="00201A9A">
              <w:rPr>
                <w:rFonts w:ascii="Arial Narrow" w:hAnsi="Arial Narrow"/>
                <w:noProof/>
                <w:color w:val="000000"/>
                <w:sz w:val="20"/>
              </w:rPr>
              <w:t xml:space="preserve"> </w:t>
            </w:r>
            <w:r w:rsidRPr="00201A9A">
              <w:rPr>
                <w:noProof/>
                <w:color w:val="000000"/>
                <w:sz w:val="16"/>
              </w:rPr>
              <w:t>(CA, SNE – pośrednie badania naukowe)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F5AC8C"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E91FC6"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74A927"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89F5CF"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3A812B0"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E1D9F4"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07354B0"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63849EE7"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r>
      <w:tr w:rsidR="00B20C02" w:rsidRPr="00201A9A" w14:paraId="1EE724D0"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A5019A1" w14:textId="77777777" w:rsidR="00B20C02" w:rsidRPr="00201A9A" w:rsidRDefault="00B20C02" w:rsidP="00B20C02">
            <w:pPr>
              <w:spacing w:before="0" w:after="0"/>
              <w:ind w:firstLineChars="100" w:firstLine="160"/>
              <w:jc w:val="left"/>
              <w:rPr>
                <w:rFonts w:eastAsia="Times New Roman"/>
                <w:noProof/>
                <w:color w:val="000000"/>
                <w:sz w:val="16"/>
                <w:szCs w:val="16"/>
              </w:rPr>
            </w:pPr>
            <w:r w:rsidRPr="00201A9A">
              <w:rPr>
                <w:noProof/>
                <w:color w:val="000000"/>
                <w:sz w:val="16"/>
              </w:rPr>
              <w:t>01 01 01 12 (CA, SNE – bezpośrednie badania naukowe)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DF4214F"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AEBC39"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77BF88"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FFBA2AB"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9C40EE"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73B6E4"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E3C06CB"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6FDD7BE6"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r>
      <w:tr w:rsidR="00B20C02" w:rsidRPr="00201A9A" w14:paraId="5083350B" w14:textId="77777777" w:rsidTr="005C6A60">
        <w:trPr>
          <w:trHeight w:val="300"/>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247BF596" w14:textId="77777777" w:rsidR="00B20C02" w:rsidRPr="00201A9A" w:rsidRDefault="00B20C02" w:rsidP="00B20C02">
            <w:pPr>
              <w:spacing w:before="0" w:after="0"/>
              <w:ind w:firstLineChars="100" w:firstLine="160"/>
              <w:jc w:val="left"/>
              <w:rPr>
                <w:rFonts w:eastAsia="Times New Roman"/>
                <w:noProof/>
                <w:color w:val="000000"/>
                <w:sz w:val="16"/>
                <w:szCs w:val="16"/>
              </w:rPr>
            </w:pPr>
            <w:r w:rsidRPr="00201A9A">
              <w:rPr>
                <w:noProof/>
                <w:color w:val="000000"/>
                <w:sz w:val="16"/>
              </w:rPr>
              <w:t>Inna linia budżetowa (określić) – dział 4</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28953E8"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64D202"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D971B1"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FEB5A67"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F83016"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659697A"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302A9E"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65DFA9D5"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r>
      <w:tr w:rsidR="00B20C02" w:rsidRPr="00201A9A" w14:paraId="3CE3550D" w14:textId="77777777" w:rsidTr="005C6A60">
        <w:trPr>
          <w:trHeight w:val="300"/>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496D54A" w14:textId="77777777" w:rsidR="00B20C02" w:rsidRPr="00201A9A" w:rsidRDefault="00B20C02" w:rsidP="00B20C02">
            <w:pPr>
              <w:spacing w:before="0" w:after="0"/>
              <w:ind w:firstLineChars="100" w:firstLine="160"/>
              <w:jc w:val="left"/>
              <w:rPr>
                <w:rFonts w:eastAsia="Times New Roman"/>
                <w:noProof/>
                <w:color w:val="000000"/>
                <w:sz w:val="16"/>
                <w:szCs w:val="16"/>
              </w:rPr>
            </w:pPr>
            <w:r w:rsidRPr="00201A9A">
              <w:rPr>
                <w:noProof/>
                <w:color w:val="000000"/>
                <w:sz w:val="16"/>
              </w:rPr>
              <w:t>Inna linia budżetowa (określić) – poza działem 4</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81601C"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350DF0D"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089B723"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E438324"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F0AFC94"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88A762"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8A50EB"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314EF394" w14:textId="77777777" w:rsidR="00B20C02" w:rsidRPr="00201A9A" w:rsidRDefault="00B20C02" w:rsidP="00B20C02">
            <w:pPr>
              <w:spacing w:before="0" w:after="0"/>
              <w:jc w:val="center"/>
              <w:rPr>
                <w:rFonts w:eastAsia="Times New Roman"/>
                <w:noProof/>
                <w:color w:val="000000"/>
                <w:sz w:val="16"/>
                <w:szCs w:val="16"/>
              </w:rPr>
            </w:pPr>
            <w:r w:rsidRPr="00201A9A">
              <w:rPr>
                <w:noProof/>
                <w:color w:val="000000"/>
                <w:sz w:val="16"/>
              </w:rPr>
              <w:t>0</w:t>
            </w:r>
          </w:p>
        </w:tc>
      </w:tr>
      <w:tr w:rsidR="00B20C02" w:rsidRPr="00201A9A" w14:paraId="08D33CDE" w14:textId="77777777" w:rsidTr="005C6A60">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84296DB" w14:textId="77777777" w:rsidR="00B20C02" w:rsidRPr="00201A9A" w:rsidRDefault="00B20C02" w:rsidP="00B20C02">
            <w:pPr>
              <w:spacing w:before="0" w:after="0"/>
              <w:ind w:firstLineChars="100" w:firstLine="160"/>
              <w:jc w:val="left"/>
              <w:rPr>
                <w:rFonts w:eastAsia="Times New Roman"/>
                <w:b/>
                <w:bCs/>
                <w:noProof/>
                <w:color w:val="000000"/>
                <w:sz w:val="16"/>
                <w:szCs w:val="16"/>
              </w:rPr>
            </w:pPr>
            <w:r w:rsidRPr="00201A9A">
              <w:rPr>
                <w:b/>
                <w:noProof/>
                <w:color w:val="000000"/>
                <w:sz w:val="16"/>
              </w:rPr>
              <w:t>OGÓŁEM</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A2462C" w14:textId="77777777" w:rsidR="00B20C02" w:rsidRPr="00201A9A" w:rsidRDefault="00B20C02" w:rsidP="00B20C02">
            <w:pPr>
              <w:spacing w:before="0" w:after="0"/>
              <w:jc w:val="center"/>
              <w:rPr>
                <w:rFonts w:eastAsia="Times New Roman"/>
                <w:b/>
                <w:bCs/>
                <w:noProof/>
                <w:color w:val="000000"/>
                <w:sz w:val="16"/>
                <w:szCs w:val="16"/>
              </w:rPr>
            </w:pPr>
            <w:r w:rsidRPr="00201A9A">
              <w:rPr>
                <w:b/>
                <w:noProof/>
                <w:color w:val="000000"/>
                <w:sz w:val="16"/>
              </w:rPr>
              <w:t>57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6ACE24" w14:textId="77777777" w:rsidR="00B20C02" w:rsidRPr="00201A9A" w:rsidRDefault="00B20C02" w:rsidP="00B20C02">
            <w:pPr>
              <w:spacing w:before="0" w:after="0"/>
              <w:jc w:val="center"/>
              <w:rPr>
                <w:rFonts w:eastAsia="Times New Roman"/>
                <w:b/>
                <w:bCs/>
                <w:noProof/>
                <w:color w:val="000000"/>
                <w:sz w:val="16"/>
                <w:szCs w:val="16"/>
              </w:rPr>
            </w:pPr>
            <w:r w:rsidRPr="00201A9A">
              <w:rPr>
                <w:b/>
                <w:noProof/>
                <w:color w:val="000000"/>
                <w:sz w:val="16"/>
              </w:rPr>
              <w:t>57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7311D9" w14:textId="77777777" w:rsidR="00B20C02" w:rsidRPr="00201A9A" w:rsidRDefault="00B20C02" w:rsidP="00B20C02">
            <w:pPr>
              <w:spacing w:before="0" w:after="0"/>
              <w:jc w:val="center"/>
              <w:rPr>
                <w:rFonts w:eastAsia="Times New Roman"/>
                <w:b/>
                <w:bCs/>
                <w:noProof/>
                <w:color w:val="000000"/>
                <w:sz w:val="16"/>
                <w:szCs w:val="16"/>
              </w:rPr>
            </w:pPr>
            <w:r w:rsidRPr="00201A9A">
              <w:rPr>
                <w:b/>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2807259" w14:textId="77777777" w:rsidR="00B20C02" w:rsidRPr="00201A9A" w:rsidRDefault="00B20C02" w:rsidP="00B20C02">
            <w:pPr>
              <w:spacing w:before="0" w:after="0"/>
              <w:jc w:val="center"/>
              <w:rPr>
                <w:rFonts w:eastAsia="Times New Roman"/>
                <w:b/>
                <w:bCs/>
                <w:noProof/>
                <w:color w:val="000000"/>
                <w:sz w:val="16"/>
                <w:szCs w:val="16"/>
              </w:rPr>
            </w:pPr>
            <w:r w:rsidRPr="00201A9A">
              <w:rPr>
                <w:b/>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4AF82DF" w14:textId="77777777" w:rsidR="00B20C02" w:rsidRPr="00201A9A" w:rsidRDefault="00B20C02" w:rsidP="00B20C02">
            <w:pPr>
              <w:spacing w:before="0" w:after="0"/>
              <w:jc w:val="center"/>
              <w:rPr>
                <w:rFonts w:eastAsia="Times New Roman"/>
                <w:b/>
                <w:bCs/>
                <w:noProof/>
                <w:color w:val="000000"/>
                <w:sz w:val="16"/>
                <w:szCs w:val="16"/>
              </w:rPr>
            </w:pPr>
            <w:r w:rsidRPr="00201A9A">
              <w:rPr>
                <w:b/>
                <w:noProof/>
                <w:color w:val="000000"/>
                <w:sz w:val="16"/>
              </w:rPr>
              <w:t>57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C3C63E0" w14:textId="77777777" w:rsidR="00B20C02" w:rsidRPr="00201A9A" w:rsidRDefault="00B20C02" w:rsidP="00B20C02">
            <w:pPr>
              <w:spacing w:before="0" w:after="0"/>
              <w:jc w:val="center"/>
              <w:rPr>
                <w:rFonts w:eastAsia="Times New Roman"/>
                <w:b/>
                <w:bCs/>
                <w:noProof/>
                <w:color w:val="000000"/>
                <w:sz w:val="16"/>
                <w:szCs w:val="16"/>
              </w:rPr>
            </w:pPr>
            <w:r w:rsidRPr="00201A9A">
              <w:rPr>
                <w:b/>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3D0716D" w14:textId="77777777" w:rsidR="00B20C02" w:rsidRPr="00201A9A" w:rsidRDefault="00B20C02" w:rsidP="00B20C02">
            <w:pPr>
              <w:spacing w:before="0" w:after="0"/>
              <w:jc w:val="center"/>
              <w:rPr>
                <w:rFonts w:eastAsia="Times New Roman"/>
                <w:b/>
                <w:bCs/>
                <w:noProof/>
                <w:color w:val="000000"/>
                <w:sz w:val="16"/>
                <w:szCs w:val="16"/>
              </w:rPr>
            </w:pPr>
            <w:r w:rsidRPr="00201A9A">
              <w:rPr>
                <w:b/>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3E9C2F66" w14:textId="77777777" w:rsidR="00B20C02" w:rsidRPr="00201A9A" w:rsidRDefault="00B20C02" w:rsidP="00B20C02">
            <w:pPr>
              <w:spacing w:before="0" w:after="0"/>
              <w:jc w:val="center"/>
              <w:rPr>
                <w:rFonts w:eastAsia="Times New Roman"/>
                <w:b/>
                <w:bCs/>
                <w:noProof/>
                <w:color w:val="000000"/>
                <w:sz w:val="16"/>
                <w:szCs w:val="16"/>
              </w:rPr>
            </w:pPr>
            <w:r w:rsidRPr="00201A9A">
              <w:rPr>
                <w:b/>
                <w:noProof/>
                <w:color w:val="000000"/>
                <w:sz w:val="16"/>
              </w:rPr>
              <w:t>0</w:t>
            </w:r>
          </w:p>
        </w:tc>
      </w:tr>
    </w:tbl>
    <w:p w14:paraId="2AD2B7D6" w14:textId="77777777" w:rsidR="004A489F" w:rsidRPr="00201A9A" w:rsidRDefault="004A489F" w:rsidP="004A489F">
      <w:pPr>
        <w:pStyle w:val="ManualHeading3"/>
        <w:rPr>
          <w:noProof/>
        </w:rPr>
      </w:pPr>
      <w:r w:rsidRPr="00201A9A">
        <w:rPr>
          <w:noProof/>
        </w:rPr>
        <w:t>3.2.4.3.</w:t>
      </w:r>
      <w:r w:rsidRPr="00201A9A">
        <w:rPr>
          <w:noProof/>
        </w:rPr>
        <w:tab/>
        <w:t>Zapotrzebowanie na zasoby ludzkie ogółem</w:t>
      </w:r>
      <w:bookmarkEnd w:id="187"/>
      <w:bookmarkEnd w:id="188"/>
    </w:p>
    <w:tbl>
      <w:tblPr>
        <w:tblW w:w="5000" w:type="pct"/>
        <w:tblCellMar>
          <w:top w:w="15" w:type="dxa"/>
          <w:bottom w:w="15" w:type="dxa"/>
        </w:tblCellMar>
        <w:tblLook w:val="04A0" w:firstRow="1" w:lastRow="0" w:firstColumn="1" w:lastColumn="0" w:noHBand="0" w:noVBand="1"/>
      </w:tblPr>
      <w:tblGrid>
        <w:gridCol w:w="1296"/>
        <w:gridCol w:w="2620"/>
        <w:gridCol w:w="583"/>
        <w:gridCol w:w="616"/>
        <w:gridCol w:w="616"/>
        <w:gridCol w:w="616"/>
        <w:gridCol w:w="616"/>
        <w:gridCol w:w="616"/>
        <w:gridCol w:w="616"/>
        <w:gridCol w:w="1094"/>
      </w:tblGrid>
      <w:tr w:rsidR="00DE2F09" w:rsidRPr="00201A9A" w14:paraId="7E6AC3F3" w14:textId="77777777" w:rsidTr="001646F7">
        <w:trPr>
          <w:trHeight w:val="480"/>
        </w:trPr>
        <w:tc>
          <w:tcPr>
            <w:tcW w:w="2032" w:type="pct"/>
            <w:gridSpan w:val="2"/>
            <w:vMerge w:val="restart"/>
            <w:tcBorders>
              <w:top w:val="single" w:sz="8" w:space="0" w:color="auto"/>
              <w:left w:val="single" w:sz="8" w:space="0" w:color="auto"/>
              <w:bottom w:val="nil"/>
              <w:right w:val="nil"/>
            </w:tcBorders>
            <w:vAlign w:val="center"/>
            <w:hideMark/>
          </w:tcPr>
          <w:p w14:paraId="70E36681" w14:textId="77777777" w:rsidR="00DE2F09" w:rsidRPr="00201A9A" w:rsidRDefault="00DE2F09" w:rsidP="00DE2F09">
            <w:pPr>
              <w:spacing w:before="0" w:after="0"/>
              <w:jc w:val="center"/>
              <w:rPr>
                <w:rFonts w:eastAsia="Times New Roman"/>
                <w:b/>
                <w:bCs/>
                <w:noProof/>
                <w:color w:val="000000"/>
                <w:sz w:val="18"/>
                <w:szCs w:val="18"/>
              </w:rPr>
            </w:pPr>
            <w:bookmarkStart w:id="189" w:name="_Hlk167692843"/>
            <w:bookmarkEnd w:id="186"/>
            <w:r w:rsidRPr="00201A9A">
              <w:rPr>
                <w:b/>
                <w:noProof/>
                <w:color w:val="000000"/>
                <w:sz w:val="18"/>
              </w:rPr>
              <w:t>OGÓŁEM</w:t>
            </w:r>
            <w:r w:rsidRPr="00201A9A">
              <w:rPr>
                <w:noProof/>
              </w:rPr>
              <w:t xml:space="preserve"> </w:t>
            </w:r>
            <w:r w:rsidRPr="00201A9A">
              <w:rPr>
                <w:noProof/>
              </w:rPr>
              <w:br/>
            </w:r>
            <w:r w:rsidRPr="00201A9A">
              <w:rPr>
                <w:b/>
                <w:noProof/>
                <w:color w:val="000000"/>
                <w:sz w:val="18"/>
              </w:rPr>
              <w:t>ZATWIERDZONE ŚRODKI</w:t>
            </w:r>
            <w:r w:rsidRPr="00201A9A">
              <w:rPr>
                <w:noProof/>
              </w:rPr>
              <w:t xml:space="preserve"> </w:t>
            </w:r>
            <w:r w:rsidRPr="00201A9A">
              <w:rPr>
                <w:noProof/>
              </w:rPr>
              <w:br/>
            </w:r>
            <w:r w:rsidRPr="00201A9A">
              <w:rPr>
                <w:b/>
                <w:noProof/>
                <w:color w:val="000000"/>
                <w:sz w:val="18"/>
              </w:rPr>
              <w:t>+</w:t>
            </w:r>
            <w:r w:rsidRPr="00201A9A">
              <w:rPr>
                <w:noProof/>
              </w:rPr>
              <w:t xml:space="preserve"> </w:t>
            </w:r>
            <w:r w:rsidRPr="00201A9A">
              <w:rPr>
                <w:noProof/>
              </w:rPr>
              <w:br/>
            </w:r>
            <w:r w:rsidRPr="00201A9A">
              <w:rPr>
                <w:b/>
                <w:noProof/>
                <w:color w:val="000000"/>
                <w:sz w:val="18"/>
              </w:rPr>
              <w:t>ZEWNĘTRZNE DOCHODY PRZEZNACZONE NA OKREŚLONY CEL</w:t>
            </w:r>
          </w:p>
        </w:tc>
        <w:tc>
          <w:tcPr>
            <w:tcW w:w="366" w:type="pct"/>
            <w:tcBorders>
              <w:top w:val="single" w:sz="8" w:space="0" w:color="auto"/>
              <w:left w:val="nil"/>
              <w:bottom w:val="nil"/>
              <w:right w:val="single" w:sz="8" w:space="0" w:color="auto"/>
            </w:tcBorders>
            <w:vAlign w:val="center"/>
            <w:hideMark/>
          </w:tcPr>
          <w:p w14:paraId="5EE053EE" w14:textId="77777777" w:rsidR="00DE2F09" w:rsidRPr="00201A9A" w:rsidRDefault="00DE2F09" w:rsidP="00DE2F09">
            <w:pPr>
              <w:spacing w:before="0" w:after="0"/>
              <w:jc w:val="center"/>
              <w:rPr>
                <w:rFonts w:eastAsia="Times New Roman"/>
                <w:noProof/>
                <w:color w:val="000000"/>
                <w:sz w:val="20"/>
                <w:szCs w:val="20"/>
              </w:rPr>
            </w:pPr>
            <w:r w:rsidRPr="00201A9A">
              <w:rPr>
                <w:noProof/>
                <w:color w:val="000000"/>
                <w:sz w:val="20"/>
              </w:rPr>
              <w:t>Rok</w:t>
            </w:r>
          </w:p>
        </w:tc>
        <w:tc>
          <w:tcPr>
            <w:tcW w:w="366" w:type="pct"/>
            <w:tcBorders>
              <w:top w:val="single" w:sz="8" w:space="0" w:color="auto"/>
              <w:left w:val="nil"/>
              <w:bottom w:val="nil"/>
              <w:right w:val="single" w:sz="8" w:space="0" w:color="auto"/>
            </w:tcBorders>
            <w:vAlign w:val="center"/>
            <w:hideMark/>
          </w:tcPr>
          <w:p w14:paraId="5F00AF0B" w14:textId="77777777" w:rsidR="00DE2F09" w:rsidRPr="00201A9A" w:rsidRDefault="00DE2F09" w:rsidP="00DE2F09">
            <w:pPr>
              <w:spacing w:before="0" w:after="0"/>
              <w:jc w:val="center"/>
              <w:rPr>
                <w:rFonts w:eastAsia="Times New Roman"/>
                <w:noProof/>
                <w:color w:val="000000"/>
                <w:sz w:val="20"/>
                <w:szCs w:val="20"/>
              </w:rPr>
            </w:pPr>
            <w:r w:rsidRPr="00201A9A">
              <w:rPr>
                <w:noProof/>
                <w:color w:val="000000"/>
                <w:sz w:val="20"/>
              </w:rPr>
              <w:t>Rok</w:t>
            </w:r>
          </w:p>
        </w:tc>
        <w:tc>
          <w:tcPr>
            <w:tcW w:w="366" w:type="pct"/>
            <w:tcBorders>
              <w:top w:val="single" w:sz="8" w:space="0" w:color="auto"/>
              <w:left w:val="nil"/>
              <w:bottom w:val="nil"/>
              <w:right w:val="single" w:sz="8" w:space="0" w:color="auto"/>
            </w:tcBorders>
            <w:vAlign w:val="center"/>
            <w:hideMark/>
          </w:tcPr>
          <w:p w14:paraId="3848342E" w14:textId="77777777" w:rsidR="00DE2F09" w:rsidRPr="00201A9A" w:rsidRDefault="00DE2F09" w:rsidP="00DE2F09">
            <w:pPr>
              <w:spacing w:before="0" w:after="0"/>
              <w:jc w:val="center"/>
              <w:rPr>
                <w:rFonts w:eastAsia="Times New Roman"/>
                <w:noProof/>
                <w:color w:val="000000"/>
                <w:sz w:val="20"/>
                <w:szCs w:val="20"/>
              </w:rPr>
            </w:pPr>
            <w:r w:rsidRPr="00201A9A">
              <w:rPr>
                <w:noProof/>
                <w:color w:val="000000"/>
                <w:sz w:val="20"/>
              </w:rPr>
              <w:t>Rok</w:t>
            </w:r>
          </w:p>
        </w:tc>
        <w:tc>
          <w:tcPr>
            <w:tcW w:w="374" w:type="pct"/>
            <w:tcBorders>
              <w:top w:val="single" w:sz="8" w:space="0" w:color="auto"/>
              <w:left w:val="nil"/>
              <w:bottom w:val="nil"/>
              <w:right w:val="single" w:sz="8" w:space="0" w:color="auto"/>
            </w:tcBorders>
            <w:vAlign w:val="center"/>
            <w:hideMark/>
          </w:tcPr>
          <w:p w14:paraId="450693DD" w14:textId="77777777" w:rsidR="00DE2F09" w:rsidRPr="00201A9A" w:rsidRDefault="00DE2F09" w:rsidP="00DE2F09">
            <w:pPr>
              <w:spacing w:before="0" w:after="0"/>
              <w:jc w:val="center"/>
              <w:rPr>
                <w:rFonts w:eastAsia="Times New Roman"/>
                <w:noProof/>
                <w:color w:val="000000"/>
                <w:sz w:val="20"/>
                <w:szCs w:val="20"/>
              </w:rPr>
            </w:pPr>
            <w:r w:rsidRPr="00201A9A">
              <w:rPr>
                <w:noProof/>
                <w:color w:val="000000"/>
                <w:sz w:val="20"/>
              </w:rPr>
              <w:t>Rok</w:t>
            </w:r>
          </w:p>
        </w:tc>
        <w:tc>
          <w:tcPr>
            <w:tcW w:w="374" w:type="pct"/>
            <w:tcBorders>
              <w:top w:val="single" w:sz="8" w:space="0" w:color="auto"/>
              <w:left w:val="nil"/>
              <w:bottom w:val="nil"/>
              <w:right w:val="single" w:sz="8" w:space="0" w:color="auto"/>
            </w:tcBorders>
            <w:vAlign w:val="center"/>
            <w:hideMark/>
          </w:tcPr>
          <w:p w14:paraId="2863663E" w14:textId="77777777" w:rsidR="00DE2F09" w:rsidRPr="00201A9A" w:rsidRDefault="00DE2F09" w:rsidP="00DE2F09">
            <w:pPr>
              <w:spacing w:before="0" w:after="0"/>
              <w:jc w:val="center"/>
              <w:rPr>
                <w:rFonts w:eastAsia="Times New Roman"/>
                <w:noProof/>
                <w:color w:val="000000"/>
                <w:sz w:val="20"/>
                <w:szCs w:val="20"/>
              </w:rPr>
            </w:pPr>
            <w:r w:rsidRPr="00201A9A">
              <w:rPr>
                <w:noProof/>
                <w:color w:val="000000"/>
                <w:sz w:val="20"/>
              </w:rPr>
              <w:t>Rok</w:t>
            </w:r>
          </w:p>
        </w:tc>
        <w:tc>
          <w:tcPr>
            <w:tcW w:w="374" w:type="pct"/>
            <w:tcBorders>
              <w:top w:val="single" w:sz="8" w:space="0" w:color="auto"/>
              <w:left w:val="nil"/>
              <w:bottom w:val="nil"/>
              <w:right w:val="single" w:sz="8" w:space="0" w:color="auto"/>
            </w:tcBorders>
            <w:vAlign w:val="center"/>
            <w:hideMark/>
          </w:tcPr>
          <w:p w14:paraId="08563404" w14:textId="77777777" w:rsidR="00DE2F09" w:rsidRPr="00201A9A" w:rsidRDefault="00DE2F09" w:rsidP="00DE2F09">
            <w:pPr>
              <w:spacing w:before="0" w:after="0"/>
              <w:jc w:val="center"/>
              <w:rPr>
                <w:rFonts w:eastAsia="Times New Roman"/>
                <w:noProof/>
                <w:color w:val="000000"/>
                <w:sz w:val="20"/>
                <w:szCs w:val="20"/>
              </w:rPr>
            </w:pPr>
            <w:r w:rsidRPr="00201A9A">
              <w:rPr>
                <w:noProof/>
                <w:color w:val="000000"/>
                <w:sz w:val="20"/>
              </w:rPr>
              <w:t>Rok</w:t>
            </w:r>
          </w:p>
        </w:tc>
        <w:tc>
          <w:tcPr>
            <w:tcW w:w="374" w:type="pct"/>
            <w:tcBorders>
              <w:top w:val="single" w:sz="8" w:space="0" w:color="auto"/>
              <w:left w:val="nil"/>
              <w:bottom w:val="nil"/>
              <w:right w:val="single" w:sz="8" w:space="0" w:color="auto"/>
            </w:tcBorders>
            <w:vAlign w:val="center"/>
            <w:hideMark/>
          </w:tcPr>
          <w:p w14:paraId="6E16289C" w14:textId="77777777" w:rsidR="00DE2F09" w:rsidRPr="00201A9A" w:rsidRDefault="00DE2F09" w:rsidP="00DE2F09">
            <w:pPr>
              <w:spacing w:before="0" w:after="0"/>
              <w:jc w:val="center"/>
              <w:rPr>
                <w:rFonts w:eastAsia="Times New Roman"/>
                <w:noProof/>
                <w:color w:val="000000"/>
                <w:sz w:val="20"/>
                <w:szCs w:val="20"/>
              </w:rPr>
            </w:pPr>
            <w:r w:rsidRPr="00201A9A">
              <w:rPr>
                <w:noProof/>
                <w:color w:val="000000"/>
                <w:sz w:val="20"/>
              </w:rPr>
              <w:t>Rok</w:t>
            </w:r>
          </w:p>
        </w:tc>
        <w:tc>
          <w:tcPr>
            <w:tcW w:w="374" w:type="pct"/>
            <w:tcBorders>
              <w:top w:val="single" w:sz="8" w:space="0" w:color="auto"/>
              <w:left w:val="nil"/>
              <w:bottom w:val="nil"/>
              <w:right w:val="single" w:sz="8" w:space="0" w:color="auto"/>
            </w:tcBorders>
            <w:vAlign w:val="center"/>
            <w:hideMark/>
          </w:tcPr>
          <w:p w14:paraId="6320DA7C" w14:textId="77777777" w:rsidR="00DE2F09" w:rsidRPr="00201A9A" w:rsidRDefault="00DE2F09" w:rsidP="00DE2F09">
            <w:pPr>
              <w:spacing w:before="0" w:after="0"/>
              <w:jc w:val="center"/>
              <w:rPr>
                <w:rFonts w:eastAsia="Times New Roman"/>
                <w:noProof/>
                <w:color w:val="000000"/>
                <w:sz w:val="20"/>
                <w:szCs w:val="20"/>
              </w:rPr>
            </w:pPr>
            <w:r w:rsidRPr="00201A9A">
              <w:rPr>
                <w:noProof/>
                <w:color w:val="000000"/>
                <w:sz w:val="20"/>
              </w:rPr>
              <w:t>ZAMIEŚĆ</w:t>
            </w:r>
          </w:p>
        </w:tc>
      </w:tr>
      <w:tr w:rsidR="00DE2F09" w:rsidRPr="00201A9A" w14:paraId="1377436A" w14:textId="77777777" w:rsidTr="001646F7">
        <w:trPr>
          <w:trHeight w:val="480"/>
        </w:trPr>
        <w:tc>
          <w:tcPr>
            <w:tcW w:w="2032" w:type="pct"/>
            <w:gridSpan w:val="2"/>
            <w:vMerge/>
            <w:tcBorders>
              <w:top w:val="single" w:sz="8" w:space="0" w:color="auto"/>
              <w:left w:val="single" w:sz="8" w:space="0" w:color="auto"/>
              <w:bottom w:val="nil"/>
              <w:right w:val="nil"/>
            </w:tcBorders>
            <w:vAlign w:val="center"/>
            <w:hideMark/>
          </w:tcPr>
          <w:p w14:paraId="60EC399C" w14:textId="77777777" w:rsidR="00DE2F09" w:rsidRPr="00201A9A" w:rsidRDefault="00DE2F09" w:rsidP="00DE2F09">
            <w:pPr>
              <w:spacing w:before="0" w:after="0"/>
              <w:jc w:val="left"/>
              <w:rPr>
                <w:rFonts w:eastAsia="Times New Roman"/>
                <w:b/>
                <w:bCs/>
                <w:noProof/>
                <w:color w:val="000000"/>
                <w:sz w:val="18"/>
                <w:szCs w:val="18"/>
                <w:lang w:eastAsia="zh-CN"/>
              </w:rPr>
            </w:pPr>
          </w:p>
        </w:tc>
        <w:tc>
          <w:tcPr>
            <w:tcW w:w="366" w:type="pct"/>
            <w:tcBorders>
              <w:top w:val="nil"/>
              <w:left w:val="nil"/>
              <w:bottom w:val="single" w:sz="8" w:space="0" w:color="auto"/>
              <w:right w:val="single" w:sz="8" w:space="0" w:color="auto"/>
            </w:tcBorders>
            <w:vAlign w:val="center"/>
            <w:hideMark/>
          </w:tcPr>
          <w:p w14:paraId="616B0B15" w14:textId="77777777" w:rsidR="00DE2F09" w:rsidRPr="00201A9A" w:rsidRDefault="00DE2F09" w:rsidP="00DE2F09">
            <w:pPr>
              <w:spacing w:before="0" w:after="0"/>
              <w:jc w:val="center"/>
              <w:rPr>
                <w:rFonts w:eastAsia="Times New Roman"/>
                <w:b/>
                <w:bCs/>
                <w:noProof/>
                <w:color w:val="000000"/>
                <w:sz w:val="16"/>
                <w:szCs w:val="16"/>
              </w:rPr>
            </w:pPr>
            <w:r w:rsidRPr="00201A9A">
              <w:rPr>
                <w:b/>
                <w:noProof/>
                <w:color w:val="000000"/>
                <w:sz w:val="16"/>
              </w:rPr>
              <w:t>2028</w:t>
            </w:r>
          </w:p>
        </w:tc>
        <w:tc>
          <w:tcPr>
            <w:tcW w:w="366" w:type="pct"/>
            <w:tcBorders>
              <w:top w:val="nil"/>
              <w:left w:val="nil"/>
              <w:bottom w:val="single" w:sz="8" w:space="0" w:color="auto"/>
              <w:right w:val="single" w:sz="8" w:space="0" w:color="auto"/>
            </w:tcBorders>
            <w:vAlign w:val="center"/>
            <w:hideMark/>
          </w:tcPr>
          <w:p w14:paraId="629516AB" w14:textId="77777777" w:rsidR="00DE2F09" w:rsidRPr="00201A9A" w:rsidRDefault="00DE2F09" w:rsidP="00DE2F09">
            <w:pPr>
              <w:spacing w:before="0" w:after="0"/>
              <w:jc w:val="center"/>
              <w:rPr>
                <w:rFonts w:eastAsia="Times New Roman"/>
                <w:b/>
                <w:bCs/>
                <w:noProof/>
                <w:color w:val="000000"/>
                <w:sz w:val="20"/>
                <w:szCs w:val="20"/>
              </w:rPr>
            </w:pPr>
            <w:r w:rsidRPr="00201A9A">
              <w:rPr>
                <w:b/>
                <w:noProof/>
                <w:color w:val="000000"/>
                <w:sz w:val="20"/>
              </w:rPr>
              <w:t>2029</w:t>
            </w:r>
          </w:p>
        </w:tc>
        <w:tc>
          <w:tcPr>
            <w:tcW w:w="366" w:type="pct"/>
            <w:tcBorders>
              <w:top w:val="nil"/>
              <w:left w:val="nil"/>
              <w:bottom w:val="single" w:sz="8" w:space="0" w:color="auto"/>
              <w:right w:val="single" w:sz="8" w:space="0" w:color="auto"/>
            </w:tcBorders>
            <w:vAlign w:val="center"/>
            <w:hideMark/>
          </w:tcPr>
          <w:p w14:paraId="0C93897F" w14:textId="77777777" w:rsidR="00DE2F09" w:rsidRPr="00201A9A" w:rsidRDefault="00DE2F09" w:rsidP="00DE2F09">
            <w:pPr>
              <w:spacing w:before="0" w:after="0"/>
              <w:jc w:val="center"/>
              <w:rPr>
                <w:rFonts w:eastAsia="Times New Roman"/>
                <w:b/>
                <w:bCs/>
                <w:noProof/>
                <w:color w:val="000000"/>
                <w:sz w:val="20"/>
                <w:szCs w:val="20"/>
              </w:rPr>
            </w:pPr>
            <w:r w:rsidRPr="00201A9A">
              <w:rPr>
                <w:b/>
                <w:noProof/>
                <w:color w:val="000000"/>
                <w:sz w:val="20"/>
              </w:rPr>
              <w:t>2030</w:t>
            </w:r>
          </w:p>
        </w:tc>
        <w:tc>
          <w:tcPr>
            <w:tcW w:w="374" w:type="pct"/>
            <w:tcBorders>
              <w:top w:val="nil"/>
              <w:left w:val="nil"/>
              <w:bottom w:val="single" w:sz="8" w:space="0" w:color="auto"/>
              <w:right w:val="single" w:sz="8" w:space="0" w:color="auto"/>
            </w:tcBorders>
            <w:vAlign w:val="center"/>
            <w:hideMark/>
          </w:tcPr>
          <w:p w14:paraId="130E8BC8" w14:textId="77777777" w:rsidR="00DE2F09" w:rsidRPr="00201A9A" w:rsidRDefault="00DE2F09" w:rsidP="00DE2F09">
            <w:pPr>
              <w:spacing w:before="0" w:after="0"/>
              <w:jc w:val="center"/>
              <w:rPr>
                <w:rFonts w:eastAsia="Times New Roman"/>
                <w:b/>
                <w:bCs/>
                <w:noProof/>
                <w:color w:val="000000"/>
                <w:sz w:val="20"/>
                <w:szCs w:val="20"/>
              </w:rPr>
            </w:pPr>
            <w:r w:rsidRPr="00201A9A">
              <w:rPr>
                <w:b/>
                <w:noProof/>
                <w:color w:val="000000"/>
                <w:sz w:val="20"/>
              </w:rPr>
              <w:t>2031</w:t>
            </w:r>
          </w:p>
        </w:tc>
        <w:tc>
          <w:tcPr>
            <w:tcW w:w="374" w:type="pct"/>
            <w:tcBorders>
              <w:top w:val="nil"/>
              <w:left w:val="nil"/>
              <w:bottom w:val="single" w:sz="8" w:space="0" w:color="auto"/>
              <w:right w:val="single" w:sz="8" w:space="0" w:color="auto"/>
            </w:tcBorders>
            <w:vAlign w:val="center"/>
            <w:hideMark/>
          </w:tcPr>
          <w:p w14:paraId="30152570" w14:textId="77777777" w:rsidR="00DE2F09" w:rsidRPr="00201A9A" w:rsidRDefault="00DE2F09" w:rsidP="00DE2F09">
            <w:pPr>
              <w:spacing w:before="0" w:after="0"/>
              <w:jc w:val="center"/>
              <w:rPr>
                <w:rFonts w:eastAsia="Times New Roman"/>
                <w:b/>
                <w:bCs/>
                <w:noProof/>
                <w:color w:val="000000"/>
                <w:sz w:val="20"/>
                <w:szCs w:val="20"/>
              </w:rPr>
            </w:pPr>
            <w:r w:rsidRPr="00201A9A">
              <w:rPr>
                <w:b/>
                <w:noProof/>
                <w:color w:val="000000"/>
                <w:sz w:val="20"/>
              </w:rPr>
              <w:t>2032</w:t>
            </w:r>
          </w:p>
        </w:tc>
        <w:tc>
          <w:tcPr>
            <w:tcW w:w="374" w:type="pct"/>
            <w:tcBorders>
              <w:top w:val="nil"/>
              <w:left w:val="nil"/>
              <w:bottom w:val="single" w:sz="8" w:space="0" w:color="auto"/>
              <w:right w:val="single" w:sz="8" w:space="0" w:color="auto"/>
            </w:tcBorders>
            <w:vAlign w:val="center"/>
            <w:hideMark/>
          </w:tcPr>
          <w:p w14:paraId="364A12DA" w14:textId="77777777" w:rsidR="00DE2F09" w:rsidRPr="00201A9A" w:rsidRDefault="00DE2F09" w:rsidP="00DE2F09">
            <w:pPr>
              <w:spacing w:before="0" w:after="0"/>
              <w:jc w:val="center"/>
              <w:rPr>
                <w:rFonts w:eastAsia="Times New Roman"/>
                <w:b/>
                <w:bCs/>
                <w:noProof/>
                <w:color w:val="000000"/>
                <w:sz w:val="20"/>
                <w:szCs w:val="20"/>
              </w:rPr>
            </w:pPr>
            <w:r w:rsidRPr="00201A9A">
              <w:rPr>
                <w:b/>
                <w:noProof/>
                <w:color w:val="000000"/>
                <w:sz w:val="20"/>
              </w:rPr>
              <w:t>2033</w:t>
            </w:r>
          </w:p>
        </w:tc>
        <w:tc>
          <w:tcPr>
            <w:tcW w:w="374" w:type="pct"/>
            <w:tcBorders>
              <w:top w:val="nil"/>
              <w:left w:val="nil"/>
              <w:bottom w:val="single" w:sz="8" w:space="0" w:color="auto"/>
              <w:right w:val="single" w:sz="8" w:space="0" w:color="auto"/>
            </w:tcBorders>
            <w:vAlign w:val="center"/>
            <w:hideMark/>
          </w:tcPr>
          <w:p w14:paraId="52C214E1" w14:textId="77777777" w:rsidR="00DE2F09" w:rsidRPr="00201A9A" w:rsidRDefault="00DE2F09" w:rsidP="00DE2F09">
            <w:pPr>
              <w:spacing w:before="0" w:after="0"/>
              <w:jc w:val="center"/>
              <w:rPr>
                <w:rFonts w:eastAsia="Times New Roman"/>
                <w:b/>
                <w:bCs/>
                <w:noProof/>
                <w:color w:val="000000"/>
                <w:sz w:val="20"/>
                <w:szCs w:val="20"/>
              </w:rPr>
            </w:pPr>
            <w:r w:rsidRPr="00201A9A">
              <w:rPr>
                <w:b/>
                <w:noProof/>
                <w:color w:val="000000"/>
                <w:sz w:val="20"/>
              </w:rPr>
              <w:t>2034</w:t>
            </w:r>
          </w:p>
        </w:tc>
        <w:tc>
          <w:tcPr>
            <w:tcW w:w="374" w:type="pct"/>
            <w:tcBorders>
              <w:top w:val="nil"/>
              <w:left w:val="nil"/>
              <w:bottom w:val="single" w:sz="8" w:space="0" w:color="auto"/>
              <w:right w:val="single" w:sz="8" w:space="0" w:color="auto"/>
            </w:tcBorders>
            <w:vAlign w:val="center"/>
            <w:hideMark/>
          </w:tcPr>
          <w:p w14:paraId="7AA7D3DA" w14:textId="77777777" w:rsidR="00DE2F09" w:rsidRPr="00201A9A" w:rsidRDefault="00DE2F09" w:rsidP="00DE2F09">
            <w:pPr>
              <w:spacing w:before="0" w:after="0"/>
              <w:jc w:val="center"/>
              <w:rPr>
                <w:rFonts w:eastAsia="Times New Roman"/>
                <w:b/>
                <w:bCs/>
                <w:noProof/>
                <w:color w:val="000000"/>
                <w:sz w:val="20"/>
                <w:szCs w:val="20"/>
              </w:rPr>
            </w:pPr>
            <w:r w:rsidRPr="00201A9A">
              <w:rPr>
                <w:b/>
                <w:noProof/>
                <w:color w:val="000000"/>
                <w:sz w:val="20"/>
              </w:rPr>
              <w:t>2034</w:t>
            </w:r>
          </w:p>
        </w:tc>
      </w:tr>
      <w:tr w:rsidR="00DE2F09" w:rsidRPr="00201A9A" w14:paraId="7C9B48ED" w14:textId="77777777" w:rsidTr="001646F7">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6161FEAA" w14:textId="63B702A8" w:rsidR="00DE2F09" w:rsidRPr="00201A9A" w:rsidRDefault="00DE2F09" w:rsidP="00DE2F09">
            <w:pPr>
              <w:spacing w:before="0" w:after="0"/>
              <w:jc w:val="left"/>
              <w:rPr>
                <w:rFonts w:ascii="Wingdings" w:eastAsia="Times New Roman" w:hAnsi="Wingdings" w:cs="Calibri"/>
                <w:b/>
                <w:bCs/>
                <w:noProof/>
                <w:color w:val="000000"/>
                <w:sz w:val="16"/>
                <w:szCs w:val="16"/>
              </w:rPr>
            </w:pPr>
            <w:r w:rsidRPr="00201A9A">
              <w:rPr>
                <w:rFonts w:ascii="Wingdings" w:hAnsi="Wingdings"/>
                <w:b/>
                <w:noProof/>
                <w:color w:val="000000"/>
                <w:sz w:val="16"/>
              </w:rPr>
              <w:t></w:t>
            </w:r>
            <w:r w:rsidRPr="00201A9A">
              <w:rPr>
                <w:b/>
                <w:noProof/>
                <w:color w:val="000000"/>
                <w:sz w:val="16"/>
              </w:rPr>
              <w:t xml:space="preserve"> Stanowiska przewidziane</w:t>
            </w:r>
            <w:r w:rsidR="00201A9A" w:rsidRPr="00201A9A">
              <w:rPr>
                <w:b/>
                <w:noProof/>
                <w:color w:val="000000"/>
                <w:sz w:val="16"/>
              </w:rPr>
              <w:t xml:space="preserve"> w pla</w:t>
            </w:r>
            <w:r w:rsidRPr="00201A9A">
              <w:rPr>
                <w:b/>
                <w:noProof/>
                <w:color w:val="000000"/>
                <w:sz w:val="16"/>
              </w:rPr>
              <w:t>nie zatrudnienia (stanowiska urzędników</w:t>
            </w:r>
            <w:r w:rsidR="00201A9A" w:rsidRPr="00201A9A">
              <w:rPr>
                <w:b/>
                <w:noProof/>
                <w:color w:val="000000"/>
                <w:sz w:val="16"/>
              </w:rPr>
              <w:t xml:space="preserve"> i pra</w:t>
            </w:r>
            <w:r w:rsidRPr="00201A9A">
              <w:rPr>
                <w:b/>
                <w:noProof/>
                <w:color w:val="000000"/>
                <w:sz w:val="16"/>
              </w:rPr>
              <w:t>cowników zatrudnionych na czas określony)</w:t>
            </w:r>
          </w:p>
        </w:tc>
        <w:tc>
          <w:tcPr>
            <w:tcW w:w="374" w:type="pct"/>
            <w:tcBorders>
              <w:top w:val="single" w:sz="8" w:space="0" w:color="auto"/>
              <w:left w:val="nil"/>
              <w:bottom w:val="single" w:sz="8" w:space="0" w:color="auto"/>
              <w:right w:val="nil"/>
            </w:tcBorders>
            <w:vAlign w:val="center"/>
            <w:hideMark/>
          </w:tcPr>
          <w:p w14:paraId="0773B2B4" w14:textId="77777777" w:rsidR="00DE2F09" w:rsidRPr="00201A9A" w:rsidRDefault="00DE2F09" w:rsidP="00DE2F09">
            <w:pPr>
              <w:spacing w:before="0" w:after="0"/>
              <w:jc w:val="left"/>
              <w:rPr>
                <w:rFonts w:ascii="Wingdings" w:eastAsia="Times New Roman" w:hAnsi="Wingdings" w:cs="Calibri"/>
                <w:b/>
                <w:bCs/>
                <w:noProof/>
                <w:color w:val="000000"/>
                <w:sz w:val="16"/>
                <w:szCs w:val="16"/>
                <w:lang w:eastAsia="zh-CN"/>
              </w:rPr>
            </w:pPr>
          </w:p>
        </w:tc>
      </w:tr>
      <w:tr w:rsidR="001646F7" w:rsidRPr="00201A9A" w14:paraId="0165676B"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6C49AC5F" w14:textId="60E0E61D" w:rsidR="00DE2F09" w:rsidRPr="00201A9A" w:rsidRDefault="00DE2F09" w:rsidP="00DE2F09">
            <w:pPr>
              <w:spacing w:before="0" w:after="0"/>
              <w:ind w:firstLineChars="100" w:firstLine="240"/>
              <w:jc w:val="left"/>
              <w:rPr>
                <w:rFonts w:eastAsia="Times New Roman"/>
                <w:noProof/>
                <w:color w:val="000000"/>
                <w:sz w:val="16"/>
                <w:szCs w:val="16"/>
              </w:rPr>
            </w:pPr>
            <w:r w:rsidRPr="00201A9A">
              <w:rPr>
                <w:noProof/>
                <w:color w:val="000000"/>
              </w:rPr>
              <w:t>20 01 02 01 (w centrali</w:t>
            </w:r>
            <w:r w:rsidR="00201A9A" w:rsidRPr="00201A9A">
              <w:rPr>
                <w:noProof/>
                <w:color w:val="000000"/>
              </w:rPr>
              <w:t xml:space="preserve"> i w biu</w:t>
            </w:r>
            <w:r w:rsidRPr="00201A9A">
              <w:rPr>
                <w:noProof/>
                <w:color w:val="000000"/>
              </w:rPr>
              <w:t>rach przedstawicielstw Komisji)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166B783"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2180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9B184C"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2180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FFF12E"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D435D3"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D219767"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CBA0349"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2180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71D028E"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2180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EF7BEF3"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2180</w:t>
            </w:r>
          </w:p>
        </w:tc>
      </w:tr>
      <w:tr w:rsidR="001646F7" w:rsidRPr="00201A9A" w14:paraId="4D33A39B"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2A3D2028" w14:textId="77777777" w:rsidR="00DE2F09" w:rsidRPr="00201A9A" w:rsidRDefault="00DE2F09" w:rsidP="00DE2F09">
            <w:pPr>
              <w:spacing w:before="0" w:after="0"/>
              <w:ind w:firstLineChars="100" w:firstLine="160"/>
              <w:jc w:val="left"/>
              <w:rPr>
                <w:rFonts w:eastAsia="Times New Roman"/>
                <w:noProof/>
                <w:color w:val="000000"/>
                <w:sz w:val="16"/>
                <w:szCs w:val="16"/>
              </w:rPr>
            </w:pPr>
            <w:r w:rsidRPr="00201A9A">
              <w:rPr>
                <w:noProof/>
                <w:color w:val="000000"/>
                <w:sz w:val="16"/>
              </w:rPr>
              <w:t>20 01 02 03 (w delegaturach UE)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6075F6D"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E47CC0"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92B105"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99DF81D"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444E92"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870F4D"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F62FC21"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336F3AE8"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r>
      <w:tr w:rsidR="001646F7" w:rsidRPr="00201A9A" w14:paraId="3FECE487"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1185C88" w14:textId="77777777" w:rsidR="00DE2F09" w:rsidRPr="00201A9A" w:rsidRDefault="00DE2F09" w:rsidP="00DE2F09">
            <w:pPr>
              <w:spacing w:before="0" w:after="0"/>
              <w:ind w:firstLineChars="100" w:firstLine="160"/>
              <w:jc w:val="left"/>
              <w:rPr>
                <w:rFonts w:eastAsia="Times New Roman"/>
                <w:noProof/>
                <w:color w:val="000000"/>
                <w:sz w:val="16"/>
                <w:szCs w:val="16"/>
              </w:rPr>
            </w:pPr>
            <w:r w:rsidRPr="00201A9A">
              <w:rPr>
                <w:noProof/>
                <w:color w:val="000000"/>
                <w:sz w:val="16"/>
              </w:rPr>
              <w:t>01 01 01 01</w:t>
            </w:r>
            <w:r w:rsidRPr="00201A9A">
              <w:rPr>
                <w:noProof/>
                <w:color w:val="000000"/>
              </w:rPr>
              <w:t xml:space="preserve"> </w:t>
            </w:r>
            <w:r w:rsidRPr="00201A9A">
              <w:rPr>
                <w:noProof/>
                <w:color w:val="000000"/>
                <w:sz w:val="16"/>
              </w:rPr>
              <w:t>(pośrednie badania naukowe)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A2A479"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08C9258"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BD71263"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4E92055"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E8A117B"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CD62CB"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F53C7AF"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3C20586B"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r>
      <w:tr w:rsidR="001646F7" w:rsidRPr="00201A9A" w14:paraId="5C00B72E"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E07D8D8" w14:textId="77777777" w:rsidR="00DE2F09" w:rsidRPr="00201A9A" w:rsidRDefault="00DE2F09" w:rsidP="00DE2F09">
            <w:pPr>
              <w:spacing w:before="0" w:after="0"/>
              <w:ind w:firstLineChars="100" w:firstLine="160"/>
              <w:jc w:val="left"/>
              <w:rPr>
                <w:rFonts w:eastAsia="Times New Roman"/>
                <w:noProof/>
                <w:color w:val="000000"/>
                <w:sz w:val="16"/>
                <w:szCs w:val="16"/>
              </w:rPr>
            </w:pPr>
            <w:r w:rsidRPr="00201A9A">
              <w:rPr>
                <w:noProof/>
                <w:color w:val="000000"/>
                <w:sz w:val="16"/>
              </w:rPr>
              <w:t>01 01 01 11 (bezpośrednie badania naukowe)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E16D374"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CBABBB8"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2C04C9F"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648543D"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FD49840"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9E1C544"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59787B"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46FB1B1"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r>
      <w:tr w:rsidR="001646F7" w:rsidRPr="00201A9A" w14:paraId="4B84116D"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22803E6C" w14:textId="77777777" w:rsidR="00DE2F09" w:rsidRPr="00201A9A" w:rsidRDefault="00DE2F09" w:rsidP="00DE2F09">
            <w:pPr>
              <w:spacing w:before="0" w:after="0"/>
              <w:ind w:firstLineChars="100" w:firstLine="160"/>
              <w:jc w:val="left"/>
              <w:rPr>
                <w:rFonts w:eastAsia="Times New Roman"/>
                <w:noProof/>
                <w:color w:val="000000"/>
                <w:sz w:val="16"/>
                <w:szCs w:val="16"/>
              </w:rPr>
            </w:pPr>
            <w:r w:rsidRPr="00201A9A">
              <w:rPr>
                <w:noProof/>
                <w:color w:val="000000"/>
                <w:sz w:val="16"/>
              </w:rPr>
              <w:t>Inna linia budżetowa (określić)</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CE77F7D"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812B879"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13BE089"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121B4CC"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521C575"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BA1010E"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AB250FA"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5D946F6"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r>
      <w:tr w:rsidR="00DE2F09" w:rsidRPr="00201A9A" w14:paraId="4CCFA81B" w14:textId="77777777" w:rsidTr="001646F7">
        <w:trPr>
          <w:trHeight w:val="300"/>
        </w:trPr>
        <w:tc>
          <w:tcPr>
            <w:tcW w:w="4626" w:type="pct"/>
            <w:gridSpan w:val="9"/>
            <w:tcBorders>
              <w:top w:val="single" w:sz="8" w:space="0" w:color="auto"/>
              <w:left w:val="single" w:sz="8" w:space="0" w:color="auto"/>
              <w:bottom w:val="single" w:sz="8" w:space="0" w:color="auto"/>
              <w:right w:val="nil"/>
            </w:tcBorders>
            <w:vAlign w:val="center"/>
            <w:hideMark/>
          </w:tcPr>
          <w:p w14:paraId="249D5612" w14:textId="77777777" w:rsidR="00DE2F09" w:rsidRPr="00201A9A" w:rsidRDefault="00DE2F09" w:rsidP="00DE2F09">
            <w:pPr>
              <w:spacing w:before="0" w:after="0"/>
              <w:jc w:val="left"/>
              <w:rPr>
                <w:rFonts w:ascii="Wingdings" w:eastAsia="Times New Roman" w:hAnsi="Wingdings" w:cs="Calibri"/>
                <w:b/>
                <w:bCs/>
                <w:noProof/>
                <w:color w:val="000000"/>
                <w:sz w:val="16"/>
                <w:szCs w:val="16"/>
              </w:rPr>
            </w:pPr>
            <w:r w:rsidRPr="00201A9A">
              <w:rPr>
                <w:rFonts w:ascii="Calibri" w:hAnsi="Calibri"/>
                <w:b/>
                <w:noProof/>
                <w:color w:val="000000"/>
                <w:sz w:val="16"/>
              </w:rPr>
              <w:t>•</w:t>
            </w:r>
            <w:r w:rsidRPr="00201A9A">
              <w:rPr>
                <w:b/>
                <w:noProof/>
                <w:color w:val="000000"/>
                <w:sz w:val="16"/>
              </w:rPr>
              <w:t xml:space="preserve"> Personel zewnętrzny (w ekwiwalentach pełnego czasu pracy: EPC)</w:t>
            </w:r>
          </w:p>
        </w:tc>
        <w:tc>
          <w:tcPr>
            <w:tcW w:w="374" w:type="pct"/>
            <w:tcBorders>
              <w:top w:val="single" w:sz="8" w:space="0" w:color="auto"/>
              <w:left w:val="nil"/>
              <w:bottom w:val="single" w:sz="8" w:space="0" w:color="auto"/>
              <w:right w:val="nil"/>
            </w:tcBorders>
            <w:vAlign w:val="center"/>
            <w:hideMark/>
          </w:tcPr>
          <w:p w14:paraId="42FBB15A" w14:textId="77777777" w:rsidR="00DE2F09" w:rsidRPr="00201A9A" w:rsidRDefault="00DE2F09" w:rsidP="00DE2F09">
            <w:pPr>
              <w:spacing w:before="0" w:after="0"/>
              <w:jc w:val="left"/>
              <w:rPr>
                <w:rFonts w:ascii="Wingdings" w:eastAsia="Times New Roman" w:hAnsi="Wingdings" w:cs="Calibri"/>
                <w:b/>
                <w:bCs/>
                <w:noProof/>
                <w:color w:val="000000"/>
                <w:sz w:val="16"/>
                <w:szCs w:val="16"/>
                <w:lang w:eastAsia="zh-CN"/>
              </w:rPr>
            </w:pPr>
          </w:p>
        </w:tc>
      </w:tr>
      <w:tr w:rsidR="001646F7" w:rsidRPr="00201A9A" w14:paraId="4A20CCA7"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5570E88D" w14:textId="7CC09518" w:rsidR="00DE2F09" w:rsidRPr="00201A9A" w:rsidRDefault="00DE2F09" w:rsidP="00DE2F09">
            <w:pPr>
              <w:spacing w:before="0" w:after="0"/>
              <w:ind w:firstLineChars="100" w:firstLine="160"/>
              <w:jc w:val="left"/>
              <w:rPr>
                <w:rFonts w:eastAsia="Times New Roman"/>
                <w:noProof/>
                <w:color w:val="000000"/>
                <w:sz w:val="16"/>
                <w:szCs w:val="16"/>
              </w:rPr>
            </w:pPr>
            <w:r w:rsidRPr="00201A9A">
              <w:rPr>
                <w:noProof/>
                <w:color w:val="000000"/>
                <w:sz w:val="16"/>
              </w:rPr>
              <w:t>20 02 01</w:t>
            </w:r>
            <w:r w:rsidRPr="00201A9A">
              <w:rPr>
                <w:rFonts w:ascii="Arial Narrow" w:hAnsi="Arial Narrow"/>
                <w:noProof/>
                <w:color w:val="000000"/>
                <w:sz w:val="20"/>
              </w:rPr>
              <w:t xml:space="preserve"> </w:t>
            </w:r>
            <w:r w:rsidRPr="00201A9A">
              <w:rPr>
                <w:noProof/>
                <w:color w:val="000000"/>
                <w:sz w:val="16"/>
              </w:rPr>
              <w:t>(CA, SNE</w:t>
            </w:r>
            <w:r w:rsidR="00201A9A" w:rsidRPr="00201A9A">
              <w:rPr>
                <w:noProof/>
                <w:color w:val="000000"/>
                <w:sz w:val="16"/>
              </w:rPr>
              <w:t xml:space="preserve"> z glo</w:t>
            </w:r>
            <w:r w:rsidRPr="00201A9A">
              <w:rPr>
                <w:noProof/>
                <w:color w:val="000000"/>
                <w:sz w:val="16"/>
              </w:rPr>
              <w:t>balnej koperty finansowej)</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79653C5"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250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1891A6"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250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98420F"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62AE822"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7181A0C"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2AC29F5"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250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D26F8D"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250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10E3C00"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250</w:t>
            </w:r>
          </w:p>
        </w:tc>
      </w:tr>
      <w:tr w:rsidR="001646F7" w:rsidRPr="00201A9A" w14:paraId="546078ED"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6757F7DC" w14:textId="0324CF81" w:rsidR="00DE2F09" w:rsidRPr="00201A9A" w:rsidRDefault="00DE2F09" w:rsidP="00DE2F09">
            <w:pPr>
              <w:spacing w:before="0" w:after="0"/>
              <w:ind w:firstLineChars="100" w:firstLine="160"/>
              <w:jc w:val="left"/>
              <w:rPr>
                <w:rFonts w:eastAsia="Times New Roman"/>
                <w:noProof/>
                <w:color w:val="000000"/>
                <w:sz w:val="16"/>
                <w:szCs w:val="16"/>
              </w:rPr>
            </w:pPr>
            <w:r w:rsidRPr="00201A9A">
              <w:rPr>
                <w:noProof/>
                <w:color w:val="000000"/>
                <w:sz w:val="16"/>
              </w:rPr>
              <w:t>20 02 03 (CA, LA, SNE i JPD</w:t>
            </w:r>
            <w:r w:rsidR="00201A9A" w:rsidRPr="00201A9A">
              <w:rPr>
                <w:noProof/>
                <w:color w:val="000000"/>
                <w:sz w:val="16"/>
              </w:rPr>
              <w:t xml:space="preserve"> w del</w:t>
            </w:r>
            <w:r w:rsidRPr="00201A9A">
              <w:rPr>
                <w:noProof/>
                <w:color w:val="000000"/>
                <w:sz w:val="16"/>
              </w:rPr>
              <w:t>egaturach UE)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4CCA0EB"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94623BA"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2D54D92"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C0D99F4"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0D7FD29"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17DE5E"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3BA9922"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8919727"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r>
      <w:tr w:rsidR="001646F7" w:rsidRPr="00201A9A" w14:paraId="7926F0FA" w14:textId="77777777" w:rsidTr="001646F7">
        <w:trPr>
          <w:trHeight w:val="315"/>
        </w:trPr>
        <w:tc>
          <w:tcPr>
            <w:tcW w:w="569" w:type="pct"/>
            <w:vMerge w:val="restart"/>
            <w:tcBorders>
              <w:top w:val="single" w:sz="8" w:space="0" w:color="auto"/>
              <w:left w:val="single" w:sz="8" w:space="0" w:color="auto"/>
              <w:bottom w:val="single" w:sz="8" w:space="0" w:color="auto"/>
              <w:right w:val="single" w:sz="8" w:space="0" w:color="auto"/>
            </w:tcBorders>
            <w:vAlign w:val="center"/>
            <w:hideMark/>
          </w:tcPr>
          <w:p w14:paraId="140BFA10"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Linia budżetowa na wsparcie adm.</w:t>
            </w:r>
            <w:r w:rsidRPr="00201A9A">
              <w:rPr>
                <w:noProof/>
              </w:rPr>
              <w:t xml:space="preserve"> </w:t>
            </w:r>
            <w:r w:rsidRPr="00201A9A">
              <w:rPr>
                <w:noProof/>
              </w:rPr>
              <w:br/>
            </w:r>
            <w:r w:rsidRPr="00201A9A">
              <w:rPr>
                <w:noProof/>
                <w:color w:val="000000"/>
                <w:sz w:val="16"/>
              </w:rPr>
              <w:t>[XX.01.YY.YY] [2]</w:t>
            </w:r>
          </w:p>
        </w:tc>
        <w:tc>
          <w:tcPr>
            <w:tcW w:w="1463" w:type="pct"/>
            <w:tcBorders>
              <w:top w:val="single" w:sz="8" w:space="0" w:color="auto"/>
              <w:left w:val="single" w:sz="8" w:space="0" w:color="auto"/>
              <w:bottom w:val="single" w:sz="8" w:space="0" w:color="auto"/>
              <w:right w:val="single" w:sz="8" w:space="0" w:color="auto"/>
            </w:tcBorders>
            <w:vAlign w:val="center"/>
            <w:hideMark/>
          </w:tcPr>
          <w:p w14:paraId="2A84E2C0" w14:textId="5B44D64D" w:rsidR="00DE2F09" w:rsidRPr="00201A9A" w:rsidRDefault="00DE2F09" w:rsidP="00DE2F09">
            <w:pPr>
              <w:spacing w:before="0" w:after="0"/>
              <w:ind w:firstLineChars="100" w:firstLine="160"/>
              <w:jc w:val="left"/>
              <w:rPr>
                <w:rFonts w:eastAsia="Times New Roman"/>
                <w:noProof/>
                <w:color w:val="000000"/>
                <w:sz w:val="16"/>
                <w:szCs w:val="16"/>
              </w:rPr>
            </w:pPr>
            <w:r w:rsidRPr="00201A9A">
              <w:rPr>
                <w:noProof/>
                <w:color w:val="000000"/>
                <w:sz w:val="16"/>
              </w:rPr>
              <w:t>-</w:t>
            </w:r>
            <w:r w:rsidR="00201A9A" w:rsidRPr="00201A9A">
              <w:rPr>
                <w:noProof/>
                <w:color w:val="000000"/>
                <w:sz w:val="16"/>
              </w:rPr>
              <w:t xml:space="preserve"> w cen</w:t>
            </w:r>
            <w:r w:rsidRPr="00201A9A">
              <w:rPr>
                <w:noProof/>
                <w:color w:val="000000"/>
                <w:sz w:val="16"/>
              </w:rPr>
              <w:t>trali</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6FB964C"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287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C1C471"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287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099ECED"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287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C23440C"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287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FF65541"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287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83170BC"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230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BBEB922"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230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3ED12937"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230</w:t>
            </w:r>
          </w:p>
        </w:tc>
      </w:tr>
      <w:tr w:rsidR="001646F7" w:rsidRPr="00201A9A" w14:paraId="1C582394" w14:textId="77777777" w:rsidTr="001646F7">
        <w:trPr>
          <w:trHeight w:val="315"/>
        </w:trPr>
        <w:tc>
          <w:tcPr>
            <w:tcW w:w="569" w:type="pct"/>
            <w:vMerge/>
            <w:tcBorders>
              <w:top w:val="single" w:sz="8" w:space="0" w:color="auto"/>
              <w:left w:val="single" w:sz="8" w:space="0" w:color="auto"/>
              <w:bottom w:val="single" w:sz="8" w:space="0" w:color="auto"/>
              <w:right w:val="single" w:sz="8" w:space="0" w:color="auto"/>
            </w:tcBorders>
            <w:vAlign w:val="center"/>
            <w:hideMark/>
          </w:tcPr>
          <w:p w14:paraId="65F7AA64" w14:textId="77777777" w:rsidR="00DE2F09" w:rsidRPr="00201A9A" w:rsidRDefault="00DE2F09" w:rsidP="00DE2F09">
            <w:pPr>
              <w:spacing w:before="0" w:after="0"/>
              <w:jc w:val="left"/>
              <w:rPr>
                <w:rFonts w:eastAsia="Times New Roman"/>
                <w:noProof/>
                <w:color w:val="000000"/>
                <w:sz w:val="16"/>
                <w:szCs w:val="16"/>
                <w:lang w:eastAsia="zh-CN"/>
              </w:rPr>
            </w:pPr>
          </w:p>
        </w:tc>
        <w:tc>
          <w:tcPr>
            <w:tcW w:w="1463" w:type="pct"/>
            <w:tcBorders>
              <w:top w:val="single" w:sz="8" w:space="0" w:color="auto"/>
              <w:left w:val="single" w:sz="8" w:space="0" w:color="auto"/>
              <w:bottom w:val="single" w:sz="8" w:space="0" w:color="auto"/>
              <w:right w:val="single" w:sz="8" w:space="0" w:color="auto"/>
            </w:tcBorders>
            <w:vAlign w:val="center"/>
            <w:hideMark/>
          </w:tcPr>
          <w:p w14:paraId="6950BD08" w14:textId="4AF8689C" w:rsidR="00DE2F09" w:rsidRPr="00201A9A" w:rsidRDefault="00DE2F09" w:rsidP="00DE2F09">
            <w:pPr>
              <w:spacing w:before="0" w:after="0"/>
              <w:ind w:firstLineChars="100" w:firstLine="160"/>
              <w:jc w:val="left"/>
              <w:rPr>
                <w:rFonts w:eastAsia="Times New Roman"/>
                <w:noProof/>
                <w:color w:val="000000"/>
                <w:sz w:val="16"/>
                <w:szCs w:val="16"/>
              </w:rPr>
            </w:pPr>
            <w:r w:rsidRPr="00201A9A">
              <w:rPr>
                <w:noProof/>
                <w:color w:val="000000"/>
                <w:sz w:val="16"/>
              </w:rPr>
              <w:t>-</w:t>
            </w:r>
            <w:r w:rsidR="00201A9A" w:rsidRPr="00201A9A">
              <w:rPr>
                <w:noProof/>
                <w:color w:val="000000"/>
                <w:sz w:val="16"/>
              </w:rPr>
              <w:t xml:space="preserve"> w del</w:t>
            </w:r>
            <w:r w:rsidRPr="00201A9A">
              <w:rPr>
                <w:noProof/>
                <w:color w:val="000000"/>
                <w:sz w:val="16"/>
              </w:rPr>
              <w:t xml:space="preserve">egaturach UE </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970BBAA"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4DC47D7"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1BCF034"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857C059"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97AFEC9"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E8D2070"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722441A"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189B6400"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r>
      <w:tr w:rsidR="001646F7" w:rsidRPr="00201A9A" w14:paraId="171A7A34"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7C59947E" w14:textId="77777777" w:rsidR="00DE2F09" w:rsidRPr="00201A9A" w:rsidRDefault="00DE2F09" w:rsidP="00DE2F09">
            <w:pPr>
              <w:spacing w:before="0" w:after="0"/>
              <w:ind w:firstLineChars="100" w:firstLine="160"/>
              <w:jc w:val="left"/>
              <w:rPr>
                <w:rFonts w:eastAsia="Times New Roman"/>
                <w:noProof/>
                <w:color w:val="000000"/>
                <w:sz w:val="16"/>
                <w:szCs w:val="16"/>
              </w:rPr>
            </w:pPr>
            <w:r w:rsidRPr="00201A9A">
              <w:rPr>
                <w:noProof/>
                <w:color w:val="000000"/>
                <w:sz w:val="16"/>
              </w:rPr>
              <w:t>01 01 01 02</w:t>
            </w:r>
            <w:r w:rsidRPr="00201A9A">
              <w:rPr>
                <w:rFonts w:ascii="Arial Narrow" w:hAnsi="Arial Narrow"/>
                <w:noProof/>
                <w:color w:val="000000"/>
                <w:sz w:val="20"/>
              </w:rPr>
              <w:t xml:space="preserve"> </w:t>
            </w:r>
            <w:r w:rsidRPr="00201A9A">
              <w:rPr>
                <w:noProof/>
                <w:color w:val="000000"/>
                <w:sz w:val="16"/>
              </w:rPr>
              <w:t>(CA, SNE – pośrednie badania naukowe)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3A29AAA"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0142D05"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10FFAAD"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D107ADD"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C465D15"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26DCA0B"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ECD28D"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50563ACC"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r>
      <w:tr w:rsidR="001646F7" w:rsidRPr="00201A9A" w14:paraId="1E86CE4B"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6DCEEB6A" w14:textId="77777777" w:rsidR="00DE2F09" w:rsidRPr="00201A9A" w:rsidRDefault="00DE2F09" w:rsidP="00DE2F09">
            <w:pPr>
              <w:spacing w:before="0" w:after="0"/>
              <w:ind w:firstLineChars="100" w:firstLine="160"/>
              <w:jc w:val="left"/>
              <w:rPr>
                <w:rFonts w:eastAsia="Times New Roman"/>
                <w:noProof/>
                <w:color w:val="000000"/>
                <w:sz w:val="16"/>
                <w:szCs w:val="16"/>
              </w:rPr>
            </w:pPr>
            <w:r w:rsidRPr="00201A9A">
              <w:rPr>
                <w:noProof/>
                <w:color w:val="000000"/>
                <w:sz w:val="16"/>
              </w:rPr>
              <w:t>01 01 01 12 (CA, SNE – bezpośrednie badania naukowe)</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62A2922"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78DF49"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1AB681"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DD85B8A"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03C8D76"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E0B908E"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CB56345"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25ADFB1A"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r>
      <w:tr w:rsidR="001646F7" w:rsidRPr="00201A9A" w14:paraId="32BBE674" w14:textId="77777777" w:rsidTr="001646F7">
        <w:trPr>
          <w:trHeight w:val="300"/>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34A4CF6A" w14:textId="77777777" w:rsidR="00DE2F09" w:rsidRPr="00201A9A" w:rsidRDefault="00DE2F09" w:rsidP="00DE2F09">
            <w:pPr>
              <w:spacing w:before="0" w:after="0"/>
              <w:ind w:firstLineChars="100" w:firstLine="160"/>
              <w:jc w:val="left"/>
              <w:rPr>
                <w:rFonts w:eastAsia="Times New Roman"/>
                <w:noProof/>
                <w:color w:val="000000"/>
                <w:sz w:val="16"/>
                <w:szCs w:val="16"/>
              </w:rPr>
            </w:pPr>
            <w:r w:rsidRPr="00201A9A">
              <w:rPr>
                <w:noProof/>
                <w:color w:val="000000"/>
                <w:sz w:val="16"/>
              </w:rPr>
              <w:t>Inna linia budżetowa (określić) – dział 4</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1B5E9E1"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ADA2472"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B4FCBD"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509189"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4EC1B6B"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0E4D262"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567AC7B"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7550AAF8"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r>
      <w:tr w:rsidR="001646F7" w:rsidRPr="00201A9A" w14:paraId="66FDBF3E" w14:textId="77777777" w:rsidTr="001646F7">
        <w:trPr>
          <w:trHeight w:val="300"/>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6D84BB71" w14:textId="77777777" w:rsidR="00DE2F09" w:rsidRPr="00201A9A" w:rsidRDefault="00DE2F09" w:rsidP="00DE2F09">
            <w:pPr>
              <w:spacing w:before="0" w:after="0"/>
              <w:ind w:firstLineChars="100" w:firstLine="160"/>
              <w:jc w:val="left"/>
              <w:rPr>
                <w:rFonts w:eastAsia="Times New Roman"/>
                <w:noProof/>
                <w:color w:val="000000"/>
                <w:sz w:val="16"/>
                <w:szCs w:val="16"/>
              </w:rPr>
            </w:pPr>
            <w:r w:rsidRPr="00201A9A">
              <w:rPr>
                <w:noProof/>
                <w:color w:val="000000"/>
                <w:sz w:val="16"/>
              </w:rPr>
              <w:t>Inna linia budżetowa (określić) – poza działem 4</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817CCF3"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41E3328"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59D7E2A"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5FDFC08"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BBA9299"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96F3A9"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D0E92CF"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322BEC8" w14:textId="77777777" w:rsidR="00DE2F09" w:rsidRPr="00201A9A" w:rsidRDefault="00DE2F09" w:rsidP="00DE2F09">
            <w:pPr>
              <w:spacing w:before="0" w:after="0"/>
              <w:jc w:val="center"/>
              <w:rPr>
                <w:rFonts w:eastAsia="Times New Roman"/>
                <w:noProof/>
                <w:color w:val="000000"/>
                <w:sz w:val="16"/>
                <w:szCs w:val="16"/>
              </w:rPr>
            </w:pPr>
            <w:r w:rsidRPr="00201A9A">
              <w:rPr>
                <w:noProof/>
                <w:color w:val="000000"/>
                <w:sz w:val="16"/>
              </w:rPr>
              <w:t>0</w:t>
            </w:r>
          </w:p>
        </w:tc>
      </w:tr>
      <w:tr w:rsidR="001646F7" w:rsidRPr="00201A9A" w14:paraId="76A28D19" w14:textId="77777777" w:rsidTr="001646F7">
        <w:trPr>
          <w:trHeight w:val="315"/>
        </w:trPr>
        <w:tc>
          <w:tcPr>
            <w:tcW w:w="2032" w:type="pct"/>
            <w:gridSpan w:val="2"/>
            <w:tcBorders>
              <w:top w:val="single" w:sz="8" w:space="0" w:color="auto"/>
              <w:left w:val="single" w:sz="8" w:space="0" w:color="auto"/>
              <w:bottom w:val="single" w:sz="8" w:space="0" w:color="auto"/>
              <w:right w:val="single" w:sz="8" w:space="0" w:color="auto"/>
            </w:tcBorders>
            <w:vAlign w:val="center"/>
            <w:hideMark/>
          </w:tcPr>
          <w:p w14:paraId="2F9E9D65" w14:textId="77777777" w:rsidR="00DE2F09" w:rsidRPr="00201A9A" w:rsidRDefault="00DE2F09" w:rsidP="00DE2F09">
            <w:pPr>
              <w:spacing w:before="0" w:after="0"/>
              <w:ind w:firstLineChars="100" w:firstLine="160"/>
              <w:jc w:val="left"/>
              <w:rPr>
                <w:rFonts w:eastAsia="Times New Roman"/>
                <w:b/>
                <w:bCs/>
                <w:noProof/>
                <w:color w:val="000000"/>
                <w:sz w:val="16"/>
                <w:szCs w:val="16"/>
              </w:rPr>
            </w:pPr>
            <w:r w:rsidRPr="00201A9A">
              <w:rPr>
                <w:b/>
                <w:noProof/>
                <w:color w:val="000000"/>
                <w:sz w:val="16"/>
              </w:rPr>
              <w:t>OGÓŁEM</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308FD6F" w14:textId="77777777" w:rsidR="00DE2F09" w:rsidRPr="00201A9A" w:rsidRDefault="00DE2F09" w:rsidP="00DE2F09">
            <w:pPr>
              <w:spacing w:before="0" w:after="0"/>
              <w:jc w:val="center"/>
              <w:rPr>
                <w:rFonts w:eastAsia="Times New Roman"/>
                <w:b/>
                <w:bCs/>
                <w:noProof/>
                <w:color w:val="000000"/>
                <w:sz w:val="16"/>
                <w:szCs w:val="16"/>
              </w:rPr>
            </w:pPr>
            <w:r w:rsidRPr="00201A9A">
              <w:rPr>
                <w:b/>
                <w:noProof/>
                <w:color w:val="000000"/>
                <w:sz w:val="16"/>
              </w:rPr>
              <w:t>2717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AEF920C" w14:textId="77777777" w:rsidR="00DE2F09" w:rsidRPr="00201A9A" w:rsidRDefault="00DE2F09" w:rsidP="00DE2F09">
            <w:pPr>
              <w:spacing w:before="0" w:after="0"/>
              <w:jc w:val="center"/>
              <w:rPr>
                <w:rFonts w:eastAsia="Times New Roman"/>
                <w:b/>
                <w:bCs/>
                <w:noProof/>
                <w:color w:val="000000"/>
                <w:sz w:val="16"/>
                <w:szCs w:val="16"/>
              </w:rPr>
            </w:pPr>
            <w:r w:rsidRPr="00201A9A">
              <w:rPr>
                <w:b/>
                <w:noProof/>
                <w:color w:val="000000"/>
                <w:sz w:val="16"/>
              </w:rPr>
              <w:t>2717</w:t>
            </w:r>
          </w:p>
        </w:tc>
        <w:tc>
          <w:tcPr>
            <w:tcW w:w="36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3C2A09E" w14:textId="77777777" w:rsidR="00DE2F09" w:rsidRPr="00201A9A" w:rsidRDefault="00DE2F09" w:rsidP="00DE2F09">
            <w:pPr>
              <w:spacing w:before="0" w:after="0"/>
              <w:jc w:val="center"/>
              <w:rPr>
                <w:rFonts w:eastAsia="Times New Roman"/>
                <w:b/>
                <w:bCs/>
                <w:noProof/>
                <w:color w:val="000000"/>
                <w:sz w:val="16"/>
                <w:szCs w:val="16"/>
              </w:rPr>
            </w:pPr>
            <w:r w:rsidRPr="00201A9A">
              <w:rPr>
                <w:b/>
                <w:noProof/>
                <w:color w:val="000000"/>
                <w:sz w:val="16"/>
              </w:rPr>
              <w:t>2717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C98811A" w14:textId="77777777" w:rsidR="00DE2F09" w:rsidRPr="00201A9A" w:rsidRDefault="00DE2F09" w:rsidP="00DE2F09">
            <w:pPr>
              <w:spacing w:before="0" w:after="0"/>
              <w:jc w:val="center"/>
              <w:rPr>
                <w:rFonts w:eastAsia="Times New Roman"/>
                <w:b/>
                <w:bCs/>
                <w:noProof/>
                <w:color w:val="000000"/>
                <w:sz w:val="16"/>
                <w:szCs w:val="16"/>
              </w:rPr>
            </w:pPr>
            <w:r w:rsidRPr="00201A9A">
              <w:rPr>
                <w:b/>
                <w:noProof/>
                <w:color w:val="000000"/>
                <w:sz w:val="16"/>
              </w:rPr>
              <w:t>2717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19D82A8" w14:textId="77777777" w:rsidR="00DE2F09" w:rsidRPr="00201A9A" w:rsidRDefault="00DE2F09" w:rsidP="00DE2F09">
            <w:pPr>
              <w:spacing w:before="0" w:after="0"/>
              <w:jc w:val="center"/>
              <w:rPr>
                <w:rFonts w:eastAsia="Times New Roman"/>
                <w:b/>
                <w:bCs/>
                <w:noProof/>
                <w:color w:val="000000"/>
                <w:sz w:val="16"/>
                <w:szCs w:val="16"/>
              </w:rPr>
            </w:pPr>
            <w:r w:rsidRPr="00201A9A">
              <w:rPr>
                <w:b/>
                <w:noProof/>
                <w:color w:val="000000"/>
                <w:sz w:val="16"/>
              </w:rPr>
              <w:t>2717</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42AA5A6C" w14:textId="77777777" w:rsidR="00DE2F09" w:rsidRPr="00201A9A" w:rsidRDefault="00DE2F09" w:rsidP="00DE2F09">
            <w:pPr>
              <w:spacing w:before="0" w:after="0"/>
              <w:jc w:val="center"/>
              <w:rPr>
                <w:rFonts w:eastAsia="Times New Roman"/>
                <w:b/>
                <w:bCs/>
                <w:noProof/>
                <w:color w:val="000000"/>
                <w:sz w:val="16"/>
                <w:szCs w:val="16"/>
              </w:rPr>
            </w:pPr>
            <w:r w:rsidRPr="00201A9A">
              <w:rPr>
                <w:b/>
                <w:noProof/>
                <w:color w:val="000000"/>
                <w:sz w:val="16"/>
              </w:rPr>
              <w:t>2660</w:t>
            </w:r>
          </w:p>
        </w:tc>
        <w:tc>
          <w:tcPr>
            <w:tcW w:w="374"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1C5BB096" w14:textId="77777777" w:rsidR="00DE2F09" w:rsidRPr="00201A9A" w:rsidRDefault="00DE2F09" w:rsidP="00DE2F09">
            <w:pPr>
              <w:spacing w:before="0" w:after="0"/>
              <w:jc w:val="center"/>
              <w:rPr>
                <w:rFonts w:eastAsia="Times New Roman"/>
                <w:b/>
                <w:bCs/>
                <w:noProof/>
                <w:color w:val="000000"/>
                <w:sz w:val="16"/>
                <w:szCs w:val="16"/>
              </w:rPr>
            </w:pPr>
            <w:r w:rsidRPr="00201A9A">
              <w:rPr>
                <w:b/>
                <w:noProof/>
                <w:color w:val="000000"/>
                <w:sz w:val="16"/>
              </w:rPr>
              <w:t>2660</w:t>
            </w:r>
          </w:p>
        </w:tc>
        <w:tc>
          <w:tcPr>
            <w:tcW w:w="374" w:type="pct"/>
            <w:tcBorders>
              <w:top w:val="single" w:sz="8" w:space="0" w:color="auto"/>
              <w:left w:val="nil"/>
              <w:bottom w:val="single" w:sz="8" w:space="0" w:color="auto"/>
              <w:right w:val="single" w:sz="8" w:space="0" w:color="auto"/>
            </w:tcBorders>
            <w:shd w:val="clear" w:color="000000" w:fill="D9D9D9"/>
            <w:vAlign w:val="center"/>
            <w:hideMark/>
          </w:tcPr>
          <w:p w14:paraId="04922BAF" w14:textId="77777777" w:rsidR="00DE2F09" w:rsidRPr="00201A9A" w:rsidRDefault="00DE2F09" w:rsidP="00DE2F09">
            <w:pPr>
              <w:spacing w:before="0" w:after="0"/>
              <w:jc w:val="center"/>
              <w:rPr>
                <w:rFonts w:eastAsia="Times New Roman"/>
                <w:b/>
                <w:bCs/>
                <w:noProof/>
                <w:color w:val="000000"/>
                <w:sz w:val="16"/>
                <w:szCs w:val="16"/>
              </w:rPr>
            </w:pPr>
            <w:r w:rsidRPr="00201A9A">
              <w:rPr>
                <w:b/>
                <w:noProof/>
                <w:color w:val="000000"/>
                <w:sz w:val="16"/>
              </w:rPr>
              <w:t>2660</w:t>
            </w:r>
          </w:p>
        </w:tc>
      </w:tr>
    </w:tbl>
    <w:p w14:paraId="550BDE95" w14:textId="77777777" w:rsidR="004A489F" w:rsidRPr="00201A9A" w:rsidRDefault="004A489F" w:rsidP="004A489F">
      <w:pPr>
        <w:pStyle w:val="Text1"/>
        <w:ind w:left="-426"/>
        <w:rPr>
          <w:noProof/>
          <w:color w:val="000000" w:themeColor="text1"/>
        </w:rPr>
      </w:pPr>
      <w:r w:rsidRPr="00201A9A">
        <w:rPr>
          <w:noProof/>
          <w:color w:val="000000" w:themeColor="text1"/>
        </w:rPr>
        <w:t xml:space="preserve">Personel niezbędny do wdrożenia wniosku (w EPC): </w:t>
      </w:r>
    </w:p>
    <w:tbl>
      <w:tblPr>
        <w:tblStyle w:val="TableGrid"/>
        <w:tblW w:w="5000" w:type="pct"/>
        <w:tblLook w:val="04A0" w:firstRow="1" w:lastRow="0" w:firstColumn="1" w:lastColumn="0" w:noHBand="0" w:noVBand="1"/>
      </w:tblPr>
      <w:tblGrid>
        <w:gridCol w:w="1807"/>
        <w:gridCol w:w="1988"/>
        <w:gridCol w:w="1886"/>
        <w:gridCol w:w="1897"/>
        <w:gridCol w:w="1711"/>
      </w:tblGrid>
      <w:tr w:rsidR="004A489F" w:rsidRPr="00201A9A" w14:paraId="041ED1BC" w14:textId="77777777" w:rsidTr="001646F7">
        <w:trPr>
          <w:trHeight w:val="300"/>
        </w:trPr>
        <w:tc>
          <w:tcPr>
            <w:tcW w:w="972" w:type="pct"/>
          </w:tcPr>
          <w:p w14:paraId="4366E68D" w14:textId="77777777" w:rsidR="004A489F" w:rsidRPr="00201A9A" w:rsidRDefault="004A489F">
            <w:pPr>
              <w:pStyle w:val="Text1"/>
              <w:ind w:left="0"/>
              <w:jc w:val="center"/>
              <w:rPr>
                <w:b/>
                <w:bCs/>
                <w:noProof/>
                <w:sz w:val="22"/>
                <w:szCs w:val="28"/>
              </w:rPr>
            </w:pPr>
          </w:p>
        </w:tc>
        <w:tc>
          <w:tcPr>
            <w:tcW w:w="1070" w:type="pct"/>
          </w:tcPr>
          <w:p w14:paraId="5DA782B1" w14:textId="312D6467" w:rsidR="004A489F" w:rsidRPr="00201A9A" w:rsidRDefault="004A489F">
            <w:pPr>
              <w:pStyle w:val="Text1"/>
              <w:ind w:left="0"/>
              <w:jc w:val="center"/>
              <w:rPr>
                <w:b/>
                <w:bCs/>
                <w:noProof/>
                <w:sz w:val="22"/>
              </w:rPr>
            </w:pPr>
            <w:r w:rsidRPr="00201A9A">
              <w:rPr>
                <w:b/>
                <w:noProof/>
                <w:sz w:val="22"/>
              </w:rPr>
              <w:t>Personel już pracujący</w:t>
            </w:r>
            <w:r w:rsidR="00201A9A" w:rsidRPr="00201A9A">
              <w:rPr>
                <w:b/>
                <w:noProof/>
                <w:sz w:val="22"/>
              </w:rPr>
              <w:t xml:space="preserve"> w słu</w:t>
            </w:r>
            <w:r w:rsidRPr="00201A9A">
              <w:rPr>
                <w:b/>
                <w:noProof/>
                <w:sz w:val="22"/>
              </w:rPr>
              <w:t xml:space="preserve">żbach Komisji </w:t>
            </w:r>
          </w:p>
        </w:tc>
        <w:tc>
          <w:tcPr>
            <w:tcW w:w="2957" w:type="pct"/>
            <w:gridSpan w:val="3"/>
          </w:tcPr>
          <w:p w14:paraId="7E4DA779" w14:textId="77777777" w:rsidR="004A489F" w:rsidRPr="00201A9A" w:rsidRDefault="004A489F">
            <w:pPr>
              <w:pStyle w:val="Text1"/>
              <w:ind w:left="0"/>
              <w:jc w:val="center"/>
              <w:rPr>
                <w:b/>
                <w:bCs/>
                <w:noProof/>
                <w:sz w:val="22"/>
              </w:rPr>
            </w:pPr>
            <w:r w:rsidRPr="00201A9A">
              <w:rPr>
                <w:b/>
                <w:noProof/>
                <w:sz w:val="22"/>
              </w:rPr>
              <w:t>Personel dodatkowy*</w:t>
            </w:r>
          </w:p>
        </w:tc>
      </w:tr>
      <w:tr w:rsidR="004A489F" w:rsidRPr="00201A9A" w14:paraId="1E0B9490" w14:textId="77777777" w:rsidTr="001646F7">
        <w:trPr>
          <w:trHeight w:val="300"/>
        </w:trPr>
        <w:tc>
          <w:tcPr>
            <w:tcW w:w="972" w:type="pct"/>
          </w:tcPr>
          <w:p w14:paraId="2D60C7AE" w14:textId="77777777" w:rsidR="004A489F" w:rsidRPr="00201A9A" w:rsidRDefault="004A489F">
            <w:pPr>
              <w:pStyle w:val="Text1"/>
              <w:ind w:left="0"/>
              <w:jc w:val="center"/>
              <w:rPr>
                <w:b/>
                <w:bCs/>
                <w:noProof/>
                <w:sz w:val="22"/>
                <w:szCs w:val="28"/>
              </w:rPr>
            </w:pPr>
          </w:p>
        </w:tc>
        <w:tc>
          <w:tcPr>
            <w:tcW w:w="1070" w:type="pct"/>
          </w:tcPr>
          <w:p w14:paraId="74D92265" w14:textId="77777777" w:rsidR="004A489F" w:rsidRPr="00201A9A" w:rsidRDefault="004A489F">
            <w:pPr>
              <w:pStyle w:val="Text1"/>
              <w:ind w:left="0"/>
              <w:jc w:val="center"/>
              <w:rPr>
                <w:b/>
                <w:bCs/>
                <w:noProof/>
                <w:sz w:val="22"/>
                <w:szCs w:val="28"/>
              </w:rPr>
            </w:pPr>
          </w:p>
        </w:tc>
        <w:tc>
          <w:tcPr>
            <w:tcW w:w="1015" w:type="pct"/>
          </w:tcPr>
          <w:p w14:paraId="490961C5" w14:textId="28B0EBDB" w:rsidR="004A489F" w:rsidRPr="00201A9A" w:rsidRDefault="004A489F">
            <w:pPr>
              <w:pStyle w:val="Text1"/>
              <w:ind w:left="0"/>
              <w:jc w:val="center"/>
              <w:rPr>
                <w:b/>
                <w:bCs/>
                <w:noProof/>
                <w:sz w:val="22"/>
              </w:rPr>
            </w:pPr>
            <w:r w:rsidRPr="00201A9A">
              <w:rPr>
                <w:b/>
                <w:noProof/>
                <w:sz w:val="22"/>
              </w:rPr>
              <w:t>Finansowany</w:t>
            </w:r>
            <w:r w:rsidR="00201A9A" w:rsidRPr="00201A9A">
              <w:rPr>
                <w:b/>
                <w:noProof/>
                <w:sz w:val="22"/>
              </w:rPr>
              <w:t xml:space="preserve"> z dzi</w:t>
            </w:r>
            <w:r w:rsidRPr="00201A9A">
              <w:rPr>
                <w:b/>
                <w:noProof/>
                <w:sz w:val="22"/>
              </w:rPr>
              <w:t>ału 7 lub ze środków „Badania naukowe”</w:t>
            </w:r>
          </w:p>
        </w:tc>
        <w:tc>
          <w:tcPr>
            <w:tcW w:w="1021" w:type="pct"/>
          </w:tcPr>
          <w:p w14:paraId="07F89DC2" w14:textId="4AB5C95B" w:rsidR="004A489F" w:rsidRPr="00201A9A" w:rsidRDefault="004A489F">
            <w:pPr>
              <w:pStyle w:val="Text1"/>
              <w:ind w:left="0"/>
              <w:jc w:val="center"/>
              <w:rPr>
                <w:b/>
                <w:bCs/>
                <w:noProof/>
                <w:sz w:val="22"/>
                <w:szCs w:val="28"/>
              </w:rPr>
            </w:pPr>
            <w:r w:rsidRPr="00201A9A">
              <w:rPr>
                <w:b/>
                <w:noProof/>
                <w:sz w:val="22"/>
              </w:rPr>
              <w:t>Finansowany</w:t>
            </w:r>
            <w:r w:rsidR="00201A9A" w:rsidRPr="00201A9A">
              <w:rPr>
                <w:b/>
                <w:noProof/>
                <w:sz w:val="22"/>
              </w:rPr>
              <w:t xml:space="preserve"> z lin</w:t>
            </w:r>
            <w:r w:rsidRPr="00201A9A">
              <w:rPr>
                <w:b/>
                <w:noProof/>
                <w:sz w:val="22"/>
              </w:rPr>
              <w:t>ii BA</w:t>
            </w:r>
          </w:p>
        </w:tc>
        <w:tc>
          <w:tcPr>
            <w:tcW w:w="921" w:type="pct"/>
          </w:tcPr>
          <w:p w14:paraId="67C8D120" w14:textId="0F1AD9B9" w:rsidR="004A489F" w:rsidRPr="00201A9A" w:rsidRDefault="004A489F">
            <w:pPr>
              <w:pStyle w:val="Text1"/>
              <w:ind w:left="0"/>
              <w:jc w:val="center"/>
              <w:rPr>
                <w:b/>
                <w:bCs/>
                <w:noProof/>
                <w:sz w:val="22"/>
                <w:szCs w:val="28"/>
              </w:rPr>
            </w:pPr>
            <w:r w:rsidRPr="00201A9A">
              <w:rPr>
                <w:b/>
                <w:noProof/>
                <w:sz w:val="22"/>
              </w:rPr>
              <w:t>Finansowany</w:t>
            </w:r>
            <w:r w:rsidR="00201A9A" w:rsidRPr="00201A9A">
              <w:rPr>
                <w:b/>
                <w:noProof/>
                <w:sz w:val="22"/>
              </w:rPr>
              <w:t xml:space="preserve"> z opł</w:t>
            </w:r>
            <w:r w:rsidRPr="00201A9A">
              <w:rPr>
                <w:b/>
                <w:noProof/>
                <w:sz w:val="22"/>
              </w:rPr>
              <w:t>at</w:t>
            </w:r>
          </w:p>
        </w:tc>
      </w:tr>
      <w:tr w:rsidR="004A489F" w:rsidRPr="00201A9A" w14:paraId="640D0A31" w14:textId="77777777" w:rsidTr="001646F7">
        <w:trPr>
          <w:trHeight w:val="300"/>
        </w:trPr>
        <w:tc>
          <w:tcPr>
            <w:tcW w:w="972" w:type="pct"/>
          </w:tcPr>
          <w:p w14:paraId="3D4F2D48" w14:textId="591C8471" w:rsidR="004A489F" w:rsidRPr="00201A9A" w:rsidRDefault="004A489F">
            <w:pPr>
              <w:pStyle w:val="Text1"/>
              <w:ind w:left="0"/>
              <w:rPr>
                <w:noProof/>
                <w:sz w:val="22"/>
                <w:szCs w:val="28"/>
              </w:rPr>
            </w:pPr>
            <w:r w:rsidRPr="00201A9A">
              <w:rPr>
                <w:noProof/>
                <w:sz w:val="22"/>
              </w:rPr>
              <w:t>Stanowiska</w:t>
            </w:r>
            <w:r w:rsidR="00201A9A" w:rsidRPr="00201A9A">
              <w:rPr>
                <w:noProof/>
                <w:sz w:val="22"/>
              </w:rPr>
              <w:t xml:space="preserve"> w pla</w:t>
            </w:r>
            <w:r w:rsidRPr="00201A9A">
              <w:rPr>
                <w:noProof/>
                <w:sz w:val="22"/>
              </w:rPr>
              <w:t>nie zatrudnienia</w:t>
            </w:r>
          </w:p>
        </w:tc>
        <w:tc>
          <w:tcPr>
            <w:tcW w:w="1070" w:type="pct"/>
          </w:tcPr>
          <w:p w14:paraId="2188FC40" w14:textId="77777777" w:rsidR="004A489F" w:rsidRPr="00201A9A" w:rsidRDefault="004A489F">
            <w:pPr>
              <w:pStyle w:val="Text1"/>
              <w:ind w:left="0"/>
              <w:jc w:val="center"/>
              <w:rPr>
                <w:noProof/>
                <w:sz w:val="22"/>
                <w:szCs w:val="28"/>
              </w:rPr>
            </w:pPr>
            <w:r w:rsidRPr="00201A9A">
              <w:rPr>
                <w:noProof/>
                <w:sz w:val="22"/>
              </w:rPr>
              <w:t>2180</w:t>
            </w:r>
          </w:p>
        </w:tc>
        <w:tc>
          <w:tcPr>
            <w:tcW w:w="1015" w:type="pct"/>
          </w:tcPr>
          <w:p w14:paraId="1F41D59B" w14:textId="77777777" w:rsidR="004A489F" w:rsidRPr="00201A9A" w:rsidRDefault="004A489F">
            <w:pPr>
              <w:pStyle w:val="Text1"/>
              <w:ind w:left="0"/>
              <w:rPr>
                <w:noProof/>
                <w:sz w:val="22"/>
                <w:szCs w:val="28"/>
              </w:rPr>
            </w:pPr>
          </w:p>
        </w:tc>
        <w:tc>
          <w:tcPr>
            <w:tcW w:w="1021" w:type="pct"/>
          </w:tcPr>
          <w:p w14:paraId="3BAC512F" w14:textId="77777777" w:rsidR="004A489F" w:rsidRPr="00201A9A" w:rsidRDefault="004A489F">
            <w:pPr>
              <w:pStyle w:val="Text1"/>
              <w:ind w:left="0"/>
              <w:rPr>
                <w:noProof/>
                <w:sz w:val="22"/>
                <w:szCs w:val="28"/>
              </w:rPr>
            </w:pPr>
          </w:p>
        </w:tc>
        <w:tc>
          <w:tcPr>
            <w:tcW w:w="921" w:type="pct"/>
          </w:tcPr>
          <w:p w14:paraId="5CB3428D" w14:textId="77777777" w:rsidR="004A489F" w:rsidRPr="00201A9A" w:rsidRDefault="004A489F">
            <w:pPr>
              <w:pStyle w:val="Text1"/>
              <w:ind w:left="0"/>
              <w:rPr>
                <w:noProof/>
                <w:sz w:val="22"/>
                <w:szCs w:val="28"/>
              </w:rPr>
            </w:pPr>
            <w:r w:rsidRPr="00201A9A">
              <w:rPr>
                <w:noProof/>
                <w:sz w:val="22"/>
              </w:rPr>
              <w:t>Nie dotyczy</w:t>
            </w:r>
          </w:p>
        </w:tc>
      </w:tr>
      <w:tr w:rsidR="004A489F" w:rsidRPr="00201A9A" w14:paraId="1E5FA25E" w14:textId="77777777" w:rsidTr="001646F7">
        <w:trPr>
          <w:trHeight w:val="300"/>
        </w:trPr>
        <w:tc>
          <w:tcPr>
            <w:tcW w:w="972" w:type="pct"/>
          </w:tcPr>
          <w:p w14:paraId="634CD403" w14:textId="77777777" w:rsidR="004A489F" w:rsidRPr="00201A9A" w:rsidRDefault="004A489F">
            <w:pPr>
              <w:pStyle w:val="Text1"/>
              <w:ind w:left="0"/>
              <w:rPr>
                <w:noProof/>
                <w:sz w:val="22"/>
                <w:szCs w:val="28"/>
              </w:rPr>
            </w:pPr>
            <w:r w:rsidRPr="00201A9A">
              <w:rPr>
                <w:noProof/>
                <w:sz w:val="22"/>
              </w:rPr>
              <w:t>Personel zewnętrzny (CA, SNE, INT)</w:t>
            </w:r>
          </w:p>
        </w:tc>
        <w:tc>
          <w:tcPr>
            <w:tcW w:w="1070" w:type="pct"/>
          </w:tcPr>
          <w:p w14:paraId="156E6B9B" w14:textId="77777777" w:rsidR="004A489F" w:rsidRPr="00201A9A" w:rsidRDefault="004A489F">
            <w:pPr>
              <w:pStyle w:val="Text1"/>
              <w:ind w:left="0"/>
              <w:jc w:val="center"/>
              <w:rPr>
                <w:noProof/>
                <w:sz w:val="22"/>
                <w:szCs w:val="28"/>
              </w:rPr>
            </w:pPr>
            <w:r w:rsidRPr="00201A9A">
              <w:rPr>
                <w:noProof/>
                <w:sz w:val="22"/>
              </w:rPr>
              <w:t>537*</w:t>
            </w:r>
          </w:p>
        </w:tc>
        <w:tc>
          <w:tcPr>
            <w:tcW w:w="1015" w:type="pct"/>
          </w:tcPr>
          <w:p w14:paraId="4822DE18" w14:textId="77777777" w:rsidR="004A489F" w:rsidRPr="00201A9A" w:rsidRDefault="004A489F">
            <w:pPr>
              <w:pStyle w:val="Text1"/>
              <w:ind w:left="0"/>
              <w:rPr>
                <w:noProof/>
                <w:sz w:val="22"/>
                <w:szCs w:val="28"/>
              </w:rPr>
            </w:pPr>
          </w:p>
        </w:tc>
        <w:tc>
          <w:tcPr>
            <w:tcW w:w="1021" w:type="pct"/>
          </w:tcPr>
          <w:p w14:paraId="7CAF0ED0" w14:textId="77777777" w:rsidR="004A489F" w:rsidRPr="00201A9A" w:rsidRDefault="004A489F">
            <w:pPr>
              <w:pStyle w:val="Text1"/>
              <w:ind w:left="0"/>
              <w:rPr>
                <w:noProof/>
                <w:sz w:val="22"/>
                <w:szCs w:val="28"/>
              </w:rPr>
            </w:pPr>
          </w:p>
        </w:tc>
        <w:tc>
          <w:tcPr>
            <w:tcW w:w="921" w:type="pct"/>
          </w:tcPr>
          <w:p w14:paraId="62D8486E" w14:textId="77777777" w:rsidR="004A489F" w:rsidRPr="00201A9A" w:rsidRDefault="004A489F">
            <w:pPr>
              <w:pStyle w:val="Text1"/>
              <w:ind w:left="0"/>
              <w:rPr>
                <w:noProof/>
                <w:sz w:val="22"/>
                <w:szCs w:val="28"/>
              </w:rPr>
            </w:pPr>
            <w:r w:rsidRPr="00201A9A">
              <w:rPr>
                <w:noProof/>
                <w:sz w:val="22"/>
              </w:rPr>
              <w:t>Nie dotyczy</w:t>
            </w:r>
          </w:p>
        </w:tc>
      </w:tr>
    </w:tbl>
    <w:p w14:paraId="55E4B408" w14:textId="7F51235A" w:rsidR="004A489F" w:rsidRPr="00201A9A" w:rsidRDefault="004A489F" w:rsidP="004A489F">
      <w:pPr>
        <w:rPr>
          <w:noProof/>
        </w:rPr>
      </w:pPr>
      <w:r w:rsidRPr="00201A9A">
        <w:rPr>
          <w:noProof/>
        </w:rPr>
        <w:t>* kwota ta obejmuje 57 EPC na Społeczny Fundusz Klimatyczny, które są finansowane</w:t>
      </w:r>
      <w:r w:rsidR="00201A9A" w:rsidRPr="00201A9A">
        <w:rPr>
          <w:noProof/>
        </w:rPr>
        <w:t xml:space="preserve"> z doc</w:t>
      </w:r>
      <w:r w:rsidRPr="00201A9A">
        <w:rPr>
          <w:noProof/>
        </w:rPr>
        <w:t xml:space="preserve">hodów przeznaczonych na określony cel. </w:t>
      </w:r>
    </w:p>
    <w:p w14:paraId="41DB867A" w14:textId="77777777" w:rsidR="004A489F" w:rsidRPr="00201A9A" w:rsidRDefault="004A489F" w:rsidP="004A489F">
      <w:pPr>
        <w:rPr>
          <w:noProof/>
          <w:color w:val="008000"/>
        </w:rPr>
      </w:pPr>
      <w:r w:rsidRPr="00201A9A">
        <w:rPr>
          <w:noProof/>
        </w:rPr>
        <w:t>Opis zadań do wykonania: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883"/>
        <w:gridCol w:w="6406"/>
      </w:tblGrid>
      <w:tr w:rsidR="00603BC3" w:rsidRPr="00201A9A" w14:paraId="2D6B8222" w14:textId="77777777" w:rsidTr="00B95D91">
        <w:tc>
          <w:tcPr>
            <w:tcW w:w="1552" w:type="pct"/>
          </w:tcPr>
          <w:p w14:paraId="1DC2BB8E" w14:textId="44D400D4" w:rsidR="004A489F" w:rsidRPr="00201A9A" w:rsidRDefault="004A489F">
            <w:pPr>
              <w:rPr>
                <w:noProof/>
                <w:sz w:val="20"/>
              </w:rPr>
            </w:pPr>
            <w:r w:rsidRPr="00201A9A">
              <w:rPr>
                <w:noProof/>
                <w:sz w:val="20"/>
              </w:rPr>
              <w:t>Urzędnicy</w:t>
            </w:r>
            <w:r w:rsidR="00201A9A" w:rsidRPr="00201A9A">
              <w:rPr>
                <w:noProof/>
                <w:sz w:val="20"/>
              </w:rPr>
              <w:t xml:space="preserve"> i pra</w:t>
            </w:r>
            <w:r w:rsidRPr="00201A9A">
              <w:rPr>
                <w:noProof/>
                <w:sz w:val="20"/>
              </w:rPr>
              <w:t>cownicy zatrudnieni na czas określony</w:t>
            </w:r>
          </w:p>
        </w:tc>
        <w:tc>
          <w:tcPr>
            <w:tcW w:w="3448" w:type="pct"/>
          </w:tcPr>
          <w:p w14:paraId="52A20A21" w14:textId="3A7CF9C8" w:rsidR="004A489F" w:rsidRPr="00201A9A" w:rsidRDefault="004A489F">
            <w:pPr>
              <w:rPr>
                <w:noProof/>
                <w:sz w:val="20"/>
              </w:rPr>
            </w:pPr>
            <w:r w:rsidRPr="00201A9A">
              <w:rPr>
                <w:noProof/>
                <w:sz w:val="20"/>
              </w:rPr>
              <w:t>Zarządzanie programem, ogólne wsparcie administracyjne, finansowe</w:t>
            </w:r>
            <w:r w:rsidR="00201A9A" w:rsidRPr="00201A9A">
              <w:rPr>
                <w:noProof/>
                <w:sz w:val="20"/>
              </w:rPr>
              <w:t xml:space="preserve"> i tec</w:t>
            </w:r>
            <w:r w:rsidRPr="00201A9A">
              <w:rPr>
                <w:noProof/>
                <w:sz w:val="20"/>
              </w:rPr>
              <w:t>hniczne, koordynacja polityki, audyt</w:t>
            </w:r>
          </w:p>
        </w:tc>
      </w:tr>
      <w:tr w:rsidR="00603BC3" w:rsidRPr="00201A9A" w14:paraId="1A98E7B1" w14:textId="77777777" w:rsidTr="00B95D91">
        <w:tc>
          <w:tcPr>
            <w:tcW w:w="1552" w:type="pct"/>
          </w:tcPr>
          <w:p w14:paraId="106C2CA5" w14:textId="77777777" w:rsidR="004A489F" w:rsidRPr="00201A9A" w:rsidRDefault="004A489F">
            <w:pPr>
              <w:spacing w:before="60" w:after="60"/>
              <w:rPr>
                <w:noProof/>
                <w:sz w:val="20"/>
              </w:rPr>
            </w:pPr>
            <w:r w:rsidRPr="00201A9A">
              <w:rPr>
                <w:noProof/>
                <w:sz w:val="20"/>
              </w:rPr>
              <w:t>Personel zewnętrzny</w:t>
            </w:r>
          </w:p>
        </w:tc>
        <w:tc>
          <w:tcPr>
            <w:tcW w:w="3448" w:type="pct"/>
          </w:tcPr>
          <w:p w14:paraId="20F964B3" w14:textId="351F1B84" w:rsidR="004A489F" w:rsidRPr="00201A9A" w:rsidRDefault="004A489F">
            <w:pPr>
              <w:rPr>
                <w:noProof/>
                <w:sz w:val="20"/>
              </w:rPr>
            </w:pPr>
            <w:r w:rsidRPr="00201A9A">
              <w:rPr>
                <w:noProof/>
                <w:sz w:val="20"/>
              </w:rPr>
              <w:t>Zarządzanie programem, ogólne wsparcie administracyjne, finansowe</w:t>
            </w:r>
            <w:r w:rsidR="00201A9A" w:rsidRPr="00201A9A">
              <w:rPr>
                <w:noProof/>
                <w:sz w:val="20"/>
              </w:rPr>
              <w:t xml:space="preserve"> i tec</w:t>
            </w:r>
            <w:r w:rsidRPr="00201A9A">
              <w:rPr>
                <w:noProof/>
                <w:sz w:val="20"/>
              </w:rPr>
              <w:t>hniczne, koordynacja polityki, audyt</w:t>
            </w:r>
          </w:p>
        </w:tc>
      </w:tr>
    </w:tbl>
    <w:p w14:paraId="76FD41C5" w14:textId="7BEB2A2F" w:rsidR="004A489F" w:rsidRPr="00201A9A" w:rsidRDefault="004A489F" w:rsidP="004A489F">
      <w:pPr>
        <w:pStyle w:val="ManualHeading3"/>
        <w:rPr>
          <w:noProof/>
        </w:rPr>
      </w:pPr>
      <w:bookmarkStart w:id="190" w:name="_Toc177549031"/>
      <w:r w:rsidRPr="00201A9A">
        <w:rPr>
          <w:noProof/>
        </w:rPr>
        <w:t>3.2.5.</w:t>
      </w:r>
      <w:r w:rsidRPr="00201A9A">
        <w:rPr>
          <w:noProof/>
        </w:rPr>
        <w:tab/>
        <w:t>Przegląd szacowanego wpływu na inwestycje związane</w:t>
      </w:r>
      <w:r w:rsidR="00201A9A" w:rsidRPr="00201A9A">
        <w:rPr>
          <w:noProof/>
        </w:rPr>
        <w:t xml:space="preserve"> z tec</w:t>
      </w:r>
      <w:r w:rsidRPr="00201A9A">
        <w:rPr>
          <w:noProof/>
        </w:rPr>
        <w:t>hnologiami cyfrowymi</w:t>
      </w:r>
      <w:bookmarkEnd w:id="190"/>
    </w:p>
    <w:tbl>
      <w:tblPr>
        <w:tblW w:w="5000" w:type="pct"/>
        <w:tblCellMar>
          <w:top w:w="15" w:type="dxa"/>
          <w:bottom w:w="15" w:type="dxa"/>
        </w:tblCellMar>
        <w:tblLook w:val="04A0" w:firstRow="1" w:lastRow="0" w:firstColumn="1" w:lastColumn="0" w:noHBand="0" w:noVBand="1"/>
      </w:tblPr>
      <w:tblGrid>
        <w:gridCol w:w="2957"/>
        <w:gridCol w:w="727"/>
        <w:gridCol w:w="852"/>
        <w:gridCol w:w="729"/>
        <w:gridCol w:w="746"/>
        <w:gridCol w:w="748"/>
        <w:gridCol w:w="746"/>
        <w:gridCol w:w="737"/>
        <w:gridCol w:w="1047"/>
      </w:tblGrid>
      <w:tr w:rsidR="004A489F" w:rsidRPr="00201A9A" w14:paraId="3194658E" w14:textId="77777777">
        <w:trPr>
          <w:trHeight w:val="300"/>
        </w:trPr>
        <w:tc>
          <w:tcPr>
            <w:tcW w:w="1605" w:type="pct"/>
            <w:vMerge w:val="restart"/>
            <w:tcBorders>
              <w:top w:val="single" w:sz="8" w:space="0" w:color="auto"/>
              <w:left w:val="single" w:sz="8" w:space="0" w:color="auto"/>
              <w:bottom w:val="single" w:sz="8" w:space="0" w:color="auto"/>
              <w:right w:val="single" w:sz="8" w:space="0" w:color="auto"/>
            </w:tcBorders>
            <w:vAlign w:val="center"/>
            <w:hideMark/>
          </w:tcPr>
          <w:p w14:paraId="6CD125EA" w14:textId="439BC118" w:rsidR="004A489F" w:rsidRPr="00201A9A" w:rsidRDefault="004A489F">
            <w:pPr>
              <w:spacing w:before="0" w:after="0"/>
              <w:jc w:val="center"/>
              <w:rPr>
                <w:rFonts w:eastAsia="Times New Roman"/>
                <w:b/>
                <w:noProof/>
                <w:color w:val="000000"/>
                <w:sz w:val="18"/>
                <w:szCs w:val="18"/>
              </w:rPr>
            </w:pPr>
            <w:r w:rsidRPr="00201A9A">
              <w:rPr>
                <w:b/>
                <w:noProof/>
                <w:color w:val="000000" w:themeColor="text1"/>
                <w:sz w:val="18"/>
              </w:rPr>
              <w:t>OGÓŁEM środki na IT</w:t>
            </w:r>
            <w:r w:rsidR="00201A9A" w:rsidRPr="00201A9A">
              <w:rPr>
                <w:b/>
                <w:noProof/>
                <w:color w:val="000000" w:themeColor="text1"/>
                <w:sz w:val="18"/>
              </w:rPr>
              <w:t xml:space="preserve"> i tec</w:t>
            </w:r>
            <w:r w:rsidRPr="00201A9A">
              <w:rPr>
                <w:b/>
                <w:noProof/>
                <w:color w:val="000000" w:themeColor="text1"/>
                <w:sz w:val="18"/>
              </w:rPr>
              <w:t>hnologie cyfrowe</w:t>
            </w:r>
          </w:p>
        </w:tc>
        <w:tc>
          <w:tcPr>
            <w:tcW w:w="405" w:type="pct"/>
            <w:tcBorders>
              <w:top w:val="single" w:sz="8" w:space="0" w:color="auto"/>
              <w:left w:val="single" w:sz="8" w:space="0" w:color="auto"/>
              <w:bottom w:val="single" w:sz="8" w:space="0" w:color="auto"/>
              <w:right w:val="single" w:sz="8" w:space="0" w:color="auto"/>
            </w:tcBorders>
            <w:vAlign w:val="center"/>
            <w:hideMark/>
          </w:tcPr>
          <w:p w14:paraId="2EA86BE2"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Rok</w:t>
            </w:r>
          </w:p>
        </w:tc>
        <w:tc>
          <w:tcPr>
            <w:tcW w:w="472" w:type="pct"/>
            <w:tcBorders>
              <w:top w:val="single" w:sz="8" w:space="0" w:color="auto"/>
              <w:left w:val="single" w:sz="8" w:space="0" w:color="auto"/>
              <w:bottom w:val="single" w:sz="8" w:space="0" w:color="auto"/>
              <w:right w:val="single" w:sz="8" w:space="0" w:color="auto"/>
            </w:tcBorders>
            <w:vAlign w:val="center"/>
            <w:hideMark/>
          </w:tcPr>
          <w:p w14:paraId="0E3F89E8"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Rok</w:t>
            </w:r>
          </w:p>
        </w:tc>
        <w:tc>
          <w:tcPr>
            <w:tcW w:w="406" w:type="pct"/>
            <w:tcBorders>
              <w:top w:val="single" w:sz="8" w:space="0" w:color="auto"/>
              <w:left w:val="single" w:sz="8" w:space="0" w:color="auto"/>
              <w:bottom w:val="single" w:sz="8" w:space="0" w:color="auto"/>
              <w:right w:val="single" w:sz="8" w:space="0" w:color="auto"/>
            </w:tcBorders>
            <w:vAlign w:val="center"/>
            <w:hideMark/>
          </w:tcPr>
          <w:p w14:paraId="369A43BA"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Rok</w:t>
            </w:r>
          </w:p>
        </w:tc>
        <w:tc>
          <w:tcPr>
            <w:tcW w:w="415" w:type="pct"/>
            <w:tcBorders>
              <w:top w:val="single" w:sz="8" w:space="0" w:color="auto"/>
              <w:left w:val="single" w:sz="8" w:space="0" w:color="auto"/>
              <w:bottom w:val="single" w:sz="8" w:space="0" w:color="auto"/>
              <w:right w:val="single" w:sz="8" w:space="0" w:color="auto"/>
            </w:tcBorders>
            <w:vAlign w:val="center"/>
            <w:hideMark/>
          </w:tcPr>
          <w:p w14:paraId="5725041F"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Rok</w:t>
            </w:r>
          </w:p>
        </w:tc>
        <w:tc>
          <w:tcPr>
            <w:tcW w:w="416" w:type="pct"/>
            <w:tcBorders>
              <w:top w:val="single" w:sz="8" w:space="0" w:color="auto"/>
              <w:left w:val="single" w:sz="8" w:space="0" w:color="auto"/>
              <w:bottom w:val="single" w:sz="8" w:space="0" w:color="auto"/>
              <w:right w:val="single" w:sz="8" w:space="0" w:color="auto"/>
            </w:tcBorders>
            <w:vAlign w:val="center"/>
            <w:hideMark/>
          </w:tcPr>
          <w:p w14:paraId="421BF307"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Rok</w:t>
            </w:r>
          </w:p>
        </w:tc>
        <w:tc>
          <w:tcPr>
            <w:tcW w:w="415" w:type="pct"/>
            <w:tcBorders>
              <w:top w:val="single" w:sz="8" w:space="0" w:color="auto"/>
              <w:left w:val="single" w:sz="8" w:space="0" w:color="auto"/>
              <w:bottom w:val="single" w:sz="8" w:space="0" w:color="auto"/>
              <w:right w:val="single" w:sz="8" w:space="0" w:color="auto"/>
            </w:tcBorders>
            <w:vAlign w:val="center"/>
            <w:hideMark/>
          </w:tcPr>
          <w:p w14:paraId="45471E3F"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Rok</w:t>
            </w:r>
          </w:p>
        </w:tc>
        <w:tc>
          <w:tcPr>
            <w:tcW w:w="410" w:type="pct"/>
            <w:tcBorders>
              <w:top w:val="single" w:sz="8" w:space="0" w:color="auto"/>
              <w:left w:val="single" w:sz="8" w:space="0" w:color="auto"/>
              <w:bottom w:val="single" w:sz="8" w:space="0" w:color="auto"/>
              <w:right w:val="single" w:sz="8" w:space="0" w:color="auto"/>
            </w:tcBorders>
            <w:vAlign w:val="center"/>
            <w:hideMark/>
          </w:tcPr>
          <w:p w14:paraId="54603465" w14:textId="77777777" w:rsidR="004A489F" w:rsidRPr="00201A9A" w:rsidRDefault="004A489F">
            <w:pPr>
              <w:spacing w:before="0" w:after="0"/>
              <w:jc w:val="center"/>
              <w:rPr>
                <w:rFonts w:eastAsia="Times New Roman"/>
                <w:noProof/>
                <w:color w:val="000000"/>
                <w:sz w:val="18"/>
                <w:szCs w:val="18"/>
              </w:rPr>
            </w:pPr>
            <w:r w:rsidRPr="00201A9A">
              <w:rPr>
                <w:noProof/>
                <w:color w:val="000000"/>
                <w:sz w:val="18"/>
              </w:rPr>
              <w:t>Rok</w:t>
            </w:r>
          </w:p>
        </w:tc>
        <w:tc>
          <w:tcPr>
            <w:tcW w:w="456" w:type="pct"/>
            <w:vMerge w:val="restart"/>
            <w:tcBorders>
              <w:top w:val="single" w:sz="8" w:space="0" w:color="auto"/>
              <w:left w:val="single" w:sz="8" w:space="0" w:color="auto"/>
              <w:bottom w:val="single" w:sz="8" w:space="0" w:color="auto"/>
              <w:right w:val="single" w:sz="8" w:space="0" w:color="auto"/>
            </w:tcBorders>
            <w:vAlign w:val="center"/>
            <w:hideMark/>
          </w:tcPr>
          <w:p w14:paraId="09C6FAE9"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OGÓŁEM</w:t>
            </w:r>
            <w:r w:rsidRPr="00201A9A">
              <w:rPr>
                <w:noProof/>
              </w:rPr>
              <w:t xml:space="preserve"> </w:t>
            </w:r>
            <w:r w:rsidRPr="00201A9A">
              <w:rPr>
                <w:noProof/>
              </w:rPr>
              <w:br/>
            </w:r>
            <w:r w:rsidRPr="00201A9A">
              <w:rPr>
                <w:b/>
                <w:noProof/>
                <w:color w:val="000000"/>
                <w:sz w:val="18"/>
              </w:rPr>
              <w:t>2028–2034</w:t>
            </w:r>
          </w:p>
        </w:tc>
      </w:tr>
      <w:tr w:rsidR="004A489F" w:rsidRPr="00201A9A" w14:paraId="3D12AEB0" w14:textId="77777777">
        <w:trPr>
          <w:trHeight w:val="300"/>
        </w:trPr>
        <w:tc>
          <w:tcPr>
            <w:tcW w:w="1605" w:type="pct"/>
            <w:vMerge/>
            <w:tcBorders>
              <w:top w:val="single" w:sz="8" w:space="0" w:color="auto"/>
              <w:left w:val="single" w:sz="8" w:space="0" w:color="auto"/>
              <w:bottom w:val="single" w:sz="8" w:space="0" w:color="auto"/>
              <w:right w:val="single" w:sz="8" w:space="0" w:color="auto"/>
            </w:tcBorders>
            <w:vAlign w:val="center"/>
            <w:hideMark/>
          </w:tcPr>
          <w:p w14:paraId="2508D92C" w14:textId="77777777" w:rsidR="004A489F" w:rsidRPr="00201A9A" w:rsidRDefault="004A489F">
            <w:pPr>
              <w:spacing w:before="0" w:after="0"/>
              <w:jc w:val="left"/>
              <w:rPr>
                <w:rFonts w:eastAsia="Times New Roman"/>
                <w:b/>
                <w:noProof/>
                <w:color w:val="000000"/>
                <w:sz w:val="18"/>
                <w:szCs w:val="18"/>
                <w:lang w:eastAsia="en-IE"/>
              </w:rPr>
            </w:pPr>
          </w:p>
        </w:tc>
        <w:tc>
          <w:tcPr>
            <w:tcW w:w="405" w:type="pct"/>
            <w:tcBorders>
              <w:top w:val="single" w:sz="8" w:space="0" w:color="auto"/>
              <w:left w:val="single" w:sz="8" w:space="0" w:color="auto"/>
              <w:bottom w:val="single" w:sz="8" w:space="0" w:color="auto"/>
              <w:right w:val="single" w:sz="8" w:space="0" w:color="auto"/>
            </w:tcBorders>
            <w:vAlign w:val="center"/>
            <w:hideMark/>
          </w:tcPr>
          <w:p w14:paraId="5F8025A1"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2028</w:t>
            </w:r>
          </w:p>
        </w:tc>
        <w:tc>
          <w:tcPr>
            <w:tcW w:w="472" w:type="pct"/>
            <w:tcBorders>
              <w:top w:val="single" w:sz="8" w:space="0" w:color="auto"/>
              <w:left w:val="single" w:sz="8" w:space="0" w:color="auto"/>
              <w:bottom w:val="single" w:sz="8" w:space="0" w:color="auto"/>
              <w:right w:val="single" w:sz="8" w:space="0" w:color="auto"/>
            </w:tcBorders>
            <w:vAlign w:val="center"/>
            <w:hideMark/>
          </w:tcPr>
          <w:p w14:paraId="5230779D"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2029</w:t>
            </w:r>
          </w:p>
        </w:tc>
        <w:tc>
          <w:tcPr>
            <w:tcW w:w="406" w:type="pct"/>
            <w:tcBorders>
              <w:top w:val="single" w:sz="8" w:space="0" w:color="auto"/>
              <w:left w:val="single" w:sz="8" w:space="0" w:color="auto"/>
              <w:bottom w:val="single" w:sz="8" w:space="0" w:color="auto"/>
              <w:right w:val="single" w:sz="8" w:space="0" w:color="auto"/>
            </w:tcBorders>
            <w:vAlign w:val="center"/>
            <w:hideMark/>
          </w:tcPr>
          <w:p w14:paraId="2869B1FB"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2030</w:t>
            </w:r>
          </w:p>
        </w:tc>
        <w:tc>
          <w:tcPr>
            <w:tcW w:w="415" w:type="pct"/>
            <w:tcBorders>
              <w:top w:val="single" w:sz="8" w:space="0" w:color="auto"/>
              <w:left w:val="single" w:sz="8" w:space="0" w:color="auto"/>
              <w:bottom w:val="single" w:sz="8" w:space="0" w:color="auto"/>
              <w:right w:val="single" w:sz="8" w:space="0" w:color="auto"/>
            </w:tcBorders>
            <w:vAlign w:val="center"/>
            <w:hideMark/>
          </w:tcPr>
          <w:p w14:paraId="79DDABE4"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2031</w:t>
            </w:r>
          </w:p>
        </w:tc>
        <w:tc>
          <w:tcPr>
            <w:tcW w:w="416" w:type="pct"/>
            <w:tcBorders>
              <w:top w:val="single" w:sz="8" w:space="0" w:color="auto"/>
              <w:left w:val="single" w:sz="8" w:space="0" w:color="auto"/>
              <w:bottom w:val="single" w:sz="8" w:space="0" w:color="auto"/>
              <w:right w:val="single" w:sz="8" w:space="0" w:color="auto"/>
            </w:tcBorders>
            <w:vAlign w:val="center"/>
            <w:hideMark/>
          </w:tcPr>
          <w:p w14:paraId="4818557F"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2032</w:t>
            </w:r>
          </w:p>
        </w:tc>
        <w:tc>
          <w:tcPr>
            <w:tcW w:w="415" w:type="pct"/>
            <w:tcBorders>
              <w:top w:val="single" w:sz="8" w:space="0" w:color="auto"/>
              <w:left w:val="single" w:sz="8" w:space="0" w:color="auto"/>
              <w:bottom w:val="single" w:sz="8" w:space="0" w:color="auto"/>
              <w:right w:val="single" w:sz="8" w:space="0" w:color="auto"/>
            </w:tcBorders>
            <w:vAlign w:val="center"/>
            <w:hideMark/>
          </w:tcPr>
          <w:p w14:paraId="6894B2CA"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2033</w:t>
            </w:r>
          </w:p>
        </w:tc>
        <w:tc>
          <w:tcPr>
            <w:tcW w:w="410" w:type="pct"/>
            <w:tcBorders>
              <w:top w:val="single" w:sz="8" w:space="0" w:color="auto"/>
              <w:left w:val="single" w:sz="8" w:space="0" w:color="auto"/>
              <w:bottom w:val="single" w:sz="8" w:space="0" w:color="auto"/>
              <w:right w:val="single" w:sz="8" w:space="0" w:color="auto"/>
            </w:tcBorders>
            <w:vAlign w:val="center"/>
            <w:hideMark/>
          </w:tcPr>
          <w:p w14:paraId="2B9BDE6E" w14:textId="77777777" w:rsidR="004A489F" w:rsidRPr="00201A9A" w:rsidRDefault="004A489F">
            <w:pPr>
              <w:spacing w:before="0" w:after="0"/>
              <w:jc w:val="center"/>
              <w:rPr>
                <w:rFonts w:eastAsia="Times New Roman"/>
                <w:b/>
                <w:noProof/>
                <w:color w:val="000000"/>
                <w:sz w:val="18"/>
                <w:szCs w:val="18"/>
              </w:rPr>
            </w:pPr>
            <w:r w:rsidRPr="00201A9A">
              <w:rPr>
                <w:b/>
                <w:noProof/>
                <w:color w:val="000000"/>
                <w:sz w:val="18"/>
              </w:rPr>
              <w:t>2034</w:t>
            </w:r>
          </w:p>
        </w:tc>
        <w:tc>
          <w:tcPr>
            <w:tcW w:w="456" w:type="pct"/>
            <w:vMerge/>
            <w:tcBorders>
              <w:top w:val="single" w:sz="8" w:space="0" w:color="auto"/>
              <w:left w:val="single" w:sz="8" w:space="0" w:color="auto"/>
              <w:bottom w:val="single" w:sz="8" w:space="0" w:color="auto"/>
              <w:right w:val="single" w:sz="8" w:space="0" w:color="auto"/>
            </w:tcBorders>
            <w:vAlign w:val="center"/>
            <w:hideMark/>
          </w:tcPr>
          <w:p w14:paraId="15B0DCC8" w14:textId="77777777" w:rsidR="004A489F" w:rsidRPr="00201A9A" w:rsidRDefault="004A489F">
            <w:pPr>
              <w:spacing w:before="0" w:after="0"/>
              <w:jc w:val="left"/>
              <w:rPr>
                <w:rFonts w:eastAsia="Times New Roman"/>
                <w:b/>
                <w:noProof/>
                <w:color w:val="000000"/>
                <w:sz w:val="18"/>
                <w:szCs w:val="18"/>
                <w:lang w:eastAsia="en-IE"/>
              </w:rPr>
            </w:pPr>
          </w:p>
        </w:tc>
      </w:tr>
      <w:tr w:rsidR="004A489F" w:rsidRPr="00201A9A" w14:paraId="57E79AA8" w14:textId="77777777">
        <w:trPr>
          <w:trHeight w:val="300"/>
        </w:trPr>
        <w:tc>
          <w:tcPr>
            <w:tcW w:w="5000" w:type="pct"/>
            <w:gridSpan w:val="9"/>
            <w:tcBorders>
              <w:top w:val="single" w:sz="8" w:space="0" w:color="auto"/>
              <w:left w:val="single" w:sz="8" w:space="0" w:color="auto"/>
              <w:bottom w:val="single" w:sz="8" w:space="0" w:color="auto"/>
              <w:right w:val="nil"/>
            </w:tcBorders>
            <w:vAlign w:val="center"/>
            <w:hideMark/>
          </w:tcPr>
          <w:p w14:paraId="10C45B19" w14:textId="77777777" w:rsidR="004A489F" w:rsidRPr="00201A9A" w:rsidRDefault="004A489F">
            <w:pPr>
              <w:spacing w:before="0" w:after="0"/>
              <w:jc w:val="left"/>
              <w:rPr>
                <w:rFonts w:eastAsia="Times New Roman"/>
                <w:b/>
                <w:noProof/>
                <w:sz w:val="16"/>
                <w:szCs w:val="16"/>
              </w:rPr>
            </w:pPr>
            <w:r w:rsidRPr="00201A9A">
              <w:rPr>
                <w:b/>
                <w:noProof/>
                <w:sz w:val="16"/>
              </w:rPr>
              <w:t>DZIAŁ 7</w:t>
            </w:r>
          </w:p>
        </w:tc>
      </w:tr>
      <w:tr w:rsidR="004A489F" w:rsidRPr="00201A9A" w14:paraId="1CABA48C" w14:textId="77777777">
        <w:trPr>
          <w:trHeight w:val="300"/>
        </w:trPr>
        <w:tc>
          <w:tcPr>
            <w:tcW w:w="160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B25114B" w14:textId="77777777" w:rsidR="004A489F" w:rsidRPr="00201A9A" w:rsidRDefault="004A489F">
            <w:pPr>
              <w:spacing w:before="0" w:after="0"/>
              <w:jc w:val="left"/>
              <w:rPr>
                <w:rFonts w:eastAsia="Times New Roman"/>
                <w:noProof/>
                <w:color w:val="000000"/>
                <w:sz w:val="16"/>
                <w:szCs w:val="16"/>
              </w:rPr>
            </w:pPr>
            <w:r w:rsidRPr="00201A9A">
              <w:rPr>
                <w:noProof/>
                <w:color w:val="000000"/>
                <w:sz w:val="16"/>
              </w:rPr>
              <w:t xml:space="preserve">Wydatki na IT (ponoszone przez organizację) </w:t>
            </w:r>
          </w:p>
        </w:tc>
        <w:tc>
          <w:tcPr>
            <w:tcW w:w="40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8156A87"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19,926</w:t>
            </w:r>
          </w:p>
        </w:tc>
        <w:tc>
          <w:tcPr>
            <w:tcW w:w="472"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8A46F52"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19,926</w:t>
            </w:r>
          </w:p>
        </w:tc>
        <w:tc>
          <w:tcPr>
            <w:tcW w:w="40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74F720F"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19,926</w:t>
            </w:r>
          </w:p>
        </w:tc>
        <w:tc>
          <w:tcPr>
            <w:tcW w:w="41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DD7780C"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19,926</w:t>
            </w:r>
          </w:p>
        </w:tc>
        <w:tc>
          <w:tcPr>
            <w:tcW w:w="41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2E2552F4"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19,926</w:t>
            </w:r>
          </w:p>
        </w:tc>
        <w:tc>
          <w:tcPr>
            <w:tcW w:w="41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68EC3860"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19,926</w:t>
            </w:r>
          </w:p>
        </w:tc>
        <w:tc>
          <w:tcPr>
            <w:tcW w:w="410"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493B9DA1" w14:textId="77777777" w:rsidR="004A489F" w:rsidRPr="00201A9A" w:rsidRDefault="004A489F">
            <w:pPr>
              <w:spacing w:before="0" w:after="0"/>
              <w:jc w:val="right"/>
              <w:rPr>
                <w:rFonts w:eastAsia="Times New Roman"/>
                <w:noProof/>
                <w:color w:val="000000"/>
                <w:sz w:val="16"/>
                <w:szCs w:val="16"/>
              </w:rPr>
            </w:pPr>
            <w:r w:rsidRPr="00201A9A">
              <w:rPr>
                <w:noProof/>
                <w:color w:val="000000"/>
                <w:sz w:val="16"/>
              </w:rPr>
              <w:t>19,926</w:t>
            </w:r>
          </w:p>
        </w:tc>
        <w:tc>
          <w:tcPr>
            <w:tcW w:w="45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F1B12C4"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139,482</w:t>
            </w:r>
          </w:p>
        </w:tc>
      </w:tr>
      <w:tr w:rsidR="004A489F" w:rsidRPr="00201A9A" w14:paraId="0684FD97" w14:textId="77777777">
        <w:trPr>
          <w:trHeight w:val="300"/>
        </w:trPr>
        <w:tc>
          <w:tcPr>
            <w:tcW w:w="1605"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7FD4634D" w14:textId="77777777" w:rsidR="004A489F" w:rsidRPr="00201A9A" w:rsidRDefault="004A489F">
            <w:pPr>
              <w:spacing w:before="0" w:after="0"/>
              <w:jc w:val="center"/>
              <w:rPr>
                <w:rFonts w:eastAsia="Times New Roman"/>
                <w:b/>
                <w:noProof/>
                <w:color w:val="000000"/>
                <w:sz w:val="16"/>
                <w:szCs w:val="16"/>
              </w:rPr>
            </w:pPr>
            <w:r w:rsidRPr="00201A9A">
              <w:rPr>
                <w:b/>
                <w:noProof/>
                <w:color w:val="000000"/>
                <w:sz w:val="16"/>
              </w:rPr>
              <w:t>Suma cząstkowa DZIAŁ 7</w:t>
            </w:r>
          </w:p>
        </w:tc>
        <w:tc>
          <w:tcPr>
            <w:tcW w:w="405" w:type="pct"/>
            <w:tcBorders>
              <w:top w:val="single" w:sz="8" w:space="0" w:color="auto"/>
              <w:left w:val="single" w:sz="8" w:space="0" w:color="auto"/>
              <w:bottom w:val="single" w:sz="8" w:space="0" w:color="auto"/>
              <w:right w:val="single" w:sz="8" w:space="0" w:color="auto"/>
            </w:tcBorders>
            <w:shd w:val="clear" w:color="000000" w:fill="D9D9D9"/>
            <w:hideMark/>
          </w:tcPr>
          <w:p w14:paraId="11F27604"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19,926</w:t>
            </w:r>
          </w:p>
        </w:tc>
        <w:tc>
          <w:tcPr>
            <w:tcW w:w="472" w:type="pct"/>
            <w:tcBorders>
              <w:top w:val="single" w:sz="8" w:space="0" w:color="auto"/>
              <w:left w:val="single" w:sz="8" w:space="0" w:color="auto"/>
              <w:bottom w:val="single" w:sz="8" w:space="0" w:color="auto"/>
              <w:right w:val="single" w:sz="8" w:space="0" w:color="auto"/>
            </w:tcBorders>
            <w:shd w:val="clear" w:color="000000" w:fill="D9D9D9"/>
            <w:hideMark/>
          </w:tcPr>
          <w:p w14:paraId="1DA62071"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19,926</w:t>
            </w:r>
          </w:p>
        </w:tc>
        <w:tc>
          <w:tcPr>
            <w:tcW w:w="406" w:type="pct"/>
            <w:tcBorders>
              <w:top w:val="single" w:sz="8" w:space="0" w:color="auto"/>
              <w:left w:val="single" w:sz="8" w:space="0" w:color="auto"/>
              <w:bottom w:val="single" w:sz="8" w:space="0" w:color="auto"/>
              <w:right w:val="single" w:sz="8" w:space="0" w:color="auto"/>
            </w:tcBorders>
            <w:shd w:val="clear" w:color="000000" w:fill="D9D9D9"/>
            <w:hideMark/>
          </w:tcPr>
          <w:p w14:paraId="0937503E"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19,926</w:t>
            </w:r>
          </w:p>
        </w:tc>
        <w:tc>
          <w:tcPr>
            <w:tcW w:w="415" w:type="pct"/>
            <w:tcBorders>
              <w:top w:val="single" w:sz="8" w:space="0" w:color="auto"/>
              <w:left w:val="single" w:sz="8" w:space="0" w:color="auto"/>
              <w:bottom w:val="single" w:sz="8" w:space="0" w:color="auto"/>
              <w:right w:val="single" w:sz="8" w:space="0" w:color="auto"/>
            </w:tcBorders>
            <w:shd w:val="clear" w:color="000000" w:fill="D9D9D9"/>
            <w:hideMark/>
          </w:tcPr>
          <w:p w14:paraId="2A0E0F0D"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19,926</w:t>
            </w:r>
          </w:p>
        </w:tc>
        <w:tc>
          <w:tcPr>
            <w:tcW w:w="416" w:type="pct"/>
            <w:tcBorders>
              <w:top w:val="single" w:sz="8" w:space="0" w:color="auto"/>
              <w:left w:val="single" w:sz="8" w:space="0" w:color="auto"/>
              <w:bottom w:val="single" w:sz="8" w:space="0" w:color="auto"/>
              <w:right w:val="single" w:sz="8" w:space="0" w:color="auto"/>
            </w:tcBorders>
            <w:shd w:val="clear" w:color="000000" w:fill="D9D9D9"/>
            <w:hideMark/>
          </w:tcPr>
          <w:p w14:paraId="786425DC"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19,926</w:t>
            </w:r>
          </w:p>
        </w:tc>
        <w:tc>
          <w:tcPr>
            <w:tcW w:w="415" w:type="pct"/>
            <w:tcBorders>
              <w:top w:val="single" w:sz="8" w:space="0" w:color="auto"/>
              <w:left w:val="single" w:sz="8" w:space="0" w:color="auto"/>
              <w:bottom w:val="single" w:sz="8" w:space="0" w:color="auto"/>
              <w:right w:val="single" w:sz="8" w:space="0" w:color="auto"/>
            </w:tcBorders>
            <w:shd w:val="clear" w:color="000000" w:fill="D9D9D9"/>
            <w:hideMark/>
          </w:tcPr>
          <w:p w14:paraId="350D5558"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19,926</w:t>
            </w:r>
          </w:p>
        </w:tc>
        <w:tc>
          <w:tcPr>
            <w:tcW w:w="410" w:type="pct"/>
            <w:tcBorders>
              <w:top w:val="single" w:sz="8" w:space="0" w:color="auto"/>
              <w:left w:val="single" w:sz="8" w:space="0" w:color="auto"/>
              <w:bottom w:val="single" w:sz="8" w:space="0" w:color="auto"/>
              <w:right w:val="single" w:sz="8" w:space="0" w:color="auto"/>
            </w:tcBorders>
            <w:shd w:val="clear" w:color="000000" w:fill="D9D9D9"/>
            <w:hideMark/>
          </w:tcPr>
          <w:p w14:paraId="5B8FE483"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19,926</w:t>
            </w:r>
          </w:p>
        </w:tc>
        <w:tc>
          <w:tcPr>
            <w:tcW w:w="456" w:type="pct"/>
            <w:tcBorders>
              <w:top w:val="single" w:sz="8" w:space="0" w:color="auto"/>
              <w:left w:val="single" w:sz="8" w:space="0" w:color="auto"/>
              <w:bottom w:val="single" w:sz="8" w:space="0" w:color="auto"/>
              <w:right w:val="single" w:sz="8" w:space="0" w:color="auto"/>
            </w:tcBorders>
            <w:shd w:val="clear" w:color="000000" w:fill="D9D9D9"/>
            <w:hideMark/>
          </w:tcPr>
          <w:p w14:paraId="3A3E63BC" w14:textId="77777777" w:rsidR="004A489F" w:rsidRPr="00201A9A" w:rsidRDefault="004A489F">
            <w:pPr>
              <w:spacing w:before="0" w:after="0"/>
              <w:jc w:val="right"/>
              <w:rPr>
                <w:rFonts w:eastAsia="Times New Roman"/>
                <w:b/>
                <w:noProof/>
                <w:color w:val="000000"/>
                <w:sz w:val="16"/>
                <w:szCs w:val="16"/>
              </w:rPr>
            </w:pPr>
            <w:r w:rsidRPr="00201A9A">
              <w:rPr>
                <w:b/>
                <w:noProof/>
                <w:color w:val="000000"/>
                <w:sz w:val="16"/>
              </w:rPr>
              <w:t>139,482</w:t>
            </w:r>
          </w:p>
        </w:tc>
      </w:tr>
      <w:tr w:rsidR="004A489F" w:rsidRPr="00201A9A" w14:paraId="44E59FB3" w14:textId="77777777">
        <w:trPr>
          <w:trHeight w:val="300"/>
        </w:trPr>
        <w:tc>
          <w:tcPr>
            <w:tcW w:w="5000" w:type="pct"/>
            <w:gridSpan w:val="9"/>
            <w:tcBorders>
              <w:top w:val="single" w:sz="8" w:space="0" w:color="auto"/>
              <w:left w:val="single" w:sz="8" w:space="0" w:color="auto"/>
              <w:bottom w:val="single" w:sz="8" w:space="0" w:color="auto"/>
              <w:right w:val="nil"/>
            </w:tcBorders>
            <w:vAlign w:val="center"/>
            <w:hideMark/>
          </w:tcPr>
          <w:p w14:paraId="3701389D" w14:textId="77777777" w:rsidR="004A489F" w:rsidRPr="00201A9A" w:rsidRDefault="004A489F">
            <w:pPr>
              <w:spacing w:before="0" w:after="0"/>
              <w:jc w:val="left"/>
              <w:rPr>
                <w:rFonts w:eastAsia="Times New Roman"/>
                <w:b/>
                <w:noProof/>
                <w:sz w:val="16"/>
                <w:szCs w:val="16"/>
              </w:rPr>
            </w:pPr>
            <w:r w:rsidRPr="00201A9A">
              <w:rPr>
                <w:b/>
                <w:noProof/>
                <w:sz w:val="16"/>
              </w:rPr>
              <w:t>Poza DZIAŁEM 7</w:t>
            </w:r>
          </w:p>
        </w:tc>
      </w:tr>
      <w:tr w:rsidR="004A489F" w:rsidRPr="00201A9A" w14:paraId="1EF3ECA7" w14:textId="77777777">
        <w:trPr>
          <w:trHeight w:val="300"/>
        </w:trPr>
        <w:tc>
          <w:tcPr>
            <w:tcW w:w="160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82C6680" w14:textId="4E10D850" w:rsidR="004A489F" w:rsidRPr="00201A9A" w:rsidRDefault="004A489F">
            <w:pPr>
              <w:spacing w:before="0" w:after="0"/>
              <w:jc w:val="left"/>
              <w:rPr>
                <w:rFonts w:eastAsia="Times New Roman"/>
                <w:noProof/>
                <w:color w:val="000000"/>
                <w:sz w:val="16"/>
                <w:szCs w:val="16"/>
              </w:rPr>
            </w:pPr>
            <w:r w:rsidRPr="00201A9A">
              <w:rPr>
                <w:noProof/>
                <w:color w:val="000000"/>
                <w:sz w:val="16"/>
              </w:rPr>
              <w:t>Wydatki na IT wynikające</w:t>
            </w:r>
            <w:r w:rsidR="00201A9A" w:rsidRPr="00201A9A">
              <w:rPr>
                <w:noProof/>
                <w:color w:val="000000"/>
                <w:sz w:val="16"/>
              </w:rPr>
              <w:t xml:space="preserve"> z rea</w:t>
            </w:r>
            <w:r w:rsidRPr="00201A9A">
              <w:rPr>
                <w:noProof/>
                <w:color w:val="000000"/>
                <w:sz w:val="16"/>
              </w:rPr>
              <w:t>lizacji polityki tytułem programów operacyjnych</w:t>
            </w:r>
          </w:p>
        </w:tc>
        <w:tc>
          <w:tcPr>
            <w:tcW w:w="40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1A65197D" w14:textId="77777777" w:rsidR="004A489F" w:rsidRPr="00201A9A" w:rsidRDefault="004A489F">
            <w:pPr>
              <w:spacing w:before="0" w:after="0"/>
              <w:jc w:val="right"/>
              <w:rPr>
                <w:rFonts w:eastAsia="Times New Roman"/>
                <w:noProof/>
                <w:color w:val="000000"/>
                <w:sz w:val="16"/>
                <w:szCs w:val="16"/>
                <w:lang w:eastAsia="en-IE"/>
              </w:rPr>
            </w:pPr>
          </w:p>
        </w:tc>
        <w:tc>
          <w:tcPr>
            <w:tcW w:w="472"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38F93D9" w14:textId="77777777" w:rsidR="004A489F" w:rsidRPr="00201A9A" w:rsidRDefault="004A489F">
            <w:pPr>
              <w:spacing w:before="0" w:after="0"/>
              <w:jc w:val="right"/>
              <w:rPr>
                <w:rFonts w:eastAsia="Times New Roman"/>
                <w:noProof/>
                <w:color w:val="000000"/>
                <w:sz w:val="16"/>
                <w:szCs w:val="16"/>
                <w:lang w:eastAsia="en-IE"/>
              </w:rPr>
            </w:pPr>
          </w:p>
        </w:tc>
        <w:tc>
          <w:tcPr>
            <w:tcW w:w="40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2627B198" w14:textId="77777777" w:rsidR="004A489F" w:rsidRPr="00201A9A" w:rsidRDefault="004A489F">
            <w:pPr>
              <w:spacing w:before="0" w:after="0"/>
              <w:jc w:val="right"/>
              <w:rPr>
                <w:rFonts w:eastAsia="Times New Roman"/>
                <w:noProof/>
                <w:color w:val="000000"/>
                <w:sz w:val="16"/>
                <w:szCs w:val="16"/>
                <w:lang w:eastAsia="en-IE"/>
              </w:rPr>
            </w:pPr>
          </w:p>
        </w:tc>
        <w:tc>
          <w:tcPr>
            <w:tcW w:w="41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5BD4CBD0" w14:textId="77777777" w:rsidR="004A489F" w:rsidRPr="00201A9A" w:rsidRDefault="004A489F">
            <w:pPr>
              <w:spacing w:before="0" w:after="0"/>
              <w:jc w:val="right"/>
              <w:rPr>
                <w:rFonts w:eastAsia="Times New Roman"/>
                <w:noProof/>
                <w:color w:val="000000"/>
                <w:sz w:val="16"/>
                <w:szCs w:val="16"/>
                <w:lang w:eastAsia="en-IE"/>
              </w:rPr>
            </w:pPr>
          </w:p>
        </w:tc>
        <w:tc>
          <w:tcPr>
            <w:tcW w:w="41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D9BE23A" w14:textId="77777777" w:rsidR="004A489F" w:rsidRPr="00201A9A" w:rsidRDefault="004A489F">
            <w:pPr>
              <w:spacing w:before="0" w:after="0"/>
              <w:jc w:val="right"/>
              <w:rPr>
                <w:rFonts w:eastAsia="Times New Roman"/>
                <w:noProof/>
                <w:color w:val="000000"/>
                <w:sz w:val="16"/>
                <w:szCs w:val="16"/>
                <w:lang w:eastAsia="en-IE"/>
              </w:rPr>
            </w:pPr>
          </w:p>
        </w:tc>
        <w:tc>
          <w:tcPr>
            <w:tcW w:w="415"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3042819F" w14:textId="77777777" w:rsidR="004A489F" w:rsidRPr="00201A9A" w:rsidRDefault="004A489F">
            <w:pPr>
              <w:spacing w:before="0" w:after="0"/>
              <w:jc w:val="right"/>
              <w:rPr>
                <w:rFonts w:eastAsia="Times New Roman"/>
                <w:noProof/>
                <w:color w:val="000000"/>
                <w:sz w:val="16"/>
                <w:szCs w:val="16"/>
                <w:lang w:eastAsia="en-IE"/>
              </w:rPr>
            </w:pPr>
          </w:p>
        </w:tc>
        <w:tc>
          <w:tcPr>
            <w:tcW w:w="410"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02736D3C" w14:textId="77777777" w:rsidR="004A489F" w:rsidRPr="00201A9A" w:rsidRDefault="004A489F">
            <w:pPr>
              <w:spacing w:before="0" w:after="0"/>
              <w:jc w:val="right"/>
              <w:rPr>
                <w:rFonts w:eastAsia="Times New Roman"/>
                <w:noProof/>
                <w:color w:val="000000"/>
                <w:sz w:val="16"/>
                <w:szCs w:val="16"/>
                <w:lang w:eastAsia="en-IE"/>
              </w:rPr>
            </w:pPr>
          </w:p>
        </w:tc>
        <w:tc>
          <w:tcPr>
            <w:tcW w:w="456" w:type="pct"/>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21323A51" w14:textId="77777777" w:rsidR="004A489F" w:rsidRPr="00201A9A" w:rsidRDefault="004A489F">
            <w:pPr>
              <w:spacing w:before="0" w:after="0"/>
              <w:jc w:val="right"/>
              <w:rPr>
                <w:rFonts w:eastAsia="Times New Roman"/>
                <w:b/>
                <w:noProof/>
                <w:color w:val="000000"/>
                <w:sz w:val="16"/>
                <w:szCs w:val="16"/>
                <w:lang w:eastAsia="en-IE"/>
              </w:rPr>
            </w:pPr>
          </w:p>
        </w:tc>
      </w:tr>
      <w:tr w:rsidR="00AE2D8C" w:rsidRPr="00201A9A" w14:paraId="18EBFAFD" w14:textId="77777777" w:rsidTr="00CF52B7">
        <w:trPr>
          <w:trHeight w:val="300"/>
        </w:trPr>
        <w:tc>
          <w:tcPr>
            <w:tcW w:w="1605" w:type="pct"/>
            <w:tcBorders>
              <w:top w:val="single" w:sz="8" w:space="0" w:color="auto"/>
              <w:left w:val="single" w:sz="8" w:space="0" w:color="auto"/>
              <w:bottom w:val="single" w:sz="8" w:space="0" w:color="auto"/>
              <w:right w:val="single" w:sz="8" w:space="0" w:color="auto"/>
            </w:tcBorders>
            <w:shd w:val="clear" w:color="000000" w:fill="CCCCCC"/>
            <w:vAlign w:val="center"/>
            <w:hideMark/>
          </w:tcPr>
          <w:p w14:paraId="0ECA8821" w14:textId="77777777" w:rsidR="00AE2D8C" w:rsidRPr="00201A9A" w:rsidRDefault="00AE2D8C" w:rsidP="00AE2D8C">
            <w:pPr>
              <w:spacing w:before="0" w:after="0"/>
              <w:jc w:val="center"/>
              <w:rPr>
                <w:rFonts w:eastAsia="Times New Roman"/>
                <w:b/>
                <w:noProof/>
                <w:color w:val="000000"/>
                <w:sz w:val="16"/>
                <w:szCs w:val="16"/>
              </w:rPr>
            </w:pPr>
            <w:r w:rsidRPr="00201A9A">
              <w:rPr>
                <w:b/>
                <w:noProof/>
                <w:color w:val="000000"/>
                <w:sz w:val="16"/>
              </w:rPr>
              <w:t>Suma cząstkowa poza DZIAŁEM 7</w:t>
            </w:r>
          </w:p>
        </w:tc>
        <w:tc>
          <w:tcPr>
            <w:tcW w:w="40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0AD51C14" w14:textId="77777777" w:rsidR="00AE2D8C" w:rsidRPr="00201A9A" w:rsidRDefault="00AE2D8C" w:rsidP="00AE2D8C">
            <w:pPr>
              <w:spacing w:before="0" w:after="0"/>
              <w:jc w:val="right"/>
              <w:rPr>
                <w:rFonts w:eastAsia="Times New Roman"/>
                <w:b/>
                <w:noProof/>
                <w:color w:val="000000"/>
                <w:sz w:val="16"/>
                <w:szCs w:val="16"/>
              </w:rPr>
            </w:pPr>
            <w:r w:rsidRPr="00201A9A">
              <w:rPr>
                <w:b/>
                <w:noProof/>
                <w:color w:val="000000"/>
                <w:sz w:val="16"/>
              </w:rPr>
              <w:t>p.m.</w:t>
            </w:r>
          </w:p>
        </w:tc>
        <w:tc>
          <w:tcPr>
            <w:tcW w:w="472" w:type="pct"/>
            <w:tcBorders>
              <w:top w:val="single" w:sz="8" w:space="0" w:color="auto"/>
              <w:left w:val="single" w:sz="8" w:space="0" w:color="auto"/>
              <w:bottom w:val="single" w:sz="8" w:space="0" w:color="auto"/>
              <w:right w:val="single" w:sz="8" w:space="0" w:color="auto"/>
            </w:tcBorders>
            <w:shd w:val="clear" w:color="000000" w:fill="D9D9D9"/>
            <w:hideMark/>
          </w:tcPr>
          <w:p w14:paraId="2CA2E6AF" w14:textId="77777777" w:rsidR="00AE2D8C" w:rsidRPr="00201A9A" w:rsidRDefault="00AE2D8C" w:rsidP="00AE2D8C">
            <w:pPr>
              <w:spacing w:before="0" w:after="0"/>
              <w:jc w:val="right"/>
              <w:rPr>
                <w:rFonts w:eastAsia="Times New Roman"/>
                <w:b/>
                <w:noProof/>
                <w:color w:val="000000"/>
                <w:sz w:val="16"/>
                <w:szCs w:val="16"/>
              </w:rPr>
            </w:pPr>
            <w:r w:rsidRPr="00201A9A">
              <w:rPr>
                <w:b/>
                <w:noProof/>
                <w:color w:val="000000"/>
                <w:sz w:val="16"/>
              </w:rPr>
              <w:t>p.m.</w:t>
            </w:r>
          </w:p>
        </w:tc>
        <w:tc>
          <w:tcPr>
            <w:tcW w:w="406" w:type="pct"/>
            <w:tcBorders>
              <w:top w:val="single" w:sz="8" w:space="0" w:color="auto"/>
              <w:left w:val="single" w:sz="8" w:space="0" w:color="auto"/>
              <w:bottom w:val="single" w:sz="8" w:space="0" w:color="auto"/>
              <w:right w:val="single" w:sz="8" w:space="0" w:color="auto"/>
            </w:tcBorders>
            <w:shd w:val="clear" w:color="000000" w:fill="D9D9D9"/>
            <w:hideMark/>
          </w:tcPr>
          <w:p w14:paraId="0078A2FE" w14:textId="77777777" w:rsidR="00AE2D8C" w:rsidRPr="00201A9A" w:rsidRDefault="00AE2D8C" w:rsidP="00AE2D8C">
            <w:pPr>
              <w:spacing w:before="0" w:after="0"/>
              <w:jc w:val="right"/>
              <w:rPr>
                <w:rFonts w:eastAsia="Times New Roman"/>
                <w:b/>
                <w:noProof/>
                <w:color w:val="000000"/>
                <w:sz w:val="16"/>
                <w:szCs w:val="16"/>
              </w:rPr>
            </w:pPr>
            <w:r w:rsidRPr="00201A9A">
              <w:rPr>
                <w:b/>
                <w:noProof/>
                <w:color w:val="000000"/>
                <w:sz w:val="16"/>
              </w:rPr>
              <w:t>p.m.</w:t>
            </w:r>
          </w:p>
        </w:tc>
        <w:tc>
          <w:tcPr>
            <w:tcW w:w="415" w:type="pct"/>
            <w:tcBorders>
              <w:top w:val="single" w:sz="8" w:space="0" w:color="auto"/>
              <w:left w:val="single" w:sz="8" w:space="0" w:color="auto"/>
              <w:bottom w:val="single" w:sz="8" w:space="0" w:color="auto"/>
              <w:right w:val="single" w:sz="8" w:space="0" w:color="auto"/>
            </w:tcBorders>
            <w:shd w:val="clear" w:color="000000" w:fill="D9D9D9"/>
            <w:hideMark/>
          </w:tcPr>
          <w:p w14:paraId="2F118E77" w14:textId="77777777" w:rsidR="00AE2D8C" w:rsidRPr="00201A9A" w:rsidRDefault="00AE2D8C" w:rsidP="00AE2D8C">
            <w:pPr>
              <w:spacing w:before="0" w:after="0"/>
              <w:jc w:val="right"/>
              <w:rPr>
                <w:rFonts w:eastAsia="Times New Roman"/>
                <w:b/>
                <w:noProof/>
                <w:color w:val="000000"/>
                <w:sz w:val="16"/>
                <w:szCs w:val="16"/>
              </w:rPr>
            </w:pPr>
            <w:r w:rsidRPr="00201A9A">
              <w:rPr>
                <w:b/>
                <w:noProof/>
                <w:color w:val="000000"/>
                <w:sz w:val="16"/>
              </w:rPr>
              <w:t>p.m.</w:t>
            </w:r>
          </w:p>
        </w:tc>
        <w:tc>
          <w:tcPr>
            <w:tcW w:w="416" w:type="pct"/>
            <w:tcBorders>
              <w:top w:val="single" w:sz="8" w:space="0" w:color="auto"/>
              <w:left w:val="single" w:sz="8" w:space="0" w:color="auto"/>
              <w:bottom w:val="single" w:sz="8" w:space="0" w:color="auto"/>
              <w:right w:val="single" w:sz="8" w:space="0" w:color="auto"/>
            </w:tcBorders>
            <w:shd w:val="clear" w:color="000000" w:fill="D9D9D9"/>
            <w:hideMark/>
          </w:tcPr>
          <w:p w14:paraId="4F933ACE" w14:textId="77777777" w:rsidR="00AE2D8C" w:rsidRPr="00201A9A" w:rsidRDefault="00AE2D8C" w:rsidP="00AE2D8C">
            <w:pPr>
              <w:spacing w:before="0" w:after="0"/>
              <w:jc w:val="right"/>
              <w:rPr>
                <w:rFonts w:eastAsia="Times New Roman"/>
                <w:b/>
                <w:noProof/>
                <w:color w:val="000000"/>
                <w:sz w:val="16"/>
                <w:szCs w:val="16"/>
              </w:rPr>
            </w:pPr>
            <w:r w:rsidRPr="00201A9A">
              <w:rPr>
                <w:b/>
                <w:noProof/>
                <w:color w:val="000000"/>
                <w:sz w:val="16"/>
              </w:rPr>
              <w:t>p.m.</w:t>
            </w:r>
          </w:p>
        </w:tc>
        <w:tc>
          <w:tcPr>
            <w:tcW w:w="415" w:type="pct"/>
            <w:tcBorders>
              <w:top w:val="single" w:sz="8" w:space="0" w:color="auto"/>
              <w:left w:val="single" w:sz="8" w:space="0" w:color="auto"/>
              <w:bottom w:val="single" w:sz="8" w:space="0" w:color="auto"/>
              <w:right w:val="single" w:sz="8" w:space="0" w:color="auto"/>
            </w:tcBorders>
            <w:shd w:val="clear" w:color="000000" w:fill="D9D9D9"/>
            <w:hideMark/>
          </w:tcPr>
          <w:p w14:paraId="5E43D26E" w14:textId="77777777" w:rsidR="00AE2D8C" w:rsidRPr="00201A9A" w:rsidRDefault="00AE2D8C" w:rsidP="00AE2D8C">
            <w:pPr>
              <w:spacing w:before="0" w:after="0"/>
              <w:jc w:val="right"/>
              <w:rPr>
                <w:rFonts w:eastAsia="Times New Roman"/>
                <w:b/>
                <w:noProof/>
                <w:color w:val="000000"/>
                <w:sz w:val="16"/>
                <w:szCs w:val="16"/>
              </w:rPr>
            </w:pPr>
            <w:r w:rsidRPr="00201A9A">
              <w:rPr>
                <w:b/>
                <w:noProof/>
                <w:color w:val="000000"/>
                <w:sz w:val="16"/>
              </w:rPr>
              <w:t>p.m.</w:t>
            </w:r>
          </w:p>
        </w:tc>
        <w:tc>
          <w:tcPr>
            <w:tcW w:w="410" w:type="pct"/>
            <w:tcBorders>
              <w:top w:val="single" w:sz="8" w:space="0" w:color="auto"/>
              <w:left w:val="single" w:sz="8" w:space="0" w:color="auto"/>
              <w:bottom w:val="single" w:sz="8" w:space="0" w:color="auto"/>
              <w:right w:val="single" w:sz="8" w:space="0" w:color="auto"/>
            </w:tcBorders>
            <w:shd w:val="clear" w:color="000000" w:fill="D9D9D9"/>
            <w:hideMark/>
          </w:tcPr>
          <w:p w14:paraId="6AECA32B" w14:textId="77777777" w:rsidR="00AE2D8C" w:rsidRPr="00201A9A" w:rsidRDefault="00AE2D8C" w:rsidP="00AE2D8C">
            <w:pPr>
              <w:spacing w:before="0" w:after="0"/>
              <w:jc w:val="right"/>
              <w:rPr>
                <w:rFonts w:eastAsia="Times New Roman"/>
                <w:b/>
                <w:noProof/>
                <w:color w:val="000000"/>
                <w:sz w:val="16"/>
                <w:szCs w:val="16"/>
              </w:rPr>
            </w:pPr>
            <w:r w:rsidRPr="00201A9A">
              <w:rPr>
                <w:b/>
                <w:noProof/>
                <w:color w:val="000000"/>
                <w:sz w:val="16"/>
              </w:rPr>
              <w:t>p.m.</w:t>
            </w:r>
          </w:p>
        </w:tc>
        <w:tc>
          <w:tcPr>
            <w:tcW w:w="456" w:type="pct"/>
            <w:tcBorders>
              <w:top w:val="single" w:sz="8" w:space="0" w:color="auto"/>
              <w:left w:val="single" w:sz="8" w:space="0" w:color="auto"/>
              <w:bottom w:val="single" w:sz="8" w:space="0" w:color="auto"/>
              <w:right w:val="single" w:sz="8" w:space="0" w:color="auto"/>
            </w:tcBorders>
            <w:shd w:val="clear" w:color="000000" w:fill="D9D9D9"/>
            <w:hideMark/>
          </w:tcPr>
          <w:p w14:paraId="133CA754" w14:textId="77777777" w:rsidR="00AE2D8C" w:rsidRPr="00201A9A" w:rsidRDefault="00AE2D8C" w:rsidP="00AE2D8C">
            <w:pPr>
              <w:spacing w:before="0" w:after="0"/>
              <w:jc w:val="right"/>
              <w:rPr>
                <w:rFonts w:eastAsia="Times New Roman"/>
                <w:b/>
                <w:noProof/>
                <w:color w:val="000000"/>
                <w:sz w:val="16"/>
                <w:szCs w:val="16"/>
              </w:rPr>
            </w:pPr>
            <w:r w:rsidRPr="00201A9A">
              <w:rPr>
                <w:b/>
                <w:noProof/>
                <w:color w:val="000000"/>
                <w:sz w:val="16"/>
              </w:rPr>
              <w:t>p.m.</w:t>
            </w:r>
          </w:p>
        </w:tc>
      </w:tr>
      <w:tr w:rsidR="004A489F" w:rsidRPr="00201A9A" w14:paraId="507A858E" w14:textId="77777777">
        <w:trPr>
          <w:trHeight w:val="300"/>
        </w:trPr>
        <w:tc>
          <w:tcPr>
            <w:tcW w:w="5000" w:type="pct"/>
            <w:gridSpan w:val="9"/>
            <w:tcBorders>
              <w:top w:val="single" w:sz="8" w:space="0" w:color="auto"/>
              <w:left w:val="single" w:sz="8" w:space="0" w:color="auto"/>
              <w:bottom w:val="single" w:sz="8" w:space="0" w:color="auto"/>
              <w:right w:val="nil"/>
            </w:tcBorders>
            <w:noWrap/>
            <w:vAlign w:val="center"/>
            <w:hideMark/>
          </w:tcPr>
          <w:p w14:paraId="30087B9A" w14:textId="77777777" w:rsidR="004A489F" w:rsidRPr="00201A9A" w:rsidRDefault="004A489F">
            <w:pPr>
              <w:spacing w:before="0" w:after="0"/>
              <w:jc w:val="right"/>
              <w:rPr>
                <w:rFonts w:eastAsia="Times New Roman"/>
                <w:b/>
                <w:noProof/>
                <w:color w:val="000000"/>
                <w:sz w:val="16"/>
                <w:szCs w:val="16"/>
                <w:lang w:eastAsia="en-IE"/>
              </w:rPr>
            </w:pPr>
          </w:p>
        </w:tc>
      </w:tr>
      <w:tr w:rsidR="004A489F" w:rsidRPr="00201A9A" w14:paraId="0FED7C3F" w14:textId="77777777">
        <w:trPr>
          <w:trHeight w:val="300"/>
        </w:trPr>
        <w:tc>
          <w:tcPr>
            <w:tcW w:w="1605" w:type="pct"/>
            <w:tcBorders>
              <w:top w:val="single" w:sz="8" w:space="0" w:color="auto"/>
              <w:left w:val="single" w:sz="8" w:space="0" w:color="auto"/>
              <w:bottom w:val="single" w:sz="8" w:space="0" w:color="auto"/>
              <w:right w:val="single" w:sz="8" w:space="0" w:color="auto"/>
            </w:tcBorders>
            <w:vAlign w:val="center"/>
            <w:hideMark/>
          </w:tcPr>
          <w:p w14:paraId="076284C9" w14:textId="77777777" w:rsidR="004A489F" w:rsidRPr="00201A9A" w:rsidRDefault="004A489F">
            <w:pPr>
              <w:spacing w:before="0" w:after="0"/>
              <w:jc w:val="center"/>
              <w:rPr>
                <w:rFonts w:eastAsia="Times New Roman"/>
                <w:b/>
                <w:noProof/>
                <w:color w:val="000000"/>
                <w:sz w:val="16"/>
                <w:szCs w:val="16"/>
              </w:rPr>
            </w:pPr>
            <w:r w:rsidRPr="00201A9A">
              <w:rPr>
                <w:b/>
                <w:noProof/>
                <w:color w:val="000000"/>
                <w:sz w:val="16"/>
              </w:rPr>
              <w:t>OGÓŁEM</w:t>
            </w:r>
          </w:p>
        </w:tc>
        <w:tc>
          <w:tcPr>
            <w:tcW w:w="40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98CD195" w14:textId="77777777" w:rsidR="004A489F" w:rsidRPr="00201A9A" w:rsidRDefault="00AE2D8C">
            <w:pPr>
              <w:spacing w:before="0" w:after="0"/>
              <w:jc w:val="right"/>
              <w:rPr>
                <w:rFonts w:eastAsia="Times New Roman"/>
                <w:b/>
                <w:noProof/>
                <w:color w:val="000000"/>
                <w:sz w:val="16"/>
                <w:szCs w:val="16"/>
              </w:rPr>
            </w:pPr>
            <w:r w:rsidRPr="00201A9A">
              <w:rPr>
                <w:b/>
                <w:noProof/>
                <w:color w:val="000000"/>
                <w:sz w:val="16"/>
              </w:rPr>
              <w:t>p.m.</w:t>
            </w:r>
          </w:p>
        </w:tc>
        <w:tc>
          <w:tcPr>
            <w:tcW w:w="47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A5134AB" w14:textId="77777777" w:rsidR="004A489F" w:rsidRPr="00201A9A" w:rsidRDefault="00AE2D8C">
            <w:pPr>
              <w:spacing w:before="0" w:after="0"/>
              <w:jc w:val="right"/>
              <w:rPr>
                <w:rFonts w:eastAsia="Times New Roman"/>
                <w:b/>
                <w:noProof/>
                <w:color w:val="000000"/>
                <w:sz w:val="16"/>
                <w:szCs w:val="16"/>
              </w:rPr>
            </w:pPr>
            <w:r w:rsidRPr="00201A9A">
              <w:rPr>
                <w:b/>
                <w:noProof/>
                <w:color w:val="000000"/>
                <w:sz w:val="16"/>
              </w:rPr>
              <w:t>p.m.</w:t>
            </w:r>
          </w:p>
        </w:tc>
        <w:tc>
          <w:tcPr>
            <w:tcW w:w="40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85E6167" w14:textId="77777777" w:rsidR="004A489F" w:rsidRPr="00201A9A" w:rsidRDefault="00AE2D8C">
            <w:pPr>
              <w:spacing w:before="0" w:after="0"/>
              <w:jc w:val="right"/>
              <w:rPr>
                <w:rFonts w:eastAsia="Times New Roman"/>
                <w:b/>
                <w:noProof/>
                <w:color w:val="000000"/>
                <w:sz w:val="16"/>
                <w:szCs w:val="16"/>
              </w:rPr>
            </w:pPr>
            <w:r w:rsidRPr="00201A9A">
              <w:rPr>
                <w:b/>
                <w:noProof/>
                <w:color w:val="000000"/>
                <w:sz w:val="16"/>
              </w:rPr>
              <w:t>p.m.</w:t>
            </w:r>
          </w:p>
        </w:tc>
        <w:tc>
          <w:tcPr>
            <w:tcW w:w="41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7CBB217" w14:textId="77777777" w:rsidR="004A489F" w:rsidRPr="00201A9A" w:rsidRDefault="00AE2D8C">
            <w:pPr>
              <w:spacing w:before="0" w:after="0"/>
              <w:jc w:val="right"/>
              <w:rPr>
                <w:rFonts w:eastAsia="Times New Roman"/>
                <w:b/>
                <w:noProof/>
                <w:color w:val="000000"/>
                <w:sz w:val="16"/>
                <w:szCs w:val="16"/>
              </w:rPr>
            </w:pPr>
            <w:r w:rsidRPr="00201A9A">
              <w:rPr>
                <w:b/>
                <w:noProof/>
                <w:color w:val="000000"/>
                <w:sz w:val="16"/>
              </w:rPr>
              <w:t>p.m.</w:t>
            </w:r>
          </w:p>
        </w:tc>
        <w:tc>
          <w:tcPr>
            <w:tcW w:w="41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C7BF7FE" w14:textId="77777777" w:rsidR="004A489F" w:rsidRPr="00201A9A" w:rsidRDefault="00AE2D8C">
            <w:pPr>
              <w:spacing w:before="0" w:after="0"/>
              <w:jc w:val="right"/>
              <w:rPr>
                <w:rFonts w:eastAsia="Times New Roman"/>
                <w:b/>
                <w:noProof/>
                <w:color w:val="000000"/>
                <w:sz w:val="16"/>
                <w:szCs w:val="16"/>
              </w:rPr>
            </w:pPr>
            <w:r w:rsidRPr="00201A9A">
              <w:rPr>
                <w:b/>
                <w:noProof/>
                <w:color w:val="000000"/>
                <w:sz w:val="16"/>
              </w:rPr>
              <w:t>p.m.</w:t>
            </w:r>
          </w:p>
        </w:tc>
        <w:tc>
          <w:tcPr>
            <w:tcW w:w="415"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7AE5AABB" w14:textId="77777777" w:rsidR="004A489F" w:rsidRPr="00201A9A" w:rsidRDefault="00AE2D8C">
            <w:pPr>
              <w:spacing w:before="0" w:after="0"/>
              <w:jc w:val="right"/>
              <w:rPr>
                <w:rFonts w:eastAsia="Times New Roman"/>
                <w:b/>
                <w:noProof/>
                <w:color w:val="000000"/>
                <w:sz w:val="16"/>
                <w:szCs w:val="16"/>
              </w:rPr>
            </w:pPr>
            <w:r w:rsidRPr="00201A9A">
              <w:rPr>
                <w:b/>
                <w:noProof/>
                <w:color w:val="000000"/>
                <w:sz w:val="16"/>
              </w:rPr>
              <w:t>p.m.</w:t>
            </w:r>
          </w:p>
        </w:tc>
        <w:tc>
          <w:tcPr>
            <w:tcW w:w="41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7D3B182" w14:textId="77777777" w:rsidR="004A489F" w:rsidRPr="00201A9A" w:rsidRDefault="00AE2D8C">
            <w:pPr>
              <w:spacing w:before="0" w:after="0"/>
              <w:jc w:val="right"/>
              <w:rPr>
                <w:rFonts w:eastAsia="Times New Roman"/>
                <w:b/>
                <w:noProof/>
                <w:color w:val="000000"/>
                <w:sz w:val="16"/>
                <w:szCs w:val="16"/>
              </w:rPr>
            </w:pPr>
            <w:r w:rsidRPr="00201A9A">
              <w:rPr>
                <w:b/>
                <w:noProof/>
                <w:color w:val="000000"/>
                <w:sz w:val="16"/>
              </w:rPr>
              <w:t>p.m.</w:t>
            </w:r>
          </w:p>
        </w:tc>
        <w:tc>
          <w:tcPr>
            <w:tcW w:w="456"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F4D9F84" w14:textId="77777777" w:rsidR="004A489F" w:rsidRPr="00201A9A" w:rsidRDefault="00AE2D8C">
            <w:pPr>
              <w:spacing w:before="0" w:after="0"/>
              <w:jc w:val="right"/>
              <w:rPr>
                <w:rFonts w:eastAsia="Times New Roman"/>
                <w:b/>
                <w:noProof/>
                <w:color w:val="000000"/>
                <w:sz w:val="16"/>
                <w:szCs w:val="16"/>
              </w:rPr>
            </w:pPr>
            <w:r w:rsidRPr="00201A9A">
              <w:rPr>
                <w:b/>
                <w:noProof/>
                <w:color w:val="000000"/>
                <w:sz w:val="16"/>
              </w:rPr>
              <w:t>p.m.</w:t>
            </w:r>
          </w:p>
        </w:tc>
      </w:tr>
    </w:tbl>
    <w:p w14:paraId="24C448F1" w14:textId="77777777" w:rsidR="004A489F" w:rsidRPr="00201A9A" w:rsidRDefault="004A489F" w:rsidP="004A489F">
      <w:pPr>
        <w:pStyle w:val="Text1"/>
        <w:ind w:left="0"/>
        <w:rPr>
          <w:noProof/>
        </w:rPr>
      </w:pPr>
    </w:p>
    <w:p w14:paraId="192F070A" w14:textId="68C37D7D" w:rsidR="004A489F" w:rsidRPr="00201A9A" w:rsidRDefault="004A489F" w:rsidP="004A489F">
      <w:pPr>
        <w:pStyle w:val="ManualHeading3"/>
        <w:rPr>
          <w:noProof/>
        </w:rPr>
      </w:pPr>
      <w:bookmarkStart w:id="191" w:name="_Toc514938058"/>
      <w:bookmarkStart w:id="192" w:name="_Toc520485056"/>
      <w:bookmarkStart w:id="193" w:name="_Toc160804600"/>
      <w:bookmarkStart w:id="194" w:name="_Toc167220299"/>
      <w:bookmarkStart w:id="195" w:name="_Toc177549033"/>
      <w:bookmarkEnd w:id="189"/>
      <w:r w:rsidRPr="00201A9A">
        <w:rPr>
          <w:noProof/>
        </w:rPr>
        <w:t>3.2.6.</w:t>
      </w:r>
      <w:r w:rsidRPr="00201A9A">
        <w:rPr>
          <w:noProof/>
        </w:rPr>
        <w:tab/>
        <w:t>Udział osób trzecich</w:t>
      </w:r>
      <w:r w:rsidR="00201A9A" w:rsidRPr="00201A9A">
        <w:rPr>
          <w:noProof/>
        </w:rPr>
        <w:t xml:space="preserve"> w fin</w:t>
      </w:r>
      <w:r w:rsidRPr="00201A9A">
        <w:rPr>
          <w:noProof/>
        </w:rPr>
        <w:t>ansowaniu</w:t>
      </w:r>
      <w:bookmarkEnd w:id="191"/>
      <w:bookmarkEnd w:id="192"/>
      <w:bookmarkEnd w:id="193"/>
      <w:bookmarkEnd w:id="194"/>
      <w:bookmarkEnd w:id="195"/>
      <w:r w:rsidRPr="00201A9A">
        <w:rPr>
          <w:noProof/>
        </w:rPr>
        <w:t xml:space="preserve"> </w:t>
      </w:r>
    </w:p>
    <w:p w14:paraId="3C2DDB08" w14:textId="77777777" w:rsidR="004A489F" w:rsidRPr="00201A9A" w:rsidRDefault="004A489F" w:rsidP="004A489F">
      <w:pPr>
        <w:pStyle w:val="Text1"/>
        <w:rPr>
          <w:noProof/>
        </w:rPr>
      </w:pPr>
      <w:r w:rsidRPr="00201A9A">
        <w:rPr>
          <w:noProof/>
        </w:rPr>
        <w:t>Wniosek/inicjatywa:</w:t>
      </w:r>
    </w:p>
    <w:p w14:paraId="463897ED" w14:textId="77777777" w:rsidR="004A489F" w:rsidRPr="00201A9A" w:rsidRDefault="00B61BF1" w:rsidP="004A489F">
      <w:pPr>
        <w:pStyle w:val="ListDash1"/>
        <w:rPr>
          <w:noProof/>
        </w:rPr>
      </w:pPr>
      <w:r w:rsidRPr="00201A9A">
        <w:rPr>
          <w:rFonts w:ascii="Wingdings" w:hAnsi="Wingdings"/>
          <w:noProof/>
        </w:rPr>
        <w:t></w:t>
      </w:r>
      <w:r w:rsidRPr="00201A9A">
        <w:rPr>
          <w:noProof/>
        </w:rPr>
        <w:tab/>
        <w:t>nie przewiduje współfinansowania ze strony osób trzecich</w:t>
      </w:r>
    </w:p>
    <w:p w14:paraId="042926A8" w14:textId="6886B833" w:rsidR="004A489F" w:rsidRPr="00201A9A" w:rsidRDefault="004A489F" w:rsidP="004A489F">
      <w:pPr>
        <w:pStyle w:val="ListDash1"/>
        <w:rPr>
          <w:noProof/>
        </w:rPr>
      </w:pPr>
      <w:r w:rsidRPr="00201A9A">
        <w:rPr>
          <w:rFonts w:ascii="Wingdings" w:hAnsi="Wingdings"/>
          <w:noProof/>
        </w:rPr>
        <w:t></w:t>
      </w:r>
      <w:r w:rsidRPr="00201A9A">
        <w:rPr>
          <w:noProof/>
        </w:rPr>
        <w:tab/>
        <w:t>przewiduje współfinansowanie ze strony osób trzecich zgodnie</w:t>
      </w:r>
      <w:r w:rsidR="00201A9A" w:rsidRPr="00201A9A">
        <w:rPr>
          <w:noProof/>
        </w:rPr>
        <w:t xml:space="preserve"> z pon</w:t>
      </w:r>
      <w:r w:rsidRPr="00201A9A">
        <w:rPr>
          <w:noProof/>
        </w:rPr>
        <w:t>iższymi szacunkami:</w:t>
      </w:r>
    </w:p>
    <w:p w14:paraId="39BCC06A" w14:textId="31B722AE" w:rsidR="004A489F" w:rsidRPr="00201A9A" w:rsidRDefault="004A489F" w:rsidP="004A489F">
      <w:pPr>
        <w:jc w:val="right"/>
        <w:rPr>
          <w:noProof/>
          <w:sz w:val="20"/>
        </w:rPr>
      </w:pPr>
      <w:r w:rsidRPr="00201A9A">
        <w:rPr>
          <w:noProof/>
          <w:sz w:val="20"/>
        </w:rPr>
        <w:t>środki</w:t>
      </w:r>
      <w:r w:rsidR="00201A9A" w:rsidRPr="00201A9A">
        <w:rPr>
          <w:noProof/>
          <w:sz w:val="20"/>
        </w:rPr>
        <w:t xml:space="preserve"> w mln</w:t>
      </w:r>
      <w:r w:rsidRPr="00201A9A">
        <w:rPr>
          <w:noProof/>
          <w:sz w:val="20"/>
        </w:rPr>
        <w:t xml:space="preserve"> EUR (do trzech miejsc po przecinku)</w:t>
      </w:r>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29"/>
        <w:gridCol w:w="874"/>
        <w:gridCol w:w="875"/>
        <w:gridCol w:w="875"/>
        <w:gridCol w:w="875"/>
        <w:gridCol w:w="875"/>
        <w:gridCol w:w="875"/>
        <w:gridCol w:w="875"/>
        <w:gridCol w:w="1032"/>
      </w:tblGrid>
      <w:tr w:rsidR="004A489F" w:rsidRPr="00201A9A" w14:paraId="48D21C5E" w14:textId="77777777">
        <w:trPr>
          <w:cantSplit/>
        </w:trPr>
        <w:tc>
          <w:tcPr>
            <w:tcW w:w="1147" w:type="pct"/>
          </w:tcPr>
          <w:p w14:paraId="192E83FE" w14:textId="77777777" w:rsidR="004A489F" w:rsidRPr="00201A9A" w:rsidRDefault="004A489F">
            <w:pPr>
              <w:spacing w:before="60" w:after="60"/>
              <w:rPr>
                <w:noProof/>
                <w:sz w:val="20"/>
              </w:rPr>
            </w:pPr>
            <w:r w:rsidRPr="00201A9A">
              <w:rPr>
                <w:noProof/>
                <w:sz w:val="20"/>
              </w:rPr>
              <w:t>Rok</w:t>
            </w:r>
          </w:p>
        </w:tc>
        <w:tc>
          <w:tcPr>
            <w:tcW w:w="471" w:type="pct"/>
            <w:vAlign w:val="center"/>
          </w:tcPr>
          <w:p w14:paraId="288A66D0" w14:textId="1FBD4ACC" w:rsidR="004A489F" w:rsidRPr="00201A9A" w:rsidRDefault="004A489F">
            <w:pPr>
              <w:jc w:val="center"/>
              <w:rPr>
                <w:noProof/>
                <w:sz w:val="20"/>
              </w:rPr>
            </w:pPr>
            <w:r w:rsidRPr="00201A9A">
              <w:rPr>
                <w:noProof/>
                <w:sz w:val="20"/>
              </w:rPr>
              <w:t>Rok</w:t>
            </w:r>
            <w:r w:rsidR="00201A9A" w:rsidRPr="00201A9A">
              <w:rPr>
                <w:noProof/>
                <w:sz w:val="20"/>
              </w:rPr>
              <w:t xml:space="preserve"> </w:t>
            </w:r>
            <w:r w:rsidRPr="00201A9A">
              <w:rPr>
                <w:noProof/>
              </w:rPr>
              <w:br/>
            </w:r>
            <w:r w:rsidRPr="00201A9A">
              <w:rPr>
                <w:b/>
                <w:noProof/>
                <w:sz w:val="20"/>
              </w:rPr>
              <w:t>2028</w:t>
            </w:r>
          </w:p>
        </w:tc>
        <w:tc>
          <w:tcPr>
            <w:tcW w:w="471" w:type="pct"/>
            <w:vAlign w:val="center"/>
          </w:tcPr>
          <w:p w14:paraId="60971499" w14:textId="49DB7A53" w:rsidR="004A489F" w:rsidRPr="00201A9A" w:rsidRDefault="004A489F">
            <w:pPr>
              <w:jc w:val="center"/>
              <w:rPr>
                <w:noProof/>
                <w:sz w:val="20"/>
              </w:rPr>
            </w:pPr>
            <w:r w:rsidRPr="00201A9A">
              <w:rPr>
                <w:noProof/>
                <w:sz w:val="20"/>
              </w:rPr>
              <w:t>Rok</w:t>
            </w:r>
            <w:r w:rsidR="00201A9A" w:rsidRPr="00201A9A">
              <w:rPr>
                <w:noProof/>
                <w:sz w:val="20"/>
              </w:rPr>
              <w:t xml:space="preserve"> </w:t>
            </w:r>
            <w:r w:rsidRPr="00201A9A">
              <w:rPr>
                <w:noProof/>
              </w:rPr>
              <w:br/>
            </w:r>
            <w:r w:rsidRPr="00201A9A">
              <w:rPr>
                <w:b/>
                <w:noProof/>
                <w:sz w:val="20"/>
              </w:rPr>
              <w:t>2029</w:t>
            </w:r>
          </w:p>
        </w:tc>
        <w:tc>
          <w:tcPr>
            <w:tcW w:w="471" w:type="pct"/>
            <w:vAlign w:val="center"/>
          </w:tcPr>
          <w:p w14:paraId="1EFE2606" w14:textId="40CE0EBF" w:rsidR="004A489F" w:rsidRPr="00201A9A" w:rsidRDefault="004A489F">
            <w:pPr>
              <w:jc w:val="center"/>
              <w:rPr>
                <w:noProof/>
                <w:sz w:val="20"/>
              </w:rPr>
            </w:pPr>
            <w:r w:rsidRPr="00201A9A">
              <w:rPr>
                <w:noProof/>
                <w:sz w:val="20"/>
              </w:rPr>
              <w:t>Rok</w:t>
            </w:r>
            <w:r w:rsidR="00201A9A" w:rsidRPr="00201A9A">
              <w:rPr>
                <w:noProof/>
                <w:sz w:val="20"/>
              </w:rPr>
              <w:t xml:space="preserve"> </w:t>
            </w:r>
            <w:r w:rsidRPr="00201A9A">
              <w:rPr>
                <w:noProof/>
              </w:rPr>
              <w:br/>
            </w:r>
            <w:r w:rsidRPr="00201A9A">
              <w:rPr>
                <w:b/>
                <w:noProof/>
                <w:sz w:val="20"/>
              </w:rPr>
              <w:t>2030</w:t>
            </w:r>
          </w:p>
        </w:tc>
        <w:tc>
          <w:tcPr>
            <w:tcW w:w="471" w:type="pct"/>
            <w:vAlign w:val="center"/>
          </w:tcPr>
          <w:p w14:paraId="17057200" w14:textId="162A0B03" w:rsidR="004A489F" w:rsidRPr="00201A9A" w:rsidRDefault="004A489F">
            <w:pPr>
              <w:jc w:val="center"/>
              <w:rPr>
                <w:noProof/>
                <w:sz w:val="20"/>
              </w:rPr>
            </w:pPr>
            <w:r w:rsidRPr="00201A9A">
              <w:rPr>
                <w:noProof/>
                <w:sz w:val="20"/>
              </w:rPr>
              <w:t>Rok</w:t>
            </w:r>
            <w:r w:rsidR="00201A9A" w:rsidRPr="00201A9A">
              <w:rPr>
                <w:noProof/>
                <w:sz w:val="20"/>
              </w:rPr>
              <w:t xml:space="preserve"> </w:t>
            </w:r>
            <w:r w:rsidRPr="00201A9A">
              <w:rPr>
                <w:noProof/>
              </w:rPr>
              <w:br/>
            </w:r>
            <w:r w:rsidRPr="00201A9A">
              <w:rPr>
                <w:b/>
                <w:noProof/>
                <w:sz w:val="20"/>
              </w:rPr>
              <w:t>2031</w:t>
            </w:r>
          </w:p>
        </w:tc>
        <w:tc>
          <w:tcPr>
            <w:tcW w:w="471" w:type="pct"/>
            <w:vAlign w:val="center"/>
          </w:tcPr>
          <w:p w14:paraId="46F317DB" w14:textId="09195891" w:rsidR="004A489F" w:rsidRPr="00201A9A" w:rsidRDefault="004A489F">
            <w:pPr>
              <w:jc w:val="center"/>
              <w:rPr>
                <w:noProof/>
                <w:sz w:val="20"/>
              </w:rPr>
            </w:pPr>
            <w:r w:rsidRPr="00201A9A">
              <w:rPr>
                <w:noProof/>
                <w:sz w:val="20"/>
              </w:rPr>
              <w:t>Rok</w:t>
            </w:r>
            <w:r w:rsidR="00201A9A" w:rsidRPr="00201A9A">
              <w:rPr>
                <w:noProof/>
                <w:sz w:val="20"/>
              </w:rPr>
              <w:t xml:space="preserve"> </w:t>
            </w:r>
            <w:r w:rsidRPr="00201A9A">
              <w:rPr>
                <w:noProof/>
              </w:rPr>
              <w:br/>
            </w:r>
            <w:r w:rsidRPr="00201A9A">
              <w:rPr>
                <w:b/>
                <w:noProof/>
                <w:sz w:val="20"/>
              </w:rPr>
              <w:t>20232</w:t>
            </w:r>
          </w:p>
        </w:tc>
        <w:tc>
          <w:tcPr>
            <w:tcW w:w="471" w:type="pct"/>
            <w:vAlign w:val="center"/>
          </w:tcPr>
          <w:p w14:paraId="76E70CB0" w14:textId="15DAD6F0" w:rsidR="004A489F" w:rsidRPr="00201A9A" w:rsidRDefault="004A489F">
            <w:pPr>
              <w:jc w:val="center"/>
              <w:rPr>
                <w:noProof/>
                <w:sz w:val="20"/>
              </w:rPr>
            </w:pPr>
            <w:r w:rsidRPr="00201A9A">
              <w:rPr>
                <w:noProof/>
                <w:sz w:val="20"/>
              </w:rPr>
              <w:t>Rok</w:t>
            </w:r>
            <w:r w:rsidR="00201A9A" w:rsidRPr="00201A9A">
              <w:rPr>
                <w:noProof/>
                <w:sz w:val="20"/>
              </w:rPr>
              <w:t xml:space="preserve"> </w:t>
            </w:r>
            <w:r w:rsidRPr="00201A9A">
              <w:rPr>
                <w:noProof/>
              </w:rPr>
              <w:br/>
            </w:r>
            <w:r w:rsidRPr="00201A9A">
              <w:rPr>
                <w:b/>
                <w:noProof/>
                <w:sz w:val="20"/>
              </w:rPr>
              <w:t>2033</w:t>
            </w:r>
          </w:p>
        </w:tc>
        <w:tc>
          <w:tcPr>
            <w:tcW w:w="471" w:type="pct"/>
            <w:vAlign w:val="center"/>
          </w:tcPr>
          <w:p w14:paraId="18DEBDDE" w14:textId="193BE3C9" w:rsidR="004A489F" w:rsidRPr="00201A9A" w:rsidRDefault="004A489F">
            <w:pPr>
              <w:jc w:val="center"/>
              <w:rPr>
                <w:noProof/>
                <w:sz w:val="20"/>
              </w:rPr>
            </w:pPr>
            <w:r w:rsidRPr="00201A9A">
              <w:rPr>
                <w:noProof/>
                <w:sz w:val="20"/>
              </w:rPr>
              <w:t>Rok</w:t>
            </w:r>
            <w:r w:rsidR="00201A9A" w:rsidRPr="00201A9A">
              <w:rPr>
                <w:noProof/>
                <w:sz w:val="20"/>
              </w:rPr>
              <w:t xml:space="preserve"> </w:t>
            </w:r>
            <w:r w:rsidRPr="00201A9A">
              <w:rPr>
                <w:noProof/>
              </w:rPr>
              <w:br/>
            </w:r>
            <w:r w:rsidRPr="00201A9A">
              <w:rPr>
                <w:b/>
                <w:noProof/>
                <w:sz w:val="20"/>
              </w:rPr>
              <w:t>2034</w:t>
            </w:r>
          </w:p>
        </w:tc>
        <w:tc>
          <w:tcPr>
            <w:tcW w:w="559" w:type="pct"/>
            <w:vAlign w:val="center"/>
          </w:tcPr>
          <w:p w14:paraId="34269FED" w14:textId="77777777" w:rsidR="004A489F" w:rsidRPr="00201A9A" w:rsidRDefault="004A489F">
            <w:pPr>
              <w:spacing w:before="60" w:after="60"/>
              <w:jc w:val="center"/>
              <w:rPr>
                <w:noProof/>
                <w:sz w:val="20"/>
              </w:rPr>
            </w:pPr>
            <w:r w:rsidRPr="00201A9A">
              <w:rPr>
                <w:noProof/>
                <w:sz w:val="20"/>
              </w:rPr>
              <w:t>Ogółem</w:t>
            </w:r>
          </w:p>
        </w:tc>
      </w:tr>
      <w:tr w:rsidR="004A489F" w:rsidRPr="00201A9A" w14:paraId="775A67E5" w14:textId="77777777">
        <w:trPr>
          <w:cantSplit/>
        </w:trPr>
        <w:tc>
          <w:tcPr>
            <w:tcW w:w="1147" w:type="pct"/>
          </w:tcPr>
          <w:p w14:paraId="3F9710C0" w14:textId="77777777" w:rsidR="004A489F" w:rsidRPr="00201A9A" w:rsidRDefault="004A489F">
            <w:pPr>
              <w:rPr>
                <w:noProof/>
              </w:rPr>
            </w:pPr>
            <w:r w:rsidRPr="00201A9A">
              <w:rPr>
                <w:noProof/>
                <w:sz w:val="20"/>
              </w:rPr>
              <w:t>EOG/EFTA</w:t>
            </w:r>
            <w:r w:rsidRPr="00201A9A">
              <w:rPr>
                <w:i/>
                <w:noProof/>
                <w:sz w:val="20"/>
              </w:rPr>
              <w:t xml:space="preserve"> </w:t>
            </w:r>
          </w:p>
        </w:tc>
        <w:tc>
          <w:tcPr>
            <w:tcW w:w="471" w:type="pct"/>
            <w:vAlign w:val="center"/>
          </w:tcPr>
          <w:p w14:paraId="216A5DFC"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08A443EC"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20CE7121"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2AD6C1E7"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0BD97644"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309ABCC9"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3B4939B2" w14:textId="77777777" w:rsidR="004A489F" w:rsidRPr="00201A9A" w:rsidRDefault="004A489F">
            <w:pPr>
              <w:spacing w:before="60" w:after="60"/>
              <w:jc w:val="center"/>
              <w:rPr>
                <w:noProof/>
                <w:sz w:val="20"/>
              </w:rPr>
            </w:pPr>
            <w:r w:rsidRPr="00201A9A">
              <w:rPr>
                <w:noProof/>
                <w:sz w:val="20"/>
              </w:rPr>
              <w:t>p.m.</w:t>
            </w:r>
          </w:p>
        </w:tc>
        <w:tc>
          <w:tcPr>
            <w:tcW w:w="559" w:type="pct"/>
            <w:vAlign w:val="center"/>
          </w:tcPr>
          <w:p w14:paraId="033730DE" w14:textId="77777777" w:rsidR="004A489F" w:rsidRPr="00201A9A" w:rsidRDefault="004A489F">
            <w:pPr>
              <w:spacing w:before="60" w:after="60"/>
              <w:jc w:val="center"/>
              <w:rPr>
                <w:noProof/>
                <w:sz w:val="20"/>
              </w:rPr>
            </w:pPr>
            <w:r w:rsidRPr="00201A9A">
              <w:rPr>
                <w:noProof/>
                <w:sz w:val="20"/>
              </w:rPr>
              <w:t>p.m.</w:t>
            </w:r>
          </w:p>
        </w:tc>
      </w:tr>
      <w:tr w:rsidR="004A489F" w:rsidRPr="00201A9A" w14:paraId="165BE8E1" w14:textId="77777777">
        <w:trPr>
          <w:cantSplit/>
        </w:trPr>
        <w:tc>
          <w:tcPr>
            <w:tcW w:w="1147" w:type="pct"/>
          </w:tcPr>
          <w:p w14:paraId="6250C5AF" w14:textId="77777777" w:rsidR="004A489F" w:rsidRPr="00201A9A" w:rsidRDefault="004A489F">
            <w:pPr>
              <w:rPr>
                <w:noProof/>
                <w:sz w:val="20"/>
              </w:rPr>
            </w:pPr>
            <w:r w:rsidRPr="00201A9A">
              <w:rPr>
                <w:noProof/>
                <w:sz w:val="20"/>
              </w:rPr>
              <w:t>Kraje kandydujące</w:t>
            </w:r>
          </w:p>
        </w:tc>
        <w:tc>
          <w:tcPr>
            <w:tcW w:w="471" w:type="pct"/>
            <w:vAlign w:val="center"/>
          </w:tcPr>
          <w:p w14:paraId="4FBCC754"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1837CBEB"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2F96A727"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41974029"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62853930"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2BEFCD8A"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29ACFE93" w14:textId="77777777" w:rsidR="004A489F" w:rsidRPr="00201A9A" w:rsidRDefault="004A489F">
            <w:pPr>
              <w:spacing w:before="60" w:after="60"/>
              <w:jc w:val="center"/>
              <w:rPr>
                <w:noProof/>
                <w:sz w:val="20"/>
              </w:rPr>
            </w:pPr>
            <w:r w:rsidRPr="00201A9A">
              <w:rPr>
                <w:noProof/>
                <w:sz w:val="20"/>
              </w:rPr>
              <w:t>p.m.</w:t>
            </w:r>
          </w:p>
        </w:tc>
        <w:tc>
          <w:tcPr>
            <w:tcW w:w="559" w:type="pct"/>
            <w:vAlign w:val="center"/>
          </w:tcPr>
          <w:p w14:paraId="6CAF2644" w14:textId="77777777" w:rsidR="004A489F" w:rsidRPr="00201A9A" w:rsidRDefault="004A489F">
            <w:pPr>
              <w:spacing w:before="60" w:after="60"/>
              <w:jc w:val="center"/>
              <w:rPr>
                <w:noProof/>
                <w:sz w:val="20"/>
              </w:rPr>
            </w:pPr>
            <w:r w:rsidRPr="00201A9A">
              <w:rPr>
                <w:noProof/>
                <w:sz w:val="20"/>
              </w:rPr>
              <w:t>p.m.</w:t>
            </w:r>
          </w:p>
        </w:tc>
      </w:tr>
      <w:tr w:rsidR="004A489F" w:rsidRPr="00201A9A" w14:paraId="2BFE6468" w14:textId="77777777">
        <w:trPr>
          <w:cantSplit/>
        </w:trPr>
        <w:tc>
          <w:tcPr>
            <w:tcW w:w="1147" w:type="pct"/>
          </w:tcPr>
          <w:p w14:paraId="5F01C20C" w14:textId="366E6812" w:rsidR="004A489F" w:rsidRPr="00201A9A" w:rsidRDefault="004A489F">
            <w:pPr>
              <w:rPr>
                <w:noProof/>
                <w:sz w:val="20"/>
              </w:rPr>
            </w:pPr>
            <w:r w:rsidRPr="00201A9A">
              <w:rPr>
                <w:noProof/>
                <w:sz w:val="20"/>
              </w:rPr>
              <w:t>Państwa trzecie,</w:t>
            </w:r>
            <w:r w:rsidR="00201A9A" w:rsidRPr="00201A9A">
              <w:rPr>
                <w:noProof/>
                <w:sz w:val="20"/>
              </w:rPr>
              <w:t xml:space="preserve"> w tym</w:t>
            </w:r>
            <w:r w:rsidRPr="00201A9A">
              <w:rPr>
                <w:noProof/>
                <w:sz w:val="20"/>
              </w:rPr>
              <w:t xml:space="preserve"> państwa sąsiadujące</w:t>
            </w:r>
          </w:p>
        </w:tc>
        <w:tc>
          <w:tcPr>
            <w:tcW w:w="471" w:type="pct"/>
            <w:vAlign w:val="center"/>
          </w:tcPr>
          <w:p w14:paraId="617E3D0B"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42F8C469"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5C93BBD2"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2A9952AA"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57050266"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7639D732"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240198B2" w14:textId="77777777" w:rsidR="004A489F" w:rsidRPr="00201A9A" w:rsidRDefault="004A489F">
            <w:pPr>
              <w:spacing w:before="60" w:after="60"/>
              <w:jc w:val="center"/>
              <w:rPr>
                <w:noProof/>
                <w:sz w:val="20"/>
              </w:rPr>
            </w:pPr>
            <w:r w:rsidRPr="00201A9A">
              <w:rPr>
                <w:noProof/>
                <w:sz w:val="20"/>
              </w:rPr>
              <w:t>p.m.</w:t>
            </w:r>
          </w:p>
        </w:tc>
        <w:tc>
          <w:tcPr>
            <w:tcW w:w="559" w:type="pct"/>
            <w:vAlign w:val="center"/>
          </w:tcPr>
          <w:p w14:paraId="6C4B9E22" w14:textId="77777777" w:rsidR="004A489F" w:rsidRPr="00201A9A" w:rsidRDefault="004A489F">
            <w:pPr>
              <w:spacing w:before="60" w:after="60"/>
              <w:jc w:val="center"/>
              <w:rPr>
                <w:noProof/>
                <w:sz w:val="20"/>
              </w:rPr>
            </w:pPr>
            <w:r w:rsidRPr="00201A9A">
              <w:rPr>
                <w:noProof/>
                <w:sz w:val="20"/>
              </w:rPr>
              <w:t>p.m.</w:t>
            </w:r>
          </w:p>
        </w:tc>
      </w:tr>
      <w:tr w:rsidR="004A489F" w:rsidRPr="00201A9A" w14:paraId="6573A8C6" w14:textId="77777777">
        <w:trPr>
          <w:cantSplit/>
        </w:trPr>
        <w:tc>
          <w:tcPr>
            <w:tcW w:w="1147" w:type="pct"/>
          </w:tcPr>
          <w:p w14:paraId="595EAC8B" w14:textId="77777777" w:rsidR="004A489F" w:rsidRPr="00201A9A" w:rsidRDefault="004A489F">
            <w:pPr>
              <w:spacing w:before="60" w:after="60"/>
              <w:jc w:val="left"/>
              <w:rPr>
                <w:noProof/>
                <w:sz w:val="20"/>
              </w:rPr>
            </w:pPr>
            <w:r w:rsidRPr="00201A9A">
              <w:rPr>
                <w:noProof/>
                <w:sz w:val="20"/>
              </w:rPr>
              <w:t xml:space="preserve">OGÓŁEM środki objęte współfinansowaniem </w:t>
            </w:r>
          </w:p>
        </w:tc>
        <w:tc>
          <w:tcPr>
            <w:tcW w:w="471" w:type="pct"/>
            <w:vAlign w:val="center"/>
          </w:tcPr>
          <w:p w14:paraId="200E2445"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59922163"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5617C741"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6943DEDB"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6BC95405"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25A92334" w14:textId="77777777" w:rsidR="004A489F" w:rsidRPr="00201A9A" w:rsidRDefault="004A489F">
            <w:pPr>
              <w:spacing w:before="60" w:after="60"/>
              <w:jc w:val="center"/>
              <w:rPr>
                <w:noProof/>
                <w:sz w:val="20"/>
              </w:rPr>
            </w:pPr>
            <w:r w:rsidRPr="00201A9A">
              <w:rPr>
                <w:noProof/>
                <w:sz w:val="20"/>
              </w:rPr>
              <w:t>p.m.</w:t>
            </w:r>
          </w:p>
        </w:tc>
        <w:tc>
          <w:tcPr>
            <w:tcW w:w="471" w:type="pct"/>
            <w:vAlign w:val="center"/>
          </w:tcPr>
          <w:p w14:paraId="64B83E35" w14:textId="77777777" w:rsidR="004A489F" w:rsidRPr="00201A9A" w:rsidRDefault="004A489F">
            <w:pPr>
              <w:spacing w:before="60" w:after="60"/>
              <w:jc w:val="center"/>
              <w:rPr>
                <w:noProof/>
                <w:sz w:val="20"/>
              </w:rPr>
            </w:pPr>
            <w:r w:rsidRPr="00201A9A">
              <w:rPr>
                <w:noProof/>
                <w:sz w:val="20"/>
              </w:rPr>
              <w:t>p.m.</w:t>
            </w:r>
          </w:p>
        </w:tc>
        <w:tc>
          <w:tcPr>
            <w:tcW w:w="559" w:type="pct"/>
            <w:vAlign w:val="center"/>
          </w:tcPr>
          <w:p w14:paraId="0B375990" w14:textId="77777777" w:rsidR="004A489F" w:rsidRPr="00201A9A" w:rsidRDefault="004A489F">
            <w:pPr>
              <w:spacing w:before="60" w:after="60"/>
              <w:jc w:val="center"/>
              <w:rPr>
                <w:noProof/>
                <w:sz w:val="20"/>
              </w:rPr>
            </w:pPr>
            <w:r w:rsidRPr="00201A9A">
              <w:rPr>
                <w:noProof/>
                <w:sz w:val="20"/>
              </w:rPr>
              <w:t>p.m.</w:t>
            </w:r>
          </w:p>
        </w:tc>
      </w:tr>
    </w:tbl>
    <w:p w14:paraId="211EAE5D" w14:textId="77777777" w:rsidR="004A489F" w:rsidRPr="00201A9A" w:rsidRDefault="004A489F" w:rsidP="004A489F">
      <w:pPr>
        <w:outlineLvl w:val="1"/>
        <w:rPr>
          <w:noProof/>
          <w:szCs w:val="24"/>
        </w:rPr>
      </w:pPr>
      <w:r w:rsidRPr="00201A9A">
        <w:rPr>
          <w:noProof/>
        </w:rPr>
        <w:t xml:space="preserve"> </w:t>
      </w:r>
      <w:r w:rsidRPr="00201A9A">
        <w:rPr>
          <w:noProof/>
        </w:rPr>
        <w:br/>
      </w:r>
      <w:bookmarkStart w:id="196" w:name="_Toc514938059"/>
      <w:bookmarkStart w:id="197" w:name="_Toc520485057"/>
      <w:bookmarkStart w:id="198" w:name="_Toc160804602"/>
      <w:bookmarkStart w:id="199" w:name="_Toc167220300"/>
      <w:bookmarkStart w:id="200" w:name="_Toc177549034"/>
      <w:bookmarkStart w:id="201" w:name="_Hlk166860179"/>
      <w:r w:rsidRPr="00201A9A">
        <w:rPr>
          <w:noProof/>
        </w:rPr>
        <w:t>3.3.</w:t>
      </w:r>
      <w:r w:rsidRPr="00201A9A">
        <w:rPr>
          <w:noProof/>
        </w:rPr>
        <w:tab/>
        <w:t>Szacunkowy wpływ na dochody</w:t>
      </w:r>
      <w:bookmarkEnd w:id="196"/>
      <w:bookmarkEnd w:id="197"/>
      <w:bookmarkEnd w:id="198"/>
      <w:bookmarkEnd w:id="199"/>
      <w:bookmarkEnd w:id="200"/>
      <w:r w:rsidRPr="00201A9A">
        <w:rPr>
          <w:noProof/>
        </w:rPr>
        <w:t xml:space="preserve"> </w:t>
      </w:r>
    </w:p>
    <w:bookmarkEnd w:id="201"/>
    <w:p w14:paraId="3113F7FC" w14:textId="77777777" w:rsidR="004A489F" w:rsidRPr="00201A9A" w:rsidRDefault="004A489F" w:rsidP="004A489F">
      <w:pPr>
        <w:pStyle w:val="ListDash1"/>
        <w:rPr>
          <w:noProof/>
        </w:rPr>
      </w:pPr>
      <w:r w:rsidRPr="00201A9A">
        <w:rPr>
          <w:rFonts w:ascii="Wingdings" w:hAnsi="Wingdings"/>
          <w:noProof/>
        </w:rPr>
        <w:t></w:t>
      </w:r>
      <w:r w:rsidRPr="00201A9A">
        <w:rPr>
          <w:noProof/>
        </w:rPr>
        <w:tab/>
        <w:t>Wniosek/inicjatywa nie ma wpływu finansowego na dochody</w:t>
      </w:r>
    </w:p>
    <w:p w14:paraId="661D3BFC" w14:textId="77777777" w:rsidR="004A489F" w:rsidRPr="00201A9A" w:rsidRDefault="004A489F" w:rsidP="004A489F">
      <w:pPr>
        <w:pStyle w:val="ListDash1"/>
        <w:rPr>
          <w:noProof/>
        </w:rPr>
      </w:pPr>
      <w:r w:rsidRPr="00201A9A">
        <w:rPr>
          <w:rFonts w:ascii="Wingdings" w:hAnsi="Wingdings"/>
          <w:noProof/>
        </w:rPr>
        <w:t></w:t>
      </w:r>
      <w:r w:rsidRPr="00201A9A">
        <w:rPr>
          <w:noProof/>
        </w:rPr>
        <w:tab/>
        <w:t>Wniosek/inicjatywa ma wpływ finansowy określony poniżej:</w:t>
      </w:r>
    </w:p>
    <w:p w14:paraId="0A9330A8" w14:textId="77777777" w:rsidR="004A489F" w:rsidRPr="00201A9A" w:rsidRDefault="004A489F" w:rsidP="004A489F">
      <w:pPr>
        <w:pStyle w:val="ListNumberLevel3"/>
        <w:rPr>
          <w:noProof/>
        </w:rPr>
      </w:pPr>
      <w:r w:rsidRPr="00201A9A">
        <w:rPr>
          <w:rFonts w:ascii="Wingdings" w:hAnsi="Wingdings"/>
          <w:noProof/>
        </w:rPr>
        <w:t></w:t>
      </w:r>
      <w:r w:rsidRPr="00201A9A">
        <w:rPr>
          <w:noProof/>
        </w:rPr>
        <w:tab/>
        <w:t xml:space="preserve">wpływ na zasoby własne </w:t>
      </w:r>
    </w:p>
    <w:p w14:paraId="4BBE450B" w14:textId="77777777" w:rsidR="004A489F" w:rsidRPr="00201A9A" w:rsidRDefault="004A489F" w:rsidP="004A489F">
      <w:pPr>
        <w:pStyle w:val="ListNumberLevel3"/>
        <w:rPr>
          <w:noProof/>
        </w:rPr>
      </w:pPr>
      <w:r w:rsidRPr="00201A9A">
        <w:rPr>
          <w:rFonts w:ascii="Wingdings" w:hAnsi="Wingdings"/>
          <w:noProof/>
        </w:rPr>
        <w:t></w:t>
      </w:r>
      <w:r w:rsidRPr="00201A9A">
        <w:rPr>
          <w:noProof/>
        </w:rPr>
        <w:tab/>
        <w:t>wpływ na dochody inne</w:t>
      </w:r>
    </w:p>
    <w:p w14:paraId="5D6B90AF" w14:textId="77777777" w:rsidR="004A489F" w:rsidRPr="00201A9A" w:rsidRDefault="004A489F" w:rsidP="004A489F">
      <w:pPr>
        <w:pStyle w:val="ListNumberLevel3"/>
        <w:rPr>
          <w:noProof/>
        </w:rPr>
      </w:pPr>
      <w:r w:rsidRPr="00201A9A">
        <w:rPr>
          <w:rFonts w:ascii="Wingdings" w:hAnsi="Wingdings"/>
          <w:noProof/>
        </w:rPr>
        <w:t></w:t>
      </w:r>
      <w:r w:rsidRPr="00201A9A">
        <w:rPr>
          <w:noProof/>
        </w:rPr>
        <w:tab/>
        <w:t>Wskazać, czy dochody są przypisane do linii budżetowej po stronie wydatków</w:t>
      </w:r>
    </w:p>
    <w:p w14:paraId="029A73AD" w14:textId="3DC100BD" w:rsidR="004A489F" w:rsidRPr="00201A9A" w:rsidRDefault="004A489F" w:rsidP="004A489F">
      <w:pPr>
        <w:jc w:val="right"/>
        <w:rPr>
          <w:noProof/>
          <w:sz w:val="20"/>
        </w:rPr>
      </w:pPr>
      <w:r w:rsidRPr="00201A9A">
        <w:rPr>
          <w:noProof/>
          <w:sz w:val="20"/>
        </w:rPr>
        <w:t xml:space="preserve">    </w:t>
      </w:r>
      <w:r w:rsidR="00201A9A" w:rsidRPr="00201A9A">
        <w:rPr>
          <w:noProof/>
          <w:sz w:val="20"/>
        </w:rPr>
        <w:t xml:space="preserve"> w mln</w:t>
      </w:r>
      <w:r w:rsidRPr="00201A9A">
        <w:rPr>
          <w:noProof/>
          <w:sz w:val="20"/>
        </w:rPr>
        <w:t xml:space="preserve"> EUR (do trzech miejsc po przecinku)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4A489F" w:rsidRPr="00201A9A" w14:paraId="126B057B" w14:textId="77777777">
        <w:trPr>
          <w:trHeight w:val="388"/>
        </w:trPr>
        <w:tc>
          <w:tcPr>
            <w:tcW w:w="1423" w:type="pct"/>
            <w:vMerge w:val="restart"/>
            <w:vAlign w:val="center"/>
          </w:tcPr>
          <w:p w14:paraId="7A546F1D" w14:textId="77777777" w:rsidR="004A489F" w:rsidRPr="00201A9A" w:rsidRDefault="004A489F">
            <w:pPr>
              <w:spacing w:before="40" w:after="40"/>
              <w:rPr>
                <w:noProof/>
                <w:sz w:val="18"/>
              </w:rPr>
            </w:pPr>
            <w:r w:rsidRPr="00201A9A">
              <w:rPr>
                <w:noProof/>
                <w:sz w:val="18"/>
              </w:rPr>
              <w:t>Linia budżetowa po stronie dochodów</w:t>
            </w:r>
          </w:p>
        </w:tc>
        <w:tc>
          <w:tcPr>
            <w:tcW w:w="869" w:type="pct"/>
            <w:vMerge w:val="restart"/>
            <w:vAlign w:val="center"/>
          </w:tcPr>
          <w:p w14:paraId="14379F61" w14:textId="64B849D0" w:rsidR="004A489F" w:rsidRPr="00201A9A" w:rsidRDefault="004A489F">
            <w:pPr>
              <w:jc w:val="center"/>
              <w:rPr>
                <w:noProof/>
                <w:sz w:val="18"/>
              </w:rPr>
            </w:pPr>
            <w:r w:rsidRPr="00201A9A">
              <w:rPr>
                <w:noProof/>
                <w:sz w:val="18"/>
              </w:rPr>
              <w:t>Środki zapisane</w:t>
            </w:r>
            <w:r w:rsidR="00201A9A" w:rsidRPr="00201A9A">
              <w:rPr>
                <w:noProof/>
                <w:sz w:val="18"/>
              </w:rPr>
              <w:t xml:space="preserve"> w bud</w:t>
            </w:r>
            <w:r w:rsidRPr="00201A9A">
              <w:rPr>
                <w:noProof/>
                <w:sz w:val="18"/>
              </w:rPr>
              <w:t>żecie na bieżący rok budżetowy</w:t>
            </w:r>
          </w:p>
        </w:tc>
        <w:tc>
          <w:tcPr>
            <w:tcW w:w="2709" w:type="pct"/>
            <w:gridSpan w:val="4"/>
            <w:vAlign w:val="center"/>
          </w:tcPr>
          <w:p w14:paraId="34EA0FC0" w14:textId="77777777" w:rsidR="004A489F" w:rsidRPr="00201A9A" w:rsidRDefault="004A489F">
            <w:pPr>
              <w:jc w:val="center"/>
              <w:rPr>
                <w:noProof/>
                <w:sz w:val="18"/>
              </w:rPr>
            </w:pPr>
            <w:r w:rsidRPr="00201A9A">
              <w:rPr>
                <w:noProof/>
                <w:sz w:val="18"/>
              </w:rPr>
              <w:t>Wpływ wniosku/inicjatywy</w:t>
            </w:r>
            <w:r w:rsidRPr="00201A9A">
              <w:rPr>
                <w:rStyle w:val="FootnoteReference"/>
                <w:noProof/>
                <w:sz w:val="18"/>
                <w:szCs w:val="18"/>
              </w:rPr>
              <w:footnoteReference w:id="33"/>
            </w:r>
          </w:p>
        </w:tc>
      </w:tr>
      <w:tr w:rsidR="004A489F" w:rsidRPr="00201A9A" w14:paraId="1240F720" w14:textId="77777777">
        <w:trPr>
          <w:trHeight w:val="388"/>
        </w:trPr>
        <w:tc>
          <w:tcPr>
            <w:tcW w:w="1423" w:type="pct"/>
            <w:vMerge/>
          </w:tcPr>
          <w:p w14:paraId="2EBDF329" w14:textId="77777777" w:rsidR="004A489F" w:rsidRPr="00201A9A" w:rsidRDefault="004A489F">
            <w:pPr>
              <w:spacing w:before="40" w:after="40"/>
              <w:rPr>
                <w:noProof/>
                <w:sz w:val="18"/>
              </w:rPr>
            </w:pPr>
          </w:p>
        </w:tc>
        <w:tc>
          <w:tcPr>
            <w:tcW w:w="869" w:type="pct"/>
            <w:vMerge/>
          </w:tcPr>
          <w:p w14:paraId="48263D91" w14:textId="77777777" w:rsidR="004A489F" w:rsidRPr="00201A9A" w:rsidRDefault="004A489F">
            <w:pPr>
              <w:spacing w:beforeLines="40" w:before="96" w:afterLines="40" w:after="96"/>
              <w:rPr>
                <w:i/>
                <w:noProof/>
                <w:sz w:val="18"/>
              </w:rPr>
            </w:pPr>
          </w:p>
        </w:tc>
        <w:tc>
          <w:tcPr>
            <w:tcW w:w="911" w:type="pct"/>
            <w:vAlign w:val="center"/>
          </w:tcPr>
          <w:p w14:paraId="7E14BD10" w14:textId="77777777" w:rsidR="004A489F" w:rsidRPr="00201A9A" w:rsidRDefault="004A489F">
            <w:pPr>
              <w:jc w:val="center"/>
              <w:rPr>
                <w:noProof/>
                <w:sz w:val="18"/>
              </w:rPr>
            </w:pPr>
            <w:r w:rsidRPr="00201A9A">
              <w:rPr>
                <w:noProof/>
                <w:sz w:val="18"/>
              </w:rPr>
              <w:t xml:space="preserve">Rok </w:t>
            </w:r>
            <w:r w:rsidRPr="00201A9A">
              <w:rPr>
                <w:b/>
                <w:noProof/>
                <w:sz w:val="18"/>
              </w:rPr>
              <w:t>2024</w:t>
            </w:r>
          </w:p>
        </w:tc>
        <w:tc>
          <w:tcPr>
            <w:tcW w:w="562" w:type="pct"/>
            <w:vAlign w:val="center"/>
          </w:tcPr>
          <w:p w14:paraId="7CA60366" w14:textId="77777777" w:rsidR="004A489F" w:rsidRPr="00201A9A" w:rsidRDefault="004A489F">
            <w:pPr>
              <w:jc w:val="center"/>
              <w:rPr>
                <w:noProof/>
                <w:sz w:val="18"/>
              </w:rPr>
            </w:pPr>
            <w:r w:rsidRPr="00201A9A">
              <w:rPr>
                <w:noProof/>
                <w:sz w:val="18"/>
              </w:rPr>
              <w:t xml:space="preserve">Rok </w:t>
            </w:r>
            <w:r w:rsidRPr="00201A9A">
              <w:rPr>
                <w:b/>
                <w:noProof/>
                <w:sz w:val="18"/>
              </w:rPr>
              <w:t>2025</w:t>
            </w:r>
          </w:p>
        </w:tc>
        <w:tc>
          <w:tcPr>
            <w:tcW w:w="557" w:type="pct"/>
            <w:vAlign w:val="center"/>
          </w:tcPr>
          <w:p w14:paraId="07DD522D" w14:textId="77777777" w:rsidR="004A489F" w:rsidRPr="00201A9A" w:rsidRDefault="004A489F">
            <w:pPr>
              <w:jc w:val="center"/>
              <w:rPr>
                <w:noProof/>
                <w:sz w:val="18"/>
              </w:rPr>
            </w:pPr>
            <w:r w:rsidRPr="00201A9A">
              <w:rPr>
                <w:noProof/>
                <w:sz w:val="18"/>
              </w:rPr>
              <w:t xml:space="preserve">Rok </w:t>
            </w:r>
            <w:r w:rsidRPr="00201A9A">
              <w:rPr>
                <w:b/>
                <w:noProof/>
                <w:sz w:val="18"/>
              </w:rPr>
              <w:t>2026</w:t>
            </w:r>
          </w:p>
        </w:tc>
        <w:tc>
          <w:tcPr>
            <w:tcW w:w="679" w:type="pct"/>
            <w:vAlign w:val="center"/>
          </w:tcPr>
          <w:p w14:paraId="50A62E09" w14:textId="77777777" w:rsidR="004A489F" w:rsidRPr="00201A9A" w:rsidRDefault="004A489F">
            <w:pPr>
              <w:jc w:val="center"/>
              <w:rPr>
                <w:noProof/>
                <w:sz w:val="18"/>
              </w:rPr>
            </w:pPr>
            <w:r w:rsidRPr="00201A9A">
              <w:rPr>
                <w:noProof/>
                <w:sz w:val="18"/>
              </w:rPr>
              <w:t xml:space="preserve">Rok </w:t>
            </w:r>
            <w:r w:rsidRPr="00201A9A">
              <w:rPr>
                <w:b/>
                <w:noProof/>
                <w:sz w:val="18"/>
              </w:rPr>
              <w:t>2027</w:t>
            </w:r>
          </w:p>
        </w:tc>
      </w:tr>
      <w:tr w:rsidR="004A489F" w:rsidRPr="00201A9A" w14:paraId="3FA64153" w14:textId="77777777">
        <w:trPr>
          <w:trHeight w:val="388"/>
        </w:trPr>
        <w:tc>
          <w:tcPr>
            <w:tcW w:w="1423" w:type="pct"/>
            <w:vAlign w:val="center"/>
          </w:tcPr>
          <w:p w14:paraId="615530A8" w14:textId="77777777" w:rsidR="004A489F" w:rsidRPr="00201A9A" w:rsidRDefault="004A489F">
            <w:pPr>
              <w:spacing w:before="40" w:after="40"/>
              <w:rPr>
                <w:noProof/>
                <w:sz w:val="18"/>
              </w:rPr>
            </w:pPr>
            <w:r w:rsidRPr="00201A9A">
              <w:rPr>
                <w:noProof/>
                <w:sz w:val="18"/>
              </w:rPr>
              <w:t>Artykuł …</w:t>
            </w:r>
          </w:p>
        </w:tc>
        <w:tc>
          <w:tcPr>
            <w:tcW w:w="869" w:type="pct"/>
          </w:tcPr>
          <w:p w14:paraId="1C38996A" w14:textId="77777777" w:rsidR="004A489F" w:rsidRPr="00201A9A" w:rsidRDefault="004A489F">
            <w:pPr>
              <w:spacing w:beforeLines="40" w:before="96" w:afterLines="40" w:after="96"/>
              <w:jc w:val="center"/>
              <w:rPr>
                <w:i/>
                <w:noProof/>
                <w:sz w:val="18"/>
              </w:rPr>
            </w:pPr>
          </w:p>
        </w:tc>
        <w:tc>
          <w:tcPr>
            <w:tcW w:w="911" w:type="pct"/>
          </w:tcPr>
          <w:p w14:paraId="42623F11" w14:textId="77777777" w:rsidR="004A489F" w:rsidRPr="00201A9A" w:rsidRDefault="004A489F">
            <w:pPr>
              <w:spacing w:beforeLines="40" w:before="96" w:afterLines="40" w:after="96"/>
              <w:jc w:val="center"/>
              <w:rPr>
                <w:noProof/>
                <w:sz w:val="18"/>
              </w:rPr>
            </w:pPr>
          </w:p>
        </w:tc>
        <w:tc>
          <w:tcPr>
            <w:tcW w:w="562" w:type="pct"/>
          </w:tcPr>
          <w:p w14:paraId="4E1A348F" w14:textId="77777777" w:rsidR="004A489F" w:rsidRPr="00201A9A" w:rsidRDefault="004A489F">
            <w:pPr>
              <w:spacing w:beforeLines="40" w:before="96" w:afterLines="40" w:after="96"/>
              <w:jc w:val="center"/>
              <w:rPr>
                <w:noProof/>
                <w:sz w:val="18"/>
              </w:rPr>
            </w:pPr>
          </w:p>
        </w:tc>
        <w:tc>
          <w:tcPr>
            <w:tcW w:w="557" w:type="pct"/>
          </w:tcPr>
          <w:p w14:paraId="5E5F336E" w14:textId="77777777" w:rsidR="004A489F" w:rsidRPr="00201A9A" w:rsidRDefault="004A489F">
            <w:pPr>
              <w:spacing w:beforeLines="40" w:before="96" w:afterLines="40" w:after="96"/>
              <w:jc w:val="center"/>
              <w:rPr>
                <w:noProof/>
                <w:sz w:val="18"/>
              </w:rPr>
            </w:pPr>
          </w:p>
        </w:tc>
        <w:tc>
          <w:tcPr>
            <w:tcW w:w="679" w:type="pct"/>
          </w:tcPr>
          <w:p w14:paraId="0544E8DE" w14:textId="77777777" w:rsidR="004A489F" w:rsidRPr="00201A9A" w:rsidRDefault="004A489F">
            <w:pPr>
              <w:spacing w:beforeLines="40" w:before="96" w:afterLines="40" w:after="96"/>
              <w:jc w:val="center"/>
              <w:rPr>
                <w:noProof/>
                <w:sz w:val="18"/>
              </w:rPr>
            </w:pPr>
          </w:p>
        </w:tc>
      </w:tr>
    </w:tbl>
    <w:p w14:paraId="6824DB3A" w14:textId="77777777" w:rsidR="004A489F" w:rsidRPr="00201A9A" w:rsidRDefault="004A489F" w:rsidP="004A489F">
      <w:pPr>
        <w:pStyle w:val="Text1"/>
        <w:rPr>
          <w:noProof/>
          <w:szCs w:val="24"/>
        </w:rPr>
      </w:pPr>
      <w:r w:rsidRPr="00201A9A">
        <w:rPr>
          <w:noProof/>
        </w:rPr>
        <w:t>W przypadku wpływu na dochody przeznaczone na określony cel należy wskazać linie budżetowe po stronie wydatków, które ten wpływ obejmie.</w:t>
      </w:r>
    </w:p>
    <w:p w14:paraId="68FB243F" w14:textId="77777777"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p>
    <w:p w14:paraId="05AA7F79" w14:textId="77777777" w:rsidR="004A489F" w:rsidRPr="00201A9A" w:rsidRDefault="004A489F" w:rsidP="004A489F">
      <w:pPr>
        <w:pStyle w:val="Text1"/>
        <w:rPr>
          <w:noProof/>
          <w:szCs w:val="24"/>
        </w:rPr>
      </w:pPr>
      <w:r w:rsidRPr="00201A9A">
        <w:rPr>
          <w:noProof/>
        </w:rPr>
        <w:t>Pozostałe uwagi (np. metoda/wzór użyte do obliczenia wpływu na dochody albo inne informacje).</w:t>
      </w:r>
    </w:p>
    <w:p w14:paraId="78E8FEB9" w14:textId="77777777" w:rsidR="004A489F" w:rsidRPr="00201A9A" w:rsidRDefault="004A489F" w:rsidP="004A489F">
      <w:pPr>
        <w:pStyle w:val="Text1"/>
        <w:pBdr>
          <w:top w:val="single" w:sz="4" w:space="1" w:color="auto"/>
          <w:left w:val="single" w:sz="4" w:space="4" w:color="auto"/>
          <w:bottom w:val="single" w:sz="4" w:space="1" w:color="auto"/>
          <w:right w:val="single" w:sz="4" w:space="4" w:color="auto"/>
        </w:pBdr>
        <w:rPr>
          <w:noProof/>
        </w:rPr>
      </w:pPr>
    </w:p>
    <w:p w14:paraId="1D810123" w14:textId="77777777" w:rsidR="004A489F" w:rsidRPr="00201A9A" w:rsidRDefault="004A489F" w:rsidP="004A489F">
      <w:pPr>
        <w:pStyle w:val="ManualHeading1"/>
        <w:rPr>
          <w:caps/>
          <w:noProof/>
        </w:rPr>
      </w:pPr>
      <w:bookmarkStart w:id="202" w:name="_Toc167220301"/>
      <w:bookmarkStart w:id="203" w:name="_Toc177549035"/>
      <w:r w:rsidRPr="00201A9A">
        <w:rPr>
          <w:noProof/>
        </w:rPr>
        <w:t>4.</w:t>
      </w:r>
      <w:r w:rsidRPr="00201A9A">
        <w:rPr>
          <w:noProof/>
        </w:rPr>
        <w:tab/>
      </w:r>
      <w:bookmarkStart w:id="204" w:name="_Hlk167692977"/>
      <w:r w:rsidRPr="00201A9A">
        <w:rPr>
          <w:caps/>
          <w:noProof/>
        </w:rPr>
        <w:t>Wymiar cyfrowy</w:t>
      </w:r>
      <w:bookmarkEnd w:id="202"/>
      <w:bookmarkEnd w:id="203"/>
    </w:p>
    <w:p w14:paraId="79154DFD" w14:textId="77777777" w:rsidR="004A489F" w:rsidRPr="00201A9A" w:rsidRDefault="004A489F" w:rsidP="004A489F">
      <w:pPr>
        <w:pStyle w:val="ManualHeading2"/>
        <w:rPr>
          <w:noProof/>
        </w:rPr>
        <w:sectPr w:rsidR="004A489F" w:rsidRPr="00201A9A" w:rsidSect="009C4ADF">
          <w:headerReference w:type="default" r:id="rId22"/>
          <w:footerReference w:type="default" r:id="rId23"/>
          <w:pgSz w:w="11907" w:h="16839"/>
          <w:pgMar w:top="1134" w:right="1417" w:bottom="1134" w:left="1417" w:header="709" w:footer="709" w:gutter="0"/>
          <w:cols w:space="720"/>
          <w:docGrid w:linePitch="360"/>
        </w:sectPr>
      </w:pPr>
      <w:bookmarkStart w:id="205" w:name="_Toc167220302"/>
      <w:bookmarkStart w:id="206" w:name="_Toc177549037"/>
    </w:p>
    <w:p w14:paraId="415DDE8B" w14:textId="77777777" w:rsidR="004A489F" w:rsidRPr="00201A9A" w:rsidRDefault="004A489F" w:rsidP="004A489F">
      <w:pPr>
        <w:pStyle w:val="ManualHeading2"/>
        <w:rPr>
          <w:noProof/>
        </w:rPr>
      </w:pPr>
      <w:r w:rsidRPr="00201A9A">
        <w:rPr>
          <w:noProof/>
        </w:rPr>
        <w:t>4.1. Wymogi cyfrowe</w:t>
      </w:r>
      <w:bookmarkEnd w:id="205"/>
      <w:bookmarkEnd w:id="206"/>
    </w:p>
    <w:p w14:paraId="492F493F" w14:textId="77777777" w:rsidR="004A489F" w:rsidRPr="00201A9A" w:rsidRDefault="004A489F" w:rsidP="004A489F">
      <w:pPr>
        <w:rPr>
          <w:noProof/>
        </w:rPr>
      </w:pPr>
      <w:bookmarkStart w:id="207" w:name="_Toc167220303"/>
      <w:bookmarkStart w:id="208" w:name="_Toc177549038"/>
      <w:r w:rsidRPr="00201A9A">
        <w:rPr>
          <w:noProof/>
        </w:rPr>
        <w:t>Jeżeli inicjatywa polityczna zostanie oceniona jako nieobwarowana wymogami cyfrowymi:</w:t>
      </w:r>
    </w:p>
    <w:p w14:paraId="3619CC0E" w14:textId="3D65E7EE" w:rsidR="004A489F" w:rsidRPr="00201A9A" w:rsidRDefault="004A489F" w:rsidP="004A489F">
      <w:pPr>
        <w:rPr>
          <w:i/>
          <w:noProof/>
        </w:rPr>
      </w:pPr>
      <w:r w:rsidRPr="00201A9A">
        <w:rPr>
          <w:i/>
          <w:noProof/>
        </w:rPr>
        <w:t>Uzasadnienie, dlaczego nie można wykorzystać środków cyfrowych do usprawnienia wdrażania polityki</w:t>
      </w:r>
      <w:r w:rsidR="00201A9A" w:rsidRPr="00201A9A">
        <w:rPr>
          <w:i/>
          <w:noProof/>
        </w:rPr>
        <w:t xml:space="preserve"> i dla</w:t>
      </w:r>
      <w:r w:rsidRPr="00201A9A">
        <w:rPr>
          <w:i/>
          <w:noProof/>
        </w:rPr>
        <w:t>czego zasada „domyślnej cyfrowości” nie ma zastosowania</w:t>
      </w:r>
    </w:p>
    <w:tbl>
      <w:tblPr>
        <w:tblStyle w:val="TableGrid"/>
        <w:tblW w:w="0" w:type="auto"/>
        <w:tblLook w:val="04A0" w:firstRow="1" w:lastRow="0" w:firstColumn="1" w:lastColumn="0" w:noHBand="0" w:noVBand="1"/>
      </w:tblPr>
      <w:tblGrid>
        <w:gridCol w:w="13994"/>
      </w:tblGrid>
      <w:tr w:rsidR="004A489F" w:rsidRPr="00201A9A" w14:paraId="60C0B345" w14:textId="77777777">
        <w:tc>
          <w:tcPr>
            <w:tcW w:w="13994" w:type="dxa"/>
          </w:tcPr>
          <w:p w14:paraId="16B60A95" w14:textId="77777777" w:rsidR="004A489F" w:rsidRPr="00201A9A" w:rsidRDefault="004A489F">
            <w:pPr>
              <w:rPr>
                <w:noProof/>
              </w:rPr>
            </w:pPr>
          </w:p>
        </w:tc>
      </w:tr>
    </w:tbl>
    <w:p w14:paraId="5BAA404C" w14:textId="77777777" w:rsidR="004A489F" w:rsidRPr="00201A9A" w:rsidRDefault="004A489F" w:rsidP="004A489F">
      <w:pPr>
        <w:rPr>
          <w:noProof/>
        </w:rPr>
      </w:pPr>
      <w:r w:rsidRPr="00201A9A">
        <w:rPr>
          <w:noProof/>
        </w:rPr>
        <w:t>W przeciwnym wypadku:</w:t>
      </w:r>
    </w:p>
    <w:p w14:paraId="2D718278" w14:textId="17CD979D" w:rsidR="004A489F" w:rsidRPr="00201A9A" w:rsidRDefault="004A489F" w:rsidP="004A489F">
      <w:pPr>
        <w:rPr>
          <w:i/>
          <w:noProof/>
        </w:rPr>
      </w:pPr>
      <w:r w:rsidRPr="00201A9A">
        <w:rPr>
          <w:i/>
          <w:noProof/>
        </w:rPr>
        <w:t>Ogólny opis wymogów cyfrowych</w:t>
      </w:r>
      <w:r w:rsidR="00201A9A" w:rsidRPr="00201A9A">
        <w:rPr>
          <w:i/>
          <w:noProof/>
        </w:rPr>
        <w:t xml:space="preserve"> i pow</w:t>
      </w:r>
      <w:r w:rsidRPr="00201A9A">
        <w:rPr>
          <w:i/>
          <w:noProof/>
        </w:rPr>
        <w:t>iązanych kategorii (dane, cyfryzacja</w:t>
      </w:r>
      <w:r w:rsidR="00201A9A" w:rsidRPr="00201A9A">
        <w:rPr>
          <w:i/>
          <w:noProof/>
        </w:rPr>
        <w:t xml:space="preserve"> i aut</w:t>
      </w:r>
      <w:r w:rsidRPr="00201A9A">
        <w:rPr>
          <w:i/>
          <w:noProof/>
        </w:rPr>
        <w:t xml:space="preserve">omatyzacja procesów, rozwiązania cyfrowe lub cyfrowe usługi publiczne) </w:t>
      </w:r>
    </w:p>
    <w:p w14:paraId="76A70DC8" w14:textId="77777777" w:rsidR="004A489F" w:rsidRPr="00201A9A" w:rsidRDefault="004A489F" w:rsidP="004A489F">
      <w:pPr>
        <w:pStyle w:val="Text1"/>
        <w:ind w:left="0"/>
        <w:rPr>
          <w:noProof/>
        </w:rPr>
      </w:pPr>
    </w:p>
    <w:tbl>
      <w:tblPr>
        <w:tblStyle w:val="TableGrid"/>
        <w:tblW w:w="14170" w:type="dxa"/>
        <w:tblLook w:val="04A0" w:firstRow="1" w:lastRow="0" w:firstColumn="1" w:lastColumn="0" w:noHBand="0" w:noVBand="1"/>
      </w:tblPr>
      <w:tblGrid>
        <w:gridCol w:w="2972"/>
        <w:gridCol w:w="4536"/>
        <w:gridCol w:w="2693"/>
        <w:gridCol w:w="1785"/>
        <w:gridCol w:w="2184"/>
      </w:tblGrid>
      <w:tr w:rsidR="004A489F" w:rsidRPr="00201A9A" w14:paraId="143751F0" w14:textId="77777777">
        <w:trPr>
          <w:trHeight w:val="300"/>
        </w:trPr>
        <w:tc>
          <w:tcPr>
            <w:tcW w:w="2972" w:type="dxa"/>
            <w:vAlign w:val="center"/>
          </w:tcPr>
          <w:p w14:paraId="01C8A9D8" w14:textId="77777777" w:rsidR="004A489F" w:rsidRPr="00201A9A" w:rsidRDefault="004A489F">
            <w:pPr>
              <w:jc w:val="left"/>
              <w:rPr>
                <w:b/>
                <w:noProof/>
              </w:rPr>
            </w:pPr>
            <w:r w:rsidRPr="00201A9A">
              <w:rPr>
                <w:b/>
                <w:noProof/>
              </w:rPr>
              <w:t>Odniesienie do wymogu</w:t>
            </w:r>
          </w:p>
        </w:tc>
        <w:tc>
          <w:tcPr>
            <w:tcW w:w="4536" w:type="dxa"/>
            <w:vAlign w:val="center"/>
          </w:tcPr>
          <w:p w14:paraId="0A28846F" w14:textId="77777777" w:rsidR="004A489F" w:rsidRPr="00201A9A" w:rsidRDefault="004A489F">
            <w:pPr>
              <w:jc w:val="left"/>
              <w:rPr>
                <w:b/>
                <w:noProof/>
              </w:rPr>
            </w:pPr>
            <w:r w:rsidRPr="00201A9A">
              <w:rPr>
                <w:b/>
                <w:noProof/>
              </w:rPr>
              <w:t>Opis wymogu</w:t>
            </w:r>
          </w:p>
        </w:tc>
        <w:tc>
          <w:tcPr>
            <w:tcW w:w="2693" w:type="dxa"/>
            <w:vAlign w:val="center"/>
          </w:tcPr>
          <w:p w14:paraId="4F6D5C4F" w14:textId="77777777" w:rsidR="004A489F" w:rsidRPr="00201A9A" w:rsidRDefault="004A489F">
            <w:pPr>
              <w:jc w:val="left"/>
              <w:rPr>
                <w:b/>
                <w:noProof/>
              </w:rPr>
            </w:pPr>
            <w:r w:rsidRPr="00201A9A">
              <w:rPr>
                <w:b/>
                <w:noProof/>
              </w:rPr>
              <w:t>Podmioty, których dotyczy wymóg lub na które wymóg ten ma wpływ</w:t>
            </w:r>
          </w:p>
        </w:tc>
        <w:tc>
          <w:tcPr>
            <w:tcW w:w="1785" w:type="dxa"/>
            <w:vAlign w:val="center"/>
          </w:tcPr>
          <w:p w14:paraId="317B2632" w14:textId="77777777" w:rsidR="004A489F" w:rsidRPr="00201A9A" w:rsidRDefault="004A489F">
            <w:pPr>
              <w:jc w:val="left"/>
              <w:rPr>
                <w:b/>
                <w:noProof/>
              </w:rPr>
            </w:pPr>
            <w:r w:rsidRPr="00201A9A">
              <w:rPr>
                <w:b/>
                <w:noProof/>
              </w:rPr>
              <w:t>Procesy ogólne</w:t>
            </w:r>
          </w:p>
        </w:tc>
        <w:tc>
          <w:tcPr>
            <w:tcW w:w="2184" w:type="dxa"/>
            <w:vAlign w:val="center"/>
          </w:tcPr>
          <w:p w14:paraId="5C751F1C" w14:textId="77777777" w:rsidR="004A489F" w:rsidRPr="00201A9A" w:rsidRDefault="004A489F">
            <w:pPr>
              <w:jc w:val="left"/>
              <w:rPr>
                <w:b/>
                <w:noProof/>
              </w:rPr>
            </w:pPr>
            <w:r w:rsidRPr="00201A9A">
              <w:rPr>
                <w:b/>
                <w:noProof/>
              </w:rPr>
              <w:t>Kategorie</w:t>
            </w:r>
          </w:p>
        </w:tc>
      </w:tr>
      <w:tr w:rsidR="004A489F" w:rsidRPr="00201A9A" w14:paraId="2EF2DB0D" w14:textId="77777777">
        <w:trPr>
          <w:trHeight w:val="300"/>
        </w:trPr>
        <w:tc>
          <w:tcPr>
            <w:tcW w:w="2972" w:type="dxa"/>
            <w:vAlign w:val="center"/>
          </w:tcPr>
          <w:p w14:paraId="294F12B8" w14:textId="461ED09C" w:rsidR="004A489F" w:rsidRPr="00201A9A" w:rsidRDefault="004A489F">
            <w:pPr>
              <w:rPr>
                <w:noProof/>
              </w:rPr>
            </w:pPr>
            <w:r w:rsidRPr="00201A9A">
              <w:rPr>
                <w:noProof/>
              </w:rPr>
              <w:t>Art. 3 dotyczący celów szczegółowych</w:t>
            </w:r>
            <w:r w:rsidR="00201A9A" w:rsidRPr="00201A9A">
              <w:rPr>
                <w:noProof/>
              </w:rPr>
              <w:t xml:space="preserve"> i art</w:t>
            </w:r>
            <w:r w:rsidRPr="00201A9A">
              <w:rPr>
                <w:noProof/>
              </w:rPr>
              <w:t>.</w:t>
            </w:r>
            <w:r w:rsidR="00201A9A" w:rsidRPr="00201A9A">
              <w:rPr>
                <w:noProof/>
              </w:rPr>
              <w:t> </w:t>
            </w:r>
            <w:r w:rsidRPr="00201A9A">
              <w:rPr>
                <w:noProof/>
              </w:rPr>
              <w:t>22 dotyczący wymogów odnoszących się do planu PKR</w:t>
            </w:r>
          </w:p>
        </w:tc>
        <w:tc>
          <w:tcPr>
            <w:tcW w:w="4536" w:type="dxa"/>
            <w:vAlign w:val="center"/>
          </w:tcPr>
          <w:p w14:paraId="598DEEF7" w14:textId="2A5025AB" w:rsidR="004A489F" w:rsidRPr="00201A9A" w:rsidRDefault="004A489F">
            <w:pPr>
              <w:rPr>
                <w:noProof/>
              </w:rPr>
            </w:pPr>
            <w:r w:rsidRPr="00201A9A">
              <w:rPr>
                <w:noProof/>
              </w:rPr>
              <w:t>Plany przyczyniają się</w:t>
            </w:r>
            <w:r w:rsidR="00201A9A" w:rsidRPr="00201A9A">
              <w:rPr>
                <w:noProof/>
              </w:rPr>
              <w:t xml:space="preserve"> w kom</w:t>
            </w:r>
            <w:r w:rsidRPr="00201A9A">
              <w:rPr>
                <w:noProof/>
              </w:rPr>
              <w:t>pleksowy</w:t>
            </w:r>
            <w:r w:rsidR="00201A9A" w:rsidRPr="00201A9A">
              <w:rPr>
                <w:noProof/>
              </w:rPr>
              <w:t xml:space="preserve"> i odp</w:t>
            </w:r>
            <w:r w:rsidRPr="00201A9A">
              <w:rPr>
                <w:noProof/>
              </w:rPr>
              <w:t>owiedni sposób do osiągnięcia wszystkich celów szczegółowych Funduszu,</w:t>
            </w:r>
            <w:r w:rsidR="00201A9A" w:rsidRPr="00201A9A">
              <w:rPr>
                <w:noProof/>
              </w:rPr>
              <w:t xml:space="preserve"> z uwz</w:t>
            </w:r>
            <w:r w:rsidRPr="00201A9A">
              <w:rPr>
                <w:noProof/>
              </w:rPr>
              <w:t>ględnieniem szczególnych wyzwań stojących przed danym państwem członkowskim, które obejmują:</w:t>
            </w:r>
          </w:p>
          <w:p w14:paraId="35155691" w14:textId="1C5BFD46" w:rsidR="004A489F" w:rsidRPr="00201A9A" w:rsidRDefault="004A489F" w:rsidP="003E2902">
            <w:pPr>
              <w:pStyle w:val="ListParagraph"/>
              <w:numPr>
                <w:ilvl w:val="0"/>
                <w:numId w:val="121"/>
              </w:numPr>
              <w:rPr>
                <w:noProof/>
                <w:color w:val="000000" w:themeColor="text1"/>
                <w:szCs w:val="24"/>
              </w:rPr>
            </w:pPr>
            <w:r w:rsidRPr="00201A9A">
              <w:rPr>
                <w:noProof/>
              </w:rPr>
              <w:t>wspieranie transformacji cyfrowej oraz promowanie rozwoju</w:t>
            </w:r>
            <w:r w:rsidR="00201A9A" w:rsidRPr="00201A9A">
              <w:rPr>
                <w:noProof/>
              </w:rPr>
              <w:t xml:space="preserve"> i wyk</w:t>
            </w:r>
            <w:r w:rsidRPr="00201A9A">
              <w:rPr>
                <w:noProof/>
              </w:rPr>
              <w:t>orzystania zaawansowanych technologii</w:t>
            </w:r>
            <w:r w:rsidR="00201A9A" w:rsidRPr="00201A9A">
              <w:rPr>
                <w:noProof/>
              </w:rPr>
              <w:t xml:space="preserve"> i łąc</w:t>
            </w:r>
            <w:r w:rsidRPr="00201A9A">
              <w:rPr>
                <w:noProof/>
              </w:rPr>
              <w:t xml:space="preserve">zności ICT, </w:t>
            </w:r>
            <w:r w:rsidRPr="00201A9A">
              <w:rPr>
                <w:noProof/>
                <w:color w:val="000000" w:themeColor="text1"/>
              </w:rPr>
              <w:t>przy jednoczesnym niwelowaniu przepaści cyfrowej;</w:t>
            </w:r>
          </w:p>
          <w:p w14:paraId="0EA6D48B" w14:textId="77777777" w:rsidR="00961700" w:rsidRPr="00201A9A" w:rsidRDefault="00961700" w:rsidP="003E2902">
            <w:pPr>
              <w:pStyle w:val="ListParagraph"/>
              <w:numPr>
                <w:ilvl w:val="0"/>
                <w:numId w:val="121"/>
              </w:numPr>
              <w:rPr>
                <w:noProof/>
              </w:rPr>
            </w:pPr>
            <w:r w:rsidRPr="00201A9A">
              <w:rPr>
                <w:noProof/>
              </w:rPr>
              <w:t>wspieranie [...] transformacji cyfrowej transportu;</w:t>
            </w:r>
          </w:p>
          <w:p w14:paraId="31348022" w14:textId="318E4A57" w:rsidR="004A489F" w:rsidRPr="00201A9A" w:rsidRDefault="004A489F" w:rsidP="003E2902">
            <w:pPr>
              <w:pStyle w:val="ListParagraph"/>
              <w:numPr>
                <w:ilvl w:val="0"/>
                <w:numId w:val="121"/>
              </w:numPr>
              <w:rPr>
                <w:noProof/>
              </w:rPr>
            </w:pPr>
            <w:r w:rsidRPr="00201A9A">
              <w:rPr>
                <w:noProof/>
              </w:rPr>
              <w:t>poprawa atrakcyjności</w:t>
            </w:r>
            <w:r w:rsidR="00201A9A" w:rsidRPr="00201A9A">
              <w:rPr>
                <w:noProof/>
              </w:rPr>
              <w:t xml:space="preserve"> i poz</w:t>
            </w:r>
            <w:r w:rsidRPr="00201A9A">
              <w:rPr>
                <w:noProof/>
              </w:rPr>
              <w:t>iomu życia na obszarach wiejskich</w:t>
            </w:r>
            <w:r w:rsidR="00201A9A" w:rsidRPr="00201A9A">
              <w:rPr>
                <w:noProof/>
              </w:rPr>
              <w:t xml:space="preserve"> i prz</w:t>
            </w:r>
            <w:r w:rsidRPr="00201A9A">
              <w:rPr>
                <w:noProof/>
              </w:rPr>
              <w:t>ybrzeżnych oraz sprawiedliwych warunków pracy,</w:t>
            </w:r>
            <w:r w:rsidR="00201A9A" w:rsidRPr="00201A9A">
              <w:rPr>
                <w:noProof/>
              </w:rPr>
              <w:t xml:space="preserve"> a tak</w:t>
            </w:r>
            <w:r w:rsidRPr="00201A9A">
              <w:rPr>
                <w:noProof/>
              </w:rPr>
              <w:t>że [...] przyspieszenie transformacji cyfrowej na rzecz dobrze prosperującego sektora rolno-spożywczego.</w:t>
            </w:r>
          </w:p>
          <w:p w14:paraId="46247590" w14:textId="7BC80815" w:rsidR="004A489F" w:rsidRPr="00201A9A" w:rsidRDefault="004A489F">
            <w:pPr>
              <w:rPr>
                <w:noProof/>
              </w:rPr>
            </w:pPr>
            <w:r w:rsidRPr="00201A9A">
              <w:rPr>
                <w:noProof/>
              </w:rPr>
              <w:t>Plany te są spójne między innymi z [...] krajowymi strategicznymi planami działania dotyczącymi cyfrowej dekady określonymi</w:t>
            </w:r>
            <w:r w:rsidR="00201A9A" w:rsidRPr="00201A9A">
              <w:rPr>
                <w:noProof/>
              </w:rPr>
              <w:t xml:space="preserve"> w dec</w:t>
            </w:r>
            <w:r w:rsidRPr="00201A9A">
              <w:rPr>
                <w:noProof/>
              </w:rPr>
              <w:t>yzji (UE) 2022/2481</w:t>
            </w:r>
            <w:r w:rsidR="00201A9A" w:rsidRPr="00201A9A">
              <w:rPr>
                <w:noProof/>
              </w:rPr>
              <w:t xml:space="preserve"> i sku</w:t>
            </w:r>
            <w:r w:rsidRPr="00201A9A">
              <w:rPr>
                <w:noProof/>
              </w:rPr>
              <w:t>tecznie przyczyniają się</w:t>
            </w:r>
            <w:r w:rsidR="00201A9A" w:rsidRPr="00201A9A">
              <w:rPr>
                <w:noProof/>
              </w:rPr>
              <w:t xml:space="preserve"> w szc</w:t>
            </w:r>
            <w:r w:rsidRPr="00201A9A">
              <w:rPr>
                <w:noProof/>
              </w:rPr>
              <w:t>zególności do wspierania cyfrowej</w:t>
            </w:r>
            <w:r w:rsidR="00201A9A" w:rsidRPr="00201A9A">
              <w:rPr>
                <w:noProof/>
              </w:rPr>
              <w:t xml:space="preserve"> i opa</w:t>
            </w:r>
            <w:r w:rsidRPr="00201A9A">
              <w:rPr>
                <w:noProof/>
              </w:rPr>
              <w:t>rtej na danych transformacji rolnictwa</w:t>
            </w:r>
            <w:r w:rsidR="00201A9A" w:rsidRPr="00201A9A">
              <w:rPr>
                <w:noProof/>
              </w:rPr>
              <w:t xml:space="preserve"> i obs</w:t>
            </w:r>
            <w:r w:rsidRPr="00201A9A">
              <w:rPr>
                <w:noProof/>
              </w:rPr>
              <w:t>zarów wiejskich.</w:t>
            </w:r>
          </w:p>
        </w:tc>
        <w:tc>
          <w:tcPr>
            <w:tcW w:w="2693" w:type="dxa"/>
            <w:vAlign w:val="center"/>
          </w:tcPr>
          <w:p w14:paraId="7FBEEDA6" w14:textId="77777777" w:rsidR="004A489F" w:rsidRPr="00201A9A" w:rsidRDefault="004A489F">
            <w:pPr>
              <w:jc w:val="left"/>
              <w:rPr>
                <w:noProof/>
              </w:rPr>
            </w:pPr>
            <w:r w:rsidRPr="00201A9A">
              <w:rPr>
                <w:noProof/>
              </w:rPr>
              <w:t>Państwa członkowskie</w:t>
            </w:r>
          </w:p>
        </w:tc>
        <w:tc>
          <w:tcPr>
            <w:tcW w:w="1785" w:type="dxa"/>
            <w:vAlign w:val="center"/>
          </w:tcPr>
          <w:p w14:paraId="5AAFFF6D" w14:textId="77777777" w:rsidR="004A489F" w:rsidRPr="00201A9A" w:rsidRDefault="004A489F">
            <w:pPr>
              <w:rPr>
                <w:noProof/>
              </w:rPr>
            </w:pPr>
            <w:r w:rsidRPr="00201A9A">
              <w:rPr>
                <w:noProof/>
              </w:rPr>
              <w:t>Wspieranie transformacji cyfrowej</w:t>
            </w:r>
          </w:p>
        </w:tc>
        <w:tc>
          <w:tcPr>
            <w:tcW w:w="2184" w:type="dxa"/>
            <w:vAlign w:val="center"/>
          </w:tcPr>
          <w:p w14:paraId="2CE6D7D5" w14:textId="77777777" w:rsidR="004A489F" w:rsidRPr="00201A9A" w:rsidRDefault="004A489F">
            <w:pPr>
              <w:rPr>
                <w:noProof/>
              </w:rPr>
            </w:pPr>
            <w:r w:rsidRPr="00201A9A">
              <w:rPr>
                <w:noProof/>
              </w:rPr>
              <w:t>Rozwiązania cyfrowe lub cyfrowe usługi publiczne, infrastruktura cyfrowa, szkolenia</w:t>
            </w:r>
          </w:p>
        </w:tc>
      </w:tr>
      <w:tr w:rsidR="004A489F" w:rsidRPr="00201A9A" w14:paraId="0838A30F" w14:textId="77777777">
        <w:trPr>
          <w:trHeight w:val="300"/>
        </w:trPr>
        <w:tc>
          <w:tcPr>
            <w:tcW w:w="2972" w:type="dxa"/>
            <w:vAlign w:val="center"/>
          </w:tcPr>
          <w:p w14:paraId="35CA3EF1" w14:textId="7EDFC46A" w:rsidR="004A489F" w:rsidRPr="00201A9A" w:rsidRDefault="004A489F">
            <w:pPr>
              <w:rPr>
                <w:noProof/>
              </w:rPr>
            </w:pPr>
            <w:r w:rsidRPr="00201A9A">
              <w:rPr>
                <w:noProof/>
              </w:rPr>
              <w:t>Art. 63 dotyczący gromadzenia</w:t>
            </w:r>
            <w:r w:rsidR="00201A9A" w:rsidRPr="00201A9A">
              <w:rPr>
                <w:noProof/>
              </w:rPr>
              <w:t xml:space="preserve"> i rej</w:t>
            </w:r>
            <w:r w:rsidRPr="00201A9A">
              <w:rPr>
                <w:noProof/>
              </w:rPr>
              <w:t>estrowania danych</w:t>
            </w:r>
          </w:p>
        </w:tc>
        <w:tc>
          <w:tcPr>
            <w:tcW w:w="4536" w:type="dxa"/>
            <w:vAlign w:val="center"/>
          </w:tcPr>
          <w:p w14:paraId="2ADD6663" w14:textId="7ADCE8FE" w:rsidR="004A489F" w:rsidRPr="00201A9A" w:rsidRDefault="004A489F">
            <w:pPr>
              <w:rPr>
                <w:rFonts w:eastAsia="Calibri"/>
                <w:noProof/>
              </w:rPr>
            </w:pPr>
            <w:r w:rsidRPr="00201A9A">
              <w:rPr>
                <w:noProof/>
              </w:rPr>
              <w:t>Państwa członkowskie gromadzą, rejestrują</w:t>
            </w:r>
            <w:r w:rsidR="00201A9A" w:rsidRPr="00201A9A">
              <w:rPr>
                <w:noProof/>
              </w:rPr>
              <w:t xml:space="preserve"> i prz</w:t>
            </w:r>
            <w:r w:rsidRPr="00201A9A">
              <w:rPr>
                <w:noProof/>
              </w:rPr>
              <w:t>echowują</w:t>
            </w:r>
            <w:r w:rsidR="00201A9A" w:rsidRPr="00201A9A">
              <w:rPr>
                <w:noProof/>
              </w:rPr>
              <w:t xml:space="preserve"> w for</w:t>
            </w:r>
            <w:r w:rsidRPr="00201A9A">
              <w:rPr>
                <w:noProof/>
              </w:rPr>
              <w:t>mie elektronicznej wymagane informacje na temat (i) beneficjenta, (ii) odbiorcy</w:t>
            </w:r>
            <w:r w:rsidR="00201A9A" w:rsidRPr="00201A9A">
              <w:rPr>
                <w:noProof/>
              </w:rPr>
              <w:t xml:space="preserve"> i odb</w:t>
            </w:r>
            <w:r w:rsidRPr="00201A9A">
              <w:rPr>
                <w:noProof/>
              </w:rPr>
              <w:t>iorcy końcowego, (iii) wykonawcy, (iv) podwykonawcy, (v) operacji, (vi) rozwoju lokalnego kierowanego przez społeczność</w:t>
            </w:r>
            <w:r w:rsidR="00201A9A" w:rsidRPr="00201A9A">
              <w:rPr>
                <w:noProof/>
              </w:rPr>
              <w:t xml:space="preserve"> w odn</w:t>
            </w:r>
            <w:r w:rsidRPr="00201A9A">
              <w:rPr>
                <w:noProof/>
              </w:rPr>
              <w:t>iesieniu do każdej lokalnej grupy działania, (vii) każdej grupy operacyjnej EPI-AGRI do celów audytu</w:t>
            </w:r>
            <w:r w:rsidR="00201A9A" w:rsidRPr="00201A9A">
              <w:rPr>
                <w:noProof/>
              </w:rPr>
              <w:t xml:space="preserve"> i kon</w:t>
            </w:r>
            <w:r w:rsidRPr="00201A9A">
              <w:rPr>
                <w:noProof/>
              </w:rPr>
              <w:t>troli, przejrzystości</w:t>
            </w:r>
            <w:r w:rsidR="00201A9A" w:rsidRPr="00201A9A">
              <w:rPr>
                <w:noProof/>
              </w:rPr>
              <w:t xml:space="preserve"> i mon</w:t>
            </w:r>
            <w:r w:rsidRPr="00201A9A">
              <w:rPr>
                <w:noProof/>
              </w:rPr>
              <w:t>itorowania wyników, analizy, oceny</w:t>
            </w:r>
            <w:r w:rsidR="00201A9A" w:rsidRPr="00201A9A">
              <w:rPr>
                <w:noProof/>
              </w:rPr>
              <w:t xml:space="preserve"> i sta</w:t>
            </w:r>
            <w:r w:rsidRPr="00201A9A">
              <w:rPr>
                <w:noProof/>
              </w:rPr>
              <w:t>tystyk, przy jednoczesnym zapewnieniu bezpieczeństwa, integralności</w:t>
            </w:r>
            <w:r w:rsidR="00201A9A" w:rsidRPr="00201A9A">
              <w:rPr>
                <w:noProof/>
              </w:rPr>
              <w:t xml:space="preserve"> i pou</w:t>
            </w:r>
            <w:r w:rsidRPr="00201A9A">
              <w:rPr>
                <w:noProof/>
              </w:rPr>
              <w:t>fności danych oraz uwierzytelnianiu wykorzystywanych danych</w:t>
            </w:r>
            <w:r w:rsidR="00201A9A" w:rsidRPr="00201A9A">
              <w:rPr>
                <w:noProof/>
              </w:rPr>
              <w:t xml:space="preserve"> i umo</w:t>
            </w:r>
            <w:r w:rsidRPr="00201A9A">
              <w:rPr>
                <w:noProof/>
              </w:rPr>
              <w:t>żliwieniu zautomatyzowanej wymiany danych</w:t>
            </w:r>
            <w:r w:rsidR="00201A9A" w:rsidRPr="00201A9A">
              <w:rPr>
                <w:noProof/>
              </w:rPr>
              <w:t xml:space="preserve"> z sys</w:t>
            </w:r>
            <w:r w:rsidRPr="00201A9A">
              <w:rPr>
                <w:noProof/>
              </w:rPr>
              <w:t xml:space="preserve">temem elektronicznym określonym przez Komisję. </w:t>
            </w:r>
          </w:p>
        </w:tc>
        <w:tc>
          <w:tcPr>
            <w:tcW w:w="2693" w:type="dxa"/>
            <w:vAlign w:val="center"/>
          </w:tcPr>
          <w:p w14:paraId="0AADBEB5" w14:textId="77777777" w:rsidR="004A489F" w:rsidRPr="00201A9A" w:rsidRDefault="004A489F">
            <w:pPr>
              <w:jc w:val="left"/>
              <w:rPr>
                <w:noProof/>
              </w:rPr>
            </w:pPr>
            <w:r w:rsidRPr="00201A9A">
              <w:rPr>
                <w:noProof/>
              </w:rPr>
              <w:t>Państwa członkowskie, Komisja Europejska</w:t>
            </w:r>
          </w:p>
        </w:tc>
        <w:tc>
          <w:tcPr>
            <w:tcW w:w="1785" w:type="dxa"/>
            <w:vAlign w:val="center"/>
          </w:tcPr>
          <w:p w14:paraId="4679D7F5" w14:textId="6A1839AC" w:rsidR="004A489F" w:rsidRPr="00201A9A" w:rsidRDefault="004A489F">
            <w:pPr>
              <w:rPr>
                <w:noProof/>
              </w:rPr>
            </w:pPr>
            <w:r w:rsidRPr="00201A9A">
              <w:rPr>
                <w:noProof/>
              </w:rPr>
              <w:t>Gromadzenie</w:t>
            </w:r>
            <w:r w:rsidR="00201A9A" w:rsidRPr="00201A9A">
              <w:rPr>
                <w:noProof/>
              </w:rPr>
              <w:t xml:space="preserve"> i rej</w:t>
            </w:r>
            <w:r w:rsidRPr="00201A9A">
              <w:rPr>
                <w:noProof/>
              </w:rPr>
              <w:t>estrowanie danych</w:t>
            </w:r>
          </w:p>
        </w:tc>
        <w:tc>
          <w:tcPr>
            <w:tcW w:w="2184" w:type="dxa"/>
            <w:vAlign w:val="center"/>
          </w:tcPr>
          <w:p w14:paraId="4B5EA04E" w14:textId="77777777" w:rsidR="004A489F" w:rsidRPr="00201A9A" w:rsidRDefault="004A489F">
            <w:pPr>
              <w:rPr>
                <w:noProof/>
              </w:rPr>
            </w:pPr>
            <w:r w:rsidRPr="00201A9A">
              <w:rPr>
                <w:noProof/>
              </w:rPr>
              <w:t>Dane</w:t>
            </w:r>
          </w:p>
        </w:tc>
      </w:tr>
      <w:tr w:rsidR="004A489F" w:rsidRPr="00201A9A" w14:paraId="010A8925" w14:textId="77777777">
        <w:trPr>
          <w:trHeight w:val="300"/>
        </w:trPr>
        <w:tc>
          <w:tcPr>
            <w:tcW w:w="2972" w:type="dxa"/>
            <w:vAlign w:val="center"/>
          </w:tcPr>
          <w:p w14:paraId="7FD43E4D" w14:textId="77777777" w:rsidR="004A489F" w:rsidRPr="00201A9A" w:rsidRDefault="004A489F">
            <w:pPr>
              <w:rPr>
                <w:noProof/>
              </w:rPr>
            </w:pPr>
            <w:r w:rsidRPr="00201A9A">
              <w:rPr>
                <w:noProof/>
              </w:rPr>
              <w:t>Art. 64 dotyczący przejrzystości</w:t>
            </w:r>
          </w:p>
        </w:tc>
        <w:tc>
          <w:tcPr>
            <w:tcW w:w="4536" w:type="dxa"/>
            <w:vAlign w:val="center"/>
          </w:tcPr>
          <w:p w14:paraId="0C671799" w14:textId="6CA62789" w:rsidR="004A489F" w:rsidRPr="00201A9A" w:rsidRDefault="004A489F">
            <w:pPr>
              <w:rPr>
                <w:noProof/>
              </w:rPr>
            </w:pPr>
            <w:r w:rsidRPr="00201A9A">
              <w:rPr>
                <w:noProof/>
              </w:rPr>
              <w:t>Państwa członkowskie zapewniają uruchomienie strony internetowej, na której dostępne są informacje na temat wsparcia udzielanego na podstawie niniejszego rozporządzenia, obejmujące cele planu, działania realizowane</w:t>
            </w:r>
            <w:r w:rsidR="00201A9A" w:rsidRPr="00201A9A">
              <w:rPr>
                <w:noProof/>
              </w:rPr>
              <w:t xml:space="preserve"> w jeg</w:t>
            </w:r>
            <w:r w:rsidRPr="00201A9A">
              <w:rPr>
                <w:noProof/>
              </w:rPr>
              <w:t>o ramach, dostępne możliwości finansowania</w:t>
            </w:r>
            <w:r w:rsidR="00201A9A" w:rsidRPr="00201A9A">
              <w:rPr>
                <w:noProof/>
              </w:rPr>
              <w:t xml:space="preserve"> i osi</w:t>
            </w:r>
            <w:r w:rsidRPr="00201A9A">
              <w:rPr>
                <w:noProof/>
              </w:rPr>
              <w:t xml:space="preserve">ągnięcia. </w:t>
            </w:r>
          </w:p>
          <w:p w14:paraId="6A00F35D" w14:textId="47F08305" w:rsidR="004A489F" w:rsidRPr="00201A9A" w:rsidRDefault="004A489F">
            <w:pPr>
              <w:rPr>
                <w:noProof/>
              </w:rPr>
            </w:pPr>
            <w:r w:rsidRPr="00201A9A">
              <w:rPr>
                <w:noProof/>
              </w:rPr>
              <w:t>Państwa członkowskie powinny również zapewnić publikację informacji,</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63, na stronie internetowej. Powinny one również zapewnić publikację na stronie internetowej elementów,</w:t>
            </w:r>
            <w:r w:rsidR="00201A9A" w:rsidRPr="00201A9A">
              <w:rPr>
                <w:noProof/>
              </w:rPr>
              <w:t xml:space="preserve"> o któ</w:t>
            </w:r>
            <w:r w:rsidRPr="00201A9A">
              <w:rPr>
                <w:noProof/>
              </w:rPr>
              <w:t>rych mowa w [rozporządzeniu</w:t>
            </w:r>
            <w:r w:rsidR="00201A9A" w:rsidRPr="00201A9A">
              <w:rPr>
                <w:noProof/>
              </w:rPr>
              <w:t xml:space="preserve"> w spr</w:t>
            </w:r>
            <w:r w:rsidRPr="00201A9A">
              <w:rPr>
                <w:noProof/>
              </w:rPr>
              <w:t>awie wykonania].</w:t>
            </w:r>
          </w:p>
        </w:tc>
        <w:tc>
          <w:tcPr>
            <w:tcW w:w="2693" w:type="dxa"/>
            <w:vAlign w:val="center"/>
          </w:tcPr>
          <w:p w14:paraId="41852C20" w14:textId="77777777" w:rsidR="004A489F" w:rsidRPr="00201A9A" w:rsidRDefault="004A489F">
            <w:pPr>
              <w:rPr>
                <w:noProof/>
              </w:rPr>
            </w:pPr>
            <w:r w:rsidRPr="00201A9A">
              <w:rPr>
                <w:noProof/>
              </w:rPr>
              <w:t>Państwa członkowskie</w:t>
            </w:r>
          </w:p>
        </w:tc>
        <w:tc>
          <w:tcPr>
            <w:tcW w:w="1785" w:type="dxa"/>
            <w:vAlign w:val="center"/>
          </w:tcPr>
          <w:p w14:paraId="2CFA8C56" w14:textId="77777777" w:rsidR="004A489F" w:rsidRPr="00201A9A" w:rsidRDefault="004A489F">
            <w:pPr>
              <w:rPr>
                <w:noProof/>
              </w:rPr>
            </w:pPr>
            <w:r w:rsidRPr="00201A9A">
              <w:rPr>
                <w:noProof/>
              </w:rPr>
              <w:t>Przejrzystość</w:t>
            </w:r>
          </w:p>
        </w:tc>
        <w:tc>
          <w:tcPr>
            <w:tcW w:w="2184" w:type="dxa"/>
            <w:vAlign w:val="center"/>
          </w:tcPr>
          <w:p w14:paraId="22E68860" w14:textId="77777777" w:rsidR="004A489F" w:rsidRPr="00201A9A" w:rsidRDefault="004A489F">
            <w:pPr>
              <w:rPr>
                <w:noProof/>
              </w:rPr>
            </w:pPr>
            <w:r w:rsidRPr="00201A9A">
              <w:rPr>
                <w:noProof/>
              </w:rPr>
              <w:t>Dane</w:t>
            </w:r>
          </w:p>
        </w:tc>
      </w:tr>
      <w:tr w:rsidR="004A489F" w:rsidRPr="00201A9A" w14:paraId="5655E158" w14:textId="77777777">
        <w:trPr>
          <w:trHeight w:val="300"/>
        </w:trPr>
        <w:tc>
          <w:tcPr>
            <w:tcW w:w="2972" w:type="dxa"/>
            <w:vAlign w:val="center"/>
          </w:tcPr>
          <w:p w14:paraId="0C3C01BF" w14:textId="77777777" w:rsidR="004A489F" w:rsidRPr="00201A9A" w:rsidRDefault="004A489F">
            <w:pPr>
              <w:rPr>
                <w:noProof/>
              </w:rPr>
            </w:pPr>
            <w:r w:rsidRPr="00201A9A">
              <w:rPr>
                <w:noProof/>
              </w:rPr>
              <w:t>Art. 64 dotyczący przejrzystości</w:t>
            </w:r>
          </w:p>
        </w:tc>
        <w:tc>
          <w:tcPr>
            <w:tcW w:w="4536" w:type="dxa"/>
            <w:vAlign w:val="center"/>
          </w:tcPr>
          <w:p w14:paraId="751BC3CB" w14:textId="76D9C4BF" w:rsidR="004A489F" w:rsidRPr="00201A9A" w:rsidRDefault="004A489F">
            <w:pPr>
              <w:rPr>
                <w:noProof/>
              </w:rPr>
            </w:pPr>
            <w:r w:rsidRPr="00201A9A">
              <w:rPr>
                <w:noProof/>
              </w:rPr>
              <w:t>Komisja Europejska publikuje dane,</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63, na scentralizowanej stronie internetowej,</w:t>
            </w:r>
            <w:r w:rsidR="00201A9A" w:rsidRPr="00201A9A">
              <w:rPr>
                <w:noProof/>
              </w:rPr>
              <w:t xml:space="preserve"> o któ</w:t>
            </w:r>
            <w:r w:rsidRPr="00201A9A">
              <w:rPr>
                <w:noProof/>
              </w:rPr>
              <w:t>rej mowa w [rozporządzeniu</w:t>
            </w:r>
            <w:r w:rsidR="00201A9A" w:rsidRPr="00201A9A">
              <w:rPr>
                <w:noProof/>
              </w:rPr>
              <w:t xml:space="preserve"> w spr</w:t>
            </w:r>
            <w:r w:rsidRPr="00201A9A">
              <w:rPr>
                <w:noProof/>
              </w:rPr>
              <w:t xml:space="preserve">awie wykonania]. </w:t>
            </w:r>
          </w:p>
        </w:tc>
        <w:tc>
          <w:tcPr>
            <w:tcW w:w="2693" w:type="dxa"/>
            <w:vAlign w:val="center"/>
          </w:tcPr>
          <w:p w14:paraId="45332C0F" w14:textId="77777777" w:rsidR="004A489F" w:rsidRPr="00201A9A" w:rsidRDefault="004A489F">
            <w:pPr>
              <w:rPr>
                <w:noProof/>
              </w:rPr>
            </w:pPr>
            <w:r w:rsidRPr="00201A9A">
              <w:rPr>
                <w:noProof/>
              </w:rPr>
              <w:t>Komisja Europejska</w:t>
            </w:r>
          </w:p>
        </w:tc>
        <w:tc>
          <w:tcPr>
            <w:tcW w:w="1785" w:type="dxa"/>
            <w:vAlign w:val="center"/>
          </w:tcPr>
          <w:p w14:paraId="572E0D7F" w14:textId="77777777" w:rsidR="004A489F" w:rsidRPr="00201A9A" w:rsidRDefault="004A489F">
            <w:pPr>
              <w:rPr>
                <w:noProof/>
              </w:rPr>
            </w:pPr>
            <w:r w:rsidRPr="00201A9A">
              <w:rPr>
                <w:noProof/>
              </w:rPr>
              <w:t>Przejrzystość</w:t>
            </w:r>
          </w:p>
        </w:tc>
        <w:tc>
          <w:tcPr>
            <w:tcW w:w="2184" w:type="dxa"/>
            <w:vAlign w:val="center"/>
          </w:tcPr>
          <w:p w14:paraId="1CC89702" w14:textId="77777777" w:rsidR="004A489F" w:rsidRPr="00201A9A" w:rsidRDefault="004A489F">
            <w:pPr>
              <w:rPr>
                <w:noProof/>
              </w:rPr>
            </w:pPr>
            <w:r w:rsidRPr="00201A9A">
              <w:rPr>
                <w:noProof/>
              </w:rPr>
              <w:t>Dane</w:t>
            </w:r>
          </w:p>
        </w:tc>
      </w:tr>
      <w:tr w:rsidR="004A489F" w:rsidRPr="00201A9A" w14:paraId="66A5985D" w14:textId="77777777">
        <w:trPr>
          <w:trHeight w:val="300"/>
        </w:trPr>
        <w:tc>
          <w:tcPr>
            <w:tcW w:w="2972" w:type="dxa"/>
            <w:vAlign w:val="center"/>
          </w:tcPr>
          <w:p w14:paraId="37B2E0F5" w14:textId="2E167386" w:rsidR="004A489F" w:rsidRPr="00201A9A" w:rsidRDefault="004A489F">
            <w:pPr>
              <w:rPr>
                <w:noProof/>
              </w:rPr>
            </w:pPr>
            <w:r w:rsidRPr="00201A9A">
              <w:rPr>
                <w:noProof/>
              </w:rPr>
              <w:t>Art. 58 dotyczący obowiązków państw członkowskich, załącznik IV dotyczący kluczowych wymogów odnoszących się do systemów zarządzania, kontroli</w:t>
            </w:r>
            <w:r w:rsidR="00201A9A" w:rsidRPr="00201A9A">
              <w:rPr>
                <w:noProof/>
              </w:rPr>
              <w:t xml:space="preserve"> i aud</w:t>
            </w:r>
            <w:r w:rsidRPr="00201A9A">
              <w:rPr>
                <w:noProof/>
              </w:rPr>
              <w:t>ytu państw członkowskich oraz załącznik XVI dotyczący SCF2027</w:t>
            </w:r>
          </w:p>
        </w:tc>
        <w:tc>
          <w:tcPr>
            <w:tcW w:w="4536" w:type="dxa"/>
            <w:vAlign w:val="center"/>
          </w:tcPr>
          <w:p w14:paraId="646CF7BC" w14:textId="0B1C5521" w:rsidR="004A489F" w:rsidRPr="00201A9A" w:rsidRDefault="004A489F">
            <w:pPr>
              <w:rPr>
                <w:noProof/>
              </w:rPr>
            </w:pPr>
            <w:r w:rsidRPr="00201A9A">
              <w:rPr>
                <w:noProof/>
              </w:rPr>
              <w:t>Państwa członkowskie zapewniają zgłaszanie</w:t>
            </w:r>
            <w:r w:rsidR="00201A9A" w:rsidRPr="00201A9A">
              <w:rPr>
                <w:noProof/>
              </w:rPr>
              <w:t xml:space="preserve"> w sys</w:t>
            </w:r>
            <w:r w:rsidRPr="00201A9A">
              <w:rPr>
                <w:noProof/>
              </w:rPr>
              <w:t>temie zarządzania nieprawidłowościami Komisji wszystkich przypadków podejrzenia nadużycia finansowego, korupcji</w:t>
            </w:r>
            <w:r w:rsidR="00201A9A" w:rsidRPr="00201A9A">
              <w:rPr>
                <w:noProof/>
              </w:rPr>
              <w:t xml:space="preserve"> i nie</w:t>
            </w:r>
            <w:r w:rsidRPr="00201A9A">
              <w:rPr>
                <w:noProof/>
              </w:rPr>
              <w:t>prawidłowości,</w:t>
            </w:r>
            <w:r w:rsidR="00201A9A" w:rsidRPr="00201A9A">
              <w:rPr>
                <w:noProof/>
              </w:rPr>
              <w:t xml:space="preserve"> w tym</w:t>
            </w:r>
            <w:r w:rsidRPr="00201A9A">
              <w:rPr>
                <w:noProof/>
              </w:rPr>
              <w:t xml:space="preserve"> konfliktu interesów, podwójnego finansowania</w:t>
            </w:r>
            <w:r w:rsidR="00201A9A" w:rsidRPr="00201A9A">
              <w:rPr>
                <w:noProof/>
              </w:rPr>
              <w:t xml:space="preserve"> i inn</w:t>
            </w:r>
            <w:r w:rsidRPr="00201A9A">
              <w:rPr>
                <w:noProof/>
              </w:rPr>
              <w:t>ych naruszeń mającego zastosowanie prawa; co roku Komisja podsumowuje</w:t>
            </w:r>
            <w:r w:rsidR="00201A9A" w:rsidRPr="00201A9A">
              <w:rPr>
                <w:noProof/>
              </w:rPr>
              <w:t xml:space="preserve"> i pub</w:t>
            </w:r>
            <w:r w:rsidRPr="00201A9A">
              <w:rPr>
                <w:noProof/>
              </w:rPr>
              <w:t>likuje te informacje oraz przekazuje je Parlamentowi Europejskiemu.</w:t>
            </w:r>
          </w:p>
          <w:p w14:paraId="4368D43E" w14:textId="5FAC2570" w:rsidR="004A489F" w:rsidRPr="00201A9A" w:rsidRDefault="004A489F">
            <w:pPr>
              <w:rPr>
                <w:noProof/>
              </w:rPr>
            </w:pPr>
            <w:r w:rsidRPr="00201A9A">
              <w:rPr>
                <w:noProof/>
              </w:rPr>
              <w:t>Państwa członkowskie zapewniają, aby wszelka oficjalna wymiana informacji</w:t>
            </w:r>
            <w:r w:rsidR="00201A9A" w:rsidRPr="00201A9A">
              <w:rPr>
                <w:noProof/>
              </w:rPr>
              <w:t xml:space="preserve"> z Kom</w:t>
            </w:r>
            <w:r w:rsidRPr="00201A9A">
              <w:rPr>
                <w:noProof/>
              </w:rPr>
              <w:t>isją odbywała się za pomocą systemu elektronicznej wymiany danych,</w:t>
            </w:r>
            <w:r w:rsidR="00201A9A" w:rsidRPr="00201A9A">
              <w:rPr>
                <w:noProof/>
              </w:rPr>
              <w:t xml:space="preserve"> o któ</w:t>
            </w:r>
            <w:r w:rsidRPr="00201A9A">
              <w:rPr>
                <w:noProof/>
              </w:rPr>
              <w:t>rym mowa</w:t>
            </w:r>
            <w:r w:rsidR="00201A9A" w:rsidRPr="00201A9A">
              <w:rPr>
                <w:noProof/>
              </w:rPr>
              <w:t xml:space="preserve"> w zał</w:t>
            </w:r>
            <w:r w:rsidRPr="00201A9A">
              <w:rPr>
                <w:noProof/>
              </w:rPr>
              <w:t>ączniku XVI [SFC2027: system elektronicznej wymiany danych między państwami członkowskimi</w:t>
            </w:r>
            <w:r w:rsidR="00201A9A" w:rsidRPr="00201A9A">
              <w:rPr>
                <w:noProof/>
              </w:rPr>
              <w:t xml:space="preserve"> a Kom</w:t>
            </w:r>
            <w:r w:rsidRPr="00201A9A">
              <w:rPr>
                <w:noProof/>
              </w:rPr>
              <w:t>isją].</w:t>
            </w:r>
          </w:p>
        </w:tc>
        <w:tc>
          <w:tcPr>
            <w:tcW w:w="2693" w:type="dxa"/>
            <w:vAlign w:val="center"/>
          </w:tcPr>
          <w:p w14:paraId="27A32C69" w14:textId="77777777" w:rsidR="004A489F" w:rsidRPr="00201A9A" w:rsidRDefault="004A489F">
            <w:pPr>
              <w:rPr>
                <w:noProof/>
              </w:rPr>
            </w:pPr>
            <w:r w:rsidRPr="00201A9A">
              <w:rPr>
                <w:noProof/>
              </w:rPr>
              <w:t>Państwa członkowskie, Komisja Europejska</w:t>
            </w:r>
          </w:p>
        </w:tc>
        <w:tc>
          <w:tcPr>
            <w:tcW w:w="1785" w:type="dxa"/>
            <w:vAlign w:val="center"/>
          </w:tcPr>
          <w:p w14:paraId="39EB8279" w14:textId="12DA7C68" w:rsidR="004A489F" w:rsidRPr="00201A9A" w:rsidRDefault="004A489F">
            <w:pPr>
              <w:rPr>
                <w:noProof/>
              </w:rPr>
            </w:pPr>
            <w:r w:rsidRPr="00201A9A">
              <w:rPr>
                <w:noProof/>
              </w:rPr>
              <w:t>Gromadzenie</w:t>
            </w:r>
            <w:r w:rsidR="00201A9A" w:rsidRPr="00201A9A">
              <w:rPr>
                <w:noProof/>
              </w:rPr>
              <w:t xml:space="preserve"> i rej</w:t>
            </w:r>
            <w:r w:rsidRPr="00201A9A">
              <w:rPr>
                <w:noProof/>
              </w:rPr>
              <w:t>estrowanie danych</w:t>
            </w:r>
          </w:p>
        </w:tc>
        <w:tc>
          <w:tcPr>
            <w:tcW w:w="2184" w:type="dxa"/>
            <w:vAlign w:val="center"/>
          </w:tcPr>
          <w:p w14:paraId="1AF93CFE" w14:textId="77777777" w:rsidR="004A489F" w:rsidRPr="00201A9A" w:rsidRDefault="004A489F">
            <w:pPr>
              <w:rPr>
                <w:noProof/>
              </w:rPr>
            </w:pPr>
            <w:r w:rsidRPr="00201A9A">
              <w:rPr>
                <w:noProof/>
              </w:rPr>
              <w:t>Dane</w:t>
            </w:r>
          </w:p>
        </w:tc>
      </w:tr>
      <w:tr w:rsidR="004A489F" w:rsidRPr="00201A9A" w14:paraId="2FDC63C2" w14:textId="77777777">
        <w:trPr>
          <w:trHeight w:val="300"/>
        </w:trPr>
        <w:tc>
          <w:tcPr>
            <w:tcW w:w="2972" w:type="dxa"/>
            <w:vAlign w:val="center"/>
          </w:tcPr>
          <w:p w14:paraId="79D31B8C" w14:textId="77777777" w:rsidR="004A489F" w:rsidRPr="00201A9A" w:rsidRDefault="004A489F">
            <w:pPr>
              <w:rPr>
                <w:noProof/>
              </w:rPr>
            </w:pPr>
            <w:r w:rsidRPr="00201A9A">
              <w:rPr>
                <w:noProof/>
              </w:rPr>
              <w:t>Art. 58 dotyczący obowiązków państw członkowskich</w:t>
            </w:r>
          </w:p>
        </w:tc>
        <w:tc>
          <w:tcPr>
            <w:tcW w:w="4536" w:type="dxa"/>
            <w:vAlign w:val="center"/>
          </w:tcPr>
          <w:p w14:paraId="32D4BC0D" w14:textId="4112B52E" w:rsidR="004A489F" w:rsidRPr="00201A9A" w:rsidRDefault="004A489F">
            <w:pPr>
              <w:rPr>
                <w:noProof/>
              </w:rPr>
            </w:pPr>
            <w:r w:rsidRPr="00201A9A">
              <w:rPr>
                <w:noProof/>
              </w:rPr>
              <w:t>Państwa członkowskie zapewniają, aby wszelka wymiana informacji między beneficjentami finansowania</w:t>
            </w:r>
            <w:r w:rsidR="00201A9A" w:rsidRPr="00201A9A">
              <w:rPr>
                <w:noProof/>
              </w:rPr>
              <w:t xml:space="preserve"> a org</w:t>
            </w:r>
            <w:r w:rsidRPr="00201A9A">
              <w:rPr>
                <w:noProof/>
              </w:rPr>
              <w:t>anami odpowiedzialnymi za plan,</w:t>
            </w:r>
            <w:r w:rsidR="00201A9A" w:rsidRPr="00201A9A">
              <w:rPr>
                <w:noProof/>
              </w:rPr>
              <w:t xml:space="preserve"> a tak</w:t>
            </w:r>
            <w:r w:rsidRPr="00201A9A">
              <w:rPr>
                <w:noProof/>
              </w:rPr>
              <w:t>że</w:t>
            </w:r>
            <w:r w:rsidR="00201A9A" w:rsidRPr="00201A9A">
              <w:rPr>
                <w:noProof/>
              </w:rPr>
              <w:t xml:space="preserve"> z Kom</w:t>
            </w:r>
            <w:r w:rsidRPr="00201A9A">
              <w:rPr>
                <w:noProof/>
              </w:rPr>
              <w:t>isją odbywała się za pomocą systemów elektronicznej wymiany danych.</w:t>
            </w:r>
          </w:p>
        </w:tc>
        <w:tc>
          <w:tcPr>
            <w:tcW w:w="2693" w:type="dxa"/>
            <w:vAlign w:val="center"/>
          </w:tcPr>
          <w:p w14:paraId="263F11AC" w14:textId="77777777" w:rsidR="004A489F" w:rsidRPr="00201A9A" w:rsidRDefault="004A489F">
            <w:pPr>
              <w:rPr>
                <w:noProof/>
              </w:rPr>
            </w:pPr>
            <w:r w:rsidRPr="00201A9A">
              <w:rPr>
                <w:noProof/>
              </w:rPr>
              <w:t>Państwa członkowskie</w:t>
            </w:r>
          </w:p>
        </w:tc>
        <w:tc>
          <w:tcPr>
            <w:tcW w:w="1785" w:type="dxa"/>
            <w:vAlign w:val="center"/>
          </w:tcPr>
          <w:p w14:paraId="5C95A9E2" w14:textId="77777777" w:rsidR="004A489F" w:rsidRPr="00201A9A" w:rsidRDefault="004A489F">
            <w:pPr>
              <w:rPr>
                <w:noProof/>
              </w:rPr>
            </w:pPr>
            <w:r w:rsidRPr="00201A9A">
              <w:rPr>
                <w:noProof/>
              </w:rPr>
              <w:t xml:space="preserve">Cyfryzacja procesu </w:t>
            </w:r>
          </w:p>
        </w:tc>
        <w:tc>
          <w:tcPr>
            <w:tcW w:w="2184" w:type="dxa"/>
            <w:vAlign w:val="center"/>
          </w:tcPr>
          <w:p w14:paraId="74A317FE" w14:textId="77777777" w:rsidR="004A489F" w:rsidRPr="00201A9A" w:rsidRDefault="004A489F">
            <w:pPr>
              <w:rPr>
                <w:noProof/>
              </w:rPr>
            </w:pPr>
            <w:r w:rsidRPr="00201A9A">
              <w:rPr>
                <w:noProof/>
              </w:rPr>
              <w:t>Dane</w:t>
            </w:r>
          </w:p>
        </w:tc>
      </w:tr>
      <w:tr w:rsidR="004A489F" w:rsidRPr="00201A9A" w14:paraId="78B5573F" w14:textId="77777777">
        <w:trPr>
          <w:trHeight w:val="300"/>
        </w:trPr>
        <w:tc>
          <w:tcPr>
            <w:tcW w:w="2972" w:type="dxa"/>
          </w:tcPr>
          <w:p w14:paraId="34EBE650" w14:textId="16875351" w:rsidR="004A489F" w:rsidRPr="00201A9A" w:rsidRDefault="004A489F">
            <w:pPr>
              <w:rPr>
                <w:noProof/>
              </w:rPr>
            </w:pPr>
            <w:r w:rsidRPr="00201A9A">
              <w:rPr>
                <w:noProof/>
              </w:rPr>
              <w:t>Załącznik XIV dotyczący działań Unii wspieranych</w:t>
            </w:r>
            <w:r w:rsidR="00201A9A" w:rsidRPr="00201A9A">
              <w:rPr>
                <w:noProof/>
              </w:rPr>
              <w:t xml:space="preserve"> w ram</w:t>
            </w:r>
            <w:r w:rsidRPr="00201A9A">
              <w:rPr>
                <w:noProof/>
              </w:rPr>
              <w:t>ach Instrumentu UE</w:t>
            </w:r>
          </w:p>
        </w:tc>
        <w:tc>
          <w:tcPr>
            <w:tcW w:w="4536" w:type="dxa"/>
          </w:tcPr>
          <w:p w14:paraId="58EF66EC" w14:textId="70B7B1CD" w:rsidR="004A489F" w:rsidRPr="00201A9A" w:rsidRDefault="004A489F">
            <w:pPr>
              <w:rPr>
                <w:noProof/>
                <w:szCs w:val="24"/>
              </w:rPr>
            </w:pPr>
            <w:r w:rsidRPr="00201A9A">
              <w:rPr>
                <w:noProof/>
                <w:color w:val="000000" w:themeColor="text1"/>
              </w:rPr>
              <w:t>Instrument wspiera wdrażanie wspólnej polityki rybołówstwa, między innymi</w:t>
            </w:r>
            <w:r w:rsidR="00201A9A" w:rsidRPr="00201A9A">
              <w:rPr>
                <w:noProof/>
                <w:color w:val="000000" w:themeColor="text1"/>
              </w:rPr>
              <w:t xml:space="preserve"> w cel</w:t>
            </w:r>
            <w:r w:rsidRPr="00201A9A">
              <w:rPr>
                <w:noProof/>
                <w:color w:val="000000" w:themeColor="text1"/>
              </w:rPr>
              <w:t>u zapewniania doradztwa naukowego, gromadzenia danych</w:t>
            </w:r>
            <w:r w:rsidR="00201A9A" w:rsidRPr="00201A9A">
              <w:rPr>
                <w:noProof/>
                <w:color w:val="000000" w:themeColor="text1"/>
              </w:rPr>
              <w:t xml:space="preserve"> i wie</w:t>
            </w:r>
            <w:r w:rsidRPr="00201A9A">
              <w:rPr>
                <w:noProof/>
                <w:color w:val="000000" w:themeColor="text1"/>
              </w:rPr>
              <w:t>dzy do celów wspierania rzetelnych</w:t>
            </w:r>
            <w:r w:rsidR="00201A9A" w:rsidRPr="00201A9A">
              <w:rPr>
                <w:noProof/>
                <w:color w:val="000000" w:themeColor="text1"/>
              </w:rPr>
              <w:t xml:space="preserve"> i sku</w:t>
            </w:r>
            <w:r w:rsidRPr="00201A9A">
              <w:rPr>
                <w:noProof/>
                <w:color w:val="000000" w:themeColor="text1"/>
              </w:rPr>
              <w:t>tecznych decyzji</w:t>
            </w:r>
            <w:r w:rsidR="00201A9A" w:rsidRPr="00201A9A">
              <w:rPr>
                <w:noProof/>
                <w:color w:val="000000" w:themeColor="text1"/>
              </w:rPr>
              <w:t xml:space="preserve"> w zak</w:t>
            </w:r>
            <w:r w:rsidRPr="00201A9A">
              <w:rPr>
                <w:noProof/>
                <w:color w:val="000000" w:themeColor="text1"/>
              </w:rPr>
              <w:t>resie zarządzania rybołówstwem; opracowanie</w:t>
            </w:r>
            <w:r w:rsidR="00201A9A" w:rsidRPr="00201A9A">
              <w:rPr>
                <w:noProof/>
                <w:color w:val="000000" w:themeColor="text1"/>
              </w:rPr>
              <w:t xml:space="preserve"> i wdr</w:t>
            </w:r>
            <w:r w:rsidRPr="00201A9A">
              <w:rPr>
                <w:noProof/>
                <w:color w:val="000000" w:themeColor="text1"/>
              </w:rPr>
              <w:t>ożenie unijnego systemu kontroli rybołówstwa, działanie na rzecz czystych</w:t>
            </w:r>
            <w:r w:rsidR="00201A9A" w:rsidRPr="00201A9A">
              <w:rPr>
                <w:noProof/>
                <w:color w:val="000000" w:themeColor="text1"/>
              </w:rPr>
              <w:t xml:space="preserve"> i zdr</w:t>
            </w:r>
            <w:r w:rsidRPr="00201A9A">
              <w:rPr>
                <w:noProof/>
                <w:color w:val="000000" w:themeColor="text1"/>
              </w:rPr>
              <w:t>owych oceanów, opracowywanie</w:t>
            </w:r>
            <w:r w:rsidR="00201A9A" w:rsidRPr="00201A9A">
              <w:rPr>
                <w:noProof/>
                <w:color w:val="000000" w:themeColor="text1"/>
              </w:rPr>
              <w:t xml:space="preserve"> i roz</w:t>
            </w:r>
            <w:r w:rsidRPr="00201A9A">
              <w:rPr>
                <w:noProof/>
                <w:color w:val="000000" w:themeColor="text1"/>
              </w:rPr>
              <w:t>powszechnianie badań rynkowych dotyczących produktów rybołówstwa</w:t>
            </w:r>
            <w:r w:rsidR="00201A9A" w:rsidRPr="00201A9A">
              <w:rPr>
                <w:noProof/>
                <w:color w:val="000000" w:themeColor="text1"/>
              </w:rPr>
              <w:t xml:space="preserve"> i akw</w:t>
            </w:r>
            <w:r w:rsidRPr="00201A9A">
              <w:rPr>
                <w:noProof/>
                <w:color w:val="000000" w:themeColor="text1"/>
              </w:rPr>
              <w:t>akultury, wspieranie ochrony na morzu</w:t>
            </w:r>
            <w:r w:rsidR="00201A9A" w:rsidRPr="00201A9A">
              <w:rPr>
                <w:noProof/>
                <w:color w:val="000000" w:themeColor="text1"/>
              </w:rPr>
              <w:t xml:space="preserve"> i nad</w:t>
            </w:r>
            <w:r w:rsidRPr="00201A9A">
              <w:rPr>
                <w:noProof/>
                <w:color w:val="000000" w:themeColor="text1"/>
              </w:rPr>
              <w:t>zoru morskiego</w:t>
            </w:r>
          </w:p>
        </w:tc>
        <w:tc>
          <w:tcPr>
            <w:tcW w:w="2693" w:type="dxa"/>
          </w:tcPr>
          <w:p w14:paraId="734C6018" w14:textId="77777777" w:rsidR="004A489F" w:rsidRPr="00201A9A" w:rsidRDefault="004A489F">
            <w:pPr>
              <w:rPr>
                <w:noProof/>
              </w:rPr>
            </w:pPr>
            <w:r w:rsidRPr="00201A9A">
              <w:rPr>
                <w:noProof/>
              </w:rPr>
              <w:t>Komisja Europejska</w:t>
            </w:r>
          </w:p>
        </w:tc>
        <w:tc>
          <w:tcPr>
            <w:tcW w:w="1785" w:type="dxa"/>
          </w:tcPr>
          <w:p w14:paraId="540F7C4B" w14:textId="7268FA7E" w:rsidR="004A489F" w:rsidRPr="00201A9A" w:rsidRDefault="004A489F">
            <w:pPr>
              <w:rPr>
                <w:noProof/>
              </w:rPr>
            </w:pPr>
            <w:r w:rsidRPr="00201A9A">
              <w:rPr>
                <w:noProof/>
              </w:rPr>
              <w:t>Gromadzenie</w:t>
            </w:r>
            <w:r w:rsidR="00201A9A" w:rsidRPr="00201A9A">
              <w:rPr>
                <w:noProof/>
              </w:rPr>
              <w:t xml:space="preserve"> i rej</w:t>
            </w:r>
            <w:r w:rsidRPr="00201A9A">
              <w:rPr>
                <w:noProof/>
              </w:rPr>
              <w:t>estrowanie danych</w:t>
            </w:r>
          </w:p>
        </w:tc>
        <w:tc>
          <w:tcPr>
            <w:tcW w:w="2184" w:type="dxa"/>
          </w:tcPr>
          <w:p w14:paraId="71202195" w14:textId="1743DD81" w:rsidR="004A489F" w:rsidRPr="00201A9A" w:rsidRDefault="004A489F">
            <w:pPr>
              <w:rPr>
                <w:noProof/>
              </w:rPr>
            </w:pPr>
            <w:r w:rsidRPr="00201A9A">
              <w:rPr>
                <w:noProof/>
              </w:rPr>
              <w:t>Rozwiązania cyfrowe</w:t>
            </w:r>
            <w:r w:rsidR="00201A9A" w:rsidRPr="00201A9A">
              <w:rPr>
                <w:noProof/>
              </w:rPr>
              <w:t xml:space="preserve"> w zak</w:t>
            </w:r>
            <w:r w:rsidRPr="00201A9A">
              <w:rPr>
                <w:noProof/>
              </w:rPr>
              <w:t>resie danych</w:t>
            </w:r>
          </w:p>
        </w:tc>
      </w:tr>
    </w:tbl>
    <w:p w14:paraId="5FE1117B" w14:textId="77777777" w:rsidR="004A489F" w:rsidRPr="00201A9A" w:rsidRDefault="004A489F" w:rsidP="004A489F">
      <w:pPr>
        <w:pStyle w:val="Text1"/>
        <w:ind w:left="0"/>
        <w:rPr>
          <w:rFonts w:eastAsia="Times New Roman"/>
          <w:noProof/>
          <w:szCs w:val="20"/>
          <w:lang w:eastAsia="en-IE"/>
        </w:rPr>
      </w:pPr>
    </w:p>
    <w:p w14:paraId="586896CA" w14:textId="77777777" w:rsidR="004A489F" w:rsidRPr="00201A9A" w:rsidRDefault="004A489F" w:rsidP="004A489F">
      <w:pPr>
        <w:pStyle w:val="ManualHeading2"/>
        <w:ind w:left="0" w:firstLine="0"/>
        <w:rPr>
          <w:rFonts w:eastAsia="Times New Roman"/>
          <w:noProof/>
        </w:rPr>
      </w:pPr>
      <w:r w:rsidRPr="00201A9A">
        <w:rPr>
          <w:noProof/>
        </w:rPr>
        <w:t>4.2. Dane</w:t>
      </w:r>
    </w:p>
    <w:p w14:paraId="3F6DADEE" w14:textId="77777777" w:rsidR="004A489F" w:rsidRPr="00201A9A" w:rsidRDefault="004A489F" w:rsidP="004A489F">
      <w:pPr>
        <w:rPr>
          <w:i/>
          <w:noProof/>
        </w:rPr>
      </w:pPr>
      <w:r w:rsidRPr="00201A9A">
        <w:rPr>
          <w:i/>
          <w:noProof/>
        </w:rPr>
        <w:t>Ogólny opis danych objętych zakresem</w:t>
      </w:r>
    </w:p>
    <w:tbl>
      <w:tblPr>
        <w:tblStyle w:val="TableGrid"/>
        <w:tblW w:w="14250" w:type="dxa"/>
        <w:tblLook w:val="04A0" w:firstRow="1" w:lastRow="0" w:firstColumn="1" w:lastColumn="0" w:noHBand="0" w:noVBand="1"/>
      </w:tblPr>
      <w:tblGrid>
        <w:gridCol w:w="5240"/>
        <w:gridCol w:w="3686"/>
        <w:gridCol w:w="5324"/>
      </w:tblGrid>
      <w:tr w:rsidR="004A489F" w:rsidRPr="00201A9A" w14:paraId="64CF3484" w14:textId="77777777">
        <w:tc>
          <w:tcPr>
            <w:tcW w:w="5240" w:type="dxa"/>
          </w:tcPr>
          <w:p w14:paraId="6DB66889" w14:textId="77777777" w:rsidR="004A489F" w:rsidRPr="00201A9A" w:rsidRDefault="004A489F">
            <w:pPr>
              <w:jc w:val="left"/>
              <w:rPr>
                <w:b/>
                <w:noProof/>
              </w:rPr>
            </w:pPr>
            <w:r w:rsidRPr="00201A9A">
              <w:rPr>
                <w:b/>
                <w:noProof/>
              </w:rPr>
              <w:t xml:space="preserve">Rodzaj danych </w:t>
            </w:r>
          </w:p>
        </w:tc>
        <w:tc>
          <w:tcPr>
            <w:tcW w:w="3686" w:type="dxa"/>
          </w:tcPr>
          <w:p w14:paraId="09D55140" w14:textId="77777777" w:rsidR="004A489F" w:rsidRPr="00201A9A" w:rsidRDefault="004A489F">
            <w:pPr>
              <w:jc w:val="left"/>
              <w:rPr>
                <w:b/>
                <w:noProof/>
              </w:rPr>
            </w:pPr>
            <w:r w:rsidRPr="00201A9A">
              <w:rPr>
                <w:b/>
                <w:noProof/>
              </w:rPr>
              <w:t>Odniesienie do wymogu/wymogów</w:t>
            </w:r>
          </w:p>
        </w:tc>
        <w:tc>
          <w:tcPr>
            <w:tcW w:w="5324" w:type="dxa"/>
          </w:tcPr>
          <w:p w14:paraId="579AB2EE" w14:textId="77777777" w:rsidR="004A489F" w:rsidRPr="00201A9A" w:rsidRDefault="004A489F">
            <w:pPr>
              <w:jc w:val="left"/>
              <w:rPr>
                <w:b/>
                <w:noProof/>
              </w:rPr>
            </w:pPr>
            <w:r w:rsidRPr="00201A9A">
              <w:rPr>
                <w:b/>
                <w:noProof/>
              </w:rPr>
              <w:t>Normy lub specyfikacje (stosownie do przypadku)</w:t>
            </w:r>
          </w:p>
        </w:tc>
      </w:tr>
      <w:tr w:rsidR="004A489F" w:rsidRPr="00201A9A" w14:paraId="175FEA31" w14:textId="77777777">
        <w:tc>
          <w:tcPr>
            <w:tcW w:w="5240" w:type="dxa"/>
          </w:tcPr>
          <w:p w14:paraId="7C1EA6E8" w14:textId="74F44796" w:rsidR="004A489F" w:rsidRPr="00201A9A" w:rsidRDefault="004A489F">
            <w:pPr>
              <w:jc w:val="left"/>
              <w:rPr>
                <w:noProof/>
                <w:szCs w:val="24"/>
              </w:rPr>
            </w:pPr>
            <w:r w:rsidRPr="00201A9A">
              <w:rPr>
                <w:noProof/>
              </w:rPr>
              <w:t>Dane dotyczące (i) beneficjenta, (ii) odbiorcy</w:t>
            </w:r>
            <w:r w:rsidR="00201A9A" w:rsidRPr="00201A9A">
              <w:rPr>
                <w:noProof/>
              </w:rPr>
              <w:t xml:space="preserve"> i odb</w:t>
            </w:r>
            <w:r w:rsidRPr="00201A9A">
              <w:rPr>
                <w:noProof/>
              </w:rPr>
              <w:t>iorcy końcowego, (iii) wykonawcy, (iv) podwykonawcy, (v) operacji, (vi) rozwoju lokalnego kierowanego przez społeczność</w:t>
            </w:r>
            <w:r w:rsidR="00201A9A" w:rsidRPr="00201A9A">
              <w:rPr>
                <w:noProof/>
              </w:rPr>
              <w:t xml:space="preserve"> w odn</w:t>
            </w:r>
            <w:r w:rsidRPr="00201A9A">
              <w:rPr>
                <w:noProof/>
              </w:rPr>
              <w:t>iesieniu do każdej lokalnej grupy działania, (vii) każdej grupy operacyjnej EPI-AGRI</w:t>
            </w:r>
          </w:p>
        </w:tc>
        <w:tc>
          <w:tcPr>
            <w:tcW w:w="3686" w:type="dxa"/>
          </w:tcPr>
          <w:p w14:paraId="3EF61542" w14:textId="518221A6" w:rsidR="004A489F" w:rsidRPr="00201A9A" w:rsidRDefault="004A489F">
            <w:pPr>
              <w:jc w:val="left"/>
              <w:rPr>
                <w:noProof/>
                <w:szCs w:val="24"/>
              </w:rPr>
            </w:pPr>
            <w:r w:rsidRPr="00201A9A">
              <w:rPr>
                <w:noProof/>
              </w:rPr>
              <w:t>Art. 63 dotyczący gromadzenia</w:t>
            </w:r>
            <w:r w:rsidR="00201A9A" w:rsidRPr="00201A9A">
              <w:rPr>
                <w:noProof/>
              </w:rPr>
              <w:t xml:space="preserve"> i rej</w:t>
            </w:r>
            <w:r w:rsidRPr="00201A9A">
              <w:rPr>
                <w:noProof/>
              </w:rPr>
              <w:t>estrowania danych</w:t>
            </w:r>
          </w:p>
        </w:tc>
        <w:tc>
          <w:tcPr>
            <w:tcW w:w="5324" w:type="dxa"/>
          </w:tcPr>
          <w:p w14:paraId="019A4BF0" w14:textId="0099C2D6" w:rsidR="004A489F" w:rsidRPr="00201A9A" w:rsidRDefault="004A489F">
            <w:pPr>
              <w:jc w:val="left"/>
              <w:rPr>
                <w:noProof/>
                <w:szCs w:val="24"/>
              </w:rPr>
            </w:pPr>
            <w:r w:rsidRPr="00201A9A">
              <w:rPr>
                <w:noProof/>
              </w:rPr>
              <w:t>Komisja publikuje te dane,</w:t>
            </w:r>
            <w:r w:rsidR="00201A9A" w:rsidRPr="00201A9A">
              <w:rPr>
                <w:noProof/>
              </w:rPr>
              <w:t xml:space="preserve"> z zas</w:t>
            </w:r>
            <w:r w:rsidRPr="00201A9A">
              <w:rPr>
                <w:noProof/>
              </w:rPr>
              <w:t>trzeżeniem wyjątków przewidzianych</w:t>
            </w:r>
            <w:r w:rsidR="00201A9A" w:rsidRPr="00201A9A">
              <w:rPr>
                <w:noProof/>
              </w:rPr>
              <w:t xml:space="preserve"> w roz</w:t>
            </w:r>
            <w:r w:rsidRPr="00201A9A">
              <w:rPr>
                <w:noProof/>
              </w:rPr>
              <w:t>porządzeniu, na scentralizowanej stronie internetowej</w:t>
            </w:r>
            <w:r w:rsidR="00201A9A" w:rsidRPr="00201A9A">
              <w:rPr>
                <w:noProof/>
              </w:rPr>
              <w:t xml:space="preserve"> z udz</w:t>
            </w:r>
            <w:r w:rsidRPr="00201A9A">
              <w:rPr>
                <w:noProof/>
              </w:rPr>
              <w:t>iałem wkładu Unii,</w:t>
            </w:r>
            <w:r w:rsidR="00201A9A" w:rsidRPr="00201A9A">
              <w:rPr>
                <w:noProof/>
              </w:rPr>
              <w:t xml:space="preserve"> o któ</w:t>
            </w:r>
            <w:r w:rsidRPr="00201A9A">
              <w:rPr>
                <w:noProof/>
              </w:rPr>
              <w:t>rej mowa w [rozporządzeniu</w:t>
            </w:r>
            <w:r w:rsidR="00201A9A" w:rsidRPr="00201A9A">
              <w:rPr>
                <w:noProof/>
              </w:rPr>
              <w:t xml:space="preserve"> w spr</w:t>
            </w:r>
            <w:r w:rsidRPr="00201A9A">
              <w:rPr>
                <w:noProof/>
              </w:rPr>
              <w:t>awie wykonania]. Nie są publikowane informacje dotyczące imienia</w:t>
            </w:r>
            <w:r w:rsidR="00201A9A" w:rsidRPr="00201A9A">
              <w:rPr>
                <w:noProof/>
              </w:rPr>
              <w:t xml:space="preserve"> i naz</w:t>
            </w:r>
            <w:r w:rsidRPr="00201A9A">
              <w:rPr>
                <w:noProof/>
              </w:rPr>
              <w:t>wiska</w:t>
            </w:r>
            <w:r w:rsidR="00201A9A" w:rsidRPr="00201A9A">
              <w:rPr>
                <w:noProof/>
              </w:rPr>
              <w:t xml:space="preserve"> w prz</w:t>
            </w:r>
            <w:r w:rsidRPr="00201A9A">
              <w:rPr>
                <w:noProof/>
              </w:rPr>
              <w:t>ypadku osoby fizycznej lub nazwy</w:t>
            </w:r>
            <w:r w:rsidR="00201A9A" w:rsidRPr="00201A9A">
              <w:rPr>
                <w:noProof/>
              </w:rPr>
              <w:t xml:space="preserve"> w prz</w:t>
            </w:r>
            <w:r w:rsidRPr="00201A9A">
              <w:rPr>
                <w:noProof/>
              </w:rPr>
              <w:t>ypadku podmiotu prawnego, jeżeli kwota otrzymana przez nie</w:t>
            </w:r>
            <w:r w:rsidR="00201A9A" w:rsidRPr="00201A9A">
              <w:rPr>
                <w:noProof/>
              </w:rPr>
              <w:t xml:space="preserve"> w cią</w:t>
            </w:r>
            <w:r w:rsidRPr="00201A9A">
              <w:rPr>
                <w:noProof/>
              </w:rPr>
              <w:t>gu jednego roku nie przekracza 2 500 EUR.</w:t>
            </w:r>
          </w:p>
        </w:tc>
      </w:tr>
      <w:tr w:rsidR="004A489F" w:rsidRPr="00201A9A" w14:paraId="33E6872E" w14:textId="77777777">
        <w:tc>
          <w:tcPr>
            <w:tcW w:w="5240" w:type="dxa"/>
          </w:tcPr>
          <w:p w14:paraId="55A80F86" w14:textId="37BDFD9B" w:rsidR="004A489F" w:rsidRPr="00201A9A" w:rsidRDefault="004A489F">
            <w:pPr>
              <w:rPr>
                <w:noProof/>
                <w:szCs w:val="24"/>
              </w:rPr>
            </w:pPr>
            <w:r w:rsidRPr="00201A9A">
              <w:rPr>
                <w:noProof/>
              </w:rPr>
              <w:t>Informacje na temat celów planu państwa członkowskiego, działań realizowanych</w:t>
            </w:r>
            <w:r w:rsidR="00201A9A" w:rsidRPr="00201A9A">
              <w:rPr>
                <w:noProof/>
              </w:rPr>
              <w:t xml:space="preserve"> w jeg</w:t>
            </w:r>
            <w:r w:rsidRPr="00201A9A">
              <w:rPr>
                <w:noProof/>
              </w:rPr>
              <w:t>o ramach, dostępnego finansowania</w:t>
            </w:r>
            <w:r w:rsidR="00201A9A" w:rsidRPr="00201A9A">
              <w:rPr>
                <w:noProof/>
              </w:rPr>
              <w:t xml:space="preserve"> i moż</w:t>
            </w:r>
            <w:r w:rsidRPr="00201A9A">
              <w:rPr>
                <w:noProof/>
              </w:rPr>
              <w:t xml:space="preserve">liwości. </w:t>
            </w:r>
          </w:p>
          <w:p w14:paraId="2B687617" w14:textId="1EB2A317" w:rsidR="004A489F" w:rsidRPr="00201A9A" w:rsidRDefault="004A489F">
            <w:pPr>
              <w:rPr>
                <w:noProof/>
                <w:szCs w:val="24"/>
              </w:rPr>
            </w:pPr>
            <w:r w:rsidRPr="00201A9A">
              <w:rPr>
                <w:noProof/>
              </w:rPr>
              <w:t>Dane dotyczące (i) beneficjenta, (ii) odbiorcy</w:t>
            </w:r>
            <w:r w:rsidR="00201A9A" w:rsidRPr="00201A9A">
              <w:rPr>
                <w:noProof/>
              </w:rPr>
              <w:t xml:space="preserve"> i odb</w:t>
            </w:r>
            <w:r w:rsidRPr="00201A9A">
              <w:rPr>
                <w:noProof/>
              </w:rPr>
              <w:t>iorcy końcowego, (iii) wykonawcy, (iv) podwykonawcy, (v) operacji, (vi) rozwoju lokalnego kierowanego przez społeczność</w:t>
            </w:r>
            <w:r w:rsidR="00201A9A" w:rsidRPr="00201A9A">
              <w:rPr>
                <w:noProof/>
              </w:rPr>
              <w:t xml:space="preserve"> w odn</w:t>
            </w:r>
            <w:r w:rsidRPr="00201A9A">
              <w:rPr>
                <w:noProof/>
              </w:rPr>
              <w:t>iesieniu do każdej lokalnej grupy działania, (vii) każdej grupy operacyjnej EPI-AGRI</w:t>
            </w:r>
          </w:p>
          <w:p w14:paraId="61870973" w14:textId="5F334E8F" w:rsidR="004A489F" w:rsidRPr="00201A9A" w:rsidRDefault="004A489F">
            <w:pPr>
              <w:rPr>
                <w:noProof/>
                <w:szCs w:val="24"/>
              </w:rPr>
            </w:pPr>
            <w:r w:rsidRPr="00201A9A">
              <w:rPr>
                <w:noProof/>
              </w:rPr>
              <w:t>Informacje związane</w:t>
            </w:r>
            <w:r w:rsidR="00201A9A" w:rsidRPr="00201A9A">
              <w:rPr>
                <w:noProof/>
              </w:rPr>
              <w:t xml:space="preserve"> z odp</w:t>
            </w:r>
            <w:r w:rsidRPr="00201A9A">
              <w:rPr>
                <w:noProof/>
              </w:rPr>
              <w:t>owiednimi elementami,</w:t>
            </w:r>
            <w:r w:rsidR="00201A9A" w:rsidRPr="00201A9A">
              <w:rPr>
                <w:noProof/>
              </w:rPr>
              <w:t xml:space="preserve"> o któ</w:t>
            </w:r>
            <w:r w:rsidRPr="00201A9A">
              <w:rPr>
                <w:noProof/>
              </w:rPr>
              <w:t>rych mowa</w:t>
            </w:r>
            <w:r w:rsidR="00201A9A" w:rsidRPr="00201A9A">
              <w:rPr>
                <w:noProof/>
              </w:rPr>
              <w:t xml:space="preserve"> w roz</w:t>
            </w:r>
            <w:r w:rsidRPr="00201A9A">
              <w:rPr>
                <w:noProof/>
              </w:rPr>
              <w:t>porządzeniu</w:t>
            </w:r>
            <w:r w:rsidR="00201A9A" w:rsidRPr="00201A9A">
              <w:rPr>
                <w:noProof/>
              </w:rPr>
              <w:t xml:space="preserve"> w spr</w:t>
            </w:r>
            <w:r w:rsidRPr="00201A9A">
              <w:rPr>
                <w:noProof/>
              </w:rPr>
              <w:t>awie wykonania,</w:t>
            </w:r>
            <w:r w:rsidR="00201A9A" w:rsidRPr="00201A9A">
              <w:rPr>
                <w:noProof/>
              </w:rPr>
              <w:t xml:space="preserve"> w odn</w:t>
            </w:r>
            <w:r w:rsidRPr="00201A9A">
              <w:rPr>
                <w:noProof/>
              </w:rPr>
              <w:t>iesieniu do zaproszeń do składania wniosków</w:t>
            </w:r>
            <w:r w:rsidR="00201A9A" w:rsidRPr="00201A9A">
              <w:rPr>
                <w:noProof/>
              </w:rPr>
              <w:t xml:space="preserve"> i ofe</w:t>
            </w:r>
            <w:r w:rsidRPr="00201A9A">
              <w:rPr>
                <w:noProof/>
              </w:rPr>
              <w:t>rt</w:t>
            </w:r>
            <w:r w:rsidR="00201A9A" w:rsidRPr="00201A9A">
              <w:rPr>
                <w:noProof/>
              </w:rPr>
              <w:t xml:space="preserve"> w ram</w:t>
            </w:r>
            <w:r w:rsidRPr="00201A9A">
              <w:rPr>
                <w:noProof/>
              </w:rPr>
              <w:t>ach Funduszu</w:t>
            </w:r>
          </w:p>
          <w:p w14:paraId="14826A5B" w14:textId="61186CB6" w:rsidR="004A489F" w:rsidRPr="00201A9A" w:rsidRDefault="004A489F">
            <w:pPr>
              <w:rPr>
                <w:noProof/>
                <w:szCs w:val="24"/>
              </w:rPr>
            </w:pPr>
            <w:r w:rsidRPr="00201A9A">
              <w:rPr>
                <w:noProof/>
              </w:rPr>
              <w:t>Harmonogram planowanych zaproszeń do składania wniosków</w:t>
            </w:r>
            <w:r w:rsidR="00201A9A" w:rsidRPr="00201A9A">
              <w:rPr>
                <w:noProof/>
              </w:rPr>
              <w:t xml:space="preserve"> w ram</w:t>
            </w:r>
            <w:r w:rsidRPr="00201A9A">
              <w:rPr>
                <w:noProof/>
              </w:rPr>
              <w:t xml:space="preserve">ach Funduszu </w:t>
            </w:r>
          </w:p>
        </w:tc>
        <w:tc>
          <w:tcPr>
            <w:tcW w:w="3686" w:type="dxa"/>
          </w:tcPr>
          <w:p w14:paraId="6A36D5E9" w14:textId="77777777" w:rsidR="004A489F" w:rsidRPr="00201A9A" w:rsidRDefault="004A489F">
            <w:pPr>
              <w:jc w:val="left"/>
              <w:rPr>
                <w:noProof/>
                <w:szCs w:val="24"/>
              </w:rPr>
            </w:pPr>
            <w:r w:rsidRPr="00201A9A">
              <w:rPr>
                <w:noProof/>
              </w:rPr>
              <w:t>Art. 64 dotyczący przejrzystości</w:t>
            </w:r>
          </w:p>
        </w:tc>
        <w:tc>
          <w:tcPr>
            <w:tcW w:w="5324" w:type="dxa"/>
          </w:tcPr>
          <w:p w14:paraId="54B935F8" w14:textId="65887819" w:rsidR="004A489F" w:rsidRPr="00201A9A" w:rsidRDefault="004A489F">
            <w:pPr>
              <w:jc w:val="left"/>
              <w:rPr>
                <w:noProof/>
                <w:szCs w:val="24"/>
              </w:rPr>
            </w:pPr>
            <w:r w:rsidRPr="00201A9A">
              <w:rPr>
                <w:noProof/>
              </w:rPr>
              <w:t>Dane te powinny być sporządzone w co najmniej jednym języku urzędowym państwa członkowskiego lub</w:t>
            </w:r>
            <w:r w:rsidR="00201A9A" w:rsidRPr="00201A9A">
              <w:rPr>
                <w:noProof/>
              </w:rPr>
              <w:t xml:space="preserve"> w jęz</w:t>
            </w:r>
            <w:r w:rsidRPr="00201A9A">
              <w:rPr>
                <w:noProof/>
              </w:rPr>
              <w:t>yku angielskim, francuskim lub niemieckim</w:t>
            </w:r>
            <w:r w:rsidR="00201A9A" w:rsidRPr="00201A9A">
              <w:rPr>
                <w:noProof/>
              </w:rPr>
              <w:t xml:space="preserve"> i mus</w:t>
            </w:r>
            <w:r w:rsidRPr="00201A9A">
              <w:rPr>
                <w:noProof/>
              </w:rPr>
              <w:t>zą być dostępne na stronie internetowej przez okres dwóch lat od daty ich pierwszej publikacji. Dane publikowane na stronie internetowej muszą mieć format dostosowany do technologii cyfrowych, otwarty, interoperacyjny</w:t>
            </w:r>
            <w:r w:rsidR="00201A9A" w:rsidRPr="00201A9A">
              <w:rPr>
                <w:noProof/>
              </w:rPr>
              <w:t xml:space="preserve"> i nad</w:t>
            </w:r>
            <w:r w:rsidRPr="00201A9A">
              <w:rPr>
                <w:noProof/>
              </w:rPr>
              <w:t>ający się do odczytu maszynowego, który umożliwia sortowanie, wyszukiwanie, wyodrębnianie, porównywanie</w:t>
            </w:r>
            <w:r w:rsidR="00201A9A" w:rsidRPr="00201A9A">
              <w:rPr>
                <w:noProof/>
              </w:rPr>
              <w:t xml:space="preserve"> i pon</w:t>
            </w:r>
            <w:r w:rsidRPr="00201A9A">
              <w:rPr>
                <w:noProof/>
              </w:rPr>
              <w:t>owne wykorzystanie danych.</w:t>
            </w:r>
          </w:p>
          <w:p w14:paraId="60583B44" w14:textId="510826A0" w:rsidR="004A489F" w:rsidRPr="00201A9A" w:rsidRDefault="004A489F">
            <w:pPr>
              <w:jc w:val="left"/>
              <w:rPr>
                <w:noProof/>
                <w:szCs w:val="24"/>
              </w:rPr>
            </w:pPr>
            <w:r w:rsidRPr="00201A9A">
              <w:rPr>
                <w:noProof/>
              </w:rPr>
              <w:t>Informacje te są aktualizowane co najmniej co sześć miesięcy. Informacje dotyczące zaproszeń do składania wniosków są aktualizowane co najmniej dwa razy</w:t>
            </w:r>
            <w:r w:rsidR="00201A9A" w:rsidRPr="00201A9A">
              <w:rPr>
                <w:noProof/>
              </w:rPr>
              <w:t xml:space="preserve"> w rok</w:t>
            </w:r>
            <w:r w:rsidRPr="00201A9A">
              <w:rPr>
                <w:noProof/>
              </w:rPr>
              <w:t xml:space="preserve">u. </w:t>
            </w:r>
          </w:p>
        </w:tc>
      </w:tr>
      <w:tr w:rsidR="004A489F" w:rsidRPr="00201A9A" w14:paraId="6F9D9355" w14:textId="77777777">
        <w:tc>
          <w:tcPr>
            <w:tcW w:w="5240" w:type="dxa"/>
          </w:tcPr>
          <w:p w14:paraId="2DDCC3A2" w14:textId="22665D5E" w:rsidR="004A489F" w:rsidRPr="00201A9A" w:rsidRDefault="004A489F">
            <w:pPr>
              <w:rPr>
                <w:noProof/>
                <w:szCs w:val="24"/>
              </w:rPr>
            </w:pPr>
            <w:r w:rsidRPr="00201A9A">
              <w:rPr>
                <w:noProof/>
              </w:rPr>
              <w:t>Dane na potrzeby monitorowania, sprawozdawczości</w:t>
            </w:r>
            <w:r w:rsidR="00201A9A" w:rsidRPr="00201A9A">
              <w:rPr>
                <w:noProof/>
              </w:rPr>
              <w:t xml:space="preserve"> z pos</w:t>
            </w:r>
            <w:r w:rsidRPr="00201A9A">
              <w:rPr>
                <w:noProof/>
              </w:rPr>
              <w:t>tępów, oceny oraz weryfikacji</w:t>
            </w:r>
            <w:r w:rsidR="00201A9A" w:rsidRPr="00201A9A">
              <w:rPr>
                <w:noProof/>
              </w:rPr>
              <w:t xml:space="preserve"> i aud</w:t>
            </w:r>
            <w:r w:rsidRPr="00201A9A">
              <w:rPr>
                <w:noProof/>
              </w:rPr>
              <w:t>ytów zarządzania finansowego</w:t>
            </w:r>
          </w:p>
        </w:tc>
        <w:tc>
          <w:tcPr>
            <w:tcW w:w="3686" w:type="dxa"/>
          </w:tcPr>
          <w:p w14:paraId="0949E21D" w14:textId="73E6090E" w:rsidR="004A489F" w:rsidRPr="00201A9A" w:rsidRDefault="004A489F">
            <w:pPr>
              <w:jc w:val="left"/>
              <w:rPr>
                <w:noProof/>
                <w:szCs w:val="24"/>
              </w:rPr>
            </w:pPr>
            <w:r w:rsidRPr="00201A9A">
              <w:rPr>
                <w:noProof/>
              </w:rPr>
              <w:t>Art. 58 dotyczący obowiązków państw członkowskich</w:t>
            </w:r>
            <w:r w:rsidR="00201A9A" w:rsidRPr="00201A9A">
              <w:rPr>
                <w:noProof/>
              </w:rPr>
              <w:t xml:space="preserve"> i zał</w:t>
            </w:r>
            <w:r w:rsidRPr="00201A9A">
              <w:rPr>
                <w:noProof/>
              </w:rPr>
              <w:t>ącznik XVI dotyczący SCF2027</w:t>
            </w:r>
          </w:p>
        </w:tc>
        <w:tc>
          <w:tcPr>
            <w:tcW w:w="5324" w:type="dxa"/>
          </w:tcPr>
          <w:p w14:paraId="72743837" w14:textId="0DE653A3" w:rsidR="004A489F" w:rsidRPr="00201A9A" w:rsidRDefault="004A489F">
            <w:pPr>
              <w:jc w:val="left"/>
              <w:rPr>
                <w:noProof/>
                <w:szCs w:val="24"/>
              </w:rPr>
            </w:pPr>
            <w:r w:rsidRPr="00201A9A">
              <w:rPr>
                <w:noProof/>
              </w:rPr>
              <w:t>Państwa członkowskie posiadają systemy</w:t>
            </w:r>
            <w:r w:rsidR="00201A9A" w:rsidRPr="00201A9A">
              <w:rPr>
                <w:noProof/>
              </w:rPr>
              <w:t xml:space="preserve"> i pro</w:t>
            </w:r>
            <w:r w:rsidRPr="00201A9A">
              <w:rPr>
                <w:noProof/>
              </w:rPr>
              <w:t>cedury zapewniające, aby wszystkie dokumenty potwierdzające niezbędne dla ścieżki audytu związanej ze środkiem wspieranym</w:t>
            </w:r>
            <w:r w:rsidR="00201A9A" w:rsidRPr="00201A9A">
              <w:rPr>
                <w:noProof/>
              </w:rPr>
              <w:t xml:space="preserve"> z Fun</w:t>
            </w:r>
            <w:r w:rsidRPr="00201A9A">
              <w:rPr>
                <w:noProof/>
              </w:rPr>
              <w:t>duszu były przechowywane na odpowiednim szczeblu przez okres 10 lat od dnia 31 grudnia roku,</w:t>
            </w:r>
            <w:r w:rsidR="00201A9A" w:rsidRPr="00201A9A">
              <w:rPr>
                <w:noProof/>
              </w:rPr>
              <w:t xml:space="preserve"> w któ</w:t>
            </w:r>
            <w:r w:rsidRPr="00201A9A">
              <w:rPr>
                <w:noProof/>
              </w:rPr>
              <w:t>rym Komisja dokonała ostatniej płatności na rzecz państwa członkowskiego;</w:t>
            </w:r>
            <w:r w:rsidR="00201A9A" w:rsidRPr="00201A9A">
              <w:rPr>
                <w:noProof/>
              </w:rPr>
              <w:t xml:space="preserve"> w prz</w:t>
            </w:r>
            <w:r w:rsidRPr="00201A9A">
              <w:rPr>
                <w:noProof/>
              </w:rPr>
              <w:t>ypadku wszczęcia procedury odwoławczej, wniesienia odwołania lub wszczęcia postępowania sądowego dokumenty potwierdzające przechowuje się do czasu zakończenia tych procedur lub wszelkich późniejszych procedur odzyskiwania środków;</w:t>
            </w:r>
          </w:p>
        </w:tc>
      </w:tr>
      <w:tr w:rsidR="004A489F" w:rsidRPr="00201A9A" w14:paraId="627B9624" w14:textId="77777777">
        <w:tc>
          <w:tcPr>
            <w:tcW w:w="5240" w:type="dxa"/>
          </w:tcPr>
          <w:p w14:paraId="0B2A1FBD" w14:textId="77777777" w:rsidR="004A489F" w:rsidRPr="00201A9A" w:rsidRDefault="004A489F">
            <w:pPr>
              <w:rPr>
                <w:noProof/>
                <w:szCs w:val="24"/>
              </w:rPr>
            </w:pPr>
            <w:r w:rsidRPr="00201A9A">
              <w:rPr>
                <w:noProof/>
              </w:rPr>
              <w:t>System elektronicznej wymiany danych</w:t>
            </w:r>
          </w:p>
        </w:tc>
        <w:tc>
          <w:tcPr>
            <w:tcW w:w="3686" w:type="dxa"/>
          </w:tcPr>
          <w:p w14:paraId="6A1052E0" w14:textId="77777777" w:rsidR="004A489F" w:rsidRPr="00201A9A" w:rsidRDefault="004A489F">
            <w:pPr>
              <w:jc w:val="left"/>
              <w:rPr>
                <w:noProof/>
                <w:szCs w:val="24"/>
              </w:rPr>
            </w:pPr>
            <w:r w:rsidRPr="00201A9A">
              <w:rPr>
                <w:noProof/>
              </w:rPr>
              <w:t>Art. 58 dotyczący obowiązków państw członkowskich</w:t>
            </w:r>
          </w:p>
        </w:tc>
        <w:tc>
          <w:tcPr>
            <w:tcW w:w="5324" w:type="dxa"/>
          </w:tcPr>
          <w:p w14:paraId="0F484494" w14:textId="5DA8CECF" w:rsidR="004A489F" w:rsidRPr="00201A9A" w:rsidRDefault="004A489F">
            <w:pPr>
              <w:jc w:val="left"/>
              <w:rPr>
                <w:noProof/>
                <w:szCs w:val="24"/>
              </w:rPr>
            </w:pPr>
            <w:r w:rsidRPr="00201A9A">
              <w:rPr>
                <w:noProof/>
              </w:rPr>
              <w:t>Systemy te obejmują między innymi stosowanie automatycznych</w:t>
            </w:r>
            <w:r w:rsidR="00201A9A" w:rsidRPr="00201A9A">
              <w:rPr>
                <w:noProof/>
              </w:rPr>
              <w:t xml:space="preserve"> i int</w:t>
            </w:r>
            <w:r w:rsidRPr="00201A9A">
              <w:rPr>
                <w:noProof/>
              </w:rPr>
              <w:t>eraktywnych formularzy</w:t>
            </w:r>
            <w:r w:rsidR="00201A9A" w:rsidRPr="00201A9A">
              <w:rPr>
                <w:noProof/>
              </w:rPr>
              <w:t xml:space="preserve"> i obl</w:t>
            </w:r>
            <w:r w:rsidRPr="00201A9A">
              <w:rPr>
                <w:noProof/>
              </w:rPr>
              <w:t>iczeń, zapewniają prowadzenie ewidencji</w:t>
            </w:r>
            <w:r w:rsidR="00201A9A" w:rsidRPr="00201A9A">
              <w:rPr>
                <w:noProof/>
              </w:rPr>
              <w:t xml:space="preserve"> i prz</w:t>
            </w:r>
            <w:r w:rsidRPr="00201A9A">
              <w:rPr>
                <w:noProof/>
              </w:rPr>
              <w:t>echowywanie danych</w:t>
            </w:r>
            <w:r w:rsidR="00201A9A" w:rsidRPr="00201A9A">
              <w:rPr>
                <w:noProof/>
              </w:rPr>
              <w:t xml:space="preserve"> w sys</w:t>
            </w:r>
            <w:r w:rsidRPr="00201A9A">
              <w:rPr>
                <w:noProof/>
              </w:rPr>
              <w:t>temie umożliwiającym zarówno administracyjne weryfikacje wniosków</w:t>
            </w:r>
            <w:r w:rsidR="00201A9A" w:rsidRPr="00201A9A">
              <w:rPr>
                <w:noProof/>
              </w:rPr>
              <w:t xml:space="preserve"> o pła</w:t>
            </w:r>
            <w:r w:rsidRPr="00201A9A">
              <w:rPr>
                <w:noProof/>
              </w:rPr>
              <w:t>tność składanych przez beneficjentów, jak</w:t>
            </w:r>
            <w:r w:rsidR="00201A9A" w:rsidRPr="00201A9A">
              <w:rPr>
                <w:noProof/>
              </w:rPr>
              <w:t xml:space="preserve"> i aud</w:t>
            </w:r>
            <w:r w:rsidRPr="00201A9A">
              <w:rPr>
                <w:noProof/>
              </w:rPr>
              <w:t>yty,</w:t>
            </w:r>
            <w:r w:rsidR="00201A9A" w:rsidRPr="00201A9A">
              <w:rPr>
                <w:noProof/>
              </w:rPr>
              <w:t xml:space="preserve"> a tak</w:t>
            </w:r>
            <w:r w:rsidRPr="00201A9A">
              <w:rPr>
                <w:noProof/>
              </w:rPr>
              <w:t>że umożliwiają automatyczną synchronizację</w:t>
            </w:r>
            <w:r w:rsidR="00201A9A" w:rsidRPr="00201A9A">
              <w:rPr>
                <w:noProof/>
              </w:rPr>
              <w:t xml:space="preserve"> i prz</w:t>
            </w:r>
            <w:r w:rsidRPr="00201A9A">
              <w:rPr>
                <w:noProof/>
              </w:rPr>
              <w:t>ekazywanie danych między systemami beneficjentów</w:t>
            </w:r>
            <w:r w:rsidR="00201A9A" w:rsidRPr="00201A9A">
              <w:rPr>
                <w:noProof/>
              </w:rPr>
              <w:t xml:space="preserve"> i pań</w:t>
            </w:r>
            <w:r w:rsidRPr="00201A9A">
              <w:rPr>
                <w:noProof/>
              </w:rPr>
              <w:t>stw członkowskich.</w:t>
            </w:r>
          </w:p>
        </w:tc>
      </w:tr>
    </w:tbl>
    <w:p w14:paraId="3A3BBBA5" w14:textId="77777777" w:rsidR="004A489F" w:rsidRPr="00201A9A" w:rsidRDefault="004A489F" w:rsidP="004A489F">
      <w:pPr>
        <w:tabs>
          <w:tab w:val="left" w:pos="11838"/>
        </w:tabs>
        <w:rPr>
          <w:rFonts w:eastAsia="Calibri"/>
          <w:noProof/>
          <w:szCs w:val="20"/>
        </w:rPr>
      </w:pPr>
      <w:r w:rsidRPr="00201A9A">
        <w:rPr>
          <w:noProof/>
        </w:rPr>
        <w:tab/>
      </w:r>
    </w:p>
    <w:p w14:paraId="209A773E" w14:textId="57E22F43" w:rsidR="004A489F" w:rsidRPr="00201A9A" w:rsidRDefault="004A489F" w:rsidP="004A489F">
      <w:pPr>
        <w:rPr>
          <w:b/>
          <w:noProof/>
        </w:rPr>
      </w:pPr>
      <w:r w:rsidRPr="00201A9A">
        <w:rPr>
          <w:b/>
          <w:noProof/>
        </w:rPr>
        <w:t>Powiązanie</w:t>
      </w:r>
      <w:r w:rsidR="00201A9A" w:rsidRPr="00201A9A">
        <w:rPr>
          <w:b/>
          <w:noProof/>
        </w:rPr>
        <w:t xml:space="preserve"> z eur</w:t>
      </w:r>
      <w:r w:rsidRPr="00201A9A">
        <w:rPr>
          <w:b/>
          <w:noProof/>
        </w:rPr>
        <w:t>opejską strategią</w:t>
      </w:r>
      <w:r w:rsidR="00201A9A" w:rsidRPr="00201A9A">
        <w:rPr>
          <w:b/>
          <w:noProof/>
        </w:rPr>
        <w:t xml:space="preserve"> w zak</w:t>
      </w:r>
      <w:r w:rsidRPr="00201A9A">
        <w:rPr>
          <w:b/>
          <w:noProof/>
        </w:rPr>
        <w:t>resie danych</w:t>
      </w:r>
    </w:p>
    <w:p w14:paraId="60DD583E" w14:textId="35B906EF" w:rsidR="004A489F" w:rsidRPr="00201A9A" w:rsidRDefault="004A489F" w:rsidP="004A489F">
      <w:pPr>
        <w:rPr>
          <w:i/>
          <w:noProof/>
        </w:rPr>
      </w:pPr>
      <w:r w:rsidRPr="00201A9A">
        <w:rPr>
          <w:i/>
          <w:noProof/>
        </w:rPr>
        <w:t>Wyjaśnić,</w:t>
      </w:r>
      <w:r w:rsidR="00201A9A" w:rsidRPr="00201A9A">
        <w:rPr>
          <w:i/>
          <w:noProof/>
        </w:rPr>
        <w:t xml:space="preserve"> w jak</w:t>
      </w:r>
      <w:r w:rsidRPr="00201A9A">
        <w:rPr>
          <w:i/>
          <w:noProof/>
        </w:rPr>
        <w:t>i sposób wymogi te są zgodne</w:t>
      </w:r>
      <w:r w:rsidR="00201A9A" w:rsidRPr="00201A9A">
        <w:rPr>
          <w:i/>
          <w:noProof/>
        </w:rPr>
        <w:t xml:space="preserve"> z eur</w:t>
      </w:r>
      <w:r w:rsidRPr="00201A9A">
        <w:rPr>
          <w:i/>
          <w:noProof/>
        </w:rPr>
        <w:t>opejską strategią</w:t>
      </w:r>
      <w:r w:rsidR="00201A9A" w:rsidRPr="00201A9A">
        <w:rPr>
          <w:i/>
          <w:noProof/>
        </w:rPr>
        <w:t xml:space="preserve"> w zak</w:t>
      </w:r>
      <w:r w:rsidRPr="00201A9A">
        <w:rPr>
          <w:i/>
          <w:noProof/>
        </w:rPr>
        <w:t>resie danych.</w:t>
      </w:r>
    </w:p>
    <w:tbl>
      <w:tblPr>
        <w:tblStyle w:val="TableGrid"/>
        <w:tblW w:w="0" w:type="auto"/>
        <w:tblLook w:val="04A0" w:firstRow="1" w:lastRow="0" w:firstColumn="1" w:lastColumn="0" w:noHBand="0" w:noVBand="1"/>
      </w:tblPr>
      <w:tblGrid>
        <w:gridCol w:w="13994"/>
      </w:tblGrid>
      <w:tr w:rsidR="004A489F" w:rsidRPr="00201A9A" w14:paraId="6955FD27" w14:textId="77777777">
        <w:tc>
          <w:tcPr>
            <w:tcW w:w="13994" w:type="dxa"/>
          </w:tcPr>
          <w:p w14:paraId="268F30BF" w14:textId="0207E0F7" w:rsidR="004A489F" w:rsidRPr="00201A9A" w:rsidRDefault="004A489F">
            <w:pPr>
              <w:rPr>
                <w:noProof/>
              </w:rPr>
            </w:pPr>
            <w:r w:rsidRPr="00201A9A">
              <w:rPr>
                <w:noProof/>
              </w:rPr>
              <w:t>Rozporządzenie przyczynia się do osiągnięcia celów ogólnych europejskiej strategii</w:t>
            </w:r>
            <w:r w:rsidR="00201A9A" w:rsidRPr="00201A9A">
              <w:rPr>
                <w:noProof/>
              </w:rPr>
              <w:t xml:space="preserve"> w zak</w:t>
            </w:r>
            <w:r w:rsidRPr="00201A9A">
              <w:rPr>
                <w:noProof/>
              </w:rPr>
              <w:t>resie danych, ponieważ ma ułatwiać nowoczesne</w:t>
            </w:r>
            <w:r w:rsidR="00201A9A" w:rsidRPr="00201A9A">
              <w:rPr>
                <w:noProof/>
              </w:rPr>
              <w:t xml:space="preserve"> i sku</w:t>
            </w:r>
            <w:r w:rsidRPr="00201A9A">
              <w:rPr>
                <w:noProof/>
              </w:rPr>
              <w:t>teczne zarządzanie danymi</w:t>
            </w:r>
            <w:r w:rsidR="00201A9A" w:rsidRPr="00201A9A">
              <w:rPr>
                <w:noProof/>
              </w:rPr>
              <w:t xml:space="preserve"> i ich</w:t>
            </w:r>
            <w:r w:rsidRPr="00201A9A">
              <w:rPr>
                <w:noProof/>
              </w:rPr>
              <w:t xml:space="preserve"> udostępnianie,</w:t>
            </w:r>
            <w:r w:rsidR="00201A9A" w:rsidRPr="00201A9A">
              <w:rPr>
                <w:noProof/>
              </w:rPr>
              <w:t xml:space="preserve"> w tym</w:t>
            </w:r>
            <w:r w:rsidRPr="00201A9A">
              <w:rPr>
                <w:noProof/>
              </w:rPr>
              <w:t xml:space="preserve"> na potrzeby wspierającej administracji publicznej, oraz lepsze kształtowanie polityki, co oznacza, że lepsze zarządzanie danymi dotyczącymi wyników umożliwi lepsze kierowanie zarządzaniem programami.</w:t>
            </w:r>
          </w:p>
          <w:p w14:paraId="5E4DCA47" w14:textId="720314D9" w:rsidR="004A489F" w:rsidRPr="00201A9A" w:rsidRDefault="004A489F">
            <w:pPr>
              <w:rPr>
                <w:noProof/>
              </w:rPr>
            </w:pPr>
            <w:r w:rsidRPr="00201A9A">
              <w:rPr>
                <w:noProof/>
              </w:rPr>
              <w:t>Każde państwo członkowskie będzie również musiało zapewnić spójność ze swoim krajowym strategicznym planem działania dotyczącym cyfrowej dekady,</w:t>
            </w:r>
            <w:r w:rsidR="00201A9A" w:rsidRPr="00201A9A">
              <w:rPr>
                <w:noProof/>
              </w:rPr>
              <w:t xml:space="preserve"> o któ</w:t>
            </w:r>
            <w:r w:rsidRPr="00201A9A">
              <w:rPr>
                <w:noProof/>
              </w:rPr>
              <w:t>rym mowa decyzji (UE) 2022/2481, przy opracowywaniu planu partnerstwa krajowego</w:t>
            </w:r>
            <w:r w:rsidR="00201A9A" w:rsidRPr="00201A9A">
              <w:rPr>
                <w:noProof/>
              </w:rPr>
              <w:t xml:space="preserve"> i reg</w:t>
            </w:r>
            <w:r w:rsidRPr="00201A9A">
              <w:rPr>
                <w:noProof/>
              </w:rPr>
              <w:t>ionalnego.</w:t>
            </w:r>
          </w:p>
        </w:tc>
      </w:tr>
    </w:tbl>
    <w:p w14:paraId="22DDA892" w14:textId="6B43570C" w:rsidR="004A489F" w:rsidRPr="00201A9A" w:rsidRDefault="004A489F" w:rsidP="004A489F">
      <w:pPr>
        <w:rPr>
          <w:b/>
          <w:noProof/>
        </w:rPr>
      </w:pPr>
      <w:r w:rsidRPr="00201A9A">
        <w:rPr>
          <w:b/>
          <w:noProof/>
        </w:rPr>
        <w:t>Powiązanie</w:t>
      </w:r>
      <w:r w:rsidR="00201A9A" w:rsidRPr="00201A9A">
        <w:rPr>
          <w:b/>
          <w:noProof/>
        </w:rPr>
        <w:t xml:space="preserve"> z zas</w:t>
      </w:r>
      <w:r w:rsidRPr="00201A9A">
        <w:rPr>
          <w:b/>
          <w:noProof/>
        </w:rPr>
        <w:t>adą jednorazowości</w:t>
      </w:r>
    </w:p>
    <w:p w14:paraId="2C98B5FE" w14:textId="2EDB97C7" w:rsidR="004A489F" w:rsidRPr="00201A9A" w:rsidRDefault="004A489F" w:rsidP="004A489F">
      <w:pPr>
        <w:rPr>
          <w:i/>
          <w:noProof/>
        </w:rPr>
      </w:pPr>
      <w:r w:rsidRPr="00201A9A">
        <w:rPr>
          <w:i/>
          <w:noProof/>
        </w:rPr>
        <w:t>Wyjaśnić,</w:t>
      </w:r>
      <w:r w:rsidR="00201A9A" w:rsidRPr="00201A9A">
        <w:rPr>
          <w:i/>
          <w:noProof/>
        </w:rPr>
        <w:t xml:space="preserve"> w jak</w:t>
      </w:r>
      <w:r w:rsidRPr="00201A9A">
        <w:rPr>
          <w:i/>
          <w:noProof/>
        </w:rPr>
        <w:t>i sposób uwzględniono zasadę jednorazowości</w:t>
      </w:r>
      <w:r w:rsidR="00201A9A" w:rsidRPr="00201A9A">
        <w:rPr>
          <w:i/>
          <w:noProof/>
        </w:rPr>
        <w:t xml:space="preserve"> i w jak</w:t>
      </w:r>
      <w:r w:rsidRPr="00201A9A">
        <w:rPr>
          <w:i/>
          <w:noProof/>
        </w:rPr>
        <w:t>i sposób zbadano możliwość ponownego wykorzystania istniejących danych.</w:t>
      </w:r>
    </w:p>
    <w:tbl>
      <w:tblPr>
        <w:tblStyle w:val="TableGrid"/>
        <w:tblW w:w="0" w:type="auto"/>
        <w:tblLook w:val="04A0" w:firstRow="1" w:lastRow="0" w:firstColumn="1" w:lastColumn="0" w:noHBand="0" w:noVBand="1"/>
      </w:tblPr>
      <w:tblGrid>
        <w:gridCol w:w="13994"/>
      </w:tblGrid>
      <w:tr w:rsidR="004A489F" w:rsidRPr="00201A9A" w14:paraId="55358757" w14:textId="77777777">
        <w:tc>
          <w:tcPr>
            <w:tcW w:w="13994" w:type="dxa"/>
          </w:tcPr>
          <w:p w14:paraId="798A99A7" w14:textId="77777777" w:rsidR="004A489F" w:rsidRPr="00201A9A" w:rsidRDefault="004A489F">
            <w:pPr>
              <w:rPr>
                <w:noProof/>
              </w:rPr>
            </w:pPr>
            <w:r w:rsidRPr="00201A9A">
              <w:rPr>
                <w:noProof/>
              </w:rPr>
              <w:t>//</w:t>
            </w:r>
          </w:p>
        </w:tc>
      </w:tr>
    </w:tbl>
    <w:p w14:paraId="0195EF33" w14:textId="769069E7" w:rsidR="004A489F" w:rsidRPr="00201A9A" w:rsidRDefault="004A489F" w:rsidP="004A489F">
      <w:pPr>
        <w:rPr>
          <w:i/>
          <w:noProof/>
        </w:rPr>
      </w:pPr>
      <w:r w:rsidRPr="00201A9A">
        <w:rPr>
          <w:i/>
          <w:noProof/>
        </w:rPr>
        <w:t>Wyjaśnić,</w:t>
      </w:r>
      <w:r w:rsidR="00201A9A" w:rsidRPr="00201A9A">
        <w:rPr>
          <w:i/>
          <w:noProof/>
        </w:rPr>
        <w:t xml:space="preserve"> w jak</w:t>
      </w:r>
      <w:r w:rsidRPr="00201A9A">
        <w:rPr>
          <w:i/>
          <w:noProof/>
        </w:rPr>
        <w:t>i sposób nowo utworzone dane są możliwe do znalezienia, dostępne, interoperacyjne</w:t>
      </w:r>
      <w:r w:rsidR="00201A9A" w:rsidRPr="00201A9A">
        <w:rPr>
          <w:i/>
          <w:noProof/>
        </w:rPr>
        <w:t xml:space="preserve"> i nad</w:t>
      </w:r>
      <w:r w:rsidRPr="00201A9A">
        <w:rPr>
          <w:i/>
          <w:noProof/>
        </w:rPr>
        <w:t>ające się do ponownego wykorzystania oraz spełniają normy wysokiej jakości.</w:t>
      </w:r>
    </w:p>
    <w:tbl>
      <w:tblPr>
        <w:tblStyle w:val="TableGrid"/>
        <w:tblW w:w="0" w:type="auto"/>
        <w:tblLook w:val="04A0" w:firstRow="1" w:lastRow="0" w:firstColumn="1" w:lastColumn="0" w:noHBand="0" w:noVBand="1"/>
      </w:tblPr>
      <w:tblGrid>
        <w:gridCol w:w="13994"/>
      </w:tblGrid>
      <w:tr w:rsidR="004A489F" w:rsidRPr="00201A9A" w14:paraId="3565114A" w14:textId="77777777">
        <w:tc>
          <w:tcPr>
            <w:tcW w:w="13994" w:type="dxa"/>
          </w:tcPr>
          <w:p w14:paraId="70061BCA" w14:textId="79D98ED5" w:rsidR="004A489F" w:rsidRPr="00201A9A" w:rsidRDefault="004A489F">
            <w:pPr>
              <w:rPr>
                <w:noProof/>
              </w:rPr>
            </w:pPr>
            <w:r w:rsidRPr="00201A9A">
              <w:rPr>
                <w:noProof/>
              </w:rPr>
              <w:t>Dane publikowane na stronie internetowej muszą mieć format dostosowany do technologii cyfrowych, otwarty, interoperacyjny</w:t>
            </w:r>
            <w:r w:rsidR="00201A9A" w:rsidRPr="00201A9A">
              <w:rPr>
                <w:noProof/>
              </w:rPr>
              <w:t xml:space="preserve"> i nad</w:t>
            </w:r>
            <w:r w:rsidRPr="00201A9A">
              <w:rPr>
                <w:noProof/>
              </w:rPr>
              <w:t>ający się do odczytu maszynowego, który umożliwia sortowanie, wyszukiwanie, wyodrębnianie, porównywanie</w:t>
            </w:r>
            <w:r w:rsidR="00201A9A" w:rsidRPr="00201A9A">
              <w:rPr>
                <w:noProof/>
              </w:rPr>
              <w:t xml:space="preserve"> i pon</w:t>
            </w:r>
            <w:r w:rsidRPr="00201A9A">
              <w:rPr>
                <w:noProof/>
              </w:rPr>
              <w:t>owne wykorzystanie danych.</w:t>
            </w:r>
          </w:p>
        </w:tc>
      </w:tr>
    </w:tbl>
    <w:p w14:paraId="01552179" w14:textId="77777777" w:rsidR="004A489F" w:rsidRPr="00201A9A" w:rsidRDefault="004A489F" w:rsidP="004A489F">
      <w:pPr>
        <w:rPr>
          <w:b/>
          <w:noProof/>
        </w:rPr>
      </w:pPr>
    </w:p>
    <w:p w14:paraId="39F1CD6A" w14:textId="77777777" w:rsidR="004A489F" w:rsidRPr="00201A9A" w:rsidRDefault="004A489F" w:rsidP="004A489F">
      <w:pPr>
        <w:tabs>
          <w:tab w:val="left" w:pos="5370"/>
        </w:tabs>
        <w:rPr>
          <w:b/>
          <w:noProof/>
        </w:rPr>
      </w:pPr>
      <w:r w:rsidRPr="00201A9A">
        <w:rPr>
          <w:b/>
          <w:noProof/>
        </w:rPr>
        <w:t>Przepływ danych</w:t>
      </w:r>
    </w:p>
    <w:p w14:paraId="0C6226AA" w14:textId="77777777" w:rsidR="004A489F" w:rsidRPr="00201A9A" w:rsidRDefault="004A489F" w:rsidP="004A489F">
      <w:pPr>
        <w:tabs>
          <w:tab w:val="left" w:pos="5370"/>
        </w:tabs>
        <w:rPr>
          <w:i/>
          <w:noProof/>
        </w:rPr>
      </w:pPr>
      <w:r w:rsidRPr="00201A9A">
        <w:rPr>
          <w:i/>
          <w:noProof/>
        </w:rPr>
        <w:t>Ogólny opis przepływów danych</w:t>
      </w:r>
    </w:p>
    <w:tbl>
      <w:tblPr>
        <w:tblStyle w:val="TableGrid"/>
        <w:tblW w:w="14078" w:type="dxa"/>
        <w:tblLook w:val="04A0" w:firstRow="1" w:lastRow="0" w:firstColumn="1" w:lastColumn="0" w:noHBand="0" w:noVBand="1"/>
      </w:tblPr>
      <w:tblGrid>
        <w:gridCol w:w="4202"/>
        <w:gridCol w:w="1749"/>
        <w:gridCol w:w="1884"/>
        <w:gridCol w:w="1902"/>
        <w:gridCol w:w="2169"/>
        <w:gridCol w:w="2172"/>
      </w:tblGrid>
      <w:tr w:rsidR="004A489F" w:rsidRPr="00201A9A" w14:paraId="315B7769" w14:textId="77777777">
        <w:trPr>
          <w:trHeight w:val="300"/>
        </w:trPr>
        <w:tc>
          <w:tcPr>
            <w:tcW w:w="4202" w:type="dxa"/>
          </w:tcPr>
          <w:p w14:paraId="2C720DD1" w14:textId="77777777" w:rsidR="004A489F" w:rsidRPr="00201A9A" w:rsidRDefault="004A489F">
            <w:pPr>
              <w:jc w:val="left"/>
              <w:rPr>
                <w:b/>
                <w:noProof/>
              </w:rPr>
            </w:pPr>
            <w:r w:rsidRPr="00201A9A">
              <w:rPr>
                <w:b/>
                <w:noProof/>
              </w:rPr>
              <w:t>Rodzaj danych</w:t>
            </w:r>
          </w:p>
        </w:tc>
        <w:tc>
          <w:tcPr>
            <w:tcW w:w="1749" w:type="dxa"/>
          </w:tcPr>
          <w:p w14:paraId="2E88DE66" w14:textId="77777777" w:rsidR="004A489F" w:rsidRPr="00201A9A" w:rsidRDefault="004A489F">
            <w:pPr>
              <w:jc w:val="left"/>
              <w:rPr>
                <w:b/>
                <w:noProof/>
              </w:rPr>
            </w:pPr>
            <w:r w:rsidRPr="00201A9A">
              <w:rPr>
                <w:b/>
                <w:noProof/>
              </w:rPr>
              <w:t>Odniesienia do wymogów</w:t>
            </w:r>
          </w:p>
        </w:tc>
        <w:tc>
          <w:tcPr>
            <w:tcW w:w="1884" w:type="dxa"/>
          </w:tcPr>
          <w:p w14:paraId="53C8AFDE" w14:textId="77777777" w:rsidR="004A489F" w:rsidRPr="00201A9A" w:rsidRDefault="004A489F">
            <w:pPr>
              <w:jc w:val="left"/>
              <w:rPr>
                <w:b/>
                <w:noProof/>
              </w:rPr>
            </w:pPr>
            <w:r w:rsidRPr="00201A9A">
              <w:rPr>
                <w:b/>
                <w:noProof/>
              </w:rPr>
              <w:t>Podmioty dostarczające dane</w:t>
            </w:r>
          </w:p>
        </w:tc>
        <w:tc>
          <w:tcPr>
            <w:tcW w:w="1902" w:type="dxa"/>
          </w:tcPr>
          <w:p w14:paraId="550FB60F" w14:textId="77777777" w:rsidR="004A489F" w:rsidRPr="00201A9A" w:rsidRDefault="004A489F">
            <w:pPr>
              <w:jc w:val="left"/>
              <w:rPr>
                <w:b/>
                <w:noProof/>
              </w:rPr>
            </w:pPr>
            <w:r w:rsidRPr="00201A9A">
              <w:rPr>
                <w:b/>
                <w:noProof/>
              </w:rPr>
              <w:t>Podmioty otrzymujące dane</w:t>
            </w:r>
          </w:p>
        </w:tc>
        <w:tc>
          <w:tcPr>
            <w:tcW w:w="2169" w:type="dxa"/>
          </w:tcPr>
          <w:p w14:paraId="56C83231" w14:textId="77777777" w:rsidR="004A489F" w:rsidRPr="00201A9A" w:rsidRDefault="004A489F">
            <w:pPr>
              <w:jc w:val="left"/>
              <w:rPr>
                <w:b/>
                <w:noProof/>
              </w:rPr>
            </w:pPr>
            <w:r w:rsidRPr="00201A9A">
              <w:rPr>
                <w:b/>
                <w:noProof/>
              </w:rPr>
              <w:t>Czynnik uruchamiający wymianę danych</w:t>
            </w:r>
          </w:p>
        </w:tc>
        <w:tc>
          <w:tcPr>
            <w:tcW w:w="2172" w:type="dxa"/>
          </w:tcPr>
          <w:p w14:paraId="593A6C59" w14:textId="77777777" w:rsidR="004A489F" w:rsidRPr="00201A9A" w:rsidRDefault="004A489F">
            <w:pPr>
              <w:jc w:val="left"/>
              <w:rPr>
                <w:b/>
                <w:noProof/>
              </w:rPr>
            </w:pPr>
            <w:r w:rsidRPr="00201A9A">
              <w:rPr>
                <w:b/>
                <w:noProof/>
              </w:rPr>
              <w:t>Częstotliwość (jeżeli dotyczy)</w:t>
            </w:r>
          </w:p>
        </w:tc>
      </w:tr>
      <w:tr w:rsidR="004A489F" w:rsidRPr="00201A9A" w14:paraId="3A00F37B" w14:textId="77777777">
        <w:trPr>
          <w:trHeight w:val="300"/>
        </w:trPr>
        <w:tc>
          <w:tcPr>
            <w:tcW w:w="4202" w:type="dxa"/>
          </w:tcPr>
          <w:p w14:paraId="1D00D243" w14:textId="33739C05" w:rsidR="004A489F" w:rsidRPr="00201A9A" w:rsidRDefault="004A489F">
            <w:pPr>
              <w:rPr>
                <w:noProof/>
                <w:szCs w:val="24"/>
              </w:rPr>
            </w:pPr>
            <w:r w:rsidRPr="00201A9A">
              <w:rPr>
                <w:noProof/>
              </w:rPr>
              <w:t>Dane dotyczące (i) beneficjenta, (ii) odbiorcy</w:t>
            </w:r>
            <w:r w:rsidR="00201A9A" w:rsidRPr="00201A9A">
              <w:rPr>
                <w:noProof/>
              </w:rPr>
              <w:t xml:space="preserve"> i odb</w:t>
            </w:r>
            <w:r w:rsidRPr="00201A9A">
              <w:rPr>
                <w:noProof/>
              </w:rPr>
              <w:t>iorcy końcowego, (iii) wykonawcy, (iv) podwykonawcy, (v) operacji, (vi) rozwoju lokalnego kierowanego przez społeczność</w:t>
            </w:r>
            <w:r w:rsidR="00201A9A" w:rsidRPr="00201A9A">
              <w:rPr>
                <w:noProof/>
              </w:rPr>
              <w:t xml:space="preserve"> w odn</w:t>
            </w:r>
            <w:r w:rsidRPr="00201A9A">
              <w:rPr>
                <w:noProof/>
              </w:rPr>
              <w:t>iesieniu do każdej lokalnej grupy działania, (vii) każdej grupy operacyjnej EPI-AGRI</w:t>
            </w:r>
          </w:p>
        </w:tc>
        <w:tc>
          <w:tcPr>
            <w:tcW w:w="1749" w:type="dxa"/>
          </w:tcPr>
          <w:p w14:paraId="438F0305" w14:textId="77777777" w:rsidR="004A489F" w:rsidRPr="00201A9A" w:rsidRDefault="004A489F">
            <w:pPr>
              <w:jc w:val="left"/>
              <w:rPr>
                <w:noProof/>
                <w:szCs w:val="24"/>
              </w:rPr>
            </w:pPr>
            <w:r w:rsidRPr="00201A9A">
              <w:rPr>
                <w:noProof/>
              </w:rPr>
              <w:t>Artykuł 63</w:t>
            </w:r>
          </w:p>
        </w:tc>
        <w:tc>
          <w:tcPr>
            <w:tcW w:w="1884" w:type="dxa"/>
          </w:tcPr>
          <w:p w14:paraId="6073B6DF" w14:textId="77777777" w:rsidR="004A489F" w:rsidRPr="00201A9A" w:rsidRDefault="004A489F">
            <w:pPr>
              <w:jc w:val="left"/>
              <w:rPr>
                <w:noProof/>
                <w:szCs w:val="24"/>
              </w:rPr>
            </w:pPr>
            <w:r w:rsidRPr="00201A9A">
              <w:rPr>
                <w:noProof/>
              </w:rPr>
              <w:t>Państwa członkowskie</w:t>
            </w:r>
          </w:p>
        </w:tc>
        <w:tc>
          <w:tcPr>
            <w:tcW w:w="1902" w:type="dxa"/>
          </w:tcPr>
          <w:p w14:paraId="523B83F8" w14:textId="77777777" w:rsidR="004A489F" w:rsidRPr="00201A9A" w:rsidRDefault="004A489F">
            <w:pPr>
              <w:jc w:val="left"/>
              <w:rPr>
                <w:noProof/>
                <w:szCs w:val="24"/>
              </w:rPr>
            </w:pPr>
            <w:r w:rsidRPr="00201A9A">
              <w:rPr>
                <w:noProof/>
              </w:rPr>
              <w:t>Komisja Europejska</w:t>
            </w:r>
          </w:p>
        </w:tc>
        <w:tc>
          <w:tcPr>
            <w:tcW w:w="2169" w:type="dxa"/>
          </w:tcPr>
          <w:p w14:paraId="50429DB4" w14:textId="5463D95E" w:rsidR="004A489F" w:rsidRPr="00201A9A" w:rsidRDefault="004A489F">
            <w:pPr>
              <w:jc w:val="left"/>
              <w:rPr>
                <w:noProof/>
                <w:szCs w:val="24"/>
              </w:rPr>
            </w:pPr>
            <w:r w:rsidRPr="00201A9A">
              <w:rPr>
                <w:noProof/>
              </w:rPr>
              <w:t>Przyjęcie decyzji</w:t>
            </w:r>
            <w:r w:rsidR="00201A9A" w:rsidRPr="00201A9A">
              <w:rPr>
                <w:noProof/>
              </w:rPr>
              <w:t xml:space="preserve"> w spr</w:t>
            </w:r>
            <w:r w:rsidRPr="00201A9A">
              <w:rPr>
                <w:noProof/>
              </w:rPr>
              <w:t xml:space="preserve">awie zatwierdzenia planu </w:t>
            </w:r>
          </w:p>
        </w:tc>
        <w:tc>
          <w:tcPr>
            <w:tcW w:w="2172" w:type="dxa"/>
          </w:tcPr>
          <w:p w14:paraId="26A8EFB6" w14:textId="060F9424" w:rsidR="004A489F" w:rsidRPr="00201A9A" w:rsidRDefault="004A489F">
            <w:pPr>
              <w:jc w:val="left"/>
              <w:rPr>
                <w:noProof/>
                <w:szCs w:val="24"/>
              </w:rPr>
            </w:pPr>
            <w:r w:rsidRPr="00201A9A">
              <w:rPr>
                <w:noProof/>
              </w:rPr>
              <w:t>Dwa razy</w:t>
            </w:r>
            <w:r w:rsidR="00201A9A" w:rsidRPr="00201A9A">
              <w:rPr>
                <w:noProof/>
              </w:rPr>
              <w:t xml:space="preserve"> w rok</w:t>
            </w:r>
            <w:r w:rsidRPr="00201A9A">
              <w:rPr>
                <w:noProof/>
              </w:rPr>
              <w:t>u</w:t>
            </w:r>
            <w:r w:rsidR="00201A9A" w:rsidRPr="00201A9A">
              <w:rPr>
                <w:noProof/>
              </w:rPr>
              <w:t xml:space="preserve"> w prz</w:t>
            </w:r>
            <w:r w:rsidRPr="00201A9A">
              <w:rPr>
                <w:noProof/>
              </w:rPr>
              <w:t>ypadku interwencji wspierających wspólną politykę rolną</w:t>
            </w:r>
          </w:p>
        </w:tc>
      </w:tr>
      <w:tr w:rsidR="004A489F" w:rsidRPr="00201A9A" w14:paraId="2BEB70F7" w14:textId="77777777">
        <w:trPr>
          <w:trHeight w:val="300"/>
        </w:trPr>
        <w:tc>
          <w:tcPr>
            <w:tcW w:w="4202" w:type="dxa"/>
          </w:tcPr>
          <w:p w14:paraId="518991C5" w14:textId="509E5C1B" w:rsidR="004A489F" w:rsidRPr="00201A9A" w:rsidRDefault="004A489F">
            <w:pPr>
              <w:rPr>
                <w:noProof/>
                <w:szCs w:val="24"/>
              </w:rPr>
            </w:pPr>
            <w:r w:rsidRPr="00201A9A">
              <w:rPr>
                <w:noProof/>
              </w:rPr>
              <w:t>Dane dotyczące (i) beneficjenta, (ii) odbiorcy</w:t>
            </w:r>
            <w:r w:rsidR="00201A9A" w:rsidRPr="00201A9A">
              <w:rPr>
                <w:noProof/>
              </w:rPr>
              <w:t xml:space="preserve"> i odb</w:t>
            </w:r>
            <w:r w:rsidRPr="00201A9A">
              <w:rPr>
                <w:noProof/>
              </w:rPr>
              <w:t>iorcy końcowego, (iii) wykonawcy, (iv) podwykonawcy, (v) operacji, (vi) rozwoju lokalnego kierowanego przez społeczność</w:t>
            </w:r>
            <w:r w:rsidR="00201A9A" w:rsidRPr="00201A9A">
              <w:rPr>
                <w:noProof/>
              </w:rPr>
              <w:t xml:space="preserve"> w odn</w:t>
            </w:r>
            <w:r w:rsidRPr="00201A9A">
              <w:rPr>
                <w:noProof/>
              </w:rPr>
              <w:t>iesieniu do każdej lokalnej grupy działania, (vii) każdej grupy operacyjnej EPI-AGRI</w:t>
            </w:r>
          </w:p>
        </w:tc>
        <w:tc>
          <w:tcPr>
            <w:tcW w:w="1749" w:type="dxa"/>
          </w:tcPr>
          <w:p w14:paraId="25AA1579" w14:textId="77777777" w:rsidR="004A489F" w:rsidRPr="00201A9A" w:rsidRDefault="004A489F">
            <w:pPr>
              <w:jc w:val="left"/>
              <w:rPr>
                <w:noProof/>
                <w:szCs w:val="24"/>
              </w:rPr>
            </w:pPr>
            <w:r w:rsidRPr="00201A9A">
              <w:rPr>
                <w:noProof/>
              </w:rPr>
              <w:t>Artykuł 64</w:t>
            </w:r>
          </w:p>
        </w:tc>
        <w:tc>
          <w:tcPr>
            <w:tcW w:w="1884" w:type="dxa"/>
          </w:tcPr>
          <w:p w14:paraId="090693CF" w14:textId="77777777" w:rsidR="004A489F" w:rsidRPr="00201A9A" w:rsidRDefault="004A489F">
            <w:pPr>
              <w:jc w:val="left"/>
              <w:rPr>
                <w:noProof/>
                <w:szCs w:val="24"/>
              </w:rPr>
            </w:pPr>
            <w:r w:rsidRPr="00201A9A">
              <w:rPr>
                <w:noProof/>
              </w:rPr>
              <w:t>Komisja Europejska</w:t>
            </w:r>
          </w:p>
        </w:tc>
        <w:tc>
          <w:tcPr>
            <w:tcW w:w="1902" w:type="dxa"/>
          </w:tcPr>
          <w:p w14:paraId="5C611F4D" w14:textId="77777777" w:rsidR="004A489F" w:rsidRPr="00201A9A" w:rsidRDefault="004A489F">
            <w:pPr>
              <w:jc w:val="left"/>
              <w:rPr>
                <w:noProof/>
                <w:szCs w:val="24"/>
              </w:rPr>
            </w:pPr>
            <w:r w:rsidRPr="00201A9A">
              <w:rPr>
                <w:noProof/>
              </w:rPr>
              <w:t>Społeczeństwo</w:t>
            </w:r>
          </w:p>
        </w:tc>
        <w:tc>
          <w:tcPr>
            <w:tcW w:w="2169" w:type="dxa"/>
          </w:tcPr>
          <w:p w14:paraId="14FAA22B" w14:textId="77777777" w:rsidR="004A489F" w:rsidRPr="00201A9A" w:rsidRDefault="004A489F">
            <w:pPr>
              <w:jc w:val="left"/>
              <w:rPr>
                <w:noProof/>
                <w:szCs w:val="24"/>
              </w:rPr>
            </w:pPr>
            <w:r w:rsidRPr="00201A9A">
              <w:rPr>
                <w:noProof/>
              </w:rPr>
              <w:t>Otrzymywanie informacji od państwa członkowskiego</w:t>
            </w:r>
          </w:p>
        </w:tc>
        <w:tc>
          <w:tcPr>
            <w:tcW w:w="2172" w:type="dxa"/>
          </w:tcPr>
          <w:p w14:paraId="6E2C1340" w14:textId="77777777" w:rsidR="004A489F" w:rsidRPr="00201A9A" w:rsidRDefault="004A489F">
            <w:pPr>
              <w:jc w:val="left"/>
              <w:rPr>
                <w:noProof/>
                <w:szCs w:val="24"/>
              </w:rPr>
            </w:pPr>
            <w:r w:rsidRPr="00201A9A">
              <w:rPr>
                <w:noProof/>
              </w:rPr>
              <w:t>Regularne aktualizacje na podstawie informacji otrzymanych od państw członkowskich</w:t>
            </w:r>
          </w:p>
        </w:tc>
      </w:tr>
      <w:tr w:rsidR="004A489F" w:rsidRPr="00201A9A" w14:paraId="5B942B66" w14:textId="77777777">
        <w:trPr>
          <w:trHeight w:val="300"/>
        </w:trPr>
        <w:tc>
          <w:tcPr>
            <w:tcW w:w="4202" w:type="dxa"/>
          </w:tcPr>
          <w:p w14:paraId="0259912C" w14:textId="276C5AA5" w:rsidR="004A489F" w:rsidRPr="00201A9A" w:rsidRDefault="004A489F">
            <w:pPr>
              <w:rPr>
                <w:noProof/>
                <w:szCs w:val="24"/>
              </w:rPr>
            </w:pPr>
            <w:r w:rsidRPr="00201A9A">
              <w:rPr>
                <w:noProof/>
              </w:rPr>
              <w:t>Informacje na temat celów planu państwa członkowskiego, działań realizowanych</w:t>
            </w:r>
            <w:r w:rsidR="00201A9A" w:rsidRPr="00201A9A">
              <w:rPr>
                <w:noProof/>
              </w:rPr>
              <w:t xml:space="preserve"> w jeg</w:t>
            </w:r>
            <w:r w:rsidRPr="00201A9A">
              <w:rPr>
                <w:noProof/>
              </w:rPr>
              <w:t>o ramach, dostępnego finansowania</w:t>
            </w:r>
            <w:r w:rsidR="00201A9A" w:rsidRPr="00201A9A">
              <w:rPr>
                <w:noProof/>
              </w:rPr>
              <w:t xml:space="preserve"> i moż</w:t>
            </w:r>
            <w:r w:rsidRPr="00201A9A">
              <w:rPr>
                <w:noProof/>
              </w:rPr>
              <w:t xml:space="preserve">liwości. </w:t>
            </w:r>
          </w:p>
          <w:p w14:paraId="4122E581" w14:textId="45557BB6" w:rsidR="004A489F" w:rsidRPr="00201A9A" w:rsidRDefault="004A489F">
            <w:pPr>
              <w:rPr>
                <w:noProof/>
                <w:szCs w:val="24"/>
              </w:rPr>
            </w:pPr>
            <w:r w:rsidRPr="00201A9A">
              <w:rPr>
                <w:noProof/>
              </w:rPr>
              <w:t>Dane dotyczące (i) beneficjenta, (ii) odbiorcy</w:t>
            </w:r>
            <w:r w:rsidR="00201A9A" w:rsidRPr="00201A9A">
              <w:rPr>
                <w:noProof/>
              </w:rPr>
              <w:t xml:space="preserve"> i odb</w:t>
            </w:r>
            <w:r w:rsidRPr="00201A9A">
              <w:rPr>
                <w:noProof/>
              </w:rPr>
              <w:t>iorcy końcowego, (iii) wykonawcy, (iv) podwykonawcy, (v) operacji, (vi) rozwoju lokalnego kierowanego przez społeczność</w:t>
            </w:r>
            <w:r w:rsidR="00201A9A" w:rsidRPr="00201A9A">
              <w:rPr>
                <w:noProof/>
              </w:rPr>
              <w:t xml:space="preserve"> w odn</w:t>
            </w:r>
            <w:r w:rsidRPr="00201A9A">
              <w:rPr>
                <w:noProof/>
              </w:rPr>
              <w:t>iesieniu do każdej lokalnej grupy działania, (vii) każdej grupy operacyjnej EPI-AGRI</w:t>
            </w:r>
          </w:p>
          <w:p w14:paraId="72CB5942" w14:textId="4D295BC8" w:rsidR="004A489F" w:rsidRPr="00201A9A" w:rsidRDefault="004A489F">
            <w:pPr>
              <w:rPr>
                <w:noProof/>
                <w:szCs w:val="24"/>
              </w:rPr>
            </w:pPr>
            <w:r w:rsidRPr="00201A9A">
              <w:rPr>
                <w:noProof/>
              </w:rPr>
              <w:t>Informacje związane</w:t>
            </w:r>
            <w:r w:rsidR="00201A9A" w:rsidRPr="00201A9A">
              <w:rPr>
                <w:noProof/>
              </w:rPr>
              <w:t xml:space="preserve"> z art</w:t>
            </w:r>
            <w:r w:rsidRPr="00201A9A">
              <w:rPr>
                <w:noProof/>
              </w:rPr>
              <w:t>.</w:t>
            </w:r>
            <w:r w:rsidR="00201A9A" w:rsidRPr="00201A9A">
              <w:rPr>
                <w:noProof/>
              </w:rPr>
              <w:t> </w:t>
            </w:r>
            <w:r w:rsidRPr="00201A9A">
              <w:rPr>
                <w:noProof/>
              </w:rPr>
              <w:t>10 ust.</w:t>
            </w:r>
            <w:r w:rsidR="00201A9A" w:rsidRPr="00201A9A">
              <w:rPr>
                <w:noProof/>
              </w:rPr>
              <w:t> </w:t>
            </w:r>
            <w:r w:rsidRPr="00201A9A">
              <w:rPr>
                <w:noProof/>
              </w:rPr>
              <w:t>3 rozporządzenia</w:t>
            </w:r>
            <w:r w:rsidR="00201A9A" w:rsidRPr="00201A9A">
              <w:rPr>
                <w:noProof/>
              </w:rPr>
              <w:t xml:space="preserve"> w spr</w:t>
            </w:r>
            <w:r w:rsidRPr="00201A9A">
              <w:rPr>
                <w:noProof/>
              </w:rPr>
              <w:t xml:space="preserve">awie wykonania. </w:t>
            </w:r>
          </w:p>
          <w:p w14:paraId="7E2C302F" w14:textId="546347BA" w:rsidR="004A489F" w:rsidRPr="00201A9A" w:rsidRDefault="004A489F">
            <w:pPr>
              <w:jc w:val="left"/>
              <w:rPr>
                <w:noProof/>
                <w:szCs w:val="24"/>
              </w:rPr>
            </w:pPr>
            <w:r w:rsidRPr="00201A9A">
              <w:rPr>
                <w:noProof/>
              </w:rPr>
              <w:t>Harmonogram planowanych zaproszeń do składania wniosków</w:t>
            </w:r>
            <w:r w:rsidR="00201A9A" w:rsidRPr="00201A9A">
              <w:rPr>
                <w:noProof/>
              </w:rPr>
              <w:t xml:space="preserve"> w ram</w:t>
            </w:r>
            <w:r w:rsidRPr="00201A9A">
              <w:rPr>
                <w:noProof/>
              </w:rPr>
              <w:t xml:space="preserve">ach Funduszu </w:t>
            </w:r>
          </w:p>
        </w:tc>
        <w:tc>
          <w:tcPr>
            <w:tcW w:w="1749" w:type="dxa"/>
          </w:tcPr>
          <w:p w14:paraId="00417AFB" w14:textId="77777777" w:rsidR="004A489F" w:rsidRPr="00201A9A" w:rsidRDefault="004A489F">
            <w:pPr>
              <w:jc w:val="left"/>
              <w:rPr>
                <w:noProof/>
                <w:szCs w:val="24"/>
              </w:rPr>
            </w:pPr>
            <w:r w:rsidRPr="00201A9A">
              <w:rPr>
                <w:noProof/>
              </w:rPr>
              <w:t>Artykuł 64</w:t>
            </w:r>
          </w:p>
        </w:tc>
        <w:tc>
          <w:tcPr>
            <w:tcW w:w="1884" w:type="dxa"/>
          </w:tcPr>
          <w:p w14:paraId="6B17A50E" w14:textId="77777777" w:rsidR="004A489F" w:rsidRPr="00201A9A" w:rsidRDefault="004A489F">
            <w:pPr>
              <w:jc w:val="left"/>
              <w:rPr>
                <w:noProof/>
                <w:szCs w:val="24"/>
              </w:rPr>
            </w:pPr>
            <w:r w:rsidRPr="00201A9A">
              <w:rPr>
                <w:noProof/>
              </w:rPr>
              <w:t>Państwa członkowskie</w:t>
            </w:r>
          </w:p>
        </w:tc>
        <w:tc>
          <w:tcPr>
            <w:tcW w:w="1902" w:type="dxa"/>
          </w:tcPr>
          <w:p w14:paraId="0523FAEF" w14:textId="77777777" w:rsidR="004A489F" w:rsidRPr="00201A9A" w:rsidRDefault="004A489F">
            <w:pPr>
              <w:jc w:val="left"/>
              <w:rPr>
                <w:noProof/>
                <w:szCs w:val="24"/>
              </w:rPr>
            </w:pPr>
            <w:r w:rsidRPr="00201A9A">
              <w:rPr>
                <w:noProof/>
              </w:rPr>
              <w:t>Społeczeństwo</w:t>
            </w:r>
          </w:p>
        </w:tc>
        <w:tc>
          <w:tcPr>
            <w:tcW w:w="2169" w:type="dxa"/>
          </w:tcPr>
          <w:p w14:paraId="505E5374" w14:textId="5AF8688F" w:rsidR="004A489F" w:rsidRPr="00201A9A" w:rsidRDefault="004A489F">
            <w:pPr>
              <w:jc w:val="left"/>
              <w:rPr>
                <w:noProof/>
                <w:szCs w:val="24"/>
              </w:rPr>
            </w:pPr>
            <w:r w:rsidRPr="00201A9A">
              <w:rPr>
                <w:noProof/>
              </w:rPr>
              <w:t>Przyjęcie decyzji</w:t>
            </w:r>
            <w:r w:rsidR="00201A9A" w:rsidRPr="00201A9A">
              <w:rPr>
                <w:noProof/>
              </w:rPr>
              <w:t xml:space="preserve"> w spr</w:t>
            </w:r>
            <w:r w:rsidRPr="00201A9A">
              <w:rPr>
                <w:noProof/>
              </w:rPr>
              <w:t xml:space="preserve">awie zatwierdzenia planu </w:t>
            </w:r>
          </w:p>
        </w:tc>
        <w:tc>
          <w:tcPr>
            <w:tcW w:w="2172" w:type="dxa"/>
          </w:tcPr>
          <w:p w14:paraId="4DB45E8F" w14:textId="5E8F762F" w:rsidR="004A489F" w:rsidRPr="00201A9A" w:rsidRDefault="004A489F">
            <w:pPr>
              <w:jc w:val="left"/>
              <w:rPr>
                <w:noProof/>
                <w:szCs w:val="24"/>
              </w:rPr>
            </w:pPr>
            <w:r w:rsidRPr="00201A9A">
              <w:rPr>
                <w:noProof/>
              </w:rPr>
              <w:t>Strona internetowa uruchomiona</w:t>
            </w:r>
            <w:r w:rsidR="00201A9A" w:rsidRPr="00201A9A">
              <w:rPr>
                <w:noProof/>
              </w:rPr>
              <w:t xml:space="preserve"> w cią</w:t>
            </w:r>
            <w:r w:rsidRPr="00201A9A">
              <w:rPr>
                <w:noProof/>
              </w:rPr>
              <w:t>gu sześciu miesięcy od przyjęcia przez Komisję decyzji</w:t>
            </w:r>
            <w:r w:rsidR="00201A9A" w:rsidRPr="00201A9A">
              <w:rPr>
                <w:noProof/>
              </w:rPr>
              <w:t xml:space="preserve"> o zat</w:t>
            </w:r>
            <w:r w:rsidRPr="00201A9A">
              <w:rPr>
                <w:noProof/>
              </w:rPr>
              <w:t>wierdzeniu planu.</w:t>
            </w:r>
          </w:p>
          <w:p w14:paraId="1B9C707D" w14:textId="77777777" w:rsidR="004A489F" w:rsidRPr="00201A9A" w:rsidRDefault="004A489F">
            <w:pPr>
              <w:jc w:val="left"/>
              <w:rPr>
                <w:noProof/>
                <w:szCs w:val="24"/>
              </w:rPr>
            </w:pPr>
            <w:r w:rsidRPr="00201A9A">
              <w:rPr>
                <w:noProof/>
              </w:rPr>
              <w:t>Dane są aktualizowane co</w:t>
            </w:r>
            <w:r w:rsidRPr="00201A9A">
              <w:rPr>
                <w:b/>
                <w:noProof/>
              </w:rPr>
              <w:t xml:space="preserve"> </w:t>
            </w:r>
            <w:r w:rsidRPr="00201A9A">
              <w:rPr>
                <w:noProof/>
              </w:rPr>
              <w:t>sześć</w:t>
            </w:r>
            <w:r w:rsidRPr="00201A9A">
              <w:rPr>
                <w:b/>
                <w:noProof/>
              </w:rPr>
              <w:t xml:space="preserve"> </w:t>
            </w:r>
            <w:r w:rsidRPr="00201A9A">
              <w:rPr>
                <w:noProof/>
              </w:rPr>
              <w:t>miesięcy.</w:t>
            </w:r>
          </w:p>
        </w:tc>
      </w:tr>
    </w:tbl>
    <w:p w14:paraId="5E51C68A" w14:textId="77777777" w:rsidR="004A489F" w:rsidRPr="00201A9A" w:rsidRDefault="004A489F" w:rsidP="004A489F">
      <w:pPr>
        <w:tabs>
          <w:tab w:val="left" w:pos="11838"/>
        </w:tabs>
        <w:rPr>
          <w:b/>
          <w:noProof/>
        </w:rPr>
      </w:pPr>
    </w:p>
    <w:p w14:paraId="023A77D9" w14:textId="77777777" w:rsidR="004A489F" w:rsidRPr="00201A9A" w:rsidRDefault="004A489F" w:rsidP="004A489F">
      <w:pPr>
        <w:pStyle w:val="ManualHeading2"/>
        <w:rPr>
          <w:noProof/>
        </w:rPr>
      </w:pPr>
      <w:r w:rsidRPr="00201A9A">
        <w:rPr>
          <w:noProof/>
        </w:rPr>
        <w:t>4.3. Rozwiązania cyfrowe</w:t>
      </w:r>
    </w:p>
    <w:p w14:paraId="18147FE6" w14:textId="77777777" w:rsidR="004A489F" w:rsidRPr="00201A9A" w:rsidRDefault="004A489F" w:rsidP="004A489F">
      <w:pPr>
        <w:rPr>
          <w:i/>
          <w:noProof/>
        </w:rPr>
      </w:pPr>
      <w:r w:rsidRPr="00201A9A">
        <w:rPr>
          <w:i/>
          <w:noProof/>
        </w:rPr>
        <w:t>Ogólny opis rozwiązań cyfrowych</w:t>
      </w:r>
    </w:p>
    <w:tbl>
      <w:tblPr>
        <w:tblStyle w:val="TableGrid"/>
        <w:tblW w:w="13993" w:type="dxa"/>
        <w:tblLook w:val="04A0" w:firstRow="1" w:lastRow="0" w:firstColumn="1" w:lastColumn="0" w:noHBand="0" w:noVBand="1"/>
      </w:tblPr>
      <w:tblGrid>
        <w:gridCol w:w="1644"/>
        <w:gridCol w:w="1714"/>
        <w:gridCol w:w="2581"/>
        <w:gridCol w:w="2557"/>
        <w:gridCol w:w="1628"/>
        <w:gridCol w:w="2106"/>
        <w:gridCol w:w="1763"/>
      </w:tblGrid>
      <w:tr w:rsidR="004A489F" w:rsidRPr="00201A9A" w14:paraId="12822E91" w14:textId="77777777">
        <w:trPr>
          <w:trHeight w:val="300"/>
        </w:trPr>
        <w:tc>
          <w:tcPr>
            <w:tcW w:w="1660" w:type="dxa"/>
            <w:vAlign w:val="center"/>
          </w:tcPr>
          <w:p w14:paraId="657B59A5" w14:textId="77777777" w:rsidR="004A489F" w:rsidRPr="00201A9A" w:rsidRDefault="004A489F">
            <w:pPr>
              <w:spacing w:before="0" w:after="0"/>
              <w:jc w:val="center"/>
              <w:rPr>
                <w:b/>
                <w:noProof/>
                <w:color w:val="000000"/>
                <w:szCs w:val="24"/>
              </w:rPr>
            </w:pPr>
            <w:r w:rsidRPr="00201A9A">
              <w:rPr>
                <w:b/>
                <w:noProof/>
                <w:color w:val="000000"/>
              </w:rPr>
              <w:t>Rozwiązanie cyfrowe</w:t>
            </w:r>
          </w:p>
        </w:tc>
        <w:tc>
          <w:tcPr>
            <w:tcW w:w="1749" w:type="dxa"/>
            <w:vAlign w:val="center"/>
          </w:tcPr>
          <w:p w14:paraId="482AFD89" w14:textId="77777777" w:rsidR="004A489F" w:rsidRPr="00201A9A" w:rsidRDefault="004A489F">
            <w:pPr>
              <w:jc w:val="center"/>
              <w:rPr>
                <w:b/>
                <w:noProof/>
                <w:szCs w:val="24"/>
              </w:rPr>
            </w:pPr>
            <w:r w:rsidRPr="00201A9A">
              <w:rPr>
                <w:b/>
                <w:noProof/>
              </w:rPr>
              <w:t>Odniesienia do wymogów</w:t>
            </w:r>
          </w:p>
        </w:tc>
        <w:tc>
          <w:tcPr>
            <w:tcW w:w="2681" w:type="dxa"/>
            <w:vAlign w:val="center"/>
          </w:tcPr>
          <w:p w14:paraId="344D4E82" w14:textId="77777777" w:rsidR="004A489F" w:rsidRPr="00201A9A" w:rsidRDefault="004A489F">
            <w:pPr>
              <w:spacing w:before="0" w:after="0"/>
              <w:jc w:val="center"/>
              <w:rPr>
                <w:b/>
                <w:noProof/>
                <w:color w:val="000000"/>
                <w:szCs w:val="24"/>
              </w:rPr>
            </w:pPr>
            <w:r w:rsidRPr="00201A9A">
              <w:rPr>
                <w:b/>
                <w:noProof/>
                <w:color w:val="000000"/>
              </w:rPr>
              <w:t>Podstawowa wymagana funkcjonalność</w:t>
            </w:r>
          </w:p>
        </w:tc>
        <w:tc>
          <w:tcPr>
            <w:tcW w:w="2649" w:type="dxa"/>
            <w:vAlign w:val="center"/>
          </w:tcPr>
          <w:p w14:paraId="14C98D9F" w14:textId="77777777" w:rsidR="004A489F" w:rsidRPr="00201A9A" w:rsidRDefault="004A489F">
            <w:pPr>
              <w:jc w:val="center"/>
              <w:rPr>
                <w:b/>
                <w:noProof/>
                <w:color w:val="000000" w:themeColor="text1"/>
                <w:szCs w:val="24"/>
              </w:rPr>
            </w:pPr>
            <w:r w:rsidRPr="00201A9A">
              <w:rPr>
                <w:b/>
                <w:noProof/>
                <w:color w:val="000000" w:themeColor="text1"/>
              </w:rPr>
              <w:t>Organ odpowiedzialny</w:t>
            </w:r>
          </w:p>
        </w:tc>
        <w:tc>
          <w:tcPr>
            <w:tcW w:w="1644" w:type="dxa"/>
            <w:vAlign w:val="center"/>
          </w:tcPr>
          <w:p w14:paraId="134ACFAD" w14:textId="77777777" w:rsidR="004A489F" w:rsidRPr="00201A9A" w:rsidRDefault="004A489F">
            <w:pPr>
              <w:spacing w:before="0" w:after="0"/>
              <w:jc w:val="center"/>
              <w:rPr>
                <w:b/>
                <w:noProof/>
                <w:color w:val="000000"/>
                <w:szCs w:val="24"/>
              </w:rPr>
            </w:pPr>
            <w:r w:rsidRPr="00201A9A">
              <w:rPr>
                <w:b/>
                <w:noProof/>
                <w:color w:val="000000"/>
              </w:rPr>
              <w:t>W jaki sposób zapewniania jest dostępność?</w:t>
            </w:r>
          </w:p>
        </w:tc>
        <w:tc>
          <w:tcPr>
            <w:tcW w:w="2140" w:type="dxa"/>
            <w:vAlign w:val="center"/>
          </w:tcPr>
          <w:p w14:paraId="380DDB31" w14:textId="77777777" w:rsidR="004A489F" w:rsidRPr="00201A9A" w:rsidRDefault="004A489F">
            <w:pPr>
              <w:spacing w:before="0" w:after="0"/>
              <w:jc w:val="center"/>
              <w:rPr>
                <w:b/>
                <w:noProof/>
                <w:color w:val="000000"/>
                <w:szCs w:val="24"/>
              </w:rPr>
            </w:pPr>
            <w:r w:rsidRPr="00201A9A">
              <w:rPr>
                <w:b/>
                <w:noProof/>
                <w:color w:val="000000"/>
              </w:rPr>
              <w:t>W jaki sposób uwzględniono wymóg ponownego wykorzystania?</w:t>
            </w:r>
          </w:p>
        </w:tc>
        <w:tc>
          <w:tcPr>
            <w:tcW w:w="1470" w:type="dxa"/>
            <w:vAlign w:val="center"/>
          </w:tcPr>
          <w:p w14:paraId="069EBB40" w14:textId="77777777" w:rsidR="004A489F" w:rsidRPr="00201A9A" w:rsidRDefault="004A489F">
            <w:pPr>
              <w:spacing w:before="0" w:after="0"/>
              <w:jc w:val="center"/>
              <w:rPr>
                <w:b/>
                <w:noProof/>
                <w:color w:val="000000"/>
                <w:szCs w:val="24"/>
              </w:rPr>
            </w:pPr>
            <w:r w:rsidRPr="00201A9A">
              <w:rPr>
                <w:b/>
                <w:noProof/>
                <w:color w:val="000000"/>
              </w:rPr>
              <w:t>Wykorzystanie technologii sztucznej inteligencji (stosownie do przypadku)</w:t>
            </w:r>
          </w:p>
        </w:tc>
      </w:tr>
      <w:tr w:rsidR="004A489F" w:rsidRPr="00201A9A" w14:paraId="5C3E4286" w14:textId="77777777">
        <w:trPr>
          <w:trHeight w:val="300"/>
        </w:trPr>
        <w:tc>
          <w:tcPr>
            <w:tcW w:w="1660" w:type="dxa"/>
          </w:tcPr>
          <w:p w14:paraId="27411983" w14:textId="77777777" w:rsidR="004A489F" w:rsidRPr="00201A9A" w:rsidRDefault="004A489F">
            <w:pPr>
              <w:jc w:val="left"/>
              <w:rPr>
                <w:noProof/>
              </w:rPr>
            </w:pPr>
            <w:r w:rsidRPr="00201A9A">
              <w:rPr>
                <w:noProof/>
              </w:rPr>
              <w:t>//</w:t>
            </w:r>
          </w:p>
        </w:tc>
        <w:tc>
          <w:tcPr>
            <w:tcW w:w="1749" w:type="dxa"/>
          </w:tcPr>
          <w:p w14:paraId="077C9035" w14:textId="77777777" w:rsidR="004A489F" w:rsidRPr="00201A9A" w:rsidRDefault="004A489F">
            <w:pPr>
              <w:jc w:val="left"/>
              <w:rPr>
                <w:noProof/>
              </w:rPr>
            </w:pPr>
          </w:p>
        </w:tc>
        <w:tc>
          <w:tcPr>
            <w:tcW w:w="2681" w:type="dxa"/>
          </w:tcPr>
          <w:p w14:paraId="50B4FE05" w14:textId="77777777" w:rsidR="004A489F" w:rsidRPr="00201A9A" w:rsidRDefault="004A489F">
            <w:pPr>
              <w:jc w:val="left"/>
              <w:rPr>
                <w:noProof/>
              </w:rPr>
            </w:pPr>
          </w:p>
        </w:tc>
        <w:tc>
          <w:tcPr>
            <w:tcW w:w="2649" w:type="dxa"/>
          </w:tcPr>
          <w:p w14:paraId="4A81EB92" w14:textId="77777777" w:rsidR="004A489F" w:rsidRPr="00201A9A" w:rsidRDefault="004A489F">
            <w:pPr>
              <w:jc w:val="left"/>
              <w:rPr>
                <w:noProof/>
              </w:rPr>
            </w:pPr>
          </w:p>
        </w:tc>
        <w:tc>
          <w:tcPr>
            <w:tcW w:w="1644" w:type="dxa"/>
          </w:tcPr>
          <w:p w14:paraId="75370D23" w14:textId="77777777" w:rsidR="004A489F" w:rsidRPr="00201A9A" w:rsidRDefault="004A489F">
            <w:pPr>
              <w:jc w:val="left"/>
              <w:rPr>
                <w:noProof/>
              </w:rPr>
            </w:pPr>
          </w:p>
        </w:tc>
        <w:tc>
          <w:tcPr>
            <w:tcW w:w="2140" w:type="dxa"/>
          </w:tcPr>
          <w:p w14:paraId="5BFFF465" w14:textId="77777777" w:rsidR="004A489F" w:rsidRPr="00201A9A" w:rsidRDefault="004A489F">
            <w:pPr>
              <w:jc w:val="left"/>
              <w:rPr>
                <w:noProof/>
              </w:rPr>
            </w:pPr>
          </w:p>
        </w:tc>
        <w:tc>
          <w:tcPr>
            <w:tcW w:w="1470" w:type="dxa"/>
          </w:tcPr>
          <w:p w14:paraId="054FAA20" w14:textId="77777777" w:rsidR="004A489F" w:rsidRPr="00201A9A" w:rsidRDefault="004A489F">
            <w:pPr>
              <w:jc w:val="left"/>
              <w:rPr>
                <w:noProof/>
              </w:rPr>
            </w:pPr>
          </w:p>
        </w:tc>
      </w:tr>
    </w:tbl>
    <w:p w14:paraId="5B8AF1A9" w14:textId="2424DF3B" w:rsidR="004A489F" w:rsidRPr="00201A9A" w:rsidRDefault="004A489F" w:rsidP="004A489F">
      <w:pPr>
        <w:rPr>
          <w:i/>
          <w:noProof/>
        </w:rPr>
      </w:pPr>
      <w:r w:rsidRPr="00201A9A">
        <w:rPr>
          <w:i/>
          <w:noProof/>
        </w:rPr>
        <w:t>W odniesieniu do każdego rozwiązania cyfrowego – wyjaśnienie,</w:t>
      </w:r>
      <w:r w:rsidR="00201A9A" w:rsidRPr="00201A9A">
        <w:rPr>
          <w:i/>
          <w:noProof/>
        </w:rPr>
        <w:t xml:space="preserve"> w jak</w:t>
      </w:r>
      <w:r w:rsidRPr="00201A9A">
        <w:rPr>
          <w:i/>
          <w:noProof/>
        </w:rPr>
        <w:t>i sposób rozwiązanie cyfrowe jest zgodne</w:t>
      </w:r>
      <w:r w:rsidR="00201A9A" w:rsidRPr="00201A9A">
        <w:rPr>
          <w:i/>
          <w:noProof/>
        </w:rPr>
        <w:t xml:space="preserve"> z obo</w:t>
      </w:r>
      <w:r w:rsidRPr="00201A9A">
        <w:rPr>
          <w:i/>
          <w:noProof/>
        </w:rPr>
        <w:t>wiązującymi politykami cyfrowymi</w:t>
      </w:r>
      <w:r w:rsidR="00201A9A" w:rsidRPr="00201A9A">
        <w:rPr>
          <w:i/>
          <w:noProof/>
        </w:rPr>
        <w:t xml:space="preserve"> i akt</w:t>
      </w:r>
      <w:r w:rsidRPr="00201A9A">
        <w:rPr>
          <w:i/>
          <w:noProof/>
        </w:rPr>
        <w:t>ami ustawodawczymi</w:t>
      </w:r>
    </w:p>
    <w:p w14:paraId="7C65B835" w14:textId="654A8D6C" w:rsidR="004A489F" w:rsidRPr="00201A9A" w:rsidRDefault="004A489F" w:rsidP="004A489F">
      <w:pPr>
        <w:rPr>
          <w:b/>
          <w:noProof/>
          <w:u w:val="single"/>
        </w:rPr>
      </w:pPr>
      <w:r w:rsidRPr="00201A9A">
        <w:rPr>
          <w:noProof/>
        </w:rPr>
        <w:t>Rozwiązania cyfrowe wspierane</w:t>
      </w:r>
      <w:r w:rsidR="00201A9A" w:rsidRPr="00201A9A">
        <w:rPr>
          <w:noProof/>
        </w:rPr>
        <w:t xml:space="preserve"> w ram</w:t>
      </w:r>
      <w:r w:rsidRPr="00201A9A">
        <w:rPr>
          <w:noProof/>
        </w:rPr>
        <w:t>ach przyszłych planów partnerstwa krajowego</w:t>
      </w:r>
      <w:r w:rsidR="00201A9A" w:rsidRPr="00201A9A">
        <w:rPr>
          <w:noProof/>
        </w:rPr>
        <w:t xml:space="preserve"> i reg</w:t>
      </w:r>
      <w:r w:rsidRPr="00201A9A">
        <w:rPr>
          <w:noProof/>
        </w:rPr>
        <w:t>ionalnego zostaną dostosowane do krajowych</w:t>
      </w:r>
      <w:r w:rsidR="00201A9A" w:rsidRPr="00201A9A">
        <w:rPr>
          <w:noProof/>
        </w:rPr>
        <w:t xml:space="preserve"> i reg</w:t>
      </w:r>
      <w:r w:rsidRPr="00201A9A">
        <w:rPr>
          <w:noProof/>
        </w:rPr>
        <w:t>ionalnych potrzeb</w:t>
      </w:r>
      <w:r w:rsidR="00201A9A" w:rsidRPr="00201A9A">
        <w:rPr>
          <w:noProof/>
        </w:rPr>
        <w:t xml:space="preserve"> i wyz</w:t>
      </w:r>
      <w:r w:rsidRPr="00201A9A">
        <w:rPr>
          <w:noProof/>
        </w:rPr>
        <w:t>wań każdego państwa członkowskiego</w:t>
      </w:r>
      <w:r w:rsidR="00201A9A" w:rsidRPr="00201A9A">
        <w:rPr>
          <w:noProof/>
        </w:rPr>
        <w:t xml:space="preserve"> w cel</w:t>
      </w:r>
      <w:r w:rsidRPr="00201A9A">
        <w:rPr>
          <w:noProof/>
        </w:rPr>
        <w:t>u zapewnienia skutecznego osiągnięcia celów planów</w:t>
      </w:r>
      <w:r w:rsidR="00201A9A" w:rsidRPr="00201A9A">
        <w:rPr>
          <w:noProof/>
        </w:rPr>
        <w:t xml:space="preserve"> i wyp</w:t>
      </w:r>
      <w:r w:rsidRPr="00201A9A">
        <w:rPr>
          <w:noProof/>
        </w:rPr>
        <w:t>ełnienia przez państwa członkowskie ich obowiązków wynikających</w:t>
      </w:r>
      <w:r w:rsidR="00201A9A" w:rsidRPr="00201A9A">
        <w:rPr>
          <w:noProof/>
        </w:rPr>
        <w:t xml:space="preserve"> z nin</w:t>
      </w:r>
      <w:r w:rsidRPr="00201A9A">
        <w:rPr>
          <w:noProof/>
        </w:rPr>
        <w:t>iejszego rozporządzenia. Komisja może również opracowywać nowe rozwiązania cyfrowe lub</w:t>
      </w:r>
      <w:r w:rsidR="00201A9A" w:rsidRPr="00201A9A">
        <w:rPr>
          <w:noProof/>
        </w:rPr>
        <w:t xml:space="preserve"> w raz</w:t>
      </w:r>
      <w:r w:rsidRPr="00201A9A">
        <w:rPr>
          <w:noProof/>
        </w:rPr>
        <w:t>ie potrzeby aktualizować istniejące rozwiązania</w:t>
      </w:r>
      <w:r w:rsidR="00201A9A" w:rsidRPr="00201A9A">
        <w:rPr>
          <w:noProof/>
        </w:rPr>
        <w:t xml:space="preserve"> w cel</w:t>
      </w:r>
      <w:r w:rsidRPr="00201A9A">
        <w:rPr>
          <w:noProof/>
        </w:rPr>
        <w:t>u wypełnienia swoich obowiązków wynikających</w:t>
      </w:r>
      <w:r w:rsidR="00201A9A" w:rsidRPr="00201A9A">
        <w:rPr>
          <w:noProof/>
        </w:rPr>
        <w:t xml:space="preserve"> z nin</w:t>
      </w:r>
      <w:r w:rsidRPr="00201A9A">
        <w:rPr>
          <w:noProof/>
        </w:rPr>
        <w:t>iejszego rozporządzenia.</w:t>
      </w:r>
    </w:p>
    <w:p w14:paraId="6558C4F5" w14:textId="77777777" w:rsidR="004A489F" w:rsidRPr="00201A9A" w:rsidRDefault="004A489F" w:rsidP="004A489F">
      <w:pPr>
        <w:rPr>
          <w:b/>
          <w:noProof/>
          <w:u w:val="single"/>
        </w:rPr>
      </w:pPr>
      <w:r w:rsidRPr="00201A9A">
        <w:rPr>
          <w:b/>
          <w:noProof/>
          <w:u w:val="single"/>
        </w:rPr>
        <w:t>Rozwiązanie cyfrowe #1</w:t>
      </w:r>
    </w:p>
    <w:tbl>
      <w:tblPr>
        <w:tblStyle w:val="TableGrid"/>
        <w:tblW w:w="14077" w:type="dxa"/>
        <w:tblLook w:val="04A0" w:firstRow="1" w:lastRow="0" w:firstColumn="1" w:lastColumn="0" w:noHBand="0" w:noVBand="1"/>
      </w:tblPr>
      <w:tblGrid>
        <w:gridCol w:w="5788"/>
        <w:gridCol w:w="8289"/>
      </w:tblGrid>
      <w:tr w:rsidR="004A489F" w:rsidRPr="00201A9A" w14:paraId="5E1F309C" w14:textId="77777777">
        <w:tc>
          <w:tcPr>
            <w:tcW w:w="5788" w:type="dxa"/>
          </w:tcPr>
          <w:p w14:paraId="1988E703" w14:textId="77777777" w:rsidR="004A489F" w:rsidRPr="00201A9A" w:rsidRDefault="004A489F">
            <w:pPr>
              <w:jc w:val="left"/>
              <w:rPr>
                <w:b/>
                <w:noProof/>
              </w:rPr>
            </w:pPr>
            <w:r w:rsidRPr="00201A9A">
              <w:rPr>
                <w:b/>
                <w:noProof/>
              </w:rPr>
              <w:t>Polityka cyfrowa lub sektorowa (jeżeli mają zastosowanie)</w:t>
            </w:r>
          </w:p>
        </w:tc>
        <w:tc>
          <w:tcPr>
            <w:tcW w:w="8289" w:type="dxa"/>
          </w:tcPr>
          <w:p w14:paraId="3413292B" w14:textId="3FE61B27" w:rsidR="004A489F" w:rsidRPr="00201A9A" w:rsidRDefault="004A489F">
            <w:pPr>
              <w:jc w:val="left"/>
              <w:rPr>
                <w:b/>
                <w:noProof/>
              </w:rPr>
            </w:pPr>
            <w:r w:rsidRPr="00201A9A">
              <w:rPr>
                <w:b/>
                <w:noProof/>
              </w:rPr>
              <w:t>Wyjaśnienie,</w:t>
            </w:r>
            <w:r w:rsidR="00201A9A" w:rsidRPr="00201A9A">
              <w:rPr>
                <w:b/>
                <w:noProof/>
              </w:rPr>
              <w:t xml:space="preserve"> w jak</w:t>
            </w:r>
            <w:r w:rsidRPr="00201A9A">
              <w:rPr>
                <w:b/>
                <w:noProof/>
              </w:rPr>
              <w:t>i sposób te polityki są zgodne</w:t>
            </w:r>
          </w:p>
        </w:tc>
      </w:tr>
      <w:tr w:rsidR="004A489F" w:rsidRPr="00201A9A" w14:paraId="0A7FFE64" w14:textId="77777777">
        <w:tc>
          <w:tcPr>
            <w:tcW w:w="5788" w:type="dxa"/>
          </w:tcPr>
          <w:p w14:paraId="6D98B047" w14:textId="7771B4B8" w:rsidR="004A489F" w:rsidRPr="00201A9A" w:rsidRDefault="004A489F">
            <w:pPr>
              <w:jc w:val="left"/>
              <w:rPr>
                <w:b/>
                <w:i/>
                <w:noProof/>
              </w:rPr>
            </w:pPr>
            <w:r w:rsidRPr="00201A9A">
              <w:rPr>
                <w:b/>
                <w:i/>
                <w:noProof/>
              </w:rPr>
              <w:t>Akt</w:t>
            </w:r>
            <w:r w:rsidR="00201A9A" w:rsidRPr="00201A9A">
              <w:rPr>
                <w:b/>
                <w:i/>
                <w:noProof/>
              </w:rPr>
              <w:t xml:space="preserve"> w spr</w:t>
            </w:r>
            <w:r w:rsidRPr="00201A9A">
              <w:rPr>
                <w:b/>
                <w:i/>
                <w:noProof/>
              </w:rPr>
              <w:t>awie sztucznej inteligencji</w:t>
            </w:r>
          </w:p>
        </w:tc>
        <w:tc>
          <w:tcPr>
            <w:tcW w:w="8289" w:type="dxa"/>
          </w:tcPr>
          <w:p w14:paraId="15AF8B4E" w14:textId="77777777" w:rsidR="004A489F" w:rsidRPr="00201A9A" w:rsidRDefault="004A489F">
            <w:pPr>
              <w:jc w:val="left"/>
              <w:rPr>
                <w:noProof/>
              </w:rPr>
            </w:pPr>
            <w:r w:rsidRPr="00201A9A">
              <w:rPr>
                <w:noProof/>
              </w:rPr>
              <w:t>Nie dotyczy</w:t>
            </w:r>
          </w:p>
        </w:tc>
      </w:tr>
      <w:tr w:rsidR="004A489F" w:rsidRPr="00201A9A" w14:paraId="6302745B" w14:textId="77777777">
        <w:tc>
          <w:tcPr>
            <w:tcW w:w="5788" w:type="dxa"/>
          </w:tcPr>
          <w:p w14:paraId="6B4EE7A4" w14:textId="77777777" w:rsidR="004A489F" w:rsidRPr="00201A9A" w:rsidRDefault="004A489F">
            <w:pPr>
              <w:jc w:val="left"/>
              <w:rPr>
                <w:b/>
                <w:i/>
                <w:noProof/>
              </w:rPr>
            </w:pPr>
            <w:r w:rsidRPr="00201A9A">
              <w:rPr>
                <w:b/>
                <w:i/>
                <w:noProof/>
              </w:rPr>
              <w:t>Ramy UE dotyczące cyberbezpieczeństwa</w:t>
            </w:r>
          </w:p>
        </w:tc>
        <w:tc>
          <w:tcPr>
            <w:tcW w:w="8289" w:type="dxa"/>
          </w:tcPr>
          <w:p w14:paraId="4D1969F3" w14:textId="77777777" w:rsidR="004A489F" w:rsidRPr="00201A9A" w:rsidRDefault="004A489F">
            <w:pPr>
              <w:jc w:val="left"/>
              <w:rPr>
                <w:noProof/>
              </w:rPr>
            </w:pPr>
            <w:r w:rsidRPr="00201A9A">
              <w:rPr>
                <w:noProof/>
              </w:rPr>
              <w:t>Nie dotyczy</w:t>
            </w:r>
          </w:p>
        </w:tc>
      </w:tr>
      <w:tr w:rsidR="004A489F" w:rsidRPr="00201A9A" w14:paraId="21C9B7AE" w14:textId="77777777">
        <w:tc>
          <w:tcPr>
            <w:tcW w:w="5788" w:type="dxa"/>
          </w:tcPr>
          <w:p w14:paraId="7036A22B" w14:textId="77777777" w:rsidR="004A489F" w:rsidRPr="00201A9A" w:rsidRDefault="004A489F">
            <w:pPr>
              <w:jc w:val="left"/>
              <w:rPr>
                <w:b/>
                <w:i/>
                <w:noProof/>
              </w:rPr>
            </w:pPr>
            <w:r w:rsidRPr="00201A9A">
              <w:rPr>
                <w:b/>
                <w:i/>
                <w:noProof/>
              </w:rPr>
              <w:t>eIDAS</w:t>
            </w:r>
          </w:p>
        </w:tc>
        <w:tc>
          <w:tcPr>
            <w:tcW w:w="8289" w:type="dxa"/>
          </w:tcPr>
          <w:p w14:paraId="7AF84706" w14:textId="77777777" w:rsidR="004A489F" w:rsidRPr="00201A9A" w:rsidRDefault="004A489F">
            <w:pPr>
              <w:jc w:val="left"/>
              <w:rPr>
                <w:noProof/>
              </w:rPr>
            </w:pPr>
            <w:r w:rsidRPr="00201A9A">
              <w:rPr>
                <w:noProof/>
              </w:rPr>
              <w:t>Nie dotyczy</w:t>
            </w:r>
          </w:p>
        </w:tc>
      </w:tr>
      <w:tr w:rsidR="004A489F" w:rsidRPr="00201A9A" w14:paraId="60C8FD70" w14:textId="77777777">
        <w:tc>
          <w:tcPr>
            <w:tcW w:w="5788" w:type="dxa"/>
          </w:tcPr>
          <w:p w14:paraId="5298437C" w14:textId="77777777" w:rsidR="004A489F" w:rsidRPr="00201A9A" w:rsidRDefault="004A489F">
            <w:pPr>
              <w:jc w:val="left"/>
              <w:rPr>
                <w:b/>
                <w:i/>
                <w:noProof/>
              </w:rPr>
            </w:pPr>
            <w:r w:rsidRPr="00201A9A">
              <w:rPr>
                <w:b/>
                <w:i/>
                <w:noProof/>
              </w:rPr>
              <w:t>Jednolity portal cyfrowy oraz IMI</w:t>
            </w:r>
          </w:p>
        </w:tc>
        <w:tc>
          <w:tcPr>
            <w:tcW w:w="8289" w:type="dxa"/>
          </w:tcPr>
          <w:p w14:paraId="3661CB82" w14:textId="77777777" w:rsidR="004A489F" w:rsidRPr="00201A9A" w:rsidRDefault="004A489F">
            <w:pPr>
              <w:jc w:val="left"/>
              <w:rPr>
                <w:noProof/>
              </w:rPr>
            </w:pPr>
            <w:r w:rsidRPr="00201A9A">
              <w:rPr>
                <w:noProof/>
              </w:rPr>
              <w:t>Nie dotyczy</w:t>
            </w:r>
          </w:p>
        </w:tc>
      </w:tr>
      <w:tr w:rsidR="004A489F" w:rsidRPr="00201A9A" w14:paraId="43C44AB2" w14:textId="77777777">
        <w:tc>
          <w:tcPr>
            <w:tcW w:w="5788" w:type="dxa"/>
          </w:tcPr>
          <w:p w14:paraId="19AF88E8" w14:textId="77777777" w:rsidR="004A489F" w:rsidRPr="00201A9A" w:rsidRDefault="004A489F">
            <w:pPr>
              <w:jc w:val="left"/>
              <w:rPr>
                <w:b/>
                <w:i/>
                <w:noProof/>
              </w:rPr>
            </w:pPr>
            <w:r w:rsidRPr="00201A9A">
              <w:rPr>
                <w:b/>
                <w:i/>
                <w:noProof/>
              </w:rPr>
              <w:t>Inne</w:t>
            </w:r>
          </w:p>
        </w:tc>
        <w:tc>
          <w:tcPr>
            <w:tcW w:w="8289" w:type="dxa"/>
          </w:tcPr>
          <w:p w14:paraId="7E23F03D" w14:textId="77777777" w:rsidR="004A489F" w:rsidRPr="00201A9A" w:rsidRDefault="004A489F">
            <w:pPr>
              <w:jc w:val="left"/>
              <w:rPr>
                <w:rFonts w:eastAsia="Calibri"/>
                <w:noProof/>
              </w:rPr>
            </w:pPr>
            <w:r w:rsidRPr="00201A9A">
              <w:rPr>
                <w:noProof/>
              </w:rPr>
              <w:t>Nie dotyczy</w:t>
            </w:r>
          </w:p>
        </w:tc>
      </w:tr>
    </w:tbl>
    <w:p w14:paraId="5C72764A" w14:textId="77777777" w:rsidR="004A489F" w:rsidRPr="00201A9A" w:rsidRDefault="004A489F" w:rsidP="004A489F">
      <w:pPr>
        <w:rPr>
          <w:noProof/>
        </w:rPr>
      </w:pPr>
    </w:p>
    <w:p w14:paraId="2E30D6BE" w14:textId="77777777" w:rsidR="004A489F" w:rsidRPr="00201A9A" w:rsidRDefault="004A489F" w:rsidP="004A489F">
      <w:pPr>
        <w:pStyle w:val="ManualHeading2"/>
        <w:rPr>
          <w:noProof/>
        </w:rPr>
      </w:pPr>
      <w:r w:rsidRPr="00201A9A">
        <w:rPr>
          <w:noProof/>
        </w:rPr>
        <w:t>4.4. Ocena interoperacyjności</w:t>
      </w:r>
    </w:p>
    <w:p w14:paraId="22AAF30B" w14:textId="77777777" w:rsidR="004A489F" w:rsidRPr="00201A9A" w:rsidRDefault="004A489F" w:rsidP="004A489F">
      <w:pPr>
        <w:rPr>
          <w:i/>
          <w:noProof/>
        </w:rPr>
      </w:pPr>
      <w:r w:rsidRPr="00201A9A">
        <w:rPr>
          <w:i/>
          <w:noProof/>
        </w:rPr>
        <w:t>Ogólny opis cyfrowych usług publicznych, na które mają wpływ wymogi</w:t>
      </w:r>
    </w:p>
    <w:tbl>
      <w:tblPr>
        <w:tblStyle w:val="TableGrid"/>
        <w:tblW w:w="14454" w:type="dxa"/>
        <w:tblLook w:val="04A0" w:firstRow="1" w:lastRow="0" w:firstColumn="1" w:lastColumn="0" w:noHBand="0" w:noVBand="1"/>
      </w:tblPr>
      <w:tblGrid>
        <w:gridCol w:w="2263"/>
        <w:gridCol w:w="3544"/>
        <w:gridCol w:w="2268"/>
        <w:gridCol w:w="2409"/>
        <w:gridCol w:w="3970"/>
      </w:tblGrid>
      <w:tr w:rsidR="004A489F" w:rsidRPr="00201A9A" w14:paraId="10C9805B" w14:textId="77777777">
        <w:trPr>
          <w:trHeight w:val="300"/>
        </w:trPr>
        <w:tc>
          <w:tcPr>
            <w:tcW w:w="2263" w:type="dxa"/>
          </w:tcPr>
          <w:p w14:paraId="133AB36F" w14:textId="77777777" w:rsidR="004A489F" w:rsidRPr="00201A9A" w:rsidRDefault="004A489F">
            <w:pPr>
              <w:spacing w:before="0" w:after="0"/>
              <w:jc w:val="left"/>
              <w:rPr>
                <w:b/>
                <w:noProof/>
                <w:color w:val="000000"/>
                <w:szCs w:val="24"/>
              </w:rPr>
            </w:pPr>
            <w:r w:rsidRPr="00201A9A">
              <w:rPr>
                <w:b/>
                <w:noProof/>
                <w:color w:val="000000" w:themeColor="text1"/>
              </w:rPr>
              <w:t>Cyfrowa usługa publiczna lub kategoria cyfrowych usług publicznych</w:t>
            </w:r>
          </w:p>
        </w:tc>
        <w:tc>
          <w:tcPr>
            <w:tcW w:w="3544" w:type="dxa"/>
          </w:tcPr>
          <w:p w14:paraId="4E0252E9" w14:textId="77777777" w:rsidR="004A489F" w:rsidRPr="00201A9A" w:rsidRDefault="004A489F">
            <w:pPr>
              <w:jc w:val="left"/>
              <w:rPr>
                <w:b/>
                <w:noProof/>
                <w:szCs w:val="24"/>
              </w:rPr>
            </w:pPr>
            <w:r w:rsidRPr="00201A9A">
              <w:rPr>
                <w:b/>
                <w:noProof/>
              </w:rPr>
              <w:t>Opis</w:t>
            </w:r>
          </w:p>
        </w:tc>
        <w:tc>
          <w:tcPr>
            <w:tcW w:w="2268" w:type="dxa"/>
            <w:shd w:val="clear" w:color="auto" w:fill="FFFFFF" w:themeFill="background1"/>
          </w:tcPr>
          <w:p w14:paraId="4A338737" w14:textId="77777777" w:rsidR="004A489F" w:rsidRPr="00201A9A" w:rsidRDefault="004A489F">
            <w:pPr>
              <w:jc w:val="left"/>
              <w:rPr>
                <w:b/>
                <w:noProof/>
                <w:szCs w:val="24"/>
              </w:rPr>
            </w:pPr>
            <w:r w:rsidRPr="00201A9A">
              <w:rPr>
                <w:b/>
                <w:noProof/>
              </w:rPr>
              <w:t>Odniesienia do wymogów</w:t>
            </w:r>
          </w:p>
        </w:tc>
        <w:tc>
          <w:tcPr>
            <w:tcW w:w="2409" w:type="dxa"/>
            <w:shd w:val="clear" w:color="auto" w:fill="FFFFFF" w:themeFill="background1"/>
          </w:tcPr>
          <w:p w14:paraId="35D72944" w14:textId="77777777" w:rsidR="004A489F" w:rsidRPr="00201A9A" w:rsidRDefault="004A489F">
            <w:pPr>
              <w:jc w:val="left"/>
              <w:rPr>
                <w:b/>
                <w:noProof/>
                <w:szCs w:val="24"/>
              </w:rPr>
            </w:pPr>
            <w:r w:rsidRPr="00201A9A">
              <w:rPr>
                <w:b/>
                <w:noProof/>
              </w:rPr>
              <w:t xml:space="preserve">Rozwiązania Interoperacyjnej Europy </w:t>
            </w:r>
          </w:p>
        </w:tc>
        <w:tc>
          <w:tcPr>
            <w:tcW w:w="3970" w:type="dxa"/>
            <w:shd w:val="clear" w:color="auto" w:fill="FFFFFF" w:themeFill="background1"/>
          </w:tcPr>
          <w:p w14:paraId="1A56D8D7" w14:textId="582DDF72" w:rsidR="004A489F" w:rsidRPr="00201A9A" w:rsidRDefault="004A489F">
            <w:pPr>
              <w:jc w:val="left"/>
              <w:rPr>
                <w:b/>
                <w:noProof/>
                <w:szCs w:val="24"/>
              </w:rPr>
            </w:pPr>
            <w:r w:rsidRPr="00201A9A">
              <w:rPr>
                <w:b/>
                <w:noProof/>
              </w:rPr>
              <w:t>Inne rozwiązania</w:t>
            </w:r>
            <w:r w:rsidR="00201A9A" w:rsidRPr="00201A9A">
              <w:rPr>
                <w:b/>
                <w:noProof/>
              </w:rPr>
              <w:t xml:space="preserve"> w zak</w:t>
            </w:r>
            <w:r w:rsidRPr="00201A9A">
              <w:rPr>
                <w:b/>
                <w:noProof/>
              </w:rPr>
              <w:t>resie interoperacyjności</w:t>
            </w:r>
          </w:p>
        </w:tc>
      </w:tr>
      <w:tr w:rsidR="004A489F" w:rsidRPr="00201A9A" w14:paraId="07F0241C" w14:textId="77777777">
        <w:trPr>
          <w:trHeight w:val="300"/>
        </w:trPr>
        <w:tc>
          <w:tcPr>
            <w:tcW w:w="2263" w:type="dxa"/>
          </w:tcPr>
          <w:p w14:paraId="1D4DEB24" w14:textId="77777777" w:rsidR="004A489F" w:rsidRPr="00201A9A" w:rsidRDefault="004A489F">
            <w:pPr>
              <w:jc w:val="left"/>
              <w:rPr>
                <w:noProof/>
                <w:szCs w:val="24"/>
              </w:rPr>
            </w:pPr>
            <w:r w:rsidRPr="00201A9A">
              <w:rPr>
                <w:noProof/>
              </w:rPr>
              <w:t>Nie dotyczy</w:t>
            </w:r>
          </w:p>
        </w:tc>
        <w:tc>
          <w:tcPr>
            <w:tcW w:w="3544" w:type="dxa"/>
          </w:tcPr>
          <w:p w14:paraId="514293E0" w14:textId="77777777" w:rsidR="004A489F" w:rsidRPr="00201A9A" w:rsidRDefault="004A489F">
            <w:pPr>
              <w:jc w:val="left"/>
              <w:rPr>
                <w:noProof/>
                <w:szCs w:val="24"/>
              </w:rPr>
            </w:pPr>
            <w:r w:rsidRPr="00201A9A">
              <w:rPr>
                <w:noProof/>
              </w:rPr>
              <w:t>//</w:t>
            </w:r>
          </w:p>
        </w:tc>
        <w:tc>
          <w:tcPr>
            <w:tcW w:w="2268" w:type="dxa"/>
            <w:shd w:val="clear" w:color="auto" w:fill="FFFFFF" w:themeFill="background1"/>
          </w:tcPr>
          <w:p w14:paraId="022FE360" w14:textId="77777777" w:rsidR="004A489F" w:rsidRPr="00201A9A" w:rsidRDefault="004A489F">
            <w:pPr>
              <w:jc w:val="left"/>
              <w:rPr>
                <w:noProof/>
                <w:szCs w:val="24"/>
              </w:rPr>
            </w:pPr>
            <w:r w:rsidRPr="00201A9A">
              <w:rPr>
                <w:noProof/>
              </w:rPr>
              <w:t>//</w:t>
            </w:r>
          </w:p>
        </w:tc>
        <w:tc>
          <w:tcPr>
            <w:tcW w:w="2409" w:type="dxa"/>
            <w:shd w:val="clear" w:color="auto" w:fill="FFFFFF" w:themeFill="background1"/>
          </w:tcPr>
          <w:p w14:paraId="02329C0A" w14:textId="77777777" w:rsidR="004A489F" w:rsidRPr="00201A9A" w:rsidRDefault="004A489F">
            <w:pPr>
              <w:jc w:val="left"/>
              <w:rPr>
                <w:noProof/>
                <w:szCs w:val="24"/>
              </w:rPr>
            </w:pPr>
            <w:r w:rsidRPr="00201A9A">
              <w:rPr>
                <w:noProof/>
              </w:rPr>
              <w:t>//</w:t>
            </w:r>
          </w:p>
        </w:tc>
        <w:tc>
          <w:tcPr>
            <w:tcW w:w="3970" w:type="dxa"/>
            <w:shd w:val="clear" w:color="auto" w:fill="FFFFFF" w:themeFill="background1"/>
          </w:tcPr>
          <w:p w14:paraId="6A98EE05" w14:textId="77777777" w:rsidR="004A489F" w:rsidRPr="00201A9A" w:rsidRDefault="004A489F">
            <w:pPr>
              <w:jc w:val="left"/>
              <w:rPr>
                <w:noProof/>
                <w:szCs w:val="24"/>
              </w:rPr>
            </w:pPr>
            <w:r w:rsidRPr="00201A9A">
              <w:rPr>
                <w:noProof/>
              </w:rPr>
              <w:t>//</w:t>
            </w:r>
          </w:p>
        </w:tc>
      </w:tr>
    </w:tbl>
    <w:p w14:paraId="22A60065" w14:textId="5BDCFAB8" w:rsidR="004A489F" w:rsidRPr="00201A9A" w:rsidRDefault="004A489F" w:rsidP="004A489F">
      <w:pPr>
        <w:rPr>
          <w:noProof/>
          <w:szCs w:val="24"/>
        </w:rPr>
      </w:pPr>
      <w:r w:rsidRPr="00201A9A">
        <w:rPr>
          <w:noProof/>
        </w:rPr>
        <w:t>Wykonując swoje funkcje, organy odpowiedzialne za plan mogą korzystać</w:t>
      </w:r>
      <w:r w:rsidR="00201A9A" w:rsidRPr="00201A9A">
        <w:rPr>
          <w:noProof/>
        </w:rPr>
        <w:t xml:space="preserve"> z jed</w:t>
      </w:r>
      <w:r w:rsidRPr="00201A9A">
        <w:rPr>
          <w:noProof/>
        </w:rPr>
        <w:t>nolitego zintegrowanego</w:t>
      </w:r>
      <w:r w:rsidR="00201A9A" w:rsidRPr="00201A9A">
        <w:rPr>
          <w:noProof/>
        </w:rPr>
        <w:t xml:space="preserve"> i int</w:t>
      </w:r>
      <w:r w:rsidRPr="00201A9A">
        <w:rPr>
          <w:noProof/>
        </w:rPr>
        <w:t>eroperacyjnego systemu informowania</w:t>
      </w:r>
      <w:r w:rsidR="00201A9A" w:rsidRPr="00201A9A">
        <w:rPr>
          <w:noProof/>
        </w:rPr>
        <w:t xml:space="preserve"> i mon</w:t>
      </w:r>
      <w:r w:rsidRPr="00201A9A">
        <w:rPr>
          <w:noProof/>
        </w:rPr>
        <w:t>itorowania,</w:t>
      </w:r>
      <w:r w:rsidR="00201A9A" w:rsidRPr="00201A9A">
        <w:rPr>
          <w:noProof/>
        </w:rPr>
        <w:t xml:space="preserve"> w tym</w:t>
      </w:r>
      <w:r w:rsidRPr="00201A9A">
        <w:rPr>
          <w:noProof/>
        </w:rPr>
        <w:t xml:space="preserve"> jednolitego narzędzia do eksploracji danych</w:t>
      </w:r>
      <w:r w:rsidR="00201A9A" w:rsidRPr="00201A9A">
        <w:rPr>
          <w:noProof/>
        </w:rPr>
        <w:t xml:space="preserve"> i pun</w:t>
      </w:r>
      <w:r w:rsidRPr="00201A9A">
        <w:rPr>
          <w:noProof/>
        </w:rPr>
        <w:t>ktowej oceny ryzyka,</w:t>
      </w:r>
      <w:r w:rsidR="00201A9A" w:rsidRPr="00201A9A">
        <w:rPr>
          <w:noProof/>
        </w:rPr>
        <w:t xml:space="preserve"> o któ</w:t>
      </w:r>
      <w:r w:rsidRPr="00201A9A">
        <w:rPr>
          <w:noProof/>
        </w:rPr>
        <w:t>rych mowa</w:t>
      </w:r>
      <w:r w:rsidR="00201A9A" w:rsidRPr="00201A9A">
        <w:rPr>
          <w:noProof/>
        </w:rPr>
        <w:t xml:space="preserve"> w art</w:t>
      </w:r>
      <w:r w:rsidRPr="00201A9A">
        <w:rPr>
          <w:noProof/>
        </w:rPr>
        <w:t>.</w:t>
      </w:r>
      <w:r w:rsidR="00201A9A" w:rsidRPr="00201A9A">
        <w:rPr>
          <w:noProof/>
        </w:rPr>
        <w:t> </w:t>
      </w:r>
      <w:r w:rsidRPr="00201A9A">
        <w:rPr>
          <w:noProof/>
        </w:rPr>
        <w:t>36 ust.</w:t>
      </w:r>
      <w:r w:rsidR="00201A9A" w:rsidRPr="00201A9A">
        <w:rPr>
          <w:noProof/>
        </w:rPr>
        <w:t> </w:t>
      </w:r>
      <w:r w:rsidRPr="00201A9A">
        <w:rPr>
          <w:noProof/>
        </w:rPr>
        <w:t>2 lit.</w:t>
      </w:r>
      <w:r w:rsidR="00201A9A" w:rsidRPr="00201A9A">
        <w:rPr>
          <w:noProof/>
        </w:rPr>
        <w:t> </w:t>
      </w:r>
      <w:r w:rsidRPr="00201A9A">
        <w:rPr>
          <w:noProof/>
        </w:rPr>
        <w:t>d) rozporządzenia finansowego,</w:t>
      </w:r>
      <w:r w:rsidR="00201A9A" w:rsidRPr="00201A9A">
        <w:rPr>
          <w:noProof/>
        </w:rPr>
        <w:t xml:space="preserve"> w cel</w:t>
      </w:r>
      <w:r w:rsidRPr="00201A9A">
        <w:rPr>
          <w:noProof/>
        </w:rPr>
        <w:t>u uzyskania dostępu do odpowiednich danych</w:t>
      </w:r>
      <w:r w:rsidR="00201A9A" w:rsidRPr="00201A9A">
        <w:rPr>
          <w:noProof/>
        </w:rPr>
        <w:t xml:space="preserve"> i ich</w:t>
      </w:r>
      <w:r w:rsidRPr="00201A9A">
        <w:rPr>
          <w:noProof/>
        </w:rPr>
        <w:t xml:space="preserve"> analizy,</w:t>
      </w:r>
      <w:r w:rsidR="00201A9A" w:rsidRPr="00201A9A">
        <w:rPr>
          <w:noProof/>
        </w:rPr>
        <w:t xml:space="preserve"> z myś</w:t>
      </w:r>
      <w:r w:rsidRPr="00201A9A">
        <w:rPr>
          <w:noProof/>
        </w:rPr>
        <w:t>lą</w:t>
      </w:r>
      <w:r w:rsidR="00201A9A" w:rsidRPr="00201A9A">
        <w:rPr>
          <w:noProof/>
        </w:rPr>
        <w:t xml:space="preserve"> o ich</w:t>
      </w:r>
      <w:r w:rsidRPr="00201A9A">
        <w:rPr>
          <w:noProof/>
        </w:rPr>
        <w:t xml:space="preserve"> powszechnym stosowaniu przez państwa członkowskie.</w:t>
      </w:r>
    </w:p>
    <w:p w14:paraId="5569DB56" w14:textId="77777777" w:rsidR="004A489F" w:rsidRPr="00201A9A" w:rsidRDefault="004A489F" w:rsidP="004A489F">
      <w:pPr>
        <w:rPr>
          <w:b/>
          <w:noProof/>
          <w:szCs w:val="24"/>
          <w:u w:val="single"/>
        </w:rPr>
      </w:pPr>
      <w:r w:rsidRPr="00201A9A">
        <w:rPr>
          <w:i/>
          <w:noProof/>
        </w:rPr>
        <w:t>Wpływ wymogów dotyczących cyfrowej usługi publicznej na interoperacyjność transgraniczną</w:t>
      </w:r>
    </w:p>
    <w:p w14:paraId="5910585E" w14:textId="77777777" w:rsidR="004A489F" w:rsidRPr="00201A9A" w:rsidRDefault="004A489F" w:rsidP="004A489F">
      <w:pPr>
        <w:rPr>
          <w:b/>
          <w:noProof/>
          <w:szCs w:val="24"/>
          <w:u w:val="single"/>
        </w:rPr>
      </w:pPr>
      <w:r w:rsidRPr="00201A9A">
        <w:rPr>
          <w:b/>
          <w:noProof/>
          <w:u w:val="single"/>
        </w:rPr>
        <w:t xml:space="preserve">Cyfrowa usługa publiczna #1 </w:t>
      </w:r>
    </w:p>
    <w:tbl>
      <w:tblPr>
        <w:tblStyle w:val="TableGrid"/>
        <w:tblW w:w="14479" w:type="dxa"/>
        <w:tblLook w:val="04A0" w:firstRow="1" w:lastRow="0" w:firstColumn="1" w:lastColumn="0" w:noHBand="0" w:noVBand="1"/>
      </w:tblPr>
      <w:tblGrid>
        <w:gridCol w:w="3964"/>
        <w:gridCol w:w="4626"/>
        <w:gridCol w:w="5889"/>
      </w:tblGrid>
      <w:tr w:rsidR="004A489F" w:rsidRPr="00201A9A" w14:paraId="2968D75C" w14:textId="77777777">
        <w:tc>
          <w:tcPr>
            <w:tcW w:w="3964" w:type="dxa"/>
          </w:tcPr>
          <w:p w14:paraId="631AFE17" w14:textId="77777777" w:rsidR="004A489F" w:rsidRPr="00201A9A" w:rsidRDefault="004A489F">
            <w:pPr>
              <w:jc w:val="left"/>
              <w:rPr>
                <w:b/>
                <w:noProof/>
                <w:szCs w:val="24"/>
              </w:rPr>
            </w:pPr>
            <w:r w:rsidRPr="00201A9A">
              <w:rPr>
                <w:b/>
                <w:noProof/>
              </w:rPr>
              <w:t>Ocena</w:t>
            </w:r>
          </w:p>
        </w:tc>
        <w:tc>
          <w:tcPr>
            <w:tcW w:w="4626" w:type="dxa"/>
          </w:tcPr>
          <w:p w14:paraId="1D92A06F" w14:textId="77777777" w:rsidR="004A489F" w:rsidRPr="00201A9A" w:rsidRDefault="004A489F">
            <w:pPr>
              <w:jc w:val="left"/>
              <w:rPr>
                <w:b/>
                <w:noProof/>
                <w:szCs w:val="24"/>
              </w:rPr>
            </w:pPr>
            <w:r w:rsidRPr="00201A9A">
              <w:rPr>
                <w:b/>
                <w:noProof/>
              </w:rPr>
              <w:t>Środki</w:t>
            </w:r>
          </w:p>
        </w:tc>
        <w:tc>
          <w:tcPr>
            <w:tcW w:w="5889" w:type="dxa"/>
          </w:tcPr>
          <w:p w14:paraId="1D218144" w14:textId="77777777" w:rsidR="004A489F" w:rsidRPr="00201A9A" w:rsidRDefault="004A489F">
            <w:pPr>
              <w:jc w:val="left"/>
              <w:rPr>
                <w:b/>
                <w:noProof/>
                <w:szCs w:val="24"/>
              </w:rPr>
            </w:pPr>
            <w:r w:rsidRPr="00201A9A">
              <w:rPr>
                <w:b/>
                <w:noProof/>
              </w:rPr>
              <w:t>Potencjalne utrzymujące się bariery (jeśli dotyczy)</w:t>
            </w:r>
          </w:p>
        </w:tc>
      </w:tr>
      <w:tr w:rsidR="004A489F" w:rsidRPr="00201A9A" w14:paraId="52B5F0E5" w14:textId="77777777">
        <w:tc>
          <w:tcPr>
            <w:tcW w:w="3964" w:type="dxa"/>
          </w:tcPr>
          <w:p w14:paraId="361AAD1A" w14:textId="70AB7D3C" w:rsidR="004A489F" w:rsidRPr="00201A9A" w:rsidRDefault="004A489F">
            <w:pPr>
              <w:spacing w:before="0"/>
              <w:jc w:val="left"/>
              <w:rPr>
                <w:rFonts w:eastAsiaTheme="minorEastAsia"/>
                <w:b/>
                <w:noProof/>
                <w:szCs w:val="24"/>
              </w:rPr>
            </w:pPr>
            <w:r w:rsidRPr="00201A9A">
              <w:rPr>
                <w:b/>
                <w:noProof/>
              </w:rPr>
              <w:t>Dostosowanie do istniejących polityk cyfrowych</w:t>
            </w:r>
            <w:r w:rsidR="00201A9A" w:rsidRPr="00201A9A">
              <w:rPr>
                <w:b/>
                <w:noProof/>
              </w:rPr>
              <w:t xml:space="preserve"> i sek</w:t>
            </w:r>
            <w:r w:rsidRPr="00201A9A">
              <w:rPr>
                <w:b/>
                <w:noProof/>
              </w:rPr>
              <w:t xml:space="preserve">torowych. </w:t>
            </w:r>
          </w:p>
          <w:p w14:paraId="386F9FA1" w14:textId="3152AFF8" w:rsidR="004A489F" w:rsidRPr="00201A9A" w:rsidRDefault="004A489F">
            <w:pPr>
              <w:spacing w:before="0"/>
              <w:jc w:val="left"/>
              <w:rPr>
                <w:b/>
                <w:noProof/>
                <w:szCs w:val="24"/>
              </w:rPr>
            </w:pPr>
            <w:r w:rsidRPr="00201A9A">
              <w:rPr>
                <w:b/>
                <w:noProof/>
              </w:rPr>
              <w:t>Proszę wymienić mające zastosowanie polityki cyfrowe</w:t>
            </w:r>
            <w:r w:rsidR="00201A9A" w:rsidRPr="00201A9A">
              <w:rPr>
                <w:b/>
                <w:noProof/>
              </w:rPr>
              <w:t xml:space="preserve"> i sek</w:t>
            </w:r>
            <w:r w:rsidRPr="00201A9A">
              <w:rPr>
                <w:b/>
                <w:noProof/>
              </w:rPr>
              <w:t>torowe.</w:t>
            </w:r>
          </w:p>
        </w:tc>
        <w:tc>
          <w:tcPr>
            <w:tcW w:w="4626" w:type="dxa"/>
          </w:tcPr>
          <w:p w14:paraId="2D4BAD85" w14:textId="77777777" w:rsidR="004A489F" w:rsidRPr="00201A9A" w:rsidRDefault="004A489F">
            <w:pPr>
              <w:spacing w:before="0"/>
              <w:jc w:val="left"/>
              <w:rPr>
                <w:noProof/>
                <w:szCs w:val="24"/>
              </w:rPr>
            </w:pPr>
            <w:r w:rsidRPr="00201A9A">
              <w:rPr>
                <w:noProof/>
              </w:rPr>
              <w:t>Nie dotyczy</w:t>
            </w:r>
          </w:p>
        </w:tc>
        <w:tc>
          <w:tcPr>
            <w:tcW w:w="5889" w:type="dxa"/>
          </w:tcPr>
          <w:p w14:paraId="4B4C8C7A" w14:textId="77777777" w:rsidR="004A489F" w:rsidRPr="00201A9A" w:rsidRDefault="004A489F">
            <w:pPr>
              <w:tabs>
                <w:tab w:val="left" w:pos="5678"/>
              </w:tabs>
              <w:spacing w:before="0"/>
              <w:jc w:val="left"/>
              <w:rPr>
                <w:noProof/>
                <w:szCs w:val="24"/>
              </w:rPr>
            </w:pPr>
            <w:r w:rsidRPr="00201A9A">
              <w:rPr>
                <w:noProof/>
              </w:rPr>
              <w:t>Nie dotyczy</w:t>
            </w:r>
          </w:p>
        </w:tc>
      </w:tr>
      <w:tr w:rsidR="004A489F" w:rsidRPr="00201A9A" w14:paraId="30A81A86" w14:textId="77777777">
        <w:tc>
          <w:tcPr>
            <w:tcW w:w="3964" w:type="dxa"/>
          </w:tcPr>
          <w:p w14:paraId="28E77375" w14:textId="77777777" w:rsidR="004A489F" w:rsidRPr="00201A9A" w:rsidRDefault="004A489F">
            <w:pPr>
              <w:jc w:val="left"/>
              <w:rPr>
                <w:rFonts w:eastAsiaTheme="minorEastAsia"/>
                <w:b/>
                <w:noProof/>
                <w:szCs w:val="24"/>
              </w:rPr>
            </w:pPr>
            <w:r w:rsidRPr="00201A9A">
              <w:rPr>
                <w:b/>
                <w:noProof/>
              </w:rPr>
              <w:t>Środki organizacyjne na rzecz sprawnego transgranicznego świadczenia cyfrowych usług publicznych.</w:t>
            </w:r>
          </w:p>
          <w:p w14:paraId="5245296B" w14:textId="77777777" w:rsidR="004A489F" w:rsidRPr="00201A9A" w:rsidRDefault="004A489F">
            <w:pPr>
              <w:jc w:val="left"/>
              <w:rPr>
                <w:b/>
                <w:noProof/>
                <w:szCs w:val="24"/>
              </w:rPr>
            </w:pPr>
            <w:r w:rsidRPr="00201A9A">
              <w:rPr>
                <w:b/>
                <w:noProof/>
              </w:rPr>
              <w:t>Proszę wymienić przewidywane środki zarządzania.</w:t>
            </w:r>
          </w:p>
        </w:tc>
        <w:tc>
          <w:tcPr>
            <w:tcW w:w="4626" w:type="dxa"/>
          </w:tcPr>
          <w:p w14:paraId="4252C683" w14:textId="77777777" w:rsidR="004A489F" w:rsidRPr="00201A9A" w:rsidRDefault="004A489F">
            <w:pPr>
              <w:spacing w:before="0"/>
              <w:jc w:val="left"/>
              <w:rPr>
                <w:noProof/>
                <w:szCs w:val="24"/>
              </w:rPr>
            </w:pPr>
            <w:r w:rsidRPr="00201A9A">
              <w:rPr>
                <w:noProof/>
              </w:rPr>
              <w:t>Nie dotyczy</w:t>
            </w:r>
          </w:p>
        </w:tc>
        <w:tc>
          <w:tcPr>
            <w:tcW w:w="5889" w:type="dxa"/>
          </w:tcPr>
          <w:p w14:paraId="7C9664DB" w14:textId="77777777" w:rsidR="004A489F" w:rsidRPr="00201A9A" w:rsidRDefault="004A489F">
            <w:pPr>
              <w:spacing w:before="0"/>
              <w:jc w:val="left"/>
              <w:rPr>
                <w:noProof/>
                <w:szCs w:val="24"/>
              </w:rPr>
            </w:pPr>
            <w:r w:rsidRPr="00201A9A">
              <w:rPr>
                <w:noProof/>
              </w:rPr>
              <w:t>Nie dotyczy</w:t>
            </w:r>
          </w:p>
        </w:tc>
      </w:tr>
      <w:tr w:rsidR="004A489F" w:rsidRPr="00201A9A" w14:paraId="2D01C1F0" w14:textId="77777777">
        <w:tc>
          <w:tcPr>
            <w:tcW w:w="3964" w:type="dxa"/>
          </w:tcPr>
          <w:p w14:paraId="3C0E4EFC" w14:textId="6B79A9B0" w:rsidR="004A489F" w:rsidRPr="00201A9A" w:rsidRDefault="004A489F">
            <w:pPr>
              <w:jc w:val="left"/>
              <w:rPr>
                <w:rFonts w:eastAsiaTheme="minorEastAsia"/>
                <w:b/>
                <w:noProof/>
                <w:szCs w:val="24"/>
              </w:rPr>
            </w:pPr>
            <w:r w:rsidRPr="00201A9A">
              <w:rPr>
                <w:b/>
                <w:noProof/>
              </w:rPr>
              <w:t>Środki podjęte</w:t>
            </w:r>
            <w:r w:rsidR="00201A9A" w:rsidRPr="00201A9A">
              <w:rPr>
                <w:b/>
                <w:noProof/>
              </w:rPr>
              <w:t xml:space="preserve"> w cel</w:t>
            </w:r>
            <w:r w:rsidRPr="00201A9A">
              <w:rPr>
                <w:b/>
                <w:noProof/>
              </w:rPr>
              <w:t>u zapewnienia wspólnego zrozumienia danych.</w:t>
            </w:r>
          </w:p>
          <w:p w14:paraId="0BF8FE41" w14:textId="77777777" w:rsidR="004A489F" w:rsidRPr="00201A9A" w:rsidRDefault="004A489F">
            <w:pPr>
              <w:jc w:val="left"/>
              <w:rPr>
                <w:b/>
                <w:noProof/>
                <w:szCs w:val="24"/>
              </w:rPr>
            </w:pPr>
            <w:r w:rsidRPr="00201A9A">
              <w:rPr>
                <w:b/>
                <w:noProof/>
              </w:rPr>
              <w:t>Proszę wymienić takie środki.</w:t>
            </w:r>
          </w:p>
        </w:tc>
        <w:tc>
          <w:tcPr>
            <w:tcW w:w="4626" w:type="dxa"/>
          </w:tcPr>
          <w:p w14:paraId="6A3EBBE2" w14:textId="77777777" w:rsidR="004A489F" w:rsidRPr="00201A9A" w:rsidRDefault="004A489F">
            <w:pPr>
              <w:spacing w:before="0"/>
              <w:jc w:val="left"/>
              <w:rPr>
                <w:noProof/>
                <w:szCs w:val="24"/>
              </w:rPr>
            </w:pPr>
            <w:r w:rsidRPr="00201A9A">
              <w:rPr>
                <w:noProof/>
              </w:rPr>
              <w:t>Nie dotyczy</w:t>
            </w:r>
          </w:p>
        </w:tc>
        <w:tc>
          <w:tcPr>
            <w:tcW w:w="5889" w:type="dxa"/>
          </w:tcPr>
          <w:p w14:paraId="03BAB6C1" w14:textId="77777777" w:rsidR="004A489F" w:rsidRPr="00201A9A" w:rsidRDefault="004A489F">
            <w:pPr>
              <w:spacing w:before="0"/>
              <w:jc w:val="left"/>
              <w:rPr>
                <w:noProof/>
                <w:szCs w:val="24"/>
              </w:rPr>
            </w:pPr>
            <w:r w:rsidRPr="00201A9A">
              <w:rPr>
                <w:noProof/>
              </w:rPr>
              <w:t>Nie dotyczy</w:t>
            </w:r>
          </w:p>
        </w:tc>
      </w:tr>
      <w:tr w:rsidR="004A489F" w:rsidRPr="00201A9A" w14:paraId="6A00865E" w14:textId="77777777">
        <w:tc>
          <w:tcPr>
            <w:tcW w:w="3964" w:type="dxa"/>
          </w:tcPr>
          <w:p w14:paraId="3779D407" w14:textId="3C9D193B" w:rsidR="004A489F" w:rsidRPr="00201A9A" w:rsidRDefault="004A489F">
            <w:pPr>
              <w:jc w:val="left"/>
              <w:rPr>
                <w:rFonts w:eastAsiaTheme="minorEastAsia"/>
                <w:b/>
                <w:noProof/>
                <w:szCs w:val="24"/>
              </w:rPr>
            </w:pPr>
            <w:r w:rsidRPr="00201A9A">
              <w:rPr>
                <w:b/>
                <w:noProof/>
              </w:rPr>
              <w:t>Stosowanie wspólnie uzgodnionych otwartych specyfikacji</w:t>
            </w:r>
            <w:r w:rsidR="00201A9A" w:rsidRPr="00201A9A">
              <w:rPr>
                <w:b/>
                <w:noProof/>
              </w:rPr>
              <w:t xml:space="preserve"> i nor</w:t>
            </w:r>
            <w:r w:rsidRPr="00201A9A">
              <w:rPr>
                <w:b/>
                <w:noProof/>
              </w:rPr>
              <w:t>m technicznych.</w:t>
            </w:r>
          </w:p>
          <w:p w14:paraId="57C7E117" w14:textId="77777777" w:rsidR="004A489F" w:rsidRPr="00201A9A" w:rsidRDefault="004A489F">
            <w:pPr>
              <w:jc w:val="left"/>
              <w:rPr>
                <w:b/>
                <w:noProof/>
                <w:szCs w:val="24"/>
              </w:rPr>
            </w:pPr>
            <w:r w:rsidRPr="00201A9A">
              <w:rPr>
                <w:b/>
                <w:noProof/>
              </w:rPr>
              <w:t>Proszę wymienić takie środki.</w:t>
            </w:r>
          </w:p>
        </w:tc>
        <w:tc>
          <w:tcPr>
            <w:tcW w:w="4626" w:type="dxa"/>
          </w:tcPr>
          <w:p w14:paraId="2A131350" w14:textId="77777777" w:rsidR="004A489F" w:rsidRPr="00201A9A" w:rsidRDefault="004A489F">
            <w:pPr>
              <w:spacing w:before="0"/>
              <w:jc w:val="left"/>
              <w:rPr>
                <w:noProof/>
                <w:szCs w:val="24"/>
              </w:rPr>
            </w:pPr>
            <w:r w:rsidRPr="00201A9A">
              <w:rPr>
                <w:noProof/>
              </w:rPr>
              <w:t>Nie dotyczy</w:t>
            </w:r>
          </w:p>
        </w:tc>
        <w:tc>
          <w:tcPr>
            <w:tcW w:w="5889" w:type="dxa"/>
          </w:tcPr>
          <w:p w14:paraId="38D8A361" w14:textId="77777777" w:rsidR="004A489F" w:rsidRPr="00201A9A" w:rsidRDefault="004A489F">
            <w:pPr>
              <w:spacing w:before="0"/>
              <w:jc w:val="left"/>
              <w:rPr>
                <w:noProof/>
                <w:szCs w:val="24"/>
              </w:rPr>
            </w:pPr>
            <w:r w:rsidRPr="00201A9A">
              <w:rPr>
                <w:noProof/>
              </w:rPr>
              <w:t>Nie dotyczy</w:t>
            </w:r>
          </w:p>
        </w:tc>
      </w:tr>
    </w:tbl>
    <w:p w14:paraId="312FC4F4" w14:textId="77777777" w:rsidR="004A489F" w:rsidRPr="00201A9A" w:rsidRDefault="004A489F" w:rsidP="004A489F">
      <w:pPr>
        <w:rPr>
          <w:noProof/>
        </w:rPr>
      </w:pPr>
    </w:p>
    <w:p w14:paraId="10A38156" w14:textId="77777777" w:rsidR="004A489F" w:rsidRPr="00201A9A" w:rsidRDefault="004A489F" w:rsidP="004A489F">
      <w:pPr>
        <w:rPr>
          <w:b/>
          <w:noProof/>
          <w:szCs w:val="24"/>
        </w:rPr>
      </w:pPr>
    </w:p>
    <w:p w14:paraId="6BA578A9" w14:textId="77777777" w:rsidR="004A489F" w:rsidRPr="00201A9A" w:rsidRDefault="004A489F" w:rsidP="004A489F">
      <w:pPr>
        <w:pStyle w:val="ManualHeading2"/>
        <w:rPr>
          <w:noProof/>
        </w:rPr>
      </w:pPr>
      <w:r w:rsidRPr="00201A9A">
        <w:rPr>
          <w:noProof/>
        </w:rPr>
        <w:t>4.5. Środki wspierające cyfrowe wdrażanie</w:t>
      </w:r>
    </w:p>
    <w:p w14:paraId="4612E2FB" w14:textId="77777777" w:rsidR="004A489F" w:rsidRPr="00201A9A" w:rsidRDefault="004A489F" w:rsidP="004A489F">
      <w:pPr>
        <w:rPr>
          <w:i/>
          <w:noProof/>
          <w:szCs w:val="24"/>
        </w:rPr>
      </w:pPr>
      <w:r w:rsidRPr="00201A9A">
        <w:rPr>
          <w:i/>
          <w:noProof/>
        </w:rPr>
        <w:t>Ogólny opis środków wspierających cyfrowe wdrażanie</w:t>
      </w:r>
    </w:p>
    <w:tbl>
      <w:tblPr>
        <w:tblStyle w:val="TableGrid"/>
        <w:tblW w:w="13887" w:type="dxa"/>
        <w:tblLook w:val="04A0" w:firstRow="1" w:lastRow="0" w:firstColumn="1" w:lastColumn="0" w:noHBand="0" w:noVBand="1"/>
      </w:tblPr>
      <w:tblGrid>
        <w:gridCol w:w="4248"/>
        <w:gridCol w:w="3544"/>
        <w:gridCol w:w="1843"/>
        <w:gridCol w:w="1842"/>
        <w:gridCol w:w="2410"/>
      </w:tblGrid>
      <w:tr w:rsidR="004A489F" w:rsidRPr="00201A9A" w14:paraId="68D73B94" w14:textId="77777777">
        <w:trPr>
          <w:trHeight w:val="300"/>
        </w:trPr>
        <w:tc>
          <w:tcPr>
            <w:tcW w:w="4248" w:type="dxa"/>
          </w:tcPr>
          <w:p w14:paraId="5D9A8D20" w14:textId="77777777" w:rsidR="004A489F" w:rsidRPr="00201A9A" w:rsidRDefault="004A489F">
            <w:pPr>
              <w:jc w:val="left"/>
              <w:rPr>
                <w:b/>
                <w:noProof/>
                <w:color w:val="000000"/>
                <w:szCs w:val="24"/>
              </w:rPr>
            </w:pPr>
            <w:r w:rsidRPr="00201A9A">
              <w:rPr>
                <w:b/>
                <w:noProof/>
              </w:rPr>
              <w:t>Opis środka</w:t>
            </w:r>
          </w:p>
        </w:tc>
        <w:tc>
          <w:tcPr>
            <w:tcW w:w="3544" w:type="dxa"/>
          </w:tcPr>
          <w:p w14:paraId="0D24EB94" w14:textId="77777777" w:rsidR="004A489F" w:rsidRPr="00201A9A" w:rsidRDefault="004A489F">
            <w:pPr>
              <w:jc w:val="left"/>
              <w:rPr>
                <w:b/>
                <w:noProof/>
                <w:szCs w:val="24"/>
              </w:rPr>
            </w:pPr>
            <w:r w:rsidRPr="00201A9A">
              <w:rPr>
                <w:b/>
                <w:noProof/>
              </w:rPr>
              <w:t xml:space="preserve">Odniesienia do wymogów </w:t>
            </w:r>
          </w:p>
        </w:tc>
        <w:tc>
          <w:tcPr>
            <w:tcW w:w="1843" w:type="dxa"/>
          </w:tcPr>
          <w:p w14:paraId="5C6E5645" w14:textId="77777777" w:rsidR="004A489F" w:rsidRPr="00201A9A" w:rsidRDefault="004A489F">
            <w:pPr>
              <w:jc w:val="left"/>
              <w:rPr>
                <w:b/>
                <w:noProof/>
                <w:szCs w:val="24"/>
              </w:rPr>
            </w:pPr>
            <w:r w:rsidRPr="00201A9A">
              <w:rPr>
                <w:b/>
                <w:noProof/>
              </w:rPr>
              <w:t xml:space="preserve">Rola Komisji </w:t>
            </w:r>
          </w:p>
          <w:p w14:paraId="0FF0762D" w14:textId="77777777" w:rsidR="004A489F" w:rsidRPr="00201A9A" w:rsidRDefault="004A489F">
            <w:pPr>
              <w:jc w:val="left"/>
              <w:rPr>
                <w:b/>
                <w:noProof/>
                <w:szCs w:val="24"/>
              </w:rPr>
            </w:pPr>
            <w:r w:rsidRPr="00201A9A">
              <w:rPr>
                <w:noProof/>
              </w:rPr>
              <w:t>(jeżeli dotyczy)</w:t>
            </w:r>
          </w:p>
        </w:tc>
        <w:tc>
          <w:tcPr>
            <w:tcW w:w="1842" w:type="dxa"/>
          </w:tcPr>
          <w:p w14:paraId="16F25F69" w14:textId="77777777" w:rsidR="004A489F" w:rsidRPr="00201A9A" w:rsidRDefault="004A489F">
            <w:pPr>
              <w:jc w:val="left"/>
              <w:rPr>
                <w:b/>
                <w:noProof/>
                <w:szCs w:val="24"/>
              </w:rPr>
            </w:pPr>
            <w:r w:rsidRPr="00201A9A">
              <w:rPr>
                <w:b/>
                <w:noProof/>
              </w:rPr>
              <w:t>Podmioty, które mają zostać zaangażowane</w:t>
            </w:r>
          </w:p>
          <w:p w14:paraId="6B43086C" w14:textId="77777777" w:rsidR="004A489F" w:rsidRPr="00201A9A" w:rsidRDefault="004A489F">
            <w:pPr>
              <w:jc w:val="left"/>
              <w:rPr>
                <w:noProof/>
                <w:szCs w:val="24"/>
              </w:rPr>
            </w:pPr>
            <w:r w:rsidRPr="00201A9A">
              <w:rPr>
                <w:noProof/>
              </w:rPr>
              <w:t>(jeżeli dotyczy)</w:t>
            </w:r>
          </w:p>
        </w:tc>
        <w:tc>
          <w:tcPr>
            <w:tcW w:w="2410" w:type="dxa"/>
          </w:tcPr>
          <w:p w14:paraId="05A709CE" w14:textId="77777777" w:rsidR="004A489F" w:rsidRPr="00201A9A" w:rsidRDefault="004A489F">
            <w:pPr>
              <w:jc w:val="left"/>
              <w:rPr>
                <w:b/>
                <w:noProof/>
                <w:szCs w:val="24"/>
              </w:rPr>
            </w:pPr>
            <w:r w:rsidRPr="00201A9A">
              <w:rPr>
                <w:b/>
                <w:noProof/>
              </w:rPr>
              <w:t>Przewidywany harmonogram</w:t>
            </w:r>
          </w:p>
          <w:p w14:paraId="742FCCF8" w14:textId="77777777" w:rsidR="004A489F" w:rsidRPr="00201A9A" w:rsidRDefault="004A489F">
            <w:pPr>
              <w:jc w:val="left"/>
              <w:rPr>
                <w:noProof/>
                <w:szCs w:val="24"/>
              </w:rPr>
            </w:pPr>
            <w:r w:rsidRPr="00201A9A">
              <w:rPr>
                <w:noProof/>
              </w:rPr>
              <w:t>(jeżeli dotyczy)</w:t>
            </w:r>
          </w:p>
        </w:tc>
      </w:tr>
      <w:tr w:rsidR="004A489F" w:rsidRPr="00201A9A" w14:paraId="1521B979" w14:textId="77777777">
        <w:trPr>
          <w:trHeight w:val="300"/>
        </w:trPr>
        <w:tc>
          <w:tcPr>
            <w:tcW w:w="4248" w:type="dxa"/>
          </w:tcPr>
          <w:p w14:paraId="241595C7" w14:textId="77777777" w:rsidR="004A489F" w:rsidRPr="00201A9A" w:rsidRDefault="004A489F">
            <w:pPr>
              <w:jc w:val="left"/>
              <w:rPr>
                <w:noProof/>
              </w:rPr>
            </w:pPr>
            <w:r w:rsidRPr="00201A9A">
              <w:rPr>
                <w:noProof/>
              </w:rPr>
              <w:t>//</w:t>
            </w:r>
          </w:p>
        </w:tc>
        <w:tc>
          <w:tcPr>
            <w:tcW w:w="3544" w:type="dxa"/>
          </w:tcPr>
          <w:p w14:paraId="6B1FB42E" w14:textId="77777777" w:rsidR="004A489F" w:rsidRPr="00201A9A" w:rsidRDefault="004A489F">
            <w:pPr>
              <w:jc w:val="left"/>
              <w:rPr>
                <w:noProof/>
              </w:rPr>
            </w:pPr>
          </w:p>
        </w:tc>
        <w:tc>
          <w:tcPr>
            <w:tcW w:w="1843" w:type="dxa"/>
          </w:tcPr>
          <w:p w14:paraId="3A502E17" w14:textId="77777777" w:rsidR="004A489F" w:rsidRPr="00201A9A" w:rsidRDefault="004A489F">
            <w:pPr>
              <w:jc w:val="left"/>
              <w:rPr>
                <w:noProof/>
              </w:rPr>
            </w:pPr>
          </w:p>
        </w:tc>
        <w:tc>
          <w:tcPr>
            <w:tcW w:w="1842" w:type="dxa"/>
          </w:tcPr>
          <w:p w14:paraId="3104F90E" w14:textId="77777777" w:rsidR="004A489F" w:rsidRPr="00201A9A" w:rsidRDefault="004A489F">
            <w:pPr>
              <w:jc w:val="left"/>
              <w:rPr>
                <w:noProof/>
              </w:rPr>
            </w:pPr>
          </w:p>
        </w:tc>
        <w:tc>
          <w:tcPr>
            <w:tcW w:w="2410" w:type="dxa"/>
          </w:tcPr>
          <w:p w14:paraId="26D3599E" w14:textId="77777777" w:rsidR="004A489F" w:rsidRPr="00201A9A" w:rsidRDefault="004A489F">
            <w:pPr>
              <w:jc w:val="left"/>
              <w:rPr>
                <w:noProof/>
              </w:rPr>
            </w:pPr>
          </w:p>
        </w:tc>
      </w:tr>
    </w:tbl>
    <w:p w14:paraId="49D51DD7" w14:textId="6C8DCAAE" w:rsidR="004A489F" w:rsidRPr="00201A9A" w:rsidRDefault="004A489F" w:rsidP="004A489F">
      <w:pPr>
        <w:rPr>
          <w:noProof/>
        </w:rPr>
      </w:pPr>
      <w:r w:rsidRPr="00201A9A">
        <w:rPr>
          <w:noProof/>
        </w:rPr>
        <w:t>Plany partnerstwa krajowego</w:t>
      </w:r>
      <w:r w:rsidR="00201A9A" w:rsidRPr="00201A9A">
        <w:rPr>
          <w:noProof/>
        </w:rPr>
        <w:t xml:space="preserve"> i reg</w:t>
      </w:r>
      <w:r w:rsidRPr="00201A9A">
        <w:rPr>
          <w:noProof/>
        </w:rPr>
        <w:t>ionalnego mogą obejmować specjalne środki wspierające wdrażanie technologii cyfrowych,</w:t>
      </w:r>
      <w:r w:rsidR="00201A9A" w:rsidRPr="00201A9A">
        <w:rPr>
          <w:noProof/>
        </w:rPr>
        <w:t xml:space="preserve"> w tym</w:t>
      </w:r>
      <w:r w:rsidRPr="00201A9A">
        <w:rPr>
          <w:noProof/>
        </w:rPr>
        <w:t xml:space="preserve"> reformy, programy szkoleniowe</w:t>
      </w:r>
      <w:r w:rsidR="00201A9A" w:rsidRPr="00201A9A">
        <w:rPr>
          <w:noProof/>
        </w:rPr>
        <w:t xml:space="preserve"> i inw</w:t>
      </w:r>
      <w:r w:rsidRPr="00201A9A">
        <w:rPr>
          <w:noProof/>
        </w:rPr>
        <w:t>estycje</w:t>
      </w:r>
      <w:r w:rsidR="00201A9A" w:rsidRPr="00201A9A">
        <w:rPr>
          <w:noProof/>
        </w:rPr>
        <w:t xml:space="preserve"> w inf</w:t>
      </w:r>
      <w:r w:rsidRPr="00201A9A">
        <w:rPr>
          <w:noProof/>
        </w:rPr>
        <w:t>rastrukturę cyfrową,</w:t>
      </w:r>
      <w:r w:rsidR="00201A9A" w:rsidRPr="00201A9A">
        <w:rPr>
          <w:noProof/>
        </w:rPr>
        <w:t xml:space="preserve"> w zal</w:t>
      </w:r>
      <w:r w:rsidRPr="00201A9A">
        <w:rPr>
          <w:noProof/>
        </w:rPr>
        <w:t>eżności od szczególnych potrzeb</w:t>
      </w:r>
      <w:r w:rsidR="00201A9A" w:rsidRPr="00201A9A">
        <w:rPr>
          <w:noProof/>
        </w:rPr>
        <w:t xml:space="preserve"> i wyz</w:t>
      </w:r>
      <w:r w:rsidRPr="00201A9A">
        <w:rPr>
          <w:noProof/>
        </w:rPr>
        <w:t>wań określonych</w:t>
      </w:r>
      <w:r w:rsidR="00201A9A" w:rsidRPr="00201A9A">
        <w:rPr>
          <w:noProof/>
        </w:rPr>
        <w:t xml:space="preserve"> w dan</w:t>
      </w:r>
      <w:r w:rsidRPr="00201A9A">
        <w:rPr>
          <w:noProof/>
        </w:rPr>
        <w:t>ych państwach członkowskich</w:t>
      </w:r>
      <w:r w:rsidR="00201A9A" w:rsidRPr="00201A9A">
        <w:rPr>
          <w:noProof/>
        </w:rPr>
        <w:t xml:space="preserve"> i reg</w:t>
      </w:r>
      <w:r w:rsidRPr="00201A9A">
        <w:rPr>
          <w:noProof/>
        </w:rPr>
        <w:t xml:space="preserve">ionach. </w:t>
      </w:r>
    </w:p>
    <w:bookmarkEnd w:id="204"/>
    <w:bookmarkEnd w:id="207"/>
    <w:bookmarkEnd w:id="208"/>
    <w:p w14:paraId="0FE69481" w14:textId="77777777" w:rsidR="004A489F" w:rsidRPr="00201A9A" w:rsidRDefault="004A489F" w:rsidP="004A489F">
      <w:pPr>
        <w:rPr>
          <w:noProof/>
          <w:color w:val="008000"/>
        </w:rPr>
      </w:pPr>
    </w:p>
    <w:sectPr w:rsidR="004A489F" w:rsidRPr="00201A9A" w:rsidSect="009C4ADF">
      <w:headerReference w:type="default" r:id="rId24"/>
      <w:footerReference w:type="default" r:id="rId25"/>
      <w:pgSz w:w="16839" w:h="11907" w:orient="landscape"/>
      <w:pgMar w:top="1418" w:right="1134" w:bottom="1418"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66C9E" w14:textId="77777777" w:rsidR="00842626" w:rsidRPr="00201A9A" w:rsidRDefault="00842626" w:rsidP="00186A9E">
      <w:pPr>
        <w:spacing w:before="0" w:after="0"/>
      </w:pPr>
      <w:r w:rsidRPr="00201A9A">
        <w:separator/>
      </w:r>
    </w:p>
  </w:endnote>
  <w:endnote w:type="continuationSeparator" w:id="0">
    <w:p w14:paraId="44624F6B" w14:textId="77777777" w:rsidR="00842626" w:rsidRPr="00201A9A" w:rsidRDefault="00842626" w:rsidP="00186A9E">
      <w:pPr>
        <w:spacing w:before="0" w:after="0"/>
      </w:pPr>
      <w:r w:rsidRPr="00201A9A">
        <w:continuationSeparator/>
      </w:r>
    </w:p>
  </w:endnote>
  <w:endnote w:type="continuationNotice" w:id="1">
    <w:p w14:paraId="757E6FBC" w14:textId="77777777" w:rsidR="00842626" w:rsidRPr="00201A9A" w:rsidRDefault="008426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EC Square Sans Cond Pro">
    <w:altName w:val="Bahnschrift Light"/>
    <w:charset w:val="00"/>
    <w:family w:val="swiss"/>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Times New Roman"/>
    <w:charset w:val="00"/>
    <w:family w:val="auto"/>
    <w:pitch w:val="variable"/>
    <w:sig w:usb0="800002EF" w:usb1="1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2DA30" w14:textId="06B6A40F" w:rsidR="009C4ADF" w:rsidRPr="009C4ADF" w:rsidRDefault="009C4ADF" w:rsidP="009C4ADF">
    <w:pPr>
      <w:pStyle w:val="Footer"/>
      <w:rPr>
        <w:rFonts w:ascii="Arial" w:hAnsi="Arial" w:cs="Arial"/>
        <w:b/>
        <w:sz w:val="48"/>
      </w:rPr>
    </w:pPr>
    <w:r w:rsidRPr="009C4ADF">
      <w:rPr>
        <w:rFonts w:ascii="Arial" w:hAnsi="Arial" w:cs="Arial"/>
        <w:b/>
        <w:sz w:val="48"/>
      </w:rPr>
      <w:t>PL</w:t>
    </w:r>
    <w:r w:rsidRPr="009C4ADF">
      <w:rPr>
        <w:rFonts w:ascii="Arial" w:hAnsi="Arial" w:cs="Arial"/>
        <w:b/>
        <w:sz w:val="48"/>
      </w:rPr>
      <w:tab/>
    </w:r>
    <w:r w:rsidRPr="009C4ADF">
      <w:rPr>
        <w:rFonts w:ascii="Arial" w:hAnsi="Arial" w:cs="Arial"/>
        <w:b/>
        <w:sz w:val="48"/>
      </w:rPr>
      <w:tab/>
    </w:r>
    <w:r w:rsidRPr="009C4ADF">
      <w:tab/>
    </w:r>
    <w:r w:rsidRPr="009C4ADF">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000FA" w14:textId="6A0069BB" w:rsidR="009C4ADF" w:rsidRPr="009C4ADF" w:rsidRDefault="009C4ADF" w:rsidP="009C4ADF">
    <w:pPr>
      <w:pStyle w:val="Footer"/>
      <w:rPr>
        <w:rFonts w:ascii="Arial" w:hAnsi="Arial" w:cs="Arial"/>
        <w:b/>
        <w:sz w:val="48"/>
      </w:rPr>
    </w:pPr>
    <w:r w:rsidRPr="009C4ADF">
      <w:rPr>
        <w:rFonts w:ascii="Arial" w:hAnsi="Arial" w:cs="Arial"/>
        <w:b/>
        <w:sz w:val="48"/>
      </w:rPr>
      <w:t>PL</w:t>
    </w:r>
    <w:r w:rsidRPr="009C4ADF">
      <w:rPr>
        <w:rFonts w:ascii="Arial" w:hAnsi="Arial" w:cs="Arial"/>
        <w:b/>
        <w:sz w:val="48"/>
      </w:rPr>
      <w:tab/>
    </w:r>
    <w:r w:rsidRPr="009C4ADF">
      <w:rPr>
        <w:rFonts w:ascii="Arial" w:hAnsi="Arial" w:cs="Arial"/>
        <w:b/>
        <w:sz w:val="48"/>
      </w:rPr>
      <w:tab/>
    </w:r>
    <w:r w:rsidRPr="009C4ADF">
      <w:tab/>
    </w:r>
    <w:r w:rsidRPr="009C4ADF">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5162C" w14:textId="77777777" w:rsidR="009C4ADF" w:rsidRDefault="009C4A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7F286" w14:textId="5ABFAC20" w:rsidR="009C4ADF" w:rsidRPr="009C4ADF" w:rsidRDefault="009C4ADF" w:rsidP="009C4ADF">
    <w:pPr>
      <w:pStyle w:val="Footer"/>
      <w:rPr>
        <w:rFonts w:ascii="Arial" w:hAnsi="Arial" w:cs="Arial"/>
        <w:b/>
        <w:sz w:val="48"/>
      </w:rPr>
    </w:pPr>
    <w:r w:rsidRPr="009C4ADF">
      <w:rPr>
        <w:rFonts w:ascii="Arial" w:hAnsi="Arial" w:cs="Arial"/>
        <w:b/>
        <w:sz w:val="48"/>
      </w:rPr>
      <w:t>PL</w:t>
    </w:r>
    <w:r w:rsidRPr="009C4ADF">
      <w:rPr>
        <w:rFonts w:ascii="Arial" w:hAnsi="Arial" w:cs="Arial"/>
        <w:b/>
        <w:sz w:val="48"/>
      </w:rPr>
      <w:tab/>
    </w:r>
    <w:r>
      <w:fldChar w:fldCharType="begin"/>
    </w:r>
    <w:r>
      <w:instrText xml:space="preserve"> PAGE  \* MERGEFORMAT </w:instrText>
    </w:r>
    <w:r>
      <w:fldChar w:fldCharType="separate"/>
    </w:r>
    <w:r w:rsidR="00316633">
      <w:rPr>
        <w:noProof/>
      </w:rPr>
      <w:t>131</w:t>
    </w:r>
    <w:r>
      <w:fldChar w:fldCharType="end"/>
    </w:r>
    <w:r>
      <w:tab/>
    </w:r>
    <w:r w:rsidRPr="009C4ADF">
      <w:tab/>
    </w:r>
    <w:r w:rsidRPr="009C4ADF">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B206" w14:textId="77777777" w:rsidR="009C4ADF" w:rsidRDefault="009C4ADF" w:rsidP="009C4ADF">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D7EB0" w14:textId="7D90D9AD" w:rsidR="009C4ADF" w:rsidRPr="009C4ADF" w:rsidRDefault="009C4ADF" w:rsidP="009C4ADF">
    <w:pPr>
      <w:pStyle w:val="FooterLandscape"/>
      <w:rPr>
        <w:rFonts w:ascii="Arial" w:hAnsi="Arial" w:cs="Arial"/>
        <w:b/>
        <w:sz w:val="48"/>
      </w:rPr>
    </w:pPr>
    <w:r w:rsidRPr="009C4ADF">
      <w:rPr>
        <w:rFonts w:ascii="Arial" w:hAnsi="Arial" w:cs="Arial"/>
        <w:b/>
        <w:sz w:val="48"/>
      </w:rPr>
      <w:t>PL</w:t>
    </w:r>
    <w:r w:rsidRPr="009C4AD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C4ADF">
      <w:tab/>
    </w:r>
    <w:r w:rsidRPr="009C4ADF">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E03E0" w14:textId="1003A9CE" w:rsidR="009C4ADF" w:rsidRPr="009C4ADF" w:rsidRDefault="009C4ADF" w:rsidP="009C4ADF">
    <w:pPr>
      <w:pStyle w:val="Footer"/>
      <w:rPr>
        <w:rFonts w:ascii="Arial" w:hAnsi="Arial" w:cs="Arial"/>
        <w:b/>
        <w:sz w:val="48"/>
      </w:rPr>
    </w:pPr>
    <w:r w:rsidRPr="009C4ADF">
      <w:rPr>
        <w:rFonts w:ascii="Arial" w:hAnsi="Arial" w:cs="Arial"/>
        <w:b/>
        <w:sz w:val="48"/>
      </w:rPr>
      <w:t>PL</w:t>
    </w:r>
    <w:r w:rsidRPr="009C4AD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C4ADF">
      <w:tab/>
    </w:r>
    <w:r w:rsidRPr="009C4ADF">
      <w:rPr>
        <w:rFonts w:ascii="Arial" w:hAnsi="Arial" w:cs="Arial"/>
        <w:b/>
        <w:sz w:val="48"/>
      </w:rPr>
      <w:t>PL</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596C" w14:textId="68134286" w:rsidR="009C4ADF" w:rsidRPr="009C4ADF" w:rsidRDefault="009C4ADF" w:rsidP="009C4ADF">
    <w:pPr>
      <w:pStyle w:val="FooterLandscape"/>
      <w:rPr>
        <w:rFonts w:ascii="Arial" w:hAnsi="Arial" w:cs="Arial"/>
        <w:b/>
        <w:sz w:val="48"/>
      </w:rPr>
    </w:pPr>
    <w:r w:rsidRPr="009C4ADF">
      <w:rPr>
        <w:rFonts w:ascii="Arial" w:hAnsi="Arial" w:cs="Arial"/>
        <w:b/>
        <w:sz w:val="48"/>
      </w:rPr>
      <w:t>PL</w:t>
    </w:r>
    <w:r w:rsidRPr="009C4ADF">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C4ADF">
      <w:tab/>
    </w:r>
    <w:r w:rsidRPr="009C4ADF">
      <w:rPr>
        <w:rFonts w:ascii="Arial" w:hAnsi="Arial" w:cs="Arial"/>
        <w:b/>
        <w:sz w:val="48"/>
      </w:rPr>
      <w:t>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B8B2C" w14:textId="77777777" w:rsidR="00842626" w:rsidRPr="00201A9A" w:rsidRDefault="00842626" w:rsidP="00186A9E">
      <w:pPr>
        <w:spacing w:before="0" w:after="0"/>
      </w:pPr>
      <w:r w:rsidRPr="00201A9A">
        <w:separator/>
      </w:r>
    </w:p>
  </w:footnote>
  <w:footnote w:type="continuationSeparator" w:id="0">
    <w:p w14:paraId="4C13A6A5" w14:textId="77777777" w:rsidR="00842626" w:rsidRPr="00201A9A" w:rsidRDefault="00842626" w:rsidP="00186A9E">
      <w:pPr>
        <w:spacing w:before="0" w:after="0"/>
      </w:pPr>
      <w:r w:rsidRPr="00201A9A">
        <w:continuationSeparator/>
      </w:r>
    </w:p>
  </w:footnote>
  <w:footnote w:type="continuationNotice" w:id="1">
    <w:p w14:paraId="23118228" w14:textId="77777777" w:rsidR="00842626" w:rsidRPr="00201A9A" w:rsidRDefault="00842626">
      <w:pPr>
        <w:spacing w:before="0" w:after="0"/>
      </w:pPr>
    </w:p>
  </w:footnote>
  <w:footnote w:id="2">
    <w:p w14:paraId="1F6F0F4C" w14:textId="77777777" w:rsidR="00794A16" w:rsidRPr="00201A9A" w:rsidRDefault="00794A16" w:rsidP="00794A16">
      <w:pPr>
        <w:pStyle w:val="FootnoteText"/>
      </w:pPr>
      <w:r w:rsidRPr="00201A9A">
        <w:rPr>
          <w:rStyle w:val="FootnoteReference"/>
        </w:rPr>
        <w:footnoteRef/>
      </w:r>
      <w:r w:rsidRPr="00201A9A">
        <w:tab/>
        <w:t>COM(2025) 47 final.</w:t>
      </w:r>
    </w:p>
  </w:footnote>
  <w:footnote w:id="3">
    <w:p w14:paraId="02AA8AB0" w14:textId="77777777" w:rsidR="00794A16" w:rsidRPr="00201A9A" w:rsidRDefault="00794A16" w:rsidP="00794A16">
      <w:pPr>
        <w:pStyle w:val="FootnoteText"/>
      </w:pPr>
      <w:r w:rsidRPr="00201A9A">
        <w:rPr>
          <w:rStyle w:val="FootnoteReference"/>
        </w:rPr>
        <w:footnoteRef/>
      </w:r>
      <w:r w:rsidRPr="00201A9A">
        <w:tab/>
        <w:t>COM(2025) 30 final.</w:t>
      </w:r>
    </w:p>
  </w:footnote>
  <w:footnote w:id="4">
    <w:p w14:paraId="63973EA1" w14:textId="77777777" w:rsidR="00794A16" w:rsidRPr="00201A9A" w:rsidRDefault="00794A16" w:rsidP="00794A16">
      <w:pPr>
        <w:pStyle w:val="FootnoteText"/>
      </w:pPr>
      <w:r w:rsidRPr="00201A9A">
        <w:rPr>
          <w:rStyle w:val="FootnoteReference"/>
        </w:rPr>
        <w:footnoteRef/>
      </w:r>
      <w:r w:rsidRPr="00201A9A">
        <w:tab/>
        <w:t>COM(2025) 85 final.</w:t>
      </w:r>
    </w:p>
  </w:footnote>
  <w:footnote w:id="5">
    <w:p w14:paraId="3C4A8547" w14:textId="77777777" w:rsidR="00794A16" w:rsidRPr="00201A9A" w:rsidRDefault="00794A16" w:rsidP="00794A16">
      <w:pPr>
        <w:pStyle w:val="FootnoteText"/>
        <w:rPr>
          <w:rFonts w:ascii="EC Square Sans Cond Pro" w:hAnsi="EC Square Sans Cond Pro"/>
        </w:rPr>
      </w:pPr>
      <w:r w:rsidRPr="00201A9A">
        <w:rPr>
          <w:rStyle w:val="FootnoteReference"/>
        </w:rPr>
        <w:footnoteRef/>
      </w:r>
      <w:r w:rsidRPr="00201A9A">
        <w:tab/>
        <w:t>COM(2025) 79 final.</w:t>
      </w:r>
    </w:p>
  </w:footnote>
  <w:footnote w:id="6">
    <w:p w14:paraId="11E7B6A8" w14:textId="77777777" w:rsidR="00794A16" w:rsidRPr="00201A9A" w:rsidRDefault="00794A16" w:rsidP="00794A16">
      <w:pPr>
        <w:pStyle w:val="FootnoteText"/>
      </w:pPr>
      <w:r w:rsidRPr="00201A9A">
        <w:rPr>
          <w:rStyle w:val="FootnoteReference"/>
        </w:rPr>
        <w:footnoteRef/>
      </w:r>
      <w:r w:rsidRPr="00201A9A">
        <w:tab/>
        <w:t>COM(2025) 90 final.</w:t>
      </w:r>
    </w:p>
  </w:footnote>
  <w:footnote w:id="7">
    <w:p w14:paraId="015717E9" w14:textId="77777777" w:rsidR="00794A16" w:rsidRPr="00201A9A" w:rsidRDefault="00794A16" w:rsidP="00794A16">
      <w:pPr>
        <w:pStyle w:val="FootnoteText"/>
        <w:rPr>
          <w:rFonts w:ascii="EC Square Sans Cond Pro" w:hAnsi="EC Square Sans Cond Pro"/>
        </w:rPr>
      </w:pPr>
      <w:r w:rsidRPr="00201A9A">
        <w:rPr>
          <w:rStyle w:val="FootnoteReference"/>
        </w:rPr>
        <w:footnoteRef/>
      </w:r>
      <w:r w:rsidRPr="00201A9A">
        <w:tab/>
        <w:t>COM(2025) 75 final.</w:t>
      </w:r>
    </w:p>
  </w:footnote>
  <w:footnote w:id="8">
    <w:p w14:paraId="053D0710" w14:textId="1CBB5EF9" w:rsidR="000C70BB" w:rsidRPr="00201A9A" w:rsidRDefault="000C70BB" w:rsidP="000C70BB">
      <w:pPr>
        <w:pStyle w:val="FootnoteText"/>
      </w:pPr>
      <w:r w:rsidRPr="00201A9A">
        <w:rPr>
          <w:rStyle w:val="FootnoteReference"/>
        </w:rPr>
        <w:footnoteRef/>
      </w:r>
      <w:r w:rsidRPr="00201A9A">
        <w:tab/>
        <w:t>Pakiety zbiorcze 1</w:t>
      </w:r>
      <w:r w:rsidR="00201A9A" w:rsidRPr="00201A9A">
        <w:t xml:space="preserve"> i 2 z dni</w:t>
      </w:r>
      <w:r w:rsidRPr="00201A9A">
        <w:t>a 26 lutego 2025</w:t>
      </w:r>
      <w:r w:rsidR="00201A9A" w:rsidRPr="00201A9A">
        <w:t> </w:t>
      </w:r>
      <w:r w:rsidRPr="00201A9A">
        <w:t xml:space="preserve">r. </w:t>
      </w:r>
    </w:p>
  </w:footnote>
  <w:footnote w:id="9">
    <w:p w14:paraId="114493E2" w14:textId="77777777" w:rsidR="002962F6" w:rsidRPr="00201A9A" w:rsidRDefault="002962F6" w:rsidP="002962F6">
      <w:pPr>
        <w:pStyle w:val="FootnoteText"/>
      </w:pPr>
      <w:r w:rsidRPr="00201A9A">
        <w:rPr>
          <w:rStyle w:val="FootnoteReference"/>
        </w:rPr>
        <w:footnoteRef/>
      </w:r>
      <w:r w:rsidRPr="00201A9A">
        <w:tab/>
        <w:t>COM(2025) 124 final.</w:t>
      </w:r>
    </w:p>
  </w:footnote>
  <w:footnote w:id="10">
    <w:p w14:paraId="0EEA0461" w14:textId="39450883" w:rsidR="00950B10" w:rsidRPr="00201A9A" w:rsidRDefault="00950B10">
      <w:pPr>
        <w:pStyle w:val="FootnoteText"/>
      </w:pPr>
      <w:r w:rsidRPr="00201A9A">
        <w:rPr>
          <w:rStyle w:val="FootnoteReference"/>
        </w:rPr>
        <w:footnoteRef/>
      </w:r>
      <w:r w:rsidRPr="00201A9A">
        <w:tab/>
        <w:t>Rozporządzenie delegowane Komisji (UE) nr 240/2014</w:t>
      </w:r>
      <w:r w:rsidR="00201A9A" w:rsidRPr="00201A9A">
        <w:t xml:space="preserve"> z dni</w:t>
      </w:r>
      <w:r w:rsidRPr="00201A9A">
        <w:t>a 7 stycznia 2014 r.</w:t>
      </w:r>
      <w:r w:rsidR="00201A9A" w:rsidRPr="00201A9A">
        <w:t xml:space="preserve"> w spr</w:t>
      </w:r>
      <w:r w:rsidRPr="00201A9A">
        <w:t>awie europejskiego kodeksu postępowania</w:t>
      </w:r>
      <w:r w:rsidR="00201A9A" w:rsidRPr="00201A9A">
        <w:t xml:space="preserve"> w zak</w:t>
      </w:r>
      <w:r w:rsidRPr="00201A9A">
        <w:t>resie partnerstwa</w:t>
      </w:r>
      <w:r w:rsidR="00201A9A" w:rsidRPr="00201A9A">
        <w:t xml:space="preserve"> w ram</w:t>
      </w:r>
      <w:r w:rsidRPr="00201A9A">
        <w:t>ach europejskich funduszy strukturalnych</w:t>
      </w:r>
      <w:r w:rsidR="00201A9A" w:rsidRPr="00201A9A">
        <w:t xml:space="preserve"> i inw</w:t>
      </w:r>
      <w:r w:rsidRPr="00201A9A">
        <w:t>estycyjnych (Dz.U. L 74</w:t>
      </w:r>
      <w:r w:rsidR="00201A9A" w:rsidRPr="00201A9A">
        <w:t xml:space="preserve"> z 1</w:t>
      </w:r>
      <w:r w:rsidRPr="00201A9A">
        <w:t>4.3.2014, s. 1).</w:t>
      </w:r>
    </w:p>
  </w:footnote>
  <w:footnote w:id="11">
    <w:p w14:paraId="42B6A515" w14:textId="614BF5D0" w:rsidR="00FD14FB" w:rsidRPr="00201A9A" w:rsidRDefault="00FD14FB" w:rsidP="00FD14FB">
      <w:pPr>
        <w:pStyle w:val="FootnoteText"/>
      </w:pPr>
      <w:r w:rsidRPr="00201A9A">
        <w:rPr>
          <w:rStyle w:val="FootnoteReference"/>
        </w:rPr>
        <w:footnoteRef/>
      </w:r>
      <w:r w:rsidRPr="00201A9A">
        <w:tab/>
        <w:t>Rozporządzenie Parlamentu Europejskiego</w:t>
      </w:r>
      <w:r w:rsidR="00201A9A" w:rsidRPr="00201A9A">
        <w:t xml:space="preserve"> i Rad</w:t>
      </w:r>
      <w:r w:rsidRPr="00201A9A">
        <w:t>y (UE, Euratom) 2020/2092</w:t>
      </w:r>
      <w:r w:rsidR="00201A9A" w:rsidRPr="00201A9A">
        <w:t xml:space="preserve"> z dni</w:t>
      </w:r>
      <w:r w:rsidRPr="00201A9A">
        <w:t>a 16 grudnia 2020 r.</w:t>
      </w:r>
      <w:r w:rsidR="00201A9A" w:rsidRPr="00201A9A">
        <w:t xml:space="preserve"> w spr</w:t>
      </w:r>
      <w:r w:rsidRPr="00201A9A">
        <w:t>awie ogólnego systemu warunkowości służącego ochronie budżetu Unii (Dz.U. L 433 I z 22.12.2020, s. 1, ELI: http://data.europa.eu/eli/reg/2020/2092/oj)</w:t>
      </w:r>
      <w:r w:rsidR="00F0592B" w:rsidRPr="00201A9A">
        <w:t>.</w:t>
      </w:r>
    </w:p>
  </w:footnote>
  <w:footnote w:id="12">
    <w:p w14:paraId="73E7EA3A" w14:textId="70E60611" w:rsidR="005F3BC6" w:rsidRPr="00201A9A" w:rsidRDefault="005F3BC6" w:rsidP="005F3BC6">
      <w:pPr>
        <w:pStyle w:val="FootnoteText"/>
      </w:pPr>
      <w:r w:rsidRPr="00201A9A">
        <w:rPr>
          <w:rStyle w:val="FootnoteReference"/>
        </w:rPr>
        <w:footnoteRef/>
      </w:r>
      <w:r w:rsidRPr="00201A9A">
        <w:tab/>
        <w:t>Rozporządzenie Parlamentu Europejskiego</w:t>
      </w:r>
      <w:r w:rsidR="00201A9A" w:rsidRPr="00201A9A">
        <w:t xml:space="preserve"> i Rad</w:t>
      </w:r>
      <w:r w:rsidRPr="00201A9A">
        <w:t>y (UE, Euratom) 2024/2509</w:t>
      </w:r>
      <w:r w:rsidR="00201A9A" w:rsidRPr="00201A9A">
        <w:t xml:space="preserve"> z dni</w:t>
      </w:r>
      <w:r w:rsidRPr="00201A9A">
        <w:t>a 23 września 2024</w:t>
      </w:r>
      <w:r w:rsidR="00201A9A" w:rsidRPr="00201A9A">
        <w:t> </w:t>
      </w:r>
      <w:r w:rsidRPr="00201A9A">
        <w:t>r.</w:t>
      </w:r>
      <w:r w:rsidR="00201A9A" w:rsidRPr="00201A9A">
        <w:t xml:space="preserve"> w spr</w:t>
      </w:r>
      <w:r w:rsidRPr="00201A9A">
        <w:t>awie zasad finansowych mających zastosowanie do budżetu ogólnego Unii (Dz.U. L, 2024/2509, 26.9.2024, ELI: </w:t>
      </w:r>
      <w:hyperlink r:id="rId1" w:tgtFrame="_blank" w:tooltip="Dostęp do dokumentu poprzez identyfikator URI w systemie ELI." w:history="1">
        <w:r w:rsidRPr="00201A9A">
          <w:rPr>
            <w:rStyle w:val="Hyperlink"/>
          </w:rPr>
          <w:t>http://data.europa.eu/eli/reg/2024/2509/oj</w:t>
        </w:r>
      </w:hyperlink>
      <w:r w:rsidRPr="00201A9A">
        <w:t>).</w:t>
      </w:r>
    </w:p>
  </w:footnote>
  <w:footnote w:id="13">
    <w:p w14:paraId="2311B00E" w14:textId="4F6B9EE2" w:rsidR="002F7808" w:rsidRPr="00201A9A" w:rsidRDefault="002F7808" w:rsidP="002F7808">
      <w:pPr>
        <w:pStyle w:val="FootnoteText"/>
      </w:pPr>
      <w:r w:rsidRPr="00201A9A">
        <w:rPr>
          <w:rStyle w:val="FootnoteReference"/>
        </w:rPr>
        <w:footnoteRef/>
      </w:r>
      <w:r w:rsidRPr="00201A9A">
        <w:tab/>
        <w:t>Rozporządzenie Parlamentu Europejskiego</w:t>
      </w:r>
      <w:r w:rsidR="00201A9A" w:rsidRPr="00201A9A">
        <w:t xml:space="preserve"> i Rad</w:t>
      </w:r>
      <w:r w:rsidRPr="00201A9A">
        <w:t>y (UE) 2023/955</w:t>
      </w:r>
      <w:r w:rsidR="00201A9A" w:rsidRPr="00201A9A">
        <w:t xml:space="preserve"> z dni</w:t>
      </w:r>
      <w:r w:rsidRPr="00201A9A">
        <w:t>a 10 maja 2023 r. ustanawiające Społeczny Fundusz Klimatyczny</w:t>
      </w:r>
      <w:r w:rsidR="00201A9A" w:rsidRPr="00201A9A">
        <w:t xml:space="preserve"> i zmi</w:t>
      </w:r>
      <w:r w:rsidRPr="00201A9A">
        <w:t>eniające rozporządzenie (UE) 2021/1060 (Dz.U. L 130</w:t>
      </w:r>
      <w:r w:rsidR="00201A9A" w:rsidRPr="00201A9A">
        <w:t xml:space="preserve"> z 1</w:t>
      </w:r>
      <w:r w:rsidRPr="00201A9A">
        <w:t>6.5.2023, s. 1).</w:t>
      </w:r>
    </w:p>
  </w:footnote>
  <w:footnote w:id="14">
    <w:p w14:paraId="789BBBA9" w14:textId="4286A9A8" w:rsidR="008726A1" w:rsidRPr="00201A9A" w:rsidRDefault="008726A1" w:rsidP="008726A1">
      <w:pPr>
        <w:pStyle w:val="FootnoteText"/>
      </w:pPr>
      <w:r w:rsidRPr="00201A9A">
        <w:rPr>
          <w:rStyle w:val="FootnoteReference"/>
        </w:rPr>
        <w:footnoteRef/>
      </w:r>
      <w:r w:rsidRPr="00201A9A">
        <w:tab/>
        <w:t>Dz.U. L 123</w:t>
      </w:r>
      <w:r w:rsidR="00201A9A" w:rsidRPr="00201A9A">
        <w:t xml:space="preserve"> z 1</w:t>
      </w:r>
      <w:r w:rsidRPr="00201A9A">
        <w:t>2.5.2016, s. 1,</w:t>
      </w:r>
      <w:r w:rsidRPr="00201A9A">
        <w:rPr>
          <w:rFonts w:ascii="Segoe UI" w:hAnsi="Segoe UI"/>
          <w:color w:val="333333"/>
          <w:sz w:val="21"/>
          <w:shd w:val="clear" w:color="auto" w:fill="FFFFFF"/>
        </w:rPr>
        <w:t xml:space="preserve"> </w:t>
      </w:r>
      <w:r w:rsidRPr="00201A9A">
        <w:t>ELI: </w:t>
      </w:r>
      <w:hyperlink r:id="rId2" w:tooltip="Dostęp do dokumentu poprzez identyfikator URI w systemie ELI." w:history="1">
        <w:r w:rsidRPr="00201A9A">
          <w:rPr>
            <w:rStyle w:val="Hyperlink"/>
          </w:rPr>
          <w:t>http://data.europa.eu/eli/agree_interinstit/2016/512/oj</w:t>
        </w:r>
      </w:hyperlink>
      <w:r w:rsidR="00F0592B" w:rsidRPr="00201A9A">
        <w:t>.</w:t>
      </w:r>
    </w:p>
  </w:footnote>
  <w:footnote w:id="15">
    <w:p w14:paraId="097B338A" w14:textId="3983226E" w:rsidR="004A3954" w:rsidRPr="00201A9A" w:rsidRDefault="004A3954" w:rsidP="004A3954">
      <w:pPr>
        <w:pStyle w:val="FootnoteText"/>
      </w:pPr>
      <w:r w:rsidRPr="00201A9A">
        <w:rPr>
          <w:rStyle w:val="FootnoteReference"/>
        </w:rPr>
        <w:footnoteRef/>
      </w:r>
      <w:r w:rsidRPr="00201A9A">
        <w:tab/>
        <w:t>Rozporządzenie Parlamentu Europejskiego</w:t>
      </w:r>
      <w:r w:rsidR="00201A9A" w:rsidRPr="00201A9A">
        <w:t xml:space="preserve"> i Rad</w:t>
      </w:r>
      <w:r w:rsidRPr="00201A9A">
        <w:t>y (UE) nr</w:t>
      </w:r>
      <w:r w:rsidR="00201A9A" w:rsidRPr="00201A9A">
        <w:t> </w:t>
      </w:r>
      <w:r w:rsidRPr="00201A9A">
        <w:t>182/2011</w:t>
      </w:r>
      <w:r w:rsidR="00201A9A" w:rsidRPr="00201A9A">
        <w:t xml:space="preserve"> z dni</w:t>
      </w:r>
      <w:r w:rsidRPr="00201A9A">
        <w:t>a 16 lutego 2011</w:t>
      </w:r>
      <w:r w:rsidR="00201A9A" w:rsidRPr="00201A9A">
        <w:t> </w:t>
      </w:r>
      <w:r w:rsidRPr="00201A9A">
        <w:t>r. ustanawiające przepisy</w:t>
      </w:r>
      <w:r w:rsidR="00201A9A" w:rsidRPr="00201A9A">
        <w:t xml:space="preserve"> i zas</w:t>
      </w:r>
      <w:r w:rsidRPr="00201A9A">
        <w:t>ady ogólne dotyczące trybu kontroli przez państwa członkowskie wykonywania uprawnień wykonawczych przez Komisję (Dz.U. L 55</w:t>
      </w:r>
      <w:r w:rsidR="00201A9A" w:rsidRPr="00201A9A">
        <w:t xml:space="preserve"> z 2</w:t>
      </w:r>
      <w:r w:rsidRPr="00201A9A">
        <w:t>8.2.2011, s. 13, ELI: https://eur-lex.europa.eu/eli/reg/2011/182/oj).</w:t>
      </w:r>
    </w:p>
  </w:footnote>
  <w:footnote w:id="16">
    <w:p w14:paraId="5674F366" w14:textId="16B65EF9" w:rsidR="00F92249" w:rsidRPr="00201A9A" w:rsidRDefault="00F92249">
      <w:pPr>
        <w:pStyle w:val="FootnoteText"/>
      </w:pPr>
      <w:r w:rsidRPr="00201A9A">
        <w:rPr>
          <w:rStyle w:val="FootnoteReference"/>
        </w:rPr>
        <w:footnoteRef/>
      </w:r>
      <w:r w:rsidRPr="00201A9A">
        <w:tab/>
        <w:t>Rozporządzenie Parlamentu Europejskiego</w:t>
      </w:r>
      <w:r w:rsidR="00201A9A" w:rsidRPr="00201A9A">
        <w:t xml:space="preserve"> i Rad</w:t>
      </w:r>
      <w:r w:rsidRPr="00201A9A">
        <w:t>y (UE) nr</w:t>
      </w:r>
      <w:r w:rsidR="00201A9A" w:rsidRPr="00201A9A">
        <w:t> </w:t>
      </w:r>
      <w:r w:rsidRPr="00201A9A">
        <w:t>1308/2013</w:t>
      </w:r>
      <w:r w:rsidR="00201A9A" w:rsidRPr="00201A9A">
        <w:t xml:space="preserve"> z dni</w:t>
      </w:r>
      <w:r w:rsidRPr="00201A9A">
        <w:t>a 17 grudnia 2013</w:t>
      </w:r>
      <w:r w:rsidR="00201A9A" w:rsidRPr="00201A9A">
        <w:t> </w:t>
      </w:r>
      <w:r w:rsidRPr="00201A9A">
        <w:t>r. ustanawiające wspólną organizację rynków produktów rolnych oraz uchylające rozporządzenia Rady (EWG) nr</w:t>
      </w:r>
      <w:r w:rsidR="00201A9A" w:rsidRPr="00201A9A">
        <w:t> </w:t>
      </w:r>
      <w:r w:rsidRPr="00201A9A">
        <w:t>922/72, (EWG) nr</w:t>
      </w:r>
      <w:r w:rsidR="00201A9A" w:rsidRPr="00201A9A">
        <w:t> </w:t>
      </w:r>
      <w:r w:rsidRPr="00201A9A">
        <w:t>234/79, (WE) nr</w:t>
      </w:r>
      <w:r w:rsidR="00201A9A" w:rsidRPr="00201A9A">
        <w:t> </w:t>
      </w:r>
      <w:r w:rsidRPr="00201A9A">
        <w:t>1037/2001 i (WE) nr 1234/2007 (Dz.U. L 347</w:t>
      </w:r>
      <w:r w:rsidR="00201A9A" w:rsidRPr="00201A9A">
        <w:t xml:space="preserve"> z 2</w:t>
      </w:r>
      <w:r w:rsidRPr="00201A9A">
        <w:t xml:space="preserve">0.12.2013, s. 671, ELI: </w:t>
      </w:r>
      <w:hyperlink r:id="rId3" w:history="1">
        <w:r w:rsidRPr="00201A9A">
          <w:rPr>
            <w:rStyle w:val="Hyperlink"/>
          </w:rPr>
          <w:t>http://data.europa.eu/eli/reg/2013/1308/oj</w:t>
        </w:r>
      </w:hyperlink>
      <w:r w:rsidRPr="00201A9A">
        <w:t>).</w:t>
      </w:r>
    </w:p>
  </w:footnote>
  <w:footnote w:id="17">
    <w:p w14:paraId="5FAA67B8" w14:textId="2CD4F69A" w:rsidR="00D04C54" w:rsidRPr="00201A9A" w:rsidRDefault="00D04C54">
      <w:pPr>
        <w:pStyle w:val="FootnoteText"/>
      </w:pPr>
      <w:r w:rsidRPr="00201A9A">
        <w:rPr>
          <w:rStyle w:val="FootnoteReference"/>
        </w:rPr>
        <w:footnoteRef/>
      </w:r>
      <w:r w:rsidRPr="00201A9A">
        <w:tab/>
        <w:t>Rozporządzenie Parlamentu Europejskiego</w:t>
      </w:r>
      <w:r w:rsidR="00201A9A" w:rsidRPr="00201A9A">
        <w:t xml:space="preserve"> i Rad</w:t>
      </w:r>
      <w:r w:rsidRPr="00201A9A">
        <w:t>y (UE) 2018/848</w:t>
      </w:r>
      <w:r w:rsidR="00201A9A" w:rsidRPr="00201A9A">
        <w:t xml:space="preserve"> z dni</w:t>
      </w:r>
      <w:r w:rsidRPr="00201A9A">
        <w:t>a 30 maja 2018 r.</w:t>
      </w:r>
      <w:r w:rsidR="00201A9A" w:rsidRPr="00201A9A">
        <w:t xml:space="preserve"> w spr</w:t>
      </w:r>
      <w:r w:rsidRPr="00201A9A">
        <w:t>awie produkcji ekologicznej</w:t>
      </w:r>
      <w:r w:rsidR="00201A9A" w:rsidRPr="00201A9A">
        <w:t xml:space="preserve"> i zna</w:t>
      </w:r>
      <w:r w:rsidRPr="00201A9A">
        <w:t>kowania produktów ekologicznych</w:t>
      </w:r>
      <w:r w:rsidR="00201A9A" w:rsidRPr="00201A9A">
        <w:t xml:space="preserve"> i uch</w:t>
      </w:r>
      <w:r w:rsidRPr="00201A9A">
        <w:t>ylające rozporządzenie Rady (WE) nr 834/2007 (Dz.U. L 150</w:t>
      </w:r>
      <w:r w:rsidR="00201A9A" w:rsidRPr="00201A9A">
        <w:t xml:space="preserve"> z 1</w:t>
      </w:r>
      <w:r w:rsidRPr="00201A9A">
        <w:t>4.6.2018, s. 1).</w:t>
      </w:r>
    </w:p>
  </w:footnote>
  <w:footnote w:id="18">
    <w:p w14:paraId="2759EB9E" w14:textId="64DC271C" w:rsidR="00DF7A6C" w:rsidRPr="00201A9A" w:rsidRDefault="00DF7A6C">
      <w:pPr>
        <w:pStyle w:val="FootnoteText"/>
      </w:pPr>
      <w:r w:rsidRPr="00201A9A">
        <w:rPr>
          <w:rStyle w:val="FootnoteReference"/>
        </w:rPr>
        <w:footnoteRef/>
      </w:r>
      <w:r w:rsidRPr="00201A9A">
        <w:tab/>
        <w:t>Rozporządzenie (UE) 2024/1991 Parlamentu Europejskiego</w:t>
      </w:r>
      <w:r w:rsidR="00201A9A" w:rsidRPr="00201A9A">
        <w:t xml:space="preserve"> i Rad</w:t>
      </w:r>
      <w:r w:rsidRPr="00201A9A">
        <w:t>y</w:t>
      </w:r>
      <w:r w:rsidR="00201A9A" w:rsidRPr="00201A9A">
        <w:t xml:space="preserve"> z dni</w:t>
      </w:r>
      <w:r w:rsidRPr="00201A9A">
        <w:t>a 24 czerwca 2024 r.</w:t>
      </w:r>
      <w:r w:rsidR="00201A9A" w:rsidRPr="00201A9A">
        <w:t xml:space="preserve"> w spr</w:t>
      </w:r>
      <w:r w:rsidRPr="00201A9A">
        <w:t>awie odbudowy zasobów przyrodniczych</w:t>
      </w:r>
      <w:r w:rsidR="00201A9A" w:rsidRPr="00201A9A">
        <w:t xml:space="preserve"> i zmi</w:t>
      </w:r>
      <w:r w:rsidRPr="00201A9A">
        <w:t>any rozporządzenia (UE) 2022/869 (Dz.U. L, 2024/1991, 29.7.2024, ELI: https://eur-lex.europa.eu/eli/reg/2024/1991/oj).</w:t>
      </w:r>
    </w:p>
  </w:footnote>
  <w:footnote w:id="19">
    <w:p w14:paraId="3FB0C3D9" w14:textId="01EEA6B6" w:rsidR="00B24F29" w:rsidRPr="00201A9A" w:rsidRDefault="00B24F29">
      <w:pPr>
        <w:pStyle w:val="FootnoteText"/>
      </w:pPr>
      <w:r w:rsidRPr="00201A9A">
        <w:rPr>
          <w:rStyle w:val="FootnoteReference"/>
        </w:rPr>
        <w:footnoteRef/>
      </w:r>
      <w:r w:rsidRPr="00201A9A">
        <w:tab/>
        <w:t>Rozporządzenie Parlamentu Europejskiego</w:t>
      </w:r>
      <w:r w:rsidR="00201A9A" w:rsidRPr="00201A9A">
        <w:t xml:space="preserve"> i Rad</w:t>
      </w:r>
      <w:r w:rsidRPr="00201A9A">
        <w:t>y (UE) 2018/1999</w:t>
      </w:r>
      <w:r w:rsidR="00201A9A" w:rsidRPr="00201A9A">
        <w:t xml:space="preserve"> z dni</w:t>
      </w:r>
      <w:r w:rsidRPr="00201A9A">
        <w:t>a 11 grudnia 2018</w:t>
      </w:r>
      <w:r w:rsidR="00201A9A" w:rsidRPr="00201A9A">
        <w:t> </w:t>
      </w:r>
      <w:r w:rsidRPr="00201A9A">
        <w:t>r.</w:t>
      </w:r>
      <w:r w:rsidR="00201A9A" w:rsidRPr="00201A9A">
        <w:t xml:space="preserve"> w spr</w:t>
      </w:r>
      <w:r w:rsidRPr="00201A9A">
        <w:t>awie zarządzania unią energetyczną</w:t>
      </w:r>
      <w:r w:rsidR="00201A9A" w:rsidRPr="00201A9A">
        <w:t xml:space="preserve"> i dzi</w:t>
      </w:r>
      <w:r w:rsidRPr="00201A9A">
        <w:t>ałaniami</w:t>
      </w:r>
      <w:r w:rsidR="00201A9A" w:rsidRPr="00201A9A">
        <w:t xml:space="preserve"> w dzi</w:t>
      </w:r>
      <w:r w:rsidRPr="00201A9A">
        <w:t>edzinie klimatu, zmiany rozporządzeń Parlamentu Europejskiego</w:t>
      </w:r>
      <w:r w:rsidR="00201A9A" w:rsidRPr="00201A9A">
        <w:t xml:space="preserve"> i Rad</w:t>
      </w:r>
      <w:r w:rsidRPr="00201A9A">
        <w:t>y (WE) nr</w:t>
      </w:r>
      <w:r w:rsidR="00201A9A" w:rsidRPr="00201A9A">
        <w:t> </w:t>
      </w:r>
      <w:r w:rsidRPr="00201A9A">
        <w:t>663/2009 i (WE) nr 715/2009, dyrektyw Parlamentu Europejskiego</w:t>
      </w:r>
      <w:r w:rsidR="00201A9A" w:rsidRPr="00201A9A">
        <w:t xml:space="preserve"> i Rad</w:t>
      </w:r>
      <w:r w:rsidRPr="00201A9A">
        <w:t>y 94/22/WE, 98/70/WE, 2009/31/WE, 2009/73/WE, 2010/31/UE, 2012/27/UE</w:t>
      </w:r>
      <w:r w:rsidR="00201A9A" w:rsidRPr="00201A9A">
        <w:t xml:space="preserve"> i 2</w:t>
      </w:r>
      <w:r w:rsidRPr="00201A9A">
        <w:t>013/30/UE, dyrektyw Rady 2009/119/WE i (UE) 2015/652 oraz uchylenia rozporządzenia Parlamentu Europejskiego</w:t>
      </w:r>
      <w:r w:rsidR="00201A9A" w:rsidRPr="00201A9A">
        <w:t xml:space="preserve"> i Rad</w:t>
      </w:r>
      <w:r w:rsidRPr="00201A9A">
        <w:t>y (UE) nr 525/2013 (Dz.U. L 328</w:t>
      </w:r>
      <w:r w:rsidR="00201A9A" w:rsidRPr="00201A9A">
        <w:t xml:space="preserve"> z 2</w:t>
      </w:r>
      <w:r w:rsidRPr="00201A9A">
        <w:t>1.12.2018, s. 1, ELI: https://eur-lex.europa.eu/eli/reg/2018/1999/oj).</w:t>
      </w:r>
    </w:p>
  </w:footnote>
  <w:footnote w:id="20">
    <w:p w14:paraId="7B561F30" w14:textId="73FFA0C0" w:rsidR="005F6B94" w:rsidRPr="00201A9A" w:rsidRDefault="005F6B94">
      <w:pPr>
        <w:pStyle w:val="FootnoteText"/>
      </w:pPr>
      <w:r w:rsidRPr="00201A9A">
        <w:rPr>
          <w:rStyle w:val="FootnoteReference"/>
        </w:rPr>
        <w:footnoteRef/>
      </w:r>
      <w:r w:rsidRPr="00201A9A">
        <w:tab/>
        <w:t>Decyzja Parlamentu Europejskiego</w:t>
      </w:r>
      <w:r w:rsidR="00201A9A" w:rsidRPr="00201A9A">
        <w:t xml:space="preserve"> i Rad</w:t>
      </w:r>
      <w:r w:rsidRPr="00201A9A">
        <w:t>y (UE) 2022/2481</w:t>
      </w:r>
      <w:r w:rsidR="00201A9A" w:rsidRPr="00201A9A">
        <w:t xml:space="preserve"> z dni</w:t>
      </w:r>
      <w:r w:rsidRPr="00201A9A">
        <w:t>a 14 grudnia 2022 r. ustanawiająca program polityki „Droga ku cyfrowej dekadzie” do</w:t>
      </w:r>
      <w:r w:rsidR="00201A9A" w:rsidRPr="00201A9A">
        <w:t> </w:t>
      </w:r>
      <w:r w:rsidRPr="00201A9A">
        <w:t xml:space="preserve">2030 r. </w:t>
      </w:r>
      <w:r w:rsidR="00201A9A" w:rsidRPr="00201A9A">
        <w:t>(D</w:t>
      </w:r>
      <w:r w:rsidRPr="00201A9A">
        <w:t>z.U. L 323</w:t>
      </w:r>
      <w:r w:rsidR="00201A9A" w:rsidRPr="00201A9A">
        <w:t xml:space="preserve"> z 1</w:t>
      </w:r>
      <w:r w:rsidRPr="00201A9A">
        <w:t>9.12.2022, s. 4, ELI: https://eur-lex.europa.eu/eli/dec/2022/2481/oj).</w:t>
      </w:r>
    </w:p>
  </w:footnote>
  <w:footnote w:id="21">
    <w:p w14:paraId="31F77FF5" w14:textId="5AE9ADCA" w:rsidR="009B032B" w:rsidRPr="00201A9A" w:rsidRDefault="009B032B">
      <w:pPr>
        <w:pStyle w:val="FootnoteText"/>
      </w:pPr>
      <w:r w:rsidRPr="00201A9A">
        <w:rPr>
          <w:rStyle w:val="FootnoteReference"/>
        </w:rPr>
        <w:footnoteRef/>
      </w:r>
      <w:r w:rsidRPr="00201A9A">
        <w:tab/>
        <w:t>Rozporządzenie Parlamentu Europejskiego</w:t>
      </w:r>
      <w:r w:rsidR="00201A9A" w:rsidRPr="00201A9A">
        <w:t xml:space="preserve"> i Rad</w:t>
      </w:r>
      <w:r w:rsidRPr="00201A9A">
        <w:t>y (UE) 2024/1679</w:t>
      </w:r>
      <w:r w:rsidR="00201A9A" w:rsidRPr="00201A9A">
        <w:t xml:space="preserve"> z dni</w:t>
      </w:r>
      <w:r w:rsidRPr="00201A9A">
        <w:t>a 13 czerwca 2024 r.</w:t>
      </w:r>
      <w:r w:rsidR="00201A9A" w:rsidRPr="00201A9A">
        <w:t xml:space="preserve"> w spr</w:t>
      </w:r>
      <w:r w:rsidRPr="00201A9A">
        <w:t>awie unijnych wytycznych dotyczących rozwoju transeuropejskiej sieci transportowej, zmieniające rozporządzenia (UE) 2021/1153 i (UE) nr 913/2010 oraz uchylające rozporządzenie (UE) nr 1315/2013 (Dz.U. L, 2024/1679, 28.6.2024, ELI: https://eur-lex.europa.eu/eli/reg/2024/1679/oj).</w:t>
      </w:r>
    </w:p>
  </w:footnote>
  <w:footnote w:id="22">
    <w:p w14:paraId="7EF495DE" w14:textId="1B3DD1AB" w:rsidR="002452F0" w:rsidRPr="00201A9A" w:rsidRDefault="002452F0">
      <w:pPr>
        <w:pStyle w:val="FootnoteText"/>
      </w:pPr>
      <w:r w:rsidRPr="00201A9A">
        <w:rPr>
          <w:rStyle w:val="FootnoteReference"/>
        </w:rPr>
        <w:footnoteRef/>
      </w:r>
      <w:r w:rsidRPr="00201A9A">
        <w:tab/>
        <w:t>Rozporządzenie Parlamentu Europejskiego</w:t>
      </w:r>
      <w:r w:rsidR="00201A9A" w:rsidRPr="00201A9A">
        <w:t xml:space="preserve"> i rad</w:t>
      </w:r>
      <w:r w:rsidRPr="00201A9A">
        <w:t>y (UE) 2022/869</w:t>
      </w:r>
      <w:r w:rsidR="00201A9A" w:rsidRPr="00201A9A">
        <w:t xml:space="preserve"> z dni</w:t>
      </w:r>
      <w:r w:rsidRPr="00201A9A">
        <w:t>a 30 maja 2022 r.</w:t>
      </w:r>
      <w:r w:rsidR="00201A9A" w:rsidRPr="00201A9A">
        <w:t xml:space="preserve"> w spr</w:t>
      </w:r>
      <w:r w:rsidRPr="00201A9A">
        <w:t>awie wytycznych dotyczących transeuropejskiej infrastruktury energetycznej, zmiany rozporządzeń (WE) nr 715/2009, (UE) 2019/942 i (UE) 2019/943 oraz dyrektyw 2009/73/WE i (UE) 2019/944 oraz uchylenia rozporządzenia (UE) nr 347/2013 (Dz.U. L 152</w:t>
      </w:r>
      <w:r w:rsidR="00201A9A" w:rsidRPr="00201A9A">
        <w:t xml:space="preserve"> z 3</w:t>
      </w:r>
      <w:r w:rsidRPr="00201A9A">
        <w:t>.6.2022, s. 45, ELI: https://eur-lex.europa.eu/eli/reg/2022/869/oj).</w:t>
      </w:r>
    </w:p>
  </w:footnote>
  <w:footnote w:id="23">
    <w:p w14:paraId="08266AE0" w14:textId="592A46BB" w:rsidR="00BF0308" w:rsidRPr="00201A9A" w:rsidRDefault="00BF0308">
      <w:pPr>
        <w:pStyle w:val="FootnoteText"/>
      </w:pPr>
      <w:r w:rsidRPr="00201A9A">
        <w:rPr>
          <w:rStyle w:val="FootnoteReference"/>
        </w:rPr>
        <w:footnoteRef/>
      </w:r>
      <w:r w:rsidRPr="00201A9A">
        <w:tab/>
        <w:t>Rozporządzenie delegowane Komisji (UE) nr 240/2014</w:t>
      </w:r>
      <w:r w:rsidR="00201A9A" w:rsidRPr="00201A9A">
        <w:t xml:space="preserve"> z dni</w:t>
      </w:r>
      <w:r w:rsidRPr="00201A9A">
        <w:t>a 7 stycznia 2014 r.</w:t>
      </w:r>
      <w:r w:rsidR="00201A9A" w:rsidRPr="00201A9A">
        <w:t xml:space="preserve"> w spr</w:t>
      </w:r>
      <w:r w:rsidRPr="00201A9A">
        <w:t>awie europejskiego kodeksu postępowania</w:t>
      </w:r>
      <w:r w:rsidR="00201A9A" w:rsidRPr="00201A9A">
        <w:t xml:space="preserve"> w zak</w:t>
      </w:r>
      <w:r w:rsidRPr="00201A9A">
        <w:t>resie partnerstwa</w:t>
      </w:r>
      <w:r w:rsidR="00201A9A" w:rsidRPr="00201A9A">
        <w:t xml:space="preserve"> w ram</w:t>
      </w:r>
      <w:r w:rsidRPr="00201A9A">
        <w:t>ach europejskich funduszy strukturalnych</w:t>
      </w:r>
      <w:r w:rsidR="00201A9A" w:rsidRPr="00201A9A">
        <w:t xml:space="preserve"> i inw</w:t>
      </w:r>
      <w:r w:rsidRPr="00201A9A">
        <w:t>estycyjnych (Dz.U. L 74</w:t>
      </w:r>
      <w:r w:rsidR="00201A9A" w:rsidRPr="00201A9A">
        <w:t xml:space="preserve"> z 1</w:t>
      </w:r>
      <w:r w:rsidRPr="00201A9A">
        <w:t>4.3.2014, s. 1).</w:t>
      </w:r>
    </w:p>
  </w:footnote>
  <w:footnote w:id="24">
    <w:p w14:paraId="44DEC55A" w14:textId="0715D72B" w:rsidR="00DF506D" w:rsidRPr="00201A9A" w:rsidRDefault="00DF506D" w:rsidP="00DF506D">
      <w:pPr>
        <w:pStyle w:val="FootnoteText"/>
      </w:pPr>
      <w:r w:rsidRPr="00201A9A">
        <w:rPr>
          <w:rStyle w:val="FootnoteReference"/>
        </w:rPr>
        <w:footnoteRef/>
      </w:r>
      <w:r w:rsidRPr="00201A9A">
        <w:tab/>
        <w:t>Dyrektywa Parlamentu Europejskiego</w:t>
      </w:r>
      <w:r w:rsidR="00201A9A" w:rsidRPr="00201A9A">
        <w:t xml:space="preserve"> i Rad</w:t>
      </w:r>
      <w:r w:rsidRPr="00201A9A">
        <w:t>y (UE) 2015/849</w:t>
      </w:r>
      <w:r w:rsidR="00201A9A" w:rsidRPr="00201A9A">
        <w:t xml:space="preserve"> z dni</w:t>
      </w:r>
      <w:r w:rsidRPr="00201A9A">
        <w:t>a 20 maja 2015 r.</w:t>
      </w:r>
      <w:r w:rsidR="00201A9A" w:rsidRPr="00201A9A">
        <w:t xml:space="preserve"> w spr</w:t>
      </w:r>
      <w:r w:rsidRPr="00201A9A">
        <w:t>awie zapobiegania wykorzystywaniu systemu finansowego do prania pieniędzy lub finansowania terroryzmu, zmieniająca rozporządzenie Parlamentu Europejskiego</w:t>
      </w:r>
      <w:r w:rsidR="00201A9A" w:rsidRPr="00201A9A">
        <w:t xml:space="preserve"> i Rad</w:t>
      </w:r>
      <w:r w:rsidRPr="00201A9A">
        <w:t>y (UE) nr 648/2012</w:t>
      </w:r>
      <w:r w:rsidR="00201A9A" w:rsidRPr="00201A9A">
        <w:t xml:space="preserve"> i uch</w:t>
      </w:r>
      <w:r w:rsidRPr="00201A9A">
        <w:t>ylająca dyrektywę Parlamentu Europejskiego</w:t>
      </w:r>
      <w:r w:rsidR="00201A9A" w:rsidRPr="00201A9A">
        <w:t xml:space="preserve"> i Rad</w:t>
      </w:r>
      <w:r w:rsidRPr="00201A9A">
        <w:t>y 2005/60/WE oraz dyrektywę Komisji 2006/70/WE (Dz.U. L 141</w:t>
      </w:r>
      <w:r w:rsidR="00201A9A" w:rsidRPr="00201A9A">
        <w:t xml:space="preserve"> z 5</w:t>
      </w:r>
      <w:r w:rsidRPr="00201A9A">
        <w:t>.6.2015, s. 73, ELI: http://data.europa.eu/eli/dir/2015/849/oj).</w:t>
      </w:r>
    </w:p>
  </w:footnote>
  <w:footnote w:id="25">
    <w:p w14:paraId="3145ED74" w14:textId="4A9CA2B0" w:rsidR="001D67EF" w:rsidRPr="00201A9A" w:rsidRDefault="001D67EF">
      <w:pPr>
        <w:pStyle w:val="FootnoteText"/>
      </w:pPr>
      <w:r w:rsidRPr="00201A9A">
        <w:rPr>
          <w:rStyle w:val="FootnoteReference"/>
        </w:rPr>
        <w:footnoteRef/>
      </w:r>
      <w:r w:rsidRPr="00201A9A">
        <w:tab/>
        <w:t>Wyznaczonej na mocy dyrektywy Rady 91/676/EWG</w:t>
      </w:r>
      <w:r w:rsidR="00201A9A" w:rsidRPr="00201A9A">
        <w:t xml:space="preserve"> z dni</w:t>
      </w:r>
      <w:r w:rsidRPr="00201A9A">
        <w:t>a 12 grudnia 1991</w:t>
      </w:r>
      <w:r w:rsidR="00201A9A" w:rsidRPr="00201A9A">
        <w:t> </w:t>
      </w:r>
      <w:r w:rsidRPr="00201A9A">
        <w:t>r. dotyczącej ochrony wód przed zanieczyszczeniami powodowanymi przez azotany pochodzenia rolniczego (Dz.U. L 375</w:t>
      </w:r>
      <w:r w:rsidR="00201A9A" w:rsidRPr="00201A9A">
        <w:t xml:space="preserve"> z 3</w:t>
      </w:r>
      <w:r w:rsidRPr="00201A9A">
        <w:t>1.12.1991, s. 1, ELI: http://data.europa.eu/eli/dir/1991/676/oj).</w:t>
      </w:r>
    </w:p>
  </w:footnote>
  <w:footnote w:id="26">
    <w:p w14:paraId="62B35A39" w14:textId="4F60F1DB" w:rsidR="00606892" w:rsidRPr="00201A9A" w:rsidRDefault="00606892">
      <w:pPr>
        <w:pStyle w:val="FootnoteText"/>
      </w:pPr>
      <w:r w:rsidRPr="00201A9A">
        <w:rPr>
          <w:rStyle w:val="FootnoteReference"/>
        </w:rPr>
        <w:footnoteRef/>
      </w:r>
      <w:r w:rsidRPr="00201A9A">
        <w:tab/>
        <w:t>Zdefiniowany</w:t>
      </w:r>
      <w:r w:rsidR="00201A9A" w:rsidRPr="00201A9A">
        <w:t xml:space="preserve"> w uni</w:t>
      </w:r>
      <w:r w:rsidRPr="00201A9A">
        <w:t>jnej typologii gospodarstw,</w:t>
      </w:r>
      <w:r w:rsidR="00201A9A" w:rsidRPr="00201A9A">
        <w:t xml:space="preserve"> o któ</w:t>
      </w:r>
      <w:r w:rsidRPr="00201A9A">
        <w:t>rej mowa</w:t>
      </w:r>
      <w:r w:rsidR="00201A9A" w:rsidRPr="00201A9A">
        <w:t xml:space="preserve"> w art</w:t>
      </w:r>
      <w:r w:rsidRPr="00201A9A">
        <w:t>.</w:t>
      </w:r>
      <w:r w:rsidR="00201A9A" w:rsidRPr="00201A9A">
        <w:t> </w:t>
      </w:r>
      <w:r w:rsidRPr="00201A9A">
        <w:t>5b rozporządzenia Rady (WE) nr</w:t>
      </w:r>
      <w:r w:rsidR="00201A9A" w:rsidRPr="00201A9A">
        <w:t> </w:t>
      </w:r>
      <w:r w:rsidRPr="00201A9A">
        <w:t>1217/2009</w:t>
      </w:r>
      <w:r w:rsidR="00201A9A" w:rsidRPr="00201A9A">
        <w:t xml:space="preserve"> z dni</w:t>
      </w:r>
      <w:r w:rsidRPr="00201A9A">
        <w:t>a 30 listopada 2009</w:t>
      </w:r>
      <w:r w:rsidR="00201A9A" w:rsidRPr="00201A9A">
        <w:t> </w:t>
      </w:r>
      <w:r w:rsidRPr="00201A9A">
        <w:t>r. ustanawiającego sieć zbierania danych rachunkowych</w:t>
      </w:r>
      <w:r w:rsidR="00201A9A" w:rsidRPr="00201A9A">
        <w:t xml:space="preserve"> o doc</w:t>
      </w:r>
      <w:r w:rsidRPr="00201A9A">
        <w:t>hodach</w:t>
      </w:r>
      <w:r w:rsidR="00201A9A" w:rsidRPr="00201A9A">
        <w:t xml:space="preserve"> i dzi</w:t>
      </w:r>
      <w:r w:rsidRPr="00201A9A">
        <w:t>ałalności gospodarczej gospodarstw rolnych we Wspólnocie Europejskiej (Dz.U. L 328</w:t>
      </w:r>
      <w:r w:rsidR="00201A9A" w:rsidRPr="00201A9A">
        <w:t xml:space="preserve"> z 1</w:t>
      </w:r>
      <w:r w:rsidRPr="00201A9A">
        <w:t xml:space="preserve">5.12.2009, s. 27, ELI: </w:t>
      </w:r>
      <w:hyperlink r:id="rId4" w:tooltip="Dostęp do dokumentu poprzez identyfikator URI w systemie ELI." w:history="1">
        <w:r w:rsidRPr="00201A9A">
          <w:t>http://data.europa.eu/eli/reg/2009/1217/oj</w:t>
        </w:r>
      </w:hyperlink>
      <w:r w:rsidRPr="00201A9A">
        <w:t>).</w:t>
      </w:r>
    </w:p>
  </w:footnote>
  <w:footnote w:id="27">
    <w:p w14:paraId="159929CE" w14:textId="60969493" w:rsidR="0059065F" w:rsidRPr="00201A9A" w:rsidRDefault="0059065F">
      <w:pPr>
        <w:pStyle w:val="FootnoteText"/>
      </w:pPr>
      <w:r w:rsidRPr="00201A9A">
        <w:rPr>
          <w:rStyle w:val="FootnoteReference"/>
        </w:rPr>
        <w:footnoteRef/>
      </w:r>
      <w:r w:rsidRPr="00201A9A">
        <w:tab/>
        <w:t>Zgodnie</w:t>
      </w:r>
      <w:r w:rsidR="00201A9A" w:rsidRPr="00201A9A">
        <w:t xml:space="preserve"> z roz</w:t>
      </w:r>
      <w:r w:rsidRPr="00201A9A">
        <w:t>porządzeniem Parlamentu Europejskiego</w:t>
      </w:r>
      <w:r w:rsidR="00201A9A" w:rsidRPr="00201A9A">
        <w:t xml:space="preserve"> i Rad</w:t>
      </w:r>
      <w:r w:rsidRPr="00201A9A">
        <w:t>y (UE) 2018/848</w:t>
      </w:r>
      <w:r w:rsidR="00201A9A" w:rsidRPr="00201A9A">
        <w:t xml:space="preserve"> z dni</w:t>
      </w:r>
      <w:r w:rsidRPr="00201A9A">
        <w:t>a 30 maja 2018</w:t>
      </w:r>
      <w:r w:rsidR="00201A9A" w:rsidRPr="00201A9A">
        <w:t> </w:t>
      </w:r>
      <w:r w:rsidRPr="00201A9A">
        <w:t>r.</w:t>
      </w:r>
      <w:r w:rsidR="00201A9A" w:rsidRPr="00201A9A">
        <w:t xml:space="preserve"> w spr</w:t>
      </w:r>
      <w:r w:rsidRPr="00201A9A">
        <w:t>awie produkcji ekologicznej</w:t>
      </w:r>
      <w:r w:rsidR="00201A9A" w:rsidRPr="00201A9A">
        <w:t xml:space="preserve"> i zna</w:t>
      </w:r>
      <w:r w:rsidRPr="00201A9A">
        <w:t>kowania produktów ekologicznych</w:t>
      </w:r>
      <w:r w:rsidR="00201A9A" w:rsidRPr="00201A9A">
        <w:t xml:space="preserve"> i uch</w:t>
      </w:r>
      <w:r w:rsidRPr="00201A9A">
        <w:t>ylającym rozporządzenie Rady (WE) nr</w:t>
      </w:r>
      <w:r w:rsidR="00201A9A" w:rsidRPr="00201A9A">
        <w:t> </w:t>
      </w:r>
      <w:r w:rsidRPr="00201A9A">
        <w:t>834/2007 (Dz.U. L 150</w:t>
      </w:r>
      <w:r w:rsidR="00201A9A" w:rsidRPr="00201A9A">
        <w:t xml:space="preserve"> z 1</w:t>
      </w:r>
      <w:r w:rsidRPr="00201A9A">
        <w:t>4.6.2018, s. 1, ELI: https://eur-lex.europa.eu/eli/reg/2018/848/oj).</w:t>
      </w:r>
    </w:p>
  </w:footnote>
  <w:footnote w:id="28">
    <w:p w14:paraId="2FE5894C" w14:textId="2A9B7C60" w:rsidR="00042960" w:rsidRPr="00201A9A" w:rsidRDefault="00042960">
      <w:pPr>
        <w:pStyle w:val="FootnoteText"/>
      </w:pPr>
      <w:r w:rsidRPr="00201A9A">
        <w:rPr>
          <w:rStyle w:val="FootnoteReference"/>
        </w:rPr>
        <w:footnoteRef/>
      </w:r>
      <w:r w:rsidRPr="00201A9A">
        <w:tab/>
        <w:t>Dyrektywa Parlamentu Europejskiego</w:t>
      </w:r>
      <w:r w:rsidR="00201A9A" w:rsidRPr="00201A9A">
        <w:t xml:space="preserve"> i Rad</w:t>
      </w:r>
      <w:r w:rsidRPr="00201A9A">
        <w:t>y 2014/24/UE</w:t>
      </w:r>
      <w:r w:rsidR="00201A9A" w:rsidRPr="00201A9A">
        <w:t xml:space="preserve"> z dni</w:t>
      </w:r>
      <w:r w:rsidRPr="00201A9A">
        <w:t>a 26 lutego 2014</w:t>
      </w:r>
      <w:r w:rsidR="00201A9A" w:rsidRPr="00201A9A">
        <w:t> </w:t>
      </w:r>
      <w:r w:rsidRPr="00201A9A">
        <w:t>r.</w:t>
      </w:r>
      <w:r w:rsidR="00201A9A" w:rsidRPr="00201A9A">
        <w:t xml:space="preserve"> w spr</w:t>
      </w:r>
      <w:r w:rsidRPr="00201A9A">
        <w:t>awie zamówień publicznych, uchylająca dyrektywę 2004/18/WE (Dz.U. L 94</w:t>
      </w:r>
      <w:r w:rsidR="00201A9A" w:rsidRPr="00201A9A">
        <w:t xml:space="preserve"> z 2</w:t>
      </w:r>
      <w:r w:rsidRPr="00201A9A">
        <w:t>8.3.2014, s. 65, ELI: http://data.europa.eu/eli/dir/2014/24/oj).</w:t>
      </w:r>
    </w:p>
  </w:footnote>
  <w:footnote w:id="29">
    <w:p w14:paraId="13D0EAB3" w14:textId="76519640" w:rsidR="00180A5F" w:rsidRPr="00201A9A" w:rsidRDefault="00180A5F">
      <w:pPr>
        <w:pStyle w:val="FootnoteText"/>
      </w:pPr>
      <w:r w:rsidRPr="00201A9A">
        <w:rPr>
          <w:rStyle w:val="FootnoteReference"/>
        </w:rPr>
        <w:footnoteRef/>
      </w:r>
      <w:r w:rsidRPr="00201A9A">
        <w:tab/>
        <w:t>Rozporządzenie Rady (WE) nr</w:t>
      </w:r>
      <w:r w:rsidR="00201A9A" w:rsidRPr="00201A9A">
        <w:t> </w:t>
      </w:r>
      <w:r w:rsidRPr="00201A9A">
        <w:t>1184/2006</w:t>
      </w:r>
      <w:r w:rsidR="00201A9A" w:rsidRPr="00201A9A">
        <w:t xml:space="preserve"> z dni</w:t>
      </w:r>
      <w:r w:rsidRPr="00201A9A">
        <w:t>a 24 lipca 2006</w:t>
      </w:r>
      <w:r w:rsidR="00201A9A" w:rsidRPr="00201A9A">
        <w:t> </w:t>
      </w:r>
      <w:r w:rsidRPr="00201A9A">
        <w:t>r. dotyczące stosowania niektórych reguł konkurencji</w:t>
      </w:r>
      <w:r w:rsidR="00201A9A" w:rsidRPr="00201A9A">
        <w:t xml:space="preserve"> w odn</w:t>
      </w:r>
      <w:r w:rsidRPr="00201A9A">
        <w:t>iesieniu do produkcji rolnej</w:t>
      </w:r>
      <w:r w:rsidR="00201A9A" w:rsidRPr="00201A9A">
        <w:t xml:space="preserve"> i han</w:t>
      </w:r>
      <w:r w:rsidRPr="00201A9A">
        <w:t>dlu produktami rolnymi (Dz.U. L 214</w:t>
      </w:r>
      <w:r w:rsidR="00201A9A" w:rsidRPr="00201A9A">
        <w:t xml:space="preserve"> z 4</w:t>
      </w:r>
      <w:r w:rsidRPr="00201A9A">
        <w:t>.8.2006, s. 7, ELI: https://eur-lex.europa.eu/eli/reg/2006/1184/oj).</w:t>
      </w:r>
    </w:p>
  </w:footnote>
  <w:footnote w:id="30">
    <w:p w14:paraId="50C89072" w14:textId="0D4A0AA5" w:rsidR="00E2310C" w:rsidRPr="00201A9A" w:rsidRDefault="00E2310C">
      <w:pPr>
        <w:pStyle w:val="FootnoteText"/>
      </w:pPr>
      <w:r w:rsidRPr="00201A9A">
        <w:rPr>
          <w:rStyle w:val="FootnoteReference"/>
        </w:rPr>
        <w:footnoteRef/>
      </w:r>
      <w:r w:rsidRPr="00201A9A">
        <w:tab/>
        <w:t>Rozporządzenie Parlamentu Europejskiego</w:t>
      </w:r>
      <w:r w:rsidR="00201A9A" w:rsidRPr="00201A9A">
        <w:t xml:space="preserve"> i Rad</w:t>
      </w:r>
      <w:r w:rsidRPr="00201A9A">
        <w:t>y (UE) nr</w:t>
      </w:r>
      <w:r w:rsidR="00201A9A" w:rsidRPr="00201A9A">
        <w:t> </w:t>
      </w:r>
      <w:r w:rsidRPr="00201A9A">
        <w:t>1303/2013</w:t>
      </w:r>
      <w:r w:rsidR="00201A9A" w:rsidRPr="00201A9A">
        <w:t xml:space="preserve"> z dni</w:t>
      </w:r>
      <w:r w:rsidRPr="00201A9A">
        <w:t>a 17 grudnia 2013</w:t>
      </w:r>
      <w:r w:rsidR="00201A9A" w:rsidRPr="00201A9A">
        <w:t> </w:t>
      </w:r>
      <w:r w:rsidRPr="00201A9A">
        <w:t>r. ustanawiające wspólne przepisy dotyczące Europejskiego Funduszu Rozwoju Regionalnego, Europejskiego Funduszu Społecznego, Funduszu Spójności, Europejskiego Funduszu Rolnego na rzecz Rozwoju Obszarów Wiejskich oraz Europejskiego Funduszu Morskiego</w:t>
      </w:r>
      <w:r w:rsidR="00201A9A" w:rsidRPr="00201A9A">
        <w:t xml:space="preserve"> i Ryb</w:t>
      </w:r>
      <w:r w:rsidRPr="00201A9A">
        <w:t>ackiego oraz ustanawiające przepisy ogólne dotyczące Europejskiego Funduszu Rozwoju Regionalnego, Europejskiego Funduszu Społecznego, Funduszu Spójności</w:t>
      </w:r>
      <w:r w:rsidR="00201A9A" w:rsidRPr="00201A9A">
        <w:t xml:space="preserve"> i Eur</w:t>
      </w:r>
      <w:r w:rsidRPr="00201A9A">
        <w:t>opejskiego Funduszu Morskiego</w:t>
      </w:r>
      <w:r w:rsidR="00201A9A" w:rsidRPr="00201A9A">
        <w:t xml:space="preserve"> i Ryb</w:t>
      </w:r>
      <w:r w:rsidRPr="00201A9A">
        <w:t>ackiego oraz uchylające rozporządzenie Rady (WE) nr</w:t>
      </w:r>
      <w:r w:rsidR="00201A9A" w:rsidRPr="00201A9A">
        <w:t> </w:t>
      </w:r>
      <w:r w:rsidRPr="00201A9A">
        <w:t>1083/2006 (Dz.U. L 347</w:t>
      </w:r>
      <w:r w:rsidR="00201A9A" w:rsidRPr="00201A9A">
        <w:t xml:space="preserve"> z 2</w:t>
      </w:r>
      <w:r w:rsidRPr="00201A9A">
        <w:t>0.12.2013, s. 320, ELI: https://eur-lex.europa.eu/eli/reg/2013/1303/oj).</w:t>
      </w:r>
    </w:p>
  </w:footnote>
  <w:footnote w:id="31">
    <w:p w14:paraId="395A40D4" w14:textId="742C7117" w:rsidR="004A489F" w:rsidRPr="00201A9A" w:rsidRDefault="004A489F" w:rsidP="004A489F">
      <w:pPr>
        <w:pStyle w:val="FootnoteText"/>
      </w:pPr>
      <w:r w:rsidRPr="00201A9A">
        <w:rPr>
          <w:rStyle w:val="FootnoteReference"/>
        </w:rPr>
        <w:footnoteRef/>
      </w:r>
      <w:r w:rsidRPr="00201A9A">
        <w:tab/>
        <w:t>O którym mowa</w:t>
      </w:r>
      <w:r w:rsidR="00201A9A" w:rsidRPr="00201A9A">
        <w:t xml:space="preserve"> w art</w:t>
      </w:r>
      <w:r w:rsidRPr="00201A9A">
        <w:t>.</w:t>
      </w:r>
      <w:r w:rsidR="00201A9A" w:rsidRPr="00201A9A">
        <w:t> </w:t>
      </w:r>
      <w:r w:rsidRPr="00201A9A">
        <w:t>58 ust.</w:t>
      </w:r>
      <w:r w:rsidR="00201A9A" w:rsidRPr="00201A9A">
        <w:t> </w:t>
      </w:r>
      <w:r w:rsidRPr="00201A9A">
        <w:t>2 lit.</w:t>
      </w:r>
      <w:r w:rsidR="00201A9A" w:rsidRPr="00201A9A">
        <w:t> </w:t>
      </w:r>
      <w:r w:rsidRPr="00201A9A">
        <w:t>a) lub b) rozporządzenia finansowego.</w:t>
      </w:r>
    </w:p>
  </w:footnote>
  <w:footnote w:id="32">
    <w:p w14:paraId="5675CF91" w14:textId="153C1FFA" w:rsidR="004A489F" w:rsidRPr="00201A9A" w:rsidRDefault="004A489F" w:rsidP="004A489F">
      <w:pPr>
        <w:pStyle w:val="FootnoteText"/>
      </w:pPr>
      <w:r w:rsidRPr="00201A9A">
        <w:rPr>
          <w:rStyle w:val="FootnoteReference"/>
        </w:rPr>
        <w:footnoteRef/>
      </w:r>
      <w:r w:rsidRPr="00201A9A">
        <w:tab/>
        <w:t>Zadania</w:t>
      </w:r>
      <w:r w:rsidR="00201A9A" w:rsidRPr="00201A9A">
        <w:t xml:space="preserve"> w ram</w:t>
      </w:r>
      <w:r w:rsidRPr="00201A9A">
        <w:t>ach funduszu mogą być (częściowo) przekazane agencji wykonawczej, na podstawie wyników oceny kosztów</w:t>
      </w:r>
      <w:r w:rsidR="00201A9A" w:rsidRPr="00201A9A">
        <w:t xml:space="preserve"> i kor</w:t>
      </w:r>
      <w:r w:rsidRPr="00201A9A">
        <w:t>zyści oraz związanych</w:t>
      </w:r>
      <w:r w:rsidR="00201A9A" w:rsidRPr="00201A9A">
        <w:t xml:space="preserve"> z tym</w:t>
      </w:r>
      <w:r w:rsidRPr="00201A9A">
        <w:t xml:space="preserve"> decyzji,</w:t>
      </w:r>
      <w:r w:rsidR="00201A9A" w:rsidRPr="00201A9A">
        <w:t xml:space="preserve"> a tak</w:t>
      </w:r>
      <w:r w:rsidRPr="00201A9A">
        <w:t>że odpowiedniego dostosowania powiązanych środków administracyjnych na wdrażanie programu</w:t>
      </w:r>
      <w:r w:rsidR="00201A9A" w:rsidRPr="00201A9A">
        <w:t xml:space="preserve"> w Kom</w:t>
      </w:r>
      <w:r w:rsidRPr="00201A9A">
        <w:t>isji</w:t>
      </w:r>
      <w:r w:rsidR="00201A9A" w:rsidRPr="00201A9A">
        <w:t xml:space="preserve"> i w age</w:t>
      </w:r>
      <w:r w:rsidRPr="00201A9A">
        <w:t>ncji wykonawczej.</w:t>
      </w:r>
    </w:p>
  </w:footnote>
  <w:footnote w:id="33">
    <w:p w14:paraId="00A8E39E" w14:textId="77777777" w:rsidR="004A489F" w:rsidRPr="00201A9A" w:rsidRDefault="004A489F" w:rsidP="004A489F">
      <w:pPr>
        <w:pStyle w:val="FootnoteText"/>
        <w:rPr>
          <w:szCs w:val="24"/>
        </w:rPr>
      </w:pPr>
      <w:r w:rsidRPr="00201A9A">
        <w:rPr>
          <w:rStyle w:val="FootnoteReference"/>
        </w:rPr>
        <w:footnoteRef/>
      </w:r>
      <w:r w:rsidRPr="00201A9A">
        <w:tab/>
        <w:t>W przypadku tradycyjnych zasobów własnych (opłaty celne, opłaty wyrównawcze od cukru) należy wskazać kwoty netto, tzn. kwoty brutto po odliczeniu 20 % na poczet kosztów poboru.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5C800" w14:textId="77777777" w:rsidR="009C4ADF" w:rsidRDefault="009C4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35A5C" w14:textId="77777777" w:rsidR="009C4ADF" w:rsidRDefault="009C4ADF" w:rsidP="009C4ADF">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E642E" w14:textId="77777777" w:rsidR="009C4ADF" w:rsidRPr="009C4ADF" w:rsidRDefault="009C4ADF" w:rsidP="009C4ADF">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CF4D" w14:textId="77777777" w:rsidR="009C4ADF" w:rsidRPr="009C4ADF" w:rsidRDefault="009C4ADF" w:rsidP="009C4A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7BDE1" w14:textId="77777777" w:rsidR="009C4ADF" w:rsidRPr="009C4ADF" w:rsidRDefault="009C4ADF" w:rsidP="009C4ADF">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A45757"/>
    <w:multiLevelType w:val="hybridMultilevel"/>
    <w:tmpl w:val="91CCCDE0"/>
    <w:lvl w:ilvl="0" w:tplc="16ECB62E">
      <w:start w:val="1"/>
      <w:numFmt w:val="lowerRoman"/>
      <w:lvlText w:val="%1)"/>
      <w:lvlJc w:val="left"/>
      <w:pPr>
        <w:ind w:left="780" w:hanging="720"/>
      </w:pPr>
      <w:rPr>
        <w:rFonts w:hint="default"/>
        <w:color w:val="auto"/>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175B43"/>
    <w:multiLevelType w:val="hybridMultilevel"/>
    <w:tmpl w:val="4C0E105E"/>
    <w:lvl w:ilvl="0" w:tplc="24ECC1F8">
      <w:start w:val="1"/>
      <w:numFmt w:val="lowerRoman"/>
      <w:pStyle w:val="Point2n"/>
      <w:lvlText w:val="(%1)"/>
      <w:lvlJc w:val="right"/>
      <w:pPr>
        <w:ind w:left="1920" w:hanging="360"/>
      </w:pPr>
      <w:rPr>
        <w:rFonts w:hint="default"/>
      </w:rPr>
    </w:lvl>
    <w:lvl w:ilvl="1" w:tplc="175C81F4">
      <w:start w:val="1"/>
      <w:numFmt w:val="lowerLetter"/>
      <w:lvlText w:val="%2."/>
      <w:lvlJc w:val="left"/>
      <w:pPr>
        <w:ind w:left="2640" w:hanging="360"/>
      </w:pPr>
    </w:lvl>
    <w:lvl w:ilvl="2" w:tplc="F2C057F0">
      <w:start w:val="1"/>
      <w:numFmt w:val="lowerRoman"/>
      <w:lvlText w:val="%3."/>
      <w:lvlJc w:val="right"/>
      <w:pPr>
        <w:ind w:left="3360" w:hanging="180"/>
      </w:pPr>
    </w:lvl>
    <w:lvl w:ilvl="3" w:tplc="E954F0FA">
      <w:start w:val="1"/>
      <w:numFmt w:val="decimal"/>
      <w:lvlText w:val="%4."/>
      <w:lvlJc w:val="left"/>
      <w:pPr>
        <w:ind w:left="360" w:hanging="360"/>
      </w:pPr>
    </w:lvl>
    <w:lvl w:ilvl="4" w:tplc="510A454E">
      <w:start w:val="1"/>
      <w:numFmt w:val="lowerLetter"/>
      <w:lvlText w:val="%5."/>
      <w:lvlJc w:val="left"/>
      <w:pPr>
        <w:ind w:left="4800" w:hanging="360"/>
      </w:pPr>
    </w:lvl>
    <w:lvl w:ilvl="5" w:tplc="39F4A8CA">
      <w:start w:val="1"/>
      <w:numFmt w:val="lowerRoman"/>
      <w:lvlText w:val="%6."/>
      <w:lvlJc w:val="right"/>
      <w:pPr>
        <w:ind w:left="5520" w:hanging="180"/>
      </w:pPr>
    </w:lvl>
    <w:lvl w:ilvl="6" w:tplc="D7E4E56A">
      <w:start w:val="1"/>
      <w:numFmt w:val="decimal"/>
      <w:lvlText w:val="%7."/>
      <w:lvlJc w:val="left"/>
      <w:pPr>
        <w:ind w:left="6240" w:hanging="360"/>
      </w:pPr>
    </w:lvl>
    <w:lvl w:ilvl="7" w:tplc="935E04F6">
      <w:start w:val="1"/>
      <w:numFmt w:val="lowerLetter"/>
      <w:lvlText w:val="%8."/>
      <w:lvlJc w:val="left"/>
      <w:pPr>
        <w:ind w:left="6960" w:hanging="360"/>
      </w:pPr>
    </w:lvl>
    <w:lvl w:ilvl="8" w:tplc="B994D646">
      <w:start w:val="1"/>
      <w:numFmt w:val="lowerRoman"/>
      <w:lvlText w:val="%9."/>
      <w:lvlJc w:val="right"/>
      <w:pPr>
        <w:ind w:left="7680" w:hanging="18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6AD07083"/>
    <w:multiLevelType w:val="multilevel"/>
    <w:tmpl w:val="FEE0A2DC"/>
    <w:lvl w:ilvl="0">
      <w:start w:val="8"/>
      <w:numFmt w:val="decimal"/>
      <w:pStyle w:val="Letter0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D48D00"/>
    <w:multiLevelType w:val="multilevel"/>
    <w:tmpl w:val="6BD42436"/>
    <w:lvl w:ilvl="0">
      <w:start w:val="1"/>
      <w:numFmt w:val="lowerLetter"/>
      <w:pStyle w:val="Ponit1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3"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8"/>
  </w:num>
  <w:num w:numId="4">
    <w:abstractNumId w:val="18"/>
  </w:num>
  <w:num w:numId="5">
    <w:abstractNumId w:val="17"/>
  </w:num>
  <w:num w:numId="6">
    <w:abstractNumId w:val="31"/>
  </w:num>
  <w:num w:numId="7">
    <w:abstractNumId w:val="25"/>
  </w:num>
  <w:num w:numId="8">
    <w:abstractNumId w:val="32"/>
  </w:num>
  <w:num w:numId="9">
    <w:abstractNumId w:val="33"/>
  </w:num>
  <w:num w:numId="10">
    <w:abstractNumId w:val="1"/>
  </w:num>
  <w:num w:numId="11">
    <w:abstractNumId w:val="10"/>
  </w:num>
  <w:num w:numId="12">
    <w:abstractNumId w:val="2"/>
  </w:num>
  <w:num w:numId="13">
    <w:abstractNumId w:val="11"/>
  </w:num>
  <w:num w:numId="14">
    <w:abstractNumId w:val="9"/>
  </w:num>
  <w:num w:numId="15">
    <w:abstractNumId w:val="19"/>
  </w:num>
  <w:num w:numId="16">
    <w:abstractNumId w:val="7"/>
  </w:num>
  <w:num w:numId="17">
    <w:abstractNumId w:val="29"/>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num>
  <w:num w:numId="20">
    <w:abstractNumId w:val="27"/>
    <w:lvlOverride w:ilvl="0">
      <w:startOverride w:val="1"/>
    </w:lvlOverride>
  </w:num>
  <w:num w:numId="21">
    <w:abstractNumId w:val="27"/>
    <w:lvlOverride w:ilvl="0">
      <w:startOverride w:val="1"/>
    </w:lvlOverride>
  </w:num>
  <w:num w:numId="22">
    <w:abstractNumId w:val="27"/>
    <w:lvlOverride w:ilvl="0">
      <w:startOverride w:val="1"/>
    </w:lvlOverride>
  </w:num>
  <w:num w:numId="23">
    <w:abstractNumId w:val="27"/>
    <w:lvlOverride w:ilvl="0">
      <w:startOverride w:val="1"/>
    </w:lvlOverride>
  </w:num>
  <w:num w:numId="24">
    <w:abstractNumId w:val="27"/>
    <w:lvlOverride w:ilvl="0">
      <w:startOverride w:val="1"/>
    </w:lvlOverride>
  </w:num>
  <w:num w:numId="25">
    <w:abstractNumId w:val="27"/>
    <w:lvlOverride w:ilvl="0">
      <w:startOverride w:val="1"/>
    </w:lvlOverride>
  </w:num>
  <w:num w:numId="26">
    <w:abstractNumId w:val="27"/>
    <w:lvlOverride w:ilvl="0">
      <w:startOverride w:val="1"/>
    </w:lvlOverride>
  </w:num>
  <w:num w:numId="27">
    <w:abstractNumId w:val="27"/>
    <w:lvlOverride w:ilvl="0">
      <w:startOverride w:val="1"/>
    </w:lvlOverride>
  </w:num>
  <w:num w:numId="28">
    <w:abstractNumId w:val="27"/>
    <w:lvlOverride w:ilvl="0">
      <w:startOverride w:val="1"/>
    </w:lvlOverride>
  </w:num>
  <w:num w:numId="29">
    <w:abstractNumId w:val="5"/>
    <w:lvlOverride w:ilvl="0">
      <w:startOverride w:val="1"/>
    </w:lvlOverride>
  </w:num>
  <w:num w:numId="30">
    <w:abstractNumId w:val="27"/>
    <w:lvlOverride w:ilvl="0">
      <w:startOverride w:val="1"/>
    </w:lvlOverride>
  </w:num>
  <w:num w:numId="31">
    <w:abstractNumId w:val="27"/>
    <w:lvlOverride w:ilvl="0">
      <w:startOverride w:val="1"/>
    </w:lvlOverride>
  </w:num>
  <w:num w:numId="32">
    <w:abstractNumId w:val="27"/>
    <w:lvlOverride w:ilvl="0">
      <w:startOverride w:val="1"/>
    </w:lvlOverride>
  </w:num>
  <w:num w:numId="33">
    <w:abstractNumId w:val="27"/>
    <w:lvlOverride w:ilvl="0">
      <w:startOverride w:val="1"/>
    </w:lvlOverride>
  </w:num>
  <w:num w:numId="34">
    <w:abstractNumId w:val="27"/>
    <w:lvlOverride w:ilvl="0">
      <w:startOverride w:val="1"/>
    </w:lvlOverride>
  </w:num>
  <w:num w:numId="35">
    <w:abstractNumId w:val="27"/>
    <w:lvlOverride w:ilvl="0">
      <w:startOverride w:val="1"/>
    </w:lvlOverride>
  </w:num>
  <w:num w:numId="36">
    <w:abstractNumId w:val="27"/>
    <w:lvlOverride w:ilvl="0">
      <w:startOverride w:val="1"/>
    </w:lvlOverride>
  </w:num>
  <w:num w:numId="37">
    <w:abstractNumId w:val="27"/>
    <w:lvlOverride w:ilvl="0">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7"/>
    <w:lvlOverride w:ilvl="0">
      <w:startOverride w:val="1"/>
    </w:lvlOverride>
  </w:num>
  <w:num w:numId="100">
    <w:abstractNumId w:val="27"/>
    <w:lvlOverride w:ilvl="0">
      <w:startOverride w:val="1"/>
    </w:lvlOverride>
  </w:num>
  <w:num w:numId="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7"/>
    <w:lvlOverride w:ilvl="0">
      <w:startOverride w:val="1"/>
    </w:lvlOverride>
  </w:num>
  <w:num w:numId="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7"/>
    <w:lvlOverride w:ilvl="0">
      <w:startOverride w:val="1"/>
    </w:lvlOverride>
  </w:num>
  <w:num w:numId="115">
    <w:abstractNumId w:val="27"/>
    <w:lvlOverride w:ilvl="0">
      <w:startOverride w:val="1"/>
    </w:lvlOverride>
  </w:num>
  <w:num w:numId="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7"/>
  </w:num>
  <w:num w:numId="118">
    <w:abstractNumId w:val="27"/>
    <w:lvlOverride w:ilvl="0">
      <w:startOverride w:val="1"/>
    </w:lvlOverride>
  </w:num>
  <w:num w:numId="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3"/>
  </w:num>
  <w:num w:numId="122">
    <w:abstractNumId w:val="27"/>
    <w:lvlOverride w:ilvl="0">
      <w:startOverride w:val="1"/>
    </w:lvlOverride>
  </w:num>
  <w:num w:numId="123">
    <w:abstractNumId w:val="27"/>
    <w:lvlOverride w:ilvl="0">
      <w:startOverride w:val="1"/>
    </w:lvlOverride>
  </w:num>
  <w:num w:numId="124">
    <w:abstractNumId w:val="27"/>
    <w:lvlOverride w:ilvl="0">
      <w:startOverride w:val="1"/>
    </w:lvlOverride>
  </w:num>
  <w:num w:numId="125">
    <w:abstractNumId w:val="27"/>
    <w:lvlOverride w:ilvl="0">
      <w:startOverride w:val="1"/>
    </w:lvlOverride>
  </w:num>
  <w:num w:numId="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7"/>
    <w:lvlOverride w:ilvl="0">
      <w:startOverride w:val="1"/>
    </w:lvlOverride>
  </w:num>
  <w:num w:numId="129">
    <w:abstractNumId w:val="27"/>
    <w:lvlOverride w:ilvl="0">
      <w:startOverride w:val="1"/>
    </w:lvlOverride>
  </w:num>
  <w:num w:numId="130">
    <w:abstractNumId w:val="16"/>
    <w:lvlOverride w:ilvl="0">
      <w:startOverride w:val="1"/>
    </w:lvlOverride>
  </w:num>
  <w:num w:numId="131">
    <w:abstractNumId w:val="5"/>
    <w:lvlOverride w:ilvl="0">
      <w:startOverride w:val="1"/>
    </w:lvlOverride>
  </w:num>
  <w:num w:numId="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4"/>
  </w:num>
  <w:num w:numId="135">
    <w:abstractNumId w:val="12"/>
  </w:num>
  <w:num w:numId="136">
    <w:abstractNumId w:val="28"/>
  </w:num>
  <w:num w:numId="137">
    <w:abstractNumId w:val="6"/>
  </w:num>
  <w:num w:numId="138">
    <w:abstractNumId w:val="14"/>
  </w:num>
  <w:num w:numId="139">
    <w:abstractNumId w:val="15"/>
  </w:num>
  <w:num w:numId="140">
    <w:abstractNumId w:val="4"/>
  </w:num>
  <w:num w:numId="141">
    <w:abstractNumId w:val="26"/>
  </w:num>
  <w:num w:numId="142">
    <w:abstractNumId w:val="3"/>
  </w:num>
  <w:num w:numId="143">
    <w:abstractNumId w:val="16"/>
  </w:num>
  <w:num w:numId="144">
    <w:abstractNumId w:val="22"/>
  </w:num>
  <w:num w:numId="145">
    <w:abstractNumId w:val="23"/>
  </w:num>
  <w:num w:numId="146">
    <w:abstractNumId w:val="5"/>
  </w:num>
  <w:num w:numId="147">
    <w:abstractNumId w:val="20"/>
  </w:num>
  <w:num w:numId="148">
    <w:abstractNumId w:val="34"/>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8 17:55:3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8132E6F-0753-4A95-8C91-3ACE3C7D22BB"/>
    <w:docVar w:name="LW_COVERPAGE_TYPE" w:val="1"/>
    <w:docVar w:name="LW_CreatedUtc" w:val="2025-06-26T12:15:25.2555477Z"/>
    <w:docVar w:name="LW_CROSSREFERENCE" w:val="{SWD(2025) 565 final}"/>
    <w:docVar w:name="LW_DocType" w:val="COM"/>
    <w:docVar w:name="LW_EMISSION" w:val="16.7.2025"/>
    <w:docVar w:name="LW_EMISSION_ISODATE" w:val="2025-07-16"/>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240"/>
    <w:docVar w:name="LW_REF.II.NEW.CP_YEAR" w:val="2025"/>
    <w:docVar w:name="LW_REF.INST.NEW" w:val="COM"/>
    <w:docVar w:name="LW_REF.INST.NEW_ADOPTED" w:val="final"/>
    <w:docVar w:name="LW_REF.INST.NEW_TEXT" w:val="(2025)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lt;FMT:Style_Marker&gt;ustanawiaj\u261?ce Europejski Fundusz Spójno\u347?ci Gospodarczej, Spo\u322?ecznej i Terytorialnej, Rolnictwa i Obszarów Wiejskich, Rybo\u322?ówstwa i Polityki Morskiej, Dobrobytu i Bezpiecze\u324?stwa na lata 2028\u8211?2034 oraz zmieniaj\u261?ce rozporz\u261?dzenie (UE) 2023/955 i rozporz\u261?dzenie (UE, Euratom) 2024/2509&lt;/FMT&gt;"/>
    <w:docVar w:name="LW_TYPE.DOC.CP" w:val="ROZPORZ\u260?DZENIE PARLAMENTU EUROPEJSKIEGO I RADY"/>
    <w:docVar w:name="LwApiVersions" w:val="LW4CoDe 1.24.5.0; LW 9.0, Build 20240221"/>
  </w:docVars>
  <w:rsids>
    <w:rsidRoot w:val="00186A9E"/>
    <w:rsid w:val="00000093"/>
    <w:rsid w:val="000001EC"/>
    <w:rsid w:val="00000227"/>
    <w:rsid w:val="000002C7"/>
    <w:rsid w:val="000002DF"/>
    <w:rsid w:val="00000331"/>
    <w:rsid w:val="00000384"/>
    <w:rsid w:val="0000069C"/>
    <w:rsid w:val="000007D2"/>
    <w:rsid w:val="000007D6"/>
    <w:rsid w:val="0000084A"/>
    <w:rsid w:val="000009E1"/>
    <w:rsid w:val="00000A38"/>
    <w:rsid w:val="00000C0E"/>
    <w:rsid w:val="00000CC8"/>
    <w:rsid w:val="00000CDB"/>
    <w:rsid w:val="00000D74"/>
    <w:rsid w:val="00000DA0"/>
    <w:rsid w:val="00000E0C"/>
    <w:rsid w:val="00000E3C"/>
    <w:rsid w:val="00000E59"/>
    <w:rsid w:val="00000E5A"/>
    <w:rsid w:val="00000F8A"/>
    <w:rsid w:val="00000FC7"/>
    <w:rsid w:val="00000FCA"/>
    <w:rsid w:val="00001008"/>
    <w:rsid w:val="00001191"/>
    <w:rsid w:val="00001193"/>
    <w:rsid w:val="0000120A"/>
    <w:rsid w:val="0000124A"/>
    <w:rsid w:val="00001332"/>
    <w:rsid w:val="000014A9"/>
    <w:rsid w:val="00001527"/>
    <w:rsid w:val="00001556"/>
    <w:rsid w:val="0000168D"/>
    <w:rsid w:val="000016AD"/>
    <w:rsid w:val="00001820"/>
    <w:rsid w:val="00001892"/>
    <w:rsid w:val="00001895"/>
    <w:rsid w:val="000018A6"/>
    <w:rsid w:val="00001A71"/>
    <w:rsid w:val="00001AAB"/>
    <w:rsid w:val="00001AE2"/>
    <w:rsid w:val="00001C74"/>
    <w:rsid w:val="00001D34"/>
    <w:rsid w:val="00001D7B"/>
    <w:rsid w:val="00001DB1"/>
    <w:rsid w:val="00001E17"/>
    <w:rsid w:val="00001E6B"/>
    <w:rsid w:val="00001EE3"/>
    <w:rsid w:val="00001F61"/>
    <w:rsid w:val="00001F8C"/>
    <w:rsid w:val="00002003"/>
    <w:rsid w:val="0000204A"/>
    <w:rsid w:val="0000205E"/>
    <w:rsid w:val="000020D1"/>
    <w:rsid w:val="00002173"/>
    <w:rsid w:val="0000217C"/>
    <w:rsid w:val="000021A0"/>
    <w:rsid w:val="000021DA"/>
    <w:rsid w:val="000023B6"/>
    <w:rsid w:val="000023FD"/>
    <w:rsid w:val="0000241E"/>
    <w:rsid w:val="0000262A"/>
    <w:rsid w:val="000026A5"/>
    <w:rsid w:val="0000273D"/>
    <w:rsid w:val="0000279A"/>
    <w:rsid w:val="0000281B"/>
    <w:rsid w:val="00002835"/>
    <w:rsid w:val="000028E7"/>
    <w:rsid w:val="000029B0"/>
    <w:rsid w:val="00002A68"/>
    <w:rsid w:val="00002ABE"/>
    <w:rsid w:val="00002B3E"/>
    <w:rsid w:val="00002B6A"/>
    <w:rsid w:val="00002EC2"/>
    <w:rsid w:val="00002EFB"/>
    <w:rsid w:val="00003379"/>
    <w:rsid w:val="00003481"/>
    <w:rsid w:val="000034F2"/>
    <w:rsid w:val="00003801"/>
    <w:rsid w:val="000038D1"/>
    <w:rsid w:val="00003939"/>
    <w:rsid w:val="00003972"/>
    <w:rsid w:val="00003998"/>
    <w:rsid w:val="0000399C"/>
    <w:rsid w:val="000039FE"/>
    <w:rsid w:val="00003A34"/>
    <w:rsid w:val="00003B17"/>
    <w:rsid w:val="00003C10"/>
    <w:rsid w:val="00003CAC"/>
    <w:rsid w:val="00003F69"/>
    <w:rsid w:val="00004002"/>
    <w:rsid w:val="00004009"/>
    <w:rsid w:val="0000411B"/>
    <w:rsid w:val="0000413D"/>
    <w:rsid w:val="00004296"/>
    <w:rsid w:val="000042FA"/>
    <w:rsid w:val="00004469"/>
    <w:rsid w:val="00004583"/>
    <w:rsid w:val="0000462B"/>
    <w:rsid w:val="00004723"/>
    <w:rsid w:val="00004757"/>
    <w:rsid w:val="000048F7"/>
    <w:rsid w:val="00004905"/>
    <w:rsid w:val="00004AB4"/>
    <w:rsid w:val="00004B73"/>
    <w:rsid w:val="00004D0B"/>
    <w:rsid w:val="00004DA7"/>
    <w:rsid w:val="00004DD8"/>
    <w:rsid w:val="00005061"/>
    <w:rsid w:val="0000506A"/>
    <w:rsid w:val="000050B2"/>
    <w:rsid w:val="000052ED"/>
    <w:rsid w:val="000053CE"/>
    <w:rsid w:val="000053F9"/>
    <w:rsid w:val="00005674"/>
    <w:rsid w:val="0000567B"/>
    <w:rsid w:val="00005BE7"/>
    <w:rsid w:val="00005D0D"/>
    <w:rsid w:val="00005EDD"/>
    <w:rsid w:val="00005FA0"/>
    <w:rsid w:val="00006001"/>
    <w:rsid w:val="00006057"/>
    <w:rsid w:val="000060F2"/>
    <w:rsid w:val="000060FE"/>
    <w:rsid w:val="0000611C"/>
    <w:rsid w:val="00006183"/>
    <w:rsid w:val="000062C4"/>
    <w:rsid w:val="0000635C"/>
    <w:rsid w:val="00006433"/>
    <w:rsid w:val="000064CA"/>
    <w:rsid w:val="00006695"/>
    <w:rsid w:val="000066A0"/>
    <w:rsid w:val="00006735"/>
    <w:rsid w:val="0000678B"/>
    <w:rsid w:val="000067BD"/>
    <w:rsid w:val="0000692E"/>
    <w:rsid w:val="00006A5E"/>
    <w:rsid w:val="00006A84"/>
    <w:rsid w:val="00006DA8"/>
    <w:rsid w:val="00006DB6"/>
    <w:rsid w:val="00006DD7"/>
    <w:rsid w:val="00006E60"/>
    <w:rsid w:val="00007036"/>
    <w:rsid w:val="00007055"/>
    <w:rsid w:val="0000709F"/>
    <w:rsid w:val="0000713B"/>
    <w:rsid w:val="000071E6"/>
    <w:rsid w:val="0000726E"/>
    <w:rsid w:val="00007329"/>
    <w:rsid w:val="00007368"/>
    <w:rsid w:val="000073D9"/>
    <w:rsid w:val="0000740A"/>
    <w:rsid w:val="0000741F"/>
    <w:rsid w:val="00007461"/>
    <w:rsid w:val="0000749A"/>
    <w:rsid w:val="000074CA"/>
    <w:rsid w:val="0000768B"/>
    <w:rsid w:val="000076CD"/>
    <w:rsid w:val="00007742"/>
    <w:rsid w:val="00007790"/>
    <w:rsid w:val="000078E3"/>
    <w:rsid w:val="00007A13"/>
    <w:rsid w:val="00007B2D"/>
    <w:rsid w:val="00007B40"/>
    <w:rsid w:val="00007B9A"/>
    <w:rsid w:val="00007DA2"/>
    <w:rsid w:val="00007E69"/>
    <w:rsid w:val="00007F34"/>
    <w:rsid w:val="00007F39"/>
    <w:rsid w:val="000102A9"/>
    <w:rsid w:val="000103A8"/>
    <w:rsid w:val="00010445"/>
    <w:rsid w:val="00010508"/>
    <w:rsid w:val="00010616"/>
    <w:rsid w:val="00010622"/>
    <w:rsid w:val="0001067E"/>
    <w:rsid w:val="000106D4"/>
    <w:rsid w:val="000107AA"/>
    <w:rsid w:val="00010955"/>
    <w:rsid w:val="00010A83"/>
    <w:rsid w:val="00010A8F"/>
    <w:rsid w:val="00010C58"/>
    <w:rsid w:val="00010CCD"/>
    <w:rsid w:val="00011011"/>
    <w:rsid w:val="0001126E"/>
    <w:rsid w:val="000112EC"/>
    <w:rsid w:val="000112FC"/>
    <w:rsid w:val="00011378"/>
    <w:rsid w:val="000114A3"/>
    <w:rsid w:val="0001160F"/>
    <w:rsid w:val="00011627"/>
    <w:rsid w:val="000116A9"/>
    <w:rsid w:val="00011732"/>
    <w:rsid w:val="00011779"/>
    <w:rsid w:val="0001191A"/>
    <w:rsid w:val="00011BC8"/>
    <w:rsid w:val="00011CF3"/>
    <w:rsid w:val="00011D06"/>
    <w:rsid w:val="00011D1D"/>
    <w:rsid w:val="00011DDA"/>
    <w:rsid w:val="00011E61"/>
    <w:rsid w:val="00011F2F"/>
    <w:rsid w:val="00012160"/>
    <w:rsid w:val="00012177"/>
    <w:rsid w:val="0001217C"/>
    <w:rsid w:val="0001218E"/>
    <w:rsid w:val="0001237B"/>
    <w:rsid w:val="000123BD"/>
    <w:rsid w:val="000124CE"/>
    <w:rsid w:val="000124F1"/>
    <w:rsid w:val="00012534"/>
    <w:rsid w:val="00012571"/>
    <w:rsid w:val="00012573"/>
    <w:rsid w:val="0001268C"/>
    <w:rsid w:val="000126CD"/>
    <w:rsid w:val="0001272D"/>
    <w:rsid w:val="0001275B"/>
    <w:rsid w:val="00012785"/>
    <w:rsid w:val="000128C8"/>
    <w:rsid w:val="00012A6C"/>
    <w:rsid w:val="00012B5E"/>
    <w:rsid w:val="00012C52"/>
    <w:rsid w:val="00012D43"/>
    <w:rsid w:val="00012E01"/>
    <w:rsid w:val="00012E41"/>
    <w:rsid w:val="00012E4D"/>
    <w:rsid w:val="00012E5B"/>
    <w:rsid w:val="00012EC3"/>
    <w:rsid w:val="00013227"/>
    <w:rsid w:val="0001323F"/>
    <w:rsid w:val="00013284"/>
    <w:rsid w:val="000134B5"/>
    <w:rsid w:val="00013533"/>
    <w:rsid w:val="00013584"/>
    <w:rsid w:val="0001358C"/>
    <w:rsid w:val="00013664"/>
    <w:rsid w:val="000136A3"/>
    <w:rsid w:val="000137F5"/>
    <w:rsid w:val="0001385C"/>
    <w:rsid w:val="000138EB"/>
    <w:rsid w:val="00013972"/>
    <w:rsid w:val="0001398F"/>
    <w:rsid w:val="000139C5"/>
    <w:rsid w:val="00013A8A"/>
    <w:rsid w:val="00013BD4"/>
    <w:rsid w:val="00013C03"/>
    <w:rsid w:val="00013CDC"/>
    <w:rsid w:val="00013DB4"/>
    <w:rsid w:val="00013DF8"/>
    <w:rsid w:val="00013F5C"/>
    <w:rsid w:val="000140F9"/>
    <w:rsid w:val="00014186"/>
    <w:rsid w:val="00014484"/>
    <w:rsid w:val="0001453A"/>
    <w:rsid w:val="0001459C"/>
    <w:rsid w:val="0001488A"/>
    <w:rsid w:val="0001491A"/>
    <w:rsid w:val="00014924"/>
    <w:rsid w:val="00014970"/>
    <w:rsid w:val="00014AE2"/>
    <w:rsid w:val="00014B12"/>
    <w:rsid w:val="00014C6B"/>
    <w:rsid w:val="00014CBA"/>
    <w:rsid w:val="00014D56"/>
    <w:rsid w:val="00014D7F"/>
    <w:rsid w:val="00014E1E"/>
    <w:rsid w:val="00014ECD"/>
    <w:rsid w:val="00014F1B"/>
    <w:rsid w:val="00015135"/>
    <w:rsid w:val="00015357"/>
    <w:rsid w:val="000153F9"/>
    <w:rsid w:val="0001549C"/>
    <w:rsid w:val="00015503"/>
    <w:rsid w:val="00015538"/>
    <w:rsid w:val="00015675"/>
    <w:rsid w:val="000157F8"/>
    <w:rsid w:val="00015824"/>
    <w:rsid w:val="00015B70"/>
    <w:rsid w:val="00015C06"/>
    <w:rsid w:val="00016004"/>
    <w:rsid w:val="0001603B"/>
    <w:rsid w:val="00016086"/>
    <w:rsid w:val="000160FB"/>
    <w:rsid w:val="00016114"/>
    <w:rsid w:val="00016387"/>
    <w:rsid w:val="000163B9"/>
    <w:rsid w:val="000163C6"/>
    <w:rsid w:val="000163E7"/>
    <w:rsid w:val="0001654E"/>
    <w:rsid w:val="000165C3"/>
    <w:rsid w:val="000166CE"/>
    <w:rsid w:val="0001670E"/>
    <w:rsid w:val="000167ED"/>
    <w:rsid w:val="00016AED"/>
    <w:rsid w:val="00016B3A"/>
    <w:rsid w:val="00016C0F"/>
    <w:rsid w:val="00016CD5"/>
    <w:rsid w:val="00016D54"/>
    <w:rsid w:val="00016DAE"/>
    <w:rsid w:val="00017282"/>
    <w:rsid w:val="000172BE"/>
    <w:rsid w:val="00017390"/>
    <w:rsid w:val="00017493"/>
    <w:rsid w:val="0001757A"/>
    <w:rsid w:val="000175A9"/>
    <w:rsid w:val="00017655"/>
    <w:rsid w:val="0001767D"/>
    <w:rsid w:val="00017768"/>
    <w:rsid w:val="00017786"/>
    <w:rsid w:val="00017790"/>
    <w:rsid w:val="000177ED"/>
    <w:rsid w:val="000177F2"/>
    <w:rsid w:val="00017867"/>
    <w:rsid w:val="000179A3"/>
    <w:rsid w:val="00017A3B"/>
    <w:rsid w:val="00017A82"/>
    <w:rsid w:val="00017AAC"/>
    <w:rsid w:val="00017B06"/>
    <w:rsid w:val="00017BB0"/>
    <w:rsid w:val="00017BB1"/>
    <w:rsid w:val="00017CA1"/>
    <w:rsid w:val="00017CEE"/>
    <w:rsid w:val="00017D35"/>
    <w:rsid w:val="00017FC5"/>
    <w:rsid w:val="0002006B"/>
    <w:rsid w:val="00020186"/>
    <w:rsid w:val="00020216"/>
    <w:rsid w:val="0002023E"/>
    <w:rsid w:val="000202B0"/>
    <w:rsid w:val="000202D6"/>
    <w:rsid w:val="000202F8"/>
    <w:rsid w:val="0002038C"/>
    <w:rsid w:val="0002042B"/>
    <w:rsid w:val="0002061F"/>
    <w:rsid w:val="00020731"/>
    <w:rsid w:val="0002076D"/>
    <w:rsid w:val="00020799"/>
    <w:rsid w:val="00020988"/>
    <w:rsid w:val="00020A42"/>
    <w:rsid w:val="00020A8E"/>
    <w:rsid w:val="00020B1D"/>
    <w:rsid w:val="00020C12"/>
    <w:rsid w:val="00020D2D"/>
    <w:rsid w:val="00020D7E"/>
    <w:rsid w:val="00020DB5"/>
    <w:rsid w:val="00020DE6"/>
    <w:rsid w:val="00020E13"/>
    <w:rsid w:val="00020E37"/>
    <w:rsid w:val="00020E43"/>
    <w:rsid w:val="0002101C"/>
    <w:rsid w:val="00021056"/>
    <w:rsid w:val="000210A4"/>
    <w:rsid w:val="000210E1"/>
    <w:rsid w:val="0002122F"/>
    <w:rsid w:val="0002140E"/>
    <w:rsid w:val="00021569"/>
    <w:rsid w:val="00021634"/>
    <w:rsid w:val="0002166E"/>
    <w:rsid w:val="000216CE"/>
    <w:rsid w:val="00021937"/>
    <w:rsid w:val="00021993"/>
    <w:rsid w:val="00021A3C"/>
    <w:rsid w:val="00021A71"/>
    <w:rsid w:val="00021C1F"/>
    <w:rsid w:val="00021C5F"/>
    <w:rsid w:val="00021CC9"/>
    <w:rsid w:val="00021CD6"/>
    <w:rsid w:val="00021D8F"/>
    <w:rsid w:val="00021DB3"/>
    <w:rsid w:val="00021DD0"/>
    <w:rsid w:val="00021EF3"/>
    <w:rsid w:val="00021F3D"/>
    <w:rsid w:val="00021FC2"/>
    <w:rsid w:val="00021FF1"/>
    <w:rsid w:val="0002200B"/>
    <w:rsid w:val="00022038"/>
    <w:rsid w:val="000220D7"/>
    <w:rsid w:val="00022111"/>
    <w:rsid w:val="0002212D"/>
    <w:rsid w:val="00022293"/>
    <w:rsid w:val="000222A1"/>
    <w:rsid w:val="000222DD"/>
    <w:rsid w:val="0002233E"/>
    <w:rsid w:val="0002238E"/>
    <w:rsid w:val="00022464"/>
    <w:rsid w:val="000224BD"/>
    <w:rsid w:val="00022606"/>
    <w:rsid w:val="00022609"/>
    <w:rsid w:val="000226B0"/>
    <w:rsid w:val="000226BE"/>
    <w:rsid w:val="00022792"/>
    <w:rsid w:val="000229D8"/>
    <w:rsid w:val="00022A4D"/>
    <w:rsid w:val="00022BA6"/>
    <w:rsid w:val="00022CA7"/>
    <w:rsid w:val="00022CE5"/>
    <w:rsid w:val="00022D5A"/>
    <w:rsid w:val="00022D90"/>
    <w:rsid w:val="00022F21"/>
    <w:rsid w:val="00023033"/>
    <w:rsid w:val="00023081"/>
    <w:rsid w:val="000231AD"/>
    <w:rsid w:val="000231B9"/>
    <w:rsid w:val="00023236"/>
    <w:rsid w:val="00023249"/>
    <w:rsid w:val="0002331E"/>
    <w:rsid w:val="00023325"/>
    <w:rsid w:val="00023341"/>
    <w:rsid w:val="000233B9"/>
    <w:rsid w:val="00023527"/>
    <w:rsid w:val="00023564"/>
    <w:rsid w:val="000235A3"/>
    <w:rsid w:val="00023615"/>
    <w:rsid w:val="00023735"/>
    <w:rsid w:val="0002374D"/>
    <w:rsid w:val="00023779"/>
    <w:rsid w:val="000237C6"/>
    <w:rsid w:val="000237CB"/>
    <w:rsid w:val="000238A2"/>
    <w:rsid w:val="00023B81"/>
    <w:rsid w:val="00023C4B"/>
    <w:rsid w:val="00023CA7"/>
    <w:rsid w:val="00023CBE"/>
    <w:rsid w:val="00023D8C"/>
    <w:rsid w:val="00023DBD"/>
    <w:rsid w:val="00023DD1"/>
    <w:rsid w:val="00023DFB"/>
    <w:rsid w:val="00023E02"/>
    <w:rsid w:val="00023E10"/>
    <w:rsid w:val="00023E75"/>
    <w:rsid w:val="00023E89"/>
    <w:rsid w:val="00023EEA"/>
    <w:rsid w:val="00023F09"/>
    <w:rsid w:val="00023F3A"/>
    <w:rsid w:val="00024008"/>
    <w:rsid w:val="00024028"/>
    <w:rsid w:val="0002402D"/>
    <w:rsid w:val="0002420D"/>
    <w:rsid w:val="00024274"/>
    <w:rsid w:val="000243B9"/>
    <w:rsid w:val="000243C8"/>
    <w:rsid w:val="00024574"/>
    <w:rsid w:val="000245E3"/>
    <w:rsid w:val="000245EC"/>
    <w:rsid w:val="0002461F"/>
    <w:rsid w:val="000246BE"/>
    <w:rsid w:val="00024804"/>
    <w:rsid w:val="000248AC"/>
    <w:rsid w:val="00024B0B"/>
    <w:rsid w:val="00024BF5"/>
    <w:rsid w:val="00024ECA"/>
    <w:rsid w:val="00024FEB"/>
    <w:rsid w:val="00025001"/>
    <w:rsid w:val="000251A3"/>
    <w:rsid w:val="00025446"/>
    <w:rsid w:val="000255D4"/>
    <w:rsid w:val="000255E4"/>
    <w:rsid w:val="000256B0"/>
    <w:rsid w:val="000258C0"/>
    <w:rsid w:val="000258DE"/>
    <w:rsid w:val="00025932"/>
    <w:rsid w:val="000259CB"/>
    <w:rsid w:val="00025C62"/>
    <w:rsid w:val="00025C8C"/>
    <w:rsid w:val="00025D31"/>
    <w:rsid w:val="00025D39"/>
    <w:rsid w:val="00025DA4"/>
    <w:rsid w:val="00025DB7"/>
    <w:rsid w:val="00025DBC"/>
    <w:rsid w:val="00025E2F"/>
    <w:rsid w:val="00026151"/>
    <w:rsid w:val="0002617F"/>
    <w:rsid w:val="000263D9"/>
    <w:rsid w:val="00026404"/>
    <w:rsid w:val="00026522"/>
    <w:rsid w:val="00026573"/>
    <w:rsid w:val="0002683D"/>
    <w:rsid w:val="00026967"/>
    <w:rsid w:val="00026B12"/>
    <w:rsid w:val="00026C6B"/>
    <w:rsid w:val="00026CFE"/>
    <w:rsid w:val="00026FDB"/>
    <w:rsid w:val="0002703D"/>
    <w:rsid w:val="00027415"/>
    <w:rsid w:val="0002759C"/>
    <w:rsid w:val="000275F8"/>
    <w:rsid w:val="000276B1"/>
    <w:rsid w:val="000276FE"/>
    <w:rsid w:val="00027728"/>
    <w:rsid w:val="0002774C"/>
    <w:rsid w:val="000277EF"/>
    <w:rsid w:val="00027850"/>
    <w:rsid w:val="0002790B"/>
    <w:rsid w:val="000279A5"/>
    <w:rsid w:val="000279C5"/>
    <w:rsid w:val="000279FA"/>
    <w:rsid w:val="00027A93"/>
    <w:rsid w:val="00027C75"/>
    <w:rsid w:val="00027EA0"/>
    <w:rsid w:val="00027F65"/>
    <w:rsid w:val="00027FF1"/>
    <w:rsid w:val="00030012"/>
    <w:rsid w:val="0003004E"/>
    <w:rsid w:val="0003006F"/>
    <w:rsid w:val="000300E5"/>
    <w:rsid w:val="00030127"/>
    <w:rsid w:val="000301E8"/>
    <w:rsid w:val="0003026B"/>
    <w:rsid w:val="000302B8"/>
    <w:rsid w:val="0003053F"/>
    <w:rsid w:val="000305C4"/>
    <w:rsid w:val="00030682"/>
    <w:rsid w:val="000308F5"/>
    <w:rsid w:val="000309F9"/>
    <w:rsid w:val="00030A12"/>
    <w:rsid w:val="00030A37"/>
    <w:rsid w:val="00030B31"/>
    <w:rsid w:val="00030BAE"/>
    <w:rsid w:val="00030BF6"/>
    <w:rsid w:val="00030C86"/>
    <w:rsid w:val="00030D38"/>
    <w:rsid w:val="00030D9D"/>
    <w:rsid w:val="00030E9D"/>
    <w:rsid w:val="00030ED7"/>
    <w:rsid w:val="00030F19"/>
    <w:rsid w:val="00030F7C"/>
    <w:rsid w:val="00031074"/>
    <w:rsid w:val="000311E4"/>
    <w:rsid w:val="0003122B"/>
    <w:rsid w:val="0003131C"/>
    <w:rsid w:val="000313C0"/>
    <w:rsid w:val="00031596"/>
    <w:rsid w:val="00031687"/>
    <w:rsid w:val="000316AA"/>
    <w:rsid w:val="00031892"/>
    <w:rsid w:val="0003190D"/>
    <w:rsid w:val="00031929"/>
    <w:rsid w:val="00031A12"/>
    <w:rsid w:val="00031AF1"/>
    <w:rsid w:val="00031B15"/>
    <w:rsid w:val="00031B56"/>
    <w:rsid w:val="00031C0B"/>
    <w:rsid w:val="00031C24"/>
    <w:rsid w:val="00031D08"/>
    <w:rsid w:val="00031DCE"/>
    <w:rsid w:val="00031EA5"/>
    <w:rsid w:val="000320EF"/>
    <w:rsid w:val="00032207"/>
    <w:rsid w:val="000322C7"/>
    <w:rsid w:val="000322D7"/>
    <w:rsid w:val="000323D7"/>
    <w:rsid w:val="000324B7"/>
    <w:rsid w:val="000324CC"/>
    <w:rsid w:val="000325C9"/>
    <w:rsid w:val="000326FC"/>
    <w:rsid w:val="00032706"/>
    <w:rsid w:val="00032711"/>
    <w:rsid w:val="00032732"/>
    <w:rsid w:val="00032849"/>
    <w:rsid w:val="00032B6D"/>
    <w:rsid w:val="00032C64"/>
    <w:rsid w:val="00032D77"/>
    <w:rsid w:val="00032D9D"/>
    <w:rsid w:val="00032F34"/>
    <w:rsid w:val="00032F54"/>
    <w:rsid w:val="00032FF3"/>
    <w:rsid w:val="0003309D"/>
    <w:rsid w:val="000330B7"/>
    <w:rsid w:val="00033211"/>
    <w:rsid w:val="00033285"/>
    <w:rsid w:val="00033290"/>
    <w:rsid w:val="00033316"/>
    <w:rsid w:val="0003339E"/>
    <w:rsid w:val="00033426"/>
    <w:rsid w:val="0003350E"/>
    <w:rsid w:val="00033587"/>
    <w:rsid w:val="0003368C"/>
    <w:rsid w:val="000336E9"/>
    <w:rsid w:val="000337E0"/>
    <w:rsid w:val="00033952"/>
    <w:rsid w:val="00033EB4"/>
    <w:rsid w:val="00033F4D"/>
    <w:rsid w:val="0003406C"/>
    <w:rsid w:val="000340C4"/>
    <w:rsid w:val="000340FB"/>
    <w:rsid w:val="0003413A"/>
    <w:rsid w:val="000341D3"/>
    <w:rsid w:val="000341E8"/>
    <w:rsid w:val="00034227"/>
    <w:rsid w:val="000342DA"/>
    <w:rsid w:val="0003435C"/>
    <w:rsid w:val="000343C6"/>
    <w:rsid w:val="000343D0"/>
    <w:rsid w:val="00034611"/>
    <w:rsid w:val="00034779"/>
    <w:rsid w:val="00034816"/>
    <w:rsid w:val="000348F4"/>
    <w:rsid w:val="00034930"/>
    <w:rsid w:val="00034972"/>
    <w:rsid w:val="0003498A"/>
    <w:rsid w:val="000349A9"/>
    <w:rsid w:val="00034AEF"/>
    <w:rsid w:val="00034BBC"/>
    <w:rsid w:val="00034C2F"/>
    <w:rsid w:val="00034CAA"/>
    <w:rsid w:val="00034CB5"/>
    <w:rsid w:val="00034CBB"/>
    <w:rsid w:val="00034D31"/>
    <w:rsid w:val="00034F3D"/>
    <w:rsid w:val="00034F74"/>
    <w:rsid w:val="000351EB"/>
    <w:rsid w:val="00035270"/>
    <w:rsid w:val="00035280"/>
    <w:rsid w:val="000352CA"/>
    <w:rsid w:val="000354C9"/>
    <w:rsid w:val="000354EB"/>
    <w:rsid w:val="000354FE"/>
    <w:rsid w:val="00035553"/>
    <w:rsid w:val="0003559B"/>
    <w:rsid w:val="000355F0"/>
    <w:rsid w:val="0003565A"/>
    <w:rsid w:val="00035688"/>
    <w:rsid w:val="000356D8"/>
    <w:rsid w:val="000356F1"/>
    <w:rsid w:val="000356F8"/>
    <w:rsid w:val="000358BF"/>
    <w:rsid w:val="0003592F"/>
    <w:rsid w:val="000359C7"/>
    <w:rsid w:val="00035A7D"/>
    <w:rsid w:val="00035B8D"/>
    <w:rsid w:val="00035D46"/>
    <w:rsid w:val="00035E5E"/>
    <w:rsid w:val="00035F32"/>
    <w:rsid w:val="00035F82"/>
    <w:rsid w:val="00036115"/>
    <w:rsid w:val="0003615A"/>
    <w:rsid w:val="00036235"/>
    <w:rsid w:val="00036431"/>
    <w:rsid w:val="00036470"/>
    <w:rsid w:val="0003664F"/>
    <w:rsid w:val="0003667B"/>
    <w:rsid w:val="000366D5"/>
    <w:rsid w:val="00036924"/>
    <w:rsid w:val="0003698D"/>
    <w:rsid w:val="000369AA"/>
    <w:rsid w:val="00036A0E"/>
    <w:rsid w:val="00036A79"/>
    <w:rsid w:val="00036B6F"/>
    <w:rsid w:val="00036CA7"/>
    <w:rsid w:val="00036E8E"/>
    <w:rsid w:val="00036EA8"/>
    <w:rsid w:val="00036F31"/>
    <w:rsid w:val="00036F70"/>
    <w:rsid w:val="00036FCC"/>
    <w:rsid w:val="0003705A"/>
    <w:rsid w:val="000370DF"/>
    <w:rsid w:val="0003729B"/>
    <w:rsid w:val="000372A0"/>
    <w:rsid w:val="000372BE"/>
    <w:rsid w:val="00037301"/>
    <w:rsid w:val="00037332"/>
    <w:rsid w:val="00037502"/>
    <w:rsid w:val="000375D5"/>
    <w:rsid w:val="00037684"/>
    <w:rsid w:val="000376D2"/>
    <w:rsid w:val="000377CA"/>
    <w:rsid w:val="00037C58"/>
    <w:rsid w:val="00037D04"/>
    <w:rsid w:val="00037DC8"/>
    <w:rsid w:val="00037F81"/>
    <w:rsid w:val="00037FE7"/>
    <w:rsid w:val="0004005A"/>
    <w:rsid w:val="0004023A"/>
    <w:rsid w:val="000403A5"/>
    <w:rsid w:val="0004040C"/>
    <w:rsid w:val="000404D1"/>
    <w:rsid w:val="0004058F"/>
    <w:rsid w:val="000406F6"/>
    <w:rsid w:val="000407DB"/>
    <w:rsid w:val="000408E3"/>
    <w:rsid w:val="00040914"/>
    <w:rsid w:val="000409BA"/>
    <w:rsid w:val="00040A7F"/>
    <w:rsid w:val="00040B12"/>
    <w:rsid w:val="00040B1D"/>
    <w:rsid w:val="00040BC5"/>
    <w:rsid w:val="00040D0C"/>
    <w:rsid w:val="00040E2C"/>
    <w:rsid w:val="000410AC"/>
    <w:rsid w:val="000410F6"/>
    <w:rsid w:val="00041294"/>
    <w:rsid w:val="0004132B"/>
    <w:rsid w:val="0004136B"/>
    <w:rsid w:val="00041398"/>
    <w:rsid w:val="000413FF"/>
    <w:rsid w:val="00041409"/>
    <w:rsid w:val="000414CF"/>
    <w:rsid w:val="000414E7"/>
    <w:rsid w:val="000414F2"/>
    <w:rsid w:val="000415C5"/>
    <w:rsid w:val="000416AD"/>
    <w:rsid w:val="00041730"/>
    <w:rsid w:val="000417F3"/>
    <w:rsid w:val="0004193F"/>
    <w:rsid w:val="00041AA4"/>
    <w:rsid w:val="00041ADC"/>
    <w:rsid w:val="00041C39"/>
    <w:rsid w:val="00041C64"/>
    <w:rsid w:val="00041DB1"/>
    <w:rsid w:val="00041E4F"/>
    <w:rsid w:val="00041E53"/>
    <w:rsid w:val="00041F12"/>
    <w:rsid w:val="00041F1A"/>
    <w:rsid w:val="00041F62"/>
    <w:rsid w:val="00042036"/>
    <w:rsid w:val="0004203C"/>
    <w:rsid w:val="0004207B"/>
    <w:rsid w:val="0004213A"/>
    <w:rsid w:val="00042178"/>
    <w:rsid w:val="000421E6"/>
    <w:rsid w:val="00042334"/>
    <w:rsid w:val="00042346"/>
    <w:rsid w:val="000423BF"/>
    <w:rsid w:val="000423C7"/>
    <w:rsid w:val="0004242D"/>
    <w:rsid w:val="00042474"/>
    <w:rsid w:val="0004257E"/>
    <w:rsid w:val="0004259C"/>
    <w:rsid w:val="000425C1"/>
    <w:rsid w:val="000428F8"/>
    <w:rsid w:val="00042960"/>
    <w:rsid w:val="00042A5F"/>
    <w:rsid w:val="00042AC0"/>
    <w:rsid w:val="00042AFF"/>
    <w:rsid w:val="00042C32"/>
    <w:rsid w:val="00042C80"/>
    <w:rsid w:val="00042C8D"/>
    <w:rsid w:val="00042CBE"/>
    <w:rsid w:val="00042CC7"/>
    <w:rsid w:val="00042D08"/>
    <w:rsid w:val="00042DBB"/>
    <w:rsid w:val="00042DFA"/>
    <w:rsid w:val="00042E48"/>
    <w:rsid w:val="00042E62"/>
    <w:rsid w:val="00043116"/>
    <w:rsid w:val="000431C1"/>
    <w:rsid w:val="000432BD"/>
    <w:rsid w:val="000433C2"/>
    <w:rsid w:val="0004343B"/>
    <w:rsid w:val="00043466"/>
    <w:rsid w:val="000435B0"/>
    <w:rsid w:val="00043751"/>
    <w:rsid w:val="00043AF5"/>
    <w:rsid w:val="00043B0F"/>
    <w:rsid w:val="00043B42"/>
    <w:rsid w:val="00043B97"/>
    <w:rsid w:val="00043BDA"/>
    <w:rsid w:val="00043BFF"/>
    <w:rsid w:val="00043CCA"/>
    <w:rsid w:val="00043D6F"/>
    <w:rsid w:val="00043EA1"/>
    <w:rsid w:val="00043EDD"/>
    <w:rsid w:val="00043FA6"/>
    <w:rsid w:val="0004401C"/>
    <w:rsid w:val="000440DB"/>
    <w:rsid w:val="000441E3"/>
    <w:rsid w:val="00044213"/>
    <w:rsid w:val="0004423F"/>
    <w:rsid w:val="00044429"/>
    <w:rsid w:val="00044494"/>
    <w:rsid w:val="00044512"/>
    <w:rsid w:val="0004462F"/>
    <w:rsid w:val="00044678"/>
    <w:rsid w:val="00044686"/>
    <w:rsid w:val="000447A8"/>
    <w:rsid w:val="00044939"/>
    <w:rsid w:val="000449FC"/>
    <w:rsid w:val="00044AD1"/>
    <w:rsid w:val="00044B11"/>
    <w:rsid w:val="00044B99"/>
    <w:rsid w:val="00044ECD"/>
    <w:rsid w:val="00044F1F"/>
    <w:rsid w:val="00044FAB"/>
    <w:rsid w:val="000451A7"/>
    <w:rsid w:val="000451D4"/>
    <w:rsid w:val="00045222"/>
    <w:rsid w:val="000452FA"/>
    <w:rsid w:val="000453A5"/>
    <w:rsid w:val="000453D0"/>
    <w:rsid w:val="000455EC"/>
    <w:rsid w:val="0004567F"/>
    <w:rsid w:val="00045779"/>
    <w:rsid w:val="000458B2"/>
    <w:rsid w:val="0004591A"/>
    <w:rsid w:val="000459A7"/>
    <w:rsid w:val="00045AEE"/>
    <w:rsid w:val="00045B7D"/>
    <w:rsid w:val="00045BA9"/>
    <w:rsid w:val="00045C55"/>
    <w:rsid w:val="00045C9C"/>
    <w:rsid w:val="00045D64"/>
    <w:rsid w:val="00045DD3"/>
    <w:rsid w:val="00045E62"/>
    <w:rsid w:val="00046045"/>
    <w:rsid w:val="0004604B"/>
    <w:rsid w:val="00046223"/>
    <w:rsid w:val="00046274"/>
    <w:rsid w:val="00046295"/>
    <w:rsid w:val="000463A5"/>
    <w:rsid w:val="00046444"/>
    <w:rsid w:val="00046562"/>
    <w:rsid w:val="00046733"/>
    <w:rsid w:val="0004677C"/>
    <w:rsid w:val="000468B8"/>
    <w:rsid w:val="00046910"/>
    <w:rsid w:val="00046943"/>
    <w:rsid w:val="000469A7"/>
    <w:rsid w:val="00046A0E"/>
    <w:rsid w:val="00046A31"/>
    <w:rsid w:val="00046A70"/>
    <w:rsid w:val="00046A8F"/>
    <w:rsid w:val="00046C8A"/>
    <w:rsid w:val="00046CDA"/>
    <w:rsid w:val="00046D0F"/>
    <w:rsid w:val="00046D59"/>
    <w:rsid w:val="00046E4A"/>
    <w:rsid w:val="00046F25"/>
    <w:rsid w:val="00046F5A"/>
    <w:rsid w:val="00047036"/>
    <w:rsid w:val="0004703C"/>
    <w:rsid w:val="000470B7"/>
    <w:rsid w:val="000470FC"/>
    <w:rsid w:val="00047144"/>
    <w:rsid w:val="00047196"/>
    <w:rsid w:val="000471D6"/>
    <w:rsid w:val="0004732C"/>
    <w:rsid w:val="00047351"/>
    <w:rsid w:val="00047398"/>
    <w:rsid w:val="0004749C"/>
    <w:rsid w:val="00047532"/>
    <w:rsid w:val="000476F5"/>
    <w:rsid w:val="000477AE"/>
    <w:rsid w:val="00047868"/>
    <w:rsid w:val="00047A9F"/>
    <w:rsid w:val="00047CD4"/>
    <w:rsid w:val="00047E02"/>
    <w:rsid w:val="00047E09"/>
    <w:rsid w:val="00047E12"/>
    <w:rsid w:val="0005002E"/>
    <w:rsid w:val="00050046"/>
    <w:rsid w:val="0005006E"/>
    <w:rsid w:val="00050139"/>
    <w:rsid w:val="00050192"/>
    <w:rsid w:val="00050229"/>
    <w:rsid w:val="00050327"/>
    <w:rsid w:val="0005034D"/>
    <w:rsid w:val="000503AB"/>
    <w:rsid w:val="0005046A"/>
    <w:rsid w:val="0005048F"/>
    <w:rsid w:val="000504DB"/>
    <w:rsid w:val="0005068E"/>
    <w:rsid w:val="0005099D"/>
    <w:rsid w:val="00050A79"/>
    <w:rsid w:val="00050A8D"/>
    <w:rsid w:val="00050AAF"/>
    <w:rsid w:val="00050C8B"/>
    <w:rsid w:val="00050CEA"/>
    <w:rsid w:val="00050D0E"/>
    <w:rsid w:val="00050D4C"/>
    <w:rsid w:val="00050DE1"/>
    <w:rsid w:val="00050E91"/>
    <w:rsid w:val="00050F04"/>
    <w:rsid w:val="00050FE5"/>
    <w:rsid w:val="000510F5"/>
    <w:rsid w:val="0005117C"/>
    <w:rsid w:val="000511C2"/>
    <w:rsid w:val="00051203"/>
    <w:rsid w:val="00051407"/>
    <w:rsid w:val="0005146E"/>
    <w:rsid w:val="000514A7"/>
    <w:rsid w:val="000514FD"/>
    <w:rsid w:val="00051597"/>
    <w:rsid w:val="000515AD"/>
    <w:rsid w:val="0005174D"/>
    <w:rsid w:val="00051883"/>
    <w:rsid w:val="00051902"/>
    <w:rsid w:val="00051985"/>
    <w:rsid w:val="00051999"/>
    <w:rsid w:val="00051AB4"/>
    <w:rsid w:val="00051B9B"/>
    <w:rsid w:val="00051C3C"/>
    <w:rsid w:val="00051CF2"/>
    <w:rsid w:val="00051D1A"/>
    <w:rsid w:val="00051D66"/>
    <w:rsid w:val="00051DCB"/>
    <w:rsid w:val="00051E46"/>
    <w:rsid w:val="00051F34"/>
    <w:rsid w:val="00051FB0"/>
    <w:rsid w:val="00052162"/>
    <w:rsid w:val="00052195"/>
    <w:rsid w:val="00052308"/>
    <w:rsid w:val="0005238B"/>
    <w:rsid w:val="000523B9"/>
    <w:rsid w:val="000523E1"/>
    <w:rsid w:val="00052439"/>
    <w:rsid w:val="000524B4"/>
    <w:rsid w:val="000525C1"/>
    <w:rsid w:val="000525D1"/>
    <w:rsid w:val="00052752"/>
    <w:rsid w:val="000528CF"/>
    <w:rsid w:val="000528ED"/>
    <w:rsid w:val="00052940"/>
    <w:rsid w:val="00052946"/>
    <w:rsid w:val="0005298A"/>
    <w:rsid w:val="00052A4D"/>
    <w:rsid w:val="00052B5B"/>
    <w:rsid w:val="00052B6D"/>
    <w:rsid w:val="00052BCA"/>
    <w:rsid w:val="00052C54"/>
    <w:rsid w:val="00052D5E"/>
    <w:rsid w:val="00052E43"/>
    <w:rsid w:val="00052FCA"/>
    <w:rsid w:val="00052FE5"/>
    <w:rsid w:val="00053082"/>
    <w:rsid w:val="000530AA"/>
    <w:rsid w:val="000530AC"/>
    <w:rsid w:val="000531ED"/>
    <w:rsid w:val="000532CE"/>
    <w:rsid w:val="0005340F"/>
    <w:rsid w:val="00053476"/>
    <w:rsid w:val="000536E3"/>
    <w:rsid w:val="0005371E"/>
    <w:rsid w:val="00053828"/>
    <w:rsid w:val="0005382B"/>
    <w:rsid w:val="00053968"/>
    <w:rsid w:val="00053981"/>
    <w:rsid w:val="00053BB7"/>
    <w:rsid w:val="00053BE1"/>
    <w:rsid w:val="00053C2F"/>
    <w:rsid w:val="00053C5D"/>
    <w:rsid w:val="00053C68"/>
    <w:rsid w:val="00053CB3"/>
    <w:rsid w:val="000541D4"/>
    <w:rsid w:val="000542C9"/>
    <w:rsid w:val="00054307"/>
    <w:rsid w:val="0005430C"/>
    <w:rsid w:val="00054344"/>
    <w:rsid w:val="000543F4"/>
    <w:rsid w:val="000544E4"/>
    <w:rsid w:val="000545A8"/>
    <w:rsid w:val="000545E2"/>
    <w:rsid w:val="00054655"/>
    <w:rsid w:val="000546A0"/>
    <w:rsid w:val="000546C1"/>
    <w:rsid w:val="00054983"/>
    <w:rsid w:val="000549EC"/>
    <w:rsid w:val="00054A09"/>
    <w:rsid w:val="00054A37"/>
    <w:rsid w:val="00054B85"/>
    <w:rsid w:val="00054BE6"/>
    <w:rsid w:val="00054CA4"/>
    <w:rsid w:val="00054D3F"/>
    <w:rsid w:val="00054D7B"/>
    <w:rsid w:val="00054E84"/>
    <w:rsid w:val="00054EC3"/>
    <w:rsid w:val="00054F1C"/>
    <w:rsid w:val="00054F94"/>
    <w:rsid w:val="000550E1"/>
    <w:rsid w:val="00055106"/>
    <w:rsid w:val="000551DE"/>
    <w:rsid w:val="00055283"/>
    <w:rsid w:val="00055296"/>
    <w:rsid w:val="00055385"/>
    <w:rsid w:val="000554BC"/>
    <w:rsid w:val="00055520"/>
    <w:rsid w:val="0005552B"/>
    <w:rsid w:val="000555D2"/>
    <w:rsid w:val="000556DD"/>
    <w:rsid w:val="000556F8"/>
    <w:rsid w:val="00055758"/>
    <w:rsid w:val="0005585B"/>
    <w:rsid w:val="00055924"/>
    <w:rsid w:val="00055973"/>
    <w:rsid w:val="000559CD"/>
    <w:rsid w:val="00055B4C"/>
    <w:rsid w:val="00055BBE"/>
    <w:rsid w:val="00055CF3"/>
    <w:rsid w:val="00055D48"/>
    <w:rsid w:val="00055E87"/>
    <w:rsid w:val="000560AB"/>
    <w:rsid w:val="00056200"/>
    <w:rsid w:val="000562E2"/>
    <w:rsid w:val="0005634D"/>
    <w:rsid w:val="00056368"/>
    <w:rsid w:val="000563E7"/>
    <w:rsid w:val="000563F7"/>
    <w:rsid w:val="0005659E"/>
    <w:rsid w:val="00056762"/>
    <w:rsid w:val="000568DC"/>
    <w:rsid w:val="0005694E"/>
    <w:rsid w:val="00056960"/>
    <w:rsid w:val="000569A3"/>
    <w:rsid w:val="00056A10"/>
    <w:rsid w:val="00056A58"/>
    <w:rsid w:val="00056A94"/>
    <w:rsid w:val="00056CC6"/>
    <w:rsid w:val="00056CD8"/>
    <w:rsid w:val="00056E3D"/>
    <w:rsid w:val="00056EEF"/>
    <w:rsid w:val="00056F6F"/>
    <w:rsid w:val="0005700E"/>
    <w:rsid w:val="000570EC"/>
    <w:rsid w:val="00057188"/>
    <w:rsid w:val="000573AA"/>
    <w:rsid w:val="0005745F"/>
    <w:rsid w:val="0005749B"/>
    <w:rsid w:val="0005752C"/>
    <w:rsid w:val="00057627"/>
    <w:rsid w:val="00057635"/>
    <w:rsid w:val="00057838"/>
    <w:rsid w:val="00057939"/>
    <w:rsid w:val="00057A16"/>
    <w:rsid w:val="00057AB6"/>
    <w:rsid w:val="00057AD5"/>
    <w:rsid w:val="00057CFF"/>
    <w:rsid w:val="00057D09"/>
    <w:rsid w:val="00057D53"/>
    <w:rsid w:val="00057EB7"/>
    <w:rsid w:val="00057EDD"/>
    <w:rsid w:val="00057EF3"/>
    <w:rsid w:val="00060008"/>
    <w:rsid w:val="00060077"/>
    <w:rsid w:val="000600A5"/>
    <w:rsid w:val="000600D7"/>
    <w:rsid w:val="000601A2"/>
    <w:rsid w:val="000601B3"/>
    <w:rsid w:val="000601CA"/>
    <w:rsid w:val="000602F0"/>
    <w:rsid w:val="00060358"/>
    <w:rsid w:val="0006037A"/>
    <w:rsid w:val="00060381"/>
    <w:rsid w:val="00060609"/>
    <w:rsid w:val="0006061D"/>
    <w:rsid w:val="00060683"/>
    <w:rsid w:val="00060928"/>
    <w:rsid w:val="00060A41"/>
    <w:rsid w:val="00060B9E"/>
    <w:rsid w:val="00060D89"/>
    <w:rsid w:val="00060D98"/>
    <w:rsid w:val="00060DC8"/>
    <w:rsid w:val="00060E0F"/>
    <w:rsid w:val="00060EC9"/>
    <w:rsid w:val="00060F40"/>
    <w:rsid w:val="00061000"/>
    <w:rsid w:val="00061025"/>
    <w:rsid w:val="00061096"/>
    <w:rsid w:val="00061149"/>
    <w:rsid w:val="0006129F"/>
    <w:rsid w:val="0006132D"/>
    <w:rsid w:val="000613E5"/>
    <w:rsid w:val="0006150B"/>
    <w:rsid w:val="00061524"/>
    <w:rsid w:val="00061592"/>
    <w:rsid w:val="000617B2"/>
    <w:rsid w:val="00061802"/>
    <w:rsid w:val="00061813"/>
    <w:rsid w:val="00061832"/>
    <w:rsid w:val="00061846"/>
    <w:rsid w:val="000619C8"/>
    <w:rsid w:val="00061A2D"/>
    <w:rsid w:val="00061B60"/>
    <w:rsid w:val="00061C49"/>
    <w:rsid w:val="00061D53"/>
    <w:rsid w:val="00061D7F"/>
    <w:rsid w:val="00061EE4"/>
    <w:rsid w:val="00061F86"/>
    <w:rsid w:val="00061FD4"/>
    <w:rsid w:val="000620E5"/>
    <w:rsid w:val="00062111"/>
    <w:rsid w:val="000621AF"/>
    <w:rsid w:val="000621D6"/>
    <w:rsid w:val="0006231E"/>
    <w:rsid w:val="000623C1"/>
    <w:rsid w:val="0006252D"/>
    <w:rsid w:val="00062567"/>
    <w:rsid w:val="0006262B"/>
    <w:rsid w:val="00062690"/>
    <w:rsid w:val="00062704"/>
    <w:rsid w:val="0006274E"/>
    <w:rsid w:val="000627C9"/>
    <w:rsid w:val="00062804"/>
    <w:rsid w:val="00062806"/>
    <w:rsid w:val="000628F3"/>
    <w:rsid w:val="000629C8"/>
    <w:rsid w:val="00062A56"/>
    <w:rsid w:val="00062ABF"/>
    <w:rsid w:val="00062B12"/>
    <w:rsid w:val="00062B37"/>
    <w:rsid w:val="00062D02"/>
    <w:rsid w:val="00062D87"/>
    <w:rsid w:val="00062DED"/>
    <w:rsid w:val="0006306A"/>
    <w:rsid w:val="00063200"/>
    <w:rsid w:val="00063390"/>
    <w:rsid w:val="000633BE"/>
    <w:rsid w:val="000633C3"/>
    <w:rsid w:val="000636C4"/>
    <w:rsid w:val="00063797"/>
    <w:rsid w:val="000637A1"/>
    <w:rsid w:val="000637A7"/>
    <w:rsid w:val="00063876"/>
    <w:rsid w:val="00063923"/>
    <w:rsid w:val="00063A46"/>
    <w:rsid w:val="00063C61"/>
    <w:rsid w:val="00063E00"/>
    <w:rsid w:val="00063ECF"/>
    <w:rsid w:val="00063EF9"/>
    <w:rsid w:val="00063F08"/>
    <w:rsid w:val="00063F88"/>
    <w:rsid w:val="00063F9D"/>
    <w:rsid w:val="0006416F"/>
    <w:rsid w:val="00064241"/>
    <w:rsid w:val="00064262"/>
    <w:rsid w:val="000642C4"/>
    <w:rsid w:val="00064583"/>
    <w:rsid w:val="00064694"/>
    <w:rsid w:val="00064879"/>
    <w:rsid w:val="0006491E"/>
    <w:rsid w:val="00064937"/>
    <w:rsid w:val="00064B89"/>
    <w:rsid w:val="00064BA4"/>
    <w:rsid w:val="00064C33"/>
    <w:rsid w:val="00064C78"/>
    <w:rsid w:val="00064CE4"/>
    <w:rsid w:val="00064E23"/>
    <w:rsid w:val="00064F68"/>
    <w:rsid w:val="00064FF6"/>
    <w:rsid w:val="00065000"/>
    <w:rsid w:val="000650C7"/>
    <w:rsid w:val="00065348"/>
    <w:rsid w:val="000653D5"/>
    <w:rsid w:val="000653DE"/>
    <w:rsid w:val="000655C4"/>
    <w:rsid w:val="00065774"/>
    <w:rsid w:val="00065843"/>
    <w:rsid w:val="00065891"/>
    <w:rsid w:val="0006591A"/>
    <w:rsid w:val="00065A31"/>
    <w:rsid w:val="00065B1D"/>
    <w:rsid w:val="00065B4E"/>
    <w:rsid w:val="00065BBB"/>
    <w:rsid w:val="00065C83"/>
    <w:rsid w:val="00065CCE"/>
    <w:rsid w:val="00065CE1"/>
    <w:rsid w:val="00065DC1"/>
    <w:rsid w:val="00065DD9"/>
    <w:rsid w:val="00065E21"/>
    <w:rsid w:val="00065E67"/>
    <w:rsid w:val="00065F6A"/>
    <w:rsid w:val="00066044"/>
    <w:rsid w:val="000661C9"/>
    <w:rsid w:val="0006624C"/>
    <w:rsid w:val="000662B7"/>
    <w:rsid w:val="000662F8"/>
    <w:rsid w:val="0006634D"/>
    <w:rsid w:val="000663FB"/>
    <w:rsid w:val="00066487"/>
    <w:rsid w:val="0006651E"/>
    <w:rsid w:val="00066534"/>
    <w:rsid w:val="000665B4"/>
    <w:rsid w:val="0006660E"/>
    <w:rsid w:val="00066754"/>
    <w:rsid w:val="000667BC"/>
    <w:rsid w:val="000667FA"/>
    <w:rsid w:val="00066832"/>
    <w:rsid w:val="00066930"/>
    <w:rsid w:val="00066A20"/>
    <w:rsid w:val="00066A2A"/>
    <w:rsid w:val="00066A2D"/>
    <w:rsid w:val="00066B6E"/>
    <w:rsid w:val="00066B8F"/>
    <w:rsid w:val="00066CA2"/>
    <w:rsid w:val="00066DD1"/>
    <w:rsid w:val="00066EA8"/>
    <w:rsid w:val="00066FB6"/>
    <w:rsid w:val="00067041"/>
    <w:rsid w:val="000671EA"/>
    <w:rsid w:val="00067387"/>
    <w:rsid w:val="000673AF"/>
    <w:rsid w:val="00067494"/>
    <w:rsid w:val="0006763A"/>
    <w:rsid w:val="000676B5"/>
    <w:rsid w:val="00067718"/>
    <w:rsid w:val="00067AA2"/>
    <w:rsid w:val="00067C8F"/>
    <w:rsid w:val="00067C95"/>
    <w:rsid w:val="00067D6A"/>
    <w:rsid w:val="00067DED"/>
    <w:rsid w:val="00067E09"/>
    <w:rsid w:val="00067F8D"/>
    <w:rsid w:val="00067FD4"/>
    <w:rsid w:val="0007013F"/>
    <w:rsid w:val="00070171"/>
    <w:rsid w:val="00070188"/>
    <w:rsid w:val="0007026D"/>
    <w:rsid w:val="0007038C"/>
    <w:rsid w:val="00070433"/>
    <w:rsid w:val="00070485"/>
    <w:rsid w:val="0007050C"/>
    <w:rsid w:val="000705CC"/>
    <w:rsid w:val="000705FE"/>
    <w:rsid w:val="00070842"/>
    <w:rsid w:val="0007095E"/>
    <w:rsid w:val="00070A10"/>
    <w:rsid w:val="00070A32"/>
    <w:rsid w:val="00070A4A"/>
    <w:rsid w:val="00070A72"/>
    <w:rsid w:val="00070B11"/>
    <w:rsid w:val="00070D84"/>
    <w:rsid w:val="00070DB6"/>
    <w:rsid w:val="00070EA4"/>
    <w:rsid w:val="00071009"/>
    <w:rsid w:val="00071041"/>
    <w:rsid w:val="0007106A"/>
    <w:rsid w:val="0007128E"/>
    <w:rsid w:val="000712B8"/>
    <w:rsid w:val="000712E7"/>
    <w:rsid w:val="0007130A"/>
    <w:rsid w:val="000714B8"/>
    <w:rsid w:val="000715B1"/>
    <w:rsid w:val="00071740"/>
    <w:rsid w:val="00071769"/>
    <w:rsid w:val="00071782"/>
    <w:rsid w:val="00071825"/>
    <w:rsid w:val="000719D6"/>
    <w:rsid w:val="00071BD8"/>
    <w:rsid w:val="00071C71"/>
    <w:rsid w:val="00071D40"/>
    <w:rsid w:val="00071E34"/>
    <w:rsid w:val="00071F60"/>
    <w:rsid w:val="0007206C"/>
    <w:rsid w:val="00072182"/>
    <w:rsid w:val="0007219A"/>
    <w:rsid w:val="00072206"/>
    <w:rsid w:val="00072398"/>
    <w:rsid w:val="000724B5"/>
    <w:rsid w:val="000724B7"/>
    <w:rsid w:val="000724EC"/>
    <w:rsid w:val="00072534"/>
    <w:rsid w:val="000728BC"/>
    <w:rsid w:val="000728EA"/>
    <w:rsid w:val="00072976"/>
    <w:rsid w:val="000729F0"/>
    <w:rsid w:val="00072AA4"/>
    <w:rsid w:val="00072D8F"/>
    <w:rsid w:val="00072EEC"/>
    <w:rsid w:val="00072F4F"/>
    <w:rsid w:val="00073083"/>
    <w:rsid w:val="0007309C"/>
    <w:rsid w:val="0007318D"/>
    <w:rsid w:val="00073320"/>
    <w:rsid w:val="00073366"/>
    <w:rsid w:val="00073379"/>
    <w:rsid w:val="00073574"/>
    <w:rsid w:val="00073892"/>
    <w:rsid w:val="000738E7"/>
    <w:rsid w:val="00073908"/>
    <w:rsid w:val="00073BAB"/>
    <w:rsid w:val="00073BCF"/>
    <w:rsid w:val="00073CB5"/>
    <w:rsid w:val="00073D41"/>
    <w:rsid w:val="00073D5D"/>
    <w:rsid w:val="00073E1F"/>
    <w:rsid w:val="00073F64"/>
    <w:rsid w:val="0007400D"/>
    <w:rsid w:val="00074010"/>
    <w:rsid w:val="000740CD"/>
    <w:rsid w:val="00074164"/>
    <w:rsid w:val="00074166"/>
    <w:rsid w:val="00074187"/>
    <w:rsid w:val="000741B1"/>
    <w:rsid w:val="000741F9"/>
    <w:rsid w:val="00074232"/>
    <w:rsid w:val="00074292"/>
    <w:rsid w:val="000742F4"/>
    <w:rsid w:val="0007433E"/>
    <w:rsid w:val="00074357"/>
    <w:rsid w:val="000745CD"/>
    <w:rsid w:val="000745E2"/>
    <w:rsid w:val="0007462D"/>
    <w:rsid w:val="0007471E"/>
    <w:rsid w:val="000747EF"/>
    <w:rsid w:val="00074972"/>
    <w:rsid w:val="00074A66"/>
    <w:rsid w:val="00074AA0"/>
    <w:rsid w:val="00074BCD"/>
    <w:rsid w:val="00074BFA"/>
    <w:rsid w:val="00074C86"/>
    <w:rsid w:val="00074D1A"/>
    <w:rsid w:val="00074D21"/>
    <w:rsid w:val="00075287"/>
    <w:rsid w:val="000753F7"/>
    <w:rsid w:val="0007542D"/>
    <w:rsid w:val="000754B2"/>
    <w:rsid w:val="00075662"/>
    <w:rsid w:val="0007572F"/>
    <w:rsid w:val="00075A07"/>
    <w:rsid w:val="00075A9A"/>
    <w:rsid w:val="00075B8C"/>
    <w:rsid w:val="00075DB8"/>
    <w:rsid w:val="00075E40"/>
    <w:rsid w:val="00075EF1"/>
    <w:rsid w:val="00075EF6"/>
    <w:rsid w:val="00076003"/>
    <w:rsid w:val="0007603F"/>
    <w:rsid w:val="0007613C"/>
    <w:rsid w:val="0007617D"/>
    <w:rsid w:val="000762FF"/>
    <w:rsid w:val="000765D8"/>
    <w:rsid w:val="00076677"/>
    <w:rsid w:val="000766F1"/>
    <w:rsid w:val="000768DE"/>
    <w:rsid w:val="00076B6A"/>
    <w:rsid w:val="00076C8D"/>
    <w:rsid w:val="00076CA2"/>
    <w:rsid w:val="00076CDC"/>
    <w:rsid w:val="000770A6"/>
    <w:rsid w:val="000770AD"/>
    <w:rsid w:val="00077267"/>
    <w:rsid w:val="000772A5"/>
    <w:rsid w:val="00077348"/>
    <w:rsid w:val="000773AC"/>
    <w:rsid w:val="00077454"/>
    <w:rsid w:val="0007759A"/>
    <w:rsid w:val="0007776D"/>
    <w:rsid w:val="00077799"/>
    <w:rsid w:val="000777E5"/>
    <w:rsid w:val="00077862"/>
    <w:rsid w:val="000778AE"/>
    <w:rsid w:val="000778D4"/>
    <w:rsid w:val="000778FB"/>
    <w:rsid w:val="00077974"/>
    <w:rsid w:val="000779A2"/>
    <w:rsid w:val="000779B2"/>
    <w:rsid w:val="00077A87"/>
    <w:rsid w:val="00077B87"/>
    <w:rsid w:val="00077C9C"/>
    <w:rsid w:val="00077D86"/>
    <w:rsid w:val="00077FC4"/>
    <w:rsid w:val="000800E5"/>
    <w:rsid w:val="00080185"/>
    <w:rsid w:val="000803DE"/>
    <w:rsid w:val="00080577"/>
    <w:rsid w:val="00080582"/>
    <w:rsid w:val="0008059F"/>
    <w:rsid w:val="0008064A"/>
    <w:rsid w:val="0008065D"/>
    <w:rsid w:val="000806CC"/>
    <w:rsid w:val="000806D6"/>
    <w:rsid w:val="00080872"/>
    <w:rsid w:val="0008094E"/>
    <w:rsid w:val="000809A5"/>
    <w:rsid w:val="00080A53"/>
    <w:rsid w:val="00080AF6"/>
    <w:rsid w:val="00080B76"/>
    <w:rsid w:val="00080C64"/>
    <w:rsid w:val="00080D97"/>
    <w:rsid w:val="00080E00"/>
    <w:rsid w:val="00080E91"/>
    <w:rsid w:val="00080E9D"/>
    <w:rsid w:val="0008100D"/>
    <w:rsid w:val="000812FA"/>
    <w:rsid w:val="00081303"/>
    <w:rsid w:val="0008165D"/>
    <w:rsid w:val="00081660"/>
    <w:rsid w:val="00081677"/>
    <w:rsid w:val="000816B7"/>
    <w:rsid w:val="000816F0"/>
    <w:rsid w:val="00081723"/>
    <w:rsid w:val="000818F4"/>
    <w:rsid w:val="00081923"/>
    <w:rsid w:val="000819E8"/>
    <w:rsid w:val="00081ACA"/>
    <w:rsid w:val="00081BA3"/>
    <w:rsid w:val="00081C52"/>
    <w:rsid w:val="00081C89"/>
    <w:rsid w:val="00081CDC"/>
    <w:rsid w:val="00081E31"/>
    <w:rsid w:val="00081F70"/>
    <w:rsid w:val="00081FC0"/>
    <w:rsid w:val="00081FED"/>
    <w:rsid w:val="00082020"/>
    <w:rsid w:val="0008209C"/>
    <w:rsid w:val="000820FD"/>
    <w:rsid w:val="00082380"/>
    <w:rsid w:val="0008251B"/>
    <w:rsid w:val="000825EB"/>
    <w:rsid w:val="000826FF"/>
    <w:rsid w:val="00082819"/>
    <w:rsid w:val="00082846"/>
    <w:rsid w:val="0008287E"/>
    <w:rsid w:val="00082905"/>
    <w:rsid w:val="000829CB"/>
    <w:rsid w:val="00082AA7"/>
    <w:rsid w:val="00082B67"/>
    <w:rsid w:val="00082B9B"/>
    <w:rsid w:val="00082BC3"/>
    <w:rsid w:val="00082D81"/>
    <w:rsid w:val="00082EAE"/>
    <w:rsid w:val="00082EC6"/>
    <w:rsid w:val="00082FD2"/>
    <w:rsid w:val="00083014"/>
    <w:rsid w:val="000830BA"/>
    <w:rsid w:val="000830D8"/>
    <w:rsid w:val="00083255"/>
    <w:rsid w:val="000832B2"/>
    <w:rsid w:val="00083361"/>
    <w:rsid w:val="000833FD"/>
    <w:rsid w:val="00083435"/>
    <w:rsid w:val="000834BC"/>
    <w:rsid w:val="000834C6"/>
    <w:rsid w:val="000836BC"/>
    <w:rsid w:val="0008375D"/>
    <w:rsid w:val="00083762"/>
    <w:rsid w:val="00083805"/>
    <w:rsid w:val="00083869"/>
    <w:rsid w:val="0008390A"/>
    <w:rsid w:val="00083A20"/>
    <w:rsid w:val="00083A8E"/>
    <w:rsid w:val="00083BD4"/>
    <w:rsid w:val="00083DE7"/>
    <w:rsid w:val="00083EA9"/>
    <w:rsid w:val="00083EE1"/>
    <w:rsid w:val="000841FF"/>
    <w:rsid w:val="00084335"/>
    <w:rsid w:val="000843AE"/>
    <w:rsid w:val="0008448F"/>
    <w:rsid w:val="0008456D"/>
    <w:rsid w:val="00084822"/>
    <w:rsid w:val="00084882"/>
    <w:rsid w:val="0008492E"/>
    <w:rsid w:val="00084A1A"/>
    <w:rsid w:val="00084A2B"/>
    <w:rsid w:val="00084A54"/>
    <w:rsid w:val="00084AA1"/>
    <w:rsid w:val="00084BD7"/>
    <w:rsid w:val="00084D24"/>
    <w:rsid w:val="00084E53"/>
    <w:rsid w:val="00084EEE"/>
    <w:rsid w:val="00084F89"/>
    <w:rsid w:val="00084FEE"/>
    <w:rsid w:val="0008513D"/>
    <w:rsid w:val="0008519F"/>
    <w:rsid w:val="00085277"/>
    <w:rsid w:val="000852BA"/>
    <w:rsid w:val="0008531D"/>
    <w:rsid w:val="00085320"/>
    <w:rsid w:val="00085325"/>
    <w:rsid w:val="00085380"/>
    <w:rsid w:val="000853E6"/>
    <w:rsid w:val="0008541B"/>
    <w:rsid w:val="0008544A"/>
    <w:rsid w:val="0008556D"/>
    <w:rsid w:val="000855B2"/>
    <w:rsid w:val="000855DD"/>
    <w:rsid w:val="00085690"/>
    <w:rsid w:val="000856C9"/>
    <w:rsid w:val="0008588A"/>
    <w:rsid w:val="00085977"/>
    <w:rsid w:val="00085A77"/>
    <w:rsid w:val="00085AE0"/>
    <w:rsid w:val="00085B03"/>
    <w:rsid w:val="00085B7A"/>
    <w:rsid w:val="00085BC9"/>
    <w:rsid w:val="00085BED"/>
    <w:rsid w:val="00085BFF"/>
    <w:rsid w:val="00085C27"/>
    <w:rsid w:val="00085DB1"/>
    <w:rsid w:val="00085F0C"/>
    <w:rsid w:val="00085F42"/>
    <w:rsid w:val="00086048"/>
    <w:rsid w:val="0008605A"/>
    <w:rsid w:val="000861C6"/>
    <w:rsid w:val="000862E6"/>
    <w:rsid w:val="000862E8"/>
    <w:rsid w:val="000862F1"/>
    <w:rsid w:val="00086449"/>
    <w:rsid w:val="00086493"/>
    <w:rsid w:val="0008661E"/>
    <w:rsid w:val="000866FB"/>
    <w:rsid w:val="00086A00"/>
    <w:rsid w:val="00086B65"/>
    <w:rsid w:val="00086C09"/>
    <w:rsid w:val="00086C13"/>
    <w:rsid w:val="00087073"/>
    <w:rsid w:val="00087323"/>
    <w:rsid w:val="00087414"/>
    <w:rsid w:val="000874EF"/>
    <w:rsid w:val="000876ED"/>
    <w:rsid w:val="00087713"/>
    <w:rsid w:val="000877BD"/>
    <w:rsid w:val="000877D1"/>
    <w:rsid w:val="00087887"/>
    <w:rsid w:val="00087892"/>
    <w:rsid w:val="000878AC"/>
    <w:rsid w:val="000878FF"/>
    <w:rsid w:val="000879CA"/>
    <w:rsid w:val="00087AD0"/>
    <w:rsid w:val="00087B01"/>
    <w:rsid w:val="00087BB9"/>
    <w:rsid w:val="00087BF2"/>
    <w:rsid w:val="00087D44"/>
    <w:rsid w:val="00087D66"/>
    <w:rsid w:val="00087EAB"/>
    <w:rsid w:val="00087EE5"/>
    <w:rsid w:val="0009001E"/>
    <w:rsid w:val="000900CB"/>
    <w:rsid w:val="00090142"/>
    <w:rsid w:val="00090151"/>
    <w:rsid w:val="00090218"/>
    <w:rsid w:val="00090240"/>
    <w:rsid w:val="000904AF"/>
    <w:rsid w:val="000904D5"/>
    <w:rsid w:val="0009052C"/>
    <w:rsid w:val="0009054D"/>
    <w:rsid w:val="0009055F"/>
    <w:rsid w:val="0009060C"/>
    <w:rsid w:val="000906E2"/>
    <w:rsid w:val="00090714"/>
    <w:rsid w:val="00090B6F"/>
    <w:rsid w:val="00090CED"/>
    <w:rsid w:val="00090CFE"/>
    <w:rsid w:val="00090E6C"/>
    <w:rsid w:val="00090EBC"/>
    <w:rsid w:val="00090F57"/>
    <w:rsid w:val="00091018"/>
    <w:rsid w:val="000911BC"/>
    <w:rsid w:val="000912F0"/>
    <w:rsid w:val="00091344"/>
    <w:rsid w:val="00091496"/>
    <w:rsid w:val="00091528"/>
    <w:rsid w:val="0009152F"/>
    <w:rsid w:val="000915E2"/>
    <w:rsid w:val="000915EA"/>
    <w:rsid w:val="00091637"/>
    <w:rsid w:val="0009164A"/>
    <w:rsid w:val="00091688"/>
    <w:rsid w:val="00091A02"/>
    <w:rsid w:val="00091A13"/>
    <w:rsid w:val="00091AF8"/>
    <w:rsid w:val="00091BB5"/>
    <w:rsid w:val="00091C07"/>
    <w:rsid w:val="00091E1C"/>
    <w:rsid w:val="00091E49"/>
    <w:rsid w:val="00091EE1"/>
    <w:rsid w:val="000920BB"/>
    <w:rsid w:val="000921EC"/>
    <w:rsid w:val="00092241"/>
    <w:rsid w:val="000922AA"/>
    <w:rsid w:val="00092348"/>
    <w:rsid w:val="00092481"/>
    <w:rsid w:val="0009248E"/>
    <w:rsid w:val="0009253E"/>
    <w:rsid w:val="0009257E"/>
    <w:rsid w:val="00092846"/>
    <w:rsid w:val="0009293F"/>
    <w:rsid w:val="00092AD6"/>
    <w:rsid w:val="00092AFC"/>
    <w:rsid w:val="00092B9A"/>
    <w:rsid w:val="00092C6D"/>
    <w:rsid w:val="00092CC4"/>
    <w:rsid w:val="00092CE0"/>
    <w:rsid w:val="00092D87"/>
    <w:rsid w:val="00092DCE"/>
    <w:rsid w:val="00092DE6"/>
    <w:rsid w:val="00092E1A"/>
    <w:rsid w:val="00092E45"/>
    <w:rsid w:val="00092E54"/>
    <w:rsid w:val="00092EE7"/>
    <w:rsid w:val="00092F25"/>
    <w:rsid w:val="00092F91"/>
    <w:rsid w:val="0009313C"/>
    <w:rsid w:val="00093216"/>
    <w:rsid w:val="0009323C"/>
    <w:rsid w:val="0009323D"/>
    <w:rsid w:val="00093279"/>
    <w:rsid w:val="00093294"/>
    <w:rsid w:val="000932A9"/>
    <w:rsid w:val="0009353B"/>
    <w:rsid w:val="00093578"/>
    <w:rsid w:val="00093673"/>
    <w:rsid w:val="000938A0"/>
    <w:rsid w:val="0009392D"/>
    <w:rsid w:val="00093A0E"/>
    <w:rsid w:val="00093AD3"/>
    <w:rsid w:val="00093BD5"/>
    <w:rsid w:val="00093CB0"/>
    <w:rsid w:val="00093F41"/>
    <w:rsid w:val="00094074"/>
    <w:rsid w:val="00094118"/>
    <w:rsid w:val="00094272"/>
    <w:rsid w:val="000942D4"/>
    <w:rsid w:val="00094355"/>
    <w:rsid w:val="00094382"/>
    <w:rsid w:val="00094419"/>
    <w:rsid w:val="00094511"/>
    <w:rsid w:val="00094530"/>
    <w:rsid w:val="00094549"/>
    <w:rsid w:val="00094747"/>
    <w:rsid w:val="0009475F"/>
    <w:rsid w:val="000949C5"/>
    <w:rsid w:val="00094A2F"/>
    <w:rsid w:val="00094A9D"/>
    <w:rsid w:val="00094AA7"/>
    <w:rsid w:val="00094AB3"/>
    <w:rsid w:val="00094B7B"/>
    <w:rsid w:val="00094BFB"/>
    <w:rsid w:val="00094C17"/>
    <w:rsid w:val="00094C28"/>
    <w:rsid w:val="00094CDA"/>
    <w:rsid w:val="00094D03"/>
    <w:rsid w:val="00094D56"/>
    <w:rsid w:val="00094EF1"/>
    <w:rsid w:val="0009533E"/>
    <w:rsid w:val="000953ED"/>
    <w:rsid w:val="00095618"/>
    <w:rsid w:val="000956B8"/>
    <w:rsid w:val="000957AD"/>
    <w:rsid w:val="0009585B"/>
    <w:rsid w:val="000958AF"/>
    <w:rsid w:val="000959AD"/>
    <w:rsid w:val="00095B34"/>
    <w:rsid w:val="00095BB7"/>
    <w:rsid w:val="00095BC9"/>
    <w:rsid w:val="00095BDC"/>
    <w:rsid w:val="00095C24"/>
    <w:rsid w:val="00095C25"/>
    <w:rsid w:val="00095E49"/>
    <w:rsid w:val="00095E71"/>
    <w:rsid w:val="000960CE"/>
    <w:rsid w:val="0009618A"/>
    <w:rsid w:val="000961CA"/>
    <w:rsid w:val="000962A3"/>
    <w:rsid w:val="000962AC"/>
    <w:rsid w:val="000962C2"/>
    <w:rsid w:val="00096422"/>
    <w:rsid w:val="00096455"/>
    <w:rsid w:val="00096582"/>
    <w:rsid w:val="000965D8"/>
    <w:rsid w:val="0009669F"/>
    <w:rsid w:val="0009679C"/>
    <w:rsid w:val="00096826"/>
    <w:rsid w:val="000968CF"/>
    <w:rsid w:val="0009692B"/>
    <w:rsid w:val="00096948"/>
    <w:rsid w:val="00096B04"/>
    <w:rsid w:val="00096B8C"/>
    <w:rsid w:val="00096BE5"/>
    <w:rsid w:val="00096C0D"/>
    <w:rsid w:val="00096D2D"/>
    <w:rsid w:val="00096E91"/>
    <w:rsid w:val="00096EA4"/>
    <w:rsid w:val="00096FF0"/>
    <w:rsid w:val="0009705B"/>
    <w:rsid w:val="0009724D"/>
    <w:rsid w:val="00097418"/>
    <w:rsid w:val="0009741D"/>
    <w:rsid w:val="00097429"/>
    <w:rsid w:val="0009757E"/>
    <w:rsid w:val="00097657"/>
    <w:rsid w:val="00097752"/>
    <w:rsid w:val="000979CF"/>
    <w:rsid w:val="00097A38"/>
    <w:rsid w:val="00097B18"/>
    <w:rsid w:val="00097C2C"/>
    <w:rsid w:val="00097D52"/>
    <w:rsid w:val="00097DB9"/>
    <w:rsid w:val="00097DF8"/>
    <w:rsid w:val="00097E38"/>
    <w:rsid w:val="00097F52"/>
    <w:rsid w:val="00097F65"/>
    <w:rsid w:val="00097F73"/>
    <w:rsid w:val="000A0004"/>
    <w:rsid w:val="000A007F"/>
    <w:rsid w:val="000A008B"/>
    <w:rsid w:val="000A0267"/>
    <w:rsid w:val="000A0287"/>
    <w:rsid w:val="000A0348"/>
    <w:rsid w:val="000A03BB"/>
    <w:rsid w:val="000A063A"/>
    <w:rsid w:val="000A06D6"/>
    <w:rsid w:val="000A0792"/>
    <w:rsid w:val="000A07B6"/>
    <w:rsid w:val="000A07C3"/>
    <w:rsid w:val="000A07E2"/>
    <w:rsid w:val="000A0916"/>
    <w:rsid w:val="000A0944"/>
    <w:rsid w:val="000A0A32"/>
    <w:rsid w:val="000A0BE3"/>
    <w:rsid w:val="000A0CB5"/>
    <w:rsid w:val="000A0D1D"/>
    <w:rsid w:val="000A0D53"/>
    <w:rsid w:val="000A0D5A"/>
    <w:rsid w:val="000A102A"/>
    <w:rsid w:val="000A12C6"/>
    <w:rsid w:val="000A1331"/>
    <w:rsid w:val="000A13B8"/>
    <w:rsid w:val="000A1443"/>
    <w:rsid w:val="000A144D"/>
    <w:rsid w:val="000A14AF"/>
    <w:rsid w:val="000A14C0"/>
    <w:rsid w:val="000A14CC"/>
    <w:rsid w:val="000A15EE"/>
    <w:rsid w:val="000A163E"/>
    <w:rsid w:val="000A1777"/>
    <w:rsid w:val="000A1886"/>
    <w:rsid w:val="000A18D7"/>
    <w:rsid w:val="000A1AE1"/>
    <w:rsid w:val="000A1B39"/>
    <w:rsid w:val="000A1C80"/>
    <w:rsid w:val="000A1D8A"/>
    <w:rsid w:val="000A1DD0"/>
    <w:rsid w:val="000A1E33"/>
    <w:rsid w:val="000A1FA6"/>
    <w:rsid w:val="000A2111"/>
    <w:rsid w:val="000A227B"/>
    <w:rsid w:val="000A2285"/>
    <w:rsid w:val="000A22FD"/>
    <w:rsid w:val="000A23DE"/>
    <w:rsid w:val="000A2430"/>
    <w:rsid w:val="000A24F1"/>
    <w:rsid w:val="000A252B"/>
    <w:rsid w:val="000A2548"/>
    <w:rsid w:val="000A2564"/>
    <w:rsid w:val="000A264A"/>
    <w:rsid w:val="000A2690"/>
    <w:rsid w:val="000A27B6"/>
    <w:rsid w:val="000A2824"/>
    <w:rsid w:val="000A2827"/>
    <w:rsid w:val="000A2905"/>
    <w:rsid w:val="000A29CF"/>
    <w:rsid w:val="000A29D5"/>
    <w:rsid w:val="000A2A00"/>
    <w:rsid w:val="000A2AEE"/>
    <w:rsid w:val="000A2CB8"/>
    <w:rsid w:val="000A2CD9"/>
    <w:rsid w:val="000A2D1E"/>
    <w:rsid w:val="000A2D8E"/>
    <w:rsid w:val="000A2DC9"/>
    <w:rsid w:val="000A2E0E"/>
    <w:rsid w:val="000A2F0E"/>
    <w:rsid w:val="000A302E"/>
    <w:rsid w:val="000A30DB"/>
    <w:rsid w:val="000A31F4"/>
    <w:rsid w:val="000A33F2"/>
    <w:rsid w:val="000A345A"/>
    <w:rsid w:val="000A350E"/>
    <w:rsid w:val="000A3561"/>
    <w:rsid w:val="000A35BA"/>
    <w:rsid w:val="000A36EA"/>
    <w:rsid w:val="000A37AB"/>
    <w:rsid w:val="000A3844"/>
    <w:rsid w:val="000A38D0"/>
    <w:rsid w:val="000A390C"/>
    <w:rsid w:val="000A3A2F"/>
    <w:rsid w:val="000A3AA1"/>
    <w:rsid w:val="000A3B57"/>
    <w:rsid w:val="000A3B88"/>
    <w:rsid w:val="000A3E2C"/>
    <w:rsid w:val="000A3F68"/>
    <w:rsid w:val="000A3F76"/>
    <w:rsid w:val="000A40A7"/>
    <w:rsid w:val="000A40E9"/>
    <w:rsid w:val="000A40F4"/>
    <w:rsid w:val="000A4292"/>
    <w:rsid w:val="000A429D"/>
    <w:rsid w:val="000A42FB"/>
    <w:rsid w:val="000A43A2"/>
    <w:rsid w:val="000A43FF"/>
    <w:rsid w:val="000A46C3"/>
    <w:rsid w:val="000A4812"/>
    <w:rsid w:val="000A48C7"/>
    <w:rsid w:val="000A48CE"/>
    <w:rsid w:val="000A49CB"/>
    <w:rsid w:val="000A4A18"/>
    <w:rsid w:val="000A4BF4"/>
    <w:rsid w:val="000A4C79"/>
    <w:rsid w:val="000A4CB1"/>
    <w:rsid w:val="000A4E1D"/>
    <w:rsid w:val="000A4E5D"/>
    <w:rsid w:val="000A4E9C"/>
    <w:rsid w:val="000A4EC2"/>
    <w:rsid w:val="000A4EF3"/>
    <w:rsid w:val="000A4F53"/>
    <w:rsid w:val="000A505D"/>
    <w:rsid w:val="000A50C6"/>
    <w:rsid w:val="000A522E"/>
    <w:rsid w:val="000A524E"/>
    <w:rsid w:val="000A5264"/>
    <w:rsid w:val="000A5287"/>
    <w:rsid w:val="000A5304"/>
    <w:rsid w:val="000A5351"/>
    <w:rsid w:val="000A5353"/>
    <w:rsid w:val="000A53B2"/>
    <w:rsid w:val="000A53F8"/>
    <w:rsid w:val="000A556B"/>
    <w:rsid w:val="000A5620"/>
    <w:rsid w:val="000A5689"/>
    <w:rsid w:val="000A56C8"/>
    <w:rsid w:val="000A56E2"/>
    <w:rsid w:val="000A5731"/>
    <w:rsid w:val="000A5739"/>
    <w:rsid w:val="000A590C"/>
    <w:rsid w:val="000A59A9"/>
    <w:rsid w:val="000A59BF"/>
    <w:rsid w:val="000A5A2E"/>
    <w:rsid w:val="000A5C68"/>
    <w:rsid w:val="000A5D87"/>
    <w:rsid w:val="000A5E2B"/>
    <w:rsid w:val="000A5F0F"/>
    <w:rsid w:val="000A60C0"/>
    <w:rsid w:val="000A61A9"/>
    <w:rsid w:val="000A6223"/>
    <w:rsid w:val="000A6230"/>
    <w:rsid w:val="000A638F"/>
    <w:rsid w:val="000A645B"/>
    <w:rsid w:val="000A6548"/>
    <w:rsid w:val="000A6785"/>
    <w:rsid w:val="000A67A6"/>
    <w:rsid w:val="000A67FD"/>
    <w:rsid w:val="000A68EB"/>
    <w:rsid w:val="000A69B8"/>
    <w:rsid w:val="000A6BF1"/>
    <w:rsid w:val="000A6C5C"/>
    <w:rsid w:val="000A6DD3"/>
    <w:rsid w:val="000A6DE3"/>
    <w:rsid w:val="000A6E19"/>
    <w:rsid w:val="000A6E2E"/>
    <w:rsid w:val="000A6F0A"/>
    <w:rsid w:val="000A703E"/>
    <w:rsid w:val="000A716E"/>
    <w:rsid w:val="000A7216"/>
    <w:rsid w:val="000A722B"/>
    <w:rsid w:val="000A728A"/>
    <w:rsid w:val="000A72CC"/>
    <w:rsid w:val="000A72FD"/>
    <w:rsid w:val="000A7420"/>
    <w:rsid w:val="000A7422"/>
    <w:rsid w:val="000A745A"/>
    <w:rsid w:val="000A74C0"/>
    <w:rsid w:val="000A7606"/>
    <w:rsid w:val="000A76C3"/>
    <w:rsid w:val="000A7782"/>
    <w:rsid w:val="000A778E"/>
    <w:rsid w:val="000A77B8"/>
    <w:rsid w:val="000A789C"/>
    <w:rsid w:val="000A78AF"/>
    <w:rsid w:val="000A78B3"/>
    <w:rsid w:val="000A7B10"/>
    <w:rsid w:val="000A7B18"/>
    <w:rsid w:val="000A7B47"/>
    <w:rsid w:val="000A7B53"/>
    <w:rsid w:val="000A7B6C"/>
    <w:rsid w:val="000A7B82"/>
    <w:rsid w:val="000A7B85"/>
    <w:rsid w:val="000A7C0D"/>
    <w:rsid w:val="000A7C53"/>
    <w:rsid w:val="000A7CB6"/>
    <w:rsid w:val="000A7CBB"/>
    <w:rsid w:val="000A7DCC"/>
    <w:rsid w:val="000A7E39"/>
    <w:rsid w:val="000A7EE2"/>
    <w:rsid w:val="000A7FFA"/>
    <w:rsid w:val="000B0084"/>
    <w:rsid w:val="000B009E"/>
    <w:rsid w:val="000B0133"/>
    <w:rsid w:val="000B0205"/>
    <w:rsid w:val="000B02FA"/>
    <w:rsid w:val="000B03AA"/>
    <w:rsid w:val="000B044A"/>
    <w:rsid w:val="000B0582"/>
    <w:rsid w:val="000B05A3"/>
    <w:rsid w:val="000B0651"/>
    <w:rsid w:val="000B0763"/>
    <w:rsid w:val="000B0797"/>
    <w:rsid w:val="000B081F"/>
    <w:rsid w:val="000B0877"/>
    <w:rsid w:val="000B0892"/>
    <w:rsid w:val="000B0ACF"/>
    <w:rsid w:val="000B10D4"/>
    <w:rsid w:val="000B115C"/>
    <w:rsid w:val="000B11BE"/>
    <w:rsid w:val="000B1265"/>
    <w:rsid w:val="000B12CB"/>
    <w:rsid w:val="000B1364"/>
    <w:rsid w:val="000B1392"/>
    <w:rsid w:val="000B13F6"/>
    <w:rsid w:val="000B14EA"/>
    <w:rsid w:val="000B1542"/>
    <w:rsid w:val="000B156B"/>
    <w:rsid w:val="000B15F3"/>
    <w:rsid w:val="000B1673"/>
    <w:rsid w:val="000B1776"/>
    <w:rsid w:val="000B180C"/>
    <w:rsid w:val="000B1858"/>
    <w:rsid w:val="000B1A95"/>
    <w:rsid w:val="000B1AE7"/>
    <w:rsid w:val="000B1B47"/>
    <w:rsid w:val="000B1B60"/>
    <w:rsid w:val="000B1B8B"/>
    <w:rsid w:val="000B1C40"/>
    <w:rsid w:val="000B1C54"/>
    <w:rsid w:val="000B1F5F"/>
    <w:rsid w:val="000B1F8D"/>
    <w:rsid w:val="000B2061"/>
    <w:rsid w:val="000B2085"/>
    <w:rsid w:val="000B2116"/>
    <w:rsid w:val="000B21E5"/>
    <w:rsid w:val="000B22B7"/>
    <w:rsid w:val="000B22BE"/>
    <w:rsid w:val="000B23F7"/>
    <w:rsid w:val="000B244E"/>
    <w:rsid w:val="000B250F"/>
    <w:rsid w:val="000B2564"/>
    <w:rsid w:val="000B2575"/>
    <w:rsid w:val="000B258A"/>
    <w:rsid w:val="000B2648"/>
    <w:rsid w:val="000B27C4"/>
    <w:rsid w:val="000B281A"/>
    <w:rsid w:val="000B2820"/>
    <w:rsid w:val="000B2893"/>
    <w:rsid w:val="000B28C1"/>
    <w:rsid w:val="000B293E"/>
    <w:rsid w:val="000B2A61"/>
    <w:rsid w:val="000B2B9F"/>
    <w:rsid w:val="000B2C64"/>
    <w:rsid w:val="000B2DC6"/>
    <w:rsid w:val="000B2E57"/>
    <w:rsid w:val="000B2E60"/>
    <w:rsid w:val="000B2FC2"/>
    <w:rsid w:val="000B3132"/>
    <w:rsid w:val="000B3212"/>
    <w:rsid w:val="000B328A"/>
    <w:rsid w:val="000B3370"/>
    <w:rsid w:val="000B33AF"/>
    <w:rsid w:val="000B33C5"/>
    <w:rsid w:val="000B34AC"/>
    <w:rsid w:val="000B363F"/>
    <w:rsid w:val="000B37D6"/>
    <w:rsid w:val="000B3884"/>
    <w:rsid w:val="000B3928"/>
    <w:rsid w:val="000B3A08"/>
    <w:rsid w:val="000B3B17"/>
    <w:rsid w:val="000B3B9C"/>
    <w:rsid w:val="000B3BB5"/>
    <w:rsid w:val="000B3BEB"/>
    <w:rsid w:val="000B3C00"/>
    <w:rsid w:val="000B3C49"/>
    <w:rsid w:val="000B3C86"/>
    <w:rsid w:val="000B3C88"/>
    <w:rsid w:val="000B407E"/>
    <w:rsid w:val="000B40A9"/>
    <w:rsid w:val="000B40D2"/>
    <w:rsid w:val="000B42C4"/>
    <w:rsid w:val="000B42D2"/>
    <w:rsid w:val="000B431C"/>
    <w:rsid w:val="000B44AC"/>
    <w:rsid w:val="000B44EB"/>
    <w:rsid w:val="000B4563"/>
    <w:rsid w:val="000B45A2"/>
    <w:rsid w:val="000B46C6"/>
    <w:rsid w:val="000B4735"/>
    <w:rsid w:val="000B47D5"/>
    <w:rsid w:val="000B47E0"/>
    <w:rsid w:val="000B4825"/>
    <w:rsid w:val="000B48A2"/>
    <w:rsid w:val="000B48ED"/>
    <w:rsid w:val="000B4996"/>
    <w:rsid w:val="000B4B2B"/>
    <w:rsid w:val="000B4BF9"/>
    <w:rsid w:val="000B4C71"/>
    <w:rsid w:val="000B4CB8"/>
    <w:rsid w:val="000B501A"/>
    <w:rsid w:val="000B5041"/>
    <w:rsid w:val="000B5050"/>
    <w:rsid w:val="000B506A"/>
    <w:rsid w:val="000B50DB"/>
    <w:rsid w:val="000B5120"/>
    <w:rsid w:val="000B51AF"/>
    <w:rsid w:val="000B51C5"/>
    <w:rsid w:val="000B5288"/>
    <w:rsid w:val="000B52B2"/>
    <w:rsid w:val="000B5400"/>
    <w:rsid w:val="000B547C"/>
    <w:rsid w:val="000B5505"/>
    <w:rsid w:val="000B5524"/>
    <w:rsid w:val="000B56A3"/>
    <w:rsid w:val="000B5814"/>
    <w:rsid w:val="000B59D0"/>
    <w:rsid w:val="000B5AB2"/>
    <w:rsid w:val="000B5CF0"/>
    <w:rsid w:val="000B5D23"/>
    <w:rsid w:val="000B5E14"/>
    <w:rsid w:val="000B5E55"/>
    <w:rsid w:val="000B5EC9"/>
    <w:rsid w:val="000B6094"/>
    <w:rsid w:val="000B60F5"/>
    <w:rsid w:val="000B62E5"/>
    <w:rsid w:val="000B62E8"/>
    <w:rsid w:val="000B6478"/>
    <w:rsid w:val="000B6497"/>
    <w:rsid w:val="000B6515"/>
    <w:rsid w:val="000B6564"/>
    <w:rsid w:val="000B656D"/>
    <w:rsid w:val="000B6685"/>
    <w:rsid w:val="000B6713"/>
    <w:rsid w:val="000B6755"/>
    <w:rsid w:val="000B68CB"/>
    <w:rsid w:val="000B68F5"/>
    <w:rsid w:val="000B691A"/>
    <w:rsid w:val="000B69B6"/>
    <w:rsid w:val="000B6A4E"/>
    <w:rsid w:val="000B6B8E"/>
    <w:rsid w:val="000B6B8F"/>
    <w:rsid w:val="000B6BA4"/>
    <w:rsid w:val="000B6C0E"/>
    <w:rsid w:val="000B6C75"/>
    <w:rsid w:val="000B7021"/>
    <w:rsid w:val="000B703E"/>
    <w:rsid w:val="000B707C"/>
    <w:rsid w:val="000B70D8"/>
    <w:rsid w:val="000B715E"/>
    <w:rsid w:val="000B726F"/>
    <w:rsid w:val="000B72BE"/>
    <w:rsid w:val="000B73A9"/>
    <w:rsid w:val="000B746B"/>
    <w:rsid w:val="000B7520"/>
    <w:rsid w:val="000B75B4"/>
    <w:rsid w:val="000B75DE"/>
    <w:rsid w:val="000B7645"/>
    <w:rsid w:val="000B77B5"/>
    <w:rsid w:val="000B782E"/>
    <w:rsid w:val="000B7889"/>
    <w:rsid w:val="000B78E1"/>
    <w:rsid w:val="000B7A47"/>
    <w:rsid w:val="000B7A54"/>
    <w:rsid w:val="000B7B68"/>
    <w:rsid w:val="000B7BCD"/>
    <w:rsid w:val="000B7C99"/>
    <w:rsid w:val="000B7D5A"/>
    <w:rsid w:val="000B7E25"/>
    <w:rsid w:val="000B7E73"/>
    <w:rsid w:val="000B7ED6"/>
    <w:rsid w:val="000B7F23"/>
    <w:rsid w:val="000B7F4B"/>
    <w:rsid w:val="000B7FA6"/>
    <w:rsid w:val="000B7FBD"/>
    <w:rsid w:val="000C0234"/>
    <w:rsid w:val="000C0334"/>
    <w:rsid w:val="000C03AA"/>
    <w:rsid w:val="000C0461"/>
    <w:rsid w:val="000C0482"/>
    <w:rsid w:val="000C066B"/>
    <w:rsid w:val="000C0676"/>
    <w:rsid w:val="000C0678"/>
    <w:rsid w:val="000C0687"/>
    <w:rsid w:val="000C06A7"/>
    <w:rsid w:val="000C06F0"/>
    <w:rsid w:val="000C0733"/>
    <w:rsid w:val="000C0818"/>
    <w:rsid w:val="000C0856"/>
    <w:rsid w:val="000C097D"/>
    <w:rsid w:val="000C09FB"/>
    <w:rsid w:val="000C0A82"/>
    <w:rsid w:val="000C0AD8"/>
    <w:rsid w:val="000C0CF8"/>
    <w:rsid w:val="000C0DC3"/>
    <w:rsid w:val="000C0F91"/>
    <w:rsid w:val="000C0F9C"/>
    <w:rsid w:val="000C0FAD"/>
    <w:rsid w:val="000C0FCA"/>
    <w:rsid w:val="000C109E"/>
    <w:rsid w:val="000C1157"/>
    <w:rsid w:val="000C115B"/>
    <w:rsid w:val="000C1222"/>
    <w:rsid w:val="000C124B"/>
    <w:rsid w:val="000C1265"/>
    <w:rsid w:val="000C1388"/>
    <w:rsid w:val="000C160D"/>
    <w:rsid w:val="000C1614"/>
    <w:rsid w:val="000C16A6"/>
    <w:rsid w:val="000C17C1"/>
    <w:rsid w:val="000C1806"/>
    <w:rsid w:val="000C188D"/>
    <w:rsid w:val="000C199B"/>
    <w:rsid w:val="000C19A0"/>
    <w:rsid w:val="000C19EE"/>
    <w:rsid w:val="000C1C95"/>
    <w:rsid w:val="000C1CC6"/>
    <w:rsid w:val="000C1E04"/>
    <w:rsid w:val="000C1E44"/>
    <w:rsid w:val="000C1E55"/>
    <w:rsid w:val="000C1F85"/>
    <w:rsid w:val="000C2074"/>
    <w:rsid w:val="000C2179"/>
    <w:rsid w:val="000C2234"/>
    <w:rsid w:val="000C229E"/>
    <w:rsid w:val="000C2358"/>
    <w:rsid w:val="000C23B5"/>
    <w:rsid w:val="000C2468"/>
    <w:rsid w:val="000C2683"/>
    <w:rsid w:val="000C26A4"/>
    <w:rsid w:val="000C26E5"/>
    <w:rsid w:val="000C2749"/>
    <w:rsid w:val="000C27ED"/>
    <w:rsid w:val="000C296B"/>
    <w:rsid w:val="000C29BA"/>
    <w:rsid w:val="000C29DC"/>
    <w:rsid w:val="000C2A7F"/>
    <w:rsid w:val="000C2B68"/>
    <w:rsid w:val="000C2B70"/>
    <w:rsid w:val="000C2C70"/>
    <w:rsid w:val="000C2CED"/>
    <w:rsid w:val="000C2E57"/>
    <w:rsid w:val="000C2E97"/>
    <w:rsid w:val="000C2EC8"/>
    <w:rsid w:val="000C2F42"/>
    <w:rsid w:val="000C2FA0"/>
    <w:rsid w:val="000C3014"/>
    <w:rsid w:val="000C3046"/>
    <w:rsid w:val="000C304D"/>
    <w:rsid w:val="000C30EB"/>
    <w:rsid w:val="000C3121"/>
    <w:rsid w:val="000C3133"/>
    <w:rsid w:val="000C33B6"/>
    <w:rsid w:val="000C3482"/>
    <w:rsid w:val="000C3499"/>
    <w:rsid w:val="000C34EF"/>
    <w:rsid w:val="000C357D"/>
    <w:rsid w:val="000C35CB"/>
    <w:rsid w:val="000C3685"/>
    <w:rsid w:val="000C36A7"/>
    <w:rsid w:val="000C36AA"/>
    <w:rsid w:val="000C36B8"/>
    <w:rsid w:val="000C374B"/>
    <w:rsid w:val="000C37CF"/>
    <w:rsid w:val="000C391F"/>
    <w:rsid w:val="000C3A03"/>
    <w:rsid w:val="000C3A7A"/>
    <w:rsid w:val="000C3ACD"/>
    <w:rsid w:val="000C3B93"/>
    <w:rsid w:val="000C3BC9"/>
    <w:rsid w:val="000C3BD0"/>
    <w:rsid w:val="000C3BFF"/>
    <w:rsid w:val="000C3C20"/>
    <w:rsid w:val="000C3C58"/>
    <w:rsid w:val="000C3CCD"/>
    <w:rsid w:val="000C3CE8"/>
    <w:rsid w:val="000C3D82"/>
    <w:rsid w:val="000C3E22"/>
    <w:rsid w:val="000C3E47"/>
    <w:rsid w:val="000C3EAE"/>
    <w:rsid w:val="000C3EC7"/>
    <w:rsid w:val="000C3FDB"/>
    <w:rsid w:val="000C4126"/>
    <w:rsid w:val="000C41EC"/>
    <w:rsid w:val="000C434A"/>
    <w:rsid w:val="000C43E6"/>
    <w:rsid w:val="000C43F5"/>
    <w:rsid w:val="000C4464"/>
    <w:rsid w:val="000C4485"/>
    <w:rsid w:val="000C4566"/>
    <w:rsid w:val="000C4626"/>
    <w:rsid w:val="000C46FE"/>
    <w:rsid w:val="000C4777"/>
    <w:rsid w:val="000C4980"/>
    <w:rsid w:val="000C4AF8"/>
    <w:rsid w:val="000C4B4F"/>
    <w:rsid w:val="000C4BA3"/>
    <w:rsid w:val="000C4C1A"/>
    <w:rsid w:val="000C4C1E"/>
    <w:rsid w:val="000C4DD0"/>
    <w:rsid w:val="000C4E6D"/>
    <w:rsid w:val="000C4E8D"/>
    <w:rsid w:val="000C4ECA"/>
    <w:rsid w:val="000C5270"/>
    <w:rsid w:val="000C52EA"/>
    <w:rsid w:val="000C5475"/>
    <w:rsid w:val="000C5717"/>
    <w:rsid w:val="000C577E"/>
    <w:rsid w:val="000C5780"/>
    <w:rsid w:val="000C5863"/>
    <w:rsid w:val="000C58DB"/>
    <w:rsid w:val="000C5B31"/>
    <w:rsid w:val="000C5E9B"/>
    <w:rsid w:val="000C60AD"/>
    <w:rsid w:val="000C60D3"/>
    <w:rsid w:val="000C6101"/>
    <w:rsid w:val="000C61A8"/>
    <w:rsid w:val="000C61F7"/>
    <w:rsid w:val="000C630D"/>
    <w:rsid w:val="000C63C5"/>
    <w:rsid w:val="000C63FA"/>
    <w:rsid w:val="000C654F"/>
    <w:rsid w:val="000C65EB"/>
    <w:rsid w:val="000C66E4"/>
    <w:rsid w:val="000C66F5"/>
    <w:rsid w:val="000C67D8"/>
    <w:rsid w:val="000C67E8"/>
    <w:rsid w:val="000C6A0D"/>
    <w:rsid w:val="000C6AE3"/>
    <w:rsid w:val="000C6BED"/>
    <w:rsid w:val="000C6CD8"/>
    <w:rsid w:val="000C6DD7"/>
    <w:rsid w:val="000C6E75"/>
    <w:rsid w:val="000C6ED5"/>
    <w:rsid w:val="000C6FB4"/>
    <w:rsid w:val="000C7060"/>
    <w:rsid w:val="000C70B9"/>
    <w:rsid w:val="000C70BB"/>
    <w:rsid w:val="000C730C"/>
    <w:rsid w:val="000C73E9"/>
    <w:rsid w:val="000C7412"/>
    <w:rsid w:val="000C742E"/>
    <w:rsid w:val="000C7656"/>
    <w:rsid w:val="000C76D1"/>
    <w:rsid w:val="000C7737"/>
    <w:rsid w:val="000C789D"/>
    <w:rsid w:val="000C7A1A"/>
    <w:rsid w:val="000C7A46"/>
    <w:rsid w:val="000C7AA7"/>
    <w:rsid w:val="000C7C12"/>
    <w:rsid w:val="000C7C48"/>
    <w:rsid w:val="000C7C9C"/>
    <w:rsid w:val="000C7D18"/>
    <w:rsid w:val="000C7DA0"/>
    <w:rsid w:val="000C7DA8"/>
    <w:rsid w:val="000C7E88"/>
    <w:rsid w:val="000C7F82"/>
    <w:rsid w:val="000D0023"/>
    <w:rsid w:val="000D0052"/>
    <w:rsid w:val="000D0098"/>
    <w:rsid w:val="000D0171"/>
    <w:rsid w:val="000D01D2"/>
    <w:rsid w:val="000D02A4"/>
    <w:rsid w:val="000D02D7"/>
    <w:rsid w:val="000D0314"/>
    <w:rsid w:val="000D0326"/>
    <w:rsid w:val="000D0470"/>
    <w:rsid w:val="000D05CB"/>
    <w:rsid w:val="000D0631"/>
    <w:rsid w:val="000D0887"/>
    <w:rsid w:val="000D08D2"/>
    <w:rsid w:val="000D0921"/>
    <w:rsid w:val="000D095A"/>
    <w:rsid w:val="000D0A69"/>
    <w:rsid w:val="000D0B7D"/>
    <w:rsid w:val="000D0DD9"/>
    <w:rsid w:val="000D0E13"/>
    <w:rsid w:val="000D0E68"/>
    <w:rsid w:val="000D0E9D"/>
    <w:rsid w:val="000D0F08"/>
    <w:rsid w:val="000D0FB8"/>
    <w:rsid w:val="000D1063"/>
    <w:rsid w:val="000D1232"/>
    <w:rsid w:val="000D1254"/>
    <w:rsid w:val="000D143C"/>
    <w:rsid w:val="000D1486"/>
    <w:rsid w:val="000D148F"/>
    <w:rsid w:val="000D14C1"/>
    <w:rsid w:val="000D1558"/>
    <w:rsid w:val="000D15FF"/>
    <w:rsid w:val="000D161E"/>
    <w:rsid w:val="000D1744"/>
    <w:rsid w:val="000D1824"/>
    <w:rsid w:val="000D1865"/>
    <w:rsid w:val="000D18DF"/>
    <w:rsid w:val="000D18EC"/>
    <w:rsid w:val="000D1A33"/>
    <w:rsid w:val="000D1B8B"/>
    <w:rsid w:val="000D1D6E"/>
    <w:rsid w:val="000D1DC3"/>
    <w:rsid w:val="000D1DDA"/>
    <w:rsid w:val="000D1E6F"/>
    <w:rsid w:val="000D1EF0"/>
    <w:rsid w:val="000D1F3F"/>
    <w:rsid w:val="000D1F6A"/>
    <w:rsid w:val="000D2027"/>
    <w:rsid w:val="000D2050"/>
    <w:rsid w:val="000D20B2"/>
    <w:rsid w:val="000D210E"/>
    <w:rsid w:val="000D22CF"/>
    <w:rsid w:val="000D235B"/>
    <w:rsid w:val="000D2429"/>
    <w:rsid w:val="000D2464"/>
    <w:rsid w:val="000D2474"/>
    <w:rsid w:val="000D247D"/>
    <w:rsid w:val="000D259A"/>
    <w:rsid w:val="000D270A"/>
    <w:rsid w:val="000D2AC9"/>
    <w:rsid w:val="000D2B1D"/>
    <w:rsid w:val="000D2B2E"/>
    <w:rsid w:val="000D2B75"/>
    <w:rsid w:val="000D2BF7"/>
    <w:rsid w:val="000D2EEF"/>
    <w:rsid w:val="000D2F63"/>
    <w:rsid w:val="000D2F8F"/>
    <w:rsid w:val="000D2FDD"/>
    <w:rsid w:val="000D2FEF"/>
    <w:rsid w:val="000D302E"/>
    <w:rsid w:val="000D303F"/>
    <w:rsid w:val="000D3048"/>
    <w:rsid w:val="000D30B1"/>
    <w:rsid w:val="000D3121"/>
    <w:rsid w:val="000D31A7"/>
    <w:rsid w:val="000D31F5"/>
    <w:rsid w:val="000D3218"/>
    <w:rsid w:val="000D3290"/>
    <w:rsid w:val="000D3408"/>
    <w:rsid w:val="000D3485"/>
    <w:rsid w:val="000D353E"/>
    <w:rsid w:val="000D3583"/>
    <w:rsid w:val="000D3630"/>
    <w:rsid w:val="000D36CF"/>
    <w:rsid w:val="000D3752"/>
    <w:rsid w:val="000D3755"/>
    <w:rsid w:val="000D37BA"/>
    <w:rsid w:val="000D3883"/>
    <w:rsid w:val="000D38E5"/>
    <w:rsid w:val="000D3948"/>
    <w:rsid w:val="000D3B0D"/>
    <w:rsid w:val="000D3BEA"/>
    <w:rsid w:val="000D3C90"/>
    <w:rsid w:val="000D3CE3"/>
    <w:rsid w:val="000D3CF9"/>
    <w:rsid w:val="000D3CFF"/>
    <w:rsid w:val="000D3D22"/>
    <w:rsid w:val="000D3D57"/>
    <w:rsid w:val="000D3DB6"/>
    <w:rsid w:val="000D3EA2"/>
    <w:rsid w:val="000D3F75"/>
    <w:rsid w:val="000D3F81"/>
    <w:rsid w:val="000D4049"/>
    <w:rsid w:val="000D4091"/>
    <w:rsid w:val="000D4438"/>
    <w:rsid w:val="000D4445"/>
    <w:rsid w:val="000D44AD"/>
    <w:rsid w:val="000D4521"/>
    <w:rsid w:val="000D466A"/>
    <w:rsid w:val="000D468E"/>
    <w:rsid w:val="000D4742"/>
    <w:rsid w:val="000D4827"/>
    <w:rsid w:val="000D4B32"/>
    <w:rsid w:val="000D4BCC"/>
    <w:rsid w:val="000D4C56"/>
    <w:rsid w:val="000D4F34"/>
    <w:rsid w:val="000D4F5B"/>
    <w:rsid w:val="000D4FC4"/>
    <w:rsid w:val="000D5078"/>
    <w:rsid w:val="000D50DD"/>
    <w:rsid w:val="000D5218"/>
    <w:rsid w:val="000D52AA"/>
    <w:rsid w:val="000D545A"/>
    <w:rsid w:val="000D54FD"/>
    <w:rsid w:val="000D56D8"/>
    <w:rsid w:val="000D5749"/>
    <w:rsid w:val="000D57A4"/>
    <w:rsid w:val="000D57CE"/>
    <w:rsid w:val="000D58BD"/>
    <w:rsid w:val="000D5913"/>
    <w:rsid w:val="000D5932"/>
    <w:rsid w:val="000D5980"/>
    <w:rsid w:val="000D5A46"/>
    <w:rsid w:val="000D5BE7"/>
    <w:rsid w:val="000D5C6D"/>
    <w:rsid w:val="000D5DBB"/>
    <w:rsid w:val="000D5E99"/>
    <w:rsid w:val="000D5F87"/>
    <w:rsid w:val="000D611C"/>
    <w:rsid w:val="000D61C6"/>
    <w:rsid w:val="000D6379"/>
    <w:rsid w:val="000D64F7"/>
    <w:rsid w:val="000D66BD"/>
    <w:rsid w:val="000D66D3"/>
    <w:rsid w:val="000D6872"/>
    <w:rsid w:val="000D68F1"/>
    <w:rsid w:val="000D6917"/>
    <w:rsid w:val="000D693A"/>
    <w:rsid w:val="000D6999"/>
    <w:rsid w:val="000D69E6"/>
    <w:rsid w:val="000D6B24"/>
    <w:rsid w:val="000D6BF6"/>
    <w:rsid w:val="000D6C58"/>
    <w:rsid w:val="000D6CE6"/>
    <w:rsid w:val="000D6D65"/>
    <w:rsid w:val="000D6DB7"/>
    <w:rsid w:val="000D6F0D"/>
    <w:rsid w:val="000D7034"/>
    <w:rsid w:val="000D7139"/>
    <w:rsid w:val="000D7233"/>
    <w:rsid w:val="000D72E9"/>
    <w:rsid w:val="000D73CE"/>
    <w:rsid w:val="000D73E0"/>
    <w:rsid w:val="000D7404"/>
    <w:rsid w:val="000D7457"/>
    <w:rsid w:val="000D74FE"/>
    <w:rsid w:val="000D750A"/>
    <w:rsid w:val="000D764A"/>
    <w:rsid w:val="000D7651"/>
    <w:rsid w:val="000D773D"/>
    <w:rsid w:val="000D786B"/>
    <w:rsid w:val="000D787D"/>
    <w:rsid w:val="000D7996"/>
    <w:rsid w:val="000D79B1"/>
    <w:rsid w:val="000D7A10"/>
    <w:rsid w:val="000D7A1D"/>
    <w:rsid w:val="000D7A96"/>
    <w:rsid w:val="000D7AB7"/>
    <w:rsid w:val="000D7B43"/>
    <w:rsid w:val="000D7B50"/>
    <w:rsid w:val="000D7B65"/>
    <w:rsid w:val="000D7B72"/>
    <w:rsid w:val="000D7BD9"/>
    <w:rsid w:val="000D7C1C"/>
    <w:rsid w:val="000D7C2A"/>
    <w:rsid w:val="000D7D3C"/>
    <w:rsid w:val="000D7DF1"/>
    <w:rsid w:val="000D7F0F"/>
    <w:rsid w:val="000D7F1E"/>
    <w:rsid w:val="000D7F21"/>
    <w:rsid w:val="000D7F27"/>
    <w:rsid w:val="000D7FAC"/>
    <w:rsid w:val="000E0146"/>
    <w:rsid w:val="000E01A5"/>
    <w:rsid w:val="000E022D"/>
    <w:rsid w:val="000E023C"/>
    <w:rsid w:val="000E0581"/>
    <w:rsid w:val="000E0644"/>
    <w:rsid w:val="000E0753"/>
    <w:rsid w:val="000E07F7"/>
    <w:rsid w:val="000E0825"/>
    <w:rsid w:val="000E083A"/>
    <w:rsid w:val="000E0999"/>
    <w:rsid w:val="000E0B73"/>
    <w:rsid w:val="000E0BE6"/>
    <w:rsid w:val="000E0D14"/>
    <w:rsid w:val="000E0D6B"/>
    <w:rsid w:val="000E0D88"/>
    <w:rsid w:val="000E0DE8"/>
    <w:rsid w:val="000E0DF1"/>
    <w:rsid w:val="000E0E33"/>
    <w:rsid w:val="000E0EB7"/>
    <w:rsid w:val="000E0F4D"/>
    <w:rsid w:val="000E1041"/>
    <w:rsid w:val="000E1089"/>
    <w:rsid w:val="000E10FA"/>
    <w:rsid w:val="000E1416"/>
    <w:rsid w:val="000E164E"/>
    <w:rsid w:val="000E1739"/>
    <w:rsid w:val="000E194E"/>
    <w:rsid w:val="000E1967"/>
    <w:rsid w:val="000E19AD"/>
    <w:rsid w:val="000E1A09"/>
    <w:rsid w:val="000E1AE8"/>
    <w:rsid w:val="000E1C6D"/>
    <w:rsid w:val="000E1D4A"/>
    <w:rsid w:val="000E1DAB"/>
    <w:rsid w:val="000E1E22"/>
    <w:rsid w:val="000E1EC7"/>
    <w:rsid w:val="000E200D"/>
    <w:rsid w:val="000E203A"/>
    <w:rsid w:val="000E207C"/>
    <w:rsid w:val="000E208F"/>
    <w:rsid w:val="000E2152"/>
    <w:rsid w:val="000E2261"/>
    <w:rsid w:val="000E2284"/>
    <w:rsid w:val="000E2352"/>
    <w:rsid w:val="000E238E"/>
    <w:rsid w:val="000E2489"/>
    <w:rsid w:val="000E2556"/>
    <w:rsid w:val="000E2633"/>
    <w:rsid w:val="000E26F2"/>
    <w:rsid w:val="000E2A1E"/>
    <w:rsid w:val="000E2A34"/>
    <w:rsid w:val="000E2A3D"/>
    <w:rsid w:val="000E2B50"/>
    <w:rsid w:val="000E2B57"/>
    <w:rsid w:val="000E2CF0"/>
    <w:rsid w:val="000E2D0C"/>
    <w:rsid w:val="000E2D62"/>
    <w:rsid w:val="000E2D6D"/>
    <w:rsid w:val="000E2DC8"/>
    <w:rsid w:val="000E2DE4"/>
    <w:rsid w:val="000E2E14"/>
    <w:rsid w:val="000E2E2D"/>
    <w:rsid w:val="000E2EEE"/>
    <w:rsid w:val="000E2F58"/>
    <w:rsid w:val="000E2FBE"/>
    <w:rsid w:val="000E3036"/>
    <w:rsid w:val="000E30AC"/>
    <w:rsid w:val="000E3222"/>
    <w:rsid w:val="000E3354"/>
    <w:rsid w:val="000E3368"/>
    <w:rsid w:val="000E340B"/>
    <w:rsid w:val="000E343A"/>
    <w:rsid w:val="000E3468"/>
    <w:rsid w:val="000E351D"/>
    <w:rsid w:val="000E3576"/>
    <w:rsid w:val="000E3865"/>
    <w:rsid w:val="000E38D1"/>
    <w:rsid w:val="000E39C3"/>
    <w:rsid w:val="000E3A0E"/>
    <w:rsid w:val="000E3AE0"/>
    <w:rsid w:val="000E3B79"/>
    <w:rsid w:val="000E3C10"/>
    <w:rsid w:val="000E3C60"/>
    <w:rsid w:val="000E3C8B"/>
    <w:rsid w:val="000E3C9E"/>
    <w:rsid w:val="000E3D33"/>
    <w:rsid w:val="000E3DF3"/>
    <w:rsid w:val="000E3DF7"/>
    <w:rsid w:val="000E3E2F"/>
    <w:rsid w:val="000E3E86"/>
    <w:rsid w:val="000E3EC4"/>
    <w:rsid w:val="000E3FD2"/>
    <w:rsid w:val="000E40E4"/>
    <w:rsid w:val="000E4180"/>
    <w:rsid w:val="000E41DC"/>
    <w:rsid w:val="000E4285"/>
    <w:rsid w:val="000E43DC"/>
    <w:rsid w:val="000E445E"/>
    <w:rsid w:val="000E446C"/>
    <w:rsid w:val="000E4472"/>
    <w:rsid w:val="000E4545"/>
    <w:rsid w:val="000E4555"/>
    <w:rsid w:val="000E4737"/>
    <w:rsid w:val="000E47ED"/>
    <w:rsid w:val="000E497A"/>
    <w:rsid w:val="000E49C1"/>
    <w:rsid w:val="000E4A02"/>
    <w:rsid w:val="000E4A1B"/>
    <w:rsid w:val="000E4A98"/>
    <w:rsid w:val="000E4AE2"/>
    <w:rsid w:val="000E4B00"/>
    <w:rsid w:val="000E4B42"/>
    <w:rsid w:val="000E4B9B"/>
    <w:rsid w:val="000E4D57"/>
    <w:rsid w:val="000E4D89"/>
    <w:rsid w:val="000E4DE5"/>
    <w:rsid w:val="000E4EBA"/>
    <w:rsid w:val="000E4F0F"/>
    <w:rsid w:val="000E4F28"/>
    <w:rsid w:val="000E4F76"/>
    <w:rsid w:val="000E5070"/>
    <w:rsid w:val="000E50A8"/>
    <w:rsid w:val="000E50AD"/>
    <w:rsid w:val="000E50F0"/>
    <w:rsid w:val="000E50F5"/>
    <w:rsid w:val="000E5124"/>
    <w:rsid w:val="000E52E9"/>
    <w:rsid w:val="000E52F0"/>
    <w:rsid w:val="000E5432"/>
    <w:rsid w:val="000E5567"/>
    <w:rsid w:val="000E55E5"/>
    <w:rsid w:val="000E568F"/>
    <w:rsid w:val="000E56CB"/>
    <w:rsid w:val="000E5712"/>
    <w:rsid w:val="000E57B5"/>
    <w:rsid w:val="000E584A"/>
    <w:rsid w:val="000E5959"/>
    <w:rsid w:val="000E59D5"/>
    <w:rsid w:val="000E59E3"/>
    <w:rsid w:val="000E5AA6"/>
    <w:rsid w:val="000E5B0E"/>
    <w:rsid w:val="000E5C2F"/>
    <w:rsid w:val="000E5D03"/>
    <w:rsid w:val="000E5D80"/>
    <w:rsid w:val="000E5EDD"/>
    <w:rsid w:val="000E5F2C"/>
    <w:rsid w:val="000E5F58"/>
    <w:rsid w:val="000E5FB2"/>
    <w:rsid w:val="000E6124"/>
    <w:rsid w:val="000E61E8"/>
    <w:rsid w:val="000E61F1"/>
    <w:rsid w:val="000E6246"/>
    <w:rsid w:val="000E6269"/>
    <w:rsid w:val="000E627D"/>
    <w:rsid w:val="000E63B1"/>
    <w:rsid w:val="000E6413"/>
    <w:rsid w:val="000E6570"/>
    <w:rsid w:val="000E6651"/>
    <w:rsid w:val="000E6677"/>
    <w:rsid w:val="000E6685"/>
    <w:rsid w:val="000E6AFA"/>
    <w:rsid w:val="000E6B0F"/>
    <w:rsid w:val="000E6D10"/>
    <w:rsid w:val="000E6ED2"/>
    <w:rsid w:val="000E6F8E"/>
    <w:rsid w:val="000E7085"/>
    <w:rsid w:val="000E7255"/>
    <w:rsid w:val="000E727D"/>
    <w:rsid w:val="000E73CD"/>
    <w:rsid w:val="000E7558"/>
    <w:rsid w:val="000E759A"/>
    <w:rsid w:val="000E762A"/>
    <w:rsid w:val="000E7674"/>
    <w:rsid w:val="000E76A0"/>
    <w:rsid w:val="000E7851"/>
    <w:rsid w:val="000E78AB"/>
    <w:rsid w:val="000E79A7"/>
    <w:rsid w:val="000E7A1B"/>
    <w:rsid w:val="000E7A3E"/>
    <w:rsid w:val="000E7AA3"/>
    <w:rsid w:val="000E7AB9"/>
    <w:rsid w:val="000E7AFB"/>
    <w:rsid w:val="000E7B90"/>
    <w:rsid w:val="000E7B97"/>
    <w:rsid w:val="000E7BAA"/>
    <w:rsid w:val="000E7CD0"/>
    <w:rsid w:val="000E7CF5"/>
    <w:rsid w:val="000E7CFA"/>
    <w:rsid w:val="000E7D75"/>
    <w:rsid w:val="000E7E18"/>
    <w:rsid w:val="000E7E26"/>
    <w:rsid w:val="000E7F03"/>
    <w:rsid w:val="000F01D0"/>
    <w:rsid w:val="000F047F"/>
    <w:rsid w:val="000F04E0"/>
    <w:rsid w:val="000F04E1"/>
    <w:rsid w:val="000F05AB"/>
    <w:rsid w:val="000F0777"/>
    <w:rsid w:val="000F07CE"/>
    <w:rsid w:val="000F0852"/>
    <w:rsid w:val="000F091B"/>
    <w:rsid w:val="000F098C"/>
    <w:rsid w:val="000F0F16"/>
    <w:rsid w:val="000F0F68"/>
    <w:rsid w:val="000F0FE0"/>
    <w:rsid w:val="000F109E"/>
    <w:rsid w:val="000F111D"/>
    <w:rsid w:val="000F1241"/>
    <w:rsid w:val="000F1395"/>
    <w:rsid w:val="000F1435"/>
    <w:rsid w:val="000F1443"/>
    <w:rsid w:val="000F15A3"/>
    <w:rsid w:val="000F167C"/>
    <w:rsid w:val="000F170E"/>
    <w:rsid w:val="000F17CB"/>
    <w:rsid w:val="000F18AB"/>
    <w:rsid w:val="000F1A33"/>
    <w:rsid w:val="000F1B0F"/>
    <w:rsid w:val="000F1BFB"/>
    <w:rsid w:val="000F1C26"/>
    <w:rsid w:val="000F1C42"/>
    <w:rsid w:val="000F1CE4"/>
    <w:rsid w:val="000F1D17"/>
    <w:rsid w:val="000F1D75"/>
    <w:rsid w:val="000F1E87"/>
    <w:rsid w:val="000F1F1F"/>
    <w:rsid w:val="000F1F28"/>
    <w:rsid w:val="000F200F"/>
    <w:rsid w:val="000F20AD"/>
    <w:rsid w:val="000F20AE"/>
    <w:rsid w:val="000F2146"/>
    <w:rsid w:val="000F237E"/>
    <w:rsid w:val="000F2394"/>
    <w:rsid w:val="000F23FD"/>
    <w:rsid w:val="000F2400"/>
    <w:rsid w:val="000F24F4"/>
    <w:rsid w:val="000F25B6"/>
    <w:rsid w:val="000F2692"/>
    <w:rsid w:val="000F2902"/>
    <w:rsid w:val="000F2923"/>
    <w:rsid w:val="000F296E"/>
    <w:rsid w:val="000F2D2A"/>
    <w:rsid w:val="000F2E48"/>
    <w:rsid w:val="000F302B"/>
    <w:rsid w:val="000F3043"/>
    <w:rsid w:val="000F3054"/>
    <w:rsid w:val="000F3087"/>
    <w:rsid w:val="000F30E3"/>
    <w:rsid w:val="000F313B"/>
    <w:rsid w:val="000F34E5"/>
    <w:rsid w:val="000F353F"/>
    <w:rsid w:val="000F3578"/>
    <w:rsid w:val="000F360B"/>
    <w:rsid w:val="000F3686"/>
    <w:rsid w:val="000F37A3"/>
    <w:rsid w:val="000F38CB"/>
    <w:rsid w:val="000F38FD"/>
    <w:rsid w:val="000F3A71"/>
    <w:rsid w:val="000F3AC7"/>
    <w:rsid w:val="000F3C32"/>
    <w:rsid w:val="000F3CB4"/>
    <w:rsid w:val="000F3CCD"/>
    <w:rsid w:val="000F3D45"/>
    <w:rsid w:val="000F3D4D"/>
    <w:rsid w:val="000F3DD0"/>
    <w:rsid w:val="000F406D"/>
    <w:rsid w:val="000F4135"/>
    <w:rsid w:val="000F424D"/>
    <w:rsid w:val="000F43A8"/>
    <w:rsid w:val="000F45C1"/>
    <w:rsid w:val="000F46DF"/>
    <w:rsid w:val="000F479C"/>
    <w:rsid w:val="000F4904"/>
    <w:rsid w:val="000F4956"/>
    <w:rsid w:val="000F4A09"/>
    <w:rsid w:val="000F4B7D"/>
    <w:rsid w:val="000F4B9C"/>
    <w:rsid w:val="000F4BD4"/>
    <w:rsid w:val="000F4C34"/>
    <w:rsid w:val="000F4C4D"/>
    <w:rsid w:val="000F4CBB"/>
    <w:rsid w:val="000F4DF5"/>
    <w:rsid w:val="000F4E9A"/>
    <w:rsid w:val="000F50CD"/>
    <w:rsid w:val="000F517B"/>
    <w:rsid w:val="000F51A2"/>
    <w:rsid w:val="000F5296"/>
    <w:rsid w:val="000F52A6"/>
    <w:rsid w:val="000F52F1"/>
    <w:rsid w:val="000F5311"/>
    <w:rsid w:val="000F53A7"/>
    <w:rsid w:val="000F5443"/>
    <w:rsid w:val="000F5597"/>
    <w:rsid w:val="000F5823"/>
    <w:rsid w:val="000F5909"/>
    <w:rsid w:val="000F5A3F"/>
    <w:rsid w:val="000F5AE0"/>
    <w:rsid w:val="000F5B77"/>
    <w:rsid w:val="000F5C16"/>
    <w:rsid w:val="000F5D49"/>
    <w:rsid w:val="000F5E5A"/>
    <w:rsid w:val="000F5EDA"/>
    <w:rsid w:val="000F5EF8"/>
    <w:rsid w:val="000F5F30"/>
    <w:rsid w:val="000F5F55"/>
    <w:rsid w:val="000F5FF0"/>
    <w:rsid w:val="000F602C"/>
    <w:rsid w:val="000F6112"/>
    <w:rsid w:val="000F6123"/>
    <w:rsid w:val="000F6126"/>
    <w:rsid w:val="000F6201"/>
    <w:rsid w:val="000F621C"/>
    <w:rsid w:val="000F6485"/>
    <w:rsid w:val="000F64F5"/>
    <w:rsid w:val="000F662C"/>
    <w:rsid w:val="000F6704"/>
    <w:rsid w:val="000F67E8"/>
    <w:rsid w:val="000F6911"/>
    <w:rsid w:val="000F69BF"/>
    <w:rsid w:val="000F6AB8"/>
    <w:rsid w:val="000F6AC1"/>
    <w:rsid w:val="000F6B40"/>
    <w:rsid w:val="000F6BAF"/>
    <w:rsid w:val="000F6C02"/>
    <w:rsid w:val="000F6DA8"/>
    <w:rsid w:val="000F6E17"/>
    <w:rsid w:val="000F6E4B"/>
    <w:rsid w:val="000F6EA2"/>
    <w:rsid w:val="000F6F5D"/>
    <w:rsid w:val="000F6F80"/>
    <w:rsid w:val="000F6FCB"/>
    <w:rsid w:val="000F704F"/>
    <w:rsid w:val="000F7074"/>
    <w:rsid w:val="000F71DE"/>
    <w:rsid w:val="000F71E2"/>
    <w:rsid w:val="000F7216"/>
    <w:rsid w:val="000F729E"/>
    <w:rsid w:val="000F72CE"/>
    <w:rsid w:val="000F730C"/>
    <w:rsid w:val="000F7320"/>
    <w:rsid w:val="000F73E0"/>
    <w:rsid w:val="000F74C6"/>
    <w:rsid w:val="000F754B"/>
    <w:rsid w:val="000F7622"/>
    <w:rsid w:val="000F7672"/>
    <w:rsid w:val="000F7705"/>
    <w:rsid w:val="000F7777"/>
    <w:rsid w:val="000F78F8"/>
    <w:rsid w:val="000F7954"/>
    <w:rsid w:val="000F7AA6"/>
    <w:rsid w:val="000F7B0B"/>
    <w:rsid w:val="000F7B8B"/>
    <w:rsid w:val="000F7C0E"/>
    <w:rsid w:val="000F7D75"/>
    <w:rsid w:val="000F7F39"/>
    <w:rsid w:val="000F7FAA"/>
    <w:rsid w:val="00100067"/>
    <w:rsid w:val="00100144"/>
    <w:rsid w:val="0010016F"/>
    <w:rsid w:val="001002E6"/>
    <w:rsid w:val="001003E7"/>
    <w:rsid w:val="0010041F"/>
    <w:rsid w:val="001004C9"/>
    <w:rsid w:val="00100557"/>
    <w:rsid w:val="00100667"/>
    <w:rsid w:val="00100671"/>
    <w:rsid w:val="001008DA"/>
    <w:rsid w:val="001008FA"/>
    <w:rsid w:val="00100956"/>
    <w:rsid w:val="00100A03"/>
    <w:rsid w:val="00100A6A"/>
    <w:rsid w:val="00100CF3"/>
    <w:rsid w:val="00100D6C"/>
    <w:rsid w:val="00100E08"/>
    <w:rsid w:val="00100EC6"/>
    <w:rsid w:val="00100F79"/>
    <w:rsid w:val="00100F90"/>
    <w:rsid w:val="00101077"/>
    <w:rsid w:val="00101091"/>
    <w:rsid w:val="0010111B"/>
    <w:rsid w:val="00101202"/>
    <w:rsid w:val="001015DE"/>
    <w:rsid w:val="00101660"/>
    <w:rsid w:val="001016E8"/>
    <w:rsid w:val="00101780"/>
    <w:rsid w:val="00101781"/>
    <w:rsid w:val="001017B0"/>
    <w:rsid w:val="0010182E"/>
    <w:rsid w:val="0010191D"/>
    <w:rsid w:val="00101926"/>
    <w:rsid w:val="00101988"/>
    <w:rsid w:val="001019F0"/>
    <w:rsid w:val="00101BB1"/>
    <w:rsid w:val="00101CE4"/>
    <w:rsid w:val="00101D31"/>
    <w:rsid w:val="00101D5A"/>
    <w:rsid w:val="00102016"/>
    <w:rsid w:val="0010240F"/>
    <w:rsid w:val="0010241A"/>
    <w:rsid w:val="00102487"/>
    <w:rsid w:val="0010248E"/>
    <w:rsid w:val="00102528"/>
    <w:rsid w:val="0010254A"/>
    <w:rsid w:val="001025E7"/>
    <w:rsid w:val="0010262D"/>
    <w:rsid w:val="0010266B"/>
    <w:rsid w:val="001029C8"/>
    <w:rsid w:val="00102A35"/>
    <w:rsid w:val="00102A9C"/>
    <w:rsid w:val="00102C1C"/>
    <w:rsid w:val="00102CFA"/>
    <w:rsid w:val="00102E33"/>
    <w:rsid w:val="00102F8B"/>
    <w:rsid w:val="0010301A"/>
    <w:rsid w:val="00103089"/>
    <w:rsid w:val="001030D0"/>
    <w:rsid w:val="001031ED"/>
    <w:rsid w:val="00103241"/>
    <w:rsid w:val="00103264"/>
    <w:rsid w:val="00103277"/>
    <w:rsid w:val="00103328"/>
    <w:rsid w:val="00103447"/>
    <w:rsid w:val="00103455"/>
    <w:rsid w:val="001034D2"/>
    <w:rsid w:val="0010350C"/>
    <w:rsid w:val="001035BD"/>
    <w:rsid w:val="001036E2"/>
    <w:rsid w:val="001037E1"/>
    <w:rsid w:val="0010382F"/>
    <w:rsid w:val="00103975"/>
    <w:rsid w:val="001039B9"/>
    <w:rsid w:val="001039EE"/>
    <w:rsid w:val="00103A50"/>
    <w:rsid w:val="00103A82"/>
    <w:rsid w:val="00103AEC"/>
    <w:rsid w:val="00103AF3"/>
    <w:rsid w:val="00103B86"/>
    <w:rsid w:val="00103CA0"/>
    <w:rsid w:val="00103CA3"/>
    <w:rsid w:val="00103D04"/>
    <w:rsid w:val="00103D3F"/>
    <w:rsid w:val="00103FA0"/>
    <w:rsid w:val="001040D7"/>
    <w:rsid w:val="00104118"/>
    <w:rsid w:val="00104184"/>
    <w:rsid w:val="0010418D"/>
    <w:rsid w:val="001041F3"/>
    <w:rsid w:val="00104200"/>
    <w:rsid w:val="001042A8"/>
    <w:rsid w:val="001042DE"/>
    <w:rsid w:val="0010440D"/>
    <w:rsid w:val="00104426"/>
    <w:rsid w:val="001045F1"/>
    <w:rsid w:val="00104601"/>
    <w:rsid w:val="00104696"/>
    <w:rsid w:val="001046BC"/>
    <w:rsid w:val="001046CA"/>
    <w:rsid w:val="001046E6"/>
    <w:rsid w:val="001047A4"/>
    <w:rsid w:val="001047BB"/>
    <w:rsid w:val="001047EA"/>
    <w:rsid w:val="00104819"/>
    <w:rsid w:val="00104AD3"/>
    <w:rsid w:val="00104B7C"/>
    <w:rsid w:val="00104BF9"/>
    <w:rsid w:val="00104C4B"/>
    <w:rsid w:val="00104D99"/>
    <w:rsid w:val="00104DFF"/>
    <w:rsid w:val="00104F1C"/>
    <w:rsid w:val="00104F75"/>
    <w:rsid w:val="00104F9F"/>
    <w:rsid w:val="00104FB7"/>
    <w:rsid w:val="00104FB8"/>
    <w:rsid w:val="00104FD6"/>
    <w:rsid w:val="00105045"/>
    <w:rsid w:val="00105105"/>
    <w:rsid w:val="001051C9"/>
    <w:rsid w:val="0010522F"/>
    <w:rsid w:val="00105280"/>
    <w:rsid w:val="0010528C"/>
    <w:rsid w:val="001052A4"/>
    <w:rsid w:val="00105344"/>
    <w:rsid w:val="00105435"/>
    <w:rsid w:val="0010549D"/>
    <w:rsid w:val="001055AC"/>
    <w:rsid w:val="00105824"/>
    <w:rsid w:val="001058F8"/>
    <w:rsid w:val="00105990"/>
    <w:rsid w:val="001059C4"/>
    <w:rsid w:val="00105AD9"/>
    <w:rsid w:val="00105AF9"/>
    <w:rsid w:val="00105BA4"/>
    <w:rsid w:val="00105C02"/>
    <w:rsid w:val="00105C49"/>
    <w:rsid w:val="00105CD6"/>
    <w:rsid w:val="00105CEE"/>
    <w:rsid w:val="00105D38"/>
    <w:rsid w:val="00105DC0"/>
    <w:rsid w:val="00105E29"/>
    <w:rsid w:val="00105E3B"/>
    <w:rsid w:val="00105E3F"/>
    <w:rsid w:val="00105E8A"/>
    <w:rsid w:val="00105FE6"/>
    <w:rsid w:val="00106229"/>
    <w:rsid w:val="0010626C"/>
    <w:rsid w:val="00106371"/>
    <w:rsid w:val="001065A0"/>
    <w:rsid w:val="001065F5"/>
    <w:rsid w:val="001066CD"/>
    <w:rsid w:val="001067AB"/>
    <w:rsid w:val="0010685B"/>
    <w:rsid w:val="001068AD"/>
    <w:rsid w:val="00106960"/>
    <w:rsid w:val="00106968"/>
    <w:rsid w:val="00106A41"/>
    <w:rsid w:val="00106BDF"/>
    <w:rsid w:val="00106C3B"/>
    <w:rsid w:val="00106D82"/>
    <w:rsid w:val="00106E37"/>
    <w:rsid w:val="00106ECB"/>
    <w:rsid w:val="001070ED"/>
    <w:rsid w:val="00107103"/>
    <w:rsid w:val="00107190"/>
    <w:rsid w:val="001071F3"/>
    <w:rsid w:val="001072C2"/>
    <w:rsid w:val="001073CF"/>
    <w:rsid w:val="00107466"/>
    <w:rsid w:val="00107522"/>
    <w:rsid w:val="00107532"/>
    <w:rsid w:val="001075F9"/>
    <w:rsid w:val="00107605"/>
    <w:rsid w:val="001076E3"/>
    <w:rsid w:val="00107739"/>
    <w:rsid w:val="001078B2"/>
    <w:rsid w:val="00107B07"/>
    <w:rsid w:val="00107B21"/>
    <w:rsid w:val="00107C15"/>
    <w:rsid w:val="001100DA"/>
    <w:rsid w:val="001100DD"/>
    <w:rsid w:val="00110258"/>
    <w:rsid w:val="00110270"/>
    <w:rsid w:val="001102A9"/>
    <w:rsid w:val="001102C0"/>
    <w:rsid w:val="00110361"/>
    <w:rsid w:val="0011048A"/>
    <w:rsid w:val="0011049B"/>
    <w:rsid w:val="001104B4"/>
    <w:rsid w:val="0011055E"/>
    <w:rsid w:val="00110637"/>
    <w:rsid w:val="0011094C"/>
    <w:rsid w:val="0011095A"/>
    <w:rsid w:val="00110962"/>
    <w:rsid w:val="00110977"/>
    <w:rsid w:val="00110B42"/>
    <w:rsid w:val="00110BFD"/>
    <w:rsid w:val="00110C47"/>
    <w:rsid w:val="00110C5D"/>
    <w:rsid w:val="00110CDA"/>
    <w:rsid w:val="00110D68"/>
    <w:rsid w:val="00110E55"/>
    <w:rsid w:val="00110ED5"/>
    <w:rsid w:val="00110F8C"/>
    <w:rsid w:val="00111131"/>
    <w:rsid w:val="0011113C"/>
    <w:rsid w:val="00111148"/>
    <w:rsid w:val="0011115F"/>
    <w:rsid w:val="0011117D"/>
    <w:rsid w:val="001111E6"/>
    <w:rsid w:val="00111286"/>
    <w:rsid w:val="001112C7"/>
    <w:rsid w:val="00111411"/>
    <w:rsid w:val="001114BF"/>
    <w:rsid w:val="001114E0"/>
    <w:rsid w:val="00111586"/>
    <w:rsid w:val="0011166C"/>
    <w:rsid w:val="001116C8"/>
    <w:rsid w:val="00111721"/>
    <w:rsid w:val="0011173F"/>
    <w:rsid w:val="00111742"/>
    <w:rsid w:val="001117B7"/>
    <w:rsid w:val="0011182A"/>
    <w:rsid w:val="0011185D"/>
    <w:rsid w:val="00111940"/>
    <w:rsid w:val="00111990"/>
    <w:rsid w:val="00111AF2"/>
    <w:rsid w:val="00111B59"/>
    <w:rsid w:val="00111C29"/>
    <w:rsid w:val="00111D1B"/>
    <w:rsid w:val="00111DD3"/>
    <w:rsid w:val="00111E64"/>
    <w:rsid w:val="00112051"/>
    <w:rsid w:val="0011218A"/>
    <w:rsid w:val="001122B0"/>
    <w:rsid w:val="00112316"/>
    <w:rsid w:val="001123B0"/>
    <w:rsid w:val="0011240E"/>
    <w:rsid w:val="0011244F"/>
    <w:rsid w:val="00112546"/>
    <w:rsid w:val="00112562"/>
    <w:rsid w:val="001125DD"/>
    <w:rsid w:val="0011267D"/>
    <w:rsid w:val="001126D2"/>
    <w:rsid w:val="001126D8"/>
    <w:rsid w:val="00112757"/>
    <w:rsid w:val="00112892"/>
    <w:rsid w:val="001128C0"/>
    <w:rsid w:val="001128F5"/>
    <w:rsid w:val="00112A21"/>
    <w:rsid w:val="00112A59"/>
    <w:rsid w:val="00112CB9"/>
    <w:rsid w:val="00112D97"/>
    <w:rsid w:val="00112EA5"/>
    <w:rsid w:val="00112F4A"/>
    <w:rsid w:val="00113155"/>
    <w:rsid w:val="001132D5"/>
    <w:rsid w:val="001132E3"/>
    <w:rsid w:val="00113427"/>
    <w:rsid w:val="001134C2"/>
    <w:rsid w:val="00113611"/>
    <w:rsid w:val="001136FA"/>
    <w:rsid w:val="001138C9"/>
    <w:rsid w:val="00113906"/>
    <w:rsid w:val="0011393D"/>
    <w:rsid w:val="00113947"/>
    <w:rsid w:val="001139A7"/>
    <w:rsid w:val="00113A0C"/>
    <w:rsid w:val="00113B14"/>
    <w:rsid w:val="00113B25"/>
    <w:rsid w:val="00113B50"/>
    <w:rsid w:val="00113B7B"/>
    <w:rsid w:val="00113BC6"/>
    <w:rsid w:val="00113C0F"/>
    <w:rsid w:val="00113C26"/>
    <w:rsid w:val="00113CC4"/>
    <w:rsid w:val="00113D82"/>
    <w:rsid w:val="00113DB9"/>
    <w:rsid w:val="00113E11"/>
    <w:rsid w:val="00114068"/>
    <w:rsid w:val="0011408D"/>
    <w:rsid w:val="00114113"/>
    <w:rsid w:val="00114268"/>
    <w:rsid w:val="0011431C"/>
    <w:rsid w:val="001143CB"/>
    <w:rsid w:val="001144A6"/>
    <w:rsid w:val="0011455E"/>
    <w:rsid w:val="001145B7"/>
    <w:rsid w:val="001147AF"/>
    <w:rsid w:val="0011494C"/>
    <w:rsid w:val="001149A1"/>
    <w:rsid w:val="00114B0E"/>
    <w:rsid w:val="00114BB2"/>
    <w:rsid w:val="00114C10"/>
    <w:rsid w:val="00114D06"/>
    <w:rsid w:val="00114DA1"/>
    <w:rsid w:val="00114FE0"/>
    <w:rsid w:val="00115034"/>
    <w:rsid w:val="00115049"/>
    <w:rsid w:val="001150AC"/>
    <w:rsid w:val="00115157"/>
    <w:rsid w:val="00115257"/>
    <w:rsid w:val="001153DF"/>
    <w:rsid w:val="001154B3"/>
    <w:rsid w:val="0011563F"/>
    <w:rsid w:val="0011566D"/>
    <w:rsid w:val="001156A5"/>
    <w:rsid w:val="001156D7"/>
    <w:rsid w:val="00115849"/>
    <w:rsid w:val="001158D9"/>
    <w:rsid w:val="00115AD4"/>
    <w:rsid w:val="00115ADA"/>
    <w:rsid w:val="00115B82"/>
    <w:rsid w:val="00115BB7"/>
    <w:rsid w:val="00115CD9"/>
    <w:rsid w:val="00115DB8"/>
    <w:rsid w:val="00115DFE"/>
    <w:rsid w:val="00115E05"/>
    <w:rsid w:val="00115E17"/>
    <w:rsid w:val="00115E21"/>
    <w:rsid w:val="00115EA9"/>
    <w:rsid w:val="00115EFC"/>
    <w:rsid w:val="00115F59"/>
    <w:rsid w:val="0011608B"/>
    <w:rsid w:val="0011608C"/>
    <w:rsid w:val="001161A1"/>
    <w:rsid w:val="001162C2"/>
    <w:rsid w:val="001162DE"/>
    <w:rsid w:val="0011636D"/>
    <w:rsid w:val="00116394"/>
    <w:rsid w:val="0011644A"/>
    <w:rsid w:val="001165B7"/>
    <w:rsid w:val="0011663F"/>
    <w:rsid w:val="001166BB"/>
    <w:rsid w:val="001166D0"/>
    <w:rsid w:val="0011682E"/>
    <w:rsid w:val="00116AA1"/>
    <w:rsid w:val="00116B5C"/>
    <w:rsid w:val="00116BD1"/>
    <w:rsid w:val="00116C2B"/>
    <w:rsid w:val="00116C40"/>
    <w:rsid w:val="00116D98"/>
    <w:rsid w:val="00116E34"/>
    <w:rsid w:val="00116F3B"/>
    <w:rsid w:val="0011704D"/>
    <w:rsid w:val="00117173"/>
    <w:rsid w:val="001171A0"/>
    <w:rsid w:val="001171C9"/>
    <w:rsid w:val="001172E2"/>
    <w:rsid w:val="001173BC"/>
    <w:rsid w:val="001173BD"/>
    <w:rsid w:val="001173C4"/>
    <w:rsid w:val="001173D8"/>
    <w:rsid w:val="001173EB"/>
    <w:rsid w:val="0011746A"/>
    <w:rsid w:val="001174D2"/>
    <w:rsid w:val="00117507"/>
    <w:rsid w:val="00117532"/>
    <w:rsid w:val="0011755E"/>
    <w:rsid w:val="00117596"/>
    <w:rsid w:val="0011776D"/>
    <w:rsid w:val="0011787D"/>
    <w:rsid w:val="001178E2"/>
    <w:rsid w:val="0011792E"/>
    <w:rsid w:val="00117AE2"/>
    <w:rsid w:val="00117AF0"/>
    <w:rsid w:val="00117B5D"/>
    <w:rsid w:val="00117B5E"/>
    <w:rsid w:val="00117C2A"/>
    <w:rsid w:val="00117EC3"/>
    <w:rsid w:val="00117EE9"/>
    <w:rsid w:val="00117FE5"/>
    <w:rsid w:val="0012003D"/>
    <w:rsid w:val="00120138"/>
    <w:rsid w:val="001202DF"/>
    <w:rsid w:val="001202F7"/>
    <w:rsid w:val="001203F4"/>
    <w:rsid w:val="001203FE"/>
    <w:rsid w:val="0012046A"/>
    <w:rsid w:val="001204BA"/>
    <w:rsid w:val="001204FE"/>
    <w:rsid w:val="0012058C"/>
    <w:rsid w:val="001205C7"/>
    <w:rsid w:val="00120697"/>
    <w:rsid w:val="001206D1"/>
    <w:rsid w:val="001206D8"/>
    <w:rsid w:val="00120758"/>
    <w:rsid w:val="00120783"/>
    <w:rsid w:val="00120821"/>
    <w:rsid w:val="001208C3"/>
    <w:rsid w:val="0012093A"/>
    <w:rsid w:val="00120A68"/>
    <w:rsid w:val="00120AA6"/>
    <w:rsid w:val="00120B00"/>
    <w:rsid w:val="00120B60"/>
    <w:rsid w:val="00120BAE"/>
    <w:rsid w:val="00120D8C"/>
    <w:rsid w:val="00120E1C"/>
    <w:rsid w:val="00120F2B"/>
    <w:rsid w:val="00120F42"/>
    <w:rsid w:val="00120F4F"/>
    <w:rsid w:val="0012118D"/>
    <w:rsid w:val="00121222"/>
    <w:rsid w:val="00121244"/>
    <w:rsid w:val="001212FA"/>
    <w:rsid w:val="001213CF"/>
    <w:rsid w:val="00121421"/>
    <w:rsid w:val="00121491"/>
    <w:rsid w:val="001214A6"/>
    <w:rsid w:val="001214BB"/>
    <w:rsid w:val="001214CE"/>
    <w:rsid w:val="00121576"/>
    <w:rsid w:val="00121708"/>
    <w:rsid w:val="00121738"/>
    <w:rsid w:val="001217CD"/>
    <w:rsid w:val="00121817"/>
    <w:rsid w:val="001218AA"/>
    <w:rsid w:val="001218C5"/>
    <w:rsid w:val="001219C0"/>
    <w:rsid w:val="00121A50"/>
    <w:rsid w:val="00121A7D"/>
    <w:rsid w:val="00121D21"/>
    <w:rsid w:val="00121DBF"/>
    <w:rsid w:val="00121E0B"/>
    <w:rsid w:val="00121E83"/>
    <w:rsid w:val="00121EFC"/>
    <w:rsid w:val="00121F07"/>
    <w:rsid w:val="00121F36"/>
    <w:rsid w:val="00121F5F"/>
    <w:rsid w:val="00121F82"/>
    <w:rsid w:val="00121FC8"/>
    <w:rsid w:val="0012203B"/>
    <w:rsid w:val="0012210E"/>
    <w:rsid w:val="00122125"/>
    <w:rsid w:val="00122442"/>
    <w:rsid w:val="00122516"/>
    <w:rsid w:val="0012259B"/>
    <w:rsid w:val="00122613"/>
    <w:rsid w:val="00122707"/>
    <w:rsid w:val="001227D7"/>
    <w:rsid w:val="001227F9"/>
    <w:rsid w:val="001229E4"/>
    <w:rsid w:val="00122A2F"/>
    <w:rsid w:val="00122A86"/>
    <w:rsid w:val="00122B4B"/>
    <w:rsid w:val="00122B9A"/>
    <w:rsid w:val="00122BBB"/>
    <w:rsid w:val="00122C71"/>
    <w:rsid w:val="00122CA6"/>
    <w:rsid w:val="00122CBA"/>
    <w:rsid w:val="00122CC5"/>
    <w:rsid w:val="00123040"/>
    <w:rsid w:val="001232AE"/>
    <w:rsid w:val="001232CE"/>
    <w:rsid w:val="0012346B"/>
    <w:rsid w:val="001235D4"/>
    <w:rsid w:val="00123670"/>
    <w:rsid w:val="0012383A"/>
    <w:rsid w:val="001238EF"/>
    <w:rsid w:val="0012397E"/>
    <w:rsid w:val="00123C02"/>
    <w:rsid w:val="00123C66"/>
    <w:rsid w:val="00123C90"/>
    <w:rsid w:val="00123F6F"/>
    <w:rsid w:val="001240B1"/>
    <w:rsid w:val="00124116"/>
    <w:rsid w:val="001241B4"/>
    <w:rsid w:val="001241FA"/>
    <w:rsid w:val="00124233"/>
    <w:rsid w:val="0012424D"/>
    <w:rsid w:val="001242EE"/>
    <w:rsid w:val="0012432A"/>
    <w:rsid w:val="0012440C"/>
    <w:rsid w:val="001247A6"/>
    <w:rsid w:val="0012484B"/>
    <w:rsid w:val="0012497A"/>
    <w:rsid w:val="00124998"/>
    <w:rsid w:val="00124ABD"/>
    <w:rsid w:val="00124AEB"/>
    <w:rsid w:val="00124C2C"/>
    <w:rsid w:val="00124C75"/>
    <w:rsid w:val="00124DE0"/>
    <w:rsid w:val="00124E4F"/>
    <w:rsid w:val="00124E56"/>
    <w:rsid w:val="00124F57"/>
    <w:rsid w:val="00124FA8"/>
    <w:rsid w:val="00124FFB"/>
    <w:rsid w:val="001250A6"/>
    <w:rsid w:val="001251B7"/>
    <w:rsid w:val="00125297"/>
    <w:rsid w:val="0012541B"/>
    <w:rsid w:val="00125575"/>
    <w:rsid w:val="001256E8"/>
    <w:rsid w:val="001256F7"/>
    <w:rsid w:val="001257D6"/>
    <w:rsid w:val="00125819"/>
    <w:rsid w:val="00125A13"/>
    <w:rsid w:val="00125A99"/>
    <w:rsid w:val="00125C3F"/>
    <w:rsid w:val="00125E1F"/>
    <w:rsid w:val="00125E58"/>
    <w:rsid w:val="00125E73"/>
    <w:rsid w:val="00125EFF"/>
    <w:rsid w:val="00125F0C"/>
    <w:rsid w:val="00125F79"/>
    <w:rsid w:val="00125FC6"/>
    <w:rsid w:val="00125FF8"/>
    <w:rsid w:val="0012604E"/>
    <w:rsid w:val="0012621A"/>
    <w:rsid w:val="00126238"/>
    <w:rsid w:val="00126365"/>
    <w:rsid w:val="0012642A"/>
    <w:rsid w:val="001264E3"/>
    <w:rsid w:val="001265F9"/>
    <w:rsid w:val="001266EE"/>
    <w:rsid w:val="0012671E"/>
    <w:rsid w:val="00126766"/>
    <w:rsid w:val="0012697B"/>
    <w:rsid w:val="00126990"/>
    <w:rsid w:val="001269C4"/>
    <w:rsid w:val="00126C5D"/>
    <w:rsid w:val="00126D2B"/>
    <w:rsid w:val="00126D96"/>
    <w:rsid w:val="00126F5D"/>
    <w:rsid w:val="00126F85"/>
    <w:rsid w:val="0012702C"/>
    <w:rsid w:val="00127181"/>
    <w:rsid w:val="001271AB"/>
    <w:rsid w:val="0012730F"/>
    <w:rsid w:val="001276F2"/>
    <w:rsid w:val="00127724"/>
    <w:rsid w:val="001277F1"/>
    <w:rsid w:val="001278F5"/>
    <w:rsid w:val="0012791F"/>
    <w:rsid w:val="00127A2E"/>
    <w:rsid w:val="00127AB5"/>
    <w:rsid w:val="00127AC2"/>
    <w:rsid w:val="00127BF8"/>
    <w:rsid w:val="00127C98"/>
    <w:rsid w:val="00127CCF"/>
    <w:rsid w:val="00127D6A"/>
    <w:rsid w:val="00127EB7"/>
    <w:rsid w:val="00127F89"/>
    <w:rsid w:val="00127FA0"/>
    <w:rsid w:val="00130264"/>
    <w:rsid w:val="001302EB"/>
    <w:rsid w:val="001303D2"/>
    <w:rsid w:val="001303EE"/>
    <w:rsid w:val="001303F9"/>
    <w:rsid w:val="0013041E"/>
    <w:rsid w:val="001304CC"/>
    <w:rsid w:val="00130596"/>
    <w:rsid w:val="00130690"/>
    <w:rsid w:val="00130773"/>
    <w:rsid w:val="00130856"/>
    <w:rsid w:val="001308A7"/>
    <w:rsid w:val="001308AE"/>
    <w:rsid w:val="0013092E"/>
    <w:rsid w:val="00130949"/>
    <w:rsid w:val="001309B0"/>
    <w:rsid w:val="001309BF"/>
    <w:rsid w:val="001309F6"/>
    <w:rsid w:val="00130A5B"/>
    <w:rsid w:val="00130B38"/>
    <w:rsid w:val="00130BBB"/>
    <w:rsid w:val="00130C1F"/>
    <w:rsid w:val="00130C87"/>
    <w:rsid w:val="00130CB1"/>
    <w:rsid w:val="00130CE3"/>
    <w:rsid w:val="0013100C"/>
    <w:rsid w:val="0013122A"/>
    <w:rsid w:val="00131485"/>
    <w:rsid w:val="00131590"/>
    <w:rsid w:val="001315E2"/>
    <w:rsid w:val="00131621"/>
    <w:rsid w:val="00131770"/>
    <w:rsid w:val="0013185E"/>
    <w:rsid w:val="00131867"/>
    <w:rsid w:val="0013194C"/>
    <w:rsid w:val="00131B4F"/>
    <w:rsid w:val="00131C7F"/>
    <w:rsid w:val="00131CAE"/>
    <w:rsid w:val="00131CCD"/>
    <w:rsid w:val="00131CEB"/>
    <w:rsid w:val="00131D2F"/>
    <w:rsid w:val="00131D4D"/>
    <w:rsid w:val="00131D98"/>
    <w:rsid w:val="001321C6"/>
    <w:rsid w:val="00132207"/>
    <w:rsid w:val="001322EC"/>
    <w:rsid w:val="00132324"/>
    <w:rsid w:val="00132474"/>
    <w:rsid w:val="001324F2"/>
    <w:rsid w:val="001326B2"/>
    <w:rsid w:val="001327C0"/>
    <w:rsid w:val="001327F3"/>
    <w:rsid w:val="0013285C"/>
    <w:rsid w:val="00132988"/>
    <w:rsid w:val="001329C1"/>
    <w:rsid w:val="00132B85"/>
    <w:rsid w:val="00132D5E"/>
    <w:rsid w:val="00132E60"/>
    <w:rsid w:val="00132ED1"/>
    <w:rsid w:val="00132EDE"/>
    <w:rsid w:val="00132F0F"/>
    <w:rsid w:val="00133027"/>
    <w:rsid w:val="00133243"/>
    <w:rsid w:val="001333E9"/>
    <w:rsid w:val="00133468"/>
    <w:rsid w:val="001338AC"/>
    <w:rsid w:val="00133994"/>
    <w:rsid w:val="00133A30"/>
    <w:rsid w:val="00133B79"/>
    <w:rsid w:val="00133BB2"/>
    <w:rsid w:val="00133CAA"/>
    <w:rsid w:val="00133D4B"/>
    <w:rsid w:val="00133EF3"/>
    <w:rsid w:val="00133F56"/>
    <w:rsid w:val="00133F69"/>
    <w:rsid w:val="00133F6E"/>
    <w:rsid w:val="00134087"/>
    <w:rsid w:val="001340EF"/>
    <w:rsid w:val="00134112"/>
    <w:rsid w:val="00134228"/>
    <w:rsid w:val="001342F5"/>
    <w:rsid w:val="00134350"/>
    <w:rsid w:val="00134426"/>
    <w:rsid w:val="001344A3"/>
    <w:rsid w:val="00134520"/>
    <w:rsid w:val="00134526"/>
    <w:rsid w:val="001345CC"/>
    <w:rsid w:val="00134721"/>
    <w:rsid w:val="0013477D"/>
    <w:rsid w:val="001347D3"/>
    <w:rsid w:val="001348F5"/>
    <w:rsid w:val="001348F9"/>
    <w:rsid w:val="00134921"/>
    <w:rsid w:val="00134982"/>
    <w:rsid w:val="00134A0D"/>
    <w:rsid w:val="00134A65"/>
    <w:rsid w:val="00134B4F"/>
    <w:rsid w:val="00134B74"/>
    <w:rsid w:val="00134B79"/>
    <w:rsid w:val="00134B9D"/>
    <w:rsid w:val="00134BEB"/>
    <w:rsid w:val="00134C95"/>
    <w:rsid w:val="00134CDD"/>
    <w:rsid w:val="00134D17"/>
    <w:rsid w:val="00134D47"/>
    <w:rsid w:val="00134DBB"/>
    <w:rsid w:val="00134E36"/>
    <w:rsid w:val="00134F27"/>
    <w:rsid w:val="00134F77"/>
    <w:rsid w:val="0013503B"/>
    <w:rsid w:val="00135223"/>
    <w:rsid w:val="00135253"/>
    <w:rsid w:val="0013525B"/>
    <w:rsid w:val="00135342"/>
    <w:rsid w:val="0013539A"/>
    <w:rsid w:val="001353E1"/>
    <w:rsid w:val="00135472"/>
    <w:rsid w:val="00135521"/>
    <w:rsid w:val="001355E4"/>
    <w:rsid w:val="0013562C"/>
    <w:rsid w:val="001357E8"/>
    <w:rsid w:val="00135995"/>
    <w:rsid w:val="001359D6"/>
    <w:rsid w:val="00135A33"/>
    <w:rsid w:val="00135A6A"/>
    <w:rsid w:val="00135B82"/>
    <w:rsid w:val="00135BCF"/>
    <w:rsid w:val="00135CEF"/>
    <w:rsid w:val="00135CF4"/>
    <w:rsid w:val="00135D44"/>
    <w:rsid w:val="00135DF3"/>
    <w:rsid w:val="00135E33"/>
    <w:rsid w:val="00135F7E"/>
    <w:rsid w:val="0013602E"/>
    <w:rsid w:val="001360A6"/>
    <w:rsid w:val="001361CD"/>
    <w:rsid w:val="0013621C"/>
    <w:rsid w:val="00136249"/>
    <w:rsid w:val="001362D8"/>
    <w:rsid w:val="001363B4"/>
    <w:rsid w:val="00136498"/>
    <w:rsid w:val="001364C7"/>
    <w:rsid w:val="001365CF"/>
    <w:rsid w:val="001365D2"/>
    <w:rsid w:val="0013661E"/>
    <w:rsid w:val="00136621"/>
    <w:rsid w:val="0013685F"/>
    <w:rsid w:val="001368DF"/>
    <w:rsid w:val="001368FD"/>
    <w:rsid w:val="001369D4"/>
    <w:rsid w:val="00136A1A"/>
    <w:rsid w:val="00136A50"/>
    <w:rsid w:val="00136AD2"/>
    <w:rsid w:val="00136C29"/>
    <w:rsid w:val="00136C3E"/>
    <w:rsid w:val="00136D3D"/>
    <w:rsid w:val="00136E1C"/>
    <w:rsid w:val="00136E7E"/>
    <w:rsid w:val="00137095"/>
    <w:rsid w:val="001370FB"/>
    <w:rsid w:val="0013714A"/>
    <w:rsid w:val="00137194"/>
    <w:rsid w:val="001371BF"/>
    <w:rsid w:val="001371F6"/>
    <w:rsid w:val="00137228"/>
    <w:rsid w:val="001372F0"/>
    <w:rsid w:val="001373EF"/>
    <w:rsid w:val="00137412"/>
    <w:rsid w:val="001374E7"/>
    <w:rsid w:val="001375A1"/>
    <w:rsid w:val="001375C6"/>
    <w:rsid w:val="0013765F"/>
    <w:rsid w:val="00137756"/>
    <w:rsid w:val="00137769"/>
    <w:rsid w:val="001378D4"/>
    <w:rsid w:val="00137999"/>
    <w:rsid w:val="001379E1"/>
    <w:rsid w:val="00137A68"/>
    <w:rsid w:val="00137ACF"/>
    <w:rsid w:val="00137B2C"/>
    <w:rsid w:val="00137C1A"/>
    <w:rsid w:val="00137C68"/>
    <w:rsid w:val="00137C75"/>
    <w:rsid w:val="00137C9D"/>
    <w:rsid w:val="00137DC1"/>
    <w:rsid w:val="00137E08"/>
    <w:rsid w:val="00137EC4"/>
    <w:rsid w:val="00137F21"/>
    <w:rsid w:val="00137FD4"/>
    <w:rsid w:val="00140256"/>
    <w:rsid w:val="0014029B"/>
    <w:rsid w:val="001402D0"/>
    <w:rsid w:val="001402E0"/>
    <w:rsid w:val="00140372"/>
    <w:rsid w:val="001403E4"/>
    <w:rsid w:val="00140601"/>
    <w:rsid w:val="00140651"/>
    <w:rsid w:val="001407EB"/>
    <w:rsid w:val="001408C3"/>
    <w:rsid w:val="001409B9"/>
    <w:rsid w:val="001409F2"/>
    <w:rsid w:val="00140AC1"/>
    <w:rsid w:val="00140B3A"/>
    <w:rsid w:val="00140BBC"/>
    <w:rsid w:val="00140C4B"/>
    <w:rsid w:val="00140C8B"/>
    <w:rsid w:val="00140CA3"/>
    <w:rsid w:val="00140D4A"/>
    <w:rsid w:val="00140DE0"/>
    <w:rsid w:val="00140F59"/>
    <w:rsid w:val="00140F67"/>
    <w:rsid w:val="00141017"/>
    <w:rsid w:val="0014129D"/>
    <w:rsid w:val="001412DC"/>
    <w:rsid w:val="001412EF"/>
    <w:rsid w:val="001413CD"/>
    <w:rsid w:val="00141473"/>
    <w:rsid w:val="0014148F"/>
    <w:rsid w:val="001414FA"/>
    <w:rsid w:val="00141542"/>
    <w:rsid w:val="00141616"/>
    <w:rsid w:val="00141759"/>
    <w:rsid w:val="00141835"/>
    <w:rsid w:val="00141937"/>
    <w:rsid w:val="001419E6"/>
    <w:rsid w:val="00141A97"/>
    <w:rsid w:val="00141B60"/>
    <w:rsid w:val="00141D38"/>
    <w:rsid w:val="00141DAC"/>
    <w:rsid w:val="00141E19"/>
    <w:rsid w:val="00141F2D"/>
    <w:rsid w:val="001420FD"/>
    <w:rsid w:val="00142103"/>
    <w:rsid w:val="00142171"/>
    <w:rsid w:val="00142288"/>
    <w:rsid w:val="0014228A"/>
    <w:rsid w:val="001422B5"/>
    <w:rsid w:val="0014231D"/>
    <w:rsid w:val="0014246A"/>
    <w:rsid w:val="00142479"/>
    <w:rsid w:val="001424E5"/>
    <w:rsid w:val="00142585"/>
    <w:rsid w:val="001425A1"/>
    <w:rsid w:val="001426B8"/>
    <w:rsid w:val="001426D0"/>
    <w:rsid w:val="00142725"/>
    <w:rsid w:val="001427ED"/>
    <w:rsid w:val="0014287F"/>
    <w:rsid w:val="00142949"/>
    <w:rsid w:val="00142B8A"/>
    <w:rsid w:val="00142D64"/>
    <w:rsid w:val="00142EA3"/>
    <w:rsid w:val="00142F2A"/>
    <w:rsid w:val="00142FE8"/>
    <w:rsid w:val="00143014"/>
    <w:rsid w:val="00143017"/>
    <w:rsid w:val="00143164"/>
    <w:rsid w:val="001431D8"/>
    <w:rsid w:val="001433CC"/>
    <w:rsid w:val="001433F1"/>
    <w:rsid w:val="001434AA"/>
    <w:rsid w:val="00143542"/>
    <w:rsid w:val="001435E7"/>
    <w:rsid w:val="00143671"/>
    <w:rsid w:val="00143694"/>
    <w:rsid w:val="0014384C"/>
    <w:rsid w:val="00143968"/>
    <w:rsid w:val="001439DE"/>
    <w:rsid w:val="00143AA1"/>
    <w:rsid w:val="00143B76"/>
    <w:rsid w:val="00143B83"/>
    <w:rsid w:val="00143C38"/>
    <w:rsid w:val="00143CA7"/>
    <w:rsid w:val="00143CF6"/>
    <w:rsid w:val="00143D52"/>
    <w:rsid w:val="00143E43"/>
    <w:rsid w:val="00143EF3"/>
    <w:rsid w:val="00143F56"/>
    <w:rsid w:val="00144169"/>
    <w:rsid w:val="001441D9"/>
    <w:rsid w:val="0014424C"/>
    <w:rsid w:val="00144291"/>
    <w:rsid w:val="001442CE"/>
    <w:rsid w:val="001442E6"/>
    <w:rsid w:val="00144457"/>
    <w:rsid w:val="00144483"/>
    <w:rsid w:val="0014451F"/>
    <w:rsid w:val="001446DE"/>
    <w:rsid w:val="00144873"/>
    <w:rsid w:val="00144879"/>
    <w:rsid w:val="001448E2"/>
    <w:rsid w:val="0014496E"/>
    <w:rsid w:val="001449C6"/>
    <w:rsid w:val="00144A19"/>
    <w:rsid w:val="00144A1B"/>
    <w:rsid w:val="00144A8F"/>
    <w:rsid w:val="00144BF1"/>
    <w:rsid w:val="00144CE2"/>
    <w:rsid w:val="00144D09"/>
    <w:rsid w:val="00144E1E"/>
    <w:rsid w:val="00144E9E"/>
    <w:rsid w:val="00144FE6"/>
    <w:rsid w:val="00145005"/>
    <w:rsid w:val="0014504F"/>
    <w:rsid w:val="00145050"/>
    <w:rsid w:val="001450C8"/>
    <w:rsid w:val="00145117"/>
    <w:rsid w:val="001451CB"/>
    <w:rsid w:val="001451DC"/>
    <w:rsid w:val="001454B3"/>
    <w:rsid w:val="00145684"/>
    <w:rsid w:val="00145689"/>
    <w:rsid w:val="0014573D"/>
    <w:rsid w:val="0014575E"/>
    <w:rsid w:val="0014579D"/>
    <w:rsid w:val="00145872"/>
    <w:rsid w:val="00145917"/>
    <w:rsid w:val="00145A6C"/>
    <w:rsid w:val="00145AD4"/>
    <w:rsid w:val="00145AE8"/>
    <w:rsid w:val="00145BE8"/>
    <w:rsid w:val="00145BF1"/>
    <w:rsid w:val="00145C20"/>
    <w:rsid w:val="00145C2C"/>
    <w:rsid w:val="00145C47"/>
    <w:rsid w:val="00145D05"/>
    <w:rsid w:val="00145E60"/>
    <w:rsid w:val="00145FDA"/>
    <w:rsid w:val="00146131"/>
    <w:rsid w:val="0014622E"/>
    <w:rsid w:val="00146303"/>
    <w:rsid w:val="0014639E"/>
    <w:rsid w:val="001463FF"/>
    <w:rsid w:val="001464F6"/>
    <w:rsid w:val="0014651D"/>
    <w:rsid w:val="0014658C"/>
    <w:rsid w:val="001465DF"/>
    <w:rsid w:val="00146675"/>
    <w:rsid w:val="001466FD"/>
    <w:rsid w:val="0014670B"/>
    <w:rsid w:val="00146870"/>
    <w:rsid w:val="0014688F"/>
    <w:rsid w:val="001468E9"/>
    <w:rsid w:val="00146967"/>
    <w:rsid w:val="00146AD3"/>
    <w:rsid w:val="00146B93"/>
    <w:rsid w:val="00146BD2"/>
    <w:rsid w:val="00146DD3"/>
    <w:rsid w:val="00146E8E"/>
    <w:rsid w:val="001471E9"/>
    <w:rsid w:val="0014722C"/>
    <w:rsid w:val="0014728D"/>
    <w:rsid w:val="0014729E"/>
    <w:rsid w:val="0014737D"/>
    <w:rsid w:val="00147478"/>
    <w:rsid w:val="00147481"/>
    <w:rsid w:val="0014754F"/>
    <w:rsid w:val="001475D5"/>
    <w:rsid w:val="001476B6"/>
    <w:rsid w:val="0014776C"/>
    <w:rsid w:val="001477C9"/>
    <w:rsid w:val="00147818"/>
    <w:rsid w:val="0014781A"/>
    <w:rsid w:val="00147893"/>
    <w:rsid w:val="001479F7"/>
    <w:rsid w:val="00147A7C"/>
    <w:rsid w:val="00147AB3"/>
    <w:rsid w:val="00147AD8"/>
    <w:rsid w:val="00147AE2"/>
    <w:rsid w:val="00147BC0"/>
    <w:rsid w:val="00147BC8"/>
    <w:rsid w:val="00147C75"/>
    <w:rsid w:val="00147CD9"/>
    <w:rsid w:val="00147D23"/>
    <w:rsid w:val="00147DB5"/>
    <w:rsid w:val="00147EFA"/>
    <w:rsid w:val="001500A5"/>
    <w:rsid w:val="001500F1"/>
    <w:rsid w:val="001501B7"/>
    <w:rsid w:val="0015039F"/>
    <w:rsid w:val="001503AE"/>
    <w:rsid w:val="00150431"/>
    <w:rsid w:val="00150480"/>
    <w:rsid w:val="001504DA"/>
    <w:rsid w:val="001504DD"/>
    <w:rsid w:val="001504ED"/>
    <w:rsid w:val="00150590"/>
    <w:rsid w:val="00150732"/>
    <w:rsid w:val="00150749"/>
    <w:rsid w:val="0015089E"/>
    <w:rsid w:val="001508BB"/>
    <w:rsid w:val="001508BE"/>
    <w:rsid w:val="00150970"/>
    <w:rsid w:val="001509FB"/>
    <w:rsid w:val="00150A7E"/>
    <w:rsid w:val="00150AF2"/>
    <w:rsid w:val="00150D3D"/>
    <w:rsid w:val="00150F55"/>
    <w:rsid w:val="00150FC2"/>
    <w:rsid w:val="0015101B"/>
    <w:rsid w:val="001510A0"/>
    <w:rsid w:val="00151132"/>
    <w:rsid w:val="0015127A"/>
    <w:rsid w:val="001513EB"/>
    <w:rsid w:val="001514B6"/>
    <w:rsid w:val="0015153B"/>
    <w:rsid w:val="00151641"/>
    <w:rsid w:val="00151655"/>
    <w:rsid w:val="0015173A"/>
    <w:rsid w:val="001518BE"/>
    <w:rsid w:val="00151969"/>
    <w:rsid w:val="00151A17"/>
    <w:rsid w:val="00151A88"/>
    <w:rsid w:val="00151AC6"/>
    <w:rsid w:val="00151B23"/>
    <w:rsid w:val="00151B76"/>
    <w:rsid w:val="00151B8E"/>
    <w:rsid w:val="00151B9D"/>
    <w:rsid w:val="00151BB9"/>
    <w:rsid w:val="00151BCA"/>
    <w:rsid w:val="00151C29"/>
    <w:rsid w:val="00151DB2"/>
    <w:rsid w:val="00152007"/>
    <w:rsid w:val="00152099"/>
    <w:rsid w:val="00152171"/>
    <w:rsid w:val="001521B1"/>
    <w:rsid w:val="001521F1"/>
    <w:rsid w:val="00152240"/>
    <w:rsid w:val="0015224B"/>
    <w:rsid w:val="00152280"/>
    <w:rsid w:val="001522E0"/>
    <w:rsid w:val="001522F9"/>
    <w:rsid w:val="0015235C"/>
    <w:rsid w:val="00152395"/>
    <w:rsid w:val="001524FD"/>
    <w:rsid w:val="00152680"/>
    <w:rsid w:val="00152723"/>
    <w:rsid w:val="00152773"/>
    <w:rsid w:val="0015285A"/>
    <w:rsid w:val="00152905"/>
    <w:rsid w:val="00152A84"/>
    <w:rsid w:val="00152BAE"/>
    <w:rsid w:val="00152BEF"/>
    <w:rsid w:val="00152C9B"/>
    <w:rsid w:val="00152CEB"/>
    <w:rsid w:val="00152CF1"/>
    <w:rsid w:val="00152D5D"/>
    <w:rsid w:val="00152E01"/>
    <w:rsid w:val="00152FA6"/>
    <w:rsid w:val="00152FE8"/>
    <w:rsid w:val="001530B3"/>
    <w:rsid w:val="00153160"/>
    <w:rsid w:val="0015330C"/>
    <w:rsid w:val="0015340B"/>
    <w:rsid w:val="00153486"/>
    <w:rsid w:val="00153582"/>
    <w:rsid w:val="001535DC"/>
    <w:rsid w:val="001535E8"/>
    <w:rsid w:val="00153783"/>
    <w:rsid w:val="001537D8"/>
    <w:rsid w:val="001537EE"/>
    <w:rsid w:val="001537FD"/>
    <w:rsid w:val="001539D8"/>
    <w:rsid w:val="00153AD2"/>
    <w:rsid w:val="00153B57"/>
    <w:rsid w:val="00153B64"/>
    <w:rsid w:val="00153BB0"/>
    <w:rsid w:val="00153D74"/>
    <w:rsid w:val="00153DB9"/>
    <w:rsid w:val="00153E0B"/>
    <w:rsid w:val="00153EDC"/>
    <w:rsid w:val="00153F2F"/>
    <w:rsid w:val="00153F49"/>
    <w:rsid w:val="00153FAA"/>
    <w:rsid w:val="00153FFC"/>
    <w:rsid w:val="0015401B"/>
    <w:rsid w:val="001542C7"/>
    <w:rsid w:val="001542E0"/>
    <w:rsid w:val="001543C4"/>
    <w:rsid w:val="00154481"/>
    <w:rsid w:val="001545DD"/>
    <w:rsid w:val="00154652"/>
    <w:rsid w:val="001546D5"/>
    <w:rsid w:val="00154767"/>
    <w:rsid w:val="00154814"/>
    <w:rsid w:val="0015491D"/>
    <w:rsid w:val="0015496A"/>
    <w:rsid w:val="00154971"/>
    <w:rsid w:val="001549C6"/>
    <w:rsid w:val="00154A02"/>
    <w:rsid w:val="00154A29"/>
    <w:rsid w:val="00154A37"/>
    <w:rsid w:val="00154A4C"/>
    <w:rsid w:val="00154A4E"/>
    <w:rsid w:val="00154ADF"/>
    <w:rsid w:val="00154BD0"/>
    <w:rsid w:val="00154C02"/>
    <w:rsid w:val="00154C16"/>
    <w:rsid w:val="00154C30"/>
    <w:rsid w:val="00154C86"/>
    <w:rsid w:val="00154CE5"/>
    <w:rsid w:val="00154D17"/>
    <w:rsid w:val="00154D21"/>
    <w:rsid w:val="00154DBA"/>
    <w:rsid w:val="00154EAA"/>
    <w:rsid w:val="001550A7"/>
    <w:rsid w:val="00155229"/>
    <w:rsid w:val="00155255"/>
    <w:rsid w:val="001552E7"/>
    <w:rsid w:val="00155341"/>
    <w:rsid w:val="0015534E"/>
    <w:rsid w:val="00155494"/>
    <w:rsid w:val="001554B2"/>
    <w:rsid w:val="001554D2"/>
    <w:rsid w:val="001554D7"/>
    <w:rsid w:val="00155519"/>
    <w:rsid w:val="0015551C"/>
    <w:rsid w:val="0015552A"/>
    <w:rsid w:val="001556DC"/>
    <w:rsid w:val="00155725"/>
    <w:rsid w:val="00155763"/>
    <w:rsid w:val="00155785"/>
    <w:rsid w:val="0015579B"/>
    <w:rsid w:val="001558F1"/>
    <w:rsid w:val="001559AE"/>
    <w:rsid w:val="00155A06"/>
    <w:rsid w:val="00155A1C"/>
    <w:rsid w:val="00155AA4"/>
    <w:rsid w:val="00155B39"/>
    <w:rsid w:val="00155BE0"/>
    <w:rsid w:val="00155CCB"/>
    <w:rsid w:val="00155CE5"/>
    <w:rsid w:val="00155CEE"/>
    <w:rsid w:val="00155D28"/>
    <w:rsid w:val="00155D4D"/>
    <w:rsid w:val="00155D7D"/>
    <w:rsid w:val="00155D88"/>
    <w:rsid w:val="00155E48"/>
    <w:rsid w:val="00155F64"/>
    <w:rsid w:val="001560B1"/>
    <w:rsid w:val="001560B8"/>
    <w:rsid w:val="001560EA"/>
    <w:rsid w:val="00156169"/>
    <w:rsid w:val="001562AA"/>
    <w:rsid w:val="00156418"/>
    <w:rsid w:val="0015646D"/>
    <w:rsid w:val="0015649E"/>
    <w:rsid w:val="0015652E"/>
    <w:rsid w:val="00156547"/>
    <w:rsid w:val="0015657E"/>
    <w:rsid w:val="00156769"/>
    <w:rsid w:val="0015680C"/>
    <w:rsid w:val="001568E6"/>
    <w:rsid w:val="001569FF"/>
    <w:rsid w:val="00156A7E"/>
    <w:rsid w:val="00156AEF"/>
    <w:rsid w:val="00156B49"/>
    <w:rsid w:val="00156BD8"/>
    <w:rsid w:val="00156C36"/>
    <w:rsid w:val="00156D42"/>
    <w:rsid w:val="00156DCB"/>
    <w:rsid w:val="00156E55"/>
    <w:rsid w:val="00156FC5"/>
    <w:rsid w:val="00156FD3"/>
    <w:rsid w:val="001570A3"/>
    <w:rsid w:val="00157169"/>
    <w:rsid w:val="001571B6"/>
    <w:rsid w:val="001572AB"/>
    <w:rsid w:val="001573E5"/>
    <w:rsid w:val="0015790D"/>
    <w:rsid w:val="00157976"/>
    <w:rsid w:val="00157A2A"/>
    <w:rsid w:val="00157A71"/>
    <w:rsid w:val="00157AAF"/>
    <w:rsid w:val="00157AB7"/>
    <w:rsid w:val="00157C7A"/>
    <w:rsid w:val="00157C8D"/>
    <w:rsid w:val="00157CE3"/>
    <w:rsid w:val="00157E07"/>
    <w:rsid w:val="00157F28"/>
    <w:rsid w:val="00157F8F"/>
    <w:rsid w:val="00160012"/>
    <w:rsid w:val="0016019E"/>
    <w:rsid w:val="00160271"/>
    <w:rsid w:val="001602C3"/>
    <w:rsid w:val="00160308"/>
    <w:rsid w:val="00160344"/>
    <w:rsid w:val="00160418"/>
    <w:rsid w:val="0016041A"/>
    <w:rsid w:val="00160428"/>
    <w:rsid w:val="001604C1"/>
    <w:rsid w:val="0016051E"/>
    <w:rsid w:val="00160534"/>
    <w:rsid w:val="001605E1"/>
    <w:rsid w:val="00160617"/>
    <w:rsid w:val="00160680"/>
    <w:rsid w:val="00160687"/>
    <w:rsid w:val="00160854"/>
    <w:rsid w:val="00160867"/>
    <w:rsid w:val="00160916"/>
    <w:rsid w:val="0016093A"/>
    <w:rsid w:val="00160954"/>
    <w:rsid w:val="0016098C"/>
    <w:rsid w:val="00160AF9"/>
    <w:rsid w:val="00160BB8"/>
    <w:rsid w:val="00160C65"/>
    <w:rsid w:val="00160C97"/>
    <w:rsid w:val="00160CB7"/>
    <w:rsid w:val="00160D1F"/>
    <w:rsid w:val="00160D5E"/>
    <w:rsid w:val="00160F59"/>
    <w:rsid w:val="00160F6E"/>
    <w:rsid w:val="00161070"/>
    <w:rsid w:val="00161072"/>
    <w:rsid w:val="001614A3"/>
    <w:rsid w:val="001614A9"/>
    <w:rsid w:val="001614CE"/>
    <w:rsid w:val="001615B4"/>
    <w:rsid w:val="001615ED"/>
    <w:rsid w:val="00161714"/>
    <w:rsid w:val="00161724"/>
    <w:rsid w:val="0016179A"/>
    <w:rsid w:val="001617D8"/>
    <w:rsid w:val="00161A0F"/>
    <w:rsid w:val="00161B9F"/>
    <w:rsid w:val="00161CE1"/>
    <w:rsid w:val="00161D4F"/>
    <w:rsid w:val="00161E83"/>
    <w:rsid w:val="00161FE3"/>
    <w:rsid w:val="0016203E"/>
    <w:rsid w:val="00162077"/>
    <w:rsid w:val="001620B0"/>
    <w:rsid w:val="001620E7"/>
    <w:rsid w:val="001620F9"/>
    <w:rsid w:val="0016211F"/>
    <w:rsid w:val="00162176"/>
    <w:rsid w:val="00162223"/>
    <w:rsid w:val="0016230F"/>
    <w:rsid w:val="0016238F"/>
    <w:rsid w:val="001624A4"/>
    <w:rsid w:val="001624D3"/>
    <w:rsid w:val="0016258F"/>
    <w:rsid w:val="00162686"/>
    <w:rsid w:val="001626B7"/>
    <w:rsid w:val="001626CC"/>
    <w:rsid w:val="001626D3"/>
    <w:rsid w:val="00162839"/>
    <w:rsid w:val="001628AB"/>
    <w:rsid w:val="00162BF3"/>
    <w:rsid w:val="00162CAA"/>
    <w:rsid w:val="00162CD1"/>
    <w:rsid w:val="00162D61"/>
    <w:rsid w:val="00162D74"/>
    <w:rsid w:val="00162E1A"/>
    <w:rsid w:val="00162E1D"/>
    <w:rsid w:val="001630EC"/>
    <w:rsid w:val="00163173"/>
    <w:rsid w:val="0016319F"/>
    <w:rsid w:val="001631D8"/>
    <w:rsid w:val="001632C7"/>
    <w:rsid w:val="001633BF"/>
    <w:rsid w:val="00163561"/>
    <w:rsid w:val="00163604"/>
    <w:rsid w:val="00163767"/>
    <w:rsid w:val="001637B1"/>
    <w:rsid w:val="001637BE"/>
    <w:rsid w:val="00163845"/>
    <w:rsid w:val="0016385C"/>
    <w:rsid w:val="00163A6B"/>
    <w:rsid w:val="00163A6C"/>
    <w:rsid w:val="00163A7A"/>
    <w:rsid w:val="00163A9E"/>
    <w:rsid w:val="00163B0F"/>
    <w:rsid w:val="00163B75"/>
    <w:rsid w:val="00163CF7"/>
    <w:rsid w:val="00163D26"/>
    <w:rsid w:val="00163E01"/>
    <w:rsid w:val="00163E3B"/>
    <w:rsid w:val="00163EB2"/>
    <w:rsid w:val="0016401C"/>
    <w:rsid w:val="00164052"/>
    <w:rsid w:val="001640A2"/>
    <w:rsid w:val="001640BD"/>
    <w:rsid w:val="001641A3"/>
    <w:rsid w:val="001641ED"/>
    <w:rsid w:val="001642A6"/>
    <w:rsid w:val="00164339"/>
    <w:rsid w:val="001643B6"/>
    <w:rsid w:val="001643D3"/>
    <w:rsid w:val="0016448B"/>
    <w:rsid w:val="00164546"/>
    <w:rsid w:val="00164639"/>
    <w:rsid w:val="00164670"/>
    <w:rsid w:val="001646B9"/>
    <w:rsid w:val="001646DB"/>
    <w:rsid w:val="001646F7"/>
    <w:rsid w:val="0016471B"/>
    <w:rsid w:val="00164797"/>
    <w:rsid w:val="001647D7"/>
    <w:rsid w:val="001648D3"/>
    <w:rsid w:val="00164A08"/>
    <w:rsid w:val="00164AEF"/>
    <w:rsid w:val="00164B52"/>
    <w:rsid w:val="00164C1B"/>
    <w:rsid w:val="00164CB0"/>
    <w:rsid w:val="00164CD3"/>
    <w:rsid w:val="00164D9E"/>
    <w:rsid w:val="00164DE0"/>
    <w:rsid w:val="00164E2F"/>
    <w:rsid w:val="00164F45"/>
    <w:rsid w:val="00164FE8"/>
    <w:rsid w:val="0016514E"/>
    <w:rsid w:val="0016517A"/>
    <w:rsid w:val="00165210"/>
    <w:rsid w:val="00165226"/>
    <w:rsid w:val="00165327"/>
    <w:rsid w:val="00165387"/>
    <w:rsid w:val="001653A0"/>
    <w:rsid w:val="00165412"/>
    <w:rsid w:val="00165415"/>
    <w:rsid w:val="00165471"/>
    <w:rsid w:val="00165507"/>
    <w:rsid w:val="0016562D"/>
    <w:rsid w:val="001657FC"/>
    <w:rsid w:val="001658BE"/>
    <w:rsid w:val="0016597D"/>
    <w:rsid w:val="001659D1"/>
    <w:rsid w:val="00165A30"/>
    <w:rsid w:val="00165A3A"/>
    <w:rsid w:val="00165A3D"/>
    <w:rsid w:val="00165B75"/>
    <w:rsid w:val="00165D07"/>
    <w:rsid w:val="00165D08"/>
    <w:rsid w:val="00165DFB"/>
    <w:rsid w:val="00166033"/>
    <w:rsid w:val="0016608C"/>
    <w:rsid w:val="00166252"/>
    <w:rsid w:val="00166305"/>
    <w:rsid w:val="001663DB"/>
    <w:rsid w:val="001664E5"/>
    <w:rsid w:val="00166669"/>
    <w:rsid w:val="0016670A"/>
    <w:rsid w:val="00166950"/>
    <w:rsid w:val="00166972"/>
    <w:rsid w:val="00166BFA"/>
    <w:rsid w:val="00166C38"/>
    <w:rsid w:val="00166CA2"/>
    <w:rsid w:val="00166CDD"/>
    <w:rsid w:val="00166D6F"/>
    <w:rsid w:val="00166DF1"/>
    <w:rsid w:val="00166EDB"/>
    <w:rsid w:val="00166EDF"/>
    <w:rsid w:val="00166EE2"/>
    <w:rsid w:val="00166EF0"/>
    <w:rsid w:val="00166F00"/>
    <w:rsid w:val="00166F7F"/>
    <w:rsid w:val="00166FE8"/>
    <w:rsid w:val="0016718A"/>
    <w:rsid w:val="0016720C"/>
    <w:rsid w:val="0016722A"/>
    <w:rsid w:val="0016722F"/>
    <w:rsid w:val="00167266"/>
    <w:rsid w:val="00167287"/>
    <w:rsid w:val="00167297"/>
    <w:rsid w:val="001672CE"/>
    <w:rsid w:val="001672ED"/>
    <w:rsid w:val="0016733F"/>
    <w:rsid w:val="001673E8"/>
    <w:rsid w:val="00167447"/>
    <w:rsid w:val="001675B5"/>
    <w:rsid w:val="00167639"/>
    <w:rsid w:val="0016786F"/>
    <w:rsid w:val="001678B7"/>
    <w:rsid w:val="00167915"/>
    <w:rsid w:val="00167949"/>
    <w:rsid w:val="00167979"/>
    <w:rsid w:val="00167A06"/>
    <w:rsid w:val="00167D23"/>
    <w:rsid w:val="00167D3A"/>
    <w:rsid w:val="00167F34"/>
    <w:rsid w:val="00167F38"/>
    <w:rsid w:val="00167F8D"/>
    <w:rsid w:val="0017001F"/>
    <w:rsid w:val="00170039"/>
    <w:rsid w:val="001700CF"/>
    <w:rsid w:val="00170145"/>
    <w:rsid w:val="00170214"/>
    <w:rsid w:val="00170298"/>
    <w:rsid w:val="00170430"/>
    <w:rsid w:val="001705CC"/>
    <w:rsid w:val="001707AB"/>
    <w:rsid w:val="00170844"/>
    <w:rsid w:val="001708A1"/>
    <w:rsid w:val="001708AC"/>
    <w:rsid w:val="00170B37"/>
    <w:rsid w:val="00170BF0"/>
    <w:rsid w:val="00170D3E"/>
    <w:rsid w:val="00170D9F"/>
    <w:rsid w:val="00170E39"/>
    <w:rsid w:val="00170EA6"/>
    <w:rsid w:val="00170EB6"/>
    <w:rsid w:val="00170F58"/>
    <w:rsid w:val="00170F82"/>
    <w:rsid w:val="00170FEA"/>
    <w:rsid w:val="00171085"/>
    <w:rsid w:val="001710E6"/>
    <w:rsid w:val="00171110"/>
    <w:rsid w:val="00171209"/>
    <w:rsid w:val="001714E1"/>
    <w:rsid w:val="00171514"/>
    <w:rsid w:val="00171556"/>
    <w:rsid w:val="0017160A"/>
    <w:rsid w:val="001716AF"/>
    <w:rsid w:val="001718A0"/>
    <w:rsid w:val="0017190A"/>
    <w:rsid w:val="00171BB1"/>
    <w:rsid w:val="00171CAC"/>
    <w:rsid w:val="00171CB8"/>
    <w:rsid w:val="00171CC1"/>
    <w:rsid w:val="00171DB6"/>
    <w:rsid w:val="00171F3E"/>
    <w:rsid w:val="00171FB7"/>
    <w:rsid w:val="00172073"/>
    <w:rsid w:val="0017228E"/>
    <w:rsid w:val="001722E5"/>
    <w:rsid w:val="0017244F"/>
    <w:rsid w:val="0017260C"/>
    <w:rsid w:val="001726FC"/>
    <w:rsid w:val="0017286F"/>
    <w:rsid w:val="001728EE"/>
    <w:rsid w:val="001729DD"/>
    <w:rsid w:val="00172A66"/>
    <w:rsid w:val="00172B31"/>
    <w:rsid w:val="00172BE7"/>
    <w:rsid w:val="00172CE2"/>
    <w:rsid w:val="00172D2F"/>
    <w:rsid w:val="00172E21"/>
    <w:rsid w:val="00172EF6"/>
    <w:rsid w:val="00173018"/>
    <w:rsid w:val="001730B1"/>
    <w:rsid w:val="0017321A"/>
    <w:rsid w:val="001734BB"/>
    <w:rsid w:val="0017361B"/>
    <w:rsid w:val="00173744"/>
    <w:rsid w:val="001737A4"/>
    <w:rsid w:val="0017383C"/>
    <w:rsid w:val="0017389B"/>
    <w:rsid w:val="001738AC"/>
    <w:rsid w:val="00173A3D"/>
    <w:rsid w:val="00173B14"/>
    <w:rsid w:val="00173BFC"/>
    <w:rsid w:val="00173C07"/>
    <w:rsid w:val="00173C3E"/>
    <w:rsid w:val="00173D06"/>
    <w:rsid w:val="00173E22"/>
    <w:rsid w:val="00173EF3"/>
    <w:rsid w:val="00174120"/>
    <w:rsid w:val="00174321"/>
    <w:rsid w:val="001743A2"/>
    <w:rsid w:val="00174439"/>
    <w:rsid w:val="001745B6"/>
    <w:rsid w:val="0017463E"/>
    <w:rsid w:val="0017468A"/>
    <w:rsid w:val="0017483F"/>
    <w:rsid w:val="00174842"/>
    <w:rsid w:val="00174AD1"/>
    <w:rsid w:val="00174B05"/>
    <w:rsid w:val="00174B5C"/>
    <w:rsid w:val="00174B96"/>
    <w:rsid w:val="00174C2B"/>
    <w:rsid w:val="00174CE3"/>
    <w:rsid w:val="00174D64"/>
    <w:rsid w:val="00174DF8"/>
    <w:rsid w:val="00174EE2"/>
    <w:rsid w:val="00174FF3"/>
    <w:rsid w:val="0017503E"/>
    <w:rsid w:val="0017504F"/>
    <w:rsid w:val="00175223"/>
    <w:rsid w:val="001752D5"/>
    <w:rsid w:val="0017534E"/>
    <w:rsid w:val="00175451"/>
    <w:rsid w:val="001754A2"/>
    <w:rsid w:val="00175545"/>
    <w:rsid w:val="001755A8"/>
    <w:rsid w:val="001757A2"/>
    <w:rsid w:val="001758AC"/>
    <w:rsid w:val="0017595F"/>
    <w:rsid w:val="001759CE"/>
    <w:rsid w:val="001759FB"/>
    <w:rsid w:val="00175BC5"/>
    <w:rsid w:val="00175C3E"/>
    <w:rsid w:val="00175DBA"/>
    <w:rsid w:val="00175DE3"/>
    <w:rsid w:val="00175DEA"/>
    <w:rsid w:val="00175E5C"/>
    <w:rsid w:val="0017605B"/>
    <w:rsid w:val="00176144"/>
    <w:rsid w:val="001761FF"/>
    <w:rsid w:val="0017620C"/>
    <w:rsid w:val="00176295"/>
    <w:rsid w:val="00176322"/>
    <w:rsid w:val="0017637B"/>
    <w:rsid w:val="00176399"/>
    <w:rsid w:val="00176461"/>
    <w:rsid w:val="00176649"/>
    <w:rsid w:val="0017688C"/>
    <w:rsid w:val="0017694E"/>
    <w:rsid w:val="00176B1A"/>
    <w:rsid w:val="00176C23"/>
    <w:rsid w:val="00176C90"/>
    <w:rsid w:val="00176CB7"/>
    <w:rsid w:val="00176E30"/>
    <w:rsid w:val="00176E7C"/>
    <w:rsid w:val="00176E92"/>
    <w:rsid w:val="00176FFC"/>
    <w:rsid w:val="0017704C"/>
    <w:rsid w:val="0017710B"/>
    <w:rsid w:val="0017715F"/>
    <w:rsid w:val="00177162"/>
    <w:rsid w:val="00177283"/>
    <w:rsid w:val="00177386"/>
    <w:rsid w:val="00177387"/>
    <w:rsid w:val="00177429"/>
    <w:rsid w:val="0017761D"/>
    <w:rsid w:val="00177766"/>
    <w:rsid w:val="001777BF"/>
    <w:rsid w:val="00177806"/>
    <w:rsid w:val="0017786F"/>
    <w:rsid w:val="001778CD"/>
    <w:rsid w:val="00177A56"/>
    <w:rsid w:val="00177BE4"/>
    <w:rsid w:val="00177C50"/>
    <w:rsid w:val="00177C9E"/>
    <w:rsid w:val="00177D1A"/>
    <w:rsid w:val="00177E39"/>
    <w:rsid w:val="00177E52"/>
    <w:rsid w:val="00177E5D"/>
    <w:rsid w:val="00177E8B"/>
    <w:rsid w:val="00177E96"/>
    <w:rsid w:val="00177EC4"/>
    <w:rsid w:val="00177FAF"/>
    <w:rsid w:val="00177FD3"/>
    <w:rsid w:val="0018000F"/>
    <w:rsid w:val="0018005B"/>
    <w:rsid w:val="00180100"/>
    <w:rsid w:val="0018026B"/>
    <w:rsid w:val="001802E7"/>
    <w:rsid w:val="00180322"/>
    <w:rsid w:val="001803AD"/>
    <w:rsid w:val="00180478"/>
    <w:rsid w:val="0018051E"/>
    <w:rsid w:val="00180579"/>
    <w:rsid w:val="001805F1"/>
    <w:rsid w:val="00180662"/>
    <w:rsid w:val="00180665"/>
    <w:rsid w:val="00180728"/>
    <w:rsid w:val="001807D7"/>
    <w:rsid w:val="001807EF"/>
    <w:rsid w:val="00180919"/>
    <w:rsid w:val="001809A9"/>
    <w:rsid w:val="00180A5F"/>
    <w:rsid w:val="00180AC1"/>
    <w:rsid w:val="00180B3F"/>
    <w:rsid w:val="00180B44"/>
    <w:rsid w:val="00180C32"/>
    <w:rsid w:val="00180C5D"/>
    <w:rsid w:val="00180FF3"/>
    <w:rsid w:val="001810BD"/>
    <w:rsid w:val="001810F4"/>
    <w:rsid w:val="001811D1"/>
    <w:rsid w:val="001812EB"/>
    <w:rsid w:val="0018134B"/>
    <w:rsid w:val="00181357"/>
    <w:rsid w:val="0018149C"/>
    <w:rsid w:val="0018160F"/>
    <w:rsid w:val="00181712"/>
    <w:rsid w:val="00181758"/>
    <w:rsid w:val="001817A1"/>
    <w:rsid w:val="001817AD"/>
    <w:rsid w:val="001817F5"/>
    <w:rsid w:val="001818C8"/>
    <w:rsid w:val="00181A0A"/>
    <w:rsid w:val="00181A77"/>
    <w:rsid w:val="00181A82"/>
    <w:rsid w:val="00181AAE"/>
    <w:rsid w:val="00181BC5"/>
    <w:rsid w:val="00181C36"/>
    <w:rsid w:val="00181D7B"/>
    <w:rsid w:val="00181DE1"/>
    <w:rsid w:val="00181E6F"/>
    <w:rsid w:val="00181F20"/>
    <w:rsid w:val="00181F86"/>
    <w:rsid w:val="00181FA5"/>
    <w:rsid w:val="00182040"/>
    <w:rsid w:val="0018207F"/>
    <w:rsid w:val="00182125"/>
    <w:rsid w:val="0018213B"/>
    <w:rsid w:val="00182198"/>
    <w:rsid w:val="001823AA"/>
    <w:rsid w:val="0018259D"/>
    <w:rsid w:val="00182646"/>
    <w:rsid w:val="00182695"/>
    <w:rsid w:val="001827D7"/>
    <w:rsid w:val="0018295B"/>
    <w:rsid w:val="00182996"/>
    <w:rsid w:val="001829AE"/>
    <w:rsid w:val="00182B3B"/>
    <w:rsid w:val="00182BBA"/>
    <w:rsid w:val="00182C0C"/>
    <w:rsid w:val="00182C8E"/>
    <w:rsid w:val="00182CFD"/>
    <w:rsid w:val="00182D9D"/>
    <w:rsid w:val="00182FDE"/>
    <w:rsid w:val="00183069"/>
    <w:rsid w:val="00183082"/>
    <w:rsid w:val="001831C8"/>
    <w:rsid w:val="00183204"/>
    <w:rsid w:val="00183267"/>
    <w:rsid w:val="00183333"/>
    <w:rsid w:val="00183443"/>
    <w:rsid w:val="001836F0"/>
    <w:rsid w:val="0018378A"/>
    <w:rsid w:val="001837A8"/>
    <w:rsid w:val="00183985"/>
    <w:rsid w:val="00183996"/>
    <w:rsid w:val="00183BAA"/>
    <w:rsid w:val="00183BC1"/>
    <w:rsid w:val="00183C5F"/>
    <w:rsid w:val="00183D99"/>
    <w:rsid w:val="00183FB0"/>
    <w:rsid w:val="00183FDB"/>
    <w:rsid w:val="00184257"/>
    <w:rsid w:val="0018425F"/>
    <w:rsid w:val="00184381"/>
    <w:rsid w:val="001843B4"/>
    <w:rsid w:val="001843BD"/>
    <w:rsid w:val="00184440"/>
    <w:rsid w:val="00184462"/>
    <w:rsid w:val="001845B4"/>
    <w:rsid w:val="00184794"/>
    <w:rsid w:val="0018482B"/>
    <w:rsid w:val="00184A0F"/>
    <w:rsid w:val="00184A5F"/>
    <w:rsid w:val="00184A8D"/>
    <w:rsid w:val="00184B9D"/>
    <w:rsid w:val="00184C08"/>
    <w:rsid w:val="00184CD2"/>
    <w:rsid w:val="00184DD5"/>
    <w:rsid w:val="00184E22"/>
    <w:rsid w:val="00184E4D"/>
    <w:rsid w:val="00184F74"/>
    <w:rsid w:val="0018506A"/>
    <w:rsid w:val="0018507C"/>
    <w:rsid w:val="00185159"/>
    <w:rsid w:val="001851EE"/>
    <w:rsid w:val="0018523C"/>
    <w:rsid w:val="0018526D"/>
    <w:rsid w:val="00185347"/>
    <w:rsid w:val="0018536E"/>
    <w:rsid w:val="0018539C"/>
    <w:rsid w:val="0018544E"/>
    <w:rsid w:val="001854F3"/>
    <w:rsid w:val="001855D9"/>
    <w:rsid w:val="0018576B"/>
    <w:rsid w:val="001857F3"/>
    <w:rsid w:val="00185889"/>
    <w:rsid w:val="00185942"/>
    <w:rsid w:val="00185996"/>
    <w:rsid w:val="00185B6E"/>
    <w:rsid w:val="00185C3F"/>
    <w:rsid w:val="00185E79"/>
    <w:rsid w:val="00185F84"/>
    <w:rsid w:val="00186055"/>
    <w:rsid w:val="001860B4"/>
    <w:rsid w:val="00186196"/>
    <w:rsid w:val="001862A3"/>
    <w:rsid w:val="001862DD"/>
    <w:rsid w:val="001862F7"/>
    <w:rsid w:val="00186327"/>
    <w:rsid w:val="00186427"/>
    <w:rsid w:val="0018643F"/>
    <w:rsid w:val="0018644C"/>
    <w:rsid w:val="0018644F"/>
    <w:rsid w:val="001865DC"/>
    <w:rsid w:val="0018688B"/>
    <w:rsid w:val="001869DF"/>
    <w:rsid w:val="00186A9E"/>
    <w:rsid w:val="00186BC3"/>
    <w:rsid w:val="00186D09"/>
    <w:rsid w:val="00186DF6"/>
    <w:rsid w:val="00186E2A"/>
    <w:rsid w:val="00186F5B"/>
    <w:rsid w:val="0018723B"/>
    <w:rsid w:val="00187273"/>
    <w:rsid w:val="001872EC"/>
    <w:rsid w:val="0018731F"/>
    <w:rsid w:val="00187355"/>
    <w:rsid w:val="00187379"/>
    <w:rsid w:val="001875D0"/>
    <w:rsid w:val="001875E1"/>
    <w:rsid w:val="0018767D"/>
    <w:rsid w:val="00187698"/>
    <w:rsid w:val="001876CF"/>
    <w:rsid w:val="00187710"/>
    <w:rsid w:val="0018791E"/>
    <w:rsid w:val="001879F8"/>
    <w:rsid w:val="00187A71"/>
    <w:rsid w:val="00187A8E"/>
    <w:rsid w:val="00187AAF"/>
    <w:rsid w:val="00187BD0"/>
    <w:rsid w:val="00187F3E"/>
    <w:rsid w:val="00187F4C"/>
    <w:rsid w:val="00190025"/>
    <w:rsid w:val="001900C5"/>
    <w:rsid w:val="00190195"/>
    <w:rsid w:val="001901AD"/>
    <w:rsid w:val="001901D3"/>
    <w:rsid w:val="001901FA"/>
    <w:rsid w:val="00190203"/>
    <w:rsid w:val="00190204"/>
    <w:rsid w:val="001902F4"/>
    <w:rsid w:val="001903D9"/>
    <w:rsid w:val="00190429"/>
    <w:rsid w:val="0019046F"/>
    <w:rsid w:val="00190764"/>
    <w:rsid w:val="001908E4"/>
    <w:rsid w:val="00190950"/>
    <w:rsid w:val="00190AA8"/>
    <w:rsid w:val="00190AC0"/>
    <w:rsid w:val="00190B07"/>
    <w:rsid w:val="00190CCD"/>
    <w:rsid w:val="00190CE2"/>
    <w:rsid w:val="00190D30"/>
    <w:rsid w:val="00190D37"/>
    <w:rsid w:val="00190D73"/>
    <w:rsid w:val="00190E2A"/>
    <w:rsid w:val="00190FAA"/>
    <w:rsid w:val="001911C1"/>
    <w:rsid w:val="0019124D"/>
    <w:rsid w:val="00191270"/>
    <w:rsid w:val="00191272"/>
    <w:rsid w:val="0019131E"/>
    <w:rsid w:val="0019146A"/>
    <w:rsid w:val="001915AD"/>
    <w:rsid w:val="0019165D"/>
    <w:rsid w:val="001917EF"/>
    <w:rsid w:val="00191905"/>
    <w:rsid w:val="0019197D"/>
    <w:rsid w:val="001919B0"/>
    <w:rsid w:val="001919FA"/>
    <w:rsid w:val="00191A08"/>
    <w:rsid w:val="00191AC1"/>
    <w:rsid w:val="00191C0C"/>
    <w:rsid w:val="00191C1D"/>
    <w:rsid w:val="00191D66"/>
    <w:rsid w:val="00191EE5"/>
    <w:rsid w:val="00191FE5"/>
    <w:rsid w:val="00192095"/>
    <w:rsid w:val="001920EF"/>
    <w:rsid w:val="001921D5"/>
    <w:rsid w:val="0019223B"/>
    <w:rsid w:val="00192262"/>
    <w:rsid w:val="001922C7"/>
    <w:rsid w:val="00192362"/>
    <w:rsid w:val="0019238F"/>
    <w:rsid w:val="001924C7"/>
    <w:rsid w:val="00192542"/>
    <w:rsid w:val="00192560"/>
    <w:rsid w:val="0019259D"/>
    <w:rsid w:val="00192719"/>
    <w:rsid w:val="0019272F"/>
    <w:rsid w:val="00192773"/>
    <w:rsid w:val="00192816"/>
    <w:rsid w:val="00192842"/>
    <w:rsid w:val="001928C4"/>
    <w:rsid w:val="00192B96"/>
    <w:rsid w:val="00192C41"/>
    <w:rsid w:val="00192EB1"/>
    <w:rsid w:val="00192FF9"/>
    <w:rsid w:val="001930AE"/>
    <w:rsid w:val="00193110"/>
    <w:rsid w:val="00193183"/>
    <w:rsid w:val="001932EC"/>
    <w:rsid w:val="00193377"/>
    <w:rsid w:val="001933C0"/>
    <w:rsid w:val="001933E9"/>
    <w:rsid w:val="00193423"/>
    <w:rsid w:val="0019344E"/>
    <w:rsid w:val="00193468"/>
    <w:rsid w:val="001935BB"/>
    <w:rsid w:val="001935DE"/>
    <w:rsid w:val="0019368C"/>
    <w:rsid w:val="0019372C"/>
    <w:rsid w:val="001939CA"/>
    <w:rsid w:val="00193A47"/>
    <w:rsid w:val="00193C3A"/>
    <w:rsid w:val="00193D25"/>
    <w:rsid w:val="00193D35"/>
    <w:rsid w:val="00193E4E"/>
    <w:rsid w:val="00193EC7"/>
    <w:rsid w:val="00193EFA"/>
    <w:rsid w:val="00193F25"/>
    <w:rsid w:val="00193F63"/>
    <w:rsid w:val="0019400D"/>
    <w:rsid w:val="001940C6"/>
    <w:rsid w:val="001943B8"/>
    <w:rsid w:val="00194506"/>
    <w:rsid w:val="00194540"/>
    <w:rsid w:val="00194569"/>
    <w:rsid w:val="001945AF"/>
    <w:rsid w:val="00194634"/>
    <w:rsid w:val="0019475D"/>
    <w:rsid w:val="0019489E"/>
    <w:rsid w:val="001949E8"/>
    <w:rsid w:val="00194A6C"/>
    <w:rsid w:val="00194A74"/>
    <w:rsid w:val="00194AC2"/>
    <w:rsid w:val="00194B2A"/>
    <w:rsid w:val="00194CD4"/>
    <w:rsid w:val="00194D2B"/>
    <w:rsid w:val="00194F69"/>
    <w:rsid w:val="00195083"/>
    <w:rsid w:val="0019521B"/>
    <w:rsid w:val="001952B5"/>
    <w:rsid w:val="001952E2"/>
    <w:rsid w:val="0019533F"/>
    <w:rsid w:val="001953C1"/>
    <w:rsid w:val="00195536"/>
    <w:rsid w:val="00195622"/>
    <w:rsid w:val="0019570F"/>
    <w:rsid w:val="0019584B"/>
    <w:rsid w:val="00195B1D"/>
    <w:rsid w:val="00195B68"/>
    <w:rsid w:val="00195B7D"/>
    <w:rsid w:val="00195BC0"/>
    <w:rsid w:val="00195C3C"/>
    <w:rsid w:val="00195E58"/>
    <w:rsid w:val="00195EA1"/>
    <w:rsid w:val="00196092"/>
    <w:rsid w:val="001961EE"/>
    <w:rsid w:val="0019637C"/>
    <w:rsid w:val="0019648B"/>
    <w:rsid w:val="001965C1"/>
    <w:rsid w:val="00196635"/>
    <w:rsid w:val="00196865"/>
    <w:rsid w:val="001968AC"/>
    <w:rsid w:val="001968BA"/>
    <w:rsid w:val="00196B24"/>
    <w:rsid w:val="00196B6B"/>
    <w:rsid w:val="00196C93"/>
    <w:rsid w:val="00196CA7"/>
    <w:rsid w:val="00196CAB"/>
    <w:rsid w:val="00196D49"/>
    <w:rsid w:val="00196D60"/>
    <w:rsid w:val="00196DF5"/>
    <w:rsid w:val="00196EB1"/>
    <w:rsid w:val="00196F44"/>
    <w:rsid w:val="00196F4A"/>
    <w:rsid w:val="00197075"/>
    <w:rsid w:val="00197126"/>
    <w:rsid w:val="001971EE"/>
    <w:rsid w:val="00197249"/>
    <w:rsid w:val="001973C7"/>
    <w:rsid w:val="0019743B"/>
    <w:rsid w:val="00197493"/>
    <w:rsid w:val="001974EC"/>
    <w:rsid w:val="00197613"/>
    <w:rsid w:val="001976C9"/>
    <w:rsid w:val="001976E4"/>
    <w:rsid w:val="001976FE"/>
    <w:rsid w:val="0019774A"/>
    <w:rsid w:val="00197954"/>
    <w:rsid w:val="00197B5B"/>
    <w:rsid w:val="00197C6C"/>
    <w:rsid w:val="00197C83"/>
    <w:rsid w:val="00197DB4"/>
    <w:rsid w:val="00197EFF"/>
    <w:rsid w:val="001A0022"/>
    <w:rsid w:val="001A003D"/>
    <w:rsid w:val="001A0118"/>
    <w:rsid w:val="001A03F8"/>
    <w:rsid w:val="001A048A"/>
    <w:rsid w:val="001A04BE"/>
    <w:rsid w:val="001A054C"/>
    <w:rsid w:val="001A0586"/>
    <w:rsid w:val="001A05E7"/>
    <w:rsid w:val="001A0628"/>
    <w:rsid w:val="001A0685"/>
    <w:rsid w:val="001A0767"/>
    <w:rsid w:val="001A0813"/>
    <w:rsid w:val="001A097A"/>
    <w:rsid w:val="001A0B28"/>
    <w:rsid w:val="001A0BA7"/>
    <w:rsid w:val="001A0BAB"/>
    <w:rsid w:val="001A0BF6"/>
    <w:rsid w:val="001A0C76"/>
    <w:rsid w:val="001A0CDC"/>
    <w:rsid w:val="001A0DDA"/>
    <w:rsid w:val="001A0DE4"/>
    <w:rsid w:val="001A0E10"/>
    <w:rsid w:val="001A0E71"/>
    <w:rsid w:val="001A0EC5"/>
    <w:rsid w:val="001A0F80"/>
    <w:rsid w:val="001A10DD"/>
    <w:rsid w:val="001A115B"/>
    <w:rsid w:val="001A118F"/>
    <w:rsid w:val="001A11D4"/>
    <w:rsid w:val="001A1227"/>
    <w:rsid w:val="001A12A2"/>
    <w:rsid w:val="001A1349"/>
    <w:rsid w:val="001A139B"/>
    <w:rsid w:val="001A1435"/>
    <w:rsid w:val="001A1495"/>
    <w:rsid w:val="001A159D"/>
    <w:rsid w:val="001A1624"/>
    <w:rsid w:val="001A1668"/>
    <w:rsid w:val="001A166D"/>
    <w:rsid w:val="001A1816"/>
    <w:rsid w:val="001A1951"/>
    <w:rsid w:val="001A1A71"/>
    <w:rsid w:val="001A1B95"/>
    <w:rsid w:val="001A1BD3"/>
    <w:rsid w:val="001A1C12"/>
    <w:rsid w:val="001A1C78"/>
    <w:rsid w:val="001A1CB6"/>
    <w:rsid w:val="001A1D07"/>
    <w:rsid w:val="001A1DCE"/>
    <w:rsid w:val="001A1EDC"/>
    <w:rsid w:val="001A1EE3"/>
    <w:rsid w:val="001A206A"/>
    <w:rsid w:val="001A20BB"/>
    <w:rsid w:val="001A211A"/>
    <w:rsid w:val="001A216D"/>
    <w:rsid w:val="001A21E7"/>
    <w:rsid w:val="001A22F4"/>
    <w:rsid w:val="001A239C"/>
    <w:rsid w:val="001A23D5"/>
    <w:rsid w:val="001A24BD"/>
    <w:rsid w:val="001A25D8"/>
    <w:rsid w:val="001A2791"/>
    <w:rsid w:val="001A27CB"/>
    <w:rsid w:val="001A2988"/>
    <w:rsid w:val="001A29E9"/>
    <w:rsid w:val="001A2A4E"/>
    <w:rsid w:val="001A2A91"/>
    <w:rsid w:val="001A2B4D"/>
    <w:rsid w:val="001A2C66"/>
    <w:rsid w:val="001A2E80"/>
    <w:rsid w:val="001A306F"/>
    <w:rsid w:val="001A311D"/>
    <w:rsid w:val="001A312F"/>
    <w:rsid w:val="001A31BD"/>
    <w:rsid w:val="001A31F9"/>
    <w:rsid w:val="001A3248"/>
    <w:rsid w:val="001A32A1"/>
    <w:rsid w:val="001A32F1"/>
    <w:rsid w:val="001A3387"/>
    <w:rsid w:val="001A33B2"/>
    <w:rsid w:val="001A3412"/>
    <w:rsid w:val="001A370F"/>
    <w:rsid w:val="001A385E"/>
    <w:rsid w:val="001A39F4"/>
    <w:rsid w:val="001A3AC2"/>
    <w:rsid w:val="001A3BD1"/>
    <w:rsid w:val="001A3C92"/>
    <w:rsid w:val="001A3D7D"/>
    <w:rsid w:val="001A3D95"/>
    <w:rsid w:val="001A3E5D"/>
    <w:rsid w:val="001A3E93"/>
    <w:rsid w:val="001A400B"/>
    <w:rsid w:val="001A40B6"/>
    <w:rsid w:val="001A40C8"/>
    <w:rsid w:val="001A413C"/>
    <w:rsid w:val="001A4192"/>
    <w:rsid w:val="001A41C9"/>
    <w:rsid w:val="001A4215"/>
    <w:rsid w:val="001A4219"/>
    <w:rsid w:val="001A42A3"/>
    <w:rsid w:val="001A43AF"/>
    <w:rsid w:val="001A43BA"/>
    <w:rsid w:val="001A4411"/>
    <w:rsid w:val="001A4468"/>
    <w:rsid w:val="001A4483"/>
    <w:rsid w:val="001A4537"/>
    <w:rsid w:val="001A4546"/>
    <w:rsid w:val="001A45BE"/>
    <w:rsid w:val="001A47DB"/>
    <w:rsid w:val="001A4808"/>
    <w:rsid w:val="001A483D"/>
    <w:rsid w:val="001A486C"/>
    <w:rsid w:val="001A49A6"/>
    <w:rsid w:val="001A4A5F"/>
    <w:rsid w:val="001A4A7C"/>
    <w:rsid w:val="001A4B28"/>
    <w:rsid w:val="001A4B6C"/>
    <w:rsid w:val="001A4BC4"/>
    <w:rsid w:val="001A4C30"/>
    <w:rsid w:val="001A4CE8"/>
    <w:rsid w:val="001A5040"/>
    <w:rsid w:val="001A5128"/>
    <w:rsid w:val="001A5425"/>
    <w:rsid w:val="001A545D"/>
    <w:rsid w:val="001A5649"/>
    <w:rsid w:val="001A56B3"/>
    <w:rsid w:val="001A56B5"/>
    <w:rsid w:val="001A56DC"/>
    <w:rsid w:val="001A57D0"/>
    <w:rsid w:val="001A58FB"/>
    <w:rsid w:val="001A5925"/>
    <w:rsid w:val="001A593B"/>
    <w:rsid w:val="001A5A75"/>
    <w:rsid w:val="001A5AA3"/>
    <w:rsid w:val="001A5D19"/>
    <w:rsid w:val="001A5D1D"/>
    <w:rsid w:val="001A5D51"/>
    <w:rsid w:val="001A5E19"/>
    <w:rsid w:val="001A5EC8"/>
    <w:rsid w:val="001A5EEC"/>
    <w:rsid w:val="001A5F41"/>
    <w:rsid w:val="001A61D9"/>
    <w:rsid w:val="001A659C"/>
    <w:rsid w:val="001A65A7"/>
    <w:rsid w:val="001A665E"/>
    <w:rsid w:val="001A6709"/>
    <w:rsid w:val="001A67DC"/>
    <w:rsid w:val="001A67F7"/>
    <w:rsid w:val="001A6993"/>
    <w:rsid w:val="001A6AEC"/>
    <w:rsid w:val="001A6B4F"/>
    <w:rsid w:val="001A6BEA"/>
    <w:rsid w:val="001A6CDA"/>
    <w:rsid w:val="001A6D2D"/>
    <w:rsid w:val="001A6DF1"/>
    <w:rsid w:val="001A6E7B"/>
    <w:rsid w:val="001A6EF1"/>
    <w:rsid w:val="001A6F55"/>
    <w:rsid w:val="001A7022"/>
    <w:rsid w:val="001A70F7"/>
    <w:rsid w:val="001A73FF"/>
    <w:rsid w:val="001A74C1"/>
    <w:rsid w:val="001A7543"/>
    <w:rsid w:val="001A7580"/>
    <w:rsid w:val="001A761E"/>
    <w:rsid w:val="001A774B"/>
    <w:rsid w:val="001A7798"/>
    <w:rsid w:val="001A782C"/>
    <w:rsid w:val="001A78CE"/>
    <w:rsid w:val="001A78D7"/>
    <w:rsid w:val="001A7AD7"/>
    <w:rsid w:val="001A7B76"/>
    <w:rsid w:val="001A7B7A"/>
    <w:rsid w:val="001A7B9B"/>
    <w:rsid w:val="001A7CFD"/>
    <w:rsid w:val="001A7D7F"/>
    <w:rsid w:val="001A7E73"/>
    <w:rsid w:val="001A7E9F"/>
    <w:rsid w:val="001B000C"/>
    <w:rsid w:val="001B0042"/>
    <w:rsid w:val="001B00F8"/>
    <w:rsid w:val="001B01A8"/>
    <w:rsid w:val="001B02AC"/>
    <w:rsid w:val="001B0332"/>
    <w:rsid w:val="001B0338"/>
    <w:rsid w:val="001B05BD"/>
    <w:rsid w:val="001B0668"/>
    <w:rsid w:val="001B07B9"/>
    <w:rsid w:val="001B0868"/>
    <w:rsid w:val="001B08D7"/>
    <w:rsid w:val="001B096D"/>
    <w:rsid w:val="001B09A5"/>
    <w:rsid w:val="001B09BC"/>
    <w:rsid w:val="001B09EB"/>
    <w:rsid w:val="001B0A5D"/>
    <w:rsid w:val="001B0D56"/>
    <w:rsid w:val="001B0DDF"/>
    <w:rsid w:val="001B0E26"/>
    <w:rsid w:val="001B0E90"/>
    <w:rsid w:val="001B0F7A"/>
    <w:rsid w:val="001B0FE9"/>
    <w:rsid w:val="001B107F"/>
    <w:rsid w:val="001B11DE"/>
    <w:rsid w:val="001B1289"/>
    <w:rsid w:val="001B132C"/>
    <w:rsid w:val="001B13A5"/>
    <w:rsid w:val="001B1422"/>
    <w:rsid w:val="001B15E5"/>
    <w:rsid w:val="001B15F0"/>
    <w:rsid w:val="001B1684"/>
    <w:rsid w:val="001B17BA"/>
    <w:rsid w:val="001B1812"/>
    <w:rsid w:val="001B1911"/>
    <w:rsid w:val="001B1A14"/>
    <w:rsid w:val="001B1F1C"/>
    <w:rsid w:val="001B1F4C"/>
    <w:rsid w:val="001B1F77"/>
    <w:rsid w:val="001B216A"/>
    <w:rsid w:val="001B2320"/>
    <w:rsid w:val="001B2537"/>
    <w:rsid w:val="001B25FB"/>
    <w:rsid w:val="001B264E"/>
    <w:rsid w:val="001B2742"/>
    <w:rsid w:val="001B274E"/>
    <w:rsid w:val="001B2898"/>
    <w:rsid w:val="001B28E6"/>
    <w:rsid w:val="001B2960"/>
    <w:rsid w:val="001B2A86"/>
    <w:rsid w:val="001B2CBE"/>
    <w:rsid w:val="001B2CBF"/>
    <w:rsid w:val="001B3129"/>
    <w:rsid w:val="001B312B"/>
    <w:rsid w:val="001B3281"/>
    <w:rsid w:val="001B32BA"/>
    <w:rsid w:val="001B32D2"/>
    <w:rsid w:val="001B338C"/>
    <w:rsid w:val="001B33BD"/>
    <w:rsid w:val="001B34F0"/>
    <w:rsid w:val="001B356E"/>
    <w:rsid w:val="001B35EF"/>
    <w:rsid w:val="001B360C"/>
    <w:rsid w:val="001B3623"/>
    <w:rsid w:val="001B3642"/>
    <w:rsid w:val="001B3658"/>
    <w:rsid w:val="001B36FF"/>
    <w:rsid w:val="001B3701"/>
    <w:rsid w:val="001B371C"/>
    <w:rsid w:val="001B3804"/>
    <w:rsid w:val="001B3873"/>
    <w:rsid w:val="001B3967"/>
    <w:rsid w:val="001B3A4D"/>
    <w:rsid w:val="001B3B4B"/>
    <w:rsid w:val="001B3B5F"/>
    <w:rsid w:val="001B3BBB"/>
    <w:rsid w:val="001B3D59"/>
    <w:rsid w:val="001B3E34"/>
    <w:rsid w:val="001B3E43"/>
    <w:rsid w:val="001B400E"/>
    <w:rsid w:val="001B4180"/>
    <w:rsid w:val="001B4464"/>
    <w:rsid w:val="001B4499"/>
    <w:rsid w:val="001B44BE"/>
    <w:rsid w:val="001B45D4"/>
    <w:rsid w:val="001B469D"/>
    <w:rsid w:val="001B480C"/>
    <w:rsid w:val="001B48A4"/>
    <w:rsid w:val="001B48DD"/>
    <w:rsid w:val="001B490F"/>
    <w:rsid w:val="001B49FA"/>
    <w:rsid w:val="001B4A4F"/>
    <w:rsid w:val="001B4A86"/>
    <w:rsid w:val="001B4CB3"/>
    <w:rsid w:val="001B4D26"/>
    <w:rsid w:val="001B4D36"/>
    <w:rsid w:val="001B4D75"/>
    <w:rsid w:val="001B4E34"/>
    <w:rsid w:val="001B4E46"/>
    <w:rsid w:val="001B4F8E"/>
    <w:rsid w:val="001B4FE3"/>
    <w:rsid w:val="001B4FFC"/>
    <w:rsid w:val="001B5049"/>
    <w:rsid w:val="001B514A"/>
    <w:rsid w:val="001B5305"/>
    <w:rsid w:val="001B53E6"/>
    <w:rsid w:val="001B545C"/>
    <w:rsid w:val="001B56BD"/>
    <w:rsid w:val="001B572E"/>
    <w:rsid w:val="001B5770"/>
    <w:rsid w:val="001B5798"/>
    <w:rsid w:val="001B5931"/>
    <w:rsid w:val="001B5A08"/>
    <w:rsid w:val="001B5B6D"/>
    <w:rsid w:val="001B5C35"/>
    <w:rsid w:val="001B5C5A"/>
    <w:rsid w:val="001B5C5F"/>
    <w:rsid w:val="001B5C92"/>
    <w:rsid w:val="001B5CA7"/>
    <w:rsid w:val="001B5DA4"/>
    <w:rsid w:val="001B5DCF"/>
    <w:rsid w:val="001B5E32"/>
    <w:rsid w:val="001B5FBE"/>
    <w:rsid w:val="001B6062"/>
    <w:rsid w:val="001B613B"/>
    <w:rsid w:val="001B6198"/>
    <w:rsid w:val="001B6303"/>
    <w:rsid w:val="001B6322"/>
    <w:rsid w:val="001B633B"/>
    <w:rsid w:val="001B651C"/>
    <w:rsid w:val="001B6544"/>
    <w:rsid w:val="001B66E6"/>
    <w:rsid w:val="001B67A7"/>
    <w:rsid w:val="001B67D8"/>
    <w:rsid w:val="001B6809"/>
    <w:rsid w:val="001B684C"/>
    <w:rsid w:val="001B6955"/>
    <w:rsid w:val="001B6AA3"/>
    <w:rsid w:val="001B6B4D"/>
    <w:rsid w:val="001B6BCF"/>
    <w:rsid w:val="001B6CB4"/>
    <w:rsid w:val="001B6E73"/>
    <w:rsid w:val="001B6E92"/>
    <w:rsid w:val="001B6ECD"/>
    <w:rsid w:val="001B6ED4"/>
    <w:rsid w:val="001B6EF8"/>
    <w:rsid w:val="001B6FB8"/>
    <w:rsid w:val="001B73B4"/>
    <w:rsid w:val="001B73DC"/>
    <w:rsid w:val="001B7468"/>
    <w:rsid w:val="001B7503"/>
    <w:rsid w:val="001B7524"/>
    <w:rsid w:val="001B765F"/>
    <w:rsid w:val="001B792D"/>
    <w:rsid w:val="001B79FD"/>
    <w:rsid w:val="001B7A05"/>
    <w:rsid w:val="001B7ADC"/>
    <w:rsid w:val="001B7B09"/>
    <w:rsid w:val="001B7B2E"/>
    <w:rsid w:val="001B7CB4"/>
    <w:rsid w:val="001B7CB5"/>
    <w:rsid w:val="001B7EF1"/>
    <w:rsid w:val="001C00A6"/>
    <w:rsid w:val="001C00F8"/>
    <w:rsid w:val="001C015F"/>
    <w:rsid w:val="001C0298"/>
    <w:rsid w:val="001C0345"/>
    <w:rsid w:val="001C0357"/>
    <w:rsid w:val="001C0453"/>
    <w:rsid w:val="001C04F7"/>
    <w:rsid w:val="001C059C"/>
    <w:rsid w:val="001C05FB"/>
    <w:rsid w:val="001C069C"/>
    <w:rsid w:val="001C07AC"/>
    <w:rsid w:val="001C083A"/>
    <w:rsid w:val="001C08F2"/>
    <w:rsid w:val="001C09BE"/>
    <w:rsid w:val="001C0AB7"/>
    <w:rsid w:val="001C0B24"/>
    <w:rsid w:val="001C0BB5"/>
    <w:rsid w:val="001C0CBF"/>
    <w:rsid w:val="001C0CEC"/>
    <w:rsid w:val="001C0D26"/>
    <w:rsid w:val="001C0E48"/>
    <w:rsid w:val="001C1130"/>
    <w:rsid w:val="001C11F5"/>
    <w:rsid w:val="001C125B"/>
    <w:rsid w:val="001C13BE"/>
    <w:rsid w:val="001C13BF"/>
    <w:rsid w:val="001C14B2"/>
    <w:rsid w:val="001C14D9"/>
    <w:rsid w:val="001C162B"/>
    <w:rsid w:val="001C178D"/>
    <w:rsid w:val="001C17E1"/>
    <w:rsid w:val="001C1BFE"/>
    <w:rsid w:val="001C1E56"/>
    <w:rsid w:val="001C1E6F"/>
    <w:rsid w:val="001C1E90"/>
    <w:rsid w:val="001C1EE4"/>
    <w:rsid w:val="001C1F57"/>
    <w:rsid w:val="001C2097"/>
    <w:rsid w:val="001C2138"/>
    <w:rsid w:val="001C2167"/>
    <w:rsid w:val="001C2183"/>
    <w:rsid w:val="001C2273"/>
    <w:rsid w:val="001C2314"/>
    <w:rsid w:val="001C2320"/>
    <w:rsid w:val="001C233C"/>
    <w:rsid w:val="001C2346"/>
    <w:rsid w:val="001C243D"/>
    <w:rsid w:val="001C249B"/>
    <w:rsid w:val="001C24EA"/>
    <w:rsid w:val="001C254E"/>
    <w:rsid w:val="001C25CA"/>
    <w:rsid w:val="001C25F6"/>
    <w:rsid w:val="001C265C"/>
    <w:rsid w:val="001C2707"/>
    <w:rsid w:val="001C2709"/>
    <w:rsid w:val="001C28C4"/>
    <w:rsid w:val="001C29A7"/>
    <w:rsid w:val="001C29AB"/>
    <w:rsid w:val="001C2A81"/>
    <w:rsid w:val="001C2B49"/>
    <w:rsid w:val="001C2B4A"/>
    <w:rsid w:val="001C2B71"/>
    <w:rsid w:val="001C2C0E"/>
    <w:rsid w:val="001C2DE4"/>
    <w:rsid w:val="001C30C0"/>
    <w:rsid w:val="001C311F"/>
    <w:rsid w:val="001C3181"/>
    <w:rsid w:val="001C323D"/>
    <w:rsid w:val="001C32DF"/>
    <w:rsid w:val="001C33BB"/>
    <w:rsid w:val="001C33D1"/>
    <w:rsid w:val="001C34CA"/>
    <w:rsid w:val="001C35D5"/>
    <w:rsid w:val="001C3606"/>
    <w:rsid w:val="001C3631"/>
    <w:rsid w:val="001C392C"/>
    <w:rsid w:val="001C396B"/>
    <w:rsid w:val="001C3BCB"/>
    <w:rsid w:val="001C3C12"/>
    <w:rsid w:val="001C3C53"/>
    <w:rsid w:val="001C3C8E"/>
    <w:rsid w:val="001C3CC2"/>
    <w:rsid w:val="001C3D7B"/>
    <w:rsid w:val="001C3DE9"/>
    <w:rsid w:val="001C4036"/>
    <w:rsid w:val="001C406C"/>
    <w:rsid w:val="001C40C8"/>
    <w:rsid w:val="001C4135"/>
    <w:rsid w:val="001C419A"/>
    <w:rsid w:val="001C4302"/>
    <w:rsid w:val="001C446B"/>
    <w:rsid w:val="001C4536"/>
    <w:rsid w:val="001C455C"/>
    <w:rsid w:val="001C46B1"/>
    <w:rsid w:val="001C4729"/>
    <w:rsid w:val="001C479E"/>
    <w:rsid w:val="001C4818"/>
    <w:rsid w:val="001C4848"/>
    <w:rsid w:val="001C4851"/>
    <w:rsid w:val="001C4AC5"/>
    <w:rsid w:val="001C4ACA"/>
    <w:rsid w:val="001C4ACF"/>
    <w:rsid w:val="001C4C6D"/>
    <w:rsid w:val="001C4CA3"/>
    <w:rsid w:val="001C4E2F"/>
    <w:rsid w:val="001C4E59"/>
    <w:rsid w:val="001C4FB0"/>
    <w:rsid w:val="001C5014"/>
    <w:rsid w:val="001C5015"/>
    <w:rsid w:val="001C506B"/>
    <w:rsid w:val="001C5070"/>
    <w:rsid w:val="001C50F9"/>
    <w:rsid w:val="001C511D"/>
    <w:rsid w:val="001C5296"/>
    <w:rsid w:val="001C533E"/>
    <w:rsid w:val="001C5453"/>
    <w:rsid w:val="001C5488"/>
    <w:rsid w:val="001C54B1"/>
    <w:rsid w:val="001C5522"/>
    <w:rsid w:val="001C5737"/>
    <w:rsid w:val="001C5944"/>
    <w:rsid w:val="001C5976"/>
    <w:rsid w:val="001C5A18"/>
    <w:rsid w:val="001C5A4D"/>
    <w:rsid w:val="001C5A8B"/>
    <w:rsid w:val="001C5AD2"/>
    <w:rsid w:val="001C5C61"/>
    <w:rsid w:val="001C5D2B"/>
    <w:rsid w:val="001C5E29"/>
    <w:rsid w:val="001C5E6C"/>
    <w:rsid w:val="001C5F05"/>
    <w:rsid w:val="001C5FDF"/>
    <w:rsid w:val="001C606E"/>
    <w:rsid w:val="001C6103"/>
    <w:rsid w:val="001C6112"/>
    <w:rsid w:val="001C6179"/>
    <w:rsid w:val="001C61EA"/>
    <w:rsid w:val="001C620A"/>
    <w:rsid w:val="001C6214"/>
    <w:rsid w:val="001C6289"/>
    <w:rsid w:val="001C636C"/>
    <w:rsid w:val="001C639D"/>
    <w:rsid w:val="001C6472"/>
    <w:rsid w:val="001C64F3"/>
    <w:rsid w:val="001C676D"/>
    <w:rsid w:val="001C67C3"/>
    <w:rsid w:val="001C6845"/>
    <w:rsid w:val="001C68D1"/>
    <w:rsid w:val="001C68E8"/>
    <w:rsid w:val="001C6C20"/>
    <w:rsid w:val="001C6D23"/>
    <w:rsid w:val="001C6D3A"/>
    <w:rsid w:val="001C6D58"/>
    <w:rsid w:val="001C6DCB"/>
    <w:rsid w:val="001C6E25"/>
    <w:rsid w:val="001C6F5F"/>
    <w:rsid w:val="001C6FA3"/>
    <w:rsid w:val="001C7094"/>
    <w:rsid w:val="001C70EA"/>
    <w:rsid w:val="001C725F"/>
    <w:rsid w:val="001C7265"/>
    <w:rsid w:val="001C72AC"/>
    <w:rsid w:val="001C72CE"/>
    <w:rsid w:val="001C7334"/>
    <w:rsid w:val="001C7632"/>
    <w:rsid w:val="001C77B0"/>
    <w:rsid w:val="001C78BD"/>
    <w:rsid w:val="001C7926"/>
    <w:rsid w:val="001C7A1F"/>
    <w:rsid w:val="001C7CC3"/>
    <w:rsid w:val="001C7FF0"/>
    <w:rsid w:val="001D009C"/>
    <w:rsid w:val="001D0127"/>
    <w:rsid w:val="001D02DC"/>
    <w:rsid w:val="001D030D"/>
    <w:rsid w:val="001D0395"/>
    <w:rsid w:val="001D03D0"/>
    <w:rsid w:val="001D03DC"/>
    <w:rsid w:val="001D0437"/>
    <w:rsid w:val="001D04B4"/>
    <w:rsid w:val="001D0528"/>
    <w:rsid w:val="001D05C3"/>
    <w:rsid w:val="001D0652"/>
    <w:rsid w:val="001D06AD"/>
    <w:rsid w:val="001D084F"/>
    <w:rsid w:val="001D09BF"/>
    <w:rsid w:val="001D09C2"/>
    <w:rsid w:val="001D09F3"/>
    <w:rsid w:val="001D0A10"/>
    <w:rsid w:val="001D0A48"/>
    <w:rsid w:val="001D0ADB"/>
    <w:rsid w:val="001D0C1B"/>
    <w:rsid w:val="001D0C6B"/>
    <w:rsid w:val="001D0CB9"/>
    <w:rsid w:val="001D0CD1"/>
    <w:rsid w:val="001D1023"/>
    <w:rsid w:val="001D1069"/>
    <w:rsid w:val="001D10AB"/>
    <w:rsid w:val="001D1138"/>
    <w:rsid w:val="001D1212"/>
    <w:rsid w:val="001D1498"/>
    <w:rsid w:val="001D14C8"/>
    <w:rsid w:val="001D1558"/>
    <w:rsid w:val="001D160C"/>
    <w:rsid w:val="001D17D3"/>
    <w:rsid w:val="001D1A97"/>
    <w:rsid w:val="001D1AD1"/>
    <w:rsid w:val="001D1B1C"/>
    <w:rsid w:val="001D1CA6"/>
    <w:rsid w:val="001D1D64"/>
    <w:rsid w:val="001D1D7C"/>
    <w:rsid w:val="001D1E09"/>
    <w:rsid w:val="001D1E5E"/>
    <w:rsid w:val="001D1E9A"/>
    <w:rsid w:val="001D1EDC"/>
    <w:rsid w:val="001D1F88"/>
    <w:rsid w:val="001D1FA0"/>
    <w:rsid w:val="001D2083"/>
    <w:rsid w:val="001D22CC"/>
    <w:rsid w:val="001D2308"/>
    <w:rsid w:val="001D23D3"/>
    <w:rsid w:val="001D2453"/>
    <w:rsid w:val="001D2481"/>
    <w:rsid w:val="001D24FA"/>
    <w:rsid w:val="001D25C4"/>
    <w:rsid w:val="001D2986"/>
    <w:rsid w:val="001D2A73"/>
    <w:rsid w:val="001D2C1D"/>
    <w:rsid w:val="001D2D5C"/>
    <w:rsid w:val="001D2D78"/>
    <w:rsid w:val="001D2D96"/>
    <w:rsid w:val="001D316E"/>
    <w:rsid w:val="001D318B"/>
    <w:rsid w:val="001D320A"/>
    <w:rsid w:val="001D3257"/>
    <w:rsid w:val="001D32CD"/>
    <w:rsid w:val="001D3307"/>
    <w:rsid w:val="001D3328"/>
    <w:rsid w:val="001D3432"/>
    <w:rsid w:val="001D346F"/>
    <w:rsid w:val="001D3672"/>
    <w:rsid w:val="001D36AE"/>
    <w:rsid w:val="001D377A"/>
    <w:rsid w:val="001D37B3"/>
    <w:rsid w:val="001D37B6"/>
    <w:rsid w:val="001D3834"/>
    <w:rsid w:val="001D3A29"/>
    <w:rsid w:val="001D3AED"/>
    <w:rsid w:val="001D3B7C"/>
    <w:rsid w:val="001D3C2F"/>
    <w:rsid w:val="001D3C4C"/>
    <w:rsid w:val="001D3D6A"/>
    <w:rsid w:val="001D3D81"/>
    <w:rsid w:val="001D3FAD"/>
    <w:rsid w:val="001D4036"/>
    <w:rsid w:val="001D4099"/>
    <w:rsid w:val="001D40BD"/>
    <w:rsid w:val="001D4279"/>
    <w:rsid w:val="001D455E"/>
    <w:rsid w:val="001D45DB"/>
    <w:rsid w:val="001D45EA"/>
    <w:rsid w:val="001D4665"/>
    <w:rsid w:val="001D46D0"/>
    <w:rsid w:val="001D47F9"/>
    <w:rsid w:val="001D4886"/>
    <w:rsid w:val="001D4A35"/>
    <w:rsid w:val="001D4AA8"/>
    <w:rsid w:val="001D4B3D"/>
    <w:rsid w:val="001D4EDD"/>
    <w:rsid w:val="001D4F22"/>
    <w:rsid w:val="001D4F2C"/>
    <w:rsid w:val="001D4F61"/>
    <w:rsid w:val="001D508E"/>
    <w:rsid w:val="001D5180"/>
    <w:rsid w:val="001D51C9"/>
    <w:rsid w:val="001D52B6"/>
    <w:rsid w:val="001D531D"/>
    <w:rsid w:val="001D53AA"/>
    <w:rsid w:val="001D55CE"/>
    <w:rsid w:val="001D5630"/>
    <w:rsid w:val="001D5679"/>
    <w:rsid w:val="001D5730"/>
    <w:rsid w:val="001D57C6"/>
    <w:rsid w:val="001D5A2C"/>
    <w:rsid w:val="001D5AA7"/>
    <w:rsid w:val="001D5CC4"/>
    <w:rsid w:val="001D5E99"/>
    <w:rsid w:val="001D5EB0"/>
    <w:rsid w:val="001D5F84"/>
    <w:rsid w:val="001D5FB2"/>
    <w:rsid w:val="001D5FBF"/>
    <w:rsid w:val="001D6006"/>
    <w:rsid w:val="001D6062"/>
    <w:rsid w:val="001D61C4"/>
    <w:rsid w:val="001D6204"/>
    <w:rsid w:val="001D6292"/>
    <w:rsid w:val="001D6380"/>
    <w:rsid w:val="001D63D6"/>
    <w:rsid w:val="001D65D0"/>
    <w:rsid w:val="001D668F"/>
    <w:rsid w:val="001D66AC"/>
    <w:rsid w:val="001D67EF"/>
    <w:rsid w:val="001D6A02"/>
    <w:rsid w:val="001D6AC4"/>
    <w:rsid w:val="001D6B4A"/>
    <w:rsid w:val="001D6BBC"/>
    <w:rsid w:val="001D6C09"/>
    <w:rsid w:val="001D6CF0"/>
    <w:rsid w:val="001D6D85"/>
    <w:rsid w:val="001D6DEE"/>
    <w:rsid w:val="001D6E8A"/>
    <w:rsid w:val="001D6EDB"/>
    <w:rsid w:val="001D704D"/>
    <w:rsid w:val="001D723C"/>
    <w:rsid w:val="001D733D"/>
    <w:rsid w:val="001D73E7"/>
    <w:rsid w:val="001D74A3"/>
    <w:rsid w:val="001D7557"/>
    <w:rsid w:val="001D75AD"/>
    <w:rsid w:val="001D7631"/>
    <w:rsid w:val="001D76A4"/>
    <w:rsid w:val="001D77CF"/>
    <w:rsid w:val="001D77F4"/>
    <w:rsid w:val="001D78A8"/>
    <w:rsid w:val="001D78AC"/>
    <w:rsid w:val="001D79CD"/>
    <w:rsid w:val="001D7AC0"/>
    <w:rsid w:val="001D7BFF"/>
    <w:rsid w:val="001D7CB1"/>
    <w:rsid w:val="001D7CCE"/>
    <w:rsid w:val="001D7E1A"/>
    <w:rsid w:val="001D7E4D"/>
    <w:rsid w:val="001D7E8B"/>
    <w:rsid w:val="001D7F3A"/>
    <w:rsid w:val="001D7FD9"/>
    <w:rsid w:val="001E00E8"/>
    <w:rsid w:val="001E01C0"/>
    <w:rsid w:val="001E036E"/>
    <w:rsid w:val="001E03DB"/>
    <w:rsid w:val="001E049B"/>
    <w:rsid w:val="001E056D"/>
    <w:rsid w:val="001E05AB"/>
    <w:rsid w:val="001E05E1"/>
    <w:rsid w:val="001E06F4"/>
    <w:rsid w:val="001E072A"/>
    <w:rsid w:val="001E0895"/>
    <w:rsid w:val="001E0896"/>
    <w:rsid w:val="001E0944"/>
    <w:rsid w:val="001E0A65"/>
    <w:rsid w:val="001E0BA5"/>
    <w:rsid w:val="001E0C0C"/>
    <w:rsid w:val="001E0C2A"/>
    <w:rsid w:val="001E0C38"/>
    <w:rsid w:val="001E0C54"/>
    <w:rsid w:val="001E0C82"/>
    <w:rsid w:val="001E0DC2"/>
    <w:rsid w:val="001E0E54"/>
    <w:rsid w:val="001E0E7C"/>
    <w:rsid w:val="001E0F57"/>
    <w:rsid w:val="001E0FC1"/>
    <w:rsid w:val="001E100E"/>
    <w:rsid w:val="001E108A"/>
    <w:rsid w:val="001E10A1"/>
    <w:rsid w:val="001E1166"/>
    <w:rsid w:val="001E11CD"/>
    <w:rsid w:val="001E13F0"/>
    <w:rsid w:val="001E1437"/>
    <w:rsid w:val="001E145D"/>
    <w:rsid w:val="001E146E"/>
    <w:rsid w:val="001E14DD"/>
    <w:rsid w:val="001E1510"/>
    <w:rsid w:val="001E1587"/>
    <w:rsid w:val="001E15F3"/>
    <w:rsid w:val="001E165B"/>
    <w:rsid w:val="001E1709"/>
    <w:rsid w:val="001E1739"/>
    <w:rsid w:val="001E180C"/>
    <w:rsid w:val="001E1979"/>
    <w:rsid w:val="001E19C4"/>
    <w:rsid w:val="001E1A16"/>
    <w:rsid w:val="001E1C57"/>
    <w:rsid w:val="001E1C6A"/>
    <w:rsid w:val="001E1C7C"/>
    <w:rsid w:val="001E1D90"/>
    <w:rsid w:val="001E1DE9"/>
    <w:rsid w:val="001E1E0D"/>
    <w:rsid w:val="001E1E13"/>
    <w:rsid w:val="001E1FC5"/>
    <w:rsid w:val="001E200D"/>
    <w:rsid w:val="001E201C"/>
    <w:rsid w:val="001E2068"/>
    <w:rsid w:val="001E209B"/>
    <w:rsid w:val="001E20B9"/>
    <w:rsid w:val="001E20CB"/>
    <w:rsid w:val="001E2170"/>
    <w:rsid w:val="001E2497"/>
    <w:rsid w:val="001E254D"/>
    <w:rsid w:val="001E255A"/>
    <w:rsid w:val="001E25F8"/>
    <w:rsid w:val="001E260D"/>
    <w:rsid w:val="001E26AE"/>
    <w:rsid w:val="001E26C2"/>
    <w:rsid w:val="001E27AC"/>
    <w:rsid w:val="001E27DE"/>
    <w:rsid w:val="001E2807"/>
    <w:rsid w:val="001E288B"/>
    <w:rsid w:val="001E28DB"/>
    <w:rsid w:val="001E28FD"/>
    <w:rsid w:val="001E29AB"/>
    <w:rsid w:val="001E2A3C"/>
    <w:rsid w:val="001E2A66"/>
    <w:rsid w:val="001E2CDB"/>
    <w:rsid w:val="001E2D08"/>
    <w:rsid w:val="001E2E6D"/>
    <w:rsid w:val="001E3011"/>
    <w:rsid w:val="001E3169"/>
    <w:rsid w:val="001E3367"/>
    <w:rsid w:val="001E33CD"/>
    <w:rsid w:val="001E344F"/>
    <w:rsid w:val="001E34C4"/>
    <w:rsid w:val="001E3640"/>
    <w:rsid w:val="001E36BC"/>
    <w:rsid w:val="001E3738"/>
    <w:rsid w:val="001E3808"/>
    <w:rsid w:val="001E383D"/>
    <w:rsid w:val="001E3A3D"/>
    <w:rsid w:val="001E3E33"/>
    <w:rsid w:val="001E3E61"/>
    <w:rsid w:val="001E3ED2"/>
    <w:rsid w:val="001E3FBA"/>
    <w:rsid w:val="001E409B"/>
    <w:rsid w:val="001E418C"/>
    <w:rsid w:val="001E4349"/>
    <w:rsid w:val="001E43B3"/>
    <w:rsid w:val="001E4499"/>
    <w:rsid w:val="001E46F8"/>
    <w:rsid w:val="001E4724"/>
    <w:rsid w:val="001E47E1"/>
    <w:rsid w:val="001E482D"/>
    <w:rsid w:val="001E4927"/>
    <w:rsid w:val="001E4B2F"/>
    <w:rsid w:val="001E4BCE"/>
    <w:rsid w:val="001E500D"/>
    <w:rsid w:val="001E523D"/>
    <w:rsid w:val="001E529E"/>
    <w:rsid w:val="001E52CD"/>
    <w:rsid w:val="001E538B"/>
    <w:rsid w:val="001E53ED"/>
    <w:rsid w:val="001E5420"/>
    <w:rsid w:val="001E5480"/>
    <w:rsid w:val="001E54B7"/>
    <w:rsid w:val="001E55B0"/>
    <w:rsid w:val="001E55BC"/>
    <w:rsid w:val="001E56BA"/>
    <w:rsid w:val="001E581B"/>
    <w:rsid w:val="001E5855"/>
    <w:rsid w:val="001E586D"/>
    <w:rsid w:val="001E58F8"/>
    <w:rsid w:val="001E5A18"/>
    <w:rsid w:val="001E5A1F"/>
    <w:rsid w:val="001E5A2B"/>
    <w:rsid w:val="001E5AFB"/>
    <w:rsid w:val="001E5C09"/>
    <w:rsid w:val="001E5C32"/>
    <w:rsid w:val="001E5C37"/>
    <w:rsid w:val="001E5CA6"/>
    <w:rsid w:val="001E5DD6"/>
    <w:rsid w:val="001E5EAE"/>
    <w:rsid w:val="001E5F44"/>
    <w:rsid w:val="001E5F4B"/>
    <w:rsid w:val="001E5F4F"/>
    <w:rsid w:val="001E5F58"/>
    <w:rsid w:val="001E607B"/>
    <w:rsid w:val="001E60CD"/>
    <w:rsid w:val="001E60DC"/>
    <w:rsid w:val="001E61AE"/>
    <w:rsid w:val="001E628C"/>
    <w:rsid w:val="001E6319"/>
    <w:rsid w:val="001E632E"/>
    <w:rsid w:val="001E645E"/>
    <w:rsid w:val="001E6464"/>
    <w:rsid w:val="001E6618"/>
    <w:rsid w:val="001E67F5"/>
    <w:rsid w:val="001E68F6"/>
    <w:rsid w:val="001E6952"/>
    <w:rsid w:val="001E6B54"/>
    <w:rsid w:val="001E6C3D"/>
    <w:rsid w:val="001E6C67"/>
    <w:rsid w:val="001E6C7E"/>
    <w:rsid w:val="001E6DA0"/>
    <w:rsid w:val="001E6DB0"/>
    <w:rsid w:val="001E6E68"/>
    <w:rsid w:val="001E6EE9"/>
    <w:rsid w:val="001E6FB8"/>
    <w:rsid w:val="001E6FE0"/>
    <w:rsid w:val="001E7020"/>
    <w:rsid w:val="001E708A"/>
    <w:rsid w:val="001E70B3"/>
    <w:rsid w:val="001E7132"/>
    <w:rsid w:val="001E71A6"/>
    <w:rsid w:val="001E71DA"/>
    <w:rsid w:val="001E71E7"/>
    <w:rsid w:val="001E71F3"/>
    <w:rsid w:val="001E7351"/>
    <w:rsid w:val="001E7390"/>
    <w:rsid w:val="001E73FA"/>
    <w:rsid w:val="001E7485"/>
    <w:rsid w:val="001E74A1"/>
    <w:rsid w:val="001E76C7"/>
    <w:rsid w:val="001E76D7"/>
    <w:rsid w:val="001E7892"/>
    <w:rsid w:val="001E7897"/>
    <w:rsid w:val="001E79AF"/>
    <w:rsid w:val="001E7A6B"/>
    <w:rsid w:val="001E7AA4"/>
    <w:rsid w:val="001E7B5C"/>
    <w:rsid w:val="001E7BF3"/>
    <w:rsid w:val="001E7C14"/>
    <w:rsid w:val="001E7D24"/>
    <w:rsid w:val="001E7E0E"/>
    <w:rsid w:val="001E7EAF"/>
    <w:rsid w:val="001E7F13"/>
    <w:rsid w:val="001E7FE8"/>
    <w:rsid w:val="001F01B7"/>
    <w:rsid w:val="001F01CD"/>
    <w:rsid w:val="001F021A"/>
    <w:rsid w:val="001F0374"/>
    <w:rsid w:val="001F0534"/>
    <w:rsid w:val="001F0596"/>
    <w:rsid w:val="001F059F"/>
    <w:rsid w:val="001F089C"/>
    <w:rsid w:val="001F08D2"/>
    <w:rsid w:val="001F096A"/>
    <w:rsid w:val="001F09DC"/>
    <w:rsid w:val="001F0B68"/>
    <w:rsid w:val="001F0BE9"/>
    <w:rsid w:val="001F0D06"/>
    <w:rsid w:val="001F0DB4"/>
    <w:rsid w:val="001F0EE7"/>
    <w:rsid w:val="001F0FC7"/>
    <w:rsid w:val="001F100C"/>
    <w:rsid w:val="001F1077"/>
    <w:rsid w:val="001F10F0"/>
    <w:rsid w:val="001F1242"/>
    <w:rsid w:val="001F124F"/>
    <w:rsid w:val="001F1392"/>
    <w:rsid w:val="001F1520"/>
    <w:rsid w:val="001F15EB"/>
    <w:rsid w:val="001F15FD"/>
    <w:rsid w:val="001F1668"/>
    <w:rsid w:val="001F16A7"/>
    <w:rsid w:val="001F16D2"/>
    <w:rsid w:val="001F16EB"/>
    <w:rsid w:val="001F17E7"/>
    <w:rsid w:val="001F17EC"/>
    <w:rsid w:val="001F1910"/>
    <w:rsid w:val="001F1952"/>
    <w:rsid w:val="001F19C2"/>
    <w:rsid w:val="001F1A7F"/>
    <w:rsid w:val="001F1A8D"/>
    <w:rsid w:val="001F1B4C"/>
    <w:rsid w:val="001F1BDE"/>
    <w:rsid w:val="001F1CE7"/>
    <w:rsid w:val="001F1E9E"/>
    <w:rsid w:val="001F1EC4"/>
    <w:rsid w:val="001F1F45"/>
    <w:rsid w:val="001F203B"/>
    <w:rsid w:val="001F20A1"/>
    <w:rsid w:val="001F2195"/>
    <w:rsid w:val="001F23EF"/>
    <w:rsid w:val="001F2468"/>
    <w:rsid w:val="001F255C"/>
    <w:rsid w:val="001F271B"/>
    <w:rsid w:val="001F28FB"/>
    <w:rsid w:val="001F291E"/>
    <w:rsid w:val="001F293C"/>
    <w:rsid w:val="001F29C7"/>
    <w:rsid w:val="001F2A1E"/>
    <w:rsid w:val="001F2B39"/>
    <w:rsid w:val="001F2B79"/>
    <w:rsid w:val="001F2BF3"/>
    <w:rsid w:val="001F2C53"/>
    <w:rsid w:val="001F2D73"/>
    <w:rsid w:val="001F2E5F"/>
    <w:rsid w:val="001F2E8E"/>
    <w:rsid w:val="001F2EBC"/>
    <w:rsid w:val="001F2FA9"/>
    <w:rsid w:val="001F305E"/>
    <w:rsid w:val="001F3090"/>
    <w:rsid w:val="001F31B1"/>
    <w:rsid w:val="001F31E0"/>
    <w:rsid w:val="001F3400"/>
    <w:rsid w:val="001F342F"/>
    <w:rsid w:val="001F3713"/>
    <w:rsid w:val="001F3722"/>
    <w:rsid w:val="001F37D4"/>
    <w:rsid w:val="001F383E"/>
    <w:rsid w:val="001F3877"/>
    <w:rsid w:val="001F38E7"/>
    <w:rsid w:val="001F3999"/>
    <w:rsid w:val="001F3A9D"/>
    <w:rsid w:val="001F3AF5"/>
    <w:rsid w:val="001F3BE2"/>
    <w:rsid w:val="001F3C22"/>
    <w:rsid w:val="001F3C88"/>
    <w:rsid w:val="001F3D03"/>
    <w:rsid w:val="001F3DA0"/>
    <w:rsid w:val="001F3DAC"/>
    <w:rsid w:val="001F3DBC"/>
    <w:rsid w:val="001F3EB6"/>
    <w:rsid w:val="001F3ECA"/>
    <w:rsid w:val="001F3FA8"/>
    <w:rsid w:val="001F4004"/>
    <w:rsid w:val="001F4027"/>
    <w:rsid w:val="001F4060"/>
    <w:rsid w:val="001F407F"/>
    <w:rsid w:val="001F4196"/>
    <w:rsid w:val="001F41C6"/>
    <w:rsid w:val="001F4296"/>
    <w:rsid w:val="001F42A5"/>
    <w:rsid w:val="001F42FA"/>
    <w:rsid w:val="001F4304"/>
    <w:rsid w:val="001F4357"/>
    <w:rsid w:val="001F4616"/>
    <w:rsid w:val="001F4649"/>
    <w:rsid w:val="001F471D"/>
    <w:rsid w:val="001F4910"/>
    <w:rsid w:val="001F493C"/>
    <w:rsid w:val="001F494C"/>
    <w:rsid w:val="001F4985"/>
    <w:rsid w:val="001F498F"/>
    <w:rsid w:val="001F49C8"/>
    <w:rsid w:val="001F4B09"/>
    <w:rsid w:val="001F4B16"/>
    <w:rsid w:val="001F4B56"/>
    <w:rsid w:val="001F4C8F"/>
    <w:rsid w:val="001F4D4E"/>
    <w:rsid w:val="001F4E51"/>
    <w:rsid w:val="001F4F28"/>
    <w:rsid w:val="001F4F38"/>
    <w:rsid w:val="001F4FAD"/>
    <w:rsid w:val="001F511E"/>
    <w:rsid w:val="001F5130"/>
    <w:rsid w:val="001F5148"/>
    <w:rsid w:val="001F515E"/>
    <w:rsid w:val="001F5198"/>
    <w:rsid w:val="001F542D"/>
    <w:rsid w:val="001F5458"/>
    <w:rsid w:val="001F54C3"/>
    <w:rsid w:val="001F55A2"/>
    <w:rsid w:val="001F55C0"/>
    <w:rsid w:val="001F56A0"/>
    <w:rsid w:val="001F578A"/>
    <w:rsid w:val="001F57DE"/>
    <w:rsid w:val="001F586E"/>
    <w:rsid w:val="001F58A4"/>
    <w:rsid w:val="001F5A0B"/>
    <w:rsid w:val="001F5AB7"/>
    <w:rsid w:val="001F5C70"/>
    <w:rsid w:val="001F5C85"/>
    <w:rsid w:val="001F5CD7"/>
    <w:rsid w:val="001F5F3C"/>
    <w:rsid w:val="001F5FBD"/>
    <w:rsid w:val="001F605B"/>
    <w:rsid w:val="001F6139"/>
    <w:rsid w:val="001F619C"/>
    <w:rsid w:val="001F6258"/>
    <w:rsid w:val="001F6304"/>
    <w:rsid w:val="001F6391"/>
    <w:rsid w:val="001F63C3"/>
    <w:rsid w:val="001F64D3"/>
    <w:rsid w:val="001F64DD"/>
    <w:rsid w:val="001F6564"/>
    <w:rsid w:val="001F6571"/>
    <w:rsid w:val="001F6576"/>
    <w:rsid w:val="001F6600"/>
    <w:rsid w:val="001F663F"/>
    <w:rsid w:val="001F6662"/>
    <w:rsid w:val="001F6806"/>
    <w:rsid w:val="001F6862"/>
    <w:rsid w:val="001F68E5"/>
    <w:rsid w:val="001F68F7"/>
    <w:rsid w:val="001F6D0B"/>
    <w:rsid w:val="001F6DD3"/>
    <w:rsid w:val="001F6DEF"/>
    <w:rsid w:val="001F6F2E"/>
    <w:rsid w:val="001F6F55"/>
    <w:rsid w:val="001F6F5A"/>
    <w:rsid w:val="001F7077"/>
    <w:rsid w:val="001F7299"/>
    <w:rsid w:val="001F72D6"/>
    <w:rsid w:val="001F7545"/>
    <w:rsid w:val="001F76AB"/>
    <w:rsid w:val="001F76AC"/>
    <w:rsid w:val="001F7712"/>
    <w:rsid w:val="001F772D"/>
    <w:rsid w:val="001F7796"/>
    <w:rsid w:val="001F7878"/>
    <w:rsid w:val="001F7A83"/>
    <w:rsid w:val="001F7B33"/>
    <w:rsid w:val="001F7B43"/>
    <w:rsid w:val="001F7C77"/>
    <w:rsid w:val="001F7C90"/>
    <w:rsid w:val="001F7DB1"/>
    <w:rsid w:val="001F7DC7"/>
    <w:rsid w:val="001F7E4E"/>
    <w:rsid w:val="001F7E8D"/>
    <w:rsid w:val="001F7EA4"/>
    <w:rsid w:val="001F7F36"/>
    <w:rsid w:val="001F7F55"/>
    <w:rsid w:val="00200016"/>
    <w:rsid w:val="002000A7"/>
    <w:rsid w:val="0020018E"/>
    <w:rsid w:val="0020019C"/>
    <w:rsid w:val="0020026D"/>
    <w:rsid w:val="00200357"/>
    <w:rsid w:val="002003F2"/>
    <w:rsid w:val="00200609"/>
    <w:rsid w:val="00200684"/>
    <w:rsid w:val="00200695"/>
    <w:rsid w:val="00200744"/>
    <w:rsid w:val="002009F8"/>
    <w:rsid w:val="00200A3F"/>
    <w:rsid w:val="00200B06"/>
    <w:rsid w:val="00200B76"/>
    <w:rsid w:val="00200B88"/>
    <w:rsid w:val="00200BBF"/>
    <w:rsid w:val="00200BCE"/>
    <w:rsid w:val="00200DD3"/>
    <w:rsid w:val="00200E7B"/>
    <w:rsid w:val="00200F02"/>
    <w:rsid w:val="00200F43"/>
    <w:rsid w:val="00200FC0"/>
    <w:rsid w:val="002010B8"/>
    <w:rsid w:val="00201419"/>
    <w:rsid w:val="0020141E"/>
    <w:rsid w:val="002014D4"/>
    <w:rsid w:val="002014EA"/>
    <w:rsid w:val="00201519"/>
    <w:rsid w:val="00201560"/>
    <w:rsid w:val="0020157B"/>
    <w:rsid w:val="00201603"/>
    <w:rsid w:val="00201632"/>
    <w:rsid w:val="00201762"/>
    <w:rsid w:val="0020189E"/>
    <w:rsid w:val="002018C0"/>
    <w:rsid w:val="00201957"/>
    <w:rsid w:val="002019B7"/>
    <w:rsid w:val="00201A9A"/>
    <w:rsid w:val="00201AAD"/>
    <w:rsid w:val="00201C85"/>
    <w:rsid w:val="00201CD0"/>
    <w:rsid w:val="00201D37"/>
    <w:rsid w:val="00201D75"/>
    <w:rsid w:val="00201D77"/>
    <w:rsid w:val="00201EF9"/>
    <w:rsid w:val="00202139"/>
    <w:rsid w:val="00202153"/>
    <w:rsid w:val="00202276"/>
    <w:rsid w:val="002022A9"/>
    <w:rsid w:val="00202339"/>
    <w:rsid w:val="00202353"/>
    <w:rsid w:val="00202356"/>
    <w:rsid w:val="00202392"/>
    <w:rsid w:val="00202418"/>
    <w:rsid w:val="0020243D"/>
    <w:rsid w:val="00202441"/>
    <w:rsid w:val="0020246A"/>
    <w:rsid w:val="0020249E"/>
    <w:rsid w:val="0020251F"/>
    <w:rsid w:val="00202559"/>
    <w:rsid w:val="002025AC"/>
    <w:rsid w:val="002026CD"/>
    <w:rsid w:val="002027B6"/>
    <w:rsid w:val="00202829"/>
    <w:rsid w:val="00202A9B"/>
    <w:rsid w:val="00202B81"/>
    <w:rsid w:val="00202C09"/>
    <w:rsid w:val="00202CC0"/>
    <w:rsid w:val="00202D4D"/>
    <w:rsid w:val="00202E03"/>
    <w:rsid w:val="00202F2E"/>
    <w:rsid w:val="00202F5B"/>
    <w:rsid w:val="00202F96"/>
    <w:rsid w:val="00203098"/>
    <w:rsid w:val="002030A1"/>
    <w:rsid w:val="00203278"/>
    <w:rsid w:val="00203339"/>
    <w:rsid w:val="0020339E"/>
    <w:rsid w:val="00203409"/>
    <w:rsid w:val="0020346A"/>
    <w:rsid w:val="002034C2"/>
    <w:rsid w:val="0020367D"/>
    <w:rsid w:val="002036BE"/>
    <w:rsid w:val="00203722"/>
    <w:rsid w:val="00203726"/>
    <w:rsid w:val="00203760"/>
    <w:rsid w:val="002037D1"/>
    <w:rsid w:val="0020388E"/>
    <w:rsid w:val="002038BA"/>
    <w:rsid w:val="00203BB7"/>
    <w:rsid w:val="00203C3D"/>
    <w:rsid w:val="00203CF2"/>
    <w:rsid w:val="00203DA8"/>
    <w:rsid w:val="00203F43"/>
    <w:rsid w:val="00203FB7"/>
    <w:rsid w:val="00204061"/>
    <w:rsid w:val="002041F0"/>
    <w:rsid w:val="00204260"/>
    <w:rsid w:val="002042FF"/>
    <w:rsid w:val="00204343"/>
    <w:rsid w:val="002046CA"/>
    <w:rsid w:val="002046F9"/>
    <w:rsid w:val="00204A52"/>
    <w:rsid w:val="00204B41"/>
    <w:rsid w:val="00204C1E"/>
    <w:rsid w:val="00204D26"/>
    <w:rsid w:val="00204DFD"/>
    <w:rsid w:val="00204E06"/>
    <w:rsid w:val="00204E55"/>
    <w:rsid w:val="00204E66"/>
    <w:rsid w:val="002050BA"/>
    <w:rsid w:val="002050BC"/>
    <w:rsid w:val="0020516D"/>
    <w:rsid w:val="00205373"/>
    <w:rsid w:val="002053A7"/>
    <w:rsid w:val="0020544A"/>
    <w:rsid w:val="00205491"/>
    <w:rsid w:val="002054EE"/>
    <w:rsid w:val="0020557C"/>
    <w:rsid w:val="002055D6"/>
    <w:rsid w:val="002057A3"/>
    <w:rsid w:val="002058BF"/>
    <w:rsid w:val="00205911"/>
    <w:rsid w:val="0020594A"/>
    <w:rsid w:val="0020598B"/>
    <w:rsid w:val="00205A35"/>
    <w:rsid w:val="00205A88"/>
    <w:rsid w:val="00205B41"/>
    <w:rsid w:val="00205B53"/>
    <w:rsid w:val="00205C51"/>
    <w:rsid w:val="00205CAF"/>
    <w:rsid w:val="00205D00"/>
    <w:rsid w:val="00205D31"/>
    <w:rsid w:val="00205E7A"/>
    <w:rsid w:val="00205E97"/>
    <w:rsid w:val="00205FDE"/>
    <w:rsid w:val="0020603C"/>
    <w:rsid w:val="00206070"/>
    <w:rsid w:val="00206101"/>
    <w:rsid w:val="0020614F"/>
    <w:rsid w:val="002062B1"/>
    <w:rsid w:val="00206368"/>
    <w:rsid w:val="00206383"/>
    <w:rsid w:val="0020647D"/>
    <w:rsid w:val="002066D0"/>
    <w:rsid w:val="002066FF"/>
    <w:rsid w:val="002067F4"/>
    <w:rsid w:val="0020682C"/>
    <w:rsid w:val="0020685C"/>
    <w:rsid w:val="00206881"/>
    <w:rsid w:val="00206A53"/>
    <w:rsid w:val="00206B40"/>
    <w:rsid w:val="00206B7D"/>
    <w:rsid w:val="00206CA1"/>
    <w:rsid w:val="00206D6B"/>
    <w:rsid w:val="00206EDD"/>
    <w:rsid w:val="00206F50"/>
    <w:rsid w:val="002073AE"/>
    <w:rsid w:val="0020747F"/>
    <w:rsid w:val="00207516"/>
    <w:rsid w:val="0020759E"/>
    <w:rsid w:val="002075EA"/>
    <w:rsid w:val="002076C1"/>
    <w:rsid w:val="002076F1"/>
    <w:rsid w:val="00207760"/>
    <w:rsid w:val="0020778B"/>
    <w:rsid w:val="0020781D"/>
    <w:rsid w:val="002079D3"/>
    <w:rsid w:val="00207B92"/>
    <w:rsid w:val="00207D05"/>
    <w:rsid w:val="00207D43"/>
    <w:rsid w:val="00207F1B"/>
    <w:rsid w:val="00207F4F"/>
    <w:rsid w:val="00207FB5"/>
    <w:rsid w:val="0021004A"/>
    <w:rsid w:val="0021006C"/>
    <w:rsid w:val="002100A3"/>
    <w:rsid w:val="00210311"/>
    <w:rsid w:val="00210575"/>
    <w:rsid w:val="002105BC"/>
    <w:rsid w:val="00210634"/>
    <w:rsid w:val="00210665"/>
    <w:rsid w:val="0021068D"/>
    <w:rsid w:val="002106B0"/>
    <w:rsid w:val="0021071B"/>
    <w:rsid w:val="00210789"/>
    <w:rsid w:val="00210A12"/>
    <w:rsid w:val="00210A9C"/>
    <w:rsid w:val="00210B00"/>
    <w:rsid w:val="00210B71"/>
    <w:rsid w:val="00210C39"/>
    <w:rsid w:val="00210CAD"/>
    <w:rsid w:val="00210D1F"/>
    <w:rsid w:val="00210E04"/>
    <w:rsid w:val="00210E42"/>
    <w:rsid w:val="00210EC5"/>
    <w:rsid w:val="00210EDD"/>
    <w:rsid w:val="00211019"/>
    <w:rsid w:val="00211208"/>
    <w:rsid w:val="00211245"/>
    <w:rsid w:val="0021125E"/>
    <w:rsid w:val="00211374"/>
    <w:rsid w:val="002113A9"/>
    <w:rsid w:val="002116EF"/>
    <w:rsid w:val="00211787"/>
    <w:rsid w:val="002117D7"/>
    <w:rsid w:val="00211819"/>
    <w:rsid w:val="00211865"/>
    <w:rsid w:val="00211961"/>
    <w:rsid w:val="00211B4E"/>
    <w:rsid w:val="00211B77"/>
    <w:rsid w:val="00211C2E"/>
    <w:rsid w:val="00211F31"/>
    <w:rsid w:val="002121BE"/>
    <w:rsid w:val="0021232F"/>
    <w:rsid w:val="0021236A"/>
    <w:rsid w:val="002123CB"/>
    <w:rsid w:val="002123E1"/>
    <w:rsid w:val="00212431"/>
    <w:rsid w:val="0021258E"/>
    <w:rsid w:val="002125DB"/>
    <w:rsid w:val="002127C5"/>
    <w:rsid w:val="002128DE"/>
    <w:rsid w:val="00212BB1"/>
    <w:rsid w:val="00212C8E"/>
    <w:rsid w:val="00212CAF"/>
    <w:rsid w:val="00212CBE"/>
    <w:rsid w:val="00212D33"/>
    <w:rsid w:val="00212E33"/>
    <w:rsid w:val="00212ED1"/>
    <w:rsid w:val="002132F7"/>
    <w:rsid w:val="0021332D"/>
    <w:rsid w:val="00213378"/>
    <w:rsid w:val="00213410"/>
    <w:rsid w:val="00213552"/>
    <w:rsid w:val="002135F4"/>
    <w:rsid w:val="0021376F"/>
    <w:rsid w:val="002137E0"/>
    <w:rsid w:val="0021380E"/>
    <w:rsid w:val="00213848"/>
    <w:rsid w:val="002138AB"/>
    <w:rsid w:val="0021392F"/>
    <w:rsid w:val="00213938"/>
    <w:rsid w:val="00213979"/>
    <w:rsid w:val="00213A13"/>
    <w:rsid w:val="00213A58"/>
    <w:rsid w:val="00213A59"/>
    <w:rsid w:val="00213BCD"/>
    <w:rsid w:val="00213BEF"/>
    <w:rsid w:val="00213C6D"/>
    <w:rsid w:val="00213CA7"/>
    <w:rsid w:val="00213E30"/>
    <w:rsid w:val="00213E3F"/>
    <w:rsid w:val="00213EA1"/>
    <w:rsid w:val="00213F00"/>
    <w:rsid w:val="00213F45"/>
    <w:rsid w:val="0021406E"/>
    <w:rsid w:val="002140B1"/>
    <w:rsid w:val="002140B4"/>
    <w:rsid w:val="002142BE"/>
    <w:rsid w:val="00214317"/>
    <w:rsid w:val="00214416"/>
    <w:rsid w:val="00214443"/>
    <w:rsid w:val="00214490"/>
    <w:rsid w:val="002145A8"/>
    <w:rsid w:val="00214612"/>
    <w:rsid w:val="00214719"/>
    <w:rsid w:val="00214745"/>
    <w:rsid w:val="002147BC"/>
    <w:rsid w:val="0021486D"/>
    <w:rsid w:val="0021488A"/>
    <w:rsid w:val="002148CA"/>
    <w:rsid w:val="00214A70"/>
    <w:rsid w:val="00214BFB"/>
    <w:rsid w:val="00214C73"/>
    <w:rsid w:val="00214DA1"/>
    <w:rsid w:val="00214DD5"/>
    <w:rsid w:val="00214DFF"/>
    <w:rsid w:val="00214E35"/>
    <w:rsid w:val="00214F7C"/>
    <w:rsid w:val="00214FCF"/>
    <w:rsid w:val="00215164"/>
    <w:rsid w:val="002153B4"/>
    <w:rsid w:val="0021554D"/>
    <w:rsid w:val="0021568A"/>
    <w:rsid w:val="002156E2"/>
    <w:rsid w:val="002157FB"/>
    <w:rsid w:val="00215935"/>
    <w:rsid w:val="00215A1F"/>
    <w:rsid w:val="00215AAF"/>
    <w:rsid w:val="00215ABE"/>
    <w:rsid w:val="00215B76"/>
    <w:rsid w:val="00215C19"/>
    <w:rsid w:val="00215FA0"/>
    <w:rsid w:val="00215FC2"/>
    <w:rsid w:val="00216042"/>
    <w:rsid w:val="002161BA"/>
    <w:rsid w:val="00216474"/>
    <w:rsid w:val="0021656D"/>
    <w:rsid w:val="0021670D"/>
    <w:rsid w:val="00216826"/>
    <w:rsid w:val="00216B24"/>
    <w:rsid w:val="00216C78"/>
    <w:rsid w:val="00216D24"/>
    <w:rsid w:val="00216D71"/>
    <w:rsid w:val="00216DAF"/>
    <w:rsid w:val="00216E67"/>
    <w:rsid w:val="00216ECE"/>
    <w:rsid w:val="00216F4C"/>
    <w:rsid w:val="002170AF"/>
    <w:rsid w:val="00217175"/>
    <w:rsid w:val="002171BA"/>
    <w:rsid w:val="002171F4"/>
    <w:rsid w:val="00217240"/>
    <w:rsid w:val="002172DA"/>
    <w:rsid w:val="002172DD"/>
    <w:rsid w:val="002172FD"/>
    <w:rsid w:val="00217466"/>
    <w:rsid w:val="002174B0"/>
    <w:rsid w:val="0021753A"/>
    <w:rsid w:val="00217548"/>
    <w:rsid w:val="00217663"/>
    <w:rsid w:val="002176B5"/>
    <w:rsid w:val="002176CA"/>
    <w:rsid w:val="002176DC"/>
    <w:rsid w:val="00217714"/>
    <w:rsid w:val="00217764"/>
    <w:rsid w:val="002178A2"/>
    <w:rsid w:val="002178E6"/>
    <w:rsid w:val="00217951"/>
    <w:rsid w:val="0021795B"/>
    <w:rsid w:val="002179C0"/>
    <w:rsid w:val="002179EE"/>
    <w:rsid w:val="00217A2F"/>
    <w:rsid w:val="00217A4E"/>
    <w:rsid w:val="00217BE2"/>
    <w:rsid w:val="00217C52"/>
    <w:rsid w:val="00217C74"/>
    <w:rsid w:val="00217E34"/>
    <w:rsid w:val="00217E58"/>
    <w:rsid w:val="0022002F"/>
    <w:rsid w:val="00220087"/>
    <w:rsid w:val="00220170"/>
    <w:rsid w:val="002201D6"/>
    <w:rsid w:val="00220294"/>
    <w:rsid w:val="002202B1"/>
    <w:rsid w:val="00220402"/>
    <w:rsid w:val="002204EF"/>
    <w:rsid w:val="002205B4"/>
    <w:rsid w:val="0022066D"/>
    <w:rsid w:val="0022066F"/>
    <w:rsid w:val="002206B1"/>
    <w:rsid w:val="00220792"/>
    <w:rsid w:val="00220882"/>
    <w:rsid w:val="0022089A"/>
    <w:rsid w:val="0022093A"/>
    <w:rsid w:val="00220A10"/>
    <w:rsid w:val="00220A45"/>
    <w:rsid w:val="00220ADF"/>
    <w:rsid w:val="00220B14"/>
    <w:rsid w:val="00220C3A"/>
    <w:rsid w:val="00220C92"/>
    <w:rsid w:val="00220D72"/>
    <w:rsid w:val="00220E38"/>
    <w:rsid w:val="00220E8F"/>
    <w:rsid w:val="00220E90"/>
    <w:rsid w:val="00220F05"/>
    <w:rsid w:val="00220F0E"/>
    <w:rsid w:val="00221036"/>
    <w:rsid w:val="0022113F"/>
    <w:rsid w:val="002211B3"/>
    <w:rsid w:val="0022133B"/>
    <w:rsid w:val="00221426"/>
    <w:rsid w:val="002214A8"/>
    <w:rsid w:val="00221692"/>
    <w:rsid w:val="0022175D"/>
    <w:rsid w:val="0022189C"/>
    <w:rsid w:val="002219E1"/>
    <w:rsid w:val="002219FD"/>
    <w:rsid w:val="00221AC8"/>
    <w:rsid w:val="00221B49"/>
    <w:rsid w:val="00221C2F"/>
    <w:rsid w:val="00221CE0"/>
    <w:rsid w:val="00221D40"/>
    <w:rsid w:val="00221E14"/>
    <w:rsid w:val="00221E34"/>
    <w:rsid w:val="00221E72"/>
    <w:rsid w:val="00221E78"/>
    <w:rsid w:val="00221F27"/>
    <w:rsid w:val="00221F60"/>
    <w:rsid w:val="00222000"/>
    <w:rsid w:val="00222036"/>
    <w:rsid w:val="00222065"/>
    <w:rsid w:val="0022208B"/>
    <w:rsid w:val="002220DA"/>
    <w:rsid w:val="00222315"/>
    <w:rsid w:val="002223E3"/>
    <w:rsid w:val="00222463"/>
    <w:rsid w:val="0022256C"/>
    <w:rsid w:val="002225B0"/>
    <w:rsid w:val="0022280B"/>
    <w:rsid w:val="0022283F"/>
    <w:rsid w:val="00222895"/>
    <w:rsid w:val="00222AAA"/>
    <w:rsid w:val="00222AE3"/>
    <w:rsid w:val="00222E51"/>
    <w:rsid w:val="00222E5C"/>
    <w:rsid w:val="00222E9C"/>
    <w:rsid w:val="00222FE4"/>
    <w:rsid w:val="00223032"/>
    <w:rsid w:val="002230FA"/>
    <w:rsid w:val="002231A0"/>
    <w:rsid w:val="00223376"/>
    <w:rsid w:val="002238B9"/>
    <w:rsid w:val="002238CB"/>
    <w:rsid w:val="002239EE"/>
    <w:rsid w:val="00223B3E"/>
    <w:rsid w:val="00223B6E"/>
    <w:rsid w:val="00223BE9"/>
    <w:rsid w:val="00223F5E"/>
    <w:rsid w:val="00223FAF"/>
    <w:rsid w:val="0022407C"/>
    <w:rsid w:val="002240EB"/>
    <w:rsid w:val="002242CF"/>
    <w:rsid w:val="0022447F"/>
    <w:rsid w:val="00224487"/>
    <w:rsid w:val="00224488"/>
    <w:rsid w:val="002246FA"/>
    <w:rsid w:val="00224A01"/>
    <w:rsid w:val="00224B0B"/>
    <w:rsid w:val="00224C9F"/>
    <w:rsid w:val="00224D6D"/>
    <w:rsid w:val="00224ECB"/>
    <w:rsid w:val="00225047"/>
    <w:rsid w:val="0022515B"/>
    <w:rsid w:val="002254A5"/>
    <w:rsid w:val="002254CB"/>
    <w:rsid w:val="00225535"/>
    <w:rsid w:val="002255CC"/>
    <w:rsid w:val="0022571F"/>
    <w:rsid w:val="002258CC"/>
    <w:rsid w:val="00225931"/>
    <w:rsid w:val="00225A27"/>
    <w:rsid w:val="00225A53"/>
    <w:rsid w:val="00225BBF"/>
    <w:rsid w:val="00225DD9"/>
    <w:rsid w:val="00225DEB"/>
    <w:rsid w:val="00225F12"/>
    <w:rsid w:val="00225F1D"/>
    <w:rsid w:val="00226043"/>
    <w:rsid w:val="002261EC"/>
    <w:rsid w:val="0022620B"/>
    <w:rsid w:val="00226274"/>
    <w:rsid w:val="002262F6"/>
    <w:rsid w:val="00226402"/>
    <w:rsid w:val="00226495"/>
    <w:rsid w:val="002264A4"/>
    <w:rsid w:val="002264E8"/>
    <w:rsid w:val="00226502"/>
    <w:rsid w:val="0022650E"/>
    <w:rsid w:val="002265C2"/>
    <w:rsid w:val="0022679E"/>
    <w:rsid w:val="0022690A"/>
    <w:rsid w:val="00226952"/>
    <w:rsid w:val="00226959"/>
    <w:rsid w:val="002269F8"/>
    <w:rsid w:val="00226C8A"/>
    <w:rsid w:val="00226E44"/>
    <w:rsid w:val="00226E60"/>
    <w:rsid w:val="00226EEA"/>
    <w:rsid w:val="00226F9B"/>
    <w:rsid w:val="0022704E"/>
    <w:rsid w:val="002270D9"/>
    <w:rsid w:val="00227123"/>
    <w:rsid w:val="0022713B"/>
    <w:rsid w:val="002272C5"/>
    <w:rsid w:val="002272E5"/>
    <w:rsid w:val="00227467"/>
    <w:rsid w:val="00227478"/>
    <w:rsid w:val="002277EA"/>
    <w:rsid w:val="00227830"/>
    <w:rsid w:val="00227959"/>
    <w:rsid w:val="00227ACC"/>
    <w:rsid w:val="00227B72"/>
    <w:rsid w:val="00227C19"/>
    <w:rsid w:val="00227F39"/>
    <w:rsid w:val="00227F3D"/>
    <w:rsid w:val="0023004A"/>
    <w:rsid w:val="00230072"/>
    <w:rsid w:val="0023023F"/>
    <w:rsid w:val="0023032D"/>
    <w:rsid w:val="0023037C"/>
    <w:rsid w:val="0023038F"/>
    <w:rsid w:val="002303AC"/>
    <w:rsid w:val="002304AF"/>
    <w:rsid w:val="00230517"/>
    <w:rsid w:val="0023054A"/>
    <w:rsid w:val="00230592"/>
    <w:rsid w:val="002305AC"/>
    <w:rsid w:val="00230774"/>
    <w:rsid w:val="002307FB"/>
    <w:rsid w:val="002308B6"/>
    <w:rsid w:val="002308DF"/>
    <w:rsid w:val="00230CAF"/>
    <w:rsid w:val="00230CC5"/>
    <w:rsid w:val="00230CE9"/>
    <w:rsid w:val="00230D52"/>
    <w:rsid w:val="00230DCD"/>
    <w:rsid w:val="00230E51"/>
    <w:rsid w:val="00230E8B"/>
    <w:rsid w:val="00230FBC"/>
    <w:rsid w:val="00230FFC"/>
    <w:rsid w:val="00231009"/>
    <w:rsid w:val="00231047"/>
    <w:rsid w:val="0023107F"/>
    <w:rsid w:val="002310D3"/>
    <w:rsid w:val="00231270"/>
    <w:rsid w:val="00231467"/>
    <w:rsid w:val="002314D1"/>
    <w:rsid w:val="002314E6"/>
    <w:rsid w:val="00231535"/>
    <w:rsid w:val="002315AD"/>
    <w:rsid w:val="0023165E"/>
    <w:rsid w:val="00231668"/>
    <w:rsid w:val="0023173C"/>
    <w:rsid w:val="002317D0"/>
    <w:rsid w:val="0023181B"/>
    <w:rsid w:val="00231916"/>
    <w:rsid w:val="00231A84"/>
    <w:rsid w:val="00231AEE"/>
    <w:rsid w:val="00231CAD"/>
    <w:rsid w:val="00231CC9"/>
    <w:rsid w:val="00231D89"/>
    <w:rsid w:val="00231E15"/>
    <w:rsid w:val="00231E4F"/>
    <w:rsid w:val="00231FA3"/>
    <w:rsid w:val="00231FD2"/>
    <w:rsid w:val="00231FD6"/>
    <w:rsid w:val="00232014"/>
    <w:rsid w:val="00232111"/>
    <w:rsid w:val="00232155"/>
    <w:rsid w:val="002321DA"/>
    <w:rsid w:val="00232280"/>
    <w:rsid w:val="002322D5"/>
    <w:rsid w:val="00232392"/>
    <w:rsid w:val="002323A0"/>
    <w:rsid w:val="002323DD"/>
    <w:rsid w:val="00232505"/>
    <w:rsid w:val="002327B9"/>
    <w:rsid w:val="00232853"/>
    <w:rsid w:val="00232906"/>
    <w:rsid w:val="00232B9F"/>
    <w:rsid w:val="00232BB3"/>
    <w:rsid w:val="00232C37"/>
    <w:rsid w:val="00232CB9"/>
    <w:rsid w:val="00232CEC"/>
    <w:rsid w:val="00232F59"/>
    <w:rsid w:val="00232F74"/>
    <w:rsid w:val="00232FBA"/>
    <w:rsid w:val="00232FE6"/>
    <w:rsid w:val="002330FB"/>
    <w:rsid w:val="002331A4"/>
    <w:rsid w:val="00233302"/>
    <w:rsid w:val="002333C3"/>
    <w:rsid w:val="00233448"/>
    <w:rsid w:val="0023357D"/>
    <w:rsid w:val="0023358C"/>
    <w:rsid w:val="002337EC"/>
    <w:rsid w:val="0023380B"/>
    <w:rsid w:val="00233857"/>
    <w:rsid w:val="0023387C"/>
    <w:rsid w:val="002338AD"/>
    <w:rsid w:val="00233B95"/>
    <w:rsid w:val="00233BE3"/>
    <w:rsid w:val="00233D0C"/>
    <w:rsid w:val="00233D2A"/>
    <w:rsid w:val="00233D50"/>
    <w:rsid w:val="00233DC7"/>
    <w:rsid w:val="00233E09"/>
    <w:rsid w:val="00233E2C"/>
    <w:rsid w:val="00233E4C"/>
    <w:rsid w:val="00233F07"/>
    <w:rsid w:val="002341BC"/>
    <w:rsid w:val="002341E6"/>
    <w:rsid w:val="002341E7"/>
    <w:rsid w:val="002344EA"/>
    <w:rsid w:val="00234550"/>
    <w:rsid w:val="002345F3"/>
    <w:rsid w:val="002346C6"/>
    <w:rsid w:val="002346D0"/>
    <w:rsid w:val="002347FB"/>
    <w:rsid w:val="00234829"/>
    <w:rsid w:val="002349B5"/>
    <w:rsid w:val="00234AC8"/>
    <w:rsid w:val="00234BA5"/>
    <w:rsid w:val="00234C0B"/>
    <w:rsid w:val="00234DFE"/>
    <w:rsid w:val="00234F0A"/>
    <w:rsid w:val="00234FAC"/>
    <w:rsid w:val="00235084"/>
    <w:rsid w:val="00235123"/>
    <w:rsid w:val="002351C5"/>
    <w:rsid w:val="002351FB"/>
    <w:rsid w:val="00235219"/>
    <w:rsid w:val="0023526B"/>
    <w:rsid w:val="002352A4"/>
    <w:rsid w:val="00235517"/>
    <w:rsid w:val="00235553"/>
    <w:rsid w:val="00235575"/>
    <w:rsid w:val="00235649"/>
    <w:rsid w:val="0023566C"/>
    <w:rsid w:val="00235686"/>
    <w:rsid w:val="002357E9"/>
    <w:rsid w:val="0023586F"/>
    <w:rsid w:val="002358E5"/>
    <w:rsid w:val="00235A76"/>
    <w:rsid w:val="00235C4B"/>
    <w:rsid w:val="00235CD1"/>
    <w:rsid w:val="00235D4A"/>
    <w:rsid w:val="00235E31"/>
    <w:rsid w:val="00235EE4"/>
    <w:rsid w:val="00235F69"/>
    <w:rsid w:val="00235F78"/>
    <w:rsid w:val="00235F92"/>
    <w:rsid w:val="002361BF"/>
    <w:rsid w:val="002362DD"/>
    <w:rsid w:val="002362E0"/>
    <w:rsid w:val="00236320"/>
    <w:rsid w:val="0023639C"/>
    <w:rsid w:val="00236528"/>
    <w:rsid w:val="00236570"/>
    <w:rsid w:val="00236607"/>
    <w:rsid w:val="002367E5"/>
    <w:rsid w:val="002368E4"/>
    <w:rsid w:val="002368ED"/>
    <w:rsid w:val="00236B81"/>
    <w:rsid w:val="00236CBF"/>
    <w:rsid w:val="00236D1A"/>
    <w:rsid w:val="00236DF1"/>
    <w:rsid w:val="00236E46"/>
    <w:rsid w:val="00236EDC"/>
    <w:rsid w:val="00236FA1"/>
    <w:rsid w:val="00236FA2"/>
    <w:rsid w:val="00236FBD"/>
    <w:rsid w:val="00237079"/>
    <w:rsid w:val="00237087"/>
    <w:rsid w:val="0023708B"/>
    <w:rsid w:val="002371C1"/>
    <w:rsid w:val="00237547"/>
    <w:rsid w:val="002375D6"/>
    <w:rsid w:val="002377D1"/>
    <w:rsid w:val="00237AF1"/>
    <w:rsid w:val="00237C90"/>
    <w:rsid w:val="00237D24"/>
    <w:rsid w:val="00237E0C"/>
    <w:rsid w:val="00237F04"/>
    <w:rsid w:val="00237F73"/>
    <w:rsid w:val="00237F76"/>
    <w:rsid w:val="00237FAD"/>
    <w:rsid w:val="00237FCF"/>
    <w:rsid w:val="002400C8"/>
    <w:rsid w:val="002401EB"/>
    <w:rsid w:val="00240278"/>
    <w:rsid w:val="0024034B"/>
    <w:rsid w:val="002403EA"/>
    <w:rsid w:val="00240419"/>
    <w:rsid w:val="0024046A"/>
    <w:rsid w:val="002404BF"/>
    <w:rsid w:val="0024084B"/>
    <w:rsid w:val="00240872"/>
    <w:rsid w:val="002408BA"/>
    <w:rsid w:val="002408EC"/>
    <w:rsid w:val="0024090E"/>
    <w:rsid w:val="00240A92"/>
    <w:rsid w:val="00240AAF"/>
    <w:rsid w:val="00240AD3"/>
    <w:rsid w:val="00240C2B"/>
    <w:rsid w:val="00240C5C"/>
    <w:rsid w:val="00240EAC"/>
    <w:rsid w:val="00240F23"/>
    <w:rsid w:val="00241056"/>
    <w:rsid w:val="002411C0"/>
    <w:rsid w:val="002412A7"/>
    <w:rsid w:val="002412E0"/>
    <w:rsid w:val="00241365"/>
    <w:rsid w:val="00241399"/>
    <w:rsid w:val="00241464"/>
    <w:rsid w:val="002414C5"/>
    <w:rsid w:val="0024150A"/>
    <w:rsid w:val="00241514"/>
    <w:rsid w:val="00241610"/>
    <w:rsid w:val="00241714"/>
    <w:rsid w:val="002418E9"/>
    <w:rsid w:val="00241974"/>
    <w:rsid w:val="00241A51"/>
    <w:rsid w:val="00241B12"/>
    <w:rsid w:val="00241B56"/>
    <w:rsid w:val="00241B5E"/>
    <w:rsid w:val="00241BDF"/>
    <w:rsid w:val="00241C26"/>
    <w:rsid w:val="00241C55"/>
    <w:rsid w:val="00241DA9"/>
    <w:rsid w:val="00241E3C"/>
    <w:rsid w:val="00241FA7"/>
    <w:rsid w:val="00241FBA"/>
    <w:rsid w:val="002420A7"/>
    <w:rsid w:val="002420DE"/>
    <w:rsid w:val="002420E9"/>
    <w:rsid w:val="00242151"/>
    <w:rsid w:val="002422CB"/>
    <w:rsid w:val="002422EE"/>
    <w:rsid w:val="002423E9"/>
    <w:rsid w:val="002424DF"/>
    <w:rsid w:val="002424FF"/>
    <w:rsid w:val="002425E6"/>
    <w:rsid w:val="00242686"/>
    <w:rsid w:val="00242B08"/>
    <w:rsid w:val="00242B29"/>
    <w:rsid w:val="00242B7E"/>
    <w:rsid w:val="00242E36"/>
    <w:rsid w:val="00242EC9"/>
    <w:rsid w:val="00242EFC"/>
    <w:rsid w:val="00242F78"/>
    <w:rsid w:val="00242FAD"/>
    <w:rsid w:val="002430FA"/>
    <w:rsid w:val="002432D4"/>
    <w:rsid w:val="00243302"/>
    <w:rsid w:val="0024332C"/>
    <w:rsid w:val="0024348C"/>
    <w:rsid w:val="002434F4"/>
    <w:rsid w:val="002435BD"/>
    <w:rsid w:val="00243611"/>
    <w:rsid w:val="00243655"/>
    <w:rsid w:val="0024368E"/>
    <w:rsid w:val="00243696"/>
    <w:rsid w:val="00243768"/>
    <w:rsid w:val="002437CD"/>
    <w:rsid w:val="002437E7"/>
    <w:rsid w:val="00243A39"/>
    <w:rsid w:val="00243A9C"/>
    <w:rsid w:val="00243ABF"/>
    <w:rsid w:val="00243CE4"/>
    <w:rsid w:val="00243D85"/>
    <w:rsid w:val="00243E06"/>
    <w:rsid w:val="00243E34"/>
    <w:rsid w:val="00243EEF"/>
    <w:rsid w:val="00243FF0"/>
    <w:rsid w:val="002440F3"/>
    <w:rsid w:val="00244123"/>
    <w:rsid w:val="002442DF"/>
    <w:rsid w:val="00244410"/>
    <w:rsid w:val="00244498"/>
    <w:rsid w:val="00244546"/>
    <w:rsid w:val="0024454C"/>
    <w:rsid w:val="002445AC"/>
    <w:rsid w:val="00244620"/>
    <w:rsid w:val="002446CA"/>
    <w:rsid w:val="0024473D"/>
    <w:rsid w:val="0024479A"/>
    <w:rsid w:val="002447DB"/>
    <w:rsid w:val="00244843"/>
    <w:rsid w:val="002449AD"/>
    <w:rsid w:val="00244A30"/>
    <w:rsid w:val="00244A3D"/>
    <w:rsid w:val="00244A97"/>
    <w:rsid w:val="00244B05"/>
    <w:rsid w:val="00244DCB"/>
    <w:rsid w:val="00244F43"/>
    <w:rsid w:val="00245135"/>
    <w:rsid w:val="00245200"/>
    <w:rsid w:val="00245299"/>
    <w:rsid w:val="002452F0"/>
    <w:rsid w:val="00245397"/>
    <w:rsid w:val="0024541A"/>
    <w:rsid w:val="002454B9"/>
    <w:rsid w:val="00245587"/>
    <w:rsid w:val="00245612"/>
    <w:rsid w:val="00245625"/>
    <w:rsid w:val="0024566A"/>
    <w:rsid w:val="002457DA"/>
    <w:rsid w:val="002458C7"/>
    <w:rsid w:val="00245957"/>
    <w:rsid w:val="002459DD"/>
    <w:rsid w:val="00245A7C"/>
    <w:rsid w:val="00245AA1"/>
    <w:rsid w:val="00245B15"/>
    <w:rsid w:val="00245C13"/>
    <w:rsid w:val="00245D9B"/>
    <w:rsid w:val="00245DDB"/>
    <w:rsid w:val="00245E69"/>
    <w:rsid w:val="00245ED1"/>
    <w:rsid w:val="00245FF6"/>
    <w:rsid w:val="0024614E"/>
    <w:rsid w:val="002461A1"/>
    <w:rsid w:val="002461AC"/>
    <w:rsid w:val="002462C7"/>
    <w:rsid w:val="0024633F"/>
    <w:rsid w:val="002463DB"/>
    <w:rsid w:val="002463F7"/>
    <w:rsid w:val="002464D0"/>
    <w:rsid w:val="0024657C"/>
    <w:rsid w:val="002465E3"/>
    <w:rsid w:val="002466E8"/>
    <w:rsid w:val="00246708"/>
    <w:rsid w:val="0024677A"/>
    <w:rsid w:val="002468E9"/>
    <w:rsid w:val="00246904"/>
    <w:rsid w:val="00246923"/>
    <w:rsid w:val="002469D2"/>
    <w:rsid w:val="00246A83"/>
    <w:rsid w:val="00246AA5"/>
    <w:rsid w:val="00246AC9"/>
    <w:rsid w:val="00246B0E"/>
    <w:rsid w:val="00246BA4"/>
    <w:rsid w:val="00246BC3"/>
    <w:rsid w:val="00246C90"/>
    <w:rsid w:val="00246D45"/>
    <w:rsid w:val="00246DEC"/>
    <w:rsid w:val="00246DFC"/>
    <w:rsid w:val="00246EA0"/>
    <w:rsid w:val="00246F8E"/>
    <w:rsid w:val="00246FD1"/>
    <w:rsid w:val="00247058"/>
    <w:rsid w:val="0024708C"/>
    <w:rsid w:val="002470BD"/>
    <w:rsid w:val="00247147"/>
    <w:rsid w:val="0024717F"/>
    <w:rsid w:val="002471AB"/>
    <w:rsid w:val="00247359"/>
    <w:rsid w:val="0024756F"/>
    <w:rsid w:val="00247587"/>
    <w:rsid w:val="00247683"/>
    <w:rsid w:val="002476C2"/>
    <w:rsid w:val="00247777"/>
    <w:rsid w:val="00247779"/>
    <w:rsid w:val="00247805"/>
    <w:rsid w:val="00247852"/>
    <w:rsid w:val="00247A51"/>
    <w:rsid w:val="00247A8E"/>
    <w:rsid w:val="00247B4C"/>
    <w:rsid w:val="00247B5A"/>
    <w:rsid w:val="00247D47"/>
    <w:rsid w:val="00247D5A"/>
    <w:rsid w:val="00247D8D"/>
    <w:rsid w:val="00247DD3"/>
    <w:rsid w:val="00247F26"/>
    <w:rsid w:val="00247F47"/>
    <w:rsid w:val="002500BF"/>
    <w:rsid w:val="0025015E"/>
    <w:rsid w:val="002501DA"/>
    <w:rsid w:val="0025028F"/>
    <w:rsid w:val="002502F1"/>
    <w:rsid w:val="002503FB"/>
    <w:rsid w:val="0025044F"/>
    <w:rsid w:val="00250476"/>
    <w:rsid w:val="00250558"/>
    <w:rsid w:val="00250592"/>
    <w:rsid w:val="00250629"/>
    <w:rsid w:val="00250638"/>
    <w:rsid w:val="00250825"/>
    <w:rsid w:val="0025088E"/>
    <w:rsid w:val="002508FC"/>
    <w:rsid w:val="0025094D"/>
    <w:rsid w:val="0025098C"/>
    <w:rsid w:val="002509B6"/>
    <w:rsid w:val="00250A01"/>
    <w:rsid w:val="00250A7E"/>
    <w:rsid w:val="00250BFB"/>
    <w:rsid w:val="00250C2F"/>
    <w:rsid w:val="00250C5E"/>
    <w:rsid w:val="00250C68"/>
    <w:rsid w:val="00250C78"/>
    <w:rsid w:val="00250D33"/>
    <w:rsid w:val="00250EEF"/>
    <w:rsid w:val="00250F41"/>
    <w:rsid w:val="002512E6"/>
    <w:rsid w:val="00251489"/>
    <w:rsid w:val="00251497"/>
    <w:rsid w:val="002514E3"/>
    <w:rsid w:val="0025153D"/>
    <w:rsid w:val="002515ED"/>
    <w:rsid w:val="00251668"/>
    <w:rsid w:val="00251772"/>
    <w:rsid w:val="002517C0"/>
    <w:rsid w:val="0025185F"/>
    <w:rsid w:val="002518D5"/>
    <w:rsid w:val="00251909"/>
    <w:rsid w:val="00251A4B"/>
    <w:rsid w:val="00251AA4"/>
    <w:rsid w:val="00251B6B"/>
    <w:rsid w:val="00251C7C"/>
    <w:rsid w:val="00251CE3"/>
    <w:rsid w:val="00251D1C"/>
    <w:rsid w:val="00251DE0"/>
    <w:rsid w:val="00251E23"/>
    <w:rsid w:val="00251EC0"/>
    <w:rsid w:val="00251F71"/>
    <w:rsid w:val="00252113"/>
    <w:rsid w:val="0025215B"/>
    <w:rsid w:val="00252160"/>
    <w:rsid w:val="0025217F"/>
    <w:rsid w:val="00252387"/>
    <w:rsid w:val="002524E4"/>
    <w:rsid w:val="002524F1"/>
    <w:rsid w:val="002525C0"/>
    <w:rsid w:val="002526B7"/>
    <w:rsid w:val="00252701"/>
    <w:rsid w:val="0025279A"/>
    <w:rsid w:val="00252865"/>
    <w:rsid w:val="0025290C"/>
    <w:rsid w:val="00252981"/>
    <w:rsid w:val="00252B8E"/>
    <w:rsid w:val="00252C07"/>
    <w:rsid w:val="00252CA0"/>
    <w:rsid w:val="00252CAB"/>
    <w:rsid w:val="00252CD8"/>
    <w:rsid w:val="00252D22"/>
    <w:rsid w:val="00252D5A"/>
    <w:rsid w:val="00252D78"/>
    <w:rsid w:val="00252DA3"/>
    <w:rsid w:val="00252DF2"/>
    <w:rsid w:val="00252EEB"/>
    <w:rsid w:val="00252F6C"/>
    <w:rsid w:val="00252FDE"/>
    <w:rsid w:val="0025303A"/>
    <w:rsid w:val="002530CF"/>
    <w:rsid w:val="00253280"/>
    <w:rsid w:val="002532FE"/>
    <w:rsid w:val="00253418"/>
    <w:rsid w:val="00253443"/>
    <w:rsid w:val="0025349C"/>
    <w:rsid w:val="002535BB"/>
    <w:rsid w:val="002535D9"/>
    <w:rsid w:val="0025370F"/>
    <w:rsid w:val="00253739"/>
    <w:rsid w:val="002537F3"/>
    <w:rsid w:val="002538A7"/>
    <w:rsid w:val="00253969"/>
    <w:rsid w:val="00253ABF"/>
    <w:rsid w:val="00253BDA"/>
    <w:rsid w:val="00253C2E"/>
    <w:rsid w:val="00253C55"/>
    <w:rsid w:val="00253DFE"/>
    <w:rsid w:val="00253E4A"/>
    <w:rsid w:val="00253E5F"/>
    <w:rsid w:val="00253EF5"/>
    <w:rsid w:val="00254002"/>
    <w:rsid w:val="00254095"/>
    <w:rsid w:val="002540F4"/>
    <w:rsid w:val="0025417B"/>
    <w:rsid w:val="00254194"/>
    <w:rsid w:val="00254230"/>
    <w:rsid w:val="0025455A"/>
    <w:rsid w:val="002545CC"/>
    <w:rsid w:val="00254807"/>
    <w:rsid w:val="0025486D"/>
    <w:rsid w:val="00254888"/>
    <w:rsid w:val="002548EE"/>
    <w:rsid w:val="00254A33"/>
    <w:rsid w:val="00254A90"/>
    <w:rsid w:val="00254B30"/>
    <w:rsid w:val="00254B35"/>
    <w:rsid w:val="00254B3C"/>
    <w:rsid w:val="00254C15"/>
    <w:rsid w:val="00254C77"/>
    <w:rsid w:val="00254CC9"/>
    <w:rsid w:val="00254DBC"/>
    <w:rsid w:val="00254E25"/>
    <w:rsid w:val="00254E38"/>
    <w:rsid w:val="00254E4B"/>
    <w:rsid w:val="00254EE3"/>
    <w:rsid w:val="00254FFE"/>
    <w:rsid w:val="00255146"/>
    <w:rsid w:val="00255447"/>
    <w:rsid w:val="002555D6"/>
    <w:rsid w:val="002558A0"/>
    <w:rsid w:val="00255A31"/>
    <w:rsid w:val="00255AFA"/>
    <w:rsid w:val="00255C1D"/>
    <w:rsid w:val="00255C46"/>
    <w:rsid w:val="00255C55"/>
    <w:rsid w:val="00255C62"/>
    <w:rsid w:val="00255DCB"/>
    <w:rsid w:val="00255DF6"/>
    <w:rsid w:val="00255E38"/>
    <w:rsid w:val="00255E7B"/>
    <w:rsid w:val="00255EBB"/>
    <w:rsid w:val="00255EE6"/>
    <w:rsid w:val="00255F8F"/>
    <w:rsid w:val="00255FC5"/>
    <w:rsid w:val="0025602F"/>
    <w:rsid w:val="00256034"/>
    <w:rsid w:val="00256045"/>
    <w:rsid w:val="00256095"/>
    <w:rsid w:val="002561C5"/>
    <w:rsid w:val="002562FA"/>
    <w:rsid w:val="00256302"/>
    <w:rsid w:val="00256444"/>
    <w:rsid w:val="002564DD"/>
    <w:rsid w:val="00256554"/>
    <w:rsid w:val="002565EA"/>
    <w:rsid w:val="00256621"/>
    <w:rsid w:val="0025664C"/>
    <w:rsid w:val="002566A7"/>
    <w:rsid w:val="002567ED"/>
    <w:rsid w:val="002567F5"/>
    <w:rsid w:val="0025680F"/>
    <w:rsid w:val="00256820"/>
    <w:rsid w:val="00256877"/>
    <w:rsid w:val="00256917"/>
    <w:rsid w:val="0025695F"/>
    <w:rsid w:val="002569B1"/>
    <w:rsid w:val="00256C56"/>
    <w:rsid w:val="00256D96"/>
    <w:rsid w:val="00256DB1"/>
    <w:rsid w:val="00256DBB"/>
    <w:rsid w:val="00256E6F"/>
    <w:rsid w:val="00256ECE"/>
    <w:rsid w:val="00256F20"/>
    <w:rsid w:val="00256FCD"/>
    <w:rsid w:val="00257002"/>
    <w:rsid w:val="00257067"/>
    <w:rsid w:val="002570B5"/>
    <w:rsid w:val="002571A8"/>
    <w:rsid w:val="00257259"/>
    <w:rsid w:val="002572FF"/>
    <w:rsid w:val="00257336"/>
    <w:rsid w:val="00257473"/>
    <w:rsid w:val="002575AE"/>
    <w:rsid w:val="002575E3"/>
    <w:rsid w:val="0025760C"/>
    <w:rsid w:val="0025775D"/>
    <w:rsid w:val="002577D4"/>
    <w:rsid w:val="0025781B"/>
    <w:rsid w:val="00257A52"/>
    <w:rsid w:val="00257AE0"/>
    <w:rsid w:val="00257B35"/>
    <w:rsid w:val="00257C5A"/>
    <w:rsid w:val="00260019"/>
    <w:rsid w:val="0026002B"/>
    <w:rsid w:val="00260108"/>
    <w:rsid w:val="002602C6"/>
    <w:rsid w:val="0026039F"/>
    <w:rsid w:val="0026049D"/>
    <w:rsid w:val="002604BB"/>
    <w:rsid w:val="002604F6"/>
    <w:rsid w:val="0026054A"/>
    <w:rsid w:val="00260579"/>
    <w:rsid w:val="0026063B"/>
    <w:rsid w:val="0026069E"/>
    <w:rsid w:val="002606B4"/>
    <w:rsid w:val="002608E8"/>
    <w:rsid w:val="0026095C"/>
    <w:rsid w:val="00260A92"/>
    <w:rsid w:val="00260AE6"/>
    <w:rsid w:val="00260BF6"/>
    <w:rsid w:val="00260C4E"/>
    <w:rsid w:val="00260CA7"/>
    <w:rsid w:val="00260D6D"/>
    <w:rsid w:val="002610A5"/>
    <w:rsid w:val="00261200"/>
    <w:rsid w:val="00261405"/>
    <w:rsid w:val="00261418"/>
    <w:rsid w:val="0026149D"/>
    <w:rsid w:val="00261500"/>
    <w:rsid w:val="00261752"/>
    <w:rsid w:val="0026180F"/>
    <w:rsid w:val="002618CC"/>
    <w:rsid w:val="0026190B"/>
    <w:rsid w:val="0026196B"/>
    <w:rsid w:val="00261996"/>
    <w:rsid w:val="002619FF"/>
    <w:rsid w:val="00261A6A"/>
    <w:rsid w:val="00261A88"/>
    <w:rsid w:val="00261CE1"/>
    <w:rsid w:val="00261D1E"/>
    <w:rsid w:val="00261D43"/>
    <w:rsid w:val="00261D63"/>
    <w:rsid w:val="00261DEC"/>
    <w:rsid w:val="00261E6F"/>
    <w:rsid w:val="00261ECB"/>
    <w:rsid w:val="00261F2D"/>
    <w:rsid w:val="002620BB"/>
    <w:rsid w:val="002622D4"/>
    <w:rsid w:val="00262350"/>
    <w:rsid w:val="0026237D"/>
    <w:rsid w:val="00262412"/>
    <w:rsid w:val="00262464"/>
    <w:rsid w:val="002624ED"/>
    <w:rsid w:val="0026251C"/>
    <w:rsid w:val="0026274E"/>
    <w:rsid w:val="00262765"/>
    <w:rsid w:val="00262826"/>
    <w:rsid w:val="00262869"/>
    <w:rsid w:val="00262872"/>
    <w:rsid w:val="00262936"/>
    <w:rsid w:val="00262A6D"/>
    <w:rsid w:val="00262B1A"/>
    <w:rsid w:val="00262B5B"/>
    <w:rsid w:val="00262BD0"/>
    <w:rsid w:val="00262CF9"/>
    <w:rsid w:val="00262DCE"/>
    <w:rsid w:val="00262DE1"/>
    <w:rsid w:val="00262ED4"/>
    <w:rsid w:val="00262F7B"/>
    <w:rsid w:val="00262F7E"/>
    <w:rsid w:val="00263156"/>
    <w:rsid w:val="002631D2"/>
    <w:rsid w:val="00263447"/>
    <w:rsid w:val="0026353E"/>
    <w:rsid w:val="0026367B"/>
    <w:rsid w:val="002637C5"/>
    <w:rsid w:val="0026384F"/>
    <w:rsid w:val="00263988"/>
    <w:rsid w:val="002639B5"/>
    <w:rsid w:val="00263AC4"/>
    <w:rsid w:val="00263B24"/>
    <w:rsid w:val="00263C3F"/>
    <w:rsid w:val="00263D50"/>
    <w:rsid w:val="00263DCD"/>
    <w:rsid w:val="00263FD6"/>
    <w:rsid w:val="00264043"/>
    <w:rsid w:val="00264069"/>
    <w:rsid w:val="00264158"/>
    <w:rsid w:val="002641CE"/>
    <w:rsid w:val="002641EC"/>
    <w:rsid w:val="00264262"/>
    <w:rsid w:val="002642DB"/>
    <w:rsid w:val="00264361"/>
    <w:rsid w:val="0026440A"/>
    <w:rsid w:val="0026441A"/>
    <w:rsid w:val="002644C8"/>
    <w:rsid w:val="002644E9"/>
    <w:rsid w:val="002645B0"/>
    <w:rsid w:val="0026466F"/>
    <w:rsid w:val="002646C4"/>
    <w:rsid w:val="002646F2"/>
    <w:rsid w:val="00264700"/>
    <w:rsid w:val="002647AE"/>
    <w:rsid w:val="00264857"/>
    <w:rsid w:val="00264990"/>
    <w:rsid w:val="002649C5"/>
    <w:rsid w:val="00264A22"/>
    <w:rsid w:val="00264AD4"/>
    <w:rsid w:val="00264D37"/>
    <w:rsid w:val="00264DBF"/>
    <w:rsid w:val="00264F1B"/>
    <w:rsid w:val="00265027"/>
    <w:rsid w:val="0026503B"/>
    <w:rsid w:val="00265050"/>
    <w:rsid w:val="0026513B"/>
    <w:rsid w:val="0026522E"/>
    <w:rsid w:val="002653C5"/>
    <w:rsid w:val="00265476"/>
    <w:rsid w:val="002654C0"/>
    <w:rsid w:val="002656B6"/>
    <w:rsid w:val="002656E4"/>
    <w:rsid w:val="0026587E"/>
    <w:rsid w:val="002658C3"/>
    <w:rsid w:val="00265930"/>
    <w:rsid w:val="002659D2"/>
    <w:rsid w:val="00265A33"/>
    <w:rsid w:val="00265B26"/>
    <w:rsid w:val="00265B5B"/>
    <w:rsid w:val="00265BFE"/>
    <w:rsid w:val="00265C23"/>
    <w:rsid w:val="00265C24"/>
    <w:rsid w:val="00265C65"/>
    <w:rsid w:val="00265C78"/>
    <w:rsid w:val="00265D34"/>
    <w:rsid w:val="00265E92"/>
    <w:rsid w:val="00265EAE"/>
    <w:rsid w:val="00265EED"/>
    <w:rsid w:val="00265F87"/>
    <w:rsid w:val="00266043"/>
    <w:rsid w:val="00266082"/>
    <w:rsid w:val="002661AB"/>
    <w:rsid w:val="00266237"/>
    <w:rsid w:val="002662C4"/>
    <w:rsid w:val="00266386"/>
    <w:rsid w:val="002663AA"/>
    <w:rsid w:val="0026649F"/>
    <w:rsid w:val="00266568"/>
    <w:rsid w:val="00266692"/>
    <w:rsid w:val="0026669F"/>
    <w:rsid w:val="002666E3"/>
    <w:rsid w:val="002666FB"/>
    <w:rsid w:val="0026677B"/>
    <w:rsid w:val="0026680D"/>
    <w:rsid w:val="002669A8"/>
    <w:rsid w:val="00266A6F"/>
    <w:rsid w:val="00266AD3"/>
    <w:rsid w:val="00266C02"/>
    <w:rsid w:val="00266C6A"/>
    <w:rsid w:val="00266C84"/>
    <w:rsid w:val="00266CBD"/>
    <w:rsid w:val="00266F7B"/>
    <w:rsid w:val="002670C7"/>
    <w:rsid w:val="00267126"/>
    <w:rsid w:val="00267231"/>
    <w:rsid w:val="0026731D"/>
    <w:rsid w:val="00267356"/>
    <w:rsid w:val="00267425"/>
    <w:rsid w:val="0026751C"/>
    <w:rsid w:val="00267581"/>
    <w:rsid w:val="002675E6"/>
    <w:rsid w:val="002677B9"/>
    <w:rsid w:val="00267843"/>
    <w:rsid w:val="002678F3"/>
    <w:rsid w:val="00267BBF"/>
    <w:rsid w:val="00267C2F"/>
    <w:rsid w:val="00267CCB"/>
    <w:rsid w:val="00267D06"/>
    <w:rsid w:val="00267D1E"/>
    <w:rsid w:val="00267D73"/>
    <w:rsid w:val="00267DF5"/>
    <w:rsid w:val="00267F87"/>
    <w:rsid w:val="00267F93"/>
    <w:rsid w:val="00267FD7"/>
    <w:rsid w:val="00267FF0"/>
    <w:rsid w:val="00270011"/>
    <w:rsid w:val="00270035"/>
    <w:rsid w:val="00270064"/>
    <w:rsid w:val="00270117"/>
    <w:rsid w:val="00270255"/>
    <w:rsid w:val="00270274"/>
    <w:rsid w:val="002702D1"/>
    <w:rsid w:val="0027033C"/>
    <w:rsid w:val="0027056B"/>
    <w:rsid w:val="002705D6"/>
    <w:rsid w:val="002706A3"/>
    <w:rsid w:val="002707B7"/>
    <w:rsid w:val="00270960"/>
    <w:rsid w:val="002709FB"/>
    <w:rsid w:val="00270AE2"/>
    <w:rsid w:val="00270B6A"/>
    <w:rsid w:val="00270CC7"/>
    <w:rsid w:val="00270D7F"/>
    <w:rsid w:val="00270E5B"/>
    <w:rsid w:val="00270EED"/>
    <w:rsid w:val="00270EFD"/>
    <w:rsid w:val="00270FEB"/>
    <w:rsid w:val="00271043"/>
    <w:rsid w:val="00271057"/>
    <w:rsid w:val="00271151"/>
    <w:rsid w:val="002711E3"/>
    <w:rsid w:val="00271202"/>
    <w:rsid w:val="0027137B"/>
    <w:rsid w:val="002714BB"/>
    <w:rsid w:val="0027160D"/>
    <w:rsid w:val="002717BA"/>
    <w:rsid w:val="002717F3"/>
    <w:rsid w:val="00271880"/>
    <w:rsid w:val="0027189A"/>
    <w:rsid w:val="002718FA"/>
    <w:rsid w:val="0027190F"/>
    <w:rsid w:val="00271A0C"/>
    <w:rsid w:val="00271B42"/>
    <w:rsid w:val="00271B6F"/>
    <w:rsid w:val="00271C67"/>
    <w:rsid w:val="00271D08"/>
    <w:rsid w:val="00271DEF"/>
    <w:rsid w:val="00271DFB"/>
    <w:rsid w:val="00271E46"/>
    <w:rsid w:val="002720B6"/>
    <w:rsid w:val="002722C9"/>
    <w:rsid w:val="002723A7"/>
    <w:rsid w:val="0027254A"/>
    <w:rsid w:val="00272766"/>
    <w:rsid w:val="002727C7"/>
    <w:rsid w:val="00272884"/>
    <w:rsid w:val="002728AA"/>
    <w:rsid w:val="00272947"/>
    <w:rsid w:val="0027295B"/>
    <w:rsid w:val="00272AA8"/>
    <w:rsid w:val="00272AB6"/>
    <w:rsid w:val="00272BE8"/>
    <w:rsid w:val="00272BEC"/>
    <w:rsid w:val="00272E21"/>
    <w:rsid w:val="00272EFE"/>
    <w:rsid w:val="00272F31"/>
    <w:rsid w:val="00272F47"/>
    <w:rsid w:val="00272F8E"/>
    <w:rsid w:val="00272FF4"/>
    <w:rsid w:val="0027314D"/>
    <w:rsid w:val="00273206"/>
    <w:rsid w:val="002732C0"/>
    <w:rsid w:val="002733A3"/>
    <w:rsid w:val="002733D2"/>
    <w:rsid w:val="0027343E"/>
    <w:rsid w:val="002734B9"/>
    <w:rsid w:val="002734C8"/>
    <w:rsid w:val="002734EB"/>
    <w:rsid w:val="00273727"/>
    <w:rsid w:val="00273786"/>
    <w:rsid w:val="002738E4"/>
    <w:rsid w:val="00273944"/>
    <w:rsid w:val="0027399C"/>
    <w:rsid w:val="002739B4"/>
    <w:rsid w:val="00273B31"/>
    <w:rsid w:val="00273B39"/>
    <w:rsid w:val="00273D50"/>
    <w:rsid w:val="00273D89"/>
    <w:rsid w:val="00273DA5"/>
    <w:rsid w:val="00273DF6"/>
    <w:rsid w:val="00273EE6"/>
    <w:rsid w:val="00273F4B"/>
    <w:rsid w:val="002740A6"/>
    <w:rsid w:val="0027433D"/>
    <w:rsid w:val="00274342"/>
    <w:rsid w:val="00274505"/>
    <w:rsid w:val="00274508"/>
    <w:rsid w:val="00274534"/>
    <w:rsid w:val="00274562"/>
    <w:rsid w:val="002745E2"/>
    <w:rsid w:val="0027465A"/>
    <w:rsid w:val="002746AE"/>
    <w:rsid w:val="0027487A"/>
    <w:rsid w:val="0027495B"/>
    <w:rsid w:val="002749EB"/>
    <w:rsid w:val="00274C59"/>
    <w:rsid w:val="00274C6B"/>
    <w:rsid w:val="00274DCD"/>
    <w:rsid w:val="00274E73"/>
    <w:rsid w:val="00274F89"/>
    <w:rsid w:val="002753E3"/>
    <w:rsid w:val="0027544B"/>
    <w:rsid w:val="0027552C"/>
    <w:rsid w:val="00275592"/>
    <w:rsid w:val="002755E1"/>
    <w:rsid w:val="00275639"/>
    <w:rsid w:val="00275680"/>
    <w:rsid w:val="00275781"/>
    <w:rsid w:val="002757AD"/>
    <w:rsid w:val="00275819"/>
    <w:rsid w:val="00275925"/>
    <w:rsid w:val="0027595D"/>
    <w:rsid w:val="00275964"/>
    <w:rsid w:val="00275B7E"/>
    <w:rsid w:val="00275C3A"/>
    <w:rsid w:val="00275C76"/>
    <w:rsid w:val="00275CF4"/>
    <w:rsid w:val="00275E94"/>
    <w:rsid w:val="0027609D"/>
    <w:rsid w:val="00276185"/>
    <w:rsid w:val="002761CE"/>
    <w:rsid w:val="0027628A"/>
    <w:rsid w:val="00276360"/>
    <w:rsid w:val="002763EE"/>
    <w:rsid w:val="00276457"/>
    <w:rsid w:val="0027648B"/>
    <w:rsid w:val="002764AE"/>
    <w:rsid w:val="002765C1"/>
    <w:rsid w:val="00276656"/>
    <w:rsid w:val="002767A2"/>
    <w:rsid w:val="002767EC"/>
    <w:rsid w:val="0027694B"/>
    <w:rsid w:val="00276ABB"/>
    <w:rsid w:val="00276AF7"/>
    <w:rsid w:val="00276BD5"/>
    <w:rsid w:val="00276C03"/>
    <w:rsid w:val="00276D54"/>
    <w:rsid w:val="00276D77"/>
    <w:rsid w:val="00276DDF"/>
    <w:rsid w:val="00276E77"/>
    <w:rsid w:val="00276F6F"/>
    <w:rsid w:val="00277249"/>
    <w:rsid w:val="0027725E"/>
    <w:rsid w:val="0027735E"/>
    <w:rsid w:val="0027737C"/>
    <w:rsid w:val="0027738C"/>
    <w:rsid w:val="00277419"/>
    <w:rsid w:val="00277527"/>
    <w:rsid w:val="0027758F"/>
    <w:rsid w:val="0027772A"/>
    <w:rsid w:val="0027787E"/>
    <w:rsid w:val="002778B3"/>
    <w:rsid w:val="002778D9"/>
    <w:rsid w:val="00277947"/>
    <w:rsid w:val="00277EC6"/>
    <w:rsid w:val="00277F7C"/>
    <w:rsid w:val="00280041"/>
    <w:rsid w:val="002800B8"/>
    <w:rsid w:val="00280212"/>
    <w:rsid w:val="00280246"/>
    <w:rsid w:val="002805BA"/>
    <w:rsid w:val="00280720"/>
    <w:rsid w:val="00280A7E"/>
    <w:rsid w:val="00280BCF"/>
    <w:rsid w:val="00280C21"/>
    <w:rsid w:val="00280C61"/>
    <w:rsid w:val="00280EB3"/>
    <w:rsid w:val="00281142"/>
    <w:rsid w:val="0028122D"/>
    <w:rsid w:val="002813D4"/>
    <w:rsid w:val="002813F3"/>
    <w:rsid w:val="0028148E"/>
    <w:rsid w:val="002815AC"/>
    <w:rsid w:val="0028161D"/>
    <w:rsid w:val="00281867"/>
    <w:rsid w:val="0028189B"/>
    <w:rsid w:val="002818A9"/>
    <w:rsid w:val="002818DA"/>
    <w:rsid w:val="002818EA"/>
    <w:rsid w:val="00281A77"/>
    <w:rsid w:val="00281B2B"/>
    <w:rsid w:val="00281C39"/>
    <w:rsid w:val="00281ED4"/>
    <w:rsid w:val="00281ED5"/>
    <w:rsid w:val="00282010"/>
    <w:rsid w:val="00282116"/>
    <w:rsid w:val="00282158"/>
    <w:rsid w:val="002821E2"/>
    <w:rsid w:val="00282238"/>
    <w:rsid w:val="0028225D"/>
    <w:rsid w:val="0028230D"/>
    <w:rsid w:val="002823C8"/>
    <w:rsid w:val="002824F5"/>
    <w:rsid w:val="0028253D"/>
    <w:rsid w:val="002825C5"/>
    <w:rsid w:val="002825D6"/>
    <w:rsid w:val="0028262C"/>
    <w:rsid w:val="00282690"/>
    <w:rsid w:val="002826C5"/>
    <w:rsid w:val="00282752"/>
    <w:rsid w:val="002827E6"/>
    <w:rsid w:val="00282839"/>
    <w:rsid w:val="0028284F"/>
    <w:rsid w:val="00282898"/>
    <w:rsid w:val="002829E1"/>
    <w:rsid w:val="00282E59"/>
    <w:rsid w:val="00282FA9"/>
    <w:rsid w:val="00283075"/>
    <w:rsid w:val="002830A9"/>
    <w:rsid w:val="002830DE"/>
    <w:rsid w:val="0028314F"/>
    <w:rsid w:val="002831B0"/>
    <w:rsid w:val="00283331"/>
    <w:rsid w:val="00283350"/>
    <w:rsid w:val="00283379"/>
    <w:rsid w:val="00283487"/>
    <w:rsid w:val="00283495"/>
    <w:rsid w:val="002834DF"/>
    <w:rsid w:val="0028352C"/>
    <w:rsid w:val="0028370D"/>
    <w:rsid w:val="00283783"/>
    <w:rsid w:val="002838E4"/>
    <w:rsid w:val="002839A0"/>
    <w:rsid w:val="00283A3E"/>
    <w:rsid w:val="00283B69"/>
    <w:rsid w:val="00283BEF"/>
    <w:rsid w:val="00283C17"/>
    <w:rsid w:val="00283C84"/>
    <w:rsid w:val="00283D33"/>
    <w:rsid w:val="00283D4F"/>
    <w:rsid w:val="00283D73"/>
    <w:rsid w:val="00283D7A"/>
    <w:rsid w:val="00283E85"/>
    <w:rsid w:val="00283EA3"/>
    <w:rsid w:val="00283FFC"/>
    <w:rsid w:val="002842B3"/>
    <w:rsid w:val="0028435F"/>
    <w:rsid w:val="00284444"/>
    <w:rsid w:val="00284501"/>
    <w:rsid w:val="0028459E"/>
    <w:rsid w:val="002846BE"/>
    <w:rsid w:val="002846CF"/>
    <w:rsid w:val="0028471A"/>
    <w:rsid w:val="00284737"/>
    <w:rsid w:val="0028476E"/>
    <w:rsid w:val="002847B0"/>
    <w:rsid w:val="002848F6"/>
    <w:rsid w:val="00284A15"/>
    <w:rsid w:val="00284A57"/>
    <w:rsid w:val="00284A65"/>
    <w:rsid w:val="00284AAA"/>
    <w:rsid w:val="00284B40"/>
    <w:rsid w:val="00284BB0"/>
    <w:rsid w:val="00284C6E"/>
    <w:rsid w:val="00284D24"/>
    <w:rsid w:val="00284E00"/>
    <w:rsid w:val="00284E3B"/>
    <w:rsid w:val="00284E52"/>
    <w:rsid w:val="00284ED8"/>
    <w:rsid w:val="0028509F"/>
    <w:rsid w:val="002851B9"/>
    <w:rsid w:val="00285230"/>
    <w:rsid w:val="002855D0"/>
    <w:rsid w:val="00285706"/>
    <w:rsid w:val="00285783"/>
    <w:rsid w:val="00285788"/>
    <w:rsid w:val="00285876"/>
    <w:rsid w:val="00285936"/>
    <w:rsid w:val="00285A17"/>
    <w:rsid w:val="00285A45"/>
    <w:rsid w:val="00285B8C"/>
    <w:rsid w:val="00285BEE"/>
    <w:rsid w:val="00285C0A"/>
    <w:rsid w:val="00285C77"/>
    <w:rsid w:val="00285DAF"/>
    <w:rsid w:val="00285F5D"/>
    <w:rsid w:val="00285FDC"/>
    <w:rsid w:val="0028607D"/>
    <w:rsid w:val="0028629F"/>
    <w:rsid w:val="002862ED"/>
    <w:rsid w:val="00286364"/>
    <w:rsid w:val="002863EE"/>
    <w:rsid w:val="00286531"/>
    <w:rsid w:val="00286536"/>
    <w:rsid w:val="002865EF"/>
    <w:rsid w:val="00286618"/>
    <w:rsid w:val="0028667C"/>
    <w:rsid w:val="0028669F"/>
    <w:rsid w:val="002867DC"/>
    <w:rsid w:val="00286803"/>
    <w:rsid w:val="0028688E"/>
    <w:rsid w:val="002868BE"/>
    <w:rsid w:val="00286938"/>
    <w:rsid w:val="0028698F"/>
    <w:rsid w:val="002869EF"/>
    <w:rsid w:val="00286A57"/>
    <w:rsid w:val="00286A63"/>
    <w:rsid w:val="00286AB0"/>
    <w:rsid w:val="00286B46"/>
    <w:rsid w:val="00286CFB"/>
    <w:rsid w:val="00286E11"/>
    <w:rsid w:val="00286E40"/>
    <w:rsid w:val="00286E90"/>
    <w:rsid w:val="00286F02"/>
    <w:rsid w:val="002871C3"/>
    <w:rsid w:val="0028723C"/>
    <w:rsid w:val="00287265"/>
    <w:rsid w:val="00287375"/>
    <w:rsid w:val="0028737C"/>
    <w:rsid w:val="002874E9"/>
    <w:rsid w:val="0028753A"/>
    <w:rsid w:val="002875B3"/>
    <w:rsid w:val="00287662"/>
    <w:rsid w:val="002876C6"/>
    <w:rsid w:val="002876D1"/>
    <w:rsid w:val="002877BF"/>
    <w:rsid w:val="00287869"/>
    <w:rsid w:val="002878EE"/>
    <w:rsid w:val="002878F5"/>
    <w:rsid w:val="00287973"/>
    <w:rsid w:val="00287A53"/>
    <w:rsid w:val="00287AD8"/>
    <w:rsid w:val="00287AFC"/>
    <w:rsid w:val="00287E09"/>
    <w:rsid w:val="00287E10"/>
    <w:rsid w:val="00287E6C"/>
    <w:rsid w:val="00287ECA"/>
    <w:rsid w:val="00287F2B"/>
    <w:rsid w:val="00287F86"/>
    <w:rsid w:val="0028C721"/>
    <w:rsid w:val="0029002F"/>
    <w:rsid w:val="002901A6"/>
    <w:rsid w:val="002901B9"/>
    <w:rsid w:val="00290256"/>
    <w:rsid w:val="002902B9"/>
    <w:rsid w:val="002902EF"/>
    <w:rsid w:val="0029043F"/>
    <w:rsid w:val="00290491"/>
    <w:rsid w:val="002904B2"/>
    <w:rsid w:val="00290760"/>
    <w:rsid w:val="002907DC"/>
    <w:rsid w:val="00290803"/>
    <w:rsid w:val="00290815"/>
    <w:rsid w:val="0029090D"/>
    <w:rsid w:val="00290C3A"/>
    <w:rsid w:val="00290C6D"/>
    <w:rsid w:val="00290CF0"/>
    <w:rsid w:val="00290E22"/>
    <w:rsid w:val="00290EF6"/>
    <w:rsid w:val="00291050"/>
    <w:rsid w:val="0029126F"/>
    <w:rsid w:val="00291368"/>
    <w:rsid w:val="0029136E"/>
    <w:rsid w:val="00291774"/>
    <w:rsid w:val="00291788"/>
    <w:rsid w:val="0029187A"/>
    <w:rsid w:val="0029197D"/>
    <w:rsid w:val="00291AEE"/>
    <w:rsid w:val="00291B28"/>
    <w:rsid w:val="00291C6C"/>
    <w:rsid w:val="00291D31"/>
    <w:rsid w:val="00291E47"/>
    <w:rsid w:val="00291F59"/>
    <w:rsid w:val="00291FF1"/>
    <w:rsid w:val="00292193"/>
    <w:rsid w:val="002921A3"/>
    <w:rsid w:val="002921D9"/>
    <w:rsid w:val="00292283"/>
    <w:rsid w:val="0029228D"/>
    <w:rsid w:val="0029234F"/>
    <w:rsid w:val="0029238D"/>
    <w:rsid w:val="002923E7"/>
    <w:rsid w:val="002925B6"/>
    <w:rsid w:val="0029260B"/>
    <w:rsid w:val="00292636"/>
    <w:rsid w:val="0029267F"/>
    <w:rsid w:val="002926D2"/>
    <w:rsid w:val="0029274F"/>
    <w:rsid w:val="00292761"/>
    <w:rsid w:val="002928BE"/>
    <w:rsid w:val="0029290F"/>
    <w:rsid w:val="0029292D"/>
    <w:rsid w:val="002929E1"/>
    <w:rsid w:val="00292A06"/>
    <w:rsid w:val="00292CA8"/>
    <w:rsid w:val="00292D1C"/>
    <w:rsid w:val="00292E37"/>
    <w:rsid w:val="00292F53"/>
    <w:rsid w:val="00292FED"/>
    <w:rsid w:val="0029308B"/>
    <w:rsid w:val="002931B3"/>
    <w:rsid w:val="002931CF"/>
    <w:rsid w:val="002931F4"/>
    <w:rsid w:val="00293242"/>
    <w:rsid w:val="002932DE"/>
    <w:rsid w:val="00293459"/>
    <w:rsid w:val="0029360A"/>
    <w:rsid w:val="00293659"/>
    <w:rsid w:val="002937C2"/>
    <w:rsid w:val="0029397C"/>
    <w:rsid w:val="002939A5"/>
    <w:rsid w:val="00293A4C"/>
    <w:rsid w:val="00293ABE"/>
    <w:rsid w:val="00293CD3"/>
    <w:rsid w:val="00293E47"/>
    <w:rsid w:val="00293EDB"/>
    <w:rsid w:val="00294011"/>
    <w:rsid w:val="00294042"/>
    <w:rsid w:val="0029406B"/>
    <w:rsid w:val="0029411A"/>
    <w:rsid w:val="0029416C"/>
    <w:rsid w:val="0029423F"/>
    <w:rsid w:val="00294363"/>
    <w:rsid w:val="0029440E"/>
    <w:rsid w:val="00294454"/>
    <w:rsid w:val="00294503"/>
    <w:rsid w:val="002945D8"/>
    <w:rsid w:val="00294633"/>
    <w:rsid w:val="002946E3"/>
    <w:rsid w:val="00294B1F"/>
    <w:rsid w:val="00294B78"/>
    <w:rsid w:val="00294C5B"/>
    <w:rsid w:val="00294CD9"/>
    <w:rsid w:val="00294DF8"/>
    <w:rsid w:val="00294ED0"/>
    <w:rsid w:val="002950F1"/>
    <w:rsid w:val="00295238"/>
    <w:rsid w:val="00295260"/>
    <w:rsid w:val="002952AC"/>
    <w:rsid w:val="0029533F"/>
    <w:rsid w:val="00295461"/>
    <w:rsid w:val="0029546C"/>
    <w:rsid w:val="00295642"/>
    <w:rsid w:val="00295688"/>
    <w:rsid w:val="002956B5"/>
    <w:rsid w:val="0029570B"/>
    <w:rsid w:val="00295721"/>
    <w:rsid w:val="00295727"/>
    <w:rsid w:val="00295784"/>
    <w:rsid w:val="002957BA"/>
    <w:rsid w:val="002958C3"/>
    <w:rsid w:val="00295922"/>
    <w:rsid w:val="0029592A"/>
    <w:rsid w:val="002959ED"/>
    <w:rsid w:val="002959F2"/>
    <w:rsid w:val="00295A3A"/>
    <w:rsid w:val="00295A6D"/>
    <w:rsid w:val="00295C79"/>
    <w:rsid w:val="00295CB3"/>
    <w:rsid w:val="00295D5F"/>
    <w:rsid w:val="00295EE9"/>
    <w:rsid w:val="00295F45"/>
    <w:rsid w:val="00296061"/>
    <w:rsid w:val="002960CA"/>
    <w:rsid w:val="002962BC"/>
    <w:rsid w:val="002962F6"/>
    <w:rsid w:val="002963F1"/>
    <w:rsid w:val="0029644F"/>
    <w:rsid w:val="002964BB"/>
    <w:rsid w:val="002965CE"/>
    <w:rsid w:val="002966A4"/>
    <w:rsid w:val="00296732"/>
    <w:rsid w:val="00296753"/>
    <w:rsid w:val="0029677B"/>
    <w:rsid w:val="0029678C"/>
    <w:rsid w:val="00296866"/>
    <w:rsid w:val="00296891"/>
    <w:rsid w:val="002968D6"/>
    <w:rsid w:val="00296986"/>
    <w:rsid w:val="00296996"/>
    <w:rsid w:val="00296B2A"/>
    <w:rsid w:val="00296B37"/>
    <w:rsid w:val="00296BB1"/>
    <w:rsid w:val="00296C47"/>
    <w:rsid w:val="00296C8B"/>
    <w:rsid w:val="00296DB8"/>
    <w:rsid w:val="00296E83"/>
    <w:rsid w:val="00296EE2"/>
    <w:rsid w:val="00296F7E"/>
    <w:rsid w:val="00296FCE"/>
    <w:rsid w:val="00296FD2"/>
    <w:rsid w:val="002970B8"/>
    <w:rsid w:val="00297255"/>
    <w:rsid w:val="00297277"/>
    <w:rsid w:val="002972A9"/>
    <w:rsid w:val="002972BC"/>
    <w:rsid w:val="002973C4"/>
    <w:rsid w:val="00297514"/>
    <w:rsid w:val="00297556"/>
    <w:rsid w:val="002976E0"/>
    <w:rsid w:val="0029774A"/>
    <w:rsid w:val="00297765"/>
    <w:rsid w:val="00297779"/>
    <w:rsid w:val="002978E8"/>
    <w:rsid w:val="00297ADA"/>
    <w:rsid w:val="00297ADF"/>
    <w:rsid w:val="00297AF8"/>
    <w:rsid w:val="00297BD2"/>
    <w:rsid w:val="00297CE6"/>
    <w:rsid w:val="00297E22"/>
    <w:rsid w:val="00297F25"/>
    <w:rsid w:val="00297FC0"/>
    <w:rsid w:val="002A00AE"/>
    <w:rsid w:val="002A022C"/>
    <w:rsid w:val="002A026B"/>
    <w:rsid w:val="002A0364"/>
    <w:rsid w:val="002A048E"/>
    <w:rsid w:val="002A04A7"/>
    <w:rsid w:val="002A04C4"/>
    <w:rsid w:val="002A04F6"/>
    <w:rsid w:val="002A0715"/>
    <w:rsid w:val="002A0780"/>
    <w:rsid w:val="002A07B7"/>
    <w:rsid w:val="002A07E0"/>
    <w:rsid w:val="002A08CF"/>
    <w:rsid w:val="002A090A"/>
    <w:rsid w:val="002A0A69"/>
    <w:rsid w:val="002A0C4F"/>
    <w:rsid w:val="002A0CA4"/>
    <w:rsid w:val="002A0CD9"/>
    <w:rsid w:val="002A0D01"/>
    <w:rsid w:val="002A0D02"/>
    <w:rsid w:val="002A0DD9"/>
    <w:rsid w:val="002A0E68"/>
    <w:rsid w:val="002A0E9D"/>
    <w:rsid w:val="002A0EB4"/>
    <w:rsid w:val="002A100C"/>
    <w:rsid w:val="002A11BA"/>
    <w:rsid w:val="002A11DF"/>
    <w:rsid w:val="002A1562"/>
    <w:rsid w:val="002A15CD"/>
    <w:rsid w:val="002A1712"/>
    <w:rsid w:val="002A1774"/>
    <w:rsid w:val="002A177C"/>
    <w:rsid w:val="002A1780"/>
    <w:rsid w:val="002A183C"/>
    <w:rsid w:val="002A18CD"/>
    <w:rsid w:val="002A1904"/>
    <w:rsid w:val="002A1B53"/>
    <w:rsid w:val="002A1B67"/>
    <w:rsid w:val="002A1B9D"/>
    <w:rsid w:val="002A1BC4"/>
    <w:rsid w:val="002A1C30"/>
    <w:rsid w:val="002A1C6B"/>
    <w:rsid w:val="002A1C6C"/>
    <w:rsid w:val="002A1E1F"/>
    <w:rsid w:val="002A1F8E"/>
    <w:rsid w:val="002A208E"/>
    <w:rsid w:val="002A20E9"/>
    <w:rsid w:val="002A2196"/>
    <w:rsid w:val="002A21A8"/>
    <w:rsid w:val="002A2430"/>
    <w:rsid w:val="002A2463"/>
    <w:rsid w:val="002A2504"/>
    <w:rsid w:val="002A26C4"/>
    <w:rsid w:val="002A26FB"/>
    <w:rsid w:val="002A2707"/>
    <w:rsid w:val="002A2727"/>
    <w:rsid w:val="002A2738"/>
    <w:rsid w:val="002A2952"/>
    <w:rsid w:val="002A29C6"/>
    <w:rsid w:val="002A29DF"/>
    <w:rsid w:val="002A2AA9"/>
    <w:rsid w:val="002A2AAE"/>
    <w:rsid w:val="002A2B30"/>
    <w:rsid w:val="002A2BCF"/>
    <w:rsid w:val="002A2D28"/>
    <w:rsid w:val="002A2D58"/>
    <w:rsid w:val="002A2DAC"/>
    <w:rsid w:val="002A2DC5"/>
    <w:rsid w:val="002A2DF0"/>
    <w:rsid w:val="002A2FF6"/>
    <w:rsid w:val="002A301F"/>
    <w:rsid w:val="002A3182"/>
    <w:rsid w:val="002A3283"/>
    <w:rsid w:val="002A32A8"/>
    <w:rsid w:val="002A3363"/>
    <w:rsid w:val="002A33FE"/>
    <w:rsid w:val="002A3430"/>
    <w:rsid w:val="002A3569"/>
    <w:rsid w:val="002A35E0"/>
    <w:rsid w:val="002A362F"/>
    <w:rsid w:val="002A36FB"/>
    <w:rsid w:val="002A379B"/>
    <w:rsid w:val="002A37A0"/>
    <w:rsid w:val="002A38D1"/>
    <w:rsid w:val="002A3A26"/>
    <w:rsid w:val="002A3B18"/>
    <w:rsid w:val="002A3BD1"/>
    <w:rsid w:val="002A3CE8"/>
    <w:rsid w:val="002A3D14"/>
    <w:rsid w:val="002A3DCF"/>
    <w:rsid w:val="002A3DFC"/>
    <w:rsid w:val="002A3E0C"/>
    <w:rsid w:val="002A4085"/>
    <w:rsid w:val="002A4117"/>
    <w:rsid w:val="002A4157"/>
    <w:rsid w:val="002A422E"/>
    <w:rsid w:val="002A4252"/>
    <w:rsid w:val="002A4341"/>
    <w:rsid w:val="002A4380"/>
    <w:rsid w:val="002A44BC"/>
    <w:rsid w:val="002A4501"/>
    <w:rsid w:val="002A4562"/>
    <w:rsid w:val="002A456A"/>
    <w:rsid w:val="002A466C"/>
    <w:rsid w:val="002A477C"/>
    <w:rsid w:val="002A47F9"/>
    <w:rsid w:val="002A4840"/>
    <w:rsid w:val="002A4863"/>
    <w:rsid w:val="002A48F9"/>
    <w:rsid w:val="002A496B"/>
    <w:rsid w:val="002A499C"/>
    <w:rsid w:val="002A4A35"/>
    <w:rsid w:val="002A4C60"/>
    <w:rsid w:val="002A4DB6"/>
    <w:rsid w:val="002A4E46"/>
    <w:rsid w:val="002A4E49"/>
    <w:rsid w:val="002A4E72"/>
    <w:rsid w:val="002A4E84"/>
    <w:rsid w:val="002A4EB1"/>
    <w:rsid w:val="002A4EB9"/>
    <w:rsid w:val="002A4F6B"/>
    <w:rsid w:val="002A4F7D"/>
    <w:rsid w:val="002A4FB3"/>
    <w:rsid w:val="002A507E"/>
    <w:rsid w:val="002A50B9"/>
    <w:rsid w:val="002A50C4"/>
    <w:rsid w:val="002A50F6"/>
    <w:rsid w:val="002A5140"/>
    <w:rsid w:val="002A5147"/>
    <w:rsid w:val="002A51C7"/>
    <w:rsid w:val="002A5264"/>
    <w:rsid w:val="002A5269"/>
    <w:rsid w:val="002A5299"/>
    <w:rsid w:val="002A530D"/>
    <w:rsid w:val="002A5359"/>
    <w:rsid w:val="002A53D9"/>
    <w:rsid w:val="002A5484"/>
    <w:rsid w:val="002A55A5"/>
    <w:rsid w:val="002A56B3"/>
    <w:rsid w:val="002A574E"/>
    <w:rsid w:val="002A58DF"/>
    <w:rsid w:val="002A5997"/>
    <w:rsid w:val="002A5A23"/>
    <w:rsid w:val="002A5A67"/>
    <w:rsid w:val="002A5AB1"/>
    <w:rsid w:val="002A5B66"/>
    <w:rsid w:val="002A5C06"/>
    <w:rsid w:val="002A5CA2"/>
    <w:rsid w:val="002A5D13"/>
    <w:rsid w:val="002A5E38"/>
    <w:rsid w:val="002A5EE1"/>
    <w:rsid w:val="002A5F18"/>
    <w:rsid w:val="002A5F3E"/>
    <w:rsid w:val="002A5F8E"/>
    <w:rsid w:val="002A5FC3"/>
    <w:rsid w:val="002A5FED"/>
    <w:rsid w:val="002A606F"/>
    <w:rsid w:val="002A6229"/>
    <w:rsid w:val="002A623A"/>
    <w:rsid w:val="002A62D2"/>
    <w:rsid w:val="002A62D4"/>
    <w:rsid w:val="002A631A"/>
    <w:rsid w:val="002A638D"/>
    <w:rsid w:val="002A63AB"/>
    <w:rsid w:val="002A647D"/>
    <w:rsid w:val="002A64C5"/>
    <w:rsid w:val="002A64CA"/>
    <w:rsid w:val="002A64EF"/>
    <w:rsid w:val="002A6515"/>
    <w:rsid w:val="002A65FB"/>
    <w:rsid w:val="002A6631"/>
    <w:rsid w:val="002A665B"/>
    <w:rsid w:val="002A6662"/>
    <w:rsid w:val="002A66BF"/>
    <w:rsid w:val="002A67B4"/>
    <w:rsid w:val="002A6878"/>
    <w:rsid w:val="002A68A7"/>
    <w:rsid w:val="002A6904"/>
    <w:rsid w:val="002A6B0F"/>
    <w:rsid w:val="002A6B67"/>
    <w:rsid w:val="002A6BD8"/>
    <w:rsid w:val="002A6C59"/>
    <w:rsid w:val="002A6CEC"/>
    <w:rsid w:val="002A6CFA"/>
    <w:rsid w:val="002A6E88"/>
    <w:rsid w:val="002A6EC2"/>
    <w:rsid w:val="002A6F3A"/>
    <w:rsid w:val="002A712A"/>
    <w:rsid w:val="002A71DB"/>
    <w:rsid w:val="002A7239"/>
    <w:rsid w:val="002A74AC"/>
    <w:rsid w:val="002A74D5"/>
    <w:rsid w:val="002A758E"/>
    <w:rsid w:val="002A7620"/>
    <w:rsid w:val="002A764F"/>
    <w:rsid w:val="002A767C"/>
    <w:rsid w:val="002A7757"/>
    <w:rsid w:val="002A77AE"/>
    <w:rsid w:val="002A782B"/>
    <w:rsid w:val="002A7941"/>
    <w:rsid w:val="002A7A91"/>
    <w:rsid w:val="002A7B58"/>
    <w:rsid w:val="002A7C0B"/>
    <w:rsid w:val="002A7C0F"/>
    <w:rsid w:val="002A7CFB"/>
    <w:rsid w:val="002A7D54"/>
    <w:rsid w:val="002A7D62"/>
    <w:rsid w:val="002A7D6B"/>
    <w:rsid w:val="002A7E66"/>
    <w:rsid w:val="002A7EAE"/>
    <w:rsid w:val="002A7ED5"/>
    <w:rsid w:val="002A7FA5"/>
    <w:rsid w:val="002B012C"/>
    <w:rsid w:val="002B0235"/>
    <w:rsid w:val="002B03C8"/>
    <w:rsid w:val="002B0492"/>
    <w:rsid w:val="002B04B6"/>
    <w:rsid w:val="002B0523"/>
    <w:rsid w:val="002B0530"/>
    <w:rsid w:val="002B05E5"/>
    <w:rsid w:val="002B078A"/>
    <w:rsid w:val="002B094D"/>
    <w:rsid w:val="002B097F"/>
    <w:rsid w:val="002B0AC4"/>
    <w:rsid w:val="002B0AD0"/>
    <w:rsid w:val="002B0B0A"/>
    <w:rsid w:val="002B0BF6"/>
    <w:rsid w:val="002B0CEA"/>
    <w:rsid w:val="002B0EC8"/>
    <w:rsid w:val="002B0F02"/>
    <w:rsid w:val="002B1003"/>
    <w:rsid w:val="002B13AC"/>
    <w:rsid w:val="002B13B4"/>
    <w:rsid w:val="002B14BA"/>
    <w:rsid w:val="002B1681"/>
    <w:rsid w:val="002B1701"/>
    <w:rsid w:val="002B1713"/>
    <w:rsid w:val="002B17C2"/>
    <w:rsid w:val="002B1884"/>
    <w:rsid w:val="002B18A2"/>
    <w:rsid w:val="002B1904"/>
    <w:rsid w:val="002B1B3C"/>
    <w:rsid w:val="002B1BB2"/>
    <w:rsid w:val="002B1C26"/>
    <w:rsid w:val="002B1DC8"/>
    <w:rsid w:val="002B1E1C"/>
    <w:rsid w:val="002B1EA6"/>
    <w:rsid w:val="002B1ECB"/>
    <w:rsid w:val="002B1F4A"/>
    <w:rsid w:val="002B1FC2"/>
    <w:rsid w:val="002B206C"/>
    <w:rsid w:val="002B2100"/>
    <w:rsid w:val="002B215E"/>
    <w:rsid w:val="002B21BA"/>
    <w:rsid w:val="002B21CA"/>
    <w:rsid w:val="002B21D6"/>
    <w:rsid w:val="002B2295"/>
    <w:rsid w:val="002B22AA"/>
    <w:rsid w:val="002B2320"/>
    <w:rsid w:val="002B2468"/>
    <w:rsid w:val="002B247C"/>
    <w:rsid w:val="002B2499"/>
    <w:rsid w:val="002B24B3"/>
    <w:rsid w:val="002B24B5"/>
    <w:rsid w:val="002B25CE"/>
    <w:rsid w:val="002B265C"/>
    <w:rsid w:val="002B2670"/>
    <w:rsid w:val="002B2715"/>
    <w:rsid w:val="002B27E5"/>
    <w:rsid w:val="002B283C"/>
    <w:rsid w:val="002B2882"/>
    <w:rsid w:val="002B2A1B"/>
    <w:rsid w:val="002B2A79"/>
    <w:rsid w:val="002B2AE0"/>
    <w:rsid w:val="002B2B2A"/>
    <w:rsid w:val="002B2BF5"/>
    <w:rsid w:val="002B2CBA"/>
    <w:rsid w:val="002B2D60"/>
    <w:rsid w:val="002B2D80"/>
    <w:rsid w:val="002B2DF4"/>
    <w:rsid w:val="002B2E62"/>
    <w:rsid w:val="002B2FA7"/>
    <w:rsid w:val="002B30AF"/>
    <w:rsid w:val="002B3219"/>
    <w:rsid w:val="002B3381"/>
    <w:rsid w:val="002B34FD"/>
    <w:rsid w:val="002B3579"/>
    <w:rsid w:val="002B3748"/>
    <w:rsid w:val="002B3789"/>
    <w:rsid w:val="002B398A"/>
    <w:rsid w:val="002B39DF"/>
    <w:rsid w:val="002B3C4E"/>
    <w:rsid w:val="002B3C60"/>
    <w:rsid w:val="002B3CF2"/>
    <w:rsid w:val="002B3D8E"/>
    <w:rsid w:val="002B3DAC"/>
    <w:rsid w:val="002B3F12"/>
    <w:rsid w:val="002B3F84"/>
    <w:rsid w:val="002B415D"/>
    <w:rsid w:val="002B422A"/>
    <w:rsid w:val="002B42BD"/>
    <w:rsid w:val="002B4347"/>
    <w:rsid w:val="002B442C"/>
    <w:rsid w:val="002B44F3"/>
    <w:rsid w:val="002B4510"/>
    <w:rsid w:val="002B4664"/>
    <w:rsid w:val="002B46E6"/>
    <w:rsid w:val="002B4739"/>
    <w:rsid w:val="002B475E"/>
    <w:rsid w:val="002B48C0"/>
    <w:rsid w:val="002B48CF"/>
    <w:rsid w:val="002B48D1"/>
    <w:rsid w:val="002B4C27"/>
    <w:rsid w:val="002B4C4F"/>
    <w:rsid w:val="002B4EC3"/>
    <w:rsid w:val="002B4FFC"/>
    <w:rsid w:val="002B50AC"/>
    <w:rsid w:val="002B50E7"/>
    <w:rsid w:val="002B5132"/>
    <w:rsid w:val="002B5198"/>
    <w:rsid w:val="002B51A3"/>
    <w:rsid w:val="002B54AA"/>
    <w:rsid w:val="002B55D7"/>
    <w:rsid w:val="002B5668"/>
    <w:rsid w:val="002B567D"/>
    <w:rsid w:val="002B567F"/>
    <w:rsid w:val="002B56A7"/>
    <w:rsid w:val="002B57B6"/>
    <w:rsid w:val="002B57CC"/>
    <w:rsid w:val="002B5838"/>
    <w:rsid w:val="002B58C9"/>
    <w:rsid w:val="002B59DF"/>
    <w:rsid w:val="002B59F7"/>
    <w:rsid w:val="002B5A04"/>
    <w:rsid w:val="002B5B38"/>
    <w:rsid w:val="002B5C3E"/>
    <w:rsid w:val="002B5C48"/>
    <w:rsid w:val="002B5C82"/>
    <w:rsid w:val="002B5E6D"/>
    <w:rsid w:val="002B61D5"/>
    <w:rsid w:val="002B62A6"/>
    <w:rsid w:val="002B6535"/>
    <w:rsid w:val="002B655A"/>
    <w:rsid w:val="002B65CE"/>
    <w:rsid w:val="002B65D6"/>
    <w:rsid w:val="002B665D"/>
    <w:rsid w:val="002B667E"/>
    <w:rsid w:val="002B67B8"/>
    <w:rsid w:val="002B686E"/>
    <w:rsid w:val="002B6873"/>
    <w:rsid w:val="002B6900"/>
    <w:rsid w:val="002B6939"/>
    <w:rsid w:val="002B698E"/>
    <w:rsid w:val="002B6A94"/>
    <w:rsid w:val="002B6ADC"/>
    <w:rsid w:val="002B6B07"/>
    <w:rsid w:val="002B6BA6"/>
    <w:rsid w:val="002B6D04"/>
    <w:rsid w:val="002B6D38"/>
    <w:rsid w:val="002B6FD0"/>
    <w:rsid w:val="002B714D"/>
    <w:rsid w:val="002B7361"/>
    <w:rsid w:val="002B73AD"/>
    <w:rsid w:val="002B7461"/>
    <w:rsid w:val="002B74A7"/>
    <w:rsid w:val="002B7537"/>
    <w:rsid w:val="002B75B8"/>
    <w:rsid w:val="002B78AD"/>
    <w:rsid w:val="002B79D5"/>
    <w:rsid w:val="002B7A23"/>
    <w:rsid w:val="002B7C28"/>
    <w:rsid w:val="002B7C6F"/>
    <w:rsid w:val="002B7D1A"/>
    <w:rsid w:val="002B7E0F"/>
    <w:rsid w:val="002C016B"/>
    <w:rsid w:val="002C01E5"/>
    <w:rsid w:val="002C0340"/>
    <w:rsid w:val="002C03E8"/>
    <w:rsid w:val="002C0449"/>
    <w:rsid w:val="002C050E"/>
    <w:rsid w:val="002C05D6"/>
    <w:rsid w:val="002C077B"/>
    <w:rsid w:val="002C0993"/>
    <w:rsid w:val="002C0A08"/>
    <w:rsid w:val="002C0A77"/>
    <w:rsid w:val="002C0BE2"/>
    <w:rsid w:val="002C0D91"/>
    <w:rsid w:val="002C103C"/>
    <w:rsid w:val="002C10DB"/>
    <w:rsid w:val="002C128B"/>
    <w:rsid w:val="002C12B8"/>
    <w:rsid w:val="002C131B"/>
    <w:rsid w:val="002C13A5"/>
    <w:rsid w:val="002C13C4"/>
    <w:rsid w:val="002C1822"/>
    <w:rsid w:val="002C182E"/>
    <w:rsid w:val="002C19C2"/>
    <w:rsid w:val="002C1A29"/>
    <w:rsid w:val="002C1AA2"/>
    <w:rsid w:val="002C1B91"/>
    <w:rsid w:val="002C1C7D"/>
    <w:rsid w:val="002C1CA2"/>
    <w:rsid w:val="002C1D84"/>
    <w:rsid w:val="002C1DD5"/>
    <w:rsid w:val="002C1DDA"/>
    <w:rsid w:val="002C1DF6"/>
    <w:rsid w:val="002C1DF7"/>
    <w:rsid w:val="002C1E88"/>
    <w:rsid w:val="002C1E94"/>
    <w:rsid w:val="002C1F34"/>
    <w:rsid w:val="002C1F71"/>
    <w:rsid w:val="002C200E"/>
    <w:rsid w:val="002C2041"/>
    <w:rsid w:val="002C2048"/>
    <w:rsid w:val="002C20B7"/>
    <w:rsid w:val="002C22F4"/>
    <w:rsid w:val="002C231C"/>
    <w:rsid w:val="002C2375"/>
    <w:rsid w:val="002C2438"/>
    <w:rsid w:val="002C25FA"/>
    <w:rsid w:val="002C268B"/>
    <w:rsid w:val="002C27E7"/>
    <w:rsid w:val="002C2925"/>
    <w:rsid w:val="002C295D"/>
    <w:rsid w:val="002C2A6E"/>
    <w:rsid w:val="002C2AA9"/>
    <w:rsid w:val="002C2BAC"/>
    <w:rsid w:val="002C2EE0"/>
    <w:rsid w:val="002C2FEE"/>
    <w:rsid w:val="002C3043"/>
    <w:rsid w:val="002C3224"/>
    <w:rsid w:val="002C322B"/>
    <w:rsid w:val="002C325B"/>
    <w:rsid w:val="002C3271"/>
    <w:rsid w:val="002C32D0"/>
    <w:rsid w:val="002C333A"/>
    <w:rsid w:val="002C34D2"/>
    <w:rsid w:val="002C34E5"/>
    <w:rsid w:val="002C351F"/>
    <w:rsid w:val="002C358C"/>
    <w:rsid w:val="002C3623"/>
    <w:rsid w:val="002C365C"/>
    <w:rsid w:val="002C372F"/>
    <w:rsid w:val="002C3785"/>
    <w:rsid w:val="002C37FE"/>
    <w:rsid w:val="002C3852"/>
    <w:rsid w:val="002C38C8"/>
    <w:rsid w:val="002C38D4"/>
    <w:rsid w:val="002C3914"/>
    <w:rsid w:val="002C39D0"/>
    <w:rsid w:val="002C3A86"/>
    <w:rsid w:val="002C3A8A"/>
    <w:rsid w:val="002C3AB4"/>
    <w:rsid w:val="002C3C64"/>
    <w:rsid w:val="002C3C89"/>
    <w:rsid w:val="002C3CE0"/>
    <w:rsid w:val="002C3D81"/>
    <w:rsid w:val="002C3E33"/>
    <w:rsid w:val="002C3F01"/>
    <w:rsid w:val="002C3F3F"/>
    <w:rsid w:val="002C3FC4"/>
    <w:rsid w:val="002C4068"/>
    <w:rsid w:val="002C4073"/>
    <w:rsid w:val="002C4093"/>
    <w:rsid w:val="002C40C9"/>
    <w:rsid w:val="002C42C9"/>
    <w:rsid w:val="002C43F4"/>
    <w:rsid w:val="002C4590"/>
    <w:rsid w:val="002C463C"/>
    <w:rsid w:val="002C469C"/>
    <w:rsid w:val="002C4760"/>
    <w:rsid w:val="002C47C2"/>
    <w:rsid w:val="002C483F"/>
    <w:rsid w:val="002C48DD"/>
    <w:rsid w:val="002C49EB"/>
    <w:rsid w:val="002C4A46"/>
    <w:rsid w:val="002C4A8D"/>
    <w:rsid w:val="002C4B6B"/>
    <w:rsid w:val="002C4B6C"/>
    <w:rsid w:val="002C4C24"/>
    <w:rsid w:val="002C4C75"/>
    <w:rsid w:val="002C4C7A"/>
    <w:rsid w:val="002C4D16"/>
    <w:rsid w:val="002C4D22"/>
    <w:rsid w:val="002C4DF6"/>
    <w:rsid w:val="002C4E1C"/>
    <w:rsid w:val="002C4E46"/>
    <w:rsid w:val="002C4FC2"/>
    <w:rsid w:val="002C5057"/>
    <w:rsid w:val="002C5093"/>
    <w:rsid w:val="002C5115"/>
    <w:rsid w:val="002C51EC"/>
    <w:rsid w:val="002C535A"/>
    <w:rsid w:val="002C53B5"/>
    <w:rsid w:val="002C53B6"/>
    <w:rsid w:val="002C53F0"/>
    <w:rsid w:val="002C53F9"/>
    <w:rsid w:val="002C56C6"/>
    <w:rsid w:val="002C5773"/>
    <w:rsid w:val="002C5795"/>
    <w:rsid w:val="002C579C"/>
    <w:rsid w:val="002C5962"/>
    <w:rsid w:val="002C5986"/>
    <w:rsid w:val="002C5A28"/>
    <w:rsid w:val="002C5B77"/>
    <w:rsid w:val="002C5C0F"/>
    <w:rsid w:val="002C5D01"/>
    <w:rsid w:val="002C5D97"/>
    <w:rsid w:val="002C5E13"/>
    <w:rsid w:val="002C5E41"/>
    <w:rsid w:val="002C5EB9"/>
    <w:rsid w:val="002C5FFC"/>
    <w:rsid w:val="002C6049"/>
    <w:rsid w:val="002C614C"/>
    <w:rsid w:val="002C621F"/>
    <w:rsid w:val="002C62F8"/>
    <w:rsid w:val="002C63F4"/>
    <w:rsid w:val="002C647D"/>
    <w:rsid w:val="002C6531"/>
    <w:rsid w:val="002C6585"/>
    <w:rsid w:val="002C6676"/>
    <w:rsid w:val="002C66B8"/>
    <w:rsid w:val="002C67B1"/>
    <w:rsid w:val="002C686F"/>
    <w:rsid w:val="002C6A06"/>
    <w:rsid w:val="002C6E70"/>
    <w:rsid w:val="002C6F6F"/>
    <w:rsid w:val="002C701A"/>
    <w:rsid w:val="002C7056"/>
    <w:rsid w:val="002C7071"/>
    <w:rsid w:val="002C70C3"/>
    <w:rsid w:val="002C716B"/>
    <w:rsid w:val="002C71CA"/>
    <w:rsid w:val="002C72B3"/>
    <w:rsid w:val="002C7555"/>
    <w:rsid w:val="002C757F"/>
    <w:rsid w:val="002C75F2"/>
    <w:rsid w:val="002C766D"/>
    <w:rsid w:val="002C76A6"/>
    <w:rsid w:val="002C772D"/>
    <w:rsid w:val="002C7865"/>
    <w:rsid w:val="002C78B4"/>
    <w:rsid w:val="002C79EA"/>
    <w:rsid w:val="002C7A4F"/>
    <w:rsid w:val="002C7A54"/>
    <w:rsid w:val="002C7A85"/>
    <w:rsid w:val="002C7B35"/>
    <w:rsid w:val="002C7BCB"/>
    <w:rsid w:val="002C7C1F"/>
    <w:rsid w:val="002C7CAA"/>
    <w:rsid w:val="002C7DCF"/>
    <w:rsid w:val="002C7E11"/>
    <w:rsid w:val="002D012E"/>
    <w:rsid w:val="002D013E"/>
    <w:rsid w:val="002D0207"/>
    <w:rsid w:val="002D0210"/>
    <w:rsid w:val="002D02CB"/>
    <w:rsid w:val="002D03AD"/>
    <w:rsid w:val="002D054B"/>
    <w:rsid w:val="002D05D4"/>
    <w:rsid w:val="002D072D"/>
    <w:rsid w:val="002D0811"/>
    <w:rsid w:val="002D0A20"/>
    <w:rsid w:val="002D0AA4"/>
    <w:rsid w:val="002D0B89"/>
    <w:rsid w:val="002D0BE4"/>
    <w:rsid w:val="002D0CF7"/>
    <w:rsid w:val="002D0D2A"/>
    <w:rsid w:val="002D0D2C"/>
    <w:rsid w:val="002D0E2C"/>
    <w:rsid w:val="002D0E6C"/>
    <w:rsid w:val="002D10D7"/>
    <w:rsid w:val="002D10F0"/>
    <w:rsid w:val="002D110E"/>
    <w:rsid w:val="002D111A"/>
    <w:rsid w:val="002D122F"/>
    <w:rsid w:val="002D1288"/>
    <w:rsid w:val="002D12F1"/>
    <w:rsid w:val="002D136C"/>
    <w:rsid w:val="002D1381"/>
    <w:rsid w:val="002D1454"/>
    <w:rsid w:val="002D146A"/>
    <w:rsid w:val="002D1487"/>
    <w:rsid w:val="002D1491"/>
    <w:rsid w:val="002D14BF"/>
    <w:rsid w:val="002D1567"/>
    <w:rsid w:val="002D16EF"/>
    <w:rsid w:val="002D193E"/>
    <w:rsid w:val="002D1A5D"/>
    <w:rsid w:val="002D1A92"/>
    <w:rsid w:val="002D1C53"/>
    <w:rsid w:val="002D1C7C"/>
    <w:rsid w:val="002D1E18"/>
    <w:rsid w:val="002D1E9C"/>
    <w:rsid w:val="002D1F0D"/>
    <w:rsid w:val="002D1FD0"/>
    <w:rsid w:val="002D2036"/>
    <w:rsid w:val="002D21AC"/>
    <w:rsid w:val="002D23E4"/>
    <w:rsid w:val="002D2451"/>
    <w:rsid w:val="002D24F9"/>
    <w:rsid w:val="002D251C"/>
    <w:rsid w:val="002D2648"/>
    <w:rsid w:val="002D26DF"/>
    <w:rsid w:val="002D277F"/>
    <w:rsid w:val="002D27B4"/>
    <w:rsid w:val="002D2861"/>
    <w:rsid w:val="002D2874"/>
    <w:rsid w:val="002D28B9"/>
    <w:rsid w:val="002D29D6"/>
    <w:rsid w:val="002D29DF"/>
    <w:rsid w:val="002D2A2E"/>
    <w:rsid w:val="002D2AB9"/>
    <w:rsid w:val="002D2ACC"/>
    <w:rsid w:val="002D2D1C"/>
    <w:rsid w:val="002D2DB0"/>
    <w:rsid w:val="002D2DC2"/>
    <w:rsid w:val="002D2E58"/>
    <w:rsid w:val="002D2E67"/>
    <w:rsid w:val="002D2E98"/>
    <w:rsid w:val="002D2FF5"/>
    <w:rsid w:val="002D3031"/>
    <w:rsid w:val="002D3032"/>
    <w:rsid w:val="002D3041"/>
    <w:rsid w:val="002D310B"/>
    <w:rsid w:val="002D3179"/>
    <w:rsid w:val="002D31AC"/>
    <w:rsid w:val="002D327B"/>
    <w:rsid w:val="002D33AB"/>
    <w:rsid w:val="002D3544"/>
    <w:rsid w:val="002D3680"/>
    <w:rsid w:val="002D36C3"/>
    <w:rsid w:val="002D36DB"/>
    <w:rsid w:val="002D3713"/>
    <w:rsid w:val="002D3791"/>
    <w:rsid w:val="002D38C7"/>
    <w:rsid w:val="002D3963"/>
    <w:rsid w:val="002D39D5"/>
    <w:rsid w:val="002D3C4B"/>
    <w:rsid w:val="002D3CB0"/>
    <w:rsid w:val="002D3D97"/>
    <w:rsid w:val="002D3DA0"/>
    <w:rsid w:val="002D3E87"/>
    <w:rsid w:val="002D4082"/>
    <w:rsid w:val="002D4138"/>
    <w:rsid w:val="002D418D"/>
    <w:rsid w:val="002D4198"/>
    <w:rsid w:val="002D4243"/>
    <w:rsid w:val="002D4349"/>
    <w:rsid w:val="002D4394"/>
    <w:rsid w:val="002D4465"/>
    <w:rsid w:val="002D44A3"/>
    <w:rsid w:val="002D45D3"/>
    <w:rsid w:val="002D4682"/>
    <w:rsid w:val="002D46BF"/>
    <w:rsid w:val="002D46F1"/>
    <w:rsid w:val="002D46FF"/>
    <w:rsid w:val="002D4828"/>
    <w:rsid w:val="002D48C8"/>
    <w:rsid w:val="002D4A27"/>
    <w:rsid w:val="002D4AE8"/>
    <w:rsid w:val="002D4AE9"/>
    <w:rsid w:val="002D4B7D"/>
    <w:rsid w:val="002D4B82"/>
    <w:rsid w:val="002D4D14"/>
    <w:rsid w:val="002D4ECF"/>
    <w:rsid w:val="002D4ED6"/>
    <w:rsid w:val="002D4FAF"/>
    <w:rsid w:val="002D504C"/>
    <w:rsid w:val="002D50F5"/>
    <w:rsid w:val="002D514F"/>
    <w:rsid w:val="002D5220"/>
    <w:rsid w:val="002D52D4"/>
    <w:rsid w:val="002D53A1"/>
    <w:rsid w:val="002D54BC"/>
    <w:rsid w:val="002D54BD"/>
    <w:rsid w:val="002D5622"/>
    <w:rsid w:val="002D5672"/>
    <w:rsid w:val="002D56ED"/>
    <w:rsid w:val="002D57FC"/>
    <w:rsid w:val="002D5946"/>
    <w:rsid w:val="002D59F4"/>
    <w:rsid w:val="002D5A76"/>
    <w:rsid w:val="002D5B84"/>
    <w:rsid w:val="002D5CCC"/>
    <w:rsid w:val="002D6134"/>
    <w:rsid w:val="002D6240"/>
    <w:rsid w:val="002D647A"/>
    <w:rsid w:val="002D64FA"/>
    <w:rsid w:val="002D662E"/>
    <w:rsid w:val="002D6631"/>
    <w:rsid w:val="002D6880"/>
    <w:rsid w:val="002D690B"/>
    <w:rsid w:val="002D6913"/>
    <w:rsid w:val="002D6938"/>
    <w:rsid w:val="002D6BF7"/>
    <w:rsid w:val="002D6C73"/>
    <w:rsid w:val="002D6CC7"/>
    <w:rsid w:val="002D6D35"/>
    <w:rsid w:val="002D6D65"/>
    <w:rsid w:val="002D6DC0"/>
    <w:rsid w:val="002D6E20"/>
    <w:rsid w:val="002D6E5C"/>
    <w:rsid w:val="002D6F15"/>
    <w:rsid w:val="002D6F44"/>
    <w:rsid w:val="002D6F7F"/>
    <w:rsid w:val="002D6FD3"/>
    <w:rsid w:val="002D6FDE"/>
    <w:rsid w:val="002D6FF4"/>
    <w:rsid w:val="002D711E"/>
    <w:rsid w:val="002D712A"/>
    <w:rsid w:val="002D7387"/>
    <w:rsid w:val="002D7615"/>
    <w:rsid w:val="002D76A7"/>
    <w:rsid w:val="002D7740"/>
    <w:rsid w:val="002D7A7F"/>
    <w:rsid w:val="002D7AAA"/>
    <w:rsid w:val="002D7B52"/>
    <w:rsid w:val="002D7B8B"/>
    <w:rsid w:val="002D7C23"/>
    <w:rsid w:val="002D7C56"/>
    <w:rsid w:val="002D7EC9"/>
    <w:rsid w:val="002D7F85"/>
    <w:rsid w:val="002D7FFD"/>
    <w:rsid w:val="002E00BE"/>
    <w:rsid w:val="002E00EA"/>
    <w:rsid w:val="002E01BC"/>
    <w:rsid w:val="002E0292"/>
    <w:rsid w:val="002E0351"/>
    <w:rsid w:val="002E0357"/>
    <w:rsid w:val="002E03C3"/>
    <w:rsid w:val="002E072C"/>
    <w:rsid w:val="002E0735"/>
    <w:rsid w:val="002E07D4"/>
    <w:rsid w:val="002E0805"/>
    <w:rsid w:val="002E0886"/>
    <w:rsid w:val="002E08B3"/>
    <w:rsid w:val="002E08CA"/>
    <w:rsid w:val="002E0A1F"/>
    <w:rsid w:val="002E0B96"/>
    <w:rsid w:val="002E0CD6"/>
    <w:rsid w:val="002E0CDE"/>
    <w:rsid w:val="002E0DCE"/>
    <w:rsid w:val="002E0EA2"/>
    <w:rsid w:val="002E0F75"/>
    <w:rsid w:val="002E117C"/>
    <w:rsid w:val="002E1211"/>
    <w:rsid w:val="002E1277"/>
    <w:rsid w:val="002E1303"/>
    <w:rsid w:val="002E134A"/>
    <w:rsid w:val="002E1558"/>
    <w:rsid w:val="002E15AF"/>
    <w:rsid w:val="002E1795"/>
    <w:rsid w:val="002E1807"/>
    <w:rsid w:val="002E1901"/>
    <w:rsid w:val="002E1997"/>
    <w:rsid w:val="002E19BA"/>
    <w:rsid w:val="002E1A40"/>
    <w:rsid w:val="002E1A85"/>
    <w:rsid w:val="002E1AD0"/>
    <w:rsid w:val="002E1B14"/>
    <w:rsid w:val="002E1B18"/>
    <w:rsid w:val="002E1B3B"/>
    <w:rsid w:val="002E1B5F"/>
    <w:rsid w:val="002E1BC5"/>
    <w:rsid w:val="002E1BFE"/>
    <w:rsid w:val="002E1C18"/>
    <w:rsid w:val="002E1FDC"/>
    <w:rsid w:val="002E212F"/>
    <w:rsid w:val="002E2180"/>
    <w:rsid w:val="002E21A7"/>
    <w:rsid w:val="002E2219"/>
    <w:rsid w:val="002E2233"/>
    <w:rsid w:val="002E2345"/>
    <w:rsid w:val="002E234E"/>
    <w:rsid w:val="002E2351"/>
    <w:rsid w:val="002E23B5"/>
    <w:rsid w:val="002E23FE"/>
    <w:rsid w:val="002E241D"/>
    <w:rsid w:val="002E249E"/>
    <w:rsid w:val="002E24A6"/>
    <w:rsid w:val="002E258E"/>
    <w:rsid w:val="002E25DF"/>
    <w:rsid w:val="002E26BC"/>
    <w:rsid w:val="002E2985"/>
    <w:rsid w:val="002E2ABB"/>
    <w:rsid w:val="002E2B19"/>
    <w:rsid w:val="002E2C96"/>
    <w:rsid w:val="002E2D2C"/>
    <w:rsid w:val="002E2F1E"/>
    <w:rsid w:val="002E2F37"/>
    <w:rsid w:val="002E3054"/>
    <w:rsid w:val="002E314E"/>
    <w:rsid w:val="002E3289"/>
    <w:rsid w:val="002E32E9"/>
    <w:rsid w:val="002E349B"/>
    <w:rsid w:val="002E3529"/>
    <w:rsid w:val="002E3618"/>
    <w:rsid w:val="002E3796"/>
    <w:rsid w:val="002E37E2"/>
    <w:rsid w:val="002E38F2"/>
    <w:rsid w:val="002E3905"/>
    <w:rsid w:val="002E3907"/>
    <w:rsid w:val="002E3970"/>
    <w:rsid w:val="002E39D6"/>
    <w:rsid w:val="002E3A49"/>
    <w:rsid w:val="002E3A77"/>
    <w:rsid w:val="002E3AE5"/>
    <w:rsid w:val="002E3B58"/>
    <w:rsid w:val="002E3B65"/>
    <w:rsid w:val="002E3BBA"/>
    <w:rsid w:val="002E3D1B"/>
    <w:rsid w:val="002E3D47"/>
    <w:rsid w:val="002E3E03"/>
    <w:rsid w:val="002E3E85"/>
    <w:rsid w:val="002E4136"/>
    <w:rsid w:val="002E4226"/>
    <w:rsid w:val="002E4227"/>
    <w:rsid w:val="002E42BA"/>
    <w:rsid w:val="002E42F3"/>
    <w:rsid w:val="002E4332"/>
    <w:rsid w:val="002E43DA"/>
    <w:rsid w:val="002E442C"/>
    <w:rsid w:val="002E44DB"/>
    <w:rsid w:val="002E4555"/>
    <w:rsid w:val="002E4560"/>
    <w:rsid w:val="002E45F5"/>
    <w:rsid w:val="002E46AF"/>
    <w:rsid w:val="002E486F"/>
    <w:rsid w:val="002E48A9"/>
    <w:rsid w:val="002E49BD"/>
    <w:rsid w:val="002E4A77"/>
    <w:rsid w:val="002E4A8B"/>
    <w:rsid w:val="002E4AED"/>
    <w:rsid w:val="002E4BDC"/>
    <w:rsid w:val="002E4CAB"/>
    <w:rsid w:val="002E4D94"/>
    <w:rsid w:val="002E4DA0"/>
    <w:rsid w:val="002E5073"/>
    <w:rsid w:val="002E508A"/>
    <w:rsid w:val="002E50CC"/>
    <w:rsid w:val="002E513F"/>
    <w:rsid w:val="002E5197"/>
    <w:rsid w:val="002E523E"/>
    <w:rsid w:val="002E5262"/>
    <w:rsid w:val="002E532B"/>
    <w:rsid w:val="002E53B7"/>
    <w:rsid w:val="002E53BF"/>
    <w:rsid w:val="002E543F"/>
    <w:rsid w:val="002E55F9"/>
    <w:rsid w:val="002E566B"/>
    <w:rsid w:val="002E56C5"/>
    <w:rsid w:val="002E5765"/>
    <w:rsid w:val="002E582B"/>
    <w:rsid w:val="002E5856"/>
    <w:rsid w:val="002E5955"/>
    <w:rsid w:val="002E59F9"/>
    <w:rsid w:val="002E5A47"/>
    <w:rsid w:val="002E5ADF"/>
    <w:rsid w:val="002E5C3A"/>
    <w:rsid w:val="002E5D05"/>
    <w:rsid w:val="002E5D3C"/>
    <w:rsid w:val="002E5D70"/>
    <w:rsid w:val="002E5DAD"/>
    <w:rsid w:val="002E5EF2"/>
    <w:rsid w:val="002E5F11"/>
    <w:rsid w:val="002E5FE3"/>
    <w:rsid w:val="002E60CF"/>
    <w:rsid w:val="002E60FE"/>
    <w:rsid w:val="002E6163"/>
    <w:rsid w:val="002E61A7"/>
    <w:rsid w:val="002E622B"/>
    <w:rsid w:val="002E626C"/>
    <w:rsid w:val="002E627A"/>
    <w:rsid w:val="002E6281"/>
    <w:rsid w:val="002E62C7"/>
    <w:rsid w:val="002E6449"/>
    <w:rsid w:val="002E644C"/>
    <w:rsid w:val="002E6505"/>
    <w:rsid w:val="002E6518"/>
    <w:rsid w:val="002E65B4"/>
    <w:rsid w:val="002E6676"/>
    <w:rsid w:val="002E66FA"/>
    <w:rsid w:val="002E676A"/>
    <w:rsid w:val="002E6799"/>
    <w:rsid w:val="002E679B"/>
    <w:rsid w:val="002E67A3"/>
    <w:rsid w:val="002E67C7"/>
    <w:rsid w:val="002E687E"/>
    <w:rsid w:val="002E6A7F"/>
    <w:rsid w:val="002E6ACC"/>
    <w:rsid w:val="002E6AEE"/>
    <w:rsid w:val="002E6B51"/>
    <w:rsid w:val="002E6C3B"/>
    <w:rsid w:val="002E6CE7"/>
    <w:rsid w:val="002E6D2A"/>
    <w:rsid w:val="002E6E49"/>
    <w:rsid w:val="002E6EBD"/>
    <w:rsid w:val="002E6F22"/>
    <w:rsid w:val="002E70EC"/>
    <w:rsid w:val="002E7128"/>
    <w:rsid w:val="002E7264"/>
    <w:rsid w:val="002E73F6"/>
    <w:rsid w:val="002E76CA"/>
    <w:rsid w:val="002E7793"/>
    <w:rsid w:val="002E78A5"/>
    <w:rsid w:val="002E78FD"/>
    <w:rsid w:val="002E7A35"/>
    <w:rsid w:val="002E7DC8"/>
    <w:rsid w:val="002E7ED4"/>
    <w:rsid w:val="002F00A7"/>
    <w:rsid w:val="002F00D6"/>
    <w:rsid w:val="002F0218"/>
    <w:rsid w:val="002F0240"/>
    <w:rsid w:val="002F0246"/>
    <w:rsid w:val="002F0301"/>
    <w:rsid w:val="002F0319"/>
    <w:rsid w:val="002F0325"/>
    <w:rsid w:val="002F0329"/>
    <w:rsid w:val="002F0354"/>
    <w:rsid w:val="002F03AE"/>
    <w:rsid w:val="002F03D5"/>
    <w:rsid w:val="002F04D0"/>
    <w:rsid w:val="002F051D"/>
    <w:rsid w:val="002F0589"/>
    <w:rsid w:val="002F058A"/>
    <w:rsid w:val="002F05BF"/>
    <w:rsid w:val="002F0714"/>
    <w:rsid w:val="002F0749"/>
    <w:rsid w:val="002F08CF"/>
    <w:rsid w:val="002F0959"/>
    <w:rsid w:val="002F099A"/>
    <w:rsid w:val="002F09FE"/>
    <w:rsid w:val="002F0A5B"/>
    <w:rsid w:val="002F0B79"/>
    <w:rsid w:val="002F0D27"/>
    <w:rsid w:val="002F0D7B"/>
    <w:rsid w:val="002F0DB1"/>
    <w:rsid w:val="002F0E68"/>
    <w:rsid w:val="002F0F07"/>
    <w:rsid w:val="002F0FDF"/>
    <w:rsid w:val="002F1078"/>
    <w:rsid w:val="002F10B6"/>
    <w:rsid w:val="002F10B8"/>
    <w:rsid w:val="002F12BE"/>
    <w:rsid w:val="002F12EC"/>
    <w:rsid w:val="002F1375"/>
    <w:rsid w:val="002F140D"/>
    <w:rsid w:val="002F141F"/>
    <w:rsid w:val="002F1420"/>
    <w:rsid w:val="002F15CE"/>
    <w:rsid w:val="002F16A6"/>
    <w:rsid w:val="002F16B5"/>
    <w:rsid w:val="002F16F9"/>
    <w:rsid w:val="002F1863"/>
    <w:rsid w:val="002F191C"/>
    <w:rsid w:val="002F19B8"/>
    <w:rsid w:val="002F1A13"/>
    <w:rsid w:val="002F1A67"/>
    <w:rsid w:val="002F1AB4"/>
    <w:rsid w:val="002F1B2B"/>
    <w:rsid w:val="002F1BF8"/>
    <w:rsid w:val="002F1C52"/>
    <w:rsid w:val="002F1D27"/>
    <w:rsid w:val="002F1FB6"/>
    <w:rsid w:val="002F2024"/>
    <w:rsid w:val="002F2085"/>
    <w:rsid w:val="002F208D"/>
    <w:rsid w:val="002F20B6"/>
    <w:rsid w:val="002F22F9"/>
    <w:rsid w:val="002F242B"/>
    <w:rsid w:val="002F2557"/>
    <w:rsid w:val="002F2580"/>
    <w:rsid w:val="002F2595"/>
    <w:rsid w:val="002F2620"/>
    <w:rsid w:val="002F26AB"/>
    <w:rsid w:val="002F26FA"/>
    <w:rsid w:val="002F277D"/>
    <w:rsid w:val="002F27CD"/>
    <w:rsid w:val="002F281C"/>
    <w:rsid w:val="002F284A"/>
    <w:rsid w:val="002F28AF"/>
    <w:rsid w:val="002F28EB"/>
    <w:rsid w:val="002F29F5"/>
    <w:rsid w:val="002F2BF3"/>
    <w:rsid w:val="002F2CC3"/>
    <w:rsid w:val="002F2D1E"/>
    <w:rsid w:val="002F2D4A"/>
    <w:rsid w:val="002F2D86"/>
    <w:rsid w:val="002F2DE6"/>
    <w:rsid w:val="002F2F02"/>
    <w:rsid w:val="002F3007"/>
    <w:rsid w:val="002F302D"/>
    <w:rsid w:val="002F306A"/>
    <w:rsid w:val="002F307C"/>
    <w:rsid w:val="002F311F"/>
    <w:rsid w:val="002F31BE"/>
    <w:rsid w:val="002F321B"/>
    <w:rsid w:val="002F347E"/>
    <w:rsid w:val="002F34A2"/>
    <w:rsid w:val="002F34B6"/>
    <w:rsid w:val="002F35F0"/>
    <w:rsid w:val="002F3653"/>
    <w:rsid w:val="002F36BC"/>
    <w:rsid w:val="002F39BC"/>
    <w:rsid w:val="002F3A42"/>
    <w:rsid w:val="002F3AD0"/>
    <w:rsid w:val="002F3AE4"/>
    <w:rsid w:val="002F3AEA"/>
    <w:rsid w:val="002F3E3B"/>
    <w:rsid w:val="002F3EBD"/>
    <w:rsid w:val="002F3FE2"/>
    <w:rsid w:val="002F4064"/>
    <w:rsid w:val="002F4246"/>
    <w:rsid w:val="002F4255"/>
    <w:rsid w:val="002F4268"/>
    <w:rsid w:val="002F44D0"/>
    <w:rsid w:val="002F4508"/>
    <w:rsid w:val="002F4550"/>
    <w:rsid w:val="002F46BF"/>
    <w:rsid w:val="002F4791"/>
    <w:rsid w:val="002F4847"/>
    <w:rsid w:val="002F484B"/>
    <w:rsid w:val="002F4890"/>
    <w:rsid w:val="002F48E1"/>
    <w:rsid w:val="002F4984"/>
    <w:rsid w:val="002F499B"/>
    <w:rsid w:val="002F4A46"/>
    <w:rsid w:val="002F4B19"/>
    <w:rsid w:val="002F4CDB"/>
    <w:rsid w:val="002F4D77"/>
    <w:rsid w:val="002F4DB1"/>
    <w:rsid w:val="002F4E11"/>
    <w:rsid w:val="002F4E7C"/>
    <w:rsid w:val="002F4EE7"/>
    <w:rsid w:val="002F5058"/>
    <w:rsid w:val="002F5141"/>
    <w:rsid w:val="002F52E8"/>
    <w:rsid w:val="002F5335"/>
    <w:rsid w:val="002F534E"/>
    <w:rsid w:val="002F5577"/>
    <w:rsid w:val="002F55C8"/>
    <w:rsid w:val="002F5610"/>
    <w:rsid w:val="002F583D"/>
    <w:rsid w:val="002F5957"/>
    <w:rsid w:val="002F5C2A"/>
    <w:rsid w:val="002F5CED"/>
    <w:rsid w:val="002F5F27"/>
    <w:rsid w:val="002F5F3C"/>
    <w:rsid w:val="002F5FAE"/>
    <w:rsid w:val="002F5FCB"/>
    <w:rsid w:val="002F6019"/>
    <w:rsid w:val="002F6031"/>
    <w:rsid w:val="002F63A6"/>
    <w:rsid w:val="002F6599"/>
    <w:rsid w:val="002F65E9"/>
    <w:rsid w:val="002F661E"/>
    <w:rsid w:val="002F663F"/>
    <w:rsid w:val="002F6653"/>
    <w:rsid w:val="002F666D"/>
    <w:rsid w:val="002F6792"/>
    <w:rsid w:val="002F68AF"/>
    <w:rsid w:val="002F69F4"/>
    <w:rsid w:val="002F69F7"/>
    <w:rsid w:val="002F6A17"/>
    <w:rsid w:val="002F6BC5"/>
    <w:rsid w:val="002F6C15"/>
    <w:rsid w:val="002F6CCE"/>
    <w:rsid w:val="002F6D80"/>
    <w:rsid w:val="002F6E55"/>
    <w:rsid w:val="002F6E82"/>
    <w:rsid w:val="002F7153"/>
    <w:rsid w:val="002F744F"/>
    <w:rsid w:val="002F774C"/>
    <w:rsid w:val="002F7757"/>
    <w:rsid w:val="002F7808"/>
    <w:rsid w:val="002F7851"/>
    <w:rsid w:val="002F78C7"/>
    <w:rsid w:val="002F794C"/>
    <w:rsid w:val="002F7956"/>
    <w:rsid w:val="002F7B33"/>
    <w:rsid w:val="002F7B95"/>
    <w:rsid w:val="002F7C1D"/>
    <w:rsid w:val="002F7C4F"/>
    <w:rsid w:val="002F7D71"/>
    <w:rsid w:val="002F7DD9"/>
    <w:rsid w:val="002F7FB3"/>
    <w:rsid w:val="002F7FDC"/>
    <w:rsid w:val="00300017"/>
    <w:rsid w:val="00300033"/>
    <w:rsid w:val="00300081"/>
    <w:rsid w:val="003001AC"/>
    <w:rsid w:val="00300315"/>
    <w:rsid w:val="003003B3"/>
    <w:rsid w:val="0030057B"/>
    <w:rsid w:val="00300703"/>
    <w:rsid w:val="003007BB"/>
    <w:rsid w:val="003008C2"/>
    <w:rsid w:val="00300945"/>
    <w:rsid w:val="00300B31"/>
    <w:rsid w:val="00300BC4"/>
    <w:rsid w:val="00300BDF"/>
    <w:rsid w:val="00300C29"/>
    <w:rsid w:val="00300C46"/>
    <w:rsid w:val="00300C5A"/>
    <w:rsid w:val="00300CDE"/>
    <w:rsid w:val="00300E08"/>
    <w:rsid w:val="00300E47"/>
    <w:rsid w:val="00300E9E"/>
    <w:rsid w:val="00300F54"/>
    <w:rsid w:val="00300FD9"/>
    <w:rsid w:val="00300FF9"/>
    <w:rsid w:val="0030111D"/>
    <w:rsid w:val="0030126C"/>
    <w:rsid w:val="003013AE"/>
    <w:rsid w:val="003017D7"/>
    <w:rsid w:val="003017E7"/>
    <w:rsid w:val="0030182B"/>
    <w:rsid w:val="00301918"/>
    <w:rsid w:val="00301BA7"/>
    <w:rsid w:val="00301C15"/>
    <w:rsid w:val="00301E19"/>
    <w:rsid w:val="00301F12"/>
    <w:rsid w:val="00301F97"/>
    <w:rsid w:val="003020C4"/>
    <w:rsid w:val="00302195"/>
    <w:rsid w:val="00302228"/>
    <w:rsid w:val="00302234"/>
    <w:rsid w:val="00302242"/>
    <w:rsid w:val="0030225A"/>
    <w:rsid w:val="003022D1"/>
    <w:rsid w:val="003023D1"/>
    <w:rsid w:val="00302484"/>
    <w:rsid w:val="003024F3"/>
    <w:rsid w:val="0030252A"/>
    <w:rsid w:val="003027EA"/>
    <w:rsid w:val="003028F3"/>
    <w:rsid w:val="00302914"/>
    <w:rsid w:val="003029D5"/>
    <w:rsid w:val="00302A17"/>
    <w:rsid w:val="00302AFC"/>
    <w:rsid w:val="00302CA6"/>
    <w:rsid w:val="00302DEC"/>
    <w:rsid w:val="00302E2D"/>
    <w:rsid w:val="00302E74"/>
    <w:rsid w:val="00302E79"/>
    <w:rsid w:val="00302F41"/>
    <w:rsid w:val="0030310F"/>
    <w:rsid w:val="00303180"/>
    <w:rsid w:val="003031B0"/>
    <w:rsid w:val="003031FF"/>
    <w:rsid w:val="003032C6"/>
    <w:rsid w:val="00303314"/>
    <w:rsid w:val="00303396"/>
    <w:rsid w:val="003033C0"/>
    <w:rsid w:val="003033C7"/>
    <w:rsid w:val="00303424"/>
    <w:rsid w:val="003034CB"/>
    <w:rsid w:val="00303668"/>
    <w:rsid w:val="00303734"/>
    <w:rsid w:val="0030380E"/>
    <w:rsid w:val="00303AE9"/>
    <w:rsid w:val="00303B80"/>
    <w:rsid w:val="00303D09"/>
    <w:rsid w:val="00303E51"/>
    <w:rsid w:val="00303E8F"/>
    <w:rsid w:val="00304071"/>
    <w:rsid w:val="00304129"/>
    <w:rsid w:val="003043CE"/>
    <w:rsid w:val="003044AB"/>
    <w:rsid w:val="0030460E"/>
    <w:rsid w:val="00304620"/>
    <w:rsid w:val="00304623"/>
    <w:rsid w:val="00304715"/>
    <w:rsid w:val="00304792"/>
    <w:rsid w:val="003047A0"/>
    <w:rsid w:val="003047C5"/>
    <w:rsid w:val="00304920"/>
    <w:rsid w:val="00304BD2"/>
    <w:rsid w:val="00304CA6"/>
    <w:rsid w:val="00304D3E"/>
    <w:rsid w:val="00304DE6"/>
    <w:rsid w:val="00304E2A"/>
    <w:rsid w:val="00304F5A"/>
    <w:rsid w:val="00304F82"/>
    <w:rsid w:val="0030509C"/>
    <w:rsid w:val="00305101"/>
    <w:rsid w:val="00305113"/>
    <w:rsid w:val="003051C7"/>
    <w:rsid w:val="00305203"/>
    <w:rsid w:val="00305253"/>
    <w:rsid w:val="00305282"/>
    <w:rsid w:val="00305299"/>
    <w:rsid w:val="003052AE"/>
    <w:rsid w:val="00305379"/>
    <w:rsid w:val="0030549F"/>
    <w:rsid w:val="003059D3"/>
    <w:rsid w:val="00305A04"/>
    <w:rsid w:val="00305A5C"/>
    <w:rsid w:val="00305C29"/>
    <w:rsid w:val="00305C40"/>
    <w:rsid w:val="00306049"/>
    <w:rsid w:val="003060FF"/>
    <w:rsid w:val="003062D7"/>
    <w:rsid w:val="00306331"/>
    <w:rsid w:val="00306354"/>
    <w:rsid w:val="00306451"/>
    <w:rsid w:val="003065EE"/>
    <w:rsid w:val="0030660C"/>
    <w:rsid w:val="00306929"/>
    <w:rsid w:val="00306966"/>
    <w:rsid w:val="003069F1"/>
    <w:rsid w:val="00306A6E"/>
    <w:rsid w:val="00306D7E"/>
    <w:rsid w:val="00306E30"/>
    <w:rsid w:val="00306EDE"/>
    <w:rsid w:val="00306F16"/>
    <w:rsid w:val="0030703E"/>
    <w:rsid w:val="003070A1"/>
    <w:rsid w:val="00307292"/>
    <w:rsid w:val="00307319"/>
    <w:rsid w:val="0030735D"/>
    <w:rsid w:val="0030748B"/>
    <w:rsid w:val="003075BD"/>
    <w:rsid w:val="0030763F"/>
    <w:rsid w:val="00307710"/>
    <w:rsid w:val="00307794"/>
    <w:rsid w:val="00307877"/>
    <w:rsid w:val="00307910"/>
    <w:rsid w:val="003079C3"/>
    <w:rsid w:val="00307A47"/>
    <w:rsid w:val="00307B22"/>
    <w:rsid w:val="00310017"/>
    <w:rsid w:val="00310346"/>
    <w:rsid w:val="00310442"/>
    <w:rsid w:val="00310466"/>
    <w:rsid w:val="003104E1"/>
    <w:rsid w:val="003105C7"/>
    <w:rsid w:val="00310606"/>
    <w:rsid w:val="00310841"/>
    <w:rsid w:val="003108C6"/>
    <w:rsid w:val="003109BF"/>
    <w:rsid w:val="00310A2C"/>
    <w:rsid w:val="00310BF1"/>
    <w:rsid w:val="00310C57"/>
    <w:rsid w:val="00310CEB"/>
    <w:rsid w:val="00310CF8"/>
    <w:rsid w:val="00310D14"/>
    <w:rsid w:val="00310DBF"/>
    <w:rsid w:val="00310E49"/>
    <w:rsid w:val="00310EC8"/>
    <w:rsid w:val="00310F55"/>
    <w:rsid w:val="0031125D"/>
    <w:rsid w:val="003112DA"/>
    <w:rsid w:val="0031142E"/>
    <w:rsid w:val="003115C7"/>
    <w:rsid w:val="00311876"/>
    <w:rsid w:val="003118F5"/>
    <w:rsid w:val="00311A0F"/>
    <w:rsid w:val="00311A9C"/>
    <w:rsid w:val="00311AB9"/>
    <w:rsid w:val="00311AE9"/>
    <w:rsid w:val="00311B63"/>
    <w:rsid w:val="00311C11"/>
    <w:rsid w:val="00311C70"/>
    <w:rsid w:val="00311C95"/>
    <w:rsid w:val="00312080"/>
    <w:rsid w:val="003120D2"/>
    <w:rsid w:val="0031212C"/>
    <w:rsid w:val="00312219"/>
    <w:rsid w:val="003122D4"/>
    <w:rsid w:val="00312384"/>
    <w:rsid w:val="003123AA"/>
    <w:rsid w:val="003123D6"/>
    <w:rsid w:val="003123D9"/>
    <w:rsid w:val="0031243D"/>
    <w:rsid w:val="00312539"/>
    <w:rsid w:val="0031254C"/>
    <w:rsid w:val="00312661"/>
    <w:rsid w:val="003126A6"/>
    <w:rsid w:val="00312828"/>
    <w:rsid w:val="00312B00"/>
    <w:rsid w:val="00312B0E"/>
    <w:rsid w:val="00312D00"/>
    <w:rsid w:val="00312DA7"/>
    <w:rsid w:val="00312DAF"/>
    <w:rsid w:val="00312DDA"/>
    <w:rsid w:val="00312E24"/>
    <w:rsid w:val="00312E54"/>
    <w:rsid w:val="00312EBE"/>
    <w:rsid w:val="00312FB8"/>
    <w:rsid w:val="00312FE2"/>
    <w:rsid w:val="0031315D"/>
    <w:rsid w:val="003131C3"/>
    <w:rsid w:val="00313239"/>
    <w:rsid w:val="0031324A"/>
    <w:rsid w:val="003132C3"/>
    <w:rsid w:val="0031336D"/>
    <w:rsid w:val="0031346B"/>
    <w:rsid w:val="0031357D"/>
    <w:rsid w:val="0031365F"/>
    <w:rsid w:val="003136D8"/>
    <w:rsid w:val="00313714"/>
    <w:rsid w:val="003138C1"/>
    <w:rsid w:val="00313A9E"/>
    <w:rsid w:val="00313B72"/>
    <w:rsid w:val="00313CE2"/>
    <w:rsid w:val="00313D47"/>
    <w:rsid w:val="00313D4A"/>
    <w:rsid w:val="00313DA4"/>
    <w:rsid w:val="00313DC5"/>
    <w:rsid w:val="00313E66"/>
    <w:rsid w:val="00313EA6"/>
    <w:rsid w:val="00313F99"/>
    <w:rsid w:val="003141D1"/>
    <w:rsid w:val="003142FE"/>
    <w:rsid w:val="003143BF"/>
    <w:rsid w:val="003146D7"/>
    <w:rsid w:val="003146E0"/>
    <w:rsid w:val="0031472D"/>
    <w:rsid w:val="003147A2"/>
    <w:rsid w:val="003147EA"/>
    <w:rsid w:val="00314829"/>
    <w:rsid w:val="00314859"/>
    <w:rsid w:val="00314861"/>
    <w:rsid w:val="003148B0"/>
    <w:rsid w:val="003148F4"/>
    <w:rsid w:val="00314AEB"/>
    <w:rsid w:val="00314CA4"/>
    <w:rsid w:val="00314DAE"/>
    <w:rsid w:val="00314EB2"/>
    <w:rsid w:val="00314ED0"/>
    <w:rsid w:val="003150E8"/>
    <w:rsid w:val="0031519F"/>
    <w:rsid w:val="0031567C"/>
    <w:rsid w:val="003157EB"/>
    <w:rsid w:val="003158B3"/>
    <w:rsid w:val="003158C4"/>
    <w:rsid w:val="003159C1"/>
    <w:rsid w:val="003159F8"/>
    <w:rsid w:val="00315AE5"/>
    <w:rsid w:val="00315C36"/>
    <w:rsid w:val="00315DA2"/>
    <w:rsid w:val="00315E5A"/>
    <w:rsid w:val="00316022"/>
    <w:rsid w:val="003160AA"/>
    <w:rsid w:val="003160DB"/>
    <w:rsid w:val="00316140"/>
    <w:rsid w:val="00316327"/>
    <w:rsid w:val="00316633"/>
    <w:rsid w:val="00316755"/>
    <w:rsid w:val="00316784"/>
    <w:rsid w:val="00316A07"/>
    <w:rsid w:val="00316A3D"/>
    <w:rsid w:val="00316C4B"/>
    <w:rsid w:val="00316C69"/>
    <w:rsid w:val="00316D53"/>
    <w:rsid w:val="00316F49"/>
    <w:rsid w:val="00316FAE"/>
    <w:rsid w:val="003170C7"/>
    <w:rsid w:val="003170DD"/>
    <w:rsid w:val="00317205"/>
    <w:rsid w:val="0031721A"/>
    <w:rsid w:val="00317295"/>
    <w:rsid w:val="003172E2"/>
    <w:rsid w:val="00317300"/>
    <w:rsid w:val="00317336"/>
    <w:rsid w:val="00317422"/>
    <w:rsid w:val="00317498"/>
    <w:rsid w:val="003175FA"/>
    <w:rsid w:val="0031784C"/>
    <w:rsid w:val="003178FE"/>
    <w:rsid w:val="003178FF"/>
    <w:rsid w:val="00317B94"/>
    <w:rsid w:val="00317EF6"/>
    <w:rsid w:val="00317F85"/>
    <w:rsid w:val="0032004F"/>
    <w:rsid w:val="003202AC"/>
    <w:rsid w:val="00320359"/>
    <w:rsid w:val="00320447"/>
    <w:rsid w:val="003205F0"/>
    <w:rsid w:val="003206D7"/>
    <w:rsid w:val="00320808"/>
    <w:rsid w:val="00320885"/>
    <w:rsid w:val="00320910"/>
    <w:rsid w:val="00320C2D"/>
    <w:rsid w:val="00320C50"/>
    <w:rsid w:val="00320CE5"/>
    <w:rsid w:val="00320D12"/>
    <w:rsid w:val="00320D7C"/>
    <w:rsid w:val="00320DA0"/>
    <w:rsid w:val="00320E52"/>
    <w:rsid w:val="00320EC2"/>
    <w:rsid w:val="00320FEE"/>
    <w:rsid w:val="00321041"/>
    <w:rsid w:val="0032110E"/>
    <w:rsid w:val="00321130"/>
    <w:rsid w:val="0032121E"/>
    <w:rsid w:val="0032125E"/>
    <w:rsid w:val="0032126B"/>
    <w:rsid w:val="0032175E"/>
    <w:rsid w:val="0032176A"/>
    <w:rsid w:val="003217EB"/>
    <w:rsid w:val="00321823"/>
    <w:rsid w:val="00321933"/>
    <w:rsid w:val="00321AE3"/>
    <w:rsid w:val="00321AE7"/>
    <w:rsid w:val="00321B2B"/>
    <w:rsid w:val="00321CD1"/>
    <w:rsid w:val="00321CD3"/>
    <w:rsid w:val="00321CE7"/>
    <w:rsid w:val="00321D3F"/>
    <w:rsid w:val="00321F0C"/>
    <w:rsid w:val="0032210E"/>
    <w:rsid w:val="0032216C"/>
    <w:rsid w:val="003221D7"/>
    <w:rsid w:val="00322233"/>
    <w:rsid w:val="00322317"/>
    <w:rsid w:val="00322358"/>
    <w:rsid w:val="003223AF"/>
    <w:rsid w:val="0032241F"/>
    <w:rsid w:val="003224CE"/>
    <w:rsid w:val="003225AD"/>
    <w:rsid w:val="003225B5"/>
    <w:rsid w:val="0032261B"/>
    <w:rsid w:val="003226AC"/>
    <w:rsid w:val="00322704"/>
    <w:rsid w:val="00322AF4"/>
    <w:rsid w:val="00322B35"/>
    <w:rsid w:val="00322B5B"/>
    <w:rsid w:val="00322B89"/>
    <w:rsid w:val="00322BC0"/>
    <w:rsid w:val="00322BE8"/>
    <w:rsid w:val="00322C41"/>
    <w:rsid w:val="00322D8E"/>
    <w:rsid w:val="00322DBB"/>
    <w:rsid w:val="00322E1F"/>
    <w:rsid w:val="00322EA4"/>
    <w:rsid w:val="00322ECE"/>
    <w:rsid w:val="00322F73"/>
    <w:rsid w:val="00322F98"/>
    <w:rsid w:val="003231FC"/>
    <w:rsid w:val="00323237"/>
    <w:rsid w:val="00323256"/>
    <w:rsid w:val="0032328A"/>
    <w:rsid w:val="00323304"/>
    <w:rsid w:val="003233FE"/>
    <w:rsid w:val="00323432"/>
    <w:rsid w:val="003234C6"/>
    <w:rsid w:val="00323502"/>
    <w:rsid w:val="00323515"/>
    <w:rsid w:val="00323568"/>
    <w:rsid w:val="003236FF"/>
    <w:rsid w:val="00323734"/>
    <w:rsid w:val="00323769"/>
    <w:rsid w:val="0032382D"/>
    <w:rsid w:val="003238AE"/>
    <w:rsid w:val="003238C1"/>
    <w:rsid w:val="0032394E"/>
    <w:rsid w:val="003239A9"/>
    <w:rsid w:val="00323A2C"/>
    <w:rsid w:val="00323A8D"/>
    <w:rsid w:val="00323ABF"/>
    <w:rsid w:val="00323BB7"/>
    <w:rsid w:val="00323C20"/>
    <w:rsid w:val="00323CAF"/>
    <w:rsid w:val="00323CF3"/>
    <w:rsid w:val="00323D6B"/>
    <w:rsid w:val="00323D8D"/>
    <w:rsid w:val="00323E11"/>
    <w:rsid w:val="00323EE7"/>
    <w:rsid w:val="00324025"/>
    <w:rsid w:val="003240C2"/>
    <w:rsid w:val="00324117"/>
    <w:rsid w:val="003242AC"/>
    <w:rsid w:val="00324462"/>
    <w:rsid w:val="003245EA"/>
    <w:rsid w:val="003248EE"/>
    <w:rsid w:val="00324A78"/>
    <w:rsid w:val="00324CE0"/>
    <w:rsid w:val="00324D6B"/>
    <w:rsid w:val="00324D74"/>
    <w:rsid w:val="00324DB1"/>
    <w:rsid w:val="00324E4E"/>
    <w:rsid w:val="00324EAE"/>
    <w:rsid w:val="00324F19"/>
    <w:rsid w:val="00324FD6"/>
    <w:rsid w:val="0032503A"/>
    <w:rsid w:val="003250CE"/>
    <w:rsid w:val="00325171"/>
    <w:rsid w:val="003251CC"/>
    <w:rsid w:val="003252D8"/>
    <w:rsid w:val="003252E3"/>
    <w:rsid w:val="00325327"/>
    <w:rsid w:val="0032532C"/>
    <w:rsid w:val="003253F2"/>
    <w:rsid w:val="0032552C"/>
    <w:rsid w:val="00325607"/>
    <w:rsid w:val="00325762"/>
    <w:rsid w:val="003257E8"/>
    <w:rsid w:val="0032588F"/>
    <w:rsid w:val="003259E0"/>
    <w:rsid w:val="00325A78"/>
    <w:rsid w:val="00325B42"/>
    <w:rsid w:val="00325B58"/>
    <w:rsid w:val="00325B7A"/>
    <w:rsid w:val="00325C10"/>
    <w:rsid w:val="00325C69"/>
    <w:rsid w:val="00325D21"/>
    <w:rsid w:val="00325D97"/>
    <w:rsid w:val="00326016"/>
    <w:rsid w:val="00326033"/>
    <w:rsid w:val="0032643D"/>
    <w:rsid w:val="003264CF"/>
    <w:rsid w:val="003264E7"/>
    <w:rsid w:val="003264EB"/>
    <w:rsid w:val="003264FA"/>
    <w:rsid w:val="00326561"/>
    <w:rsid w:val="00326719"/>
    <w:rsid w:val="0032677A"/>
    <w:rsid w:val="003267CA"/>
    <w:rsid w:val="003267DE"/>
    <w:rsid w:val="0032685F"/>
    <w:rsid w:val="0032687E"/>
    <w:rsid w:val="003268B2"/>
    <w:rsid w:val="00326953"/>
    <w:rsid w:val="00326B13"/>
    <w:rsid w:val="00326B32"/>
    <w:rsid w:val="00326C10"/>
    <w:rsid w:val="00326C7D"/>
    <w:rsid w:val="00326D03"/>
    <w:rsid w:val="00326D52"/>
    <w:rsid w:val="003271E3"/>
    <w:rsid w:val="0032721D"/>
    <w:rsid w:val="0032737A"/>
    <w:rsid w:val="0032773A"/>
    <w:rsid w:val="0032777C"/>
    <w:rsid w:val="00327817"/>
    <w:rsid w:val="0032785C"/>
    <w:rsid w:val="00327984"/>
    <w:rsid w:val="00327B8B"/>
    <w:rsid w:val="00330051"/>
    <w:rsid w:val="0033016C"/>
    <w:rsid w:val="003301BA"/>
    <w:rsid w:val="003302BF"/>
    <w:rsid w:val="00330419"/>
    <w:rsid w:val="003305ED"/>
    <w:rsid w:val="0033069F"/>
    <w:rsid w:val="00330797"/>
    <w:rsid w:val="003308B5"/>
    <w:rsid w:val="00330A3C"/>
    <w:rsid w:val="00330B22"/>
    <w:rsid w:val="00330B96"/>
    <w:rsid w:val="00330BF5"/>
    <w:rsid w:val="00330C4B"/>
    <w:rsid w:val="00330CEF"/>
    <w:rsid w:val="00330DA6"/>
    <w:rsid w:val="00330E0A"/>
    <w:rsid w:val="00330E95"/>
    <w:rsid w:val="00330EAB"/>
    <w:rsid w:val="00330EE5"/>
    <w:rsid w:val="00330F59"/>
    <w:rsid w:val="00331271"/>
    <w:rsid w:val="003312B9"/>
    <w:rsid w:val="00331474"/>
    <w:rsid w:val="003314B7"/>
    <w:rsid w:val="003314C3"/>
    <w:rsid w:val="003314DC"/>
    <w:rsid w:val="00331662"/>
    <w:rsid w:val="00331786"/>
    <w:rsid w:val="003317CF"/>
    <w:rsid w:val="003319AF"/>
    <w:rsid w:val="00331B85"/>
    <w:rsid w:val="00331C02"/>
    <w:rsid w:val="00331C16"/>
    <w:rsid w:val="00331C1F"/>
    <w:rsid w:val="00331CE3"/>
    <w:rsid w:val="00331E21"/>
    <w:rsid w:val="00331ECD"/>
    <w:rsid w:val="00331F64"/>
    <w:rsid w:val="00332010"/>
    <w:rsid w:val="0033214C"/>
    <w:rsid w:val="00332277"/>
    <w:rsid w:val="0033228C"/>
    <w:rsid w:val="0033233A"/>
    <w:rsid w:val="003323C9"/>
    <w:rsid w:val="003323CE"/>
    <w:rsid w:val="00332751"/>
    <w:rsid w:val="00332774"/>
    <w:rsid w:val="0033278E"/>
    <w:rsid w:val="003328C7"/>
    <w:rsid w:val="003329D0"/>
    <w:rsid w:val="00332AC9"/>
    <w:rsid w:val="00332BFE"/>
    <w:rsid w:val="00332C62"/>
    <w:rsid w:val="00332D22"/>
    <w:rsid w:val="00332D7B"/>
    <w:rsid w:val="00332DE3"/>
    <w:rsid w:val="00333056"/>
    <w:rsid w:val="003331FF"/>
    <w:rsid w:val="00333292"/>
    <w:rsid w:val="0033344A"/>
    <w:rsid w:val="0033349E"/>
    <w:rsid w:val="003336E1"/>
    <w:rsid w:val="00333734"/>
    <w:rsid w:val="0033373C"/>
    <w:rsid w:val="003337A1"/>
    <w:rsid w:val="0033386A"/>
    <w:rsid w:val="0033395A"/>
    <w:rsid w:val="0033395E"/>
    <w:rsid w:val="003339FD"/>
    <w:rsid w:val="00333A74"/>
    <w:rsid w:val="00333BA9"/>
    <w:rsid w:val="00333BF2"/>
    <w:rsid w:val="00333C22"/>
    <w:rsid w:val="00333C29"/>
    <w:rsid w:val="00333C76"/>
    <w:rsid w:val="00333D5F"/>
    <w:rsid w:val="00333E96"/>
    <w:rsid w:val="00334010"/>
    <w:rsid w:val="00334351"/>
    <w:rsid w:val="0033435C"/>
    <w:rsid w:val="00334387"/>
    <w:rsid w:val="003343EB"/>
    <w:rsid w:val="00334494"/>
    <w:rsid w:val="003345C6"/>
    <w:rsid w:val="003345D8"/>
    <w:rsid w:val="00334723"/>
    <w:rsid w:val="0033479E"/>
    <w:rsid w:val="0033484B"/>
    <w:rsid w:val="00334964"/>
    <w:rsid w:val="00334A38"/>
    <w:rsid w:val="00334AB6"/>
    <w:rsid w:val="00334AE7"/>
    <w:rsid w:val="00334AF4"/>
    <w:rsid w:val="00334B81"/>
    <w:rsid w:val="00334E3E"/>
    <w:rsid w:val="00334E52"/>
    <w:rsid w:val="00334EE2"/>
    <w:rsid w:val="00334F7D"/>
    <w:rsid w:val="00334FD4"/>
    <w:rsid w:val="003350F3"/>
    <w:rsid w:val="003353BA"/>
    <w:rsid w:val="003353C8"/>
    <w:rsid w:val="00335429"/>
    <w:rsid w:val="00335435"/>
    <w:rsid w:val="0033547A"/>
    <w:rsid w:val="003354E5"/>
    <w:rsid w:val="0033551C"/>
    <w:rsid w:val="003355C4"/>
    <w:rsid w:val="0033560C"/>
    <w:rsid w:val="0033561E"/>
    <w:rsid w:val="00335627"/>
    <w:rsid w:val="00335691"/>
    <w:rsid w:val="003356AC"/>
    <w:rsid w:val="0033577E"/>
    <w:rsid w:val="003357BC"/>
    <w:rsid w:val="003358BE"/>
    <w:rsid w:val="00335963"/>
    <w:rsid w:val="00335996"/>
    <w:rsid w:val="00335A8C"/>
    <w:rsid w:val="00335B0F"/>
    <w:rsid w:val="00335B7D"/>
    <w:rsid w:val="00335BBE"/>
    <w:rsid w:val="00335DFF"/>
    <w:rsid w:val="00335E93"/>
    <w:rsid w:val="00335F80"/>
    <w:rsid w:val="00335FB1"/>
    <w:rsid w:val="0033606E"/>
    <w:rsid w:val="003360C5"/>
    <w:rsid w:val="003360CF"/>
    <w:rsid w:val="003360F1"/>
    <w:rsid w:val="0033620D"/>
    <w:rsid w:val="003362AF"/>
    <w:rsid w:val="003363C0"/>
    <w:rsid w:val="00336400"/>
    <w:rsid w:val="003364A7"/>
    <w:rsid w:val="003364C9"/>
    <w:rsid w:val="00336549"/>
    <w:rsid w:val="00336712"/>
    <w:rsid w:val="00336727"/>
    <w:rsid w:val="0033673D"/>
    <w:rsid w:val="00336816"/>
    <w:rsid w:val="003368CB"/>
    <w:rsid w:val="00336914"/>
    <w:rsid w:val="00336A47"/>
    <w:rsid w:val="00336AB9"/>
    <w:rsid w:val="00336AF0"/>
    <w:rsid w:val="00336B36"/>
    <w:rsid w:val="00336CBE"/>
    <w:rsid w:val="00336D90"/>
    <w:rsid w:val="00336E88"/>
    <w:rsid w:val="00336F30"/>
    <w:rsid w:val="00336F80"/>
    <w:rsid w:val="0033737D"/>
    <w:rsid w:val="00337387"/>
    <w:rsid w:val="00337427"/>
    <w:rsid w:val="0033754D"/>
    <w:rsid w:val="003375BA"/>
    <w:rsid w:val="00337736"/>
    <w:rsid w:val="00337855"/>
    <w:rsid w:val="00337B05"/>
    <w:rsid w:val="00337C53"/>
    <w:rsid w:val="00337CE4"/>
    <w:rsid w:val="00337DBB"/>
    <w:rsid w:val="00337E02"/>
    <w:rsid w:val="00337F39"/>
    <w:rsid w:val="00340132"/>
    <w:rsid w:val="0034021A"/>
    <w:rsid w:val="00340306"/>
    <w:rsid w:val="0034037C"/>
    <w:rsid w:val="0034039D"/>
    <w:rsid w:val="003404FC"/>
    <w:rsid w:val="00340516"/>
    <w:rsid w:val="003405B4"/>
    <w:rsid w:val="00340704"/>
    <w:rsid w:val="00340AC9"/>
    <w:rsid w:val="00340B66"/>
    <w:rsid w:val="00340D50"/>
    <w:rsid w:val="00340E22"/>
    <w:rsid w:val="00340F8A"/>
    <w:rsid w:val="00341037"/>
    <w:rsid w:val="003410A7"/>
    <w:rsid w:val="0034113D"/>
    <w:rsid w:val="00341244"/>
    <w:rsid w:val="0034127D"/>
    <w:rsid w:val="00341388"/>
    <w:rsid w:val="00341401"/>
    <w:rsid w:val="003415BD"/>
    <w:rsid w:val="003415C4"/>
    <w:rsid w:val="00341608"/>
    <w:rsid w:val="00341637"/>
    <w:rsid w:val="00341760"/>
    <w:rsid w:val="003417AE"/>
    <w:rsid w:val="003417B9"/>
    <w:rsid w:val="0034180F"/>
    <w:rsid w:val="00341856"/>
    <w:rsid w:val="00341894"/>
    <w:rsid w:val="003418CB"/>
    <w:rsid w:val="003418E4"/>
    <w:rsid w:val="003418E7"/>
    <w:rsid w:val="003419AC"/>
    <w:rsid w:val="003419AE"/>
    <w:rsid w:val="003419BF"/>
    <w:rsid w:val="00341B9A"/>
    <w:rsid w:val="00341BC1"/>
    <w:rsid w:val="00341BFA"/>
    <w:rsid w:val="00341C67"/>
    <w:rsid w:val="00341D5E"/>
    <w:rsid w:val="00341E60"/>
    <w:rsid w:val="00341F10"/>
    <w:rsid w:val="00341FBF"/>
    <w:rsid w:val="003420D8"/>
    <w:rsid w:val="003421C8"/>
    <w:rsid w:val="0034229E"/>
    <w:rsid w:val="0034229F"/>
    <w:rsid w:val="00342321"/>
    <w:rsid w:val="0034232C"/>
    <w:rsid w:val="003425AD"/>
    <w:rsid w:val="003425BD"/>
    <w:rsid w:val="003425E5"/>
    <w:rsid w:val="003425F2"/>
    <w:rsid w:val="0034264C"/>
    <w:rsid w:val="003427E2"/>
    <w:rsid w:val="00342803"/>
    <w:rsid w:val="003429A7"/>
    <w:rsid w:val="00342B06"/>
    <w:rsid w:val="00342B59"/>
    <w:rsid w:val="00342C91"/>
    <w:rsid w:val="00342E66"/>
    <w:rsid w:val="00342E95"/>
    <w:rsid w:val="00342F82"/>
    <w:rsid w:val="00342FDC"/>
    <w:rsid w:val="00342FFA"/>
    <w:rsid w:val="0034306C"/>
    <w:rsid w:val="003430EF"/>
    <w:rsid w:val="00343147"/>
    <w:rsid w:val="003431BF"/>
    <w:rsid w:val="003432A8"/>
    <w:rsid w:val="00343437"/>
    <w:rsid w:val="0034347F"/>
    <w:rsid w:val="003434C2"/>
    <w:rsid w:val="003436E3"/>
    <w:rsid w:val="003436F0"/>
    <w:rsid w:val="00343726"/>
    <w:rsid w:val="003437EE"/>
    <w:rsid w:val="0034392F"/>
    <w:rsid w:val="003439A5"/>
    <w:rsid w:val="00343B18"/>
    <w:rsid w:val="00343C8F"/>
    <w:rsid w:val="00343D89"/>
    <w:rsid w:val="00343DA3"/>
    <w:rsid w:val="0034401B"/>
    <w:rsid w:val="003441DF"/>
    <w:rsid w:val="003441EC"/>
    <w:rsid w:val="00344351"/>
    <w:rsid w:val="003443CC"/>
    <w:rsid w:val="003444C4"/>
    <w:rsid w:val="0034456E"/>
    <w:rsid w:val="00344687"/>
    <w:rsid w:val="003447CC"/>
    <w:rsid w:val="003448DC"/>
    <w:rsid w:val="0034494B"/>
    <w:rsid w:val="00344959"/>
    <w:rsid w:val="00344971"/>
    <w:rsid w:val="0034498A"/>
    <w:rsid w:val="00344A0A"/>
    <w:rsid w:val="00344B67"/>
    <w:rsid w:val="00344C14"/>
    <w:rsid w:val="00344C90"/>
    <w:rsid w:val="00344D4C"/>
    <w:rsid w:val="00344F4F"/>
    <w:rsid w:val="00344FB7"/>
    <w:rsid w:val="0034508B"/>
    <w:rsid w:val="003450AE"/>
    <w:rsid w:val="00345263"/>
    <w:rsid w:val="0034527C"/>
    <w:rsid w:val="003452CF"/>
    <w:rsid w:val="00345334"/>
    <w:rsid w:val="003453B9"/>
    <w:rsid w:val="0034550C"/>
    <w:rsid w:val="00345564"/>
    <w:rsid w:val="00345716"/>
    <w:rsid w:val="0034574D"/>
    <w:rsid w:val="00345768"/>
    <w:rsid w:val="003458F1"/>
    <w:rsid w:val="00345906"/>
    <w:rsid w:val="00345917"/>
    <w:rsid w:val="00345AAC"/>
    <w:rsid w:val="00345AB4"/>
    <w:rsid w:val="00345B3D"/>
    <w:rsid w:val="00345D64"/>
    <w:rsid w:val="00345E06"/>
    <w:rsid w:val="00345EF2"/>
    <w:rsid w:val="00345F7D"/>
    <w:rsid w:val="00345F90"/>
    <w:rsid w:val="00345FFD"/>
    <w:rsid w:val="00346098"/>
    <w:rsid w:val="00346144"/>
    <w:rsid w:val="003462D5"/>
    <w:rsid w:val="003462D8"/>
    <w:rsid w:val="003463EC"/>
    <w:rsid w:val="00346441"/>
    <w:rsid w:val="00346457"/>
    <w:rsid w:val="003465C0"/>
    <w:rsid w:val="003465F9"/>
    <w:rsid w:val="00346601"/>
    <w:rsid w:val="00346659"/>
    <w:rsid w:val="00346699"/>
    <w:rsid w:val="0034678E"/>
    <w:rsid w:val="00346814"/>
    <w:rsid w:val="0034688D"/>
    <w:rsid w:val="00346899"/>
    <w:rsid w:val="00346953"/>
    <w:rsid w:val="00346A70"/>
    <w:rsid w:val="00346A76"/>
    <w:rsid w:val="00346B2E"/>
    <w:rsid w:val="00346B7F"/>
    <w:rsid w:val="00346B89"/>
    <w:rsid w:val="00346C36"/>
    <w:rsid w:val="00346C6E"/>
    <w:rsid w:val="00346C72"/>
    <w:rsid w:val="00346DF9"/>
    <w:rsid w:val="00346ED2"/>
    <w:rsid w:val="00346F64"/>
    <w:rsid w:val="00346FB6"/>
    <w:rsid w:val="003470A4"/>
    <w:rsid w:val="00347182"/>
    <w:rsid w:val="00347198"/>
    <w:rsid w:val="00347222"/>
    <w:rsid w:val="0034725F"/>
    <w:rsid w:val="003472C0"/>
    <w:rsid w:val="00347329"/>
    <w:rsid w:val="00347395"/>
    <w:rsid w:val="0034743B"/>
    <w:rsid w:val="00347460"/>
    <w:rsid w:val="00347489"/>
    <w:rsid w:val="003474AF"/>
    <w:rsid w:val="0034758A"/>
    <w:rsid w:val="003475FC"/>
    <w:rsid w:val="003476D9"/>
    <w:rsid w:val="00347707"/>
    <w:rsid w:val="00347717"/>
    <w:rsid w:val="003478A5"/>
    <w:rsid w:val="0034798C"/>
    <w:rsid w:val="00347A88"/>
    <w:rsid w:val="00347A90"/>
    <w:rsid w:val="00347ACC"/>
    <w:rsid w:val="00347B29"/>
    <w:rsid w:val="00347B5B"/>
    <w:rsid w:val="00347C13"/>
    <w:rsid w:val="00347DDE"/>
    <w:rsid w:val="00347E57"/>
    <w:rsid w:val="00347E60"/>
    <w:rsid w:val="00347E96"/>
    <w:rsid w:val="00347F40"/>
    <w:rsid w:val="00350084"/>
    <w:rsid w:val="00350086"/>
    <w:rsid w:val="003500A6"/>
    <w:rsid w:val="00350145"/>
    <w:rsid w:val="0035025A"/>
    <w:rsid w:val="00350270"/>
    <w:rsid w:val="00350423"/>
    <w:rsid w:val="003505AD"/>
    <w:rsid w:val="003505DA"/>
    <w:rsid w:val="0035060F"/>
    <w:rsid w:val="003507A5"/>
    <w:rsid w:val="00350835"/>
    <w:rsid w:val="003508CB"/>
    <w:rsid w:val="00350960"/>
    <w:rsid w:val="00350993"/>
    <w:rsid w:val="00350A00"/>
    <w:rsid w:val="00350A2F"/>
    <w:rsid w:val="00350B91"/>
    <w:rsid w:val="00350EFB"/>
    <w:rsid w:val="00351083"/>
    <w:rsid w:val="00351145"/>
    <w:rsid w:val="0035115F"/>
    <w:rsid w:val="00351212"/>
    <w:rsid w:val="003512B6"/>
    <w:rsid w:val="00351331"/>
    <w:rsid w:val="00351483"/>
    <w:rsid w:val="00351526"/>
    <w:rsid w:val="0035159E"/>
    <w:rsid w:val="0035168E"/>
    <w:rsid w:val="00351807"/>
    <w:rsid w:val="003518F6"/>
    <w:rsid w:val="003518FB"/>
    <w:rsid w:val="00351AB9"/>
    <w:rsid w:val="00351B63"/>
    <w:rsid w:val="00351D04"/>
    <w:rsid w:val="00351D77"/>
    <w:rsid w:val="00351DEE"/>
    <w:rsid w:val="00351F44"/>
    <w:rsid w:val="00352025"/>
    <w:rsid w:val="00352172"/>
    <w:rsid w:val="00352179"/>
    <w:rsid w:val="003522BB"/>
    <w:rsid w:val="00352381"/>
    <w:rsid w:val="00352541"/>
    <w:rsid w:val="0035256B"/>
    <w:rsid w:val="003526D1"/>
    <w:rsid w:val="003526E5"/>
    <w:rsid w:val="00352A42"/>
    <w:rsid w:val="00352BBA"/>
    <w:rsid w:val="00352BC6"/>
    <w:rsid w:val="00352F18"/>
    <w:rsid w:val="00353028"/>
    <w:rsid w:val="00353031"/>
    <w:rsid w:val="00353045"/>
    <w:rsid w:val="00353183"/>
    <w:rsid w:val="003531CB"/>
    <w:rsid w:val="003533C6"/>
    <w:rsid w:val="003534DD"/>
    <w:rsid w:val="003535EE"/>
    <w:rsid w:val="0035382F"/>
    <w:rsid w:val="00353B0C"/>
    <w:rsid w:val="00353B27"/>
    <w:rsid w:val="00353BCB"/>
    <w:rsid w:val="00353D29"/>
    <w:rsid w:val="00353DDC"/>
    <w:rsid w:val="00353EBA"/>
    <w:rsid w:val="00353F43"/>
    <w:rsid w:val="00353F47"/>
    <w:rsid w:val="00353FCE"/>
    <w:rsid w:val="00354085"/>
    <w:rsid w:val="0035410F"/>
    <w:rsid w:val="00354405"/>
    <w:rsid w:val="00354479"/>
    <w:rsid w:val="0035458F"/>
    <w:rsid w:val="0035475D"/>
    <w:rsid w:val="00354796"/>
    <w:rsid w:val="00354887"/>
    <w:rsid w:val="003548F2"/>
    <w:rsid w:val="00354900"/>
    <w:rsid w:val="00354A61"/>
    <w:rsid w:val="00354AE8"/>
    <w:rsid w:val="00354B8D"/>
    <w:rsid w:val="00354B8F"/>
    <w:rsid w:val="00354C71"/>
    <w:rsid w:val="00354DB6"/>
    <w:rsid w:val="00354F55"/>
    <w:rsid w:val="00354F74"/>
    <w:rsid w:val="00355155"/>
    <w:rsid w:val="0035536D"/>
    <w:rsid w:val="003553BB"/>
    <w:rsid w:val="00355462"/>
    <w:rsid w:val="0035549B"/>
    <w:rsid w:val="0035551E"/>
    <w:rsid w:val="003555A9"/>
    <w:rsid w:val="00355624"/>
    <w:rsid w:val="0035565D"/>
    <w:rsid w:val="00355734"/>
    <w:rsid w:val="0035581B"/>
    <w:rsid w:val="003559E1"/>
    <w:rsid w:val="00355A2C"/>
    <w:rsid w:val="00355A55"/>
    <w:rsid w:val="00355A99"/>
    <w:rsid w:val="00355AB5"/>
    <w:rsid w:val="00355B32"/>
    <w:rsid w:val="00355C06"/>
    <w:rsid w:val="00355D04"/>
    <w:rsid w:val="00355D70"/>
    <w:rsid w:val="00355E11"/>
    <w:rsid w:val="00355F2A"/>
    <w:rsid w:val="00355F79"/>
    <w:rsid w:val="00355FE2"/>
    <w:rsid w:val="00356003"/>
    <w:rsid w:val="0035606C"/>
    <w:rsid w:val="0035607E"/>
    <w:rsid w:val="00356167"/>
    <w:rsid w:val="00356335"/>
    <w:rsid w:val="00356363"/>
    <w:rsid w:val="00356411"/>
    <w:rsid w:val="00356463"/>
    <w:rsid w:val="0035649E"/>
    <w:rsid w:val="00356533"/>
    <w:rsid w:val="00356574"/>
    <w:rsid w:val="00356582"/>
    <w:rsid w:val="0035667A"/>
    <w:rsid w:val="003566D1"/>
    <w:rsid w:val="00356A2A"/>
    <w:rsid w:val="00356B16"/>
    <w:rsid w:val="00356B46"/>
    <w:rsid w:val="00356C29"/>
    <w:rsid w:val="00356C2E"/>
    <w:rsid w:val="00356CE3"/>
    <w:rsid w:val="00356D85"/>
    <w:rsid w:val="00356E32"/>
    <w:rsid w:val="00356E9A"/>
    <w:rsid w:val="00356F7F"/>
    <w:rsid w:val="0035702B"/>
    <w:rsid w:val="0035704D"/>
    <w:rsid w:val="003570B9"/>
    <w:rsid w:val="0035715D"/>
    <w:rsid w:val="003571A4"/>
    <w:rsid w:val="0035733A"/>
    <w:rsid w:val="003573B2"/>
    <w:rsid w:val="0035769D"/>
    <w:rsid w:val="0035775E"/>
    <w:rsid w:val="00357787"/>
    <w:rsid w:val="00357795"/>
    <w:rsid w:val="003578A0"/>
    <w:rsid w:val="00357931"/>
    <w:rsid w:val="00357C0F"/>
    <w:rsid w:val="00357D23"/>
    <w:rsid w:val="00357ED8"/>
    <w:rsid w:val="00357F74"/>
    <w:rsid w:val="00357FC0"/>
    <w:rsid w:val="00357FD6"/>
    <w:rsid w:val="003600BA"/>
    <w:rsid w:val="0036025D"/>
    <w:rsid w:val="003602FF"/>
    <w:rsid w:val="003603D3"/>
    <w:rsid w:val="003604A9"/>
    <w:rsid w:val="003604F2"/>
    <w:rsid w:val="00360618"/>
    <w:rsid w:val="0036075E"/>
    <w:rsid w:val="003607CD"/>
    <w:rsid w:val="00360834"/>
    <w:rsid w:val="00360995"/>
    <w:rsid w:val="00360A00"/>
    <w:rsid w:val="00360A79"/>
    <w:rsid w:val="00360AF1"/>
    <w:rsid w:val="00360AFF"/>
    <w:rsid w:val="00360B17"/>
    <w:rsid w:val="00360BA9"/>
    <w:rsid w:val="00360BAC"/>
    <w:rsid w:val="00360C47"/>
    <w:rsid w:val="00360C50"/>
    <w:rsid w:val="00360CB1"/>
    <w:rsid w:val="00360D16"/>
    <w:rsid w:val="00360DAC"/>
    <w:rsid w:val="00360DB9"/>
    <w:rsid w:val="003611FF"/>
    <w:rsid w:val="003612B7"/>
    <w:rsid w:val="00361323"/>
    <w:rsid w:val="0036134D"/>
    <w:rsid w:val="003613AC"/>
    <w:rsid w:val="00361494"/>
    <w:rsid w:val="003616B4"/>
    <w:rsid w:val="00361705"/>
    <w:rsid w:val="00361794"/>
    <w:rsid w:val="003617CD"/>
    <w:rsid w:val="003617D4"/>
    <w:rsid w:val="00361853"/>
    <w:rsid w:val="003619A9"/>
    <w:rsid w:val="003619AE"/>
    <w:rsid w:val="003619F1"/>
    <w:rsid w:val="00361A02"/>
    <w:rsid w:val="00361B59"/>
    <w:rsid w:val="00361DBD"/>
    <w:rsid w:val="00361EA7"/>
    <w:rsid w:val="00361EBB"/>
    <w:rsid w:val="00361FC8"/>
    <w:rsid w:val="00361FD7"/>
    <w:rsid w:val="00362014"/>
    <w:rsid w:val="00362020"/>
    <w:rsid w:val="00362146"/>
    <w:rsid w:val="0036215F"/>
    <w:rsid w:val="00362333"/>
    <w:rsid w:val="00362346"/>
    <w:rsid w:val="003623A5"/>
    <w:rsid w:val="003624A1"/>
    <w:rsid w:val="003625F8"/>
    <w:rsid w:val="00362633"/>
    <w:rsid w:val="0036266D"/>
    <w:rsid w:val="0036266F"/>
    <w:rsid w:val="0036268F"/>
    <w:rsid w:val="00362753"/>
    <w:rsid w:val="00362969"/>
    <w:rsid w:val="00362A17"/>
    <w:rsid w:val="00362AA6"/>
    <w:rsid w:val="00362AA7"/>
    <w:rsid w:val="00362B91"/>
    <w:rsid w:val="00362BCB"/>
    <w:rsid w:val="00362CA1"/>
    <w:rsid w:val="00362DFA"/>
    <w:rsid w:val="00362F36"/>
    <w:rsid w:val="00363073"/>
    <w:rsid w:val="003630A2"/>
    <w:rsid w:val="0036320F"/>
    <w:rsid w:val="00363266"/>
    <w:rsid w:val="003632DB"/>
    <w:rsid w:val="00363332"/>
    <w:rsid w:val="003633AD"/>
    <w:rsid w:val="00363518"/>
    <w:rsid w:val="00363562"/>
    <w:rsid w:val="00363653"/>
    <w:rsid w:val="003636D0"/>
    <w:rsid w:val="00363716"/>
    <w:rsid w:val="00363776"/>
    <w:rsid w:val="003637D3"/>
    <w:rsid w:val="00363827"/>
    <w:rsid w:val="00363972"/>
    <w:rsid w:val="003639B7"/>
    <w:rsid w:val="003639F5"/>
    <w:rsid w:val="00363A3E"/>
    <w:rsid w:val="00363A88"/>
    <w:rsid w:val="00363AD7"/>
    <w:rsid w:val="00363C65"/>
    <w:rsid w:val="00363CAB"/>
    <w:rsid w:val="00363CFE"/>
    <w:rsid w:val="00363E47"/>
    <w:rsid w:val="00363E74"/>
    <w:rsid w:val="003640A1"/>
    <w:rsid w:val="00364166"/>
    <w:rsid w:val="00364181"/>
    <w:rsid w:val="003642A1"/>
    <w:rsid w:val="003642DF"/>
    <w:rsid w:val="00364386"/>
    <w:rsid w:val="003643A1"/>
    <w:rsid w:val="003645BF"/>
    <w:rsid w:val="00364614"/>
    <w:rsid w:val="0036461F"/>
    <w:rsid w:val="00364696"/>
    <w:rsid w:val="003647A7"/>
    <w:rsid w:val="0036482C"/>
    <w:rsid w:val="003648BA"/>
    <w:rsid w:val="00364990"/>
    <w:rsid w:val="003649EC"/>
    <w:rsid w:val="00364AE5"/>
    <w:rsid w:val="00364D04"/>
    <w:rsid w:val="00364D90"/>
    <w:rsid w:val="00364FB6"/>
    <w:rsid w:val="00364FC6"/>
    <w:rsid w:val="00365021"/>
    <w:rsid w:val="00365061"/>
    <w:rsid w:val="00365176"/>
    <w:rsid w:val="0036536E"/>
    <w:rsid w:val="00365385"/>
    <w:rsid w:val="0036540A"/>
    <w:rsid w:val="003654C1"/>
    <w:rsid w:val="003654FC"/>
    <w:rsid w:val="003655D5"/>
    <w:rsid w:val="00365701"/>
    <w:rsid w:val="00365887"/>
    <w:rsid w:val="00365926"/>
    <w:rsid w:val="00365934"/>
    <w:rsid w:val="00365978"/>
    <w:rsid w:val="00365A85"/>
    <w:rsid w:val="00365BFB"/>
    <w:rsid w:val="00365D39"/>
    <w:rsid w:val="00365D7C"/>
    <w:rsid w:val="00365EE0"/>
    <w:rsid w:val="00365F19"/>
    <w:rsid w:val="00366252"/>
    <w:rsid w:val="003662D2"/>
    <w:rsid w:val="0036635B"/>
    <w:rsid w:val="00366369"/>
    <w:rsid w:val="00366386"/>
    <w:rsid w:val="00366408"/>
    <w:rsid w:val="00366422"/>
    <w:rsid w:val="003665E9"/>
    <w:rsid w:val="00366617"/>
    <w:rsid w:val="003667A1"/>
    <w:rsid w:val="003667CE"/>
    <w:rsid w:val="003668C9"/>
    <w:rsid w:val="003668EE"/>
    <w:rsid w:val="003669C5"/>
    <w:rsid w:val="00366AD2"/>
    <w:rsid w:val="00366B01"/>
    <w:rsid w:val="00366B3D"/>
    <w:rsid w:val="00366BDC"/>
    <w:rsid w:val="00366CB9"/>
    <w:rsid w:val="00366D44"/>
    <w:rsid w:val="00366D84"/>
    <w:rsid w:val="00366DE5"/>
    <w:rsid w:val="00366E9D"/>
    <w:rsid w:val="00366F59"/>
    <w:rsid w:val="00366F7A"/>
    <w:rsid w:val="00366FC5"/>
    <w:rsid w:val="00366FE3"/>
    <w:rsid w:val="00366FE8"/>
    <w:rsid w:val="0036700F"/>
    <w:rsid w:val="003671D1"/>
    <w:rsid w:val="00367271"/>
    <w:rsid w:val="003673C0"/>
    <w:rsid w:val="003673CD"/>
    <w:rsid w:val="0036744B"/>
    <w:rsid w:val="003675F5"/>
    <w:rsid w:val="0036779B"/>
    <w:rsid w:val="003677F8"/>
    <w:rsid w:val="00367871"/>
    <w:rsid w:val="003679A9"/>
    <w:rsid w:val="00367A85"/>
    <w:rsid w:val="00367BE9"/>
    <w:rsid w:val="00367C8F"/>
    <w:rsid w:val="00367E82"/>
    <w:rsid w:val="003700EF"/>
    <w:rsid w:val="0037019F"/>
    <w:rsid w:val="003703A8"/>
    <w:rsid w:val="003704BE"/>
    <w:rsid w:val="003704E6"/>
    <w:rsid w:val="003705D7"/>
    <w:rsid w:val="003705E2"/>
    <w:rsid w:val="003705FE"/>
    <w:rsid w:val="0037066B"/>
    <w:rsid w:val="0037069E"/>
    <w:rsid w:val="003706A4"/>
    <w:rsid w:val="0037081F"/>
    <w:rsid w:val="003709E8"/>
    <w:rsid w:val="00370A35"/>
    <w:rsid w:val="00370A5E"/>
    <w:rsid w:val="00370A96"/>
    <w:rsid w:val="00370ADA"/>
    <w:rsid w:val="00370B1B"/>
    <w:rsid w:val="00370B52"/>
    <w:rsid w:val="00370BFF"/>
    <w:rsid w:val="00370C47"/>
    <w:rsid w:val="00370C87"/>
    <w:rsid w:val="00370FB8"/>
    <w:rsid w:val="00371009"/>
    <w:rsid w:val="00371066"/>
    <w:rsid w:val="003711E3"/>
    <w:rsid w:val="00371219"/>
    <w:rsid w:val="00371237"/>
    <w:rsid w:val="0037125C"/>
    <w:rsid w:val="0037148C"/>
    <w:rsid w:val="0037160D"/>
    <w:rsid w:val="00371834"/>
    <w:rsid w:val="003718ED"/>
    <w:rsid w:val="00371904"/>
    <w:rsid w:val="00371941"/>
    <w:rsid w:val="00371A74"/>
    <w:rsid w:val="00371AC6"/>
    <w:rsid w:val="00371D2E"/>
    <w:rsid w:val="00371E0E"/>
    <w:rsid w:val="00371EBB"/>
    <w:rsid w:val="00371F97"/>
    <w:rsid w:val="0037209A"/>
    <w:rsid w:val="00372147"/>
    <w:rsid w:val="003723AB"/>
    <w:rsid w:val="0037245B"/>
    <w:rsid w:val="003724BD"/>
    <w:rsid w:val="0037251F"/>
    <w:rsid w:val="00372542"/>
    <w:rsid w:val="00372562"/>
    <w:rsid w:val="00372648"/>
    <w:rsid w:val="00372A9C"/>
    <w:rsid w:val="00372D73"/>
    <w:rsid w:val="00372DB1"/>
    <w:rsid w:val="00372DCD"/>
    <w:rsid w:val="00372EB7"/>
    <w:rsid w:val="00372F56"/>
    <w:rsid w:val="00372F92"/>
    <w:rsid w:val="00373206"/>
    <w:rsid w:val="00373252"/>
    <w:rsid w:val="003732C9"/>
    <w:rsid w:val="003733F9"/>
    <w:rsid w:val="003735BC"/>
    <w:rsid w:val="00373635"/>
    <w:rsid w:val="00373731"/>
    <w:rsid w:val="003737D3"/>
    <w:rsid w:val="003737D4"/>
    <w:rsid w:val="00373803"/>
    <w:rsid w:val="00373869"/>
    <w:rsid w:val="003738DA"/>
    <w:rsid w:val="00373CB6"/>
    <w:rsid w:val="00373D47"/>
    <w:rsid w:val="00373D76"/>
    <w:rsid w:val="00373F1F"/>
    <w:rsid w:val="00373F3E"/>
    <w:rsid w:val="00373F93"/>
    <w:rsid w:val="00373FBD"/>
    <w:rsid w:val="00373FD8"/>
    <w:rsid w:val="003740E4"/>
    <w:rsid w:val="00374477"/>
    <w:rsid w:val="00374495"/>
    <w:rsid w:val="003746B9"/>
    <w:rsid w:val="0037470F"/>
    <w:rsid w:val="003747C3"/>
    <w:rsid w:val="00374847"/>
    <w:rsid w:val="0037494C"/>
    <w:rsid w:val="00374A84"/>
    <w:rsid w:val="00374B4F"/>
    <w:rsid w:val="00374D00"/>
    <w:rsid w:val="00374D1A"/>
    <w:rsid w:val="00374D1D"/>
    <w:rsid w:val="00374DDA"/>
    <w:rsid w:val="00374E26"/>
    <w:rsid w:val="00374E6E"/>
    <w:rsid w:val="0037513F"/>
    <w:rsid w:val="00375277"/>
    <w:rsid w:val="00375383"/>
    <w:rsid w:val="003753F1"/>
    <w:rsid w:val="003753F9"/>
    <w:rsid w:val="00375413"/>
    <w:rsid w:val="0037554F"/>
    <w:rsid w:val="00375580"/>
    <w:rsid w:val="0037569C"/>
    <w:rsid w:val="0037571F"/>
    <w:rsid w:val="0037574F"/>
    <w:rsid w:val="00375892"/>
    <w:rsid w:val="0037595D"/>
    <w:rsid w:val="0037596F"/>
    <w:rsid w:val="003759A3"/>
    <w:rsid w:val="00375A07"/>
    <w:rsid w:val="00375A11"/>
    <w:rsid w:val="00375A38"/>
    <w:rsid w:val="00375A73"/>
    <w:rsid w:val="00375B3D"/>
    <w:rsid w:val="00375B47"/>
    <w:rsid w:val="00375CC2"/>
    <w:rsid w:val="00375D72"/>
    <w:rsid w:val="00375E23"/>
    <w:rsid w:val="00375ED0"/>
    <w:rsid w:val="00375F13"/>
    <w:rsid w:val="00376025"/>
    <w:rsid w:val="00376053"/>
    <w:rsid w:val="00376184"/>
    <w:rsid w:val="00376245"/>
    <w:rsid w:val="003762B4"/>
    <w:rsid w:val="003762FC"/>
    <w:rsid w:val="0037630B"/>
    <w:rsid w:val="003767E3"/>
    <w:rsid w:val="00376820"/>
    <w:rsid w:val="0037699E"/>
    <w:rsid w:val="00376A12"/>
    <w:rsid w:val="00376A5A"/>
    <w:rsid w:val="00376A78"/>
    <w:rsid w:val="00376B09"/>
    <w:rsid w:val="00376B66"/>
    <w:rsid w:val="00376B8B"/>
    <w:rsid w:val="00376C40"/>
    <w:rsid w:val="00376C8D"/>
    <w:rsid w:val="00376DE2"/>
    <w:rsid w:val="00376E0D"/>
    <w:rsid w:val="00376E1A"/>
    <w:rsid w:val="00376F05"/>
    <w:rsid w:val="00377042"/>
    <w:rsid w:val="00377074"/>
    <w:rsid w:val="003770AF"/>
    <w:rsid w:val="003770EF"/>
    <w:rsid w:val="00377108"/>
    <w:rsid w:val="00377126"/>
    <w:rsid w:val="00377279"/>
    <w:rsid w:val="0037729F"/>
    <w:rsid w:val="003772A5"/>
    <w:rsid w:val="00377369"/>
    <w:rsid w:val="00377632"/>
    <w:rsid w:val="00377653"/>
    <w:rsid w:val="003776B3"/>
    <w:rsid w:val="0037773F"/>
    <w:rsid w:val="0037788E"/>
    <w:rsid w:val="003778DB"/>
    <w:rsid w:val="00377951"/>
    <w:rsid w:val="00377A29"/>
    <w:rsid w:val="00377A5F"/>
    <w:rsid w:val="00377AA9"/>
    <w:rsid w:val="00377D10"/>
    <w:rsid w:val="00377D78"/>
    <w:rsid w:val="003800C8"/>
    <w:rsid w:val="003800D1"/>
    <w:rsid w:val="003801FF"/>
    <w:rsid w:val="0038020F"/>
    <w:rsid w:val="0038031C"/>
    <w:rsid w:val="0038038F"/>
    <w:rsid w:val="00380524"/>
    <w:rsid w:val="0038056E"/>
    <w:rsid w:val="00380572"/>
    <w:rsid w:val="0038058C"/>
    <w:rsid w:val="003806E4"/>
    <w:rsid w:val="00380761"/>
    <w:rsid w:val="00380766"/>
    <w:rsid w:val="003807AA"/>
    <w:rsid w:val="003808AD"/>
    <w:rsid w:val="0038096B"/>
    <w:rsid w:val="00380992"/>
    <w:rsid w:val="00380A9B"/>
    <w:rsid w:val="00380A9F"/>
    <w:rsid w:val="00380C45"/>
    <w:rsid w:val="00380CEE"/>
    <w:rsid w:val="00380D88"/>
    <w:rsid w:val="00380DDC"/>
    <w:rsid w:val="00380DE4"/>
    <w:rsid w:val="00380E2B"/>
    <w:rsid w:val="00380EDB"/>
    <w:rsid w:val="00380F5A"/>
    <w:rsid w:val="00380FAA"/>
    <w:rsid w:val="00380FE9"/>
    <w:rsid w:val="003810CE"/>
    <w:rsid w:val="003810DF"/>
    <w:rsid w:val="003810E6"/>
    <w:rsid w:val="00381277"/>
    <w:rsid w:val="0038129E"/>
    <w:rsid w:val="003813ED"/>
    <w:rsid w:val="00381433"/>
    <w:rsid w:val="003814F0"/>
    <w:rsid w:val="00381563"/>
    <w:rsid w:val="00381578"/>
    <w:rsid w:val="00381656"/>
    <w:rsid w:val="00381835"/>
    <w:rsid w:val="003818A3"/>
    <w:rsid w:val="00381978"/>
    <w:rsid w:val="0038198A"/>
    <w:rsid w:val="0038199A"/>
    <w:rsid w:val="00381CA3"/>
    <w:rsid w:val="00381CEF"/>
    <w:rsid w:val="00381D14"/>
    <w:rsid w:val="00381D39"/>
    <w:rsid w:val="00381D89"/>
    <w:rsid w:val="00381DBD"/>
    <w:rsid w:val="00381E32"/>
    <w:rsid w:val="003820E4"/>
    <w:rsid w:val="003820F0"/>
    <w:rsid w:val="003822BD"/>
    <w:rsid w:val="003822BE"/>
    <w:rsid w:val="0038230B"/>
    <w:rsid w:val="00382427"/>
    <w:rsid w:val="00382535"/>
    <w:rsid w:val="0038254B"/>
    <w:rsid w:val="00382798"/>
    <w:rsid w:val="003827B3"/>
    <w:rsid w:val="00382804"/>
    <w:rsid w:val="0038290B"/>
    <w:rsid w:val="00382935"/>
    <w:rsid w:val="00382B5D"/>
    <w:rsid w:val="00382CF0"/>
    <w:rsid w:val="00382D16"/>
    <w:rsid w:val="00382D76"/>
    <w:rsid w:val="00382DB3"/>
    <w:rsid w:val="00382F60"/>
    <w:rsid w:val="0038311C"/>
    <w:rsid w:val="003831FB"/>
    <w:rsid w:val="00383242"/>
    <w:rsid w:val="003832D9"/>
    <w:rsid w:val="003832E3"/>
    <w:rsid w:val="003832F5"/>
    <w:rsid w:val="003832FA"/>
    <w:rsid w:val="0038335D"/>
    <w:rsid w:val="003833F0"/>
    <w:rsid w:val="003835AD"/>
    <w:rsid w:val="0038362E"/>
    <w:rsid w:val="00383695"/>
    <w:rsid w:val="003836C8"/>
    <w:rsid w:val="0038371C"/>
    <w:rsid w:val="00383864"/>
    <w:rsid w:val="003839D7"/>
    <w:rsid w:val="00383A26"/>
    <w:rsid w:val="00383B3F"/>
    <w:rsid w:val="00383B47"/>
    <w:rsid w:val="00383B56"/>
    <w:rsid w:val="00383E96"/>
    <w:rsid w:val="00383E97"/>
    <w:rsid w:val="00383EBA"/>
    <w:rsid w:val="00384060"/>
    <w:rsid w:val="003840F6"/>
    <w:rsid w:val="0038429B"/>
    <w:rsid w:val="003843EE"/>
    <w:rsid w:val="0038456B"/>
    <w:rsid w:val="00384620"/>
    <w:rsid w:val="00384786"/>
    <w:rsid w:val="00384808"/>
    <w:rsid w:val="00384AAA"/>
    <w:rsid w:val="00384AD2"/>
    <w:rsid w:val="00384AE8"/>
    <w:rsid w:val="00384B72"/>
    <w:rsid w:val="00384BE1"/>
    <w:rsid w:val="00384CBD"/>
    <w:rsid w:val="00384DA0"/>
    <w:rsid w:val="00384E66"/>
    <w:rsid w:val="00384ECE"/>
    <w:rsid w:val="00384FA2"/>
    <w:rsid w:val="00385077"/>
    <w:rsid w:val="0038507B"/>
    <w:rsid w:val="0038513D"/>
    <w:rsid w:val="0038518C"/>
    <w:rsid w:val="003851B9"/>
    <w:rsid w:val="00385202"/>
    <w:rsid w:val="0038522B"/>
    <w:rsid w:val="003852FC"/>
    <w:rsid w:val="003854B6"/>
    <w:rsid w:val="003855CC"/>
    <w:rsid w:val="0038564F"/>
    <w:rsid w:val="00385671"/>
    <w:rsid w:val="003856F8"/>
    <w:rsid w:val="0038574F"/>
    <w:rsid w:val="003857FF"/>
    <w:rsid w:val="003858DA"/>
    <w:rsid w:val="00385942"/>
    <w:rsid w:val="00385948"/>
    <w:rsid w:val="00385DB6"/>
    <w:rsid w:val="00385E0C"/>
    <w:rsid w:val="00385E95"/>
    <w:rsid w:val="00385E9C"/>
    <w:rsid w:val="00385F5D"/>
    <w:rsid w:val="0038602E"/>
    <w:rsid w:val="00386034"/>
    <w:rsid w:val="00386035"/>
    <w:rsid w:val="0038612D"/>
    <w:rsid w:val="0038629F"/>
    <w:rsid w:val="003862EC"/>
    <w:rsid w:val="00386414"/>
    <w:rsid w:val="003864FF"/>
    <w:rsid w:val="00386590"/>
    <w:rsid w:val="003865BA"/>
    <w:rsid w:val="003866F7"/>
    <w:rsid w:val="00386762"/>
    <w:rsid w:val="003867DC"/>
    <w:rsid w:val="00386843"/>
    <w:rsid w:val="003868E8"/>
    <w:rsid w:val="00386A85"/>
    <w:rsid w:val="00386ADC"/>
    <w:rsid w:val="00386B05"/>
    <w:rsid w:val="00386D44"/>
    <w:rsid w:val="00386D53"/>
    <w:rsid w:val="0038708D"/>
    <w:rsid w:val="003870BC"/>
    <w:rsid w:val="003873DD"/>
    <w:rsid w:val="0038749E"/>
    <w:rsid w:val="0038786A"/>
    <w:rsid w:val="00387C20"/>
    <w:rsid w:val="00387E0D"/>
    <w:rsid w:val="00387E71"/>
    <w:rsid w:val="00387F0C"/>
    <w:rsid w:val="0039004C"/>
    <w:rsid w:val="003900FE"/>
    <w:rsid w:val="0039010E"/>
    <w:rsid w:val="0039032B"/>
    <w:rsid w:val="003904A7"/>
    <w:rsid w:val="003904AC"/>
    <w:rsid w:val="0039052A"/>
    <w:rsid w:val="00390548"/>
    <w:rsid w:val="00390588"/>
    <w:rsid w:val="003905F4"/>
    <w:rsid w:val="00390612"/>
    <w:rsid w:val="0039063C"/>
    <w:rsid w:val="0039067B"/>
    <w:rsid w:val="00390683"/>
    <w:rsid w:val="00390696"/>
    <w:rsid w:val="00390931"/>
    <w:rsid w:val="00390969"/>
    <w:rsid w:val="00390993"/>
    <w:rsid w:val="00390A48"/>
    <w:rsid w:val="00390A86"/>
    <w:rsid w:val="00390AAF"/>
    <w:rsid w:val="00390B6A"/>
    <w:rsid w:val="00390BCD"/>
    <w:rsid w:val="00390E0A"/>
    <w:rsid w:val="00390F70"/>
    <w:rsid w:val="00390F77"/>
    <w:rsid w:val="00390FDE"/>
    <w:rsid w:val="00391151"/>
    <w:rsid w:val="003913A2"/>
    <w:rsid w:val="003913FF"/>
    <w:rsid w:val="003915D9"/>
    <w:rsid w:val="003916EE"/>
    <w:rsid w:val="0039179E"/>
    <w:rsid w:val="00391800"/>
    <w:rsid w:val="0039197F"/>
    <w:rsid w:val="00391A0B"/>
    <w:rsid w:val="00391A60"/>
    <w:rsid w:val="00391AB4"/>
    <w:rsid w:val="00391AF4"/>
    <w:rsid w:val="00391C70"/>
    <w:rsid w:val="00391CE9"/>
    <w:rsid w:val="00391E5F"/>
    <w:rsid w:val="00391F99"/>
    <w:rsid w:val="00392034"/>
    <w:rsid w:val="0039216A"/>
    <w:rsid w:val="0039222C"/>
    <w:rsid w:val="00392261"/>
    <w:rsid w:val="0039226A"/>
    <w:rsid w:val="003922A4"/>
    <w:rsid w:val="003922DC"/>
    <w:rsid w:val="00392337"/>
    <w:rsid w:val="00392393"/>
    <w:rsid w:val="0039252B"/>
    <w:rsid w:val="00392607"/>
    <w:rsid w:val="00392678"/>
    <w:rsid w:val="0039274D"/>
    <w:rsid w:val="00392A00"/>
    <w:rsid w:val="00392C87"/>
    <w:rsid w:val="00392CBA"/>
    <w:rsid w:val="00392D27"/>
    <w:rsid w:val="00392E35"/>
    <w:rsid w:val="00392F9A"/>
    <w:rsid w:val="00392FC6"/>
    <w:rsid w:val="00393159"/>
    <w:rsid w:val="0039330B"/>
    <w:rsid w:val="0039333F"/>
    <w:rsid w:val="00393441"/>
    <w:rsid w:val="00393608"/>
    <w:rsid w:val="00393682"/>
    <w:rsid w:val="003936E4"/>
    <w:rsid w:val="00393719"/>
    <w:rsid w:val="0039380B"/>
    <w:rsid w:val="00393893"/>
    <w:rsid w:val="00393947"/>
    <w:rsid w:val="003939EA"/>
    <w:rsid w:val="00393A0A"/>
    <w:rsid w:val="00393B05"/>
    <w:rsid w:val="00393B60"/>
    <w:rsid w:val="00393B69"/>
    <w:rsid w:val="00393B9A"/>
    <w:rsid w:val="00393C03"/>
    <w:rsid w:val="00393C54"/>
    <w:rsid w:val="00393D55"/>
    <w:rsid w:val="00393D8E"/>
    <w:rsid w:val="00393E24"/>
    <w:rsid w:val="00393E93"/>
    <w:rsid w:val="00393E9C"/>
    <w:rsid w:val="0039406B"/>
    <w:rsid w:val="003940DF"/>
    <w:rsid w:val="003940E1"/>
    <w:rsid w:val="00394292"/>
    <w:rsid w:val="003942C3"/>
    <w:rsid w:val="003942D3"/>
    <w:rsid w:val="00394409"/>
    <w:rsid w:val="003944C7"/>
    <w:rsid w:val="003946CD"/>
    <w:rsid w:val="00394721"/>
    <w:rsid w:val="003947CB"/>
    <w:rsid w:val="0039496E"/>
    <w:rsid w:val="00394A16"/>
    <w:rsid w:val="00394A95"/>
    <w:rsid w:val="00394B10"/>
    <w:rsid w:val="00394BBA"/>
    <w:rsid w:val="00394D89"/>
    <w:rsid w:val="00394DF4"/>
    <w:rsid w:val="00394E18"/>
    <w:rsid w:val="00394F4C"/>
    <w:rsid w:val="00394FD4"/>
    <w:rsid w:val="0039509F"/>
    <w:rsid w:val="003950D2"/>
    <w:rsid w:val="00395141"/>
    <w:rsid w:val="00395171"/>
    <w:rsid w:val="00395273"/>
    <w:rsid w:val="00395278"/>
    <w:rsid w:val="0039541B"/>
    <w:rsid w:val="003954A9"/>
    <w:rsid w:val="00395522"/>
    <w:rsid w:val="00395581"/>
    <w:rsid w:val="00395794"/>
    <w:rsid w:val="00395830"/>
    <w:rsid w:val="00395881"/>
    <w:rsid w:val="00395952"/>
    <w:rsid w:val="00395AB8"/>
    <w:rsid w:val="00395AC1"/>
    <w:rsid w:val="00395B10"/>
    <w:rsid w:val="00395C90"/>
    <w:rsid w:val="00395C9C"/>
    <w:rsid w:val="00395D00"/>
    <w:rsid w:val="00395E1C"/>
    <w:rsid w:val="0039602F"/>
    <w:rsid w:val="0039611C"/>
    <w:rsid w:val="00396183"/>
    <w:rsid w:val="0039621B"/>
    <w:rsid w:val="0039638A"/>
    <w:rsid w:val="0039648E"/>
    <w:rsid w:val="00396643"/>
    <w:rsid w:val="0039669F"/>
    <w:rsid w:val="0039687E"/>
    <w:rsid w:val="00396915"/>
    <w:rsid w:val="0039695C"/>
    <w:rsid w:val="00396996"/>
    <w:rsid w:val="00396BE3"/>
    <w:rsid w:val="00396C10"/>
    <w:rsid w:val="00396D56"/>
    <w:rsid w:val="00396DD7"/>
    <w:rsid w:val="00396DF7"/>
    <w:rsid w:val="00396E0F"/>
    <w:rsid w:val="00396EA4"/>
    <w:rsid w:val="00397059"/>
    <w:rsid w:val="00397212"/>
    <w:rsid w:val="00397259"/>
    <w:rsid w:val="003972B9"/>
    <w:rsid w:val="003973FA"/>
    <w:rsid w:val="0039743F"/>
    <w:rsid w:val="0039765E"/>
    <w:rsid w:val="0039767F"/>
    <w:rsid w:val="00397701"/>
    <w:rsid w:val="003977B5"/>
    <w:rsid w:val="00397914"/>
    <w:rsid w:val="00397AAD"/>
    <w:rsid w:val="00397B01"/>
    <w:rsid w:val="00397C79"/>
    <w:rsid w:val="00397D06"/>
    <w:rsid w:val="00397D54"/>
    <w:rsid w:val="00397E8D"/>
    <w:rsid w:val="00397F74"/>
    <w:rsid w:val="00397FEB"/>
    <w:rsid w:val="003A0051"/>
    <w:rsid w:val="003A00C2"/>
    <w:rsid w:val="003A010F"/>
    <w:rsid w:val="003A023B"/>
    <w:rsid w:val="003A02B5"/>
    <w:rsid w:val="003A02F4"/>
    <w:rsid w:val="003A036F"/>
    <w:rsid w:val="003A03C3"/>
    <w:rsid w:val="003A03EA"/>
    <w:rsid w:val="003A04DA"/>
    <w:rsid w:val="003A05C4"/>
    <w:rsid w:val="003A064C"/>
    <w:rsid w:val="003A068D"/>
    <w:rsid w:val="003A06FE"/>
    <w:rsid w:val="003A075E"/>
    <w:rsid w:val="003A094D"/>
    <w:rsid w:val="003A09F8"/>
    <w:rsid w:val="003A0C36"/>
    <w:rsid w:val="003A0CB1"/>
    <w:rsid w:val="003A0D67"/>
    <w:rsid w:val="003A0DBC"/>
    <w:rsid w:val="003A0E06"/>
    <w:rsid w:val="003A0EF8"/>
    <w:rsid w:val="003A0F77"/>
    <w:rsid w:val="003A0FDA"/>
    <w:rsid w:val="003A104E"/>
    <w:rsid w:val="003A14F2"/>
    <w:rsid w:val="003A155A"/>
    <w:rsid w:val="003A165B"/>
    <w:rsid w:val="003A1694"/>
    <w:rsid w:val="003A1695"/>
    <w:rsid w:val="003A178A"/>
    <w:rsid w:val="003A178C"/>
    <w:rsid w:val="003A1860"/>
    <w:rsid w:val="003A195E"/>
    <w:rsid w:val="003A1A61"/>
    <w:rsid w:val="003A1AAB"/>
    <w:rsid w:val="003A1B10"/>
    <w:rsid w:val="003A1C35"/>
    <w:rsid w:val="003A1E7E"/>
    <w:rsid w:val="003A1EF0"/>
    <w:rsid w:val="003A1FA2"/>
    <w:rsid w:val="003A201E"/>
    <w:rsid w:val="003A209C"/>
    <w:rsid w:val="003A2243"/>
    <w:rsid w:val="003A2349"/>
    <w:rsid w:val="003A2488"/>
    <w:rsid w:val="003A24DB"/>
    <w:rsid w:val="003A25C1"/>
    <w:rsid w:val="003A2653"/>
    <w:rsid w:val="003A2729"/>
    <w:rsid w:val="003A27D4"/>
    <w:rsid w:val="003A297A"/>
    <w:rsid w:val="003A2996"/>
    <w:rsid w:val="003A29F8"/>
    <w:rsid w:val="003A2A1B"/>
    <w:rsid w:val="003A2A1E"/>
    <w:rsid w:val="003A2A8C"/>
    <w:rsid w:val="003A2AE0"/>
    <w:rsid w:val="003A2C52"/>
    <w:rsid w:val="003A2CAB"/>
    <w:rsid w:val="003A2EF5"/>
    <w:rsid w:val="003A2F62"/>
    <w:rsid w:val="003A31E7"/>
    <w:rsid w:val="003A3205"/>
    <w:rsid w:val="003A322F"/>
    <w:rsid w:val="003A3387"/>
    <w:rsid w:val="003A33DE"/>
    <w:rsid w:val="003A33FD"/>
    <w:rsid w:val="003A34DC"/>
    <w:rsid w:val="003A3544"/>
    <w:rsid w:val="003A358B"/>
    <w:rsid w:val="003A35D3"/>
    <w:rsid w:val="003A35FE"/>
    <w:rsid w:val="003A3606"/>
    <w:rsid w:val="003A3676"/>
    <w:rsid w:val="003A36A8"/>
    <w:rsid w:val="003A383E"/>
    <w:rsid w:val="003A38D9"/>
    <w:rsid w:val="003A398B"/>
    <w:rsid w:val="003A3992"/>
    <w:rsid w:val="003A3CA3"/>
    <w:rsid w:val="003A3D58"/>
    <w:rsid w:val="003A3DC1"/>
    <w:rsid w:val="003A3E62"/>
    <w:rsid w:val="003A3FB3"/>
    <w:rsid w:val="003A4039"/>
    <w:rsid w:val="003A4249"/>
    <w:rsid w:val="003A42CD"/>
    <w:rsid w:val="003A4350"/>
    <w:rsid w:val="003A435E"/>
    <w:rsid w:val="003A43BC"/>
    <w:rsid w:val="003A443D"/>
    <w:rsid w:val="003A4472"/>
    <w:rsid w:val="003A44D7"/>
    <w:rsid w:val="003A451B"/>
    <w:rsid w:val="003A4556"/>
    <w:rsid w:val="003A45BA"/>
    <w:rsid w:val="003A462C"/>
    <w:rsid w:val="003A4633"/>
    <w:rsid w:val="003A464B"/>
    <w:rsid w:val="003A46A5"/>
    <w:rsid w:val="003A46BB"/>
    <w:rsid w:val="003A46C9"/>
    <w:rsid w:val="003A46CC"/>
    <w:rsid w:val="003A46EF"/>
    <w:rsid w:val="003A483C"/>
    <w:rsid w:val="003A48A2"/>
    <w:rsid w:val="003A48F2"/>
    <w:rsid w:val="003A49A4"/>
    <w:rsid w:val="003A4A1C"/>
    <w:rsid w:val="003A4A50"/>
    <w:rsid w:val="003A4B45"/>
    <w:rsid w:val="003A4C49"/>
    <w:rsid w:val="003A4D2F"/>
    <w:rsid w:val="003A4DC1"/>
    <w:rsid w:val="003A4F41"/>
    <w:rsid w:val="003A4F77"/>
    <w:rsid w:val="003A4F79"/>
    <w:rsid w:val="003A4F96"/>
    <w:rsid w:val="003A4FB8"/>
    <w:rsid w:val="003A4FC9"/>
    <w:rsid w:val="003A4FF6"/>
    <w:rsid w:val="003A506B"/>
    <w:rsid w:val="003A506D"/>
    <w:rsid w:val="003A508A"/>
    <w:rsid w:val="003A5116"/>
    <w:rsid w:val="003A521D"/>
    <w:rsid w:val="003A52EA"/>
    <w:rsid w:val="003A5341"/>
    <w:rsid w:val="003A53F8"/>
    <w:rsid w:val="003A5443"/>
    <w:rsid w:val="003A5493"/>
    <w:rsid w:val="003A55AD"/>
    <w:rsid w:val="003A5682"/>
    <w:rsid w:val="003A5697"/>
    <w:rsid w:val="003A56B3"/>
    <w:rsid w:val="003A56DF"/>
    <w:rsid w:val="003A5759"/>
    <w:rsid w:val="003A5795"/>
    <w:rsid w:val="003A57A4"/>
    <w:rsid w:val="003A5904"/>
    <w:rsid w:val="003A5C20"/>
    <w:rsid w:val="003A5D0D"/>
    <w:rsid w:val="003A5E16"/>
    <w:rsid w:val="003A5E4A"/>
    <w:rsid w:val="003A5F39"/>
    <w:rsid w:val="003A5F5C"/>
    <w:rsid w:val="003A609F"/>
    <w:rsid w:val="003A60FC"/>
    <w:rsid w:val="003A618A"/>
    <w:rsid w:val="003A6267"/>
    <w:rsid w:val="003A62B0"/>
    <w:rsid w:val="003A62D8"/>
    <w:rsid w:val="003A62EB"/>
    <w:rsid w:val="003A6315"/>
    <w:rsid w:val="003A639F"/>
    <w:rsid w:val="003A64B8"/>
    <w:rsid w:val="003A6590"/>
    <w:rsid w:val="003A6639"/>
    <w:rsid w:val="003A6760"/>
    <w:rsid w:val="003A6768"/>
    <w:rsid w:val="003A680F"/>
    <w:rsid w:val="003A6922"/>
    <w:rsid w:val="003A6B3B"/>
    <w:rsid w:val="003A6BA4"/>
    <w:rsid w:val="003A6BEF"/>
    <w:rsid w:val="003A6C94"/>
    <w:rsid w:val="003A6D74"/>
    <w:rsid w:val="003A6FB4"/>
    <w:rsid w:val="003A7038"/>
    <w:rsid w:val="003A70B9"/>
    <w:rsid w:val="003A70D4"/>
    <w:rsid w:val="003A70F4"/>
    <w:rsid w:val="003A7364"/>
    <w:rsid w:val="003A7411"/>
    <w:rsid w:val="003A757B"/>
    <w:rsid w:val="003A75B1"/>
    <w:rsid w:val="003A7600"/>
    <w:rsid w:val="003A76DD"/>
    <w:rsid w:val="003A7788"/>
    <w:rsid w:val="003A77C5"/>
    <w:rsid w:val="003A784D"/>
    <w:rsid w:val="003A7953"/>
    <w:rsid w:val="003A7A98"/>
    <w:rsid w:val="003A7BA2"/>
    <w:rsid w:val="003A7BA4"/>
    <w:rsid w:val="003A7BD6"/>
    <w:rsid w:val="003A7C9B"/>
    <w:rsid w:val="003A7DFB"/>
    <w:rsid w:val="003A7DFF"/>
    <w:rsid w:val="003A7E3B"/>
    <w:rsid w:val="003A7E67"/>
    <w:rsid w:val="003A7EEF"/>
    <w:rsid w:val="003A7FA9"/>
    <w:rsid w:val="003A7FDC"/>
    <w:rsid w:val="003B0003"/>
    <w:rsid w:val="003B014A"/>
    <w:rsid w:val="003B0154"/>
    <w:rsid w:val="003B02B0"/>
    <w:rsid w:val="003B02D2"/>
    <w:rsid w:val="003B02DB"/>
    <w:rsid w:val="003B0432"/>
    <w:rsid w:val="003B0491"/>
    <w:rsid w:val="003B06F6"/>
    <w:rsid w:val="003B0789"/>
    <w:rsid w:val="003B0795"/>
    <w:rsid w:val="003B07F4"/>
    <w:rsid w:val="003B08EB"/>
    <w:rsid w:val="003B091B"/>
    <w:rsid w:val="003B0946"/>
    <w:rsid w:val="003B09C8"/>
    <w:rsid w:val="003B0A1E"/>
    <w:rsid w:val="003B0A20"/>
    <w:rsid w:val="003B0AD1"/>
    <w:rsid w:val="003B0AFE"/>
    <w:rsid w:val="003B0B32"/>
    <w:rsid w:val="003B0B8B"/>
    <w:rsid w:val="003B0BF3"/>
    <w:rsid w:val="003B0D44"/>
    <w:rsid w:val="003B0D84"/>
    <w:rsid w:val="003B0DDF"/>
    <w:rsid w:val="003B0DEA"/>
    <w:rsid w:val="003B0E73"/>
    <w:rsid w:val="003B0EB2"/>
    <w:rsid w:val="003B0F79"/>
    <w:rsid w:val="003B0FDE"/>
    <w:rsid w:val="003B12E2"/>
    <w:rsid w:val="003B1458"/>
    <w:rsid w:val="003B1689"/>
    <w:rsid w:val="003B17B9"/>
    <w:rsid w:val="003B17EE"/>
    <w:rsid w:val="003B18A1"/>
    <w:rsid w:val="003B1976"/>
    <w:rsid w:val="003B1B22"/>
    <w:rsid w:val="003B1B24"/>
    <w:rsid w:val="003B1CAD"/>
    <w:rsid w:val="003B1D57"/>
    <w:rsid w:val="003B1E4E"/>
    <w:rsid w:val="003B20B2"/>
    <w:rsid w:val="003B2152"/>
    <w:rsid w:val="003B215A"/>
    <w:rsid w:val="003B217E"/>
    <w:rsid w:val="003B222D"/>
    <w:rsid w:val="003B23D6"/>
    <w:rsid w:val="003B242F"/>
    <w:rsid w:val="003B24E9"/>
    <w:rsid w:val="003B26B4"/>
    <w:rsid w:val="003B27FD"/>
    <w:rsid w:val="003B2879"/>
    <w:rsid w:val="003B2881"/>
    <w:rsid w:val="003B290D"/>
    <w:rsid w:val="003B292A"/>
    <w:rsid w:val="003B2A79"/>
    <w:rsid w:val="003B2B61"/>
    <w:rsid w:val="003B2B63"/>
    <w:rsid w:val="003B2C22"/>
    <w:rsid w:val="003B2C4F"/>
    <w:rsid w:val="003B2D9D"/>
    <w:rsid w:val="003B2E1E"/>
    <w:rsid w:val="003B2F23"/>
    <w:rsid w:val="003B2F26"/>
    <w:rsid w:val="003B2F29"/>
    <w:rsid w:val="003B2FD9"/>
    <w:rsid w:val="003B2FE2"/>
    <w:rsid w:val="003B2FEC"/>
    <w:rsid w:val="003B2FF2"/>
    <w:rsid w:val="003B3148"/>
    <w:rsid w:val="003B31D8"/>
    <w:rsid w:val="003B3214"/>
    <w:rsid w:val="003B324A"/>
    <w:rsid w:val="003B3261"/>
    <w:rsid w:val="003B33CE"/>
    <w:rsid w:val="003B3500"/>
    <w:rsid w:val="003B35D8"/>
    <w:rsid w:val="003B35E0"/>
    <w:rsid w:val="003B35FC"/>
    <w:rsid w:val="003B36F9"/>
    <w:rsid w:val="003B3752"/>
    <w:rsid w:val="003B3776"/>
    <w:rsid w:val="003B379A"/>
    <w:rsid w:val="003B37B4"/>
    <w:rsid w:val="003B380F"/>
    <w:rsid w:val="003B396E"/>
    <w:rsid w:val="003B3BC5"/>
    <w:rsid w:val="003B3CD6"/>
    <w:rsid w:val="003B3D8F"/>
    <w:rsid w:val="003B3FC1"/>
    <w:rsid w:val="003B403A"/>
    <w:rsid w:val="003B40DF"/>
    <w:rsid w:val="003B4149"/>
    <w:rsid w:val="003B4181"/>
    <w:rsid w:val="003B43E6"/>
    <w:rsid w:val="003B4485"/>
    <w:rsid w:val="003B44B3"/>
    <w:rsid w:val="003B44C3"/>
    <w:rsid w:val="003B45DB"/>
    <w:rsid w:val="003B467B"/>
    <w:rsid w:val="003B46C6"/>
    <w:rsid w:val="003B4886"/>
    <w:rsid w:val="003B48DD"/>
    <w:rsid w:val="003B492E"/>
    <w:rsid w:val="003B49CD"/>
    <w:rsid w:val="003B4D82"/>
    <w:rsid w:val="003B4E30"/>
    <w:rsid w:val="003B4E6D"/>
    <w:rsid w:val="003B4F36"/>
    <w:rsid w:val="003B50A7"/>
    <w:rsid w:val="003B517E"/>
    <w:rsid w:val="003B518B"/>
    <w:rsid w:val="003B51EA"/>
    <w:rsid w:val="003B5285"/>
    <w:rsid w:val="003B528F"/>
    <w:rsid w:val="003B52BA"/>
    <w:rsid w:val="003B53D0"/>
    <w:rsid w:val="003B5426"/>
    <w:rsid w:val="003B5537"/>
    <w:rsid w:val="003B5724"/>
    <w:rsid w:val="003B5848"/>
    <w:rsid w:val="003B5891"/>
    <w:rsid w:val="003B5A64"/>
    <w:rsid w:val="003B5AA3"/>
    <w:rsid w:val="003B5C7B"/>
    <w:rsid w:val="003B5C82"/>
    <w:rsid w:val="003B5CA2"/>
    <w:rsid w:val="003B5D97"/>
    <w:rsid w:val="003B5DC9"/>
    <w:rsid w:val="003B5E32"/>
    <w:rsid w:val="003B5E71"/>
    <w:rsid w:val="003B5FB5"/>
    <w:rsid w:val="003B60B6"/>
    <w:rsid w:val="003B60DC"/>
    <w:rsid w:val="003B6215"/>
    <w:rsid w:val="003B640F"/>
    <w:rsid w:val="003B6484"/>
    <w:rsid w:val="003B652C"/>
    <w:rsid w:val="003B6655"/>
    <w:rsid w:val="003B66DC"/>
    <w:rsid w:val="003B673D"/>
    <w:rsid w:val="003B68B9"/>
    <w:rsid w:val="003B68DA"/>
    <w:rsid w:val="003B68EB"/>
    <w:rsid w:val="003B692E"/>
    <w:rsid w:val="003B6BF5"/>
    <w:rsid w:val="003B6C58"/>
    <w:rsid w:val="003B6D19"/>
    <w:rsid w:val="003B6F52"/>
    <w:rsid w:val="003B7030"/>
    <w:rsid w:val="003B7043"/>
    <w:rsid w:val="003B70AE"/>
    <w:rsid w:val="003B71FC"/>
    <w:rsid w:val="003B73C2"/>
    <w:rsid w:val="003B742E"/>
    <w:rsid w:val="003B7497"/>
    <w:rsid w:val="003B750F"/>
    <w:rsid w:val="003B759B"/>
    <w:rsid w:val="003B75B3"/>
    <w:rsid w:val="003B76E6"/>
    <w:rsid w:val="003B782C"/>
    <w:rsid w:val="003B7836"/>
    <w:rsid w:val="003B7937"/>
    <w:rsid w:val="003B7964"/>
    <w:rsid w:val="003B7A76"/>
    <w:rsid w:val="003B7C03"/>
    <w:rsid w:val="003B7C50"/>
    <w:rsid w:val="003B7C92"/>
    <w:rsid w:val="003B7CBB"/>
    <w:rsid w:val="003B7CD9"/>
    <w:rsid w:val="003B7DCC"/>
    <w:rsid w:val="003B7F44"/>
    <w:rsid w:val="003B7FB5"/>
    <w:rsid w:val="003C01A4"/>
    <w:rsid w:val="003C020F"/>
    <w:rsid w:val="003C03F3"/>
    <w:rsid w:val="003C0691"/>
    <w:rsid w:val="003C06B6"/>
    <w:rsid w:val="003C0708"/>
    <w:rsid w:val="003C072C"/>
    <w:rsid w:val="003C075E"/>
    <w:rsid w:val="003C077A"/>
    <w:rsid w:val="003C0894"/>
    <w:rsid w:val="003C094A"/>
    <w:rsid w:val="003C0A52"/>
    <w:rsid w:val="003C0AEE"/>
    <w:rsid w:val="003C0B2D"/>
    <w:rsid w:val="003C0C5E"/>
    <w:rsid w:val="003C0C9F"/>
    <w:rsid w:val="003C0F17"/>
    <w:rsid w:val="003C0FE9"/>
    <w:rsid w:val="003C1034"/>
    <w:rsid w:val="003C1049"/>
    <w:rsid w:val="003C10AE"/>
    <w:rsid w:val="003C10F8"/>
    <w:rsid w:val="003C1192"/>
    <w:rsid w:val="003C1347"/>
    <w:rsid w:val="003C13BB"/>
    <w:rsid w:val="003C1443"/>
    <w:rsid w:val="003C155E"/>
    <w:rsid w:val="003C1671"/>
    <w:rsid w:val="003C167F"/>
    <w:rsid w:val="003C16CC"/>
    <w:rsid w:val="003C170F"/>
    <w:rsid w:val="003C17B1"/>
    <w:rsid w:val="003C1880"/>
    <w:rsid w:val="003C18B7"/>
    <w:rsid w:val="003C1941"/>
    <w:rsid w:val="003C1951"/>
    <w:rsid w:val="003C1982"/>
    <w:rsid w:val="003C1A3F"/>
    <w:rsid w:val="003C1ACD"/>
    <w:rsid w:val="003C1B05"/>
    <w:rsid w:val="003C1B9D"/>
    <w:rsid w:val="003C1BBF"/>
    <w:rsid w:val="003C1BEB"/>
    <w:rsid w:val="003C1D12"/>
    <w:rsid w:val="003C1DAE"/>
    <w:rsid w:val="003C1DC0"/>
    <w:rsid w:val="003C2041"/>
    <w:rsid w:val="003C21EA"/>
    <w:rsid w:val="003C221A"/>
    <w:rsid w:val="003C2230"/>
    <w:rsid w:val="003C2400"/>
    <w:rsid w:val="003C26C9"/>
    <w:rsid w:val="003C26D5"/>
    <w:rsid w:val="003C272A"/>
    <w:rsid w:val="003C28CB"/>
    <w:rsid w:val="003C2913"/>
    <w:rsid w:val="003C2959"/>
    <w:rsid w:val="003C2B09"/>
    <w:rsid w:val="003C2B6A"/>
    <w:rsid w:val="003C2B90"/>
    <w:rsid w:val="003C2D0E"/>
    <w:rsid w:val="003C2D4A"/>
    <w:rsid w:val="003C2DFC"/>
    <w:rsid w:val="003C2E26"/>
    <w:rsid w:val="003C2E41"/>
    <w:rsid w:val="003C2E4B"/>
    <w:rsid w:val="003C30BB"/>
    <w:rsid w:val="003C322F"/>
    <w:rsid w:val="003C3266"/>
    <w:rsid w:val="003C3475"/>
    <w:rsid w:val="003C36A2"/>
    <w:rsid w:val="003C36BF"/>
    <w:rsid w:val="003C38DA"/>
    <w:rsid w:val="003C39FC"/>
    <w:rsid w:val="003C3AB9"/>
    <w:rsid w:val="003C3BCE"/>
    <w:rsid w:val="003C3C85"/>
    <w:rsid w:val="003C3DD1"/>
    <w:rsid w:val="003C3EF6"/>
    <w:rsid w:val="003C3FFB"/>
    <w:rsid w:val="003C4007"/>
    <w:rsid w:val="003C402B"/>
    <w:rsid w:val="003C4112"/>
    <w:rsid w:val="003C418D"/>
    <w:rsid w:val="003C4231"/>
    <w:rsid w:val="003C42A6"/>
    <w:rsid w:val="003C42B5"/>
    <w:rsid w:val="003C4995"/>
    <w:rsid w:val="003C4A23"/>
    <w:rsid w:val="003C4A4B"/>
    <w:rsid w:val="003C4B03"/>
    <w:rsid w:val="003C4B24"/>
    <w:rsid w:val="003C4B6B"/>
    <w:rsid w:val="003C4B94"/>
    <w:rsid w:val="003C4C51"/>
    <w:rsid w:val="003C4DF6"/>
    <w:rsid w:val="003C4E97"/>
    <w:rsid w:val="003C4EA0"/>
    <w:rsid w:val="003C4ED3"/>
    <w:rsid w:val="003C4F2D"/>
    <w:rsid w:val="003C4FA0"/>
    <w:rsid w:val="003C505A"/>
    <w:rsid w:val="003C5174"/>
    <w:rsid w:val="003C51BA"/>
    <w:rsid w:val="003C5218"/>
    <w:rsid w:val="003C52E8"/>
    <w:rsid w:val="003C5462"/>
    <w:rsid w:val="003C54C3"/>
    <w:rsid w:val="003C54C7"/>
    <w:rsid w:val="003C557C"/>
    <w:rsid w:val="003C55FB"/>
    <w:rsid w:val="003C55FE"/>
    <w:rsid w:val="003C5709"/>
    <w:rsid w:val="003C590B"/>
    <w:rsid w:val="003C593E"/>
    <w:rsid w:val="003C5AFC"/>
    <w:rsid w:val="003C5B14"/>
    <w:rsid w:val="003C5B79"/>
    <w:rsid w:val="003C5B9E"/>
    <w:rsid w:val="003C5C47"/>
    <w:rsid w:val="003C5D0D"/>
    <w:rsid w:val="003C5E50"/>
    <w:rsid w:val="003C5E6D"/>
    <w:rsid w:val="003C6007"/>
    <w:rsid w:val="003C6060"/>
    <w:rsid w:val="003C6136"/>
    <w:rsid w:val="003C615D"/>
    <w:rsid w:val="003C61BD"/>
    <w:rsid w:val="003C61E9"/>
    <w:rsid w:val="003C6210"/>
    <w:rsid w:val="003C6264"/>
    <w:rsid w:val="003C6425"/>
    <w:rsid w:val="003C64B8"/>
    <w:rsid w:val="003C6582"/>
    <w:rsid w:val="003C65B4"/>
    <w:rsid w:val="003C65C2"/>
    <w:rsid w:val="003C66B7"/>
    <w:rsid w:val="003C67CD"/>
    <w:rsid w:val="003C69E9"/>
    <w:rsid w:val="003C6A58"/>
    <w:rsid w:val="003C6A90"/>
    <w:rsid w:val="003C6AA3"/>
    <w:rsid w:val="003C6B22"/>
    <w:rsid w:val="003C6B3B"/>
    <w:rsid w:val="003C6B9D"/>
    <w:rsid w:val="003C6BEB"/>
    <w:rsid w:val="003C6BF8"/>
    <w:rsid w:val="003C6C71"/>
    <w:rsid w:val="003C6D4A"/>
    <w:rsid w:val="003C6DA3"/>
    <w:rsid w:val="003C6E09"/>
    <w:rsid w:val="003C6E6B"/>
    <w:rsid w:val="003C6EB4"/>
    <w:rsid w:val="003C6F16"/>
    <w:rsid w:val="003C6F63"/>
    <w:rsid w:val="003C6F6E"/>
    <w:rsid w:val="003C6F85"/>
    <w:rsid w:val="003C704D"/>
    <w:rsid w:val="003C709D"/>
    <w:rsid w:val="003C70AB"/>
    <w:rsid w:val="003C71DD"/>
    <w:rsid w:val="003C73B3"/>
    <w:rsid w:val="003C75CB"/>
    <w:rsid w:val="003C75D0"/>
    <w:rsid w:val="003C771C"/>
    <w:rsid w:val="003C77C7"/>
    <w:rsid w:val="003C77E5"/>
    <w:rsid w:val="003C77F2"/>
    <w:rsid w:val="003C793E"/>
    <w:rsid w:val="003C79BC"/>
    <w:rsid w:val="003C7A0B"/>
    <w:rsid w:val="003C7A37"/>
    <w:rsid w:val="003C7AF5"/>
    <w:rsid w:val="003C7B03"/>
    <w:rsid w:val="003C7B55"/>
    <w:rsid w:val="003C7B5D"/>
    <w:rsid w:val="003C7C28"/>
    <w:rsid w:val="003C7C4F"/>
    <w:rsid w:val="003C7EA1"/>
    <w:rsid w:val="003C7EC8"/>
    <w:rsid w:val="003C7F0E"/>
    <w:rsid w:val="003D0080"/>
    <w:rsid w:val="003D01C6"/>
    <w:rsid w:val="003D01EC"/>
    <w:rsid w:val="003D0270"/>
    <w:rsid w:val="003D0273"/>
    <w:rsid w:val="003D0287"/>
    <w:rsid w:val="003D02BC"/>
    <w:rsid w:val="003D03A9"/>
    <w:rsid w:val="003D0403"/>
    <w:rsid w:val="003D0503"/>
    <w:rsid w:val="003D056C"/>
    <w:rsid w:val="003D057B"/>
    <w:rsid w:val="003D05CD"/>
    <w:rsid w:val="003D0692"/>
    <w:rsid w:val="003D08B4"/>
    <w:rsid w:val="003D08D9"/>
    <w:rsid w:val="003D0931"/>
    <w:rsid w:val="003D0A87"/>
    <w:rsid w:val="003D0B7D"/>
    <w:rsid w:val="003D0C1C"/>
    <w:rsid w:val="003D0FC6"/>
    <w:rsid w:val="003D0FDE"/>
    <w:rsid w:val="003D1003"/>
    <w:rsid w:val="003D1042"/>
    <w:rsid w:val="003D10CB"/>
    <w:rsid w:val="003D1147"/>
    <w:rsid w:val="003D12E1"/>
    <w:rsid w:val="003D13ED"/>
    <w:rsid w:val="003D1424"/>
    <w:rsid w:val="003D1493"/>
    <w:rsid w:val="003D14B6"/>
    <w:rsid w:val="003D15D7"/>
    <w:rsid w:val="003D1658"/>
    <w:rsid w:val="003D185A"/>
    <w:rsid w:val="003D18C8"/>
    <w:rsid w:val="003D19C6"/>
    <w:rsid w:val="003D1A42"/>
    <w:rsid w:val="003D1A62"/>
    <w:rsid w:val="003D1AE8"/>
    <w:rsid w:val="003D1B2E"/>
    <w:rsid w:val="003D1B61"/>
    <w:rsid w:val="003D1C3F"/>
    <w:rsid w:val="003D1D7F"/>
    <w:rsid w:val="003D1DE6"/>
    <w:rsid w:val="003D1F37"/>
    <w:rsid w:val="003D1F60"/>
    <w:rsid w:val="003D2065"/>
    <w:rsid w:val="003D2192"/>
    <w:rsid w:val="003D219A"/>
    <w:rsid w:val="003D22BE"/>
    <w:rsid w:val="003D2341"/>
    <w:rsid w:val="003D240D"/>
    <w:rsid w:val="003D2425"/>
    <w:rsid w:val="003D2525"/>
    <w:rsid w:val="003D2571"/>
    <w:rsid w:val="003D258A"/>
    <w:rsid w:val="003D25FE"/>
    <w:rsid w:val="003D264D"/>
    <w:rsid w:val="003D26C1"/>
    <w:rsid w:val="003D279F"/>
    <w:rsid w:val="003D2842"/>
    <w:rsid w:val="003D2872"/>
    <w:rsid w:val="003D28D2"/>
    <w:rsid w:val="003D29DF"/>
    <w:rsid w:val="003D2B60"/>
    <w:rsid w:val="003D2C20"/>
    <w:rsid w:val="003D2C93"/>
    <w:rsid w:val="003D2D83"/>
    <w:rsid w:val="003D2D84"/>
    <w:rsid w:val="003D2F62"/>
    <w:rsid w:val="003D2F87"/>
    <w:rsid w:val="003D2FD9"/>
    <w:rsid w:val="003D2FF2"/>
    <w:rsid w:val="003D3059"/>
    <w:rsid w:val="003D305D"/>
    <w:rsid w:val="003D3123"/>
    <w:rsid w:val="003D3232"/>
    <w:rsid w:val="003D3268"/>
    <w:rsid w:val="003D32F1"/>
    <w:rsid w:val="003D33D5"/>
    <w:rsid w:val="003D3413"/>
    <w:rsid w:val="003D343D"/>
    <w:rsid w:val="003D3501"/>
    <w:rsid w:val="003D36C8"/>
    <w:rsid w:val="003D3837"/>
    <w:rsid w:val="003D38B4"/>
    <w:rsid w:val="003D3937"/>
    <w:rsid w:val="003D3978"/>
    <w:rsid w:val="003D3A2F"/>
    <w:rsid w:val="003D3B2F"/>
    <w:rsid w:val="003D3C2E"/>
    <w:rsid w:val="003D3D61"/>
    <w:rsid w:val="003D3DC0"/>
    <w:rsid w:val="003D3E65"/>
    <w:rsid w:val="003D3E87"/>
    <w:rsid w:val="003D3EC5"/>
    <w:rsid w:val="003D3F22"/>
    <w:rsid w:val="003D3F65"/>
    <w:rsid w:val="003D3F69"/>
    <w:rsid w:val="003D4006"/>
    <w:rsid w:val="003D40F5"/>
    <w:rsid w:val="003D4149"/>
    <w:rsid w:val="003D41CF"/>
    <w:rsid w:val="003D429B"/>
    <w:rsid w:val="003D43F2"/>
    <w:rsid w:val="003D4461"/>
    <w:rsid w:val="003D4582"/>
    <w:rsid w:val="003D4641"/>
    <w:rsid w:val="003D46BD"/>
    <w:rsid w:val="003D472D"/>
    <w:rsid w:val="003D47E5"/>
    <w:rsid w:val="003D49A5"/>
    <w:rsid w:val="003D4AF6"/>
    <w:rsid w:val="003D4BA8"/>
    <w:rsid w:val="003D4C63"/>
    <w:rsid w:val="003D4C64"/>
    <w:rsid w:val="003D4E4A"/>
    <w:rsid w:val="003D4E4F"/>
    <w:rsid w:val="003D4E9C"/>
    <w:rsid w:val="003D4EED"/>
    <w:rsid w:val="003D4F9E"/>
    <w:rsid w:val="003D4FF2"/>
    <w:rsid w:val="003D502F"/>
    <w:rsid w:val="003D5149"/>
    <w:rsid w:val="003D51D8"/>
    <w:rsid w:val="003D527F"/>
    <w:rsid w:val="003D53A4"/>
    <w:rsid w:val="003D5435"/>
    <w:rsid w:val="003D54D3"/>
    <w:rsid w:val="003D553C"/>
    <w:rsid w:val="003D5542"/>
    <w:rsid w:val="003D55ED"/>
    <w:rsid w:val="003D574B"/>
    <w:rsid w:val="003D5793"/>
    <w:rsid w:val="003D586E"/>
    <w:rsid w:val="003D591A"/>
    <w:rsid w:val="003D5A4A"/>
    <w:rsid w:val="003D5B63"/>
    <w:rsid w:val="003D5BF2"/>
    <w:rsid w:val="003D5DD6"/>
    <w:rsid w:val="003D5E1C"/>
    <w:rsid w:val="003D5E2C"/>
    <w:rsid w:val="003D5EA7"/>
    <w:rsid w:val="003D5EC6"/>
    <w:rsid w:val="003D5F97"/>
    <w:rsid w:val="003D5FFB"/>
    <w:rsid w:val="003D604F"/>
    <w:rsid w:val="003D6123"/>
    <w:rsid w:val="003D6192"/>
    <w:rsid w:val="003D62F0"/>
    <w:rsid w:val="003D62F5"/>
    <w:rsid w:val="003D6303"/>
    <w:rsid w:val="003D6449"/>
    <w:rsid w:val="003D6540"/>
    <w:rsid w:val="003D65AF"/>
    <w:rsid w:val="003D6671"/>
    <w:rsid w:val="003D673E"/>
    <w:rsid w:val="003D679E"/>
    <w:rsid w:val="003D6986"/>
    <w:rsid w:val="003D69A3"/>
    <w:rsid w:val="003D6B73"/>
    <w:rsid w:val="003D6D1E"/>
    <w:rsid w:val="003D7117"/>
    <w:rsid w:val="003D713D"/>
    <w:rsid w:val="003D71A6"/>
    <w:rsid w:val="003D725D"/>
    <w:rsid w:val="003D727A"/>
    <w:rsid w:val="003D72DF"/>
    <w:rsid w:val="003D7407"/>
    <w:rsid w:val="003D7451"/>
    <w:rsid w:val="003D7490"/>
    <w:rsid w:val="003D74CF"/>
    <w:rsid w:val="003D75D1"/>
    <w:rsid w:val="003D76B7"/>
    <w:rsid w:val="003D7713"/>
    <w:rsid w:val="003D77E9"/>
    <w:rsid w:val="003D78AA"/>
    <w:rsid w:val="003D799A"/>
    <w:rsid w:val="003D79AF"/>
    <w:rsid w:val="003D7A32"/>
    <w:rsid w:val="003D7A89"/>
    <w:rsid w:val="003D7ACA"/>
    <w:rsid w:val="003D7CC0"/>
    <w:rsid w:val="003D7CE0"/>
    <w:rsid w:val="003D7CFA"/>
    <w:rsid w:val="003D7D78"/>
    <w:rsid w:val="003D7DEF"/>
    <w:rsid w:val="003D7E54"/>
    <w:rsid w:val="003D7E8E"/>
    <w:rsid w:val="003D7EF6"/>
    <w:rsid w:val="003D7F14"/>
    <w:rsid w:val="003E0062"/>
    <w:rsid w:val="003E008A"/>
    <w:rsid w:val="003E00D2"/>
    <w:rsid w:val="003E0153"/>
    <w:rsid w:val="003E0260"/>
    <w:rsid w:val="003E02D0"/>
    <w:rsid w:val="003E045B"/>
    <w:rsid w:val="003E04DA"/>
    <w:rsid w:val="003E0543"/>
    <w:rsid w:val="003E05FA"/>
    <w:rsid w:val="003E06D1"/>
    <w:rsid w:val="003E0868"/>
    <w:rsid w:val="003E08A3"/>
    <w:rsid w:val="003E08DF"/>
    <w:rsid w:val="003E08E3"/>
    <w:rsid w:val="003E0909"/>
    <w:rsid w:val="003E0A7D"/>
    <w:rsid w:val="003E0A9C"/>
    <w:rsid w:val="003E0ACF"/>
    <w:rsid w:val="003E0E39"/>
    <w:rsid w:val="003E0FAC"/>
    <w:rsid w:val="003E102C"/>
    <w:rsid w:val="003E10D7"/>
    <w:rsid w:val="003E126F"/>
    <w:rsid w:val="003E136C"/>
    <w:rsid w:val="003E1373"/>
    <w:rsid w:val="003E13DB"/>
    <w:rsid w:val="003E14B7"/>
    <w:rsid w:val="003E15EF"/>
    <w:rsid w:val="003E17D0"/>
    <w:rsid w:val="003E1889"/>
    <w:rsid w:val="003E1A0E"/>
    <w:rsid w:val="003E1B16"/>
    <w:rsid w:val="003E1BCF"/>
    <w:rsid w:val="003E1C7A"/>
    <w:rsid w:val="003E1DCE"/>
    <w:rsid w:val="003E1F8E"/>
    <w:rsid w:val="003E20F7"/>
    <w:rsid w:val="003E226D"/>
    <w:rsid w:val="003E23F4"/>
    <w:rsid w:val="003E2476"/>
    <w:rsid w:val="003E2510"/>
    <w:rsid w:val="003E25DD"/>
    <w:rsid w:val="003E25E3"/>
    <w:rsid w:val="003E25F4"/>
    <w:rsid w:val="003E2606"/>
    <w:rsid w:val="003E26E0"/>
    <w:rsid w:val="003E2736"/>
    <w:rsid w:val="003E28EC"/>
    <w:rsid w:val="003E2902"/>
    <w:rsid w:val="003E2A35"/>
    <w:rsid w:val="003E2A5A"/>
    <w:rsid w:val="003E2AE3"/>
    <w:rsid w:val="003E2CB1"/>
    <w:rsid w:val="003E2D0D"/>
    <w:rsid w:val="003E2E11"/>
    <w:rsid w:val="003E2E88"/>
    <w:rsid w:val="003E3099"/>
    <w:rsid w:val="003E32E8"/>
    <w:rsid w:val="003E32FD"/>
    <w:rsid w:val="003E32FE"/>
    <w:rsid w:val="003E39E8"/>
    <w:rsid w:val="003E3A95"/>
    <w:rsid w:val="003E3AAB"/>
    <w:rsid w:val="003E3B60"/>
    <w:rsid w:val="003E3D7D"/>
    <w:rsid w:val="003E3E23"/>
    <w:rsid w:val="003E3E56"/>
    <w:rsid w:val="003E3EB0"/>
    <w:rsid w:val="003E3F7D"/>
    <w:rsid w:val="003E3F7F"/>
    <w:rsid w:val="003E4008"/>
    <w:rsid w:val="003E411D"/>
    <w:rsid w:val="003E42AF"/>
    <w:rsid w:val="003E45B7"/>
    <w:rsid w:val="003E45D7"/>
    <w:rsid w:val="003E4631"/>
    <w:rsid w:val="003E482E"/>
    <w:rsid w:val="003E4905"/>
    <w:rsid w:val="003E4A4E"/>
    <w:rsid w:val="003E4A92"/>
    <w:rsid w:val="003E4AD1"/>
    <w:rsid w:val="003E4B43"/>
    <w:rsid w:val="003E4C1F"/>
    <w:rsid w:val="003E4CCB"/>
    <w:rsid w:val="003E4D2E"/>
    <w:rsid w:val="003E4DD6"/>
    <w:rsid w:val="003E4E1B"/>
    <w:rsid w:val="003E4F1D"/>
    <w:rsid w:val="003E5182"/>
    <w:rsid w:val="003E51C4"/>
    <w:rsid w:val="003E526B"/>
    <w:rsid w:val="003E52AC"/>
    <w:rsid w:val="003E52D1"/>
    <w:rsid w:val="003E5636"/>
    <w:rsid w:val="003E5844"/>
    <w:rsid w:val="003E599A"/>
    <w:rsid w:val="003E59E9"/>
    <w:rsid w:val="003E5A02"/>
    <w:rsid w:val="003E5B1C"/>
    <w:rsid w:val="003E5B37"/>
    <w:rsid w:val="003E5C11"/>
    <w:rsid w:val="003E5CAA"/>
    <w:rsid w:val="003E5CE0"/>
    <w:rsid w:val="003E5CF2"/>
    <w:rsid w:val="003E5DAF"/>
    <w:rsid w:val="003E5E29"/>
    <w:rsid w:val="003E5F29"/>
    <w:rsid w:val="003E6042"/>
    <w:rsid w:val="003E61CA"/>
    <w:rsid w:val="003E62EB"/>
    <w:rsid w:val="003E63E6"/>
    <w:rsid w:val="003E6475"/>
    <w:rsid w:val="003E6511"/>
    <w:rsid w:val="003E669A"/>
    <w:rsid w:val="003E66DC"/>
    <w:rsid w:val="003E6844"/>
    <w:rsid w:val="003E68E0"/>
    <w:rsid w:val="003E6940"/>
    <w:rsid w:val="003E6A0A"/>
    <w:rsid w:val="003E6A50"/>
    <w:rsid w:val="003E6BD8"/>
    <w:rsid w:val="003E6C82"/>
    <w:rsid w:val="003E6D66"/>
    <w:rsid w:val="003E6E08"/>
    <w:rsid w:val="003E6E95"/>
    <w:rsid w:val="003E6EEB"/>
    <w:rsid w:val="003E6F4E"/>
    <w:rsid w:val="003E6F52"/>
    <w:rsid w:val="003E70D6"/>
    <w:rsid w:val="003E7117"/>
    <w:rsid w:val="003E729F"/>
    <w:rsid w:val="003E72C7"/>
    <w:rsid w:val="003E72F3"/>
    <w:rsid w:val="003E742B"/>
    <w:rsid w:val="003E752F"/>
    <w:rsid w:val="003E759B"/>
    <w:rsid w:val="003E7756"/>
    <w:rsid w:val="003E775A"/>
    <w:rsid w:val="003E779E"/>
    <w:rsid w:val="003E780A"/>
    <w:rsid w:val="003E7948"/>
    <w:rsid w:val="003E79C2"/>
    <w:rsid w:val="003E7B01"/>
    <w:rsid w:val="003E7B5D"/>
    <w:rsid w:val="003E7B90"/>
    <w:rsid w:val="003E7BAD"/>
    <w:rsid w:val="003E7D0A"/>
    <w:rsid w:val="003E7D5E"/>
    <w:rsid w:val="003E7DC1"/>
    <w:rsid w:val="003E7DD4"/>
    <w:rsid w:val="003E7E25"/>
    <w:rsid w:val="003E7F6A"/>
    <w:rsid w:val="003E7FCE"/>
    <w:rsid w:val="003F0074"/>
    <w:rsid w:val="003F016A"/>
    <w:rsid w:val="003F020B"/>
    <w:rsid w:val="003F02F8"/>
    <w:rsid w:val="003F0419"/>
    <w:rsid w:val="003F0449"/>
    <w:rsid w:val="003F04CB"/>
    <w:rsid w:val="003F0507"/>
    <w:rsid w:val="003F054B"/>
    <w:rsid w:val="003F057A"/>
    <w:rsid w:val="003F0703"/>
    <w:rsid w:val="003F0805"/>
    <w:rsid w:val="003F087E"/>
    <w:rsid w:val="003F0940"/>
    <w:rsid w:val="003F0A56"/>
    <w:rsid w:val="003F0DD1"/>
    <w:rsid w:val="003F0F16"/>
    <w:rsid w:val="003F1199"/>
    <w:rsid w:val="003F11CE"/>
    <w:rsid w:val="003F1212"/>
    <w:rsid w:val="003F124D"/>
    <w:rsid w:val="003F12F8"/>
    <w:rsid w:val="003F1390"/>
    <w:rsid w:val="003F1416"/>
    <w:rsid w:val="003F1428"/>
    <w:rsid w:val="003F14EA"/>
    <w:rsid w:val="003F1603"/>
    <w:rsid w:val="003F169B"/>
    <w:rsid w:val="003F16F8"/>
    <w:rsid w:val="003F180F"/>
    <w:rsid w:val="003F1831"/>
    <w:rsid w:val="003F1897"/>
    <w:rsid w:val="003F1985"/>
    <w:rsid w:val="003F1B0D"/>
    <w:rsid w:val="003F1BAA"/>
    <w:rsid w:val="003F1C06"/>
    <w:rsid w:val="003F1C0E"/>
    <w:rsid w:val="003F1C21"/>
    <w:rsid w:val="003F1C32"/>
    <w:rsid w:val="003F1C88"/>
    <w:rsid w:val="003F1D3A"/>
    <w:rsid w:val="003F1DE2"/>
    <w:rsid w:val="003F1DE6"/>
    <w:rsid w:val="003F1E52"/>
    <w:rsid w:val="003F1EB2"/>
    <w:rsid w:val="003F1FB7"/>
    <w:rsid w:val="003F2055"/>
    <w:rsid w:val="003F20C7"/>
    <w:rsid w:val="003F22CB"/>
    <w:rsid w:val="003F22E0"/>
    <w:rsid w:val="003F2498"/>
    <w:rsid w:val="003F24DA"/>
    <w:rsid w:val="003F24EF"/>
    <w:rsid w:val="003F2533"/>
    <w:rsid w:val="003F2549"/>
    <w:rsid w:val="003F2553"/>
    <w:rsid w:val="003F2555"/>
    <w:rsid w:val="003F256D"/>
    <w:rsid w:val="003F257C"/>
    <w:rsid w:val="003F25BD"/>
    <w:rsid w:val="003F25DC"/>
    <w:rsid w:val="003F2789"/>
    <w:rsid w:val="003F278E"/>
    <w:rsid w:val="003F2794"/>
    <w:rsid w:val="003F27C1"/>
    <w:rsid w:val="003F286E"/>
    <w:rsid w:val="003F2909"/>
    <w:rsid w:val="003F2BA3"/>
    <w:rsid w:val="003F2BD8"/>
    <w:rsid w:val="003F2C15"/>
    <w:rsid w:val="003F2C40"/>
    <w:rsid w:val="003F2C69"/>
    <w:rsid w:val="003F2DC2"/>
    <w:rsid w:val="003F2E8A"/>
    <w:rsid w:val="003F2ED8"/>
    <w:rsid w:val="003F2EE0"/>
    <w:rsid w:val="003F2F3A"/>
    <w:rsid w:val="003F310E"/>
    <w:rsid w:val="003F33F1"/>
    <w:rsid w:val="003F344C"/>
    <w:rsid w:val="003F36F7"/>
    <w:rsid w:val="003F377A"/>
    <w:rsid w:val="003F37B2"/>
    <w:rsid w:val="003F395F"/>
    <w:rsid w:val="003F3968"/>
    <w:rsid w:val="003F3A3A"/>
    <w:rsid w:val="003F3BB9"/>
    <w:rsid w:val="003F3C59"/>
    <w:rsid w:val="003F3D3D"/>
    <w:rsid w:val="003F3E80"/>
    <w:rsid w:val="003F3EF5"/>
    <w:rsid w:val="003F3F1D"/>
    <w:rsid w:val="003F4173"/>
    <w:rsid w:val="003F41C5"/>
    <w:rsid w:val="003F41DC"/>
    <w:rsid w:val="003F41DD"/>
    <w:rsid w:val="003F4385"/>
    <w:rsid w:val="003F43F1"/>
    <w:rsid w:val="003F4605"/>
    <w:rsid w:val="003F47EF"/>
    <w:rsid w:val="003F487E"/>
    <w:rsid w:val="003F4914"/>
    <w:rsid w:val="003F4936"/>
    <w:rsid w:val="003F4A9C"/>
    <w:rsid w:val="003F4C08"/>
    <w:rsid w:val="003F4C9C"/>
    <w:rsid w:val="003F4EC8"/>
    <w:rsid w:val="003F4F43"/>
    <w:rsid w:val="003F4F52"/>
    <w:rsid w:val="003F4FF0"/>
    <w:rsid w:val="003F505C"/>
    <w:rsid w:val="003F506E"/>
    <w:rsid w:val="003F508F"/>
    <w:rsid w:val="003F517F"/>
    <w:rsid w:val="003F51FE"/>
    <w:rsid w:val="003F5219"/>
    <w:rsid w:val="003F52FE"/>
    <w:rsid w:val="003F5393"/>
    <w:rsid w:val="003F540E"/>
    <w:rsid w:val="003F562D"/>
    <w:rsid w:val="003F56FB"/>
    <w:rsid w:val="003F5A0B"/>
    <w:rsid w:val="003F5B54"/>
    <w:rsid w:val="003F5B7D"/>
    <w:rsid w:val="003F5BB3"/>
    <w:rsid w:val="003F5BDD"/>
    <w:rsid w:val="003F5DAF"/>
    <w:rsid w:val="003F5E83"/>
    <w:rsid w:val="003F5EE4"/>
    <w:rsid w:val="003F5EFE"/>
    <w:rsid w:val="003F5F05"/>
    <w:rsid w:val="003F5F59"/>
    <w:rsid w:val="003F6004"/>
    <w:rsid w:val="003F606B"/>
    <w:rsid w:val="003F6123"/>
    <w:rsid w:val="003F6149"/>
    <w:rsid w:val="003F6191"/>
    <w:rsid w:val="003F6216"/>
    <w:rsid w:val="003F6312"/>
    <w:rsid w:val="003F63DA"/>
    <w:rsid w:val="003F6420"/>
    <w:rsid w:val="003F651D"/>
    <w:rsid w:val="003F6581"/>
    <w:rsid w:val="003F65C6"/>
    <w:rsid w:val="003F65EE"/>
    <w:rsid w:val="003F6684"/>
    <w:rsid w:val="003F66E8"/>
    <w:rsid w:val="003F6713"/>
    <w:rsid w:val="003F6762"/>
    <w:rsid w:val="003F688A"/>
    <w:rsid w:val="003F6980"/>
    <w:rsid w:val="003F69A4"/>
    <w:rsid w:val="003F69F9"/>
    <w:rsid w:val="003F6B33"/>
    <w:rsid w:val="003F6E0E"/>
    <w:rsid w:val="003F6F16"/>
    <w:rsid w:val="003F7031"/>
    <w:rsid w:val="003F71D9"/>
    <w:rsid w:val="003F723D"/>
    <w:rsid w:val="003F7386"/>
    <w:rsid w:val="003F7454"/>
    <w:rsid w:val="003F74CF"/>
    <w:rsid w:val="003F782E"/>
    <w:rsid w:val="003F796A"/>
    <w:rsid w:val="003F79E0"/>
    <w:rsid w:val="003F79E4"/>
    <w:rsid w:val="003F79FC"/>
    <w:rsid w:val="003F7B9A"/>
    <w:rsid w:val="003F7BDC"/>
    <w:rsid w:val="003F7C30"/>
    <w:rsid w:val="003F7C72"/>
    <w:rsid w:val="003F7D86"/>
    <w:rsid w:val="003F7E13"/>
    <w:rsid w:val="003F7F8E"/>
    <w:rsid w:val="004002A2"/>
    <w:rsid w:val="00400349"/>
    <w:rsid w:val="00400439"/>
    <w:rsid w:val="004005AC"/>
    <w:rsid w:val="004006E1"/>
    <w:rsid w:val="00400794"/>
    <w:rsid w:val="004007C5"/>
    <w:rsid w:val="004007D3"/>
    <w:rsid w:val="00400827"/>
    <w:rsid w:val="00400998"/>
    <w:rsid w:val="00400C6B"/>
    <w:rsid w:val="00400CD4"/>
    <w:rsid w:val="00400D25"/>
    <w:rsid w:val="00400E92"/>
    <w:rsid w:val="0040124B"/>
    <w:rsid w:val="0040130B"/>
    <w:rsid w:val="00401350"/>
    <w:rsid w:val="004013AA"/>
    <w:rsid w:val="004013E5"/>
    <w:rsid w:val="0040146C"/>
    <w:rsid w:val="004014EE"/>
    <w:rsid w:val="00401566"/>
    <w:rsid w:val="004015A4"/>
    <w:rsid w:val="00401613"/>
    <w:rsid w:val="004017D1"/>
    <w:rsid w:val="004017E7"/>
    <w:rsid w:val="004018E2"/>
    <w:rsid w:val="004019B0"/>
    <w:rsid w:val="00401A33"/>
    <w:rsid w:val="00401B10"/>
    <w:rsid w:val="00401C72"/>
    <w:rsid w:val="00401C7D"/>
    <w:rsid w:val="00401DF5"/>
    <w:rsid w:val="00401E8A"/>
    <w:rsid w:val="00401F8B"/>
    <w:rsid w:val="00401F8D"/>
    <w:rsid w:val="0040207D"/>
    <w:rsid w:val="0040210A"/>
    <w:rsid w:val="0040215E"/>
    <w:rsid w:val="00402244"/>
    <w:rsid w:val="00402247"/>
    <w:rsid w:val="004022C5"/>
    <w:rsid w:val="004022D3"/>
    <w:rsid w:val="0040237F"/>
    <w:rsid w:val="00402383"/>
    <w:rsid w:val="0040246D"/>
    <w:rsid w:val="004025DE"/>
    <w:rsid w:val="0040262A"/>
    <w:rsid w:val="00402762"/>
    <w:rsid w:val="00402897"/>
    <w:rsid w:val="004029D3"/>
    <w:rsid w:val="004029F5"/>
    <w:rsid w:val="00402B33"/>
    <w:rsid w:val="00402BF4"/>
    <w:rsid w:val="00402CB0"/>
    <w:rsid w:val="00402CFB"/>
    <w:rsid w:val="00402D92"/>
    <w:rsid w:val="00402DEE"/>
    <w:rsid w:val="00402DF3"/>
    <w:rsid w:val="00402E49"/>
    <w:rsid w:val="00402EE6"/>
    <w:rsid w:val="00402F6D"/>
    <w:rsid w:val="00403215"/>
    <w:rsid w:val="0040339E"/>
    <w:rsid w:val="004034A2"/>
    <w:rsid w:val="004034B3"/>
    <w:rsid w:val="0040371F"/>
    <w:rsid w:val="0040377E"/>
    <w:rsid w:val="00403818"/>
    <w:rsid w:val="0040384E"/>
    <w:rsid w:val="0040385F"/>
    <w:rsid w:val="00403862"/>
    <w:rsid w:val="004038BC"/>
    <w:rsid w:val="00403CCC"/>
    <w:rsid w:val="00403D36"/>
    <w:rsid w:val="00403D70"/>
    <w:rsid w:val="00403E09"/>
    <w:rsid w:val="0040404F"/>
    <w:rsid w:val="0040405F"/>
    <w:rsid w:val="0040409A"/>
    <w:rsid w:val="004040B6"/>
    <w:rsid w:val="004040BF"/>
    <w:rsid w:val="00404237"/>
    <w:rsid w:val="00404300"/>
    <w:rsid w:val="004043D9"/>
    <w:rsid w:val="00404433"/>
    <w:rsid w:val="0040459F"/>
    <w:rsid w:val="0040466C"/>
    <w:rsid w:val="00404680"/>
    <w:rsid w:val="0040472A"/>
    <w:rsid w:val="00404837"/>
    <w:rsid w:val="004048D7"/>
    <w:rsid w:val="0040491E"/>
    <w:rsid w:val="0040498D"/>
    <w:rsid w:val="004049C3"/>
    <w:rsid w:val="00404ABA"/>
    <w:rsid w:val="00404C98"/>
    <w:rsid w:val="00404D70"/>
    <w:rsid w:val="00404D8A"/>
    <w:rsid w:val="00404E19"/>
    <w:rsid w:val="00404E4E"/>
    <w:rsid w:val="00404E62"/>
    <w:rsid w:val="0040508B"/>
    <w:rsid w:val="0040515E"/>
    <w:rsid w:val="00405236"/>
    <w:rsid w:val="0040528A"/>
    <w:rsid w:val="004052D0"/>
    <w:rsid w:val="004053CB"/>
    <w:rsid w:val="004054F6"/>
    <w:rsid w:val="00405589"/>
    <w:rsid w:val="004055C8"/>
    <w:rsid w:val="00405758"/>
    <w:rsid w:val="0040589D"/>
    <w:rsid w:val="004058B1"/>
    <w:rsid w:val="004059F3"/>
    <w:rsid w:val="00405C6C"/>
    <w:rsid w:val="00405CEC"/>
    <w:rsid w:val="00405D81"/>
    <w:rsid w:val="00405DC5"/>
    <w:rsid w:val="00405DE6"/>
    <w:rsid w:val="00405E66"/>
    <w:rsid w:val="00405EC5"/>
    <w:rsid w:val="00405ED9"/>
    <w:rsid w:val="00405F49"/>
    <w:rsid w:val="00405F51"/>
    <w:rsid w:val="00405F57"/>
    <w:rsid w:val="00405FA3"/>
    <w:rsid w:val="00405FFA"/>
    <w:rsid w:val="00406010"/>
    <w:rsid w:val="00406204"/>
    <w:rsid w:val="00406210"/>
    <w:rsid w:val="004062CA"/>
    <w:rsid w:val="004062DF"/>
    <w:rsid w:val="0040646B"/>
    <w:rsid w:val="004064BC"/>
    <w:rsid w:val="004064EB"/>
    <w:rsid w:val="004065D5"/>
    <w:rsid w:val="0040663C"/>
    <w:rsid w:val="00406718"/>
    <w:rsid w:val="00406856"/>
    <w:rsid w:val="004068A7"/>
    <w:rsid w:val="00406925"/>
    <w:rsid w:val="0040694C"/>
    <w:rsid w:val="004069A7"/>
    <w:rsid w:val="00406A82"/>
    <w:rsid w:val="00406ADF"/>
    <w:rsid w:val="00406B3D"/>
    <w:rsid w:val="00406CAB"/>
    <w:rsid w:val="00406CC6"/>
    <w:rsid w:val="00406D39"/>
    <w:rsid w:val="00406D58"/>
    <w:rsid w:val="00406E28"/>
    <w:rsid w:val="00406E75"/>
    <w:rsid w:val="00406F6C"/>
    <w:rsid w:val="0040703F"/>
    <w:rsid w:val="0040706C"/>
    <w:rsid w:val="00407088"/>
    <w:rsid w:val="004070E5"/>
    <w:rsid w:val="00407137"/>
    <w:rsid w:val="0040714F"/>
    <w:rsid w:val="004073E1"/>
    <w:rsid w:val="00407488"/>
    <w:rsid w:val="0040751C"/>
    <w:rsid w:val="00407534"/>
    <w:rsid w:val="0040772D"/>
    <w:rsid w:val="004077C3"/>
    <w:rsid w:val="004077E9"/>
    <w:rsid w:val="004077F5"/>
    <w:rsid w:val="004077FE"/>
    <w:rsid w:val="00407945"/>
    <w:rsid w:val="00407962"/>
    <w:rsid w:val="004079B3"/>
    <w:rsid w:val="00407A3C"/>
    <w:rsid w:val="00407AAA"/>
    <w:rsid w:val="00407B56"/>
    <w:rsid w:val="00407BA7"/>
    <w:rsid w:val="00407D5B"/>
    <w:rsid w:val="00407DFD"/>
    <w:rsid w:val="00407E0C"/>
    <w:rsid w:val="00407EA4"/>
    <w:rsid w:val="00407F32"/>
    <w:rsid w:val="00407F6B"/>
    <w:rsid w:val="00407FC7"/>
    <w:rsid w:val="0041004A"/>
    <w:rsid w:val="00410161"/>
    <w:rsid w:val="00410216"/>
    <w:rsid w:val="00410221"/>
    <w:rsid w:val="0041032A"/>
    <w:rsid w:val="00410544"/>
    <w:rsid w:val="0041071C"/>
    <w:rsid w:val="00410787"/>
    <w:rsid w:val="004108A2"/>
    <w:rsid w:val="004108AA"/>
    <w:rsid w:val="0041092A"/>
    <w:rsid w:val="00410938"/>
    <w:rsid w:val="00410B4A"/>
    <w:rsid w:val="00410C85"/>
    <w:rsid w:val="00410CB3"/>
    <w:rsid w:val="00410E15"/>
    <w:rsid w:val="00410EB2"/>
    <w:rsid w:val="00410FCA"/>
    <w:rsid w:val="0041105A"/>
    <w:rsid w:val="0041109F"/>
    <w:rsid w:val="004111B1"/>
    <w:rsid w:val="00411212"/>
    <w:rsid w:val="004113A9"/>
    <w:rsid w:val="0041152F"/>
    <w:rsid w:val="0041153E"/>
    <w:rsid w:val="0041175B"/>
    <w:rsid w:val="004117F5"/>
    <w:rsid w:val="0041180D"/>
    <w:rsid w:val="00411869"/>
    <w:rsid w:val="004118EC"/>
    <w:rsid w:val="00411910"/>
    <w:rsid w:val="00411948"/>
    <w:rsid w:val="00411A53"/>
    <w:rsid w:val="00411B70"/>
    <w:rsid w:val="00411B9E"/>
    <w:rsid w:val="00411BA8"/>
    <w:rsid w:val="00411D12"/>
    <w:rsid w:val="00411D8A"/>
    <w:rsid w:val="00411E2E"/>
    <w:rsid w:val="00411F16"/>
    <w:rsid w:val="00411F72"/>
    <w:rsid w:val="00412080"/>
    <w:rsid w:val="00412246"/>
    <w:rsid w:val="0041224C"/>
    <w:rsid w:val="00412264"/>
    <w:rsid w:val="00412284"/>
    <w:rsid w:val="004122E5"/>
    <w:rsid w:val="00412356"/>
    <w:rsid w:val="004123F9"/>
    <w:rsid w:val="00412559"/>
    <w:rsid w:val="004125EB"/>
    <w:rsid w:val="00412620"/>
    <w:rsid w:val="00412630"/>
    <w:rsid w:val="004126F6"/>
    <w:rsid w:val="00412AE4"/>
    <w:rsid w:val="00412B92"/>
    <w:rsid w:val="00412BA4"/>
    <w:rsid w:val="00412CB9"/>
    <w:rsid w:val="00412CC6"/>
    <w:rsid w:val="00412D74"/>
    <w:rsid w:val="00412EDE"/>
    <w:rsid w:val="00412EEF"/>
    <w:rsid w:val="00412F88"/>
    <w:rsid w:val="0041306A"/>
    <w:rsid w:val="004130E5"/>
    <w:rsid w:val="00413151"/>
    <w:rsid w:val="004131D1"/>
    <w:rsid w:val="0041326D"/>
    <w:rsid w:val="00413335"/>
    <w:rsid w:val="00413394"/>
    <w:rsid w:val="0041346B"/>
    <w:rsid w:val="004134D7"/>
    <w:rsid w:val="004134D9"/>
    <w:rsid w:val="00413683"/>
    <w:rsid w:val="004138FB"/>
    <w:rsid w:val="00413931"/>
    <w:rsid w:val="00413954"/>
    <w:rsid w:val="00413983"/>
    <w:rsid w:val="004139B8"/>
    <w:rsid w:val="00413BD4"/>
    <w:rsid w:val="00413CB0"/>
    <w:rsid w:val="00413CCB"/>
    <w:rsid w:val="00413D17"/>
    <w:rsid w:val="00413D3D"/>
    <w:rsid w:val="00413D43"/>
    <w:rsid w:val="00413D4C"/>
    <w:rsid w:val="00414038"/>
    <w:rsid w:val="00414074"/>
    <w:rsid w:val="0041414E"/>
    <w:rsid w:val="00414277"/>
    <w:rsid w:val="0041432F"/>
    <w:rsid w:val="0041443D"/>
    <w:rsid w:val="004144C8"/>
    <w:rsid w:val="004145A1"/>
    <w:rsid w:val="00414622"/>
    <w:rsid w:val="00414665"/>
    <w:rsid w:val="00414686"/>
    <w:rsid w:val="0041468E"/>
    <w:rsid w:val="0041472C"/>
    <w:rsid w:val="004148F5"/>
    <w:rsid w:val="00414A8A"/>
    <w:rsid w:val="00414A8B"/>
    <w:rsid w:val="00414A9F"/>
    <w:rsid w:val="00414E50"/>
    <w:rsid w:val="00414F5A"/>
    <w:rsid w:val="00415068"/>
    <w:rsid w:val="004150B5"/>
    <w:rsid w:val="004151D4"/>
    <w:rsid w:val="00415308"/>
    <w:rsid w:val="0041534B"/>
    <w:rsid w:val="004158C6"/>
    <w:rsid w:val="0041599F"/>
    <w:rsid w:val="004159E2"/>
    <w:rsid w:val="00415A56"/>
    <w:rsid w:val="00415AA0"/>
    <w:rsid w:val="00415B81"/>
    <w:rsid w:val="00415BAD"/>
    <w:rsid w:val="00415D16"/>
    <w:rsid w:val="00415D39"/>
    <w:rsid w:val="00415FB3"/>
    <w:rsid w:val="004160EE"/>
    <w:rsid w:val="00416201"/>
    <w:rsid w:val="0041620F"/>
    <w:rsid w:val="0041630A"/>
    <w:rsid w:val="004163A7"/>
    <w:rsid w:val="004163DD"/>
    <w:rsid w:val="004163E9"/>
    <w:rsid w:val="004166DC"/>
    <w:rsid w:val="004167EE"/>
    <w:rsid w:val="00416A6F"/>
    <w:rsid w:val="00416B40"/>
    <w:rsid w:val="00416C1C"/>
    <w:rsid w:val="00416C7C"/>
    <w:rsid w:val="00416CDB"/>
    <w:rsid w:val="00416D0D"/>
    <w:rsid w:val="00416DA5"/>
    <w:rsid w:val="00416DD5"/>
    <w:rsid w:val="00416F89"/>
    <w:rsid w:val="0041705E"/>
    <w:rsid w:val="00417108"/>
    <w:rsid w:val="0041718F"/>
    <w:rsid w:val="00417191"/>
    <w:rsid w:val="00417222"/>
    <w:rsid w:val="00417443"/>
    <w:rsid w:val="004175F6"/>
    <w:rsid w:val="004176C4"/>
    <w:rsid w:val="00417829"/>
    <w:rsid w:val="004178B6"/>
    <w:rsid w:val="0041793D"/>
    <w:rsid w:val="00417960"/>
    <w:rsid w:val="0041797B"/>
    <w:rsid w:val="00417999"/>
    <w:rsid w:val="00417A5B"/>
    <w:rsid w:val="00417B34"/>
    <w:rsid w:val="00417B95"/>
    <w:rsid w:val="00417C0B"/>
    <w:rsid w:val="00417C33"/>
    <w:rsid w:val="00417D49"/>
    <w:rsid w:val="00417D79"/>
    <w:rsid w:val="00417D89"/>
    <w:rsid w:val="00417E1F"/>
    <w:rsid w:val="00417E3A"/>
    <w:rsid w:val="00417EA6"/>
    <w:rsid w:val="00417F6E"/>
    <w:rsid w:val="004204D7"/>
    <w:rsid w:val="00420505"/>
    <w:rsid w:val="00420591"/>
    <w:rsid w:val="00420605"/>
    <w:rsid w:val="00420665"/>
    <w:rsid w:val="00420725"/>
    <w:rsid w:val="0042083F"/>
    <w:rsid w:val="004208DA"/>
    <w:rsid w:val="004209C4"/>
    <w:rsid w:val="004209F1"/>
    <w:rsid w:val="00420B1B"/>
    <w:rsid w:val="00420BAF"/>
    <w:rsid w:val="00420D28"/>
    <w:rsid w:val="00420D4D"/>
    <w:rsid w:val="00420D6E"/>
    <w:rsid w:val="00420E11"/>
    <w:rsid w:val="00420F19"/>
    <w:rsid w:val="00420F57"/>
    <w:rsid w:val="004211B2"/>
    <w:rsid w:val="0042132B"/>
    <w:rsid w:val="00421449"/>
    <w:rsid w:val="004214A8"/>
    <w:rsid w:val="004214DB"/>
    <w:rsid w:val="00421549"/>
    <w:rsid w:val="0042166C"/>
    <w:rsid w:val="0042180D"/>
    <w:rsid w:val="004218B5"/>
    <w:rsid w:val="004219C8"/>
    <w:rsid w:val="00421BCF"/>
    <w:rsid w:val="00421C62"/>
    <w:rsid w:val="00421FA2"/>
    <w:rsid w:val="004220CD"/>
    <w:rsid w:val="00422178"/>
    <w:rsid w:val="00422433"/>
    <w:rsid w:val="00422601"/>
    <w:rsid w:val="0042268E"/>
    <w:rsid w:val="00422691"/>
    <w:rsid w:val="004226C7"/>
    <w:rsid w:val="004227C6"/>
    <w:rsid w:val="0042285C"/>
    <w:rsid w:val="004228F5"/>
    <w:rsid w:val="004228F7"/>
    <w:rsid w:val="0042294E"/>
    <w:rsid w:val="004229B3"/>
    <w:rsid w:val="00422DC2"/>
    <w:rsid w:val="00422DD8"/>
    <w:rsid w:val="00422F80"/>
    <w:rsid w:val="00422FDD"/>
    <w:rsid w:val="004230D3"/>
    <w:rsid w:val="0042311E"/>
    <w:rsid w:val="00423229"/>
    <w:rsid w:val="00423256"/>
    <w:rsid w:val="004232EB"/>
    <w:rsid w:val="0042332F"/>
    <w:rsid w:val="00423417"/>
    <w:rsid w:val="00423462"/>
    <w:rsid w:val="004234A9"/>
    <w:rsid w:val="0042353F"/>
    <w:rsid w:val="0042355E"/>
    <w:rsid w:val="004235BE"/>
    <w:rsid w:val="004236B8"/>
    <w:rsid w:val="004236FD"/>
    <w:rsid w:val="004238F8"/>
    <w:rsid w:val="004239A6"/>
    <w:rsid w:val="004239CB"/>
    <w:rsid w:val="00423D07"/>
    <w:rsid w:val="00423DB4"/>
    <w:rsid w:val="00423E22"/>
    <w:rsid w:val="00423E74"/>
    <w:rsid w:val="00423F0D"/>
    <w:rsid w:val="00423F3C"/>
    <w:rsid w:val="004240D9"/>
    <w:rsid w:val="00424217"/>
    <w:rsid w:val="00424241"/>
    <w:rsid w:val="00424316"/>
    <w:rsid w:val="00424468"/>
    <w:rsid w:val="00424604"/>
    <w:rsid w:val="0042467E"/>
    <w:rsid w:val="0042468A"/>
    <w:rsid w:val="0042473B"/>
    <w:rsid w:val="00424863"/>
    <w:rsid w:val="00424A94"/>
    <w:rsid w:val="00424B01"/>
    <w:rsid w:val="00424B2F"/>
    <w:rsid w:val="00424C48"/>
    <w:rsid w:val="00424CE2"/>
    <w:rsid w:val="00424D85"/>
    <w:rsid w:val="00424F83"/>
    <w:rsid w:val="00425037"/>
    <w:rsid w:val="004250A2"/>
    <w:rsid w:val="00425156"/>
    <w:rsid w:val="004251E6"/>
    <w:rsid w:val="0042527C"/>
    <w:rsid w:val="0042528A"/>
    <w:rsid w:val="00425304"/>
    <w:rsid w:val="00425326"/>
    <w:rsid w:val="00425461"/>
    <w:rsid w:val="00425521"/>
    <w:rsid w:val="0042553A"/>
    <w:rsid w:val="004255E3"/>
    <w:rsid w:val="00425659"/>
    <w:rsid w:val="0042565C"/>
    <w:rsid w:val="00425677"/>
    <w:rsid w:val="004256C3"/>
    <w:rsid w:val="00425716"/>
    <w:rsid w:val="0042576F"/>
    <w:rsid w:val="004258F9"/>
    <w:rsid w:val="00425964"/>
    <w:rsid w:val="00425A2E"/>
    <w:rsid w:val="00425A7C"/>
    <w:rsid w:val="00425AF9"/>
    <w:rsid w:val="00425D42"/>
    <w:rsid w:val="00425D4E"/>
    <w:rsid w:val="00425DB8"/>
    <w:rsid w:val="00425E11"/>
    <w:rsid w:val="00425FC6"/>
    <w:rsid w:val="00425FDE"/>
    <w:rsid w:val="004260F1"/>
    <w:rsid w:val="004261D5"/>
    <w:rsid w:val="004261D6"/>
    <w:rsid w:val="00426233"/>
    <w:rsid w:val="00426267"/>
    <w:rsid w:val="0042638A"/>
    <w:rsid w:val="0042648E"/>
    <w:rsid w:val="00426607"/>
    <w:rsid w:val="004266A1"/>
    <w:rsid w:val="004266B4"/>
    <w:rsid w:val="004266BB"/>
    <w:rsid w:val="00426C13"/>
    <w:rsid w:val="00426C51"/>
    <w:rsid w:val="00426CD0"/>
    <w:rsid w:val="00426CD8"/>
    <w:rsid w:val="00426D28"/>
    <w:rsid w:val="00426D66"/>
    <w:rsid w:val="00426DB7"/>
    <w:rsid w:val="00426F13"/>
    <w:rsid w:val="00426F6A"/>
    <w:rsid w:val="004270AF"/>
    <w:rsid w:val="0042717B"/>
    <w:rsid w:val="004271CB"/>
    <w:rsid w:val="004271D2"/>
    <w:rsid w:val="00427290"/>
    <w:rsid w:val="00427451"/>
    <w:rsid w:val="0042750E"/>
    <w:rsid w:val="0042768A"/>
    <w:rsid w:val="00427731"/>
    <w:rsid w:val="0042784D"/>
    <w:rsid w:val="00427896"/>
    <w:rsid w:val="004279C2"/>
    <w:rsid w:val="00427A53"/>
    <w:rsid w:val="00427B04"/>
    <w:rsid w:val="00427BA6"/>
    <w:rsid w:val="00427BF2"/>
    <w:rsid w:val="00427C33"/>
    <w:rsid w:val="00427C92"/>
    <w:rsid w:val="00427CD4"/>
    <w:rsid w:val="00427CFE"/>
    <w:rsid w:val="00427D67"/>
    <w:rsid w:val="00427F53"/>
    <w:rsid w:val="00427FFC"/>
    <w:rsid w:val="00430233"/>
    <w:rsid w:val="00430242"/>
    <w:rsid w:val="0043026E"/>
    <w:rsid w:val="00430353"/>
    <w:rsid w:val="004303E4"/>
    <w:rsid w:val="0043045F"/>
    <w:rsid w:val="004305B1"/>
    <w:rsid w:val="00430647"/>
    <w:rsid w:val="00430676"/>
    <w:rsid w:val="00430717"/>
    <w:rsid w:val="00430787"/>
    <w:rsid w:val="004307E7"/>
    <w:rsid w:val="00430867"/>
    <w:rsid w:val="00430C66"/>
    <w:rsid w:val="00430CDE"/>
    <w:rsid w:val="00430D1D"/>
    <w:rsid w:val="00430EFD"/>
    <w:rsid w:val="00431028"/>
    <w:rsid w:val="0043139F"/>
    <w:rsid w:val="00431486"/>
    <w:rsid w:val="004314AC"/>
    <w:rsid w:val="0043158B"/>
    <w:rsid w:val="0043159B"/>
    <w:rsid w:val="004316B0"/>
    <w:rsid w:val="0043176A"/>
    <w:rsid w:val="004317B4"/>
    <w:rsid w:val="00431BE1"/>
    <w:rsid w:val="00431C1E"/>
    <w:rsid w:val="00431E14"/>
    <w:rsid w:val="00431E9F"/>
    <w:rsid w:val="00431EA2"/>
    <w:rsid w:val="00431F0F"/>
    <w:rsid w:val="00432009"/>
    <w:rsid w:val="004320EF"/>
    <w:rsid w:val="004321C9"/>
    <w:rsid w:val="004321D0"/>
    <w:rsid w:val="004321E9"/>
    <w:rsid w:val="004321F3"/>
    <w:rsid w:val="00432337"/>
    <w:rsid w:val="0043233A"/>
    <w:rsid w:val="00432374"/>
    <w:rsid w:val="00432431"/>
    <w:rsid w:val="0043243D"/>
    <w:rsid w:val="00432535"/>
    <w:rsid w:val="0043254E"/>
    <w:rsid w:val="0043256E"/>
    <w:rsid w:val="004325E7"/>
    <w:rsid w:val="0043273F"/>
    <w:rsid w:val="0043291F"/>
    <w:rsid w:val="0043294A"/>
    <w:rsid w:val="00432A5F"/>
    <w:rsid w:val="00432B65"/>
    <w:rsid w:val="00432D60"/>
    <w:rsid w:val="00432E3A"/>
    <w:rsid w:val="00432E6B"/>
    <w:rsid w:val="00432FEC"/>
    <w:rsid w:val="00433070"/>
    <w:rsid w:val="004330FA"/>
    <w:rsid w:val="00433126"/>
    <w:rsid w:val="00433186"/>
    <w:rsid w:val="0043332E"/>
    <w:rsid w:val="00433365"/>
    <w:rsid w:val="004334EB"/>
    <w:rsid w:val="004335DE"/>
    <w:rsid w:val="00433602"/>
    <w:rsid w:val="00433636"/>
    <w:rsid w:val="0043369D"/>
    <w:rsid w:val="004336A5"/>
    <w:rsid w:val="004336B9"/>
    <w:rsid w:val="0043375C"/>
    <w:rsid w:val="00433826"/>
    <w:rsid w:val="0043384C"/>
    <w:rsid w:val="0043385B"/>
    <w:rsid w:val="00433922"/>
    <w:rsid w:val="00433966"/>
    <w:rsid w:val="00433B3C"/>
    <w:rsid w:val="00433B99"/>
    <w:rsid w:val="00433C40"/>
    <w:rsid w:val="00433C5B"/>
    <w:rsid w:val="00433D18"/>
    <w:rsid w:val="00433D94"/>
    <w:rsid w:val="00433DB7"/>
    <w:rsid w:val="00433E24"/>
    <w:rsid w:val="00433E81"/>
    <w:rsid w:val="00433EF2"/>
    <w:rsid w:val="00433F4E"/>
    <w:rsid w:val="00433F8A"/>
    <w:rsid w:val="00433FBE"/>
    <w:rsid w:val="004340C1"/>
    <w:rsid w:val="004342FC"/>
    <w:rsid w:val="00434329"/>
    <w:rsid w:val="00434435"/>
    <w:rsid w:val="004345F7"/>
    <w:rsid w:val="0043462F"/>
    <w:rsid w:val="0043481F"/>
    <w:rsid w:val="00434915"/>
    <w:rsid w:val="0043491A"/>
    <w:rsid w:val="00434A40"/>
    <w:rsid w:val="00434AB5"/>
    <w:rsid w:val="00434B0E"/>
    <w:rsid w:val="00434CA5"/>
    <w:rsid w:val="00434E1D"/>
    <w:rsid w:val="00434E53"/>
    <w:rsid w:val="00434EC7"/>
    <w:rsid w:val="00434FAC"/>
    <w:rsid w:val="00434FAE"/>
    <w:rsid w:val="00435151"/>
    <w:rsid w:val="004351C7"/>
    <w:rsid w:val="004351F2"/>
    <w:rsid w:val="0043533F"/>
    <w:rsid w:val="004355D4"/>
    <w:rsid w:val="00435617"/>
    <w:rsid w:val="00435645"/>
    <w:rsid w:val="00435A1F"/>
    <w:rsid w:val="00435A44"/>
    <w:rsid w:val="00435ACF"/>
    <w:rsid w:val="00435AEB"/>
    <w:rsid w:val="00435BA4"/>
    <w:rsid w:val="00435C16"/>
    <w:rsid w:val="00435C6C"/>
    <w:rsid w:val="00435F2D"/>
    <w:rsid w:val="00435FD8"/>
    <w:rsid w:val="004360A4"/>
    <w:rsid w:val="004360DA"/>
    <w:rsid w:val="004361FF"/>
    <w:rsid w:val="0043624B"/>
    <w:rsid w:val="004362BA"/>
    <w:rsid w:val="004362EC"/>
    <w:rsid w:val="0043630C"/>
    <w:rsid w:val="00436342"/>
    <w:rsid w:val="0043639F"/>
    <w:rsid w:val="00436529"/>
    <w:rsid w:val="0043652D"/>
    <w:rsid w:val="00436585"/>
    <w:rsid w:val="00436590"/>
    <w:rsid w:val="004365D9"/>
    <w:rsid w:val="004365E6"/>
    <w:rsid w:val="00436609"/>
    <w:rsid w:val="00436671"/>
    <w:rsid w:val="00436700"/>
    <w:rsid w:val="004367BE"/>
    <w:rsid w:val="00436800"/>
    <w:rsid w:val="00436A2C"/>
    <w:rsid w:val="00436ABD"/>
    <w:rsid w:val="00436BAE"/>
    <w:rsid w:val="00436BB3"/>
    <w:rsid w:val="00436BEA"/>
    <w:rsid w:val="00436CE4"/>
    <w:rsid w:val="00436D5A"/>
    <w:rsid w:val="00436FC3"/>
    <w:rsid w:val="004370DE"/>
    <w:rsid w:val="00437135"/>
    <w:rsid w:val="0043717A"/>
    <w:rsid w:val="00437269"/>
    <w:rsid w:val="004375A8"/>
    <w:rsid w:val="00437626"/>
    <w:rsid w:val="004376FF"/>
    <w:rsid w:val="00437876"/>
    <w:rsid w:val="00437957"/>
    <w:rsid w:val="004379FF"/>
    <w:rsid w:val="00437A3A"/>
    <w:rsid w:val="00437CFD"/>
    <w:rsid w:val="00437DED"/>
    <w:rsid w:val="00437F21"/>
    <w:rsid w:val="00440088"/>
    <w:rsid w:val="00440221"/>
    <w:rsid w:val="0044035E"/>
    <w:rsid w:val="004403C7"/>
    <w:rsid w:val="00440544"/>
    <w:rsid w:val="00440566"/>
    <w:rsid w:val="004405CA"/>
    <w:rsid w:val="00440662"/>
    <w:rsid w:val="00440733"/>
    <w:rsid w:val="00440776"/>
    <w:rsid w:val="004407C4"/>
    <w:rsid w:val="00440893"/>
    <w:rsid w:val="00440993"/>
    <w:rsid w:val="00440A45"/>
    <w:rsid w:val="00440C34"/>
    <w:rsid w:val="00440CC7"/>
    <w:rsid w:val="00440CDA"/>
    <w:rsid w:val="00440DB1"/>
    <w:rsid w:val="00440E11"/>
    <w:rsid w:val="00440FF1"/>
    <w:rsid w:val="00440FF2"/>
    <w:rsid w:val="0044104F"/>
    <w:rsid w:val="004410AD"/>
    <w:rsid w:val="0044115B"/>
    <w:rsid w:val="00441169"/>
    <w:rsid w:val="00441227"/>
    <w:rsid w:val="004412BA"/>
    <w:rsid w:val="004412C8"/>
    <w:rsid w:val="004412C9"/>
    <w:rsid w:val="0044177E"/>
    <w:rsid w:val="004417D3"/>
    <w:rsid w:val="00441889"/>
    <w:rsid w:val="0044190C"/>
    <w:rsid w:val="00441A8E"/>
    <w:rsid w:val="00441AC5"/>
    <w:rsid w:val="00441C12"/>
    <w:rsid w:val="00441D11"/>
    <w:rsid w:val="00441E96"/>
    <w:rsid w:val="00441EF0"/>
    <w:rsid w:val="00441F0D"/>
    <w:rsid w:val="00441F9E"/>
    <w:rsid w:val="00441FD5"/>
    <w:rsid w:val="00441FFC"/>
    <w:rsid w:val="00442089"/>
    <w:rsid w:val="00442102"/>
    <w:rsid w:val="004422C2"/>
    <w:rsid w:val="004422C8"/>
    <w:rsid w:val="004423CE"/>
    <w:rsid w:val="004423FE"/>
    <w:rsid w:val="0044264F"/>
    <w:rsid w:val="00442835"/>
    <w:rsid w:val="0044289A"/>
    <w:rsid w:val="004428C9"/>
    <w:rsid w:val="004428E1"/>
    <w:rsid w:val="00442929"/>
    <w:rsid w:val="0044294F"/>
    <w:rsid w:val="00442976"/>
    <w:rsid w:val="00442A7E"/>
    <w:rsid w:val="00442AE9"/>
    <w:rsid w:val="00442AFA"/>
    <w:rsid w:val="00442B19"/>
    <w:rsid w:val="00442B6A"/>
    <w:rsid w:val="00442BB4"/>
    <w:rsid w:val="00442C7E"/>
    <w:rsid w:val="00442C91"/>
    <w:rsid w:val="00442DB4"/>
    <w:rsid w:val="00442DE7"/>
    <w:rsid w:val="00442F8E"/>
    <w:rsid w:val="00443079"/>
    <w:rsid w:val="0044309D"/>
    <w:rsid w:val="004430CB"/>
    <w:rsid w:val="0044311A"/>
    <w:rsid w:val="004432E9"/>
    <w:rsid w:val="00443358"/>
    <w:rsid w:val="0044339D"/>
    <w:rsid w:val="004433B2"/>
    <w:rsid w:val="004433BE"/>
    <w:rsid w:val="00443528"/>
    <w:rsid w:val="004435D5"/>
    <w:rsid w:val="0044360C"/>
    <w:rsid w:val="0044366E"/>
    <w:rsid w:val="00443684"/>
    <w:rsid w:val="004436EA"/>
    <w:rsid w:val="00443750"/>
    <w:rsid w:val="00443A37"/>
    <w:rsid w:val="00443A6A"/>
    <w:rsid w:val="00443C0D"/>
    <w:rsid w:val="00443D4C"/>
    <w:rsid w:val="00443DA5"/>
    <w:rsid w:val="00443E03"/>
    <w:rsid w:val="00443F3C"/>
    <w:rsid w:val="00443F5E"/>
    <w:rsid w:val="00443FE5"/>
    <w:rsid w:val="0044405E"/>
    <w:rsid w:val="00444099"/>
    <w:rsid w:val="004441B5"/>
    <w:rsid w:val="0044421B"/>
    <w:rsid w:val="00444235"/>
    <w:rsid w:val="00444264"/>
    <w:rsid w:val="004442FC"/>
    <w:rsid w:val="0044435F"/>
    <w:rsid w:val="004443B6"/>
    <w:rsid w:val="00444563"/>
    <w:rsid w:val="00444597"/>
    <w:rsid w:val="00444614"/>
    <w:rsid w:val="00444678"/>
    <w:rsid w:val="0044476C"/>
    <w:rsid w:val="00444A1D"/>
    <w:rsid w:val="00444A36"/>
    <w:rsid w:val="00444CAD"/>
    <w:rsid w:val="00444D74"/>
    <w:rsid w:val="00444FD9"/>
    <w:rsid w:val="0044500D"/>
    <w:rsid w:val="0044514D"/>
    <w:rsid w:val="00445205"/>
    <w:rsid w:val="00445435"/>
    <w:rsid w:val="0044558D"/>
    <w:rsid w:val="00445598"/>
    <w:rsid w:val="004456A6"/>
    <w:rsid w:val="004456C7"/>
    <w:rsid w:val="00445740"/>
    <w:rsid w:val="0044574B"/>
    <w:rsid w:val="004457F1"/>
    <w:rsid w:val="004458A1"/>
    <w:rsid w:val="0044593A"/>
    <w:rsid w:val="00445991"/>
    <w:rsid w:val="00445C12"/>
    <w:rsid w:val="00445C5A"/>
    <w:rsid w:val="00445CB0"/>
    <w:rsid w:val="00445DBD"/>
    <w:rsid w:val="00445F68"/>
    <w:rsid w:val="0044608A"/>
    <w:rsid w:val="00446106"/>
    <w:rsid w:val="00446161"/>
    <w:rsid w:val="004461B2"/>
    <w:rsid w:val="004461C5"/>
    <w:rsid w:val="0044623D"/>
    <w:rsid w:val="004462A3"/>
    <w:rsid w:val="00446483"/>
    <w:rsid w:val="00446487"/>
    <w:rsid w:val="004464DC"/>
    <w:rsid w:val="00446509"/>
    <w:rsid w:val="0044650F"/>
    <w:rsid w:val="00446608"/>
    <w:rsid w:val="004466AC"/>
    <w:rsid w:val="00446813"/>
    <w:rsid w:val="0044682A"/>
    <w:rsid w:val="00446890"/>
    <w:rsid w:val="0044689C"/>
    <w:rsid w:val="00446A0E"/>
    <w:rsid w:val="00446B58"/>
    <w:rsid w:val="00446E45"/>
    <w:rsid w:val="00446EB2"/>
    <w:rsid w:val="00446F04"/>
    <w:rsid w:val="00446FC6"/>
    <w:rsid w:val="00446FDB"/>
    <w:rsid w:val="0044718E"/>
    <w:rsid w:val="0044723B"/>
    <w:rsid w:val="00447280"/>
    <w:rsid w:val="00447380"/>
    <w:rsid w:val="00447530"/>
    <w:rsid w:val="004475A5"/>
    <w:rsid w:val="004475AC"/>
    <w:rsid w:val="004475C1"/>
    <w:rsid w:val="0044764A"/>
    <w:rsid w:val="00447739"/>
    <w:rsid w:val="0044774F"/>
    <w:rsid w:val="004477BD"/>
    <w:rsid w:val="00447A64"/>
    <w:rsid w:val="00447A67"/>
    <w:rsid w:val="00447A91"/>
    <w:rsid w:val="00447AA0"/>
    <w:rsid w:val="00447C39"/>
    <w:rsid w:val="00447C84"/>
    <w:rsid w:val="00447CAC"/>
    <w:rsid w:val="00447CBE"/>
    <w:rsid w:val="00447CC8"/>
    <w:rsid w:val="00447DE0"/>
    <w:rsid w:val="00447E99"/>
    <w:rsid w:val="00447F2A"/>
    <w:rsid w:val="00447F6F"/>
    <w:rsid w:val="0045013D"/>
    <w:rsid w:val="00450246"/>
    <w:rsid w:val="00450273"/>
    <w:rsid w:val="00450314"/>
    <w:rsid w:val="0045033D"/>
    <w:rsid w:val="0045066D"/>
    <w:rsid w:val="004508BA"/>
    <w:rsid w:val="00450A5D"/>
    <w:rsid w:val="00450A9D"/>
    <w:rsid w:val="00450ABB"/>
    <w:rsid w:val="00450B89"/>
    <w:rsid w:val="00450B94"/>
    <w:rsid w:val="00450BC2"/>
    <w:rsid w:val="00450BEC"/>
    <w:rsid w:val="00450C8E"/>
    <w:rsid w:val="00450D90"/>
    <w:rsid w:val="00450DC8"/>
    <w:rsid w:val="00450E2E"/>
    <w:rsid w:val="00450E9D"/>
    <w:rsid w:val="0045101F"/>
    <w:rsid w:val="0045108E"/>
    <w:rsid w:val="004511B0"/>
    <w:rsid w:val="004511D1"/>
    <w:rsid w:val="0045120E"/>
    <w:rsid w:val="00451293"/>
    <w:rsid w:val="0045129D"/>
    <w:rsid w:val="004512AB"/>
    <w:rsid w:val="00451410"/>
    <w:rsid w:val="0045143E"/>
    <w:rsid w:val="004514D4"/>
    <w:rsid w:val="00451737"/>
    <w:rsid w:val="004517A3"/>
    <w:rsid w:val="0045183D"/>
    <w:rsid w:val="0045189F"/>
    <w:rsid w:val="00451B3F"/>
    <w:rsid w:val="00451E60"/>
    <w:rsid w:val="00451E98"/>
    <w:rsid w:val="00451FE4"/>
    <w:rsid w:val="004520FA"/>
    <w:rsid w:val="00452138"/>
    <w:rsid w:val="00452190"/>
    <w:rsid w:val="004521E0"/>
    <w:rsid w:val="004522DD"/>
    <w:rsid w:val="00452388"/>
    <w:rsid w:val="0045238A"/>
    <w:rsid w:val="004523DA"/>
    <w:rsid w:val="0045246C"/>
    <w:rsid w:val="004524D8"/>
    <w:rsid w:val="00452561"/>
    <w:rsid w:val="0045258F"/>
    <w:rsid w:val="00452979"/>
    <w:rsid w:val="004529DE"/>
    <w:rsid w:val="00452A66"/>
    <w:rsid w:val="00452B11"/>
    <w:rsid w:val="00452B36"/>
    <w:rsid w:val="00452C14"/>
    <w:rsid w:val="00452CBE"/>
    <w:rsid w:val="00452CC0"/>
    <w:rsid w:val="00452D86"/>
    <w:rsid w:val="00452DCE"/>
    <w:rsid w:val="00452DE9"/>
    <w:rsid w:val="00452F1F"/>
    <w:rsid w:val="00453042"/>
    <w:rsid w:val="004530C1"/>
    <w:rsid w:val="004530FF"/>
    <w:rsid w:val="004531D3"/>
    <w:rsid w:val="004531D8"/>
    <w:rsid w:val="00453254"/>
    <w:rsid w:val="00453346"/>
    <w:rsid w:val="00453426"/>
    <w:rsid w:val="004535BF"/>
    <w:rsid w:val="00453600"/>
    <w:rsid w:val="00453640"/>
    <w:rsid w:val="00453643"/>
    <w:rsid w:val="00453658"/>
    <w:rsid w:val="004536C1"/>
    <w:rsid w:val="00453752"/>
    <w:rsid w:val="0045375F"/>
    <w:rsid w:val="00453762"/>
    <w:rsid w:val="00453791"/>
    <w:rsid w:val="004537C2"/>
    <w:rsid w:val="0045395F"/>
    <w:rsid w:val="004539B7"/>
    <w:rsid w:val="00453B5C"/>
    <w:rsid w:val="00453BAE"/>
    <w:rsid w:val="00453C5C"/>
    <w:rsid w:val="00453C92"/>
    <w:rsid w:val="00453D65"/>
    <w:rsid w:val="00453E09"/>
    <w:rsid w:val="00453F29"/>
    <w:rsid w:val="00453F55"/>
    <w:rsid w:val="00453F8A"/>
    <w:rsid w:val="00453FC9"/>
    <w:rsid w:val="0045414D"/>
    <w:rsid w:val="004541EE"/>
    <w:rsid w:val="0045426B"/>
    <w:rsid w:val="0045432B"/>
    <w:rsid w:val="00454547"/>
    <w:rsid w:val="00454687"/>
    <w:rsid w:val="004546D1"/>
    <w:rsid w:val="004549C4"/>
    <w:rsid w:val="004549EC"/>
    <w:rsid w:val="00454A27"/>
    <w:rsid w:val="00454A57"/>
    <w:rsid w:val="00454AF0"/>
    <w:rsid w:val="00454AF4"/>
    <w:rsid w:val="00454B1D"/>
    <w:rsid w:val="00454B80"/>
    <w:rsid w:val="00454BD5"/>
    <w:rsid w:val="00454C3A"/>
    <w:rsid w:val="00454C60"/>
    <w:rsid w:val="00454D7F"/>
    <w:rsid w:val="00454F4D"/>
    <w:rsid w:val="00454FC1"/>
    <w:rsid w:val="00455045"/>
    <w:rsid w:val="004550FA"/>
    <w:rsid w:val="0045534B"/>
    <w:rsid w:val="004553F2"/>
    <w:rsid w:val="0045549D"/>
    <w:rsid w:val="0045563E"/>
    <w:rsid w:val="00455672"/>
    <w:rsid w:val="0045569D"/>
    <w:rsid w:val="00455830"/>
    <w:rsid w:val="004558BD"/>
    <w:rsid w:val="00455A05"/>
    <w:rsid w:val="00455A88"/>
    <w:rsid w:val="00455B3C"/>
    <w:rsid w:val="00455B50"/>
    <w:rsid w:val="00455B60"/>
    <w:rsid w:val="00455B84"/>
    <w:rsid w:val="00455DF3"/>
    <w:rsid w:val="00455DF7"/>
    <w:rsid w:val="00455E7E"/>
    <w:rsid w:val="00455F0F"/>
    <w:rsid w:val="00455FA7"/>
    <w:rsid w:val="00455FC4"/>
    <w:rsid w:val="00456103"/>
    <w:rsid w:val="0045612B"/>
    <w:rsid w:val="00456230"/>
    <w:rsid w:val="0045624C"/>
    <w:rsid w:val="00456261"/>
    <w:rsid w:val="00456377"/>
    <w:rsid w:val="004563BA"/>
    <w:rsid w:val="004563F7"/>
    <w:rsid w:val="004565CF"/>
    <w:rsid w:val="004565F7"/>
    <w:rsid w:val="00456641"/>
    <w:rsid w:val="004566D5"/>
    <w:rsid w:val="004566F7"/>
    <w:rsid w:val="0045675D"/>
    <w:rsid w:val="004567E3"/>
    <w:rsid w:val="004567EA"/>
    <w:rsid w:val="00456825"/>
    <w:rsid w:val="00456865"/>
    <w:rsid w:val="0045696A"/>
    <w:rsid w:val="00456A3F"/>
    <w:rsid w:val="00456A93"/>
    <w:rsid w:val="00456AD5"/>
    <w:rsid w:val="00456B0E"/>
    <w:rsid w:val="00456B36"/>
    <w:rsid w:val="00456B41"/>
    <w:rsid w:val="00456C7A"/>
    <w:rsid w:val="00456D76"/>
    <w:rsid w:val="00456F16"/>
    <w:rsid w:val="00457094"/>
    <w:rsid w:val="00457117"/>
    <w:rsid w:val="004571E9"/>
    <w:rsid w:val="00457267"/>
    <w:rsid w:val="00457281"/>
    <w:rsid w:val="004572C3"/>
    <w:rsid w:val="0045733B"/>
    <w:rsid w:val="004574AF"/>
    <w:rsid w:val="004574CA"/>
    <w:rsid w:val="00457502"/>
    <w:rsid w:val="0045755D"/>
    <w:rsid w:val="0045760E"/>
    <w:rsid w:val="00457747"/>
    <w:rsid w:val="00457781"/>
    <w:rsid w:val="0045793D"/>
    <w:rsid w:val="0045795C"/>
    <w:rsid w:val="00457982"/>
    <w:rsid w:val="00457A77"/>
    <w:rsid w:val="00457D70"/>
    <w:rsid w:val="00457E6B"/>
    <w:rsid w:val="00457F74"/>
    <w:rsid w:val="00457FC3"/>
    <w:rsid w:val="00460067"/>
    <w:rsid w:val="00460133"/>
    <w:rsid w:val="00460252"/>
    <w:rsid w:val="00460307"/>
    <w:rsid w:val="004603E7"/>
    <w:rsid w:val="004604C3"/>
    <w:rsid w:val="00460609"/>
    <w:rsid w:val="0046061E"/>
    <w:rsid w:val="00460679"/>
    <w:rsid w:val="00460735"/>
    <w:rsid w:val="00460909"/>
    <w:rsid w:val="00460929"/>
    <w:rsid w:val="004609DB"/>
    <w:rsid w:val="00460AA1"/>
    <w:rsid w:val="00460B6C"/>
    <w:rsid w:val="00460B6E"/>
    <w:rsid w:val="00460E36"/>
    <w:rsid w:val="00460ECE"/>
    <w:rsid w:val="00460F53"/>
    <w:rsid w:val="00460F87"/>
    <w:rsid w:val="00460FE2"/>
    <w:rsid w:val="00460FF4"/>
    <w:rsid w:val="0046100A"/>
    <w:rsid w:val="004610D0"/>
    <w:rsid w:val="00461181"/>
    <w:rsid w:val="004611BA"/>
    <w:rsid w:val="004611E7"/>
    <w:rsid w:val="004611FB"/>
    <w:rsid w:val="00461254"/>
    <w:rsid w:val="004612BF"/>
    <w:rsid w:val="004612C5"/>
    <w:rsid w:val="0046130E"/>
    <w:rsid w:val="00461467"/>
    <w:rsid w:val="004615EB"/>
    <w:rsid w:val="00461697"/>
    <w:rsid w:val="004616C0"/>
    <w:rsid w:val="004616DB"/>
    <w:rsid w:val="004618D6"/>
    <w:rsid w:val="0046191F"/>
    <w:rsid w:val="00461A1B"/>
    <w:rsid w:val="00461A32"/>
    <w:rsid w:val="00461B33"/>
    <w:rsid w:val="00461BF3"/>
    <w:rsid w:val="00461CC0"/>
    <w:rsid w:val="00461CDF"/>
    <w:rsid w:val="00461D0A"/>
    <w:rsid w:val="00461E2A"/>
    <w:rsid w:val="00461EAC"/>
    <w:rsid w:val="00461FB0"/>
    <w:rsid w:val="00461FF9"/>
    <w:rsid w:val="00462024"/>
    <w:rsid w:val="00462079"/>
    <w:rsid w:val="004622AE"/>
    <w:rsid w:val="0046233C"/>
    <w:rsid w:val="00462445"/>
    <w:rsid w:val="00462536"/>
    <w:rsid w:val="00462591"/>
    <w:rsid w:val="004625D2"/>
    <w:rsid w:val="00462659"/>
    <w:rsid w:val="0046270B"/>
    <w:rsid w:val="00462879"/>
    <w:rsid w:val="004628AA"/>
    <w:rsid w:val="004628B6"/>
    <w:rsid w:val="004629A1"/>
    <w:rsid w:val="00462AA3"/>
    <w:rsid w:val="00462AC2"/>
    <w:rsid w:val="00462B53"/>
    <w:rsid w:val="00462C7B"/>
    <w:rsid w:val="00462D7E"/>
    <w:rsid w:val="00462E4D"/>
    <w:rsid w:val="00462EF1"/>
    <w:rsid w:val="00462FEC"/>
    <w:rsid w:val="004630C2"/>
    <w:rsid w:val="004630D6"/>
    <w:rsid w:val="00463116"/>
    <w:rsid w:val="00463147"/>
    <w:rsid w:val="0046333F"/>
    <w:rsid w:val="00463373"/>
    <w:rsid w:val="004633A6"/>
    <w:rsid w:val="004633F9"/>
    <w:rsid w:val="004634C9"/>
    <w:rsid w:val="0046359D"/>
    <w:rsid w:val="00463930"/>
    <w:rsid w:val="00463956"/>
    <w:rsid w:val="00463A39"/>
    <w:rsid w:val="00463AFA"/>
    <w:rsid w:val="00463B42"/>
    <w:rsid w:val="00463B7E"/>
    <w:rsid w:val="00463C08"/>
    <w:rsid w:val="00463C58"/>
    <w:rsid w:val="00463C7D"/>
    <w:rsid w:val="00463C8D"/>
    <w:rsid w:val="00463CA0"/>
    <w:rsid w:val="00463D32"/>
    <w:rsid w:val="00463D46"/>
    <w:rsid w:val="00463D50"/>
    <w:rsid w:val="00463DF1"/>
    <w:rsid w:val="00463F5D"/>
    <w:rsid w:val="00463FF4"/>
    <w:rsid w:val="00464086"/>
    <w:rsid w:val="00464173"/>
    <w:rsid w:val="004641CA"/>
    <w:rsid w:val="00464210"/>
    <w:rsid w:val="00464301"/>
    <w:rsid w:val="00464488"/>
    <w:rsid w:val="0046451B"/>
    <w:rsid w:val="00464520"/>
    <w:rsid w:val="00464652"/>
    <w:rsid w:val="00464656"/>
    <w:rsid w:val="004646D2"/>
    <w:rsid w:val="00464816"/>
    <w:rsid w:val="0046484B"/>
    <w:rsid w:val="004648CF"/>
    <w:rsid w:val="0046492A"/>
    <w:rsid w:val="004649AA"/>
    <w:rsid w:val="004649EE"/>
    <w:rsid w:val="00464B45"/>
    <w:rsid w:val="00464D35"/>
    <w:rsid w:val="00464E5C"/>
    <w:rsid w:val="00464F08"/>
    <w:rsid w:val="00464F16"/>
    <w:rsid w:val="00465140"/>
    <w:rsid w:val="00465174"/>
    <w:rsid w:val="00465183"/>
    <w:rsid w:val="00465366"/>
    <w:rsid w:val="0046537A"/>
    <w:rsid w:val="004653F1"/>
    <w:rsid w:val="004653FF"/>
    <w:rsid w:val="00465435"/>
    <w:rsid w:val="004654EE"/>
    <w:rsid w:val="00465514"/>
    <w:rsid w:val="0046556E"/>
    <w:rsid w:val="00465644"/>
    <w:rsid w:val="004656F5"/>
    <w:rsid w:val="0046573E"/>
    <w:rsid w:val="004657BA"/>
    <w:rsid w:val="004657F6"/>
    <w:rsid w:val="00465911"/>
    <w:rsid w:val="0046594C"/>
    <w:rsid w:val="00465A85"/>
    <w:rsid w:val="00465AAB"/>
    <w:rsid w:val="00465B34"/>
    <w:rsid w:val="00465BB5"/>
    <w:rsid w:val="00465C74"/>
    <w:rsid w:val="00465D65"/>
    <w:rsid w:val="00465E62"/>
    <w:rsid w:val="00465E7B"/>
    <w:rsid w:val="00465EB8"/>
    <w:rsid w:val="00465EE5"/>
    <w:rsid w:val="00465FE7"/>
    <w:rsid w:val="0046606B"/>
    <w:rsid w:val="004660CA"/>
    <w:rsid w:val="004660DB"/>
    <w:rsid w:val="00466171"/>
    <w:rsid w:val="004661CC"/>
    <w:rsid w:val="004661EB"/>
    <w:rsid w:val="00466259"/>
    <w:rsid w:val="0046642D"/>
    <w:rsid w:val="00466698"/>
    <w:rsid w:val="0046669D"/>
    <w:rsid w:val="004666F2"/>
    <w:rsid w:val="00466744"/>
    <w:rsid w:val="00466745"/>
    <w:rsid w:val="00466768"/>
    <w:rsid w:val="004667D8"/>
    <w:rsid w:val="004669B8"/>
    <w:rsid w:val="00466A2F"/>
    <w:rsid w:val="00466B08"/>
    <w:rsid w:val="00466B4C"/>
    <w:rsid w:val="00466B73"/>
    <w:rsid w:val="00466BCD"/>
    <w:rsid w:val="00466D2B"/>
    <w:rsid w:val="00466DB0"/>
    <w:rsid w:val="00466E51"/>
    <w:rsid w:val="00466F7A"/>
    <w:rsid w:val="00467013"/>
    <w:rsid w:val="004671A7"/>
    <w:rsid w:val="004671E6"/>
    <w:rsid w:val="0046735A"/>
    <w:rsid w:val="00467405"/>
    <w:rsid w:val="00467450"/>
    <w:rsid w:val="00467499"/>
    <w:rsid w:val="0046777B"/>
    <w:rsid w:val="004678D7"/>
    <w:rsid w:val="004678F2"/>
    <w:rsid w:val="00467928"/>
    <w:rsid w:val="004679F3"/>
    <w:rsid w:val="00467A25"/>
    <w:rsid w:val="00467C8D"/>
    <w:rsid w:val="00467D6C"/>
    <w:rsid w:val="00467DBD"/>
    <w:rsid w:val="00467DF7"/>
    <w:rsid w:val="00467E70"/>
    <w:rsid w:val="00467FA2"/>
    <w:rsid w:val="00467FBE"/>
    <w:rsid w:val="00467FC3"/>
    <w:rsid w:val="00467FD6"/>
    <w:rsid w:val="00470038"/>
    <w:rsid w:val="004700E8"/>
    <w:rsid w:val="004703AB"/>
    <w:rsid w:val="004703EF"/>
    <w:rsid w:val="004707E6"/>
    <w:rsid w:val="00470869"/>
    <w:rsid w:val="00470A12"/>
    <w:rsid w:val="00470AB7"/>
    <w:rsid w:val="00470B5D"/>
    <w:rsid w:val="00470BD6"/>
    <w:rsid w:val="00470D4B"/>
    <w:rsid w:val="00470FE1"/>
    <w:rsid w:val="00471283"/>
    <w:rsid w:val="004712CB"/>
    <w:rsid w:val="004712E8"/>
    <w:rsid w:val="00471460"/>
    <w:rsid w:val="00471468"/>
    <w:rsid w:val="004715C9"/>
    <w:rsid w:val="0047162D"/>
    <w:rsid w:val="00471660"/>
    <w:rsid w:val="004716D6"/>
    <w:rsid w:val="004717E8"/>
    <w:rsid w:val="0047185B"/>
    <w:rsid w:val="0047189E"/>
    <w:rsid w:val="004718DB"/>
    <w:rsid w:val="00471989"/>
    <w:rsid w:val="004719E1"/>
    <w:rsid w:val="00471B0D"/>
    <w:rsid w:val="00471B5A"/>
    <w:rsid w:val="00471C00"/>
    <w:rsid w:val="00471C0D"/>
    <w:rsid w:val="00471D26"/>
    <w:rsid w:val="00471E69"/>
    <w:rsid w:val="00471E92"/>
    <w:rsid w:val="00471F79"/>
    <w:rsid w:val="0047218D"/>
    <w:rsid w:val="00472205"/>
    <w:rsid w:val="004722FF"/>
    <w:rsid w:val="00472322"/>
    <w:rsid w:val="0047237D"/>
    <w:rsid w:val="004723F7"/>
    <w:rsid w:val="004725C3"/>
    <w:rsid w:val="00472604"/>
    <w:rsid w:val="00472674"/>
    <w:rsid w:val="00472708"/>
    <w:rsid w:val="0047270A"/>
    <w:rsid w:val="0047271A"/>
    <w:rsid w:val="0047292F"/>
    <w:rsid w:val="00472B0F"/>
    <w:rsid w:val="00472B79"/>
    <w:rsid w:val="00472BFE"/>
    <w:rsid w:val="00472EB3"/>
    <w:rsid w:val="00472F21"/>
    <w:rsid w:val="00473024"/>
    <w:rsid w:val="004731AD"/>
    <w:rsid w:val="004731D2"/>
    <w:rsid w:val="0047322F"/>
    <w:rsid w:val="004732EF"/>
    <w:rsid w:val="004735CB"/>
    <w:rsid w:val="004735F8"/>
    <w:rsid w:val="00473654"/>
    <w:rsid w:val="0047365A"/>
    <w:rsid w:val="0047380F"/>
    <w:rsid w:val="004738A4"/>
    <w:rsid w:val="004738F7"/>
    <w:rsid w:val="00473B98"/>
    <w:rsid w:val="00473BC7"/>
    <w:rsid w:val="00473C2D"/>
    <w:rsid w:val="00473C9B"/>
    <w:rsid w:val="00473CA1"/>
    <w:rsid w:val="00473CF5"/>
    <w:rsid w:val="00473D68"/>
    <w:rsid w:val="00474020"/>
    <w:rsid w:val="0047410B"/>
    <w:rsid w:val="00474155"/>
    <w:rsid w:val="00474189"/>
    <w:rsid w:val="004741CF"/>
    <w:rsid w:val="004741DF"/>
    <w:rsid w:val="00474283"/>
    <w:rsid w:val="004742C0"/>
    <w:rsid w:val="004742ED"/>
    <w:rsid w:val="00474383"/>
    <w:rsid w:val="004743BC"/>
    <w:rsid w:val="00474422"/>
    <w:rsid w:val="00474720"/>
    <w:rsid w:val="0047478D"/>
    <w:rsid w:val="004747C8"/>
    <w:rsid w:val="00474A65"/>
    <w:rsid w:val="00474A72"/>
    <w:rsid w:val="00474AE0"/>
    <w:rsid w:val="00474CAD"/>
    <w:rsid w:val="00474D53"/>
    <w:rsid w:val="00474D89"/>
    <w:rsid w:val="00474DFC"/>
    <w:rsid w:val="00474EEE"/>
    <w:rsid w:val="00474EFD"/>
    <w:rsid w:val="00474F05"/>
    <w:rsid w:val="00474F3E"/>
    <w:rsid w:val="00474F51"/>
    <w:rsid w:val="00474FF9"/>
    <w:rsid w:val="00474FFC"/>
    <w:rsid w:val="004751F4"/>
    <w:rsid w:val="00475202"/>
    <w:rsid w:val="004753A3"/>
    <w:rsid w:val="0047543D"/>
    <w:rsid w:val="004754F1"/>
    <w:rsid w:val="004755D1"/>
    <w:rsid w:val="00475639"/>
    <w:rsid w:val="0047566F"/>
    <w:rsid w:val="0047568A"/>
    <w:rsid w:val="004756F0"/>
    <w:rsid w:val="004757A6"/>
    <w:rsid w:val="004757E7"/>
    <w:rsid w:val="00475870"/>
    <w:rsid w:val="004758F3"/>
    <w:rsid w:val="00475984"/>
    <w:rsid w:val="00475988"/>
    <w:rsid w:val="00475A37"/>
    <w:rsid w:val="00475A98"/>
    <w:rsid w:val="00475AA5"/>
    <w:rsid w:val="00475BD6"/>
    <w:rsid w:val="00475C90"/>
    <w:rsid w:val="00475D89"/>
    <w:rsid w:val="00475E06"/>
    <w:rsid w:val="00475F75"/>
    <w:rsid w:val="00476027"/>
    <w:rsid w:val="0047605E"/>
    <w:rsid w:val="0047608C"/>
    <w:rsid w:val="00476142"/>
    <w:rsid w:val="00476146"/>
    <w:rsid w:val="00476255"/>
    <w:rsid w:val="004762A8"/>
    <w:rsid w:val="004762B9"/>
    <w:rsid w:val="0047670F"/>
    <w:rsid w:val="004767AE"/>
    <w:rsid w:val="00476B0D"/>
    <w:rsid w:val="00476D28"/>
    <w:rsid w:val="00476E1E"/>
    <w:rsid w:val="00476F08"/>
    <w:rsid w:val="00476FAD"/>
    <w:rsid w:val="0047709A"/>
    <w:rsid w:val="0047723B"/>
    <w:rsid w:val="004773E2"/>
    <w:rsid w:val="00477411"/>
    <w:rsid w:val="0047746D"/>
    <w:rsid w:val="004774F0"/>
    <w:rsid w:val="00477862"/>
    <w:rsid w:val="0047793D"/>
    <w:rsid w:val="00477A10"/>
    <w:rsid w:val="00477A6A"/>
    <w:rsid w:val="00477AAA"/>
    <w:rsid w:val="00477D34"/>
    <w:rsid w:val="00477EEB"/>
    <w:rsid w:val="00480050"/>
    <w:rsid w:val="0048005B"/>
    <w:rsid w:val="004800E8"/>
    <w:rsid w:val="00480116"/>
    <w:rsid w:val="004801A6"/>
    <w:rsid w:val="00480232"/>
    <w:rsid w:val="004802D3"/>
    <w:rsid w:val="0048048A"/>
    <w:rsid w:val="004804C4"/>
    <w:rsid w:val="0048053A"/>
    <w:rsid w:val="004805CF"/>
    <w:rsid w:val="0048062C"/>
    <w:rsid w:val="0048069D"/>
    <w:rsid w:val="00480763"/>
    <w:rsid w:val="0048094C"/>
    <w:rsid w:val="00480AC9"/>
    <w:rsid w:val="00480B25"/>
    <w:rsid w:val="00480B98"/>
    <w:rsid w:val="00480BD5"/>
    <w:rsid w:val="00480BDD"/>
    <w:rsid w:val="00480BEB"/>
    <w:rsid w:val="00480C37"/>
    <w:rsid w:val="00480C72"/>
    <w:rsid w:val="00480DA2"/>
    <w:rsid w:val="00480DBF"/>
    <w:rsid w:val="00480EFF"/>
    <w:rsid w:val="00480FA2"/>
    <w:rsid w:val="0048103D"/>
    <w:rsid w:val="0048110F"/>
    <w:rsid w:val="004811A0"/>
    <w:rsid w:val="00481216"/>
    <w:rsid w:val="004813F9"/>
    <w:rsid w:val="004814FE"/>
    <w:rsid w:val="00481542"/>
    <w:rsid w:val="004816AA"/>
    <w:rsid w:val="004816BD"/>
    <w:rsid w:val="0048178C"/>
    <w:rsid w:val="004817E9"/>
    <w:rsid w:val="00481876"/>
    <w:rsid w:val="00481889"/>
    <w:rsid w:val="004818AA"/>
    <w:rsid w:val="00481928"/>
    <w:rsid w:val="00481B30"/>
    <w:rsid w:val="00481B7B"/>
    <w:rsid w:val="00481C44"/>
    <w:rsid w:val="00481C97"/>
    <w:rsid w:val="00481D18"/>
    <w:rsid w:val="00481D59"/>
    <w:rsid w:val="00481E5C"/>
    <w:rsid w:val="00481F28"/>
    <w:rsid w:val="0048218F"/>
    <w:rsid w:val="00482209"/>
    <w:rsid w:val="00482280"/>
    <w:rsid w:val="00482305"/>
    <w:rsid w:val="0048232F"/>
    <w:rsid w:val="0048233D"/>
    <w:rsid w:val="004823BD"/>
    <w:rsid w:val="0048247B"/>
    <w:rsid w:val="00482567"/>
    <w:rsid w:val="004825A0"/>
    <w:rsid w:val="00482747"/>
    <w:rsid w:val="0048276F"/>
    <w:rsid w:val="00482905"/>
    <w:rsid w:val="0048294E"/>
    <w:rsid w:val="00482A41"/>
    <w:rsid w:val="00482AC3"/>
    <w:rsid w:val="00482BF1"/>
    <w:rsid w:val="00482C8D"/>
    <w:rsid w:val="00482EC7"/>
    <w:rsid w:val="00482F3C"/>
    <w:rsid w:val="00483076"/>
    <w:rsid w:val="004831E2"/>
    <w:rsid w:val="00483273"/>
    <w:rsid w:val="004832A9"/>
    <w:rsid w:val="0048334D"/>
    <w:rsid w:val="00483389"/>
    <w:rsid w:val="00483431"/>
    <w:rsid w:val="0048344D"/>
    <w:rsid w:val="0048350F"/>
    <w:rsid w:val="00483511"/>
    <w:rsid w:val="00483523"/>
    <w:rsid w:val="00483528"/>
    <w:rsid w:val="0048390E"/>
    <w:rsid w:val="00483911"/>
    <w:rsid w:val="004839E2"/>
    <w:rsid w:val="00483A49"/>
    <w:rsid w:val="00483A58"/>
    <w:rsid w:val="00483CCC"/>
    <w:rsid w:val="00483D56"/>
    <w:rsid w:val="00483E3C"/>
    <w:rsid w:val="00483F14"/>
    <w:rsid w:val="00483F1E"/>
    <w:rsid w:val="00483F31"/>
    <w:rsid w:val="004843E1"/>
    <w:rsid w:val="004843E2"/>
    <w:rsid w:val="004843FB"/>
    <w:rsid w:val="004844BA"/>
    <w:rsid w:val="0048452F"/>
    <w:rsid w:val="00484643"/>
    <w:rsid w:val="004846CE"/>
    <w:rsid w:val="004846DE"/>
    <w:rsid w:val="00484767"/>
    <w:rsid w:val="0048490E"/>
    <w:rsid w:val="004849BB"/>
    <w:rsid w:val="004849C3"/>
    <w:rsid w:val="00484B27"/>
    <w:rsid w:val="00484BD5"/>
    <w:rsid w:val="00484C3F"/>
    <w:rsid w:val="00484C53"/>
    <w:rsid w:val="00484DB3"/>
    <w:rsid w:val="00484F5B"/>
    <w:rsid w:val="00485081"/>
    <w:rsid w:val="0048509D"/>
    <w:rsid w:val="004850E0"/>
    <w:rsid w:val="00485107"/>
    <w:rsid w:val="00485140"/>
    <w:rsid w:val="0048518D"/>
    <w:rsid w:val="0048523D"/>
    <w:rsid w:val="0048527D"/>
    <w:rsid w:val="0048539D"/>
    <w:rsid w:val="004853AA"/>
    <w:rsid w:val="004853CC"/>
    <w:rsid w:val="00485442"/>
    <w:rsid w:val="00485461"/>
    <w:rsid w:val="004854A2"/>
    <w:rsid w:val="0048550D"/>
    <w:rsid w:val="004855B6"/>
    <w:rsid w:val="00485670"/>
    <w:rsid w:val="00485688"/>
    <w:rsid w:val="004857A8"/>
    <w:rsid w:val="0048584C"/>
    <w:rsid w:val="004858D0"/>
    <w:rsid w:val="004859DD"/>
    <w:rsid w:val="00485BF5"/>
    <w:rsid w:val="00485C98"/>
    <w:rsid w:val="00485C99"/>
    <w:rsid w:val="00485CBB"/>
    <w:rsid w:val="00485CDA"/>
    <w:rsid w:val="00485D03"/>
    <w:rsid w:val="00485E3E"/>
    <w:rsid w:val="00485E79"/>
    <w:rsid w:val="00486006"/>
    <w:rsid w:val="00486034"/>
    <w:rsid w:val="00486128"/>
    <w:rsid w:val="0048614E"/>
    <w:rsid w:val="004863DF"/>
    <w:rsid w:val="00486442"/>
    <w:rsid w:val="0048645C"/>
    <w:rsid w:val="0048646F"/>
    <w:rsid w:val="0048656B"/>
    <w:rsid w:val="004866D3"/>
    <w:rsid w:val="00486792"/>
    <w:rsid w:val="004867AB"/>
    <w:rsid w:val="004867E3"/>
    <w:rsid w:val="004867F8"/>
    <w:rsid w:val="004868FF"/>
    <w:rsid w:val="00486B41"/>
    <w:rsid w:val="00486D8F"/>
    <w:rsid w:val="00486E3B"/>
    <w:rsid w:val="00486E3D"/>
    <w:rsid w:val="00486E90"/>
    <w:rsid w:val="00486F1A"/>
    <w:rsid w:val="00486F42"/>
    <w:rsid w:val="00486F43"/>
    <w:rsid w:val="00486FBF"/>
    <w:rsid w:val="00486FF1"/>
    <w:rsid w:val="0048700B"/>
    <w:rsid w:val="004871D8"/>
    <w:rsid w:val="00487209"/>
    <w:rsid w:val="004872A0"/>
    <w:rsid w:val="004872A1"/>
    <w:rsid w:val="004872AE"/>
    <w:rsid w:val="00487765"/>
    <w:rsid w:val="00487812"/>
    <w:rsid w:val="0048796C"/>
    <w:rsid w:val="00487A3C"/>
    <w:rsid w:val="00487B32"/>
    <w:rsid w:val="00487B34"/>
    <w:rsid w:val="00487C08"/>
    <w:rsid w:val="00487CF6"/>
    <w:rsid w:val="00487FE7"/>
    <w:rsid w:val="0049006B"/>
    <w:rsid w:val="0049007B"/>
    <w:rsid w:val="004901B8"/>
    <w:rsid w:val="00490310"/>
    <w:rsid w:val="00490313"/>
    <w:rsid w:val="0049045A"/>
    <w:rsid w:val="00490461"/>
    <w:rsid w:val="00490497"/>
    <w:rsid w:val="0049052C"/>
    <w:rsid w:val="004905E3"/>
    <w:rsid w:val="00490626"/>
    <w:rsid w:val="00490734"/>
    <w:rsid w:val="0049082F"/>
    <w:rsid w:val="0049088D"/>
    <w:rsid w:val="00490982"/>
    <w:rsid w:val="00490990"/>
    <w:rsid w:val="00490B3E"/>
    <w:rsid w:val="00490BDA"/>
    <w:rsid w:val="00490BFF"/>
    <w:rsid w:val="00490D46"/>
    <w:rsid w:val="00490E1C"/>
    <w:rsid w:val="00491063"/>
    <w:rsid w:val="0049114E"/>
    <w:rsid w:val="004911B6"/>
    <w:rsid w:val="00491213"/>
    <w:rsid w:val="00491366"/>
    <w:rsid w:val="004913D2"/>
    <w:rsid w:val="00491441"/>
    <w:rsid w:val="00491563"/>
    <w:rsid w:val="004915FE"/>
    <w:rsid w:val="004917E3"/>
    <w:rsid w:val="00491940"/>
    <w:rsid w:val="004919FD"/>
    <w:rsid w:val="00491A30"/>
    <w:rsid w:val="00491BCC"/>
    <w:rsid w:val="00491BFA"/>
    <w:rsid w:val="00491F2B"/>
    <w:rsid w:val="00491F51"/>
    <w:rsid w:val="004921F6"/>
    <w:rsid w:val="00492461"/>
    <w:rsid w:val="004924FD"/>
    <w:rsid w:val="00492646"/>
    <w:rsid w:val="00492803"/>
    <w:rsid w:val="00492AB5"/>
    <w:rsid w:val="00492ADD"/>
    <w:rsid w:val="00492B11"/>
    <w:rsid w:val="00492B2B"/>
    <w:rsid w:val="00492B8D"/>
    <w:rsid w:val="00492BAD"/>
    <w:rsid w:val="00492BFB"/>
    <w:rsid w:val="00492D52"/>
    <w:rsid w:val="00492DB7"/>
    <w:rsid w:val="00492F0F"/>
    <w:rsid w:val="00492F2E"/>
    <w:rsid w:val="00492FD2"/>
    <w:rsid w:val="00493006"/>
    <w:rsid w:val="004931B4"/>
    <w:rsid w:val="00493372"/>
    <w:rsid w:val="004933A7"/>
    <w:rsid w:val="004933A8"/>
    <w:rsid w:val="00493495"/>
    <w:rsid w:val="004934D6"/>
    <w:rsid w:val="00493625"/>
    <w:rsid w:val="00493642"/>
    <w:rsid w:val="0049365C"/>
    <w:rsid w:val="0049368B"/>
    <w:rsid w:val="004936D2"/>
    <w:rsid w:val="004936F5"/>
    <w:rsid w:val="0049371E"/>
    <w:rsid w:val="00493760"/>
    <w:rsid w:val="00493ACF"/>
    <w:rsid w:val="00493B31"/>
    <w:rsid w:val="00493B8B"/>
    <w:rsid w:val="00493B9E"/>
    <w:rsid w:val="00493BA0"/>
    <w:rsid w:val="00493C93"/>
    <w:rsid w:val="00493C94"/>
    <w:rsid w:val="00493CF9"/>
    <w:rsid w:val="00493DC4"/>
    <w:rsid w:val="00493DF3"/>
    <w:rsid w:val="00493E2C"/>
    <w:rsid w:val="00493E8B"/>
    <w:rsid w:val="00493F16"/>
    <w:rsid w:val="00493F95"/>
    <w:rsid w:val="004940B5"/>
    <w:rsid w:val="00494348"/>
    <w:rsid w:val="004943E7"/>
    <w:rsid w:val="00494579"/>
    <w:rsid w:val="00494667"/>
    <w:rsid w:val="004947BF"/>
    <w:rsid w:val="004947F8"/>
    <w:rsid w:val="00494A16"/>
    <w:rsid w:val="00494AA5"/>
    <w:rsid w:val="00494AB9"/>
    <w:rsid w:val="00494B9E"/>
    <w:rsid w:val="00494C50"/>
    <w:rsid w:val="00494C9E"/>
    <w:rsid w:val="00494D87"/>
    <w:rsid w:val="00494F4F"/>
    <w:rsid w:val="00494FDE"/>
    <w:rsid w:val="00495186"/>
    <w:rsid w:val="00495212"/>
    <w:rsid w:val="00495239"/>
    <w:rsid w:val="00495284"/>
    <w:rsid w:val="0049533D"/>
    <w:rsid w:val="0049534D"/>
    <w:rsid w:val="00495398"/>
    <w:rsid w:val="004953EF"/>
    <w:rsid w:val="004954A4"/>
    <w:rsid w:val="00495584"/>
    <w:rsid w:val="0049562E"/>
    <w:rsid w:val="00495652"/>
    <w:rsid w:val="00495672"/>
    <w:rsid w:val="00495826"/>
    <w:rsid w:val="00495B27"/>
    <w:rsid w:val="00495B45"/>
    <w:rsid w:val="00495B85"/>
    <w:rsid w:val="00495CA6"/>
    <w:rsid w:val="00495CBB"/>
    <w:rsid w:val="00495D0C"/>
    <w:rsid w:val="00495DEC"/>
    <w:rsid w:val="00495E7C"/>
    <w:rsid w:val="00496070"/>
    <w:rsid w:val="004960B5"/>
    <w:rsid w:val="00496131"/>
    <w:rsid w:val="004961DA"/>
    <w:rsid w:val="00496206"/>
    <w:rsid w:val="004962D1"/>
    <w:rsid w:val="00496549"/>
    <w:rsid w:val="004965F3"/>
    <w:rsid w:val="00496692"/>
    <w:rsid w:val="0049669E"/>
    <w:rsid w:val="004966F4"/>
    <w:rsid w:val="00496A6B"/>
    <w:rsid w:val="00496A80"/>
    <w:rsid w:val="00496BA8"/>
    <w:rsid w:val="00496C14"/>
    <w:rsid w:val="00496C2F"/>
    <w:rsid w:val="00496C43"/>
    <w:rsid w:val="00496C99"/>
    <w:rsid w:val="00496CBA"/>
    <w:rsid w:val="00496CF5"/>
    <w:rsid w:val="00496D88"/>
    <w:rsid w:val="00496DD9"/>
    <w:rsid w:val="00496E5E"/>
    <w:rsid w:val="00496E79"/>
    <w:rsid w:val="00496FEC"/>
    <w:rsid w:val="004970BD"/>
    <w:rsid w:val="004970C8"/>
    <w:rsid w:val="00497160"/>
    <w:rsid w:val="004971B9"/>
    <w:rsid w:val="004972D1"/>
    <w:rsid w:val="004972DC"/>
    <w:rsid w:val="0049746A"/>
    <w:rsid w:val="004974C3"/>
    <w:rsid w:val="004976DE"/>
    <w:rsid w:val="0049787A"/>
    <w:rsid w:val="004978AE"/>
    <w:rsid w:val="00497963"/>
    <w:rsid w:val="00497A60"/>
    <w:rsid w:val="00497BBC"/>
    <w:rsid w:val="00497BCB"/>
    <w:rsid w:val="00497BD1"/>
    <w:rsid w:val="00497C35"/>
    <w:rsid w:val="00497C49"/>
    <w:rsid w:val="00497C66"/>
    <w:rsid w:val="00497DC1"/>
    <w:rsid w:val="00497E64"/>
    <w:rsid w:val="004A0000"/>
    <w:rsid w:val="004A00CB"/>
    <w:rsid w:val="004A0348"/>
    <w:rsid w:val="004A03D8"/>
    <w:rsid w:val="004A05ED"/>
    <w:rsid w:val="004A065A"/>
    <w:rsid w:val="004A06B0"/>
    <w:rsid w:val="004A06D1"/>
    <w:rsid w:val="004A0766"/>
    <w:rsid w:val="004A07F8"/>
    <w:rsid w:val="004A08C7"/>
    <w:rsid w:val="004A092C"/>
    <w:rsid w:val="004A0B55"/>
    <w:rsid w:val="004A0B63"/>
    <w:rsid w:val="004A0B6C"/>
    <w:rsid w:val="004A0BE6"/>
    <w:rsid w:val="004A0D8F"/>
    <w:rsid w:val="004A0EFA"/>
    <w:rsid w:val="004A10CE"/>
    <w:rsid w:val="004A10FF"/>
    <w:rsid w:val="004A130C"/>
    <w:rsid w:val="004A1356"/>
    <w:rsid w:val="004A155D"/>
    <w:rsid w:val="004A16DE"/>
    <w:rsid w:val="004A172B"/>
    <w:rsid w:val="004A17BD"/>
    <w:rsid w:val="004A1946"/>
    <w:rsid w:val="004A1A7B"/>
    <w:rsid w:val="004A1B3C"/>
    <w:rsid w:val="004A1C07"/>
    <w:rsid w:val="004A1C4D"/>
    <w:rsid w:val="004A1D24"/>
    <w:rsid w:val="004A1D26"/>
    <w:rsid w:val="004A1F3C"/>
    <w:rsid w:val="004A1FAD"/>
    <w:rsid w:val="004A201E"/>
    <w:rsid w:val="004A2027"/>
    <w:rsid w:val="004A203C"/>
    <w:rsid w:val="004A2100"/>
    <w:rsid w:val="004A2213"/>
    <w:rsid w:val="004A223B"/>
    <w:rsid w:val="004A2258"/>
    <w:rsid w:val="004A2288"/>
    <w:rsid w:val="004A22A1"/>
    <w:rsid w:val="004A23A4"/>
    <w:rsid w:val="004A24A0"/>
    <w:rsid w:val="004A2525"/>
    <w:rsid w:val="004A2677"/>
    <w:rsid w:val="004A268E"/>
    <w:rsid w:val="004A26CA"/>
    <w:rsid w:val="004A27A1"/>
    <w:rsid w:val="004A28C9"/>
    <w:rsid w:val="004A28CD"/>
    <w:rsid w:val="004A29EA"/>
    <w:rsid w:val="004A2ADC"/>
    <w:rsid w:val="004A2D22"/>
    <w:rsid w:val="004A2DEA"/>
    <w:rsid w:val="004A2E8A"/>
    <w:rsid w:val="004A2F69"/>
    <w:rsid w:val="004A2FAF"/>
    <w:rsid w:val="004A2FFA"/>
    <w:rsid w:val="004A3028"/>
    <w:rsid w:val="004A3039"/>
    <w:rsid w:val="004A314B"/>
    <w:rsid w:val="004A314F"/>
    <w:rsid w:val="004A31F9"/>
    <w:rsid w:val="004A3214"/>
    <w:rsid w:val="004A32D5"/>
    <w:rsid w:val="004A32E5"/>
    <w:rsid w:val="004A33CE"/>
    <w:rsid w:val="004A33FF"/>
    <w:rsid w:val="004A358D"/>
    <w:rsid w:val="004A364D"/>
    <w:rsid w:val="004A3659"/>
    <w:rsid w:val="004A369F"/>
    <w:rsid w:val="004A36AE"/>
    <w:rsid w:val="004A36D0"/>
    <w:rsid w:val="004A3719"/>
    <w:rsid w:val="004A37DA"/>
    <w:rsid w:val="004A3844"/>
    <w:rsid w:val="004A3954"/>
    <w:rsid w:val="004A3A11"/>
    <w:rsid w:val="004A3C8B"/>
    <w:rsid w:val="004A3CA5"/>
    <w:rsid w:val="004A3D99"/>
    <w:rsid w:val="004A3E00"/>
    <w:rsid w:val="004A3EF5"/>
    <w:rsid w:val="004A3F11"/>
    <w:rsid w:val="004A3F5C"/>
    <w:rsid w:val="004A3F9D"/>
    <w:rsid w:val="004A3FBC"/>
    <w:rsid w:val="004A3FF6"/>
    <w:rsid w:val="004A4000"/>
    <w:rsid w:val="004A4045"/>
    <w:rsid w:val="004A40FC"/>
    <w:rsid w:val="004A411E"/>
    <w:rsid w:val="004A4144"/>
    <w:rsid w:val="004A417D"/>
    <w:rsid w:val="004A4189"/>
    <w:rsid w:val="004A42DA"/>
    <w:rsid w:val="004A4483"/>
    <w:rsid w:val="004A44E3"/>
    <w:rsid w:val="004A44EA"/>
    <w:rsid w:val="004A4617"/>
    <w:rsid w:val="004A4814"/>
    <w:rsid w:val="004A4883"/>
    <w:rsid w:val="004A489F"/>
    <w:rsid w:val="004A493B"/>
    <w:rsid w:val="004A4AF8"/>
    <w:rsid w:val="004A4B2C"/>
    <w:rsid w:val="004A4C00"/>
    <w:rsid w:val="004A4C15"/>
    <w:rsid w:val="004A4C18"/>
    <w:rsid w:val="004A4C52"/>
    <w:rsid w:val="004A4CF1"/>
    <w:rsid w:val="004A4DF8"/>
    <w:rsid w:val="004A4F2F"/>
    <w:rsid w:val="004A4F41"/>
    <w:rsid w:val="004A5023"/>
    <w:rsid w:val="004A50F8"/>
    <w:rsid w:val="004A5109"/>
    <w:rsid w:val="004A5193"/>
    <w:rsid w:val="004A51E6"/>
    <w:rsid w:val="004A524D"/>
    <w:rsid w:val="004A52E5"/>
    <w:rsid w:val="004A52EE"/>
    <w:rsid w:val="004A5339"/>
    <w:rsid w:val="004A538C"/>
    <w:rsid w:val="004A53AC"/>
    <w:rsid w:val="004A53DA"/>
    <w:rsid w:val="004A5850"/>
    <w:rsid w:val="004A5865"/>
    <w:rsid w:val="004A58A3"/>
    <w:rsid w:val="004A58F4"/>
    <w:rsid w:val="004A5995"/>
    <w:rsid w:val="004A5A53"/>
    <w:rsid w:val="004A5AA5"/>
    <w:rsid w:val="004A5AD9"/>
    <w:rsid w:val="004A5B66"/>
    <w:rsid w:val="004A5BD1"/>
    <w:rsid w:val="004A5C10"/>
    <w:rsid w:val="004A5C58"/>
    <w:rsid w:val="004A5C9C"/>
    <w:rsid w:val="004A5CF4"/>
    <w:rsid w:val="004A5EDF"/>
    <w:rsid w:val="004A5F7B"/>
    <w:rsid w:val="004A6135"/>
    <w:rsid w:val="004A61B0"/>
    <w:rsid w:val="004A62D7"/>
    <w:rsid w:val="004A62E0"/>
    <w:rsid w:val="004A631E"/>
    <w:rsid w:val="004A6340"/>
    <w:rsid w:val="004A6454"/>
    <w:rsid w:val="004A657D"/>
    <w:rsid w:val="004A6589"/>
    <w:rsid w:val="004A65EA"/>
    <w:rsid w:val="004A669E"/>
    <w:rsid w:val="004A69A1"/>
    <w:rsid w:val="004A6A5C"/>
    <w:rsid w:val="004A6A7E"/>
    <w:rsid w:val="004A6B3E"/>
    <w:rsid w:val="004A6B5F"/>
    <w:rsid w:val="004A6CE2"/>
    <w:rsid w:val="004A6D29"/>
    <w:rsid w:val="004A6EBD"/>
    <w:rsid w:val="004A6ED9"/>
    <w:rsid w:val="004A6F6B"/>
    <w:rsid w:val="004A6F77"/>
    <w:rsid w:val="004A6FBB"/>
    <w:rsid w:val="004A6FCC"/>
    <w:rsid w:val="004A7102"/>
    <w:rsid w:val="004A72DD"/>
    <w:rsid w:val="004A746A"/>
    <w:rsid w:val="004A752B"/>
    <w:rsid w:val="004A758A"/>
    <w:rsid w:val="004A7739"/>
    <w:rsid w:val="004A78A1"/>
    <w:rsid w:val="004A79C9"/>
    <w:rsid w:val="004A79D1"/>
    <w:rsid w:val="004A79DE"/>
    <w:rsid w:val="004A7B13"/>
    <w:rsid w:val="004A7B5E"/>
    <w:rsid w:val="004A7B9C"/>
    <w:rsid w:val="004A7BEB"/>
    <w:rsid w:val="004A7D19"/>
    <w:rsid w:val="004A7D6B"/>
    <w:rsid w:val="004A7DC7"/>
    <w:rsid w:val="004A7F2E"/>
    <w:rsid w:val="004A7F95"/>
    <w:rsid w:val="004B0096"/>
    <w:rsid w:val="004B0140"/>
    <w:rsid w:val="004B038E"/>
    <w:rsid w:val="004B03CD"/>
    <w:rsid w:val="004B03EF"/>
    <w:rsid w:val="004B042D"/>
    <w:rsid w:val="004B0445"/>
    <w:rsid w:val="004B0490"/>
    <w:rsid w:val="004B04B7"/>
    <w:rsid w:val="004B0504"/>
    <w:rsid w:val="004B0612"/>
    <w:rsid w:val="004B0667"/>
    <w:rsid w:val="004B074A"/>
    <w:rsid w:val="004B0819"/>
    <w:rsid w:val="004B08C0"/>
    <w:rsid w:val="004B0989"/>
    <w:rsid w:val="004B0BBF"/>
    <w:rsid w:val="004B0DD5"/>
    <w:rsid w:val="004B0DE3"/>
    <w:rsid w:val="004B0EA3"/>
    <w:rsid w:val="004B0F9C"/>
    <w:rsid w:val="004B0FDD"/>
    <w:rsid w:val="004B1242"/>
    <w:rsid w:val="004B12EE"/>
    <w:rsid w:val="004B12EF"/>
    <w:rsid w:val="004B12FC"/>
    <w:rsid w:val="004B1327"/>
    <w:rsid w:val="004B13C3"/>
    <w:rsid w:val="004B13F3"/>
    <w:rsid w:val="004B14CE"/>
    <w:rsid w:val="004B1545"/>
    <w:rsid w:val="004B162A"/>
    <w:rsid w:val="004B1891"/>
    <w:rsid w:val="004B18AC"/>
    <w:rsid w:val="004B18E5"/>
    <w:rsid w:val="004B1A51"/>
    <w:rsid w:val="004B1AFB"/>
    <w:rsid w:val="004B1B5C"/>
    <w:rsid w:val="004B1BB2"/>
    <w:rsid w:val="004B1C21"/>
    <w:rsid w:val="004B1C71"/>
    <w:rsid w:val="004B1D05"/>
    <w:rsid w:val="004B1D33"/>
    <w:rsid w:val="004B1E36"/>
    <w:rsid w:val="004B1E86"/>
    <w:rsid w:val="004B2205"/>
    <w:rsid w:val="004B23A2"/>
    <w:rsid w:val="004B245B"/>
    <w:rsid w:val="004B2676"/>
    <w:rsid w:val="004B26A1"/>
    <w:rsid w:val="004B2849"/>
    <w:rsid w:val="004B284F"/>
    <w:rsid w:val="004B2906"/>
    <w:rsid w:val="004B29F9"/>
    <w:rsid w:val="004B2BE8"/>
    <w:rsid w:val="004B2CBE"/>
    <w:rsid w:val="004B2CD0"/>
    <w:rsid w:val="004B2CE0"/>
    <w:rsid w:val="004B2D43"/>
    <w:rsid w:val="004B2D46"/>
    <w:rsid w:val="004B2D50"/>
    <w:rsid w:val="004B2F1E"/>
    <w:rsid w:val="004B3182"/>
    <w:rsid w:val="004B31F9"/>
    <w:rsid w:val="004B3229"/>
    <w:rsid w:val="004B3238"/>
    <w:rsid w:val="004B3275"/>
    <w:rsid w:val="004B33E9"/>
    <w:rsid w:val="004B3438"/>
    <w:rsid w:val="004B3499"/>
    <w:rsid w:val="004B3619"/>
    <w:rsid w:val="004B36E3"/>
    <w:rsid w:val="004B38C7"/>
    <w:rsid w:val="004B3978"/>
    <w:rsid w:val="004B3B4D"/>
    <w:rsid w:val="004B3C17"/>
    <w:rsid w:val="004B3CDA"/>
    <w:rsid w:val="004B3E2A"/>
    <w:rsid w:val="004B3F0D"/>
    <w:rsid w:val="004B409A"/>
    <w:rsid w:val="004B40B9"/>
    <w:rsid w:val="004B4258"/>
    <w:rsid w:val="004B42CF"/>
    <w:rsid w:val="004B432A"/>
    <w:rsid w:val="004B45B2"/>
    <w:rsid w:val="004B4694"/>
    <w:rsid w:val="004B48E4"/>
    <w:rsid w:val="004B4AC5"/>
    <w:rsid w:val="004B4B7F"/>
    <w:rsid w:val="004B4C4D"/>
    <w:rsid w:val="004B4E27"/>
    <w:rsid w:val="004B4FDF"/>
    <w:rsid w:val="004B508A"/>
    <w:rsid w:val="004B50CB"/>
    <w:rsid w:val="004B5148"/>
    <w:rsid w:val="004B527E"/>
    <w:rsid w:val="004B5390"/>
    <w:rsid w:val="004B5411"/>
    <w:rsid w:val="004B5729"/>
    <w:rsid w:val="004B5793"/>
    <w:rsid w:val="004B57B7"/>
    <w:rsid w:val="004B588B"/>
    <w:rsid w:val="004B5917"/>
    <w:rsid w:val="004B59CB"/>
    <w:rsid w:val="004B5A74"/>
    <w:rsid w:val="004B5BAE"/>
    <w:rsid w:val="004B5BCC"/>
    <w:rsid w:val="004B5D46"/>
    <w:rsid w:val="004B5E07"/>
    <w:rsid w:val="004B5E0F"/>
    <w:rsid w:val="004B5EC3"/>
    <w:rsid w:val="004B6011"/>
    <w:rsid w:val="004B60B5"/>
    <w:rsid w:val="004B60B7"/>
    <w:rsid w:val="004B610B"/>
    <w:rsid w:val="004B61FB"/>
    <w:rsid w:val="004B623B"/>
    <w:rsid w:val="004B6257"/>
    <w:rsid w:val="004B62FE"/>
    <w:rsid w:val="004B6399"/>
    <w:rsid w:val="004B64EA"/>
    <w:rsid w:val="004B64F0"/>
    <w:rsid w:val="004B65D2"/>
    <w:rsid w:val="004B6601"/>
    <w:rsid w:val="004B665B"/>
    <w:rsid w:val="004B6672"/>
    <w:rsid w:val="004B66FD"/>
    <w:rsid w:val="004B682F"/>
    <w:rsid w:val="004B69DF"/>
    <w:rsid w:val="004B6A05"/>
    <w:rsid w:val="004B6A1A"/>
    <w:rsid w:val="004B6AA9"/>
    <w:rsid w:val="004B6ACA"/>
    <w:rsid w:val="004B6ADE"/>
    <w:rsid w:val="004B6B1E"/>
    <w:rsid w:val="004B6C30"/>
    <w:rsid w:val="004B6CE9"/>
    <w:rsid w:val="004B6EBB"/>
    <w:rsid w:val="004B70FD"/>
    <w:rsid w:val="004B7121"/>
    <w:rsid w:val="004B7175"/>
    <w:rsid w:val="004B736A"/>
    <w:rsid w:val="004B73BC"/>
    <w:rsid w:val="004B73E2"/>
    <w:rsid w:val="004B7480"/>
    <w:rsid w:val="004B74CC"/>
    <w:rsid w:val="004B7609"/>
    <w:rsid w:val="004B77DC"/>
    <w:rsid w:val="004B7871"/>
    <w:rsid w:val="004B7955"/>
    <w:rsid w:val="004B79D4"/>
    <w:rsid w:val="004B7B68"/>
    <w:rsid w:val="004B7B6B"/>
    <w:rsid w:val="004B7D1A"/>
    <w:rsid w:val="004B7D88"/>
    <w:rsid w:val="004B7D90"/>
    <w:rsid w:val="004B7DFC"/>
    <w:rsid w:val="004B7EB8"/>
    <w:rsid w:val="004B7F86"/>
    <w:rsid w:val="004B7FCF"/>
    <w:rsid w:val="004C000A"/>
    <w:rsid w:val="004C0033"/>
    <w:rsid w:val="004C00BD"/>
    <w:rsid w:val="004C026C"/>
    <w:rsid w:val="004C0280"/>
    <w:rsid w:val="004C02F3"/>
    <w:rsid w:val="004C0358"/>
    <w:rsid w:val="004C038B"/>
    <w:rsid w:val="004C03C9"/>
    <w:rsid w:val="004C06CF"/>
    <w:rsid w:val="004C06DD"/>
    <w:rsid w:val="004C0855"/>
    <w:rsid w:val="004C08A6"/>
    <w:rsid w:val="004C0A5A"/>
    <w:rsid w:val="004C0B0A"/>
    <w:rsid w:val="004C0B49"/>
    <w:rsid w:val="004C0B57"/>
    <w:rsid w:val="004C0BA4"/>
    <w:rsid w:val="004C0BFD"/>
    <w:rsid w:val="004C0D06"/>
    <w:rsid w:val="004C0D7C"/>
    <w:rsid w:val="004C0DF8"/>
    <w:rsid w:val="004C0E16"/>
    <w:rsid w:val="004C0E81"/>
    <w:rsid w:val="004C100A"/>
    <w:rsid w:val="004C101C"/>
    <w:rsid w:val="004C105E"/>
    <w:rsid w:val="004C10DE"/>
    <w:rsid w:val="004C12E0"/>
    <w:rsid w:val="004C13CE"/>
    <w:rsid w:val="004C13D6"/>
    <w:rsid w:val="004C14DE"/>
    <w:rsid w:val="004C151E"/>
    <w:rsid w:val="004C1593"/>
    <w:rsid w:val="004C1729"/>
    <w:rsid w:val="004C1765"/>
    <w:rsid w:val="004C17A4"/>
    <w:rsid w:val="004C186B"/>
    <w:rsid w:val="004C1890"/>
    <w:rsid w:val="004C19D5"/>
    <w:rsid w:val="004C1BF1"/>
    <w:rsid w:val="004C1C4E"/>
    <w:rsid w:val="004C1CF1"/>
    <w:rsid w:val="004C1DDE"/>
    <w:rsid w:val="004C1F54"/>
    <w:rsid w:val="004C1F5E"/>
    <w:rsid w:val="004C1FD6"/>
    <w:rsid w:val="004C2129"/>
    <w:rsid w:val="004C226A"/>
    <w:rsid w:val="004C227C"/>
    <w:rsid w:val="004C22F0"/>
    <w:rsid w:val="004C2454"/>
    <w:rsid w:val="004C2560"/>
    <w:rsid w:val="004C27EA"/>
    <w:rsid w:val="004C2823"/>
    <w:rsid w:val="004C289B"/>
    <w:rsid w:val="004C290E"/>
    <w:rsid w:val="004C299F"/>
    <w:rsid w:val="004C2AFD"/>
    <w:rsid w:val="004C2B7A"/>
    <w:rsid w:val="004C2BE1"/>
    <w:rsid w:val="004C2DB4"/>
    <w:rsid w:val="004C2DDF"/>
    <w:rsid w:val="004C2E4D"/>
    <w:rsid w:val="004C2E65"/>
    <w:rsid w:val="004C2ED8"/>
    <w:rsid w:val="004C2F11"/>
    <w:rsid w:val="004C2F5A"/>
    <w:rsid w:val="004C2FA4"/>
    <w:rsid w:val="004C3019"/>
    <w:rsid w:val="004C307B"/>
    <w:rsid w:val="004C30F5"/>
    <w:rsid w:val="004C31F0"/>
    <w:rsid w:val="004C3255"/>
    <w:rsid w:val="004C32A4"/>
    <w:rsid w:val="004C3572"/>
    <w:rsid w:val="004C3596"/>
    <w:rsid w:val="004C3757"/>
    <w:rsid w:val="004C379A"/>
    <w:rsid w:val="004C37FA"/>
    <w:rsid w:val="004C3814"/>
    <w:rsid w:val="004C3B1F"/>
    <w:rsid w:val="004C3B49"/>
    <w:rsid w:val="004C3B62"/>
    <w:rsid w:val="004C3B77"/>
    <w:rsid w:val="004C3D5C"/>
    <w:rsid w:val="004C3E9A"/>
    <w:rsid w:val="004C3F35"/>
    <w:rsid w:val="004C3F73"/>
    <w:rsid w:val="004C3F8B"/>
    <w:rsid w:val="004C4118"/>
    <w:rsid w:val="004C4166"/>
    <w:rsid w:val="004C419E"/>
    <w:rsid w:val="004C4332"/>
    <w:rsid w:val="004C439B"/>
    <w:rsid w:val="004C439E"/>
    <w:rsid w:val="004C4414"/>
    <w:rsid w:val="004C4443"/>
    <w:rsid w:val="004C450F"/>
    <w:rsid w:val="004C454B"/>
    <w:rsid w:val="004C4625"/>
    <w:rsid w:val="004C4662"/>
    <w:rsid w:val="004C46FE"/>
    <w:rsid w:val="004C470C"/>
    <w:rsid w:val="004C47C1"/>
    <w:rsid w:val="004C4823"/>
    <w:rsid w:val="004C48DA"/>
    <w:rsid w:val="004C4A2A"/>
    <w:rsid w:val="004C4BF8"/>
    <w:rsid w:val="004C4D2B"/>
    <w:rsid w:val="004C4D38"/>
    <w:rsid w:val="004C4F3B"/>
    <w:rsid w:val="004C4F7A"/>
    <w:rsid w:val="004C4F86"/>
    <w:rsid w:val="004C4FE6"/>
    <w:rsid w:val="004C5013"/>
    <w:rsid w:val="004C5138"/>
    <w:rsid w:val="004C516C"/>
    <w:rsid w:val="004C5261"/>
    <w:rsid w:val="004C5322"/>
    <w:rsid w:val="004C53F6"/>
    <w:rsid w:val="004C5423"/>
    <w:rsid w:val="004C54C9"/>
    <w:rsid w:val="004C552C"/>
    <w:rsid w:val="004C554E"/>
    <w:rsid w:val="004C564F"/>
    <w:rsid w:val="004C573D"/>
    <w:rsid w:val="004C57CD"/>
    <w:rsid w:val="004C57ED"/>
    <w:rsid w:val="004C5880"/>
    <w:rsid w:val="004C58A4"/>
    <w:rsid w:val="004C59E8"/>
    <w:rsid w:val="004C5B16"/>
    <w:rsid w:val="004C5BD7"/>
    <w:rsid w:val="004C5C06"/>
    <w:rsid w:val="004C5C95"/>
    <w:rsid w:val="004C5D05"/>
    <w:rsid w:val="004C5D68"/>
    <w:rsid w:val="004C5E92"/>
    <w:rsid w:val="004C5FB0"/>
    <w:rsid w:val="004C60F0"/>
    <w:rsid w:val="004C6193"/>
    <w:rsid w:val="004C619D"/>
    <w:rsid w:val="004C61AA"/>
    <w:rsid w:val="004C61D9"/>
    <w:rsid w:val="004C6254"/>
    <w:rsid w:val="004C62F7"/>
    <w:rsid w:val="004C645C"/>
    <w:rsid w:val="004C65A5"/>
    <w:rsid w:val="004C65BF"/>
    <w:rsid w:val="004C6604"/>
    <w:rsid w:val="004C6670"/>
    <w:rsid w:val="004C669C"/>
    <w:rsid w:val="004C68CF"/>
    <w:rsid w:val="004C698B"/>
    <w:rsid w:val="004C69F7"/>
    <w:rsid w:val="004C6BF9"/>
    <w:rsid w:val="004C6C5A"/>
    <w:rsid w:val="004C6C8C"/>
    <w:rsid w:val="004C6CD9"/>
    <w:rsid w:val="004C6D93"/>
    <w:rsid w:val="004C6DDA"/>
    <w:rsid w:val="004C6E3D"/>
    <w:rsid w:val="004C6E4C"/>
    <w:rsid w:val="004C7075"/>
    <w:rsid w:val="004C70C6"/>
    <w:rsid w:val="004C7196"/>
    <w:rsid w:val="004C72E5"/>
    <w:rsid w:val="004C72F9"/>
    <w:rsid w:val="004C7351"/>
    <w:rsid w:val="004C73C2"/>
    <w:rsid w:val="004C74F1"/>
    <w:rsid w:val="004C74FB"/>
    <w:rsid w:val="004C7593"/>
    <w:rsid w:val="004C7698"/>
    <w:rsid w:val="004C76C3"/>
    <w:rsid w:val="004C76F9"/>
    <w:rsid w:val="004C7714"/>
    <w:rsid w:val="004C77DB"/>
    <w:rsid w:val="004C7886"/>
    <w:rsid w:val="004C799C"/>
    <w:rsid w:val="004C79E7"/>
    <w:rsid w:val="004C79F8"/>
    <w:rsid w:val="004C7AB4"/>
    <w:rsid w:val="004C7B08"/>
    <w:rsid w:val="004C7B40"/>
    <w:rsid w:val="004C7CBB"/>
    <w:rsid w:val="004C7D61"/>
    <w:rsid w:val="004C7FC7"/>
    <w:rsid w:val="004D00E4"/>
    <w:rsid w:val="004D016B"/>
    <w:rsid w:val="004D020B"/>
    <w:rsid w:val="004D0422"/>
    <w:rsid w:val="004D046D"/>
    <w:rsid w:val="004D0582"/>
    <w:rsid w:val="004D0640"/>
    <w:rsid w:val="004D07AC"/>
    <w:rsid w:val="004D0850"/>
    <w:rsid w:val="004D0862"/>
    <w:rsid w:val="004D0A3D"/>
    <w:rsid w:val="004D0AC7"/>
    <w:rsid w:val="004D0B28"/>
    <w:rsid w:val="004D0C51"/>
    <w:rsid w:val="004D0CEA"/>
    <w:rsid w:val="004D0CFF"/>
    <w:rsid w:val="004D0D5F"/>
    <w:rsid w:val="004D0DA1"/>
    <w:rsid w:val="004D0DD7"/>
    <w:rsid w:val="004D0E2E"/>
    <w:rsid w:val="004D0E89"/>
    <w:rsid w:val="004D0EE3"/>
    <w:rsid w:val="004D0EF7"/>
    <w:rsid w:val="004D1346"/>
    <w:rsid w:val="004D157F"/>
    <w:rsid w:val="004D1624"/>
    <w:rsid w:val="004D1628"/>
    <w:rsid w:val="004D1654"/>
    <w:rsid w:val="004D165C"/>
    <w:rsid w:val="004D1848"/>
    <w:rsid w:val="004D1884"/>
    <w:rsid w:val="004D1916"/>
    <w:rsid w:val="004D1AB2"/>
    <w:rsid w:val="004D1D25"/>
    <w:rsid w:val="004D1EF7"/>
    <w:rsid w:val="004D1FA6"/>
    <w:rsid w:val="004D201C"/>
    <w:rsid w:val="004D2095"/>
    <w:rsid w:val="004D2106"/>
    <w:rsid w:val="004D2142"/>
    <w:rsid w:val="004D2176"/>
    <w:rsid w:val="004D22C7"/>
    <w:rsid w:val="004D22F7"/>
    <w:rsid w:val="004D233A"/>
    <w:rsid w:val="004D2588"/>
    <w:rsid w:val="004D26AF"/>
    <w:rsid w:val="004D2788"/>
    <w:rsid w:val="004D286B"/>
    <w:rsid w:val="004D28EA"/>
    <w:rsid w:val="004D295A"/>
    <w:rsid w:val="004D29CB"/>
    <w:rsid w:val="004D2A27"/>
    <w:rsid w:val="004D2B6E"/>
    <w:rsid w:val="004D2C0F"/>
    <w:rsid w:val="004D2CE3"/>
    <w:rsid w:val="004D2DDB"/>
    <w:rsid w:val="004D2E1D"/>
    <w:rsid w:val="004D2E65"/>
    <w:rsid w:val="004D2E81"/>
    <w:rsid w:val="004D2ECD"/>
    <w:rsid w:val="004D324F"/>
    <w:rsid w:val="004D32BC"/>
    <w:rsid w:val="004D32C8"/>
    <w:rsid w:val="004D359E"/>
    <w:rsid w:val="004D3663"/>
    <w:rsid w:val="004D36E0"/>
    <w:rsid w:val="004D36F3"/>
    <w:rsid w:val="004D39BE"/>
    <w:rsid w:val="004D3A79"/>
    <w:rsid w:val="004D3BF1"/>
    <w:rsid w:val="004D3C36"/>
    <w:rsid w:val="004D3C50"/>
    <w:rsid w:val="004D3CB8"/>
    <w:rsid w:val="004D3D3E"/>
    <w:rsid w:val="004D3D86"/>
    <w:rsid w:val="004D4001"/>
    <w:rsid w:val="004D4059"/>
    <w:rsid w:val="004D40F2"/>
    <w:rsid w:val="004D4150"/>
    <w:rsid w:val="004D4225"/>
    <w:rsid w:val="004D424C"/>
    <w:rsid w:val="004D425D"/>
    <w:rsid w:val="004D433C"/>
    <w:rsid w:val="004D43AF"/>
    <w:rsid w:val="004D442B"/>
    <w:rsid w:val="004D45B4"/>
    <w:rsid w:val="004D469D"/>
    <w:rsid w:val="004D47C9"/>
    <w:rsid w:val="004D4976"/>
    <w:rsid w:val="004D4B59"/>
    <w:rsid w:val="004D4BB3"/>
    <w:rsid w:val="004D4C26"/>
    <w:rsid w:val="004D4D11"/>
    <w:rsid w:val="004D4F01"/>
    <w:rsid w:val="004D4F8B"/>
    <w:rsid w:val="004D5002"/>
    <w:rsid w:val="004D502E"/>
    <w:rsid w:val="004D50EB"/>
    <w:rsid w:val="004D5254"/>
    <w:rsid w:val="004D5278"/>
    <w:rsid w:val="004D52F6"/>
    <w:rsid w:val="004D5390"/>
    <w:rsid w:val="004D5408"/>
    <w:rsid w:val="004D540C"/>
    <w:rsid w:val="004D5602"/>
    <w:rsid w:val="004D56E4"/>
    <w:rsid w:val="004D5781"/>
    <w:rsid w:val="004D5785"/>
    <w:rsid w:val="004D57F2"/>
    <w:rsid w:val="004D5A67"/>
    <w:rsid w:val="004D5A9E"/>
    <w:rsid w:val="004D5B27"/>
    <w:rsid w:val="004D5C88"/>
    <w:rsid w:val="004D5D4E"/>
    <w:rsid w:val="004D5D63"/>
    <w:rsid w:val="004D5FB8"/>
    <w:rsid w:val="004D6028"/>
    <w:rsid w:val="004D62A3"/>
    <w:rsid w:val="004D630D"/>
    <w:rsid w:val="004D634F"/>
    <w:rsid w:val="004D6439"/>
    <w:rsid w:val="004D657B"/>
    <w:rsid w:val="004D65FE"/>
    <w:rsid w:val="004D6638"/>
    <w:rsid w:val="004D6707"/>
    <w:rsid w:val="004D69F0"/>
    <w:rsid w:val="004D6B53"/>
    <w:rsid w:val="004D6B93"/>
    <w:rsid w:val="004D6C14"/>
    <w:rsid w:val="004D6EB5"/>
    <w:rsid w:val="004D6F3D"/>
    <w:rsid w:val="004D6F5E"/>
    <w:rsid w:val="004D6FE7"/>
    <w:rsid w:val="004D7022"/>
    <w:rsid w:val="004D70AF"/>
    <w:rsid w:val="004D7161"/>
    <w:rsid w:val="004D7219"/>
    <w:rsid w:val="004D72BC"/>
    <w:rsid w:val="004D730C"/>
    <w:rsid w:val="004D7565"/>
    <w:rsid w:val="004D7638"/>
    <w:rsid w:val="004D764B"/>
    <w:rsid w:val="004D770B"/>
    <w:rsid w:val="004D7785"/>
    <w:rsid w:val="004D7828"/>
    <w:rsid w:val="004D7918"/>
    <w:rsid w:val="004D7946"/>
    <w:rsid w:val="004D797C"/>
    <w:rsid w:val="004D7A36"/>
    <w:rsid w:val="004D7B23"/>
    <w:rsid w:val="004D7BAA"/>
    <w:rsid w:val="004D7BB1"/>
    <w:rsid w:val="004D7C84"/>
    <w:rsid w:val="004D7D36"/>
    <w:rsid w:val="004D7E04"/>
    <w:rsid w:val="004D7E6B"/>
    <w:rsid w:val="004D7EA9"/>
    <w:rsid w:val="004D7FB3"/>
    <w:rsid w:val="004E004D"/>
    <w:rsid w:val="004E0293"/>
    <w:rsid w:val="004E02E3"/>
    <w:rsid w:val="004E0335"/>
    <w:rsid w:val="004E04D5"/>
    <w:rsid w:val="004E0588"/>
    <w:rsid w:val="004E05CB"/>
    <w:rsid w:val="004E05D7"/>
    <w:rsid w:val="004E05FF"/>
    <w:rsid w:val="004E06B1"/>
    <w:rsid w:val="004E06D3"/>
    <w:rsid w:val="004E06DB"/>
    <w:rsid w:val="004E06E6"/>
    <w:rsid w:val="004E0734"/>
    <w:rsid w:val="004E0888"/>
    <w:rsid w:val="004E08A3"/>
    <w:rsid w:val="004E094D"/>
    <w:rsid w:val="004E0983"/>
    <w:rsid w:val="004E0A4D"/>
    <w:rsid w:val="004E0A93"/>
    <w:rsid w:val="004E0B80"/>
    <w:rsid w:val="004E0C13"/>
    <w:rsid w:val="004E0C16"/>
    <w:rsid w:val="004E0CDA"/>
    <w:rsid w:val="004E0DDB"/>
    <w:rsid w:val="004E0E91"/>
    <w:rsid w:val="004E0E9A"/>
    <w:rsid w:val="004E10A1"/>
    <w:rsid w:val="004E1155"/>
    <w:rsid w:val="004E1394"/>
    <w:rsid w:val="004E1413"/>
    <w:rsid w:val="004E1465"/>
    <w:rsid w:val="004E146E"/>
    <w:rsid w:val="004E15F8"/>
    <w:rsid w:val="004E1627"/>
    <w:rsid w:val="004E1644"/>
    <w:rsid w:val="004E1699"/>
    <w:rsid w:val="004E16A2"/>
    <w:rsid w:val="004E1735"/>
    <w:rsid w:val="004E1961"/>
    <w:rsid w:val="004E19C3"/>
    <w:rsid w:val="004E1A4C"/>
    <w:rsid w:val="004E1A6E"/>
    <w:rsid w:val="004E1AEF"/>
    <w:rsid w:val="004E1B83"/>
    <w:rsid w:val="004E1D95"/>
    <w:rsid w:val="004E1D98"/>
    <w:rsid w:val="004E1E4F"/>
    <w:rsid w:val="004E1F3B"/>
    <w:rsid w:val="004E2115"/>
    <w:rsid w:val="004E211E"/>
    <w:rsid w:val="004E214E"/>
    <w:rsid w:val="004E2194"/>
    <w:rsid w:val="004E22D1"/>
    <w:rsid w:val="004E240E"/>
    <w:rsid w:val="004E2423"/>
    <w:rsid w:val="004E2496"/>
    <w:rsid w:val="004E24A3"/>
    <w:rsid w:val="004E24B7"/>
    <w:rsid w:val="004E2508"/>
    <w:rsid w:val="004E2522"/>
    <w:rsid w:val="004E2523"/>
    <w:rsid w:val="004E2561"/>
    <w:rsid w:val="004E2599"/>
    <w:rsid w:val="004E2644"/>
    <w:rsid w:val="004E27B6"/>
    <w:rsid w:val="004E27C4"/>
    <w:rsid w:val="004E27E6"/>
    <w:rsid w:val="004E2864"/>
    <w:rsid w:val="004E29C1"/>
    <w:rsid w:val="004E2A95"/>
    <w:rsid w:val="004E2BB5"/>
    <w:rsid w:val="004E2C3C"/>
    <w:rsid w:val="004E2D7B"/>
    <w:rsid w:val="004E2D93"/>
    <w:rsid w:val="004E2F3D"/>
    <w:rsid w:val="004E2F59"/>
    <w:rsid w:val="004E30BB"/>
    <w:rsid w:val="004E30E4"/>
    <w:rsid w:val="004E30F1"/>
    <w:rsid w:val="004E312F"/>
    <w:rsid w:val="004E3138"/>
    <w:rsid w:val="004E314E"/>
    <w:rsid w:val="004E3267"/>
    <w:rsid w:val="004E32A8"/>
    <w:rsid w:val="004E32DA"/>
    <w:rsid w:val="004E3304"/>
    <w:rsid w:val="004E3310"/>
    <w:rsid w:val="004E33C2"/>
    <w:rsid w:val="004E3475"/>
    <w:rsid w:val="004E3546"/>
    <w:rsid w:val="004E3568"/>
    <w:rsid w:val="004E35EF"/>
    <w:rsid w:val="004E36E1"/>
    <w:rsid w:val="004E37AF"/>
    <w:rsid w:val="004E38AB"/>
    <w:rsid w:val="004E3968"/>
    <w:rsid w:val="004E3BC0"/>
    <w:rsid w:val="004E3D0B"/>
    <w:rsid w:val="004E3D23"/>
    <w:rsid w:val="004E3E9F"/>
    <w:rsid w:val="004E3EA4"/>
    <w:rsid w:val="004E3F46"/>
    <w:rsid w:val="004E405E"/>
    <w:rsid w:val="004E41E0"/>
    <w:rsid w:val="004E42AE"/>
    <w:rsid w:val="004E4315"/>
    <w:rsid w:val="004E434F"/>
    <w:rsid w:val="004E4638"/>
    <w:rsid w:val="004E4668"/>
    <w:rsid w:val="004E4892"/>
    <w:rsid w:val="004E4934"/>
    <w:rsid w:val="004E4A4B"/>
    <w:rsid w:val="004E4BE8"/>
    <w:rsid w:val="004E4C42"/>
    <w:rsid w:val="004E4D10"/>
    <w:rsid w:val="004E4D11"/>
    <w:rsid w:val="004E4DE6"/>
    <w:rsid w:val="004E4E4D"/>
    <w:rsid w:val="004E4EF7"/>
    <w:rsid w:val="004E4F3A"/>
    <w:rsid w:val="004E4F86"/>
    <w:rsid w:val="004E5060"/>
    <w:rsid w:val="004E50D6"/>
    <w:rsid w:val="004E50F3"/>
    <w:rsid w:val="004E5116"/>
    <w:rsid w:val="004E5155"/>
    <w:rsid w:val="004E51A2"/>
    <w:rsid w:val="004E51CD"/>
    <w:rsid w:val="004E538F"/>
    <w:rsid w:val="004E53F2"/>
    <w:rsid w:val="004E5409"/>
    <w:rsid w:val="004E542D"/>
    <w:rsid w:val="004E548D"/>
    <w:rsid w:val="004E54B5"/>
    <w:rsid w:val="004E5560"/>
    <w:rsid w:val="004E55C2"/>
    <w:rsid w:val="004E55D1"/>
    <w:rsid w:val="004E5756"/>
    <w:rsid w:val="004E576E"/>
    <w:rsid w:val="004E5874"/>
    <w:rsid w:val="004E5937"/>
    <w:rsid w:val="004E5952"/>
    <w:rsid w:val="004E5AEA"/>
    <w:rsid w:val="004E5BAA"/>
    <w:rsid w:val="004E5C04"/>
    <w:rsid w:val="004E5C63"/>
    <w:rsid w:val="004E5CDB"/>
    <w:rsid w:val="004E5DE9"/>
    <w:rsid w:val="004E6094"/>
    <w:rsid w:val="004E60F0"/>
    <w:rsid w:val="004E638E"/>
    <w:rsid w:val="004E654E"/>
    <w:rsid w:val="004E6566"/>
    <w:rsid w:val="004E66AC"/>
    <w:rsid w:val="004E6706"/>
    <w:rsid w:val="004E6742"/>
    <w:rsid w:val="004E6959"/>
    <w:rsid w:val="004E6A0B"/>
    <w:rsid w:val="004E6D1C"/>
    <w:rsid w:val="004E6D2C"/>
    <w:rsid w:val="004E6D5C"/>
    <w:rsid w:val="004E6E8E"/>
    <w:rsid w:val="004E6EFA"/>
    <w:rsid w:val="004E7027"/>
    <w:rsid w:val="004E7056"/>
    <w:rsid w:val="004E71CB"/>
    <w:rsid w:val="004E721D"/>
    <w:rsid w:val="004E729B"/>
    <w:rsid w:val="004E729E"/>
    <w:rsid w:val="004E73C8"/>
    <w:rsid w:val="004E7510"/>
    <w:rsid w:val="004E7618"/>
    <w:rsid w:val="004E777D"/>
    <w:rsid w:val="004E77A4"/>
    <w:rsid w:val="004E784F"/>
    <w:rsid w:val="004E79B8"/>
    <w:rsid w:val="004E7BED"/>
    <w:rsid w:val="004E7C99"/>
    <w:rsid w:val="004E7E93"/>
    <w:rsid w:val="004E7F84"/>
    <w:rsid w:val="004E7FA4"/>
    <w:rsid w:val="004F0037"/>
    <w:rsid w:val="004F0228"/>
    <w:rsid w:val="004F03A1"/>
    <w:rsid w:val="004F03AC"/>
    <w:rsid w:val="004F0402"/>
    <w:rsid w:val="004F053A"/>
    <w:rsid w:val="004F053C"/>
    <w:rsid w:val="004F0599"/>
    <w:rsid w:val="004F0791"/>
    <w:rsid w:val="004F079E"/>
    <w:rsid w:val="004F07B6"/>
    <w:rsid w:val="004F084A"/>
    <w:rsid w:val="004F0ABF"/>
    <w:rsid w:val="004F0B6B"/>
    <w:rsid w:val="004F0C16"/>
    <w:rsid w:val="004F0C8F"/>
    <w:rsid w:val="004F0C9D"/>
    <w:rsid w:val="004F0D81"/>
    <w:rsid w:val="004F0E30"/>
    <w:rsid w:val="004F0FC8"/>
    <w:rsid w:val="004F0FCF"/>
    <w:rsid w:val="004F1052"/>
    <w:rsid w:val="004F10AD"/>
    <w:rsid w:val="004F10C2"/>
    <w:rsid w:val="004F1163"/>
    <w:rsid w:val="004F11D6"/>
    <w:rsid w:val="004F11D7"/>
    <w:rsid w:val="004F1232"/>
    <w:rsid w:val="004F123D"/>
    <w:rsid w:val="004F1426"/>
    <w:rsid w:val="004F1451"/>
    <w:rsid w:val="004F1474"/>
    <w:rsid w:val="004F1541"/>
    <w:rsid w:val="004F154D"/>
    <w:rsid w:val="004F1614"/>
    <w:rsid w:val="004F1648"/>
    <w:rsid w:val="004F16AF"/>
    <w:rsid w:val="004F171F"/>
    <w:rsid w:val="004F18A7"/>
    <w:rsid w:val="004F1951"/>
    <w:rsid w:val="004F1957"/>
    <w:rsid w:val="004F1976"/>
    <w:rsid w:val="004F1A64"/>
    <w:rsid w:val="004F1CC1"/>
    <w:rsid w:val="004F1D9D"/>
    <w:rsid w:val="004F1E25"/>
    <w:rsid w:val="004F1E6C"/>
    <w:rsid w:val="004F2049"/>
    <w:rsid w:val="004F20DB"/>
    <w:rsid w:val="004F20FB"/>
    <w:rsid w:val="004F231D"/>
    <w:rsid w:val="004F237A"/>
    <w:rsid w:val="004F238E"/>
    <w:rsid w:val="004F243E"/>
    <w:rsid w:val="004F24D4"/>
    <w:rsid w:val="004F253E"/>
    <w:rsid w:val="004F2609"/>
    <w:rsid w:val="004F2673"/>
    <w:rsid w:val="004F268C"/>
    <w:rsid w:val="004F27CB"/>
    <w:rsid w:val="004F2B5A"/>
    <w:rsid w:val="004F2BFE"/>
    <w:rsid w:val="004F2C20"/>
    <w:rsid w:val="004F2C39"/>
    <w:rsid w:val="004F2C74"/>
    <w:rsid w:val="004F2D9C"/>
    <w:rsid w:val="004F2F28"/>
    <w:rsid w:val="004F2FF0"/>
    <w:rsid w:val="004F30A3"/>
    <w:rsid w:val="004F3251"/>
    <w:rsid w:val="004F32B2"/>
    <w:rsid w:val="004F33FB"/>
    <w:rsid w:val="004F3405"/>
    <w:rsid w:val="004F34BE"/>
    <w:rsid w:val="004F35B7"/>
    <w:rsid w:val="004F35BF"/>
    <w:rsid w:val="004F3610"/>
    <w:rsid w:val="004F3662"/>
    <w:rsid w:val="004F390C"/>
    <w:rsid w:val="004F3A54"/>
    <w:rsid w:val="004F3BA4"/>
    <w:rsid w:val="004F3C31"/>
    <w:rsid w:val="004F3CB7"/>
    <w:rsid w:val="004F3E8D"/>
    <w:rsid w:val="004F3EC5"/>
    <w:rsid w:val="004F3F55"/>
    <w:rsid w:val="004F4065"/>
    <w:rsid w:val="004F415E"/>
    <w:rsid w:val="004F418D"/>
    <w:rsid w:val="004F4289"/>
    <w:rsid w:val="004F42E7"/>
    <w:rsid w:val="004F4403"/>
    <w:rsid w:val="004F4520"/>
    <w:rsid w:val="004F488A"/>
    <w:rsid w:val="004F489A"/>
    <w:rsid w:val="004F48E1"/>
    <w:rsid w:val="004F4937"/>
    <w:rsid w:val="004F49D7"/>
    <w:rsid w:val="004F49F8"/>
    <w:rsid w:val="004F4F6E"/>
    <w:rsid w:val="004F50C9"/>
    <w:rsid w:val="004F514C"/>
    <w:rsid w:val="004F5181"/>
    <w:rsid w:val="004F524C"/>
    <w:rsid w:val="004F557A"/>
    <w:rsid w:val="004F574D"/>
    <w:rsid w:val="004F57FB"/>
    <w:rsid w:val="004F5817"/>
    <w:rsid w:val="004F5831"/>
    <w:rsid w:val="004F5852"/>
    <w:rsid w:val="004F585D"/>
    <w:rsid w:val="004F5974"/>
    <w:rsid w:val="004F5AED"/>
    <w:rsid w:val="004F5C30"/>
    <w:rsid w:val="004F5C64"/>
    <w:rsid w:val="004F5D89"/>
    <w:rsid w:val="004F5DA3"/>
    <w:rsid w:val="004F5E76"/>
    <w:rsid w:val="004F5E7C"/>
    <w:rsid w:val="004F5F02"/>
    <w:rsid w:val="004F5FF9"/>
    <w:rsid w:val="004F60EC"/>
    <w:rsid w:val="004F6147"/>
    <w:rsid w:val="004F615B"/>
    <w:rsid w:val="004F6261"/>
    <w:rsid w:val="004F62AC"/>
    <w:rsid w:val="004F62F4"/>
    <w:rsid w:val="004F6318"/>
    <w:rsid w:val="004F6444"/>
    <w:rsid w:val="004F6484"/>
    <w:rsid w:val="004F65B0"/>
    <w:rsid w:val="004F67A3"/>
    <w:rsid w:val="004F67D1"/>
    <w:rsid w:val="004F6910"/>
    <w:rsid w:val="004F6929"/>
    <w:rsid w:val="004F693F"/>
    <w:rsid w:val="004F696D"/>
    <w:rsid w:val="004F6A0F"/>
    <w:rsid w:val="004F6A49"/>
    <w:rsid w:val="004F6A99"/>
    <w:rsid w:val="004F6AA3"/>
    <w:rsid w:val="004F6AFA"/>
    <w:rsid w:val="004F6BAC"/>
    <w:rsid w:val="004F6BAE"/>
    <w:rsid w:val="004F6E28"/>
    <w:rsid w:val="004F6EAC"/>
    <w:rsid w:val="004F6EAE"/>
    <w:rsid w:val="004F7002"/>
    <w:rsid w:val="004F706C"/>
    <w:rsid w:val="004F71FC"/>
    <w:rsid w:val="004F7236"/>
    <w:rsid w:val="004F72B4"/>
    <w:rsid w:val="004F7322"/>
    <w:rsid w:val="004F7350"/>
    <w:rsid w:val="004F7521"/>
    <w:rsid w:val="004F761B"/>
    <w:rsid w:val="004F762C"/>
    <w:rsid w:val="004F76BB"/>
    <w:rsid w:val="004F7852"/>
    <w:rsid w:val="004F7911"/>
    <w:rsid w:val="004F797D"/>
    <w:rsid w:val="004F7991"/>
    <w:rsid w:val="004F7A37"/>
    <w:rsid w:val="004F7A60"/>
    <w:rsid w:val="004F7AD1"/>
    <w:rsid w:val="004F7B5D"/>
    <w:rsid w:val="004F7C21"/>
    <w:rsid w:val="004F7C24"/>
    <w:rsid w:val="004F7CCA"/>
    <w:rsid w:val="004F7D62"/>
    <w:rsid w:val="004F7D67"/>
    <w:rsid w:val="004F7E18"/>
    <w:rsid w:val="004F7E3B"/>
    <w:rsid w:val="005000AA"/>
    <w:rsid w:val="0050012F"/>
    <w:rsid w:val="005001E6"/>
    <w:rsid w:val="00500240"/>
    <w:rsid w:val="0050032B"/>
    <w:rsid w:val="00500335"/>
    <w:rsid w:val="00500462"/>
    <w:rsid w:val="00500528"/>
    <w:rsid w:val="005005DC"/>
    <w:rsid w:val="0050061C"/>
    <w:rsid w:val="005006C6"/>
    <w:rsid w:val="00500722"/>
    <w:rsid w:val="00500740"/>
    <w:rsid w:val="00500785"/>
    <w:rsid w:val="00500945"/>
    <w:rsid w:val="00500951"/>
    <w:rsid w:val="005009AA"/>
    <w:rsid w:val="00500ADC"/>
    <w:rsid w:val="00500AEE"/>
    <w:rsid w:val="00500AF6"/>
    <w:rsid w:val="00500B40"/>
    <w:rsid w:val="00500BBF"/>
    <w:rsid w:val="00500C45"/>
    <w:rsid w:val="00500DA4"/>
    <w:rsid w:val="00500DC6"/>
    <w:rsid w:val="00500DE1"/>
    <w:rsid w:val="00500DE6"/>
    <w:rsid w:val="00500DFA"/>
    <w:rsid w:val="00500E06"/>
    <w:rsid w:val="00500ED5"/>
    <w:rsid w:val="00500F27"/>
    <w:rsid w:val="00500FD6"/>
    <w:rsid w:val="0050109F"/>
    <w:rsid w:val="0050117D"/>
    <w:rsid w:val="00501195"/>
    <w:rsid w:val="005012F3"/>
    <w:rsid w:val="00501315"/>
    <w:rsid w:val="00501826"/>
    <w:rsid w:val="005018CC"/>
    <w:rsid w:val="005019E3"/>
    <w:rsid w:val="00501B34"/>
    <w:rsid w:val="00501B8B"/>
    <w:rsid w:val="00501C5F"/>
    <w:rsid w:val="00501D14"/>
    <w:rsid w:val="00501D28"/>
    <w:rsid w:val="00501E81"/>
    <w:rsid w:val="00501E99"/>
    <w:rsid w:val="00501F1A"/>
    <w:rsid w:val="00502064"/>
    <w:rsid w:val="005020A0"/>
    <w:rsid w:val="005022FF"/>
    <w:rsid w:val="00502387"/>
    <w:rsid w:val="005023D0"/>
    <w:rsid w:val="00502502"/>
    <w:rsid w:val="0050255A"/>
    <w:rsid w:val="005025DD"/>
    <w:rsid w:val="005026F2"/>
    <w:rsid w:val="005027BE"/>
    <w:rsid w:val="00502952"/>
    <w:rsid w:val="00502A52"/>
    <w:rsid w:val="00502AA7"/>
    <w:rsid w:val="00502BCB"/>
    <w:rsid w:val="00502CBB"/>
    <w:rsid w:val="00502D5E"/>
    <w:rsid w:val="00502DF7"/>
    <w:rsid w:val="00502EEB"/>
    <w:rsid w:val="00502FB2"/>
    <w:rsid w:val="005032E2"/>
    <w:rsid w:val="00503354"/>
    <w:rsid w:val="00503385"/>
    <w:rsid w:val="0050341F"/>
    <w:rsid w:val="00503477"/>
    <w:rsid w:val="005034A7"/>
    <w:rsid w:val="00503507"/>
    <w:rsid w:val="005036A3"/>
    <w:rsid w:val="0050371A"/>
    <w:rsid w:val="00503737"/>
    <w:rsid w:val="005037DC"/>
    <w:rsid w:val="00503801"/>
    <w:rsid w:val="0050380D"/>
    <w:rsid w:val="00503A09"/>
    <w:rsid w:val="00503AB2"/>
    <w:rsid w:val="00503ABE"/>
    <w:rsid w:val="00503C14"/>
    <w:rsid w:val="00503C1F"/>
    <w:rsid w:val="00503CA6"/>
    <w:rsid w:val="00503CAE"/>
    <w:rsid w:val="00503CEB"/>
    <w:rsid w:val="00503E05"/>
    <w:rsid w:val="00504104"/>
    <w:rsid w:val="00504128"/>
    <w:rsid w:val="00504194"/>
    <w:rsid w:val="0050419C"/>
    <w:rsid w:val="00504242"/>
    <w:rsid w:val="00504323"/>
    <w:rsid w:val="00504404"/>
    <w:rsid w:val="00504409"/>
    <w:rsid w:val="005046A4"/>
    <w:rsid w:val="005046B7"/>
    <w:rsid w:val="005046E6"/>
    <w:rsid w:val="0050498B"/>
    <w:rsid w:val="00504AC2"/>
    <w:rsid w:val="00504B12"/>
    <w:rsid w:val="00504B7D"/>
    <w:rsid w:val="00504BDB"/>
    <w:rsid w:val="00504C04"/>
    <w:rsid w:val="00504C6D"/>
    <w:rsid w:val="00504DAB"/>
    <w:rsid w:val="00504DE2"/>
    <w:rsid w:val="00504F15"/>
    <w:rsid w:val="00504F1A"/>
    <w:rsid w:val="00504FB5"/>
    <w:rsid w:val="00505024"/>
    <w:rsid w:val="005051E9"/>
    <w:rsid w:val="00505338"/>
    <w:rsid w:val="0050537E"/>
    <w:rsid w:val="005053F0"/>
    <w:rsid w:val="005054AD"/>
    <w:rsid w:val="005054D3"/>
    <w:rsid w:val="0050554B"/>
    <w:rsid w:val="005055EA"/>
    <w:rsid w:val="0050562F"/>
    <w:rsid w:val="00505633"/>
    <w:rsid w:val="00505730"/>
    <w:rsid w:val="00505915"/>
    <w:rsid w:val="00505943"/>
    <w:rsid w:val="005059F2"/>
    <w:rsid w:val="00505B84"/>
    <w:rsid w:val="00505BD1"/>
    <w:rsid w:val="00505CB1"/>
    <w:rsid w:val="00505CB6"/>
    <w:rsid w:val="00505DDD"/>
    <w:rsid w:val="00505FB0"/>
    <w:rsid w:val="0050604A"/>
    <w:rsid w:val="00506129"/>
    <w:rsid w:val="00506142"/>
    <w:rsid w:val="005062A8"/>
    <w:rsid w:val="0050638C"/>
    <w:rsid w:val="0050646C"/>
    <w:rsid w:val="005065A8"/>
    <w:rsid w:val="005065C1"/>
    <w:rsid w:val="005066E4"/>
    <w:rsid w:val="0050674A"/>
    <w:rsid w:val="005068D4"/>
    <w:rsid w:val="00506970"/>
    <w:rsid w:val="005069AD"/>
    <w:rsid w:val="00506A71"/>
    <w:rsid w:val="00506A8C"/>
    <w:rsid w:val="00506E60"/>
    <w:rsid w:val="00506EDA"/>
    <w:rsid w:val="00506EF8"/>
    <w:rsid w:val="00507069"/>
    <w:rsid w:val="0050712E"/>
    <w:rsid w:val="005071A6"/>
    <w:rsid w:val="005072B1"/>
    <w:rsid w:val="005072C0"/>
    <w:rsid w:val="005072E1"/>
    <w:rsid w:val="0050745E"/>
    <w:rsid w:val="005077C1"/>
    <w:rsid w:val="00507802"/>
    <w:rsid w:val="00507817"/>
    <w:rsid w:val="0050789C"/>
    <w:rsid w:val="00507970"/>
    <w:rsid w:val="00507AA8"/>
    <w:rsid w:val="00507B46"/>
    <w:rsid w:val="00507BB2"/>
    <w:rsid w:val="00507BE2"/>
    <w:rsid w:val="00507C72"/>
    <w:rsid w:val="00507D10"/>
    <w:rsid w:val="00507DB1"/>
    <w:rsid w:val="00507E3C"/>
    <w:rsid w:val="00507F0D"/>
    <w:rsid w:val="00507FDE"/>
    <w:rsid w:val="0051001A"/>
    <w:rsid w:val="00510027"/>
    <w:rsid w:val="00510158"/>
    <w:rsid w:val="00510181"/>
    <w:rsid w:val="005102E4"/>
    <w:rsid w:val="0051038F"/>
    <w:rsid w:val="005103B3"/>
    <w:rsid w:val="005104A4"/>
    <w:rsid w:val="0051057A"/>
    <w:rsid w:val="005105AE"/>
    <w:rsid w:val="0051067C"/>
    <w:rsid w:val="00510993"/>
    <w:rsid w:val="005109F1"/>
    <w:rsid w:val="00510A0D"/>
    <w:rsid w:val="00510A1E"/>
    <w:rsid w:val="00510B35"/>
    <w:rsid w:val="00510B56"/>
    <w:rsid w:val="00510CCD"/>
    <w:rsid w:val="00510DE6"/>
    <w:rsid w:val="00510EF5"/>
    <w:rsid w:val="00510EFE"/>
    <w:rsid w:val="00510F10"/>
    <w:rsid w:val="00510FB3"/>
    <w:rsid w:val="00511066"/>
    <w:rsid w:val="0051166C"/>
    <w:rsid w:val="005116D8"/>
    <w:rsid w:val="00511831"/>
    <w:rsid w:val="00511832"/>
    <w:rsid w:val="00511842"/>
    <w:rsid w:val="0051184D"/>
    <w:rsid w:val="00511904"/>
    <w:rsid w:val="00511AB0"/>
    <w:rsid w:val="00511BA5"/>
    <w:rsid w:val="00511BB2"/>
    <w:rsid w:val="00511BBE"/>
    <w:rsid w:val="00511BEC"/>
    <w:rsid w:val="00511C22"/>
    <w:rsid w:val="00511CD8"/>
    <w:rsid w:val="00511E27"/>
    <w:rsid w:val="00511E55"/>
    <w:rsid w:val="00511EA4"/>
    <w:rsid w:val="00511F4D"/>
    <w:rsid w:val="00511FBC"/>
    <w:rsid w:val="00512090"/>
    <w:rsid w:val="005120C5"/>
    <w:rsid w:val="00512131"/>
    <w:rsid w:val="00512146"/>
    <w:rsid w:val="00512227"/>
    <w:rsid w:val="005123A7"/>
    <w:rsid w:val="005123F7"/>
    <w:rsid w:val="00512445"/>
    <w:rsid w:val="005124DC"/>
    <w:rsid w:val="005124E7"/>
    <w:rsid w:val="0051270D"/>
    <w:rsid w:val="00512784"/>
    <w:rsid w:val="005127AC"/>
    <w:rsid w:val="005127DD"/>
    <w:rsid w:val="00512896"/>
    <w:rsid w:val="00512900"/>
    <w:rsid w:val="00512925"/>
    <w:rsid w:val="00512966"/>
    <w:rsid w:val="00512A79"/>
    <w:rsid w:val="00512B06"/>
    <w:rsid w:val="00512B08"/>
    <w:rsid w:val="00512B1E"/>
    <w:rsid w:val="00512BFA"/>
    <w:rsid w:val="00512C3D"/>
    <w:rsid w:val="00512C5E"/>
    <w:rsid w:val="00512C86"/>
    <w:rsid w:val="00512D1B"/>
    <w:rsid w:val="00512EED"/>
    <w:rsid w:val="00513000"/>
    <w:rsid w:val="005130B3"/>
    <w:rsid w:val="005130DE"/>
    <w:rsid w:val="00513132"/>
    <w:rsid w:val="0051313D"/>
    <w:rsid w:val="005131B1"/>
    <w:rsid w:val="0051323E"/>
    <w:rsid w:val="0051339B"/>
    <w:rsid w:val="00513401"/>
    <w:rsid w:val="0051344A"/>
    <w:rsid w:val="005134AD"/>
    <w:rsid w:val="005134E8"/>
    <w:rsid w:val="005134F0"/>
    <w:rsid w:val="00513637"/>
    <w:rsid w:val="0051384A"/>
    <w:rsid w:val="005138C0"/>
    <w:rsid w:val="005138CC"/>
    <w:rsid w:val="005139C8"/>
    <w:rsid w:val="005139FD"/>
    <w:rsid w:val="00513A0A"/>
    <w:rsid w:val="00513A18"/>
    <w:rsid w:val="00513C7D"/>
    <w:rsid w:val="00513C89"/>
    <w:rsid w:val="00513CF5"/>
    <w:rsid w:val="00513CF8"/>
    <w:rsid w:val="00513D6E"/>
    <w:rsid w:val="00513D73"/>
    <w:rsid w:val="00513DDE"/>
    <w:rsid w:val="00513E83"/>
    <w:rsid w:val="00513E93"/>
    <w:rsid w:val="00513F9C"/>
    <w:rsid w:val="00513FBD"/>
    <w:rsid w:val="00513FF8"/>
    <w:rsid w:val="00514068"/>
    <w:rsid w:val="005140F6"/>
    <w:rsid w:val="0051412A"/>
    <w:rsid w:val="00514238"/>
    <w:rsid w:val="00514315"/>
    <w:rsid w:val="0051435A"/>
    <w:rsid w:val="005143C4"/>
    <w:rsid w:val="00514670"/>
    <w:rsid w:val="00514683"/>
    <w:rsid w:val="005148FF"/>
    <w:rsid w:val="00514980"/>
    <w:rsid w:val="00514A39"/>
    <w:rsid w:val="00514A46"/>
    <w:rsid w:val="00514A93"/>
    <w:rsid w:val="00514ADA"/>
    <w:rsid w:val="00514AE4"/>
    <w:rsid w:val="00514B7B"/>
    <w:rsid w:val="00514C22"/>
    <w:rsid w:val="00514C4A"/>
    <w:rsid w:val="00514DF1"/>
    <w:rsid w:val="00514E20"/>
    <w:rsid w:val="0051501A"/>
    <w:rsid w:val="0051506B"/>
    <w:rsid w:val="0051509A"/>
    <w:rsid w:val="0051518C"/>
    <w:rsid w:val="00515266"/>
    <w:rsid w:val="005152FC"/>
    <w:rsid w:val="005153BD"/>
    <w:rsid w:val="0051542E"/>
    <w:rsid w:val="0051556D"/>
    <w:rsid w:val="00515808"/>
    <w:rsid w:val="00515895"/>
    <w:rsid w:val="00515923"/>
    <w:rsid w:val="00515926"/>
    <w:rsid w:val="00515A40"/>
    <w:rsid w:val="00515BF1"/>
    <w:rsid w:val="00515C64"/>
    <w:rsid w:val="00515DF8"/>
    <w:rsid w:val="00515E37"/>
    <w:rsid w:val="00515E4B"/>
    <w:rsid w:val="00515F2A"/>
    <w:rsid w:val="00516087"/>
    <w:rsid w:val="00516123"/>
    <w:rsid w:val="0051618A"/>
    <w:rsid w:val="005161B6"/>
    <w:rsid w:val="00516316"/>
    <w:rsid w:val="00516325"/>
    <w:rsid w:val="00516355"/>
    <w:rsid w:val="0051638B"/>
    <w:rsid w:val="00516409"/>
    <w:rsid w:val="0051646E"/>
    <w:rsid w:val="0051648A"/>
    <w:rsid w:val="0051654A"/>
    <w:rsid w:val="0051664E"/>
    <w:rsid w:val="0051667D"/>
    <w:rsid w:val="005167DA"/>
    <w:rsid w:val="00516837"/>
    <w:rsid w:val="00516866"/>
    <w:rsid w:val="005168C4"/>
    <w:rsid w:val="00516A45"/>
    <w:rsid w:val="00516AB9"/>
    <w:rsid w:val="00516B24"/>
    <w:rsid w:val="00516CE7"/>
    <w:rsid w:val="00516D2D"/>
    <w:rsid w:val="00516D5B"/>
    <w:rsid w:val="00516FDA"/>
    <w:rsid w:val="0051727C"/>
    <w:rsid w:val="005173C0"/>
    <w:rsid w:val="00517423"/>
    <w:rsid w:val="00517495"/>
    <w:rsid w:val="005175A6"/>
    <w:rsid w:val="00517757"/>
    <w:rsid w:val="00517881"/>
    <w:rsid w:val="005178DE"/>
    <w:rsid w:val="0051799D"/>
    <w:rsid w:val="00517AE3"/>
    <w:rsid w:val="00517B9C"/>
    <w:rsid w:val="00517BD4"/>
    <w:rsid w:val="00517C9C"/>
    <w:rsid w:val="00517CAA"/>
    <w:rsid w:val="00517CE7"/>
    <w:rsid w:val="0052003C"/>
    <w:rsid w:val="00520076"/>
    <w:rsid w:val="005200B3"/>
    <w:rsid w:val="00520211"/>
    <w:rsid w:val="00520232"/>
    <w:rsid w:val="005202BC"/>
    <w:rsid w:val="005202D2"/>
    <w:rsid w:val="00520306"/>
    <w:rsid w:val="00520478"/>
    <w:rsid w:val="005204C7"/>
    <w:rsid w:val="0052053A"/>
    <w:rsid w:val="00520558"/>
    <w:rsid w:val="00520767"/>
    <w:rsid w:val="005207BE"/>
    <w:rsid w:val="00520860"/>
    <w:rsid w:val="0052086E"/>
    <w:rsid w:val="00520885"/>
    <w:rsid w:val="00520909"/>
    <w:rsid w:val="0052095A"/>
    <w:rsid w:val="00520AD3"/>
    <w:rsid w:val="00520CE8"/>
    <w:rsid w:val="00520EF7"/>
    <w:rsid w:val="00520FB5"/>
    <w:rsid w:val="00521085"/>
    <w:rsid w:val="005210EE"/>
    <w:rsid w:val="00521141"/>
    <w:rsid w:val="00521445"/>
    <w:rsid w:val="0052144E"/>
    <w:rsid w:val="005214E3"/>
    <w:rsid w:val="00521569"/>
    <w:rsid w:val="0052162E"/>
    <w:rsid w:val="0052173D"/>
    <w:rsid w:val="0052174B"/>
    <w:rsid w:val="005217CD"/>
    <w:rsid w:val="0052181C"/>
    <w:rsid w:val="00521862"/>
    <w:rsid w:val="00521875"/>
    <w:rsid w:val="00521913"/>
    <w:rsid w:val="00521A2A"/>
    <w:rsid w:val="00521AAE"/>
    <w:rsid w:val="00521CA8"/>
    <w:rsid w:val="00521DEE"/>
    <w:rsid w:val="00521E68"/>
    <w:rsid w:val="00521E7D"/>
    <w:rsid w:val="00521ED4"/>
    <w:rsid w:val="00521F6F"/>
    <w:rsid w:val="0052210D"/>
    <w:rsid w:val="005221E3"/>
    <w:rsid w:val="005221E7"/>
    <w:rsid w:val="00522258"/>
    <w:rsid w:val="0052238A"/>
    <w:rsid w:val="005223E5"/>
    <w:rsid w:val="005223EB"/>
    <w:rsid w:val="00522685"/>
    <w:rsid w:val="00522890"/>
    <w:rsid w:val="005228AD"/>
    <w:rsid w:val="005228D8"/>
    <w:rsid w:val="005228E4"/>
    <w:rsid w:val="005229CE"/>
    <w:rsid w:val="00522A2C"/>
    <w:rsid w:val="00522A81"/>
    <w:rsid w:val="00522B47"/>
    <w:rsid w:val="00522B93"/>
    <w:rsid w:val="00522C56"/>
    <w:rsid w:val="00522CA6"/>
    <w:rsid w:val="00522CB0"/>
    <w:rsid w:val="00522D85"/>
    <w:rsid w:val="00522E98"/>
    <w:rsid w:val="00522F3D"/>
    <w:rsid w:val="00522F69"/>
    <w:rsid w:val="00522F70"/>
    <w:rsid w:val="00523098"/>
    <w:rsid w:val="0052310C"/>
    <w:rsid w:val="0052316D"/>
    <w:rsid w:val="005231DF"/>
    <w:rsid w:val="00523321"/>
    <w:rsid w:val="00523404"/>
    <w:rsid w:val="0052342F"/>
    <w:rsid w:val="005234B1"/>
    <w:rsid w:val="00523584"/>
    <w:rsid w:val="005235A5"/>
    <w:rsid w:val="00523676"/>
    <w:rsid w:val="0052389F"/>
    <w:rsid w:val="005238B6"/>
    <w:rsid w:val="00523AF0"/>
    <w:rsid w:val="00523B20"/>
    <w:rsid w:val="00523B24"/>
    <w:rsid w:val="00523B2D"/>
    <w:rsid w:val="00523B5B"/>
    <w:rsid w:val="00523B80"/>
    <w:rsid w:val="00523BF6"/>
    <w:rsid w:val="00523CE5"/>
    <w:rsid w:val="00523F4F"/>
    <w:rsid w:val="00523FC9"/>
    <w:rsid w:val="00524034"/>
    <w:rsid w:val="00524046"/>
    <w:rsid w:val="00524076"/>
    <w:rsid w:val="00524110"/>
    <w:rsid w:val="00524190"/>
    <w:rsid w:val="005241D1"/>
    <w:rsid w:val="0052423D"/>
    <w:rsid w:val="00524262"/>
    <w:rsid w:val="005242E6"/>
    <w:rsid w:val="00524318"/>
    <w:rsid w:val="0052435B"/>
    <w:rsid w:val="005243B9"/>
    <w:rsid w:val="00524495"/>
    <w:rsid w:val="005246A1"/>
    <w:rsid w:val="00524756"/>
    <w:rsid w:val="00524772"/>
    <w:rsid w:val="005247D5"/>
    <w:rsid w:val="005247E2"/>
    <w:rsid w:val="0052484B"/>
    <w:rsid w:val="00524850"/>
    <w:rsid w:val="0052486D"/>
    <w:rsid w:val="0052486F"/>
    <w:rsid w:val="0052487B"/>
    <w:rsid w:val="00524933"/>
    <w:rsid w:val="00524A25"/>
    <w:rsid w:val="00524C92"/>
    <w:rsid w:val="00524CD7"/>
    <w:rsid w:val="00524D74"/>
    <w:rsid w:val="00524E2E"/>
    <w:rsid w:val="00524ED9"/>
    <w:rsid w:val="00524F53"/>
    <w:rsid w:val="00524FBA"/>
    <w:rsid w:val="00524FE6"/>
    <w:rsid w:val="005250F6"/>
    <w:rsid w:val="005251CB"/>
    <w:rsid w:val="00525214"/>
    <w:rsid w:val="00525394"/>
    <w:rsid w:val="005256A0"/>
    <w:rsid w:val="005256BD"/>
    <w:rsid w:val="0052585C"/>
    <w:rsid w:val="005258D8"/>
    <w:rsid w:val="00525916"/>
    <w:rsid w:val="00525A09"/>
    <w:rsid w:val="00525B3F"/>
    <w:rsid w:val="00525BAC"/>
    <w:rsid w:val="00525D32"/>
    <w:rsid w:val="00525D50"/>
    <w:rsid w:val="00525E39"/>
    <w:rsid w:val="00525E6B"/>
    <w:rsid w:val="00525F74"/>
    <w:rsid w:val="00525FAD"/>
    <w:rsid w:val="00525FCD"/>
    <w:rsid w:val="00525FD7"/>
    <w:rsid w:val="0052641E"/>
    <w:rsid w:val="00526433"/>
    <w:rsid w:val="0052649A"/>
    <w:rsid w:val="00526535"/>
    <w:rsid w:val="005266AD"/>
    <w:rsid w:val="00526739"/>
    <w:rsid w:val="00526813"/>
    <w:rsid w:val="00526850"/>
    <w:rsid w:val="005268B2"/>
    <w:rsid w:val="005268C5"/>
    <w:rsid w:val="005268DD"/>
    <w:rsid w:val="00526923"/>
    <w:rsid w:val="00526C6B"/>
    <w:rsid w:val="00526E2E"/>
    <w:rsid w:val="00526EDC"/>
    <w:rsid w:val="00526F4A"/>
    <w:rsid w:val="00526FD2"/>
    <w:rsid w:val="00526FF3"/>
    <w:rsid w:val="00527018"/>
    <w:rsid w:val="0052701E"/>
    <w:rsid w:val="0052707A"/>
    <w:rsid w:val="005270C3"/>
    <w:rsid w:val="0052735A"/>
    <w:rsid w:val="00527373"/>
    <w:rsid w:val="00527381"/>
    <w:rsid w:val="00527395"/>
    <w:rsid w:val="005274D3"/>
    <w:rsid w:val="0052756E"/>
    <w:rsid w:val="00527638"/>
    <w:rsid w:val="0052765C"/>
    <w:rsid w:val="005276F6"/>
    <w:rsid w:val="00527739"/>
    <w:rsid w:val="005278F5"/>
    <w:rsid w:val="00527D98"/>
    <w:rsid w:val="00527E4D"/>
    <w:rsid w:val="00527E89"/>
    <w:rsid w:val="00527EB4"/>
    <w:rsid w:val="00527FEC"/>
    <w:rsid w:val="005300FF"/>
    <w:rsid w:val="00530116"/>
    <w:rsid w:val="005301D7"/>
    <w:rsid w:val="0053027E"/>
    <w:rsid w:val="005304C3"/>
    <w:rsid w:val="00530574"/>
    <w:rsid w:val="0053059E"/>
    <w:rsid w:val="005305A1"/>
    <w:rsid w:val="00530600"/>
    <w:rsid w:val="00530684"/>
    <w:rsid w:val="00530708"/>
    <w:rsid w:val="0053081A"/>
    <w:rsid w:val="005308A3"/>
    <w:rsid w:val="00530A9C"/>
    <w:rsid w:val="00530B41"/>
    <w:rsid w:val="00530CC6"/>
    <w:rsid w:val="00530E55"/>
    <w:rsid w:val="00531000"/>
    <w:rsid w:val="0053101E"/>
    <w:rsid w:val="00531078"/>
    <w:rsid w:val="0053109B"/>
    <w:rsid w:val="0053123A"/>
    <w:rsid w:val="00531253"/>
    <w:rsid w:val="0053145E"/>
    <w:rsid w:val="005314CD"/>
    <w:rsid w:val="005316C7"/>
    <w:rsid w:val="0053178C"/>
    <w:rsid w:val="00531790"/>
    <w:rsid w:val="0053179D"/>
    <w:rsid w:val="005317E7"/>
    <w:rsid w:val="005317F2"/>
    <w:rsid w:val="005319C4"/>
    <w:rsid w:val="00531A13"/>
    <w:rsid w:val="00531A7A"/>
    <w:rsid w:val="00531B98"/>
    <w:rsid w:val="00531BA2"/>
    <w:rsid w:val="00531BF3"/>
    <w:rsid w:val="00531C0A"/>
    <w:rsid w:val="00531D45"/>
    <w:rsid w:val="00531DB6"/>
    <w:rsid w:val="00531F77"/>
    <w:rsid w:val="00532065"/>
    <w:rsid w:val="005320BE"/>
    <w:rsid w:val="00532155"/>
    <w:rsid w:val="00532259"/>
    <w:rsid w:val="0053229D"/>
    <w:rsid w:val="0053232A"/>
    <w:rsid w:val="00532358"/>
    <w:rsid w:val="00532375"/>
    <w:rsid w:val="005323F4"/>
    <w:rsid w:val="00532462"/>
    <w:rsid w:val="00532496"/>
    <w:rsid w:val="005324C9"/>
    <w:rsid w:val="00532564"/>
    <w:rsid w:val="005325D0"/>
    <w:rsid w:val="00532618"/>
    <w:rsid w:val="00532777"/>
    <w:rsid w:val="00532961"/>
    <w:rsid w:val="0053298F"/>
    <w:rsid w:val="005329EC"/>
    <w:rsid w:val="00532A4C"/>
    <w:rsid w:val="00532AD7"/>
    <w:rsid w:val="00532BB7"/>
    <w:rsid w:val="00532EFF"/>
    <w:rsid w:val="00532F48"/>
    <w:rsid w:val="00532F60"/>
    <w:rsid w:val="00532FD6"/>
    <w:rsid w:val="00533267"/>
    <w:rsid w:val="005332B5"/>
    <w:rsid w:val="005333D3"/>
    <w:rsid w:val="00533423"/>
    <w:rsid w:val="00533456"/>
    <w:rsid w:val="005334E2"/>
    <w:rsid w:val="00533571"/>
    <w:rsid w:val="005336AF"/>
    <w:rsid w:val="005336FD"/>
    <w:rsid w:val="005339B8"/>
    <w:rsid w:val="005339D7"/>
    <w:rsid w:val="00533A63"/>
    <w:rsid w:val="00533B86"/>
    <w:rsid w:val="00533C69"/>
    <w:rsid w:val="00533CCD"/>
    <w:rsid w:val="00533E82"/>
    <w:rsid w:val="00533F25"/>
    <w:rsid w:val="005341FC"/>
    <w:rsid w:val="005343BA"/>
    <w:rsid w:val="00534466"/>
    <w:rsid w:val="00534799"/>
    <w:rsid w:val="00534920"/>
    <w:rsid w:val="00534925"/>
    <w:rsid w:val="00534A10"/>
    <w:rsid w:val="00534B88"/>
    <w:rsid w:val="00534C52"/>
    <w:rsid w:val="00534D2C"/>
    <w:rsid w:val="00534D82"/>
    <w:rsid w:val="00534EFD"/>
    <w:rsid w:val="005350D7"/>
    <w:rsid w:val="0053522B"/>
    <w:rsid w:val="0053525B"/>
    <w:rsid w:val="0053529F"/>
    <w:rsid w:val="005353CA"/>
    <w:rsid w:val="005354CE"/>
    <w:rsid w:val="005354FD"/>
    <w:rsid w:val="005354FF"/>
    <w:rsid w:val="0053551F"/>
    <w:rsid w:val="00535533"/>
    <w:rsid w:val="005355B9"/>
    <w:rsid w:val="00535619"/>
    <w:rsid w:val="00535630"/>
    <w:rsid w:val="0053565B"/>
    <w:rsid w:val="005356E9"/>
    <w:rsid w:val="00535802"/>
    <w:rsid w:val="00535A3A"/>
    <w:rsid w:val="00535BAA"/>
    <w:rsid w:val="00535C7B"/>
    <w:rsid w:val="00535C9C"/>
    <w:rsid w:val="00535D5F"/>
    <w:rsid w:val="00535E0A"/>
    <w:rsid w:val="00535ECF"/>
    <w:rsid w:val="00535F64"/>
    <w:rsid w:val="00535F6A"/>
    <w:rsid w:val="0053607B"/>
    <w:rsid w:val="005360CB"/>
    <w:rsid w:val="005361B9"/>
    <w:rsid w:val="0053622B"/>
    <w:rsid w:val="005362DF"/>
    <w:rsid w:val="0053632E"/>
    <w:rsid w:val="00536541"/>
    <w:rsid w:val="005366FC"/>
    <w:rsid w:val="0053670C"/>
    <w:rsid w:val="0053681E"/>
    <w:rsid w:val="005368B8"/>
    <w:rsid w:val="00536925"/>
    <w:rsid w:val="00536945"/>
    <w:rsid w:val="00536B96"/>
    <w:rsid w:val="00536BDC"/>
    <w:rsid w:val="00536C2F"/>
    <w:rsid w:val="00536C86"/>
    <w:rsid w:val="00536CBC"/>
    <w:rsid w:val="00536E1B"/>
    <w:rsid w:val="00537142"/>
    <w:rsid w:val="00537179"/>
    <w:rsid w:val="005372BA"/>
    <w:rsid w:val="00537367"/>
    <w:rsid w:val="005373E0"/>
    <w:rsid w:val="0053745C"/>
    <w:rsid w:val="00537517"/>
    <w:rsid w:val="005375A1"/>
    <w:rsid w:val="005376E9"/>
    <w:rsid w:val="0053773F"/>
    <w:rsid w:val="005377FE"/>
    <w:rsid w:val="0053794A"/>
    <w:rsid w:val="00537AAD"/>
    <w:rsid w:val="00537BED"/>
    <w:rsid w:val="00537C1C"/>
    <w:rsid w:val="00537C5F"/>
    <w:rsid w:val="00537D33"/>
    <w:rsid w:val="00537D54"/>
    <w:rsid w:val="00537D8B"/>
    <w:rsid w:val="00537DE9"/>
    <w:rsid w:val="00537E9B"/>
    <w:rsid w:val="0054006F"/>
    <w:rsid w:val="005400F8"/>
    <w:rsid w:val="00540149"/>
    <w:rsid w:val="00540179"/>
    <w:rsid w:val="0054019D"/>
    <w:rsid w:val="00540219"/>
    <w:rsid w:val="00540347"/>
    <w:rsid w:val="005403D0"/>
    <w:rsid w:val="0054041E"/>
    <w:rsid w:val="00540472"/>
    <w:rsid w:val="00540515"/>
    <w:rsid w:val="00540522"/>
    <w:rsid w:val="0054054C"/>
    <w:rsid w:val="00540624"/>
    <w:rsid w:val="00540680"/>
    <w:rsid w:val="0054068C"/>
    <w:rsid w:val="005406DE"/>
    <w:rsid w:val="0054071D"/>
    <w:rsid w:val="00540794"/>
    <w:rsid w:val="0054079E"/>
    <w:rsid w:val="005408E0"/>
    <w:rsid w:val="00540927"/>
    <w:rsid w:val="00540936"/>
    <w:rsid w:val="00540BC0"/>
    <w:rsid w:val="00540C30"/>
    <w:rsid w:val="00540D02"/>
    <w:rsid w:val="00540D88"/>
    <w:rsid w:val="00540E51"/>
    <w:rsid w:val="00540E73"/>
    <w:rsid w:val="00540EAA"/>
    <w:rsid w:val="00540EB1"/>
    <w:rsid w:val="00541006"/>
    <w:rsid w:val="00541074"/>
    <w:rsid w:val="0054116F"/>
    <w:rsid w:val="0054126B"/>
    <w:rsid w:val="00541295"/>
    <w:rsid w:val="0054131F"/>
    <w:rsid w:val="00541326"/>
    <w:rsid w:val="005413AE"/>
    <w:rsid w:val="005415B7"/>
    <w:rsid w:val="00541641"/>
    <w:rsid w:val="00541647"/>
    <w:rsid w:val="0054165A"/>
    <w:rsid w:val="0054180D"/>
    <w:rsid w:val="00541869"/>
    <w:rsid w:val="005418CA"/>
    <w:rsid w:val="00541980"/>
    <w:rsid w:val="005419B6"/>
    <w:rsid w:val="005419BE"/>
    <w:rsid w:val="00541A8F"/>
    <w:rsid w:val="00541B45"/>
    <w:rsid w:val="00541CEB"/>
    <w:rsid w:val="00541DB4"/>
    <w:rsid w:val="00541E8B"/>
    <w:rsid w:val="00541FDF"/>
    <w:rsid w:val="005421EF"/>
    <w:rsid w:val="00542282"/>
    <w:rsid w:val="0054234C"/>
    <w:rsid w:val="005423B9"/>
    <w:rsid w:val="005423BE"/>
    <w:rsid w:val="00542527"/>
    <w:rsid w:val="00542652"/>
    <w:rsid w:val="005427B8"/>
    <w:rsid w:val="005427DC"/>
    <w:rsid w:val="00542ACC"/>
    <w:rsid w:val="00542B59"/>
    <w:rsid w:val="00542BB8"/>
    <w:rsid w:val="00542E0F"/>
    <w:rsid w:val="00542F9D"/>
    <w:rsid w:val="00542FF0"/>
    <w:rsid w:val="00543028"/>
    <w:rsid w:val="005430C1"/>
    <w:rsid w:val="00543310"/>
    <w:rsid w:val="005433DB"/>
    <w:rsid w:val="005433FE"/>
    <w:rsid w:val="0054340B"/>
    <w:rsid w:val="00543462"/>
    <w:rsid w:val="00543512"/>
    <w:rsid w:val="00543594"/>
    <w:rsid w:val="005436F3"/>
    <w:rsid w:val="00543723"/>
    <w:rsid w:val="0054379B"/>
    <w:rsid w:val="005438B9"/>
    <w:rsid w:val="005438BF"/>
    <w:rsid w:val="005439C3"/>
    <w:rsid w:val="005439DB"/>
    <w:rsid w:val="005439DD"/>
    <w:rsid w:val="00543A42"/>
    <w:rsid w:val="00543D9E"/>
    <w:rsid w:val="00543E1A"/>
    <w:rsid w:val="00543E37"/>
    <w:rsid w:val="00544018"/>
    <w:rsid w:val="00544052"/>
    <w:rsid w:val="00544083"/>
    <w:rsid w:val="0054409B"/>
    <w:rsid w:val="00544150"/>
    <w:rsid w:val="0054424B"/>
    <w:rsid w:val="0054431F"/>
    <w:rsid w:val="0054437D"/>
    <w:rsid w:val="005445BB"/>
    <w:rsid w:val="005446C3"/>
    <w:rsid w:val="005446E0"/>
    <w:rsid w:val="00544742"/>
    <w:rsid w:val="005447CE"/>
    <w:rsid w:val="0054482E"/>
    <w:rsid w:val="00544840"/>
    <w:rsid w:val="00544874"/>
    <w:rsid w:val="005448E1"/>
    <w:rsid w:val="00544A8C"/>
    <w:rsid w:val="00544AF6"/>
    <w:rsid w:val="00544B36"/>
    <w:rsid w:val="00544B7C"/>
    <w:rsid w:val="00544B8B"/>
    <w:rsid w:val="00544BCB"/>
    <w:rsid w:val="00544DA0"/>
    <w:rsid w:val="00544DE2"/>
    <w:rsid w:val="00544E09"/>
    <w:rsid w:val="00544ECF"/>
    <w:rsid w:val="00545019"/>
    <w:rsid w:val="005450BF"/>
    <w:rsid w:val="005450CE"/>
    <w:rsid w:val="005450E9"/>
    <w:rsid w:val="005453C7"/>
    <w:rsid w:val="005453E6"/>
    <w:rsid w:val="005453FA"/>
    <w:rsid w:val="00545589"/>
    <w:rsid w:val="0054582E"/>
    <w:rsid w:val="00545841"/>
    <w:rsid w:val="0054585B"/>
    <w:rsid w:val="00545916"/>
    <w:rsid w:val="00545945"/>
    <w:rsid w:val="00545952"/>
    <w:rsid w:val="005459C1"/>
    <w:rsid w:val="00545B9D"/>
    <w:rsid w:val="00545C4F"/>
    <w:rsid w:val="00545C6E"/>
    <w:rsid w:val="00545D5F"/>
    <w:rsid w:val="00545D9D"/>
    <w:rsid w:val="00545DF7"/>
    <w:rsid w:val="00545E23"/>
    <w:rsid w:val="00545E2D"/>
    <w:rsid w:val="00545E7C"/>
    <w:rsid w:val="00545F1B"/>
    <w:rsid w:val="005460F1"/>
    <w:rsid w:val="005461B9"/>
    <w:rsid w:val="005461FD"/>
    <w:rsid w:val="0054636B"/>
    <w:rsid w:val="0054640F"/>
    <w:rsid w:val="0054649D"/>
    <w:rsid w:val="005464AC"/>
    <w:rsid w:val="005464E9"/>
    <w:rsid w:val="00546546"/>
    <w:rsid w:val="0054661C"/>
    <w:rsid w:val="00546685"/>
    <w:rsid w:val="00546856"/>
    <w:rsid w:val="00546879"/>
    <w:rsid w:val="00546A33"/>
    <w:rsid w:val="00546AA4"/>
    <w:rsid w:val="00546AB1"/>
    <w:rsid w:val="00546B04"/>
    <w:rsid w:val="00546B16"/>
    <w:rsid w:val="00546C2A"/>
    <w:rsid w:val="00546C4D"/>
    <w:rsid w:val="00546C6E"/>
    <w:rsid w:val="00546D33"/>
    <w:rsid w:val="00546E82"/>
    <w:rsid w:val="00546F5B"/>
    <w:rsid w:val="0054701A"/>
    <w:rsid w:val="00547089"/>
    <w:rsid w:val="005470D2"/>
    <w:rsid w:val="0054713B"/>
    <w:rsid w:val="0054713C"/>
    <w:rsid w:val="005471C5"/>
    <w:rsid w:val="005472C2"/>
    <w:rsid w:val="005473D3"/>
    <w:rsid w:val="005474AC"/>
    <w:rsid w:val="00547612"/>
    <w:rsid w:val="00547659"/>
    <w:rsid w:val="00547773"/>
    <w:rsid w:val="005477CE"/>
    <w:rsid w:val="00547849"/>
    <w:rsid w:val="005478E0"/>
    <w:rsid w:val="00547963"/>
    <w:rsid w:val="005479F9"/>
    <w:rsid w:val="00547BC9"/>
    <w:rsid w:val="00547C34"/>
    <w:rsid w:val="00547C66"/>
    <w:rsid w:val="00547CE8"/>
    <w:rsid w:val="00547D07"/>
    <w:rsid w:val="00547D3E"/>
    <w:rsid w:val="00547D3F"/>
    <w:rsid w:val="00547EB4"/>
    <w:rsid w:val="00547EF3"/>
    <w:rsid w:val="0055000D"/>
    <w:rsid w:val="00550222"/>
    <w:rsid w:val="00550273"/>
    <w:rsid w:val="0055039C"/>
    <w:rsid w:val="00550412"/>
    <w:rsid w:val="00550413"/>
    <w:rsid w:val="00550435"/>
    <w:rsid w:val="005505D7"/>
    <w:rsid w:val="00550602"/>
    <w:rsid w:val="00550765"/>
    <w:rsid w:val="00550885"/>
    <w:rsid w:val="005509A9"/>
    <w:rsid w:val="00550A65"/>
    <w:rsid w:val="00550ACB"/>
    <w:rsid w:val="00550AE6"/>
    <w:rsid w:val="00550B17"/>
    <w:rsid w:val="00550D17"/>
    <w:rsid w:val="00550E66"/>
    <w:rsid w:val="00550FCE"/>
    <w:rsid w:val="005511A8"/>
    <w:rsid w:val="00551263"/>
    <w:rsid w:val="0055129B"/>
    <w:rsid w:val="0055138C"/>
    <w:rsid w:val="00551469"/>
    <w:rsid w:val="005514CA"/>
    <w:rsid w:val="005515AB"/>
    <w:rsid w:val="00551636"/>
    <w:rsid w:val="005518A3"/>
    <w:rsid w:val="00551947"/>
    <w:rsid w:val="00551AAD"/>
    <w:rsid w:val="00551AB4"/>
    <w:rsid w:val="00551B95"/>
    <w:rsid w:val="00551BEE"/>
    <w:rsid w:val="00551CF5"/>
    <w:rsid w:val="00551D2E"/>
    <w:rsid w:val="00551E3B"/>
    <w:rsid w:val="00551E8F"/>
    <w:rsid w:val="00551E93"/>
    <w:rsid w:val="00551EC4"/>
    <w:rsid w:val="005520C6"/>
    <w:rsid w:val="00552200"/>
    <w:rsid w:val="005522A3"/>
    <w:rsid w:val="00552302"/>
    <w:rsid w:val="00552390"/>
    <w:rsid w:val="005525A6"/>
    <w:rsid w:val="0055260E"/>
    <w:rsid w:val="00552677"/>
    <w:rsid w:val="00552735"/>
    <w:rsid w:val="00552763"/>
    <w:rsid w:val="00552828"/>
    <w:rsid w:val="00552868"/>
    <w:rsid w:val="00552877"/>
    <w:rsid w:val="00552899"/>
    <w:rsid w:val="00552A67"/>
    <w:rsid w:val="00552B25"/>
    <w:rsid w:val="00552C1D"/>
    <w:rsid w:val="00552C36"/>
    <w:rsid w:val="00552CC4"/>
    <w:rsid w:val="00552CD0"/>
    <w:rsid w:val="00552D2C"/>
    <w:rsid w:val="00552D37"/>
    <w:rsid w:val="00552DA2"/>
    <w:rsid w:val="00552DD6"/>
    <w:rsid w:val="00552DF8"/>
    <w:rsid w:val="00552E59"/>
    <w:rsid w:val="00552ECF"/>
    <w:rsid w:val="00552F18"/>
    <w:rsid w:val="00552F82"/>
    <w:rsid w:val="005531B6"/>
    <w:rsid w:val="005531DE"/>
    <w:rsid w:val="00553222"/>
    <w:rsid w:val="00553226"/>
    <w:rsid w:val="0055325E"/>
    <w:rsid w:val="00553359"/>
    <w:rsid w:val="00553446"/>
    <w:rsid w:val="00553478"/>
    <w:rsid w:val="0055347E"/>
    <w:rsid w:val="005534DE"/>
    <w:rsid w:val="005534E8"/>
    <w:rsid w:val="00553618"/>
    <w:rsid w:val="0055366D"/>
    <w:rsid w:val="0055373D"/>
    <w:rsid w:val="0055389A"/>
    <w:rsid w:val="0055389E"/>
    <w:rsid w:val="005538BE"/>
    <w:rsid w:val="005538C1"/>
    <w:rsid w:val="005538F0"/>
    <w:rsid w:val="00553900"/>
    <w:rsid w:val="0055396E"/>
    <w:rsid w:val="0055398D"/>
    <w:rsid w:val="00553AAD"/>
    <w:rsid w:val="00553B1B"/>
    <w:rsid w:val="00553B28"/>
    <w:rsid w:val="00553C58"/>
    <w:rsid w:val="00553DA6"/>
    <w:rsid w:val="00553DF3"/>
    <w:rsid w:val="00553EAF"/>
    <w:rsid w:val="00553EB6"/>
    <w:rsid w:val="00553F5F"/>
    <w:rsid w:val="00554090"/>
    <w:rsid w:val="005540AE"/>
    <w:rsid w:val="00554268"/>
    <w:rsid w:val="005543A3"/>
    <w:rsid w:val="0055440A"/>
    <w:rsid w:val="00554410"/>
    <w:rsid w:val="00554471"/>
    <w:rsid w:val="0055450B"/>
    <w:rsid w:val="005545B8"/>
    <w:rsid w:val="005545DE"/>
    <w:rsid w:val="00554939"/>
    <w:rsid w:val="00554BA3"/>
    <w:rsid w:val="00554C10"/>
    <w:rsid w:val="00554CD2"/>
    <w:rsid w:val="00554CE1"/>
    <w:rsid w:val="00554D37"/>
    <w:rsid w:val="00554D88"/>
    <w:rsid w:val="00554DAC"/>
    <w:rsid w:val="00554E32"/>
    <w:rsid w:val="00554F19"/>
    <w:rsid w:val="00555036"/>
    <w:rsid w:val="00555084"/>
    <w:rsid w:val="005550F8"/>
    <w:rsid w:val="00555293"/>
    <w:rsid w:val="00555294"/>
    <w:rsid w:val="00555357"/>
    <w:rsid w:val="0055555C"/>
    <w:rsid w:val="005556F3"/>
    <w:rsid w:val="005559B4"/>
    <w:rsid w:val="005559F0"/>
    <w:rsid w:val="00555AA4"/>
    <w:rsid w:val="00555AC2"/>
    <w:rsid w:val="00555AD1"/>
    <w:rsid w:val="00555BCC"/>
    <w:rsid w:val="00555BF8"/>
    <w:rsid w:val="00555FB1"/>
    <w:rsid w:val="00555FF7"/>
    <w:rsid w:val="005560AB"/>
    <w:rsid w:val="0055611F"/>
    <w:rsid w:val="00556126"/>
    <w:rsid w:val="00556377"/>
    <w:rsid w:val="00556735"/>
    <w:rsid w:val="0055687C"/>
    <w:rsid w:val="00556A3E"/>
    <w:rsid w:val="00556B35"/>
    <w:rsid w:val="00556CFD"/>
    <w:rsid w:val="00556DDB"/>
    <w:rsid w:val="00556E8E"/>
    <w:rsid w:val="00556E92"/>
    <w:rsid w:val="00556EEF"/>
    <w:rsid w:val="00556F73"/>
    <w:rsid w:val="0055706F"/>
    <w:rsid w:val="00557157"/>
    <w:rsid w:val="0055715D"/>
    <w:rsid w:val="005572CE"/>
    <w:rsid w:val="00557393"/>
    <w:rsid w:val="005573C4"/>
    <w:rsid w:val="005575FE"/>
    <w:rsid w:val="00557688"/>
    <w:rsid w:val="0055768F"/>
    <w:rsid w:val="0055779B"/>
    <w:rsid w:val="00557839"/>
    <w:rsid w:val="0055795B"/>
    <w:rsid w:val="00557ACE"/>
    <w:rsid w:val="00557B6D"/>
    <w:rsid w:val="00557C06"/>
    <w:rsid w:val="00557C36"/>
    <w:rsid w:val="00557CA9"/>
    <w:rsid w:val="00557EAB"/>
    <w:rsid w:val="00557EE5"/>
    <w:rsid w:val="00557FAE"/>
    <w:rsid w:val="0056001A"/>
    <w:rsid w:val="00560136"/>
    <w:rsid w:val="005601D1"/>
    <w:rsid w:val="0056022E"/>
    <w:rsid w:val="00560286"/>
    <w:rsid w:val="005602B7"/>
    <w:rsid w:val="00560398"/>
    <w:rsid w:val="005603D4"/>
    <w:rsid w:val="005604BC"/>
    <w:rsid w:val="005604C8"/>
    <w:rsid w:val="00560564"/>
    <w:rsid w:val="00560750"/>
    <w:rsid w:val="0056078A"/>
    <w:rsid w:val="00560969"/>
    <w:rsid w:val="00560A09"/>
    <w:rsid w:val="00560AEF"/>
    <w:rsid w:val="00560AF0"/>
    <w:rsid w:val="00560B57"/>
    <w:rsid w:val="00560CC3"/>
    <w:rsid w:val="00560D17"/>
    <w:rsid w:val="00560DA3"/>
    <w:rsid w:val="00560E71"/>
    <w:rsid w:val="00560FC6"/>
    <w:rsid w:val="00561012"/>
    <w:rsid w:val="0056103E"/>
    <w:rsid w:val="005610B3"/>
    <w:rsid w:val="00561105"/>
    <w:rsid w:val="00561121"/>
    <w:rsid w:val="005611AA"/>
    <w:rsid w:val="00561282"/>
    <w:rsid w:val="00561292"/>
    <w:rsid w:val="005612B7"/>
    <w:rsid w:val="005613FE"/>
    <w:rsid w:val="00561448"/>
    <w:rsid w:val="005614A5"/>
    <w:rsid w:val="005614F9"/>
    <w:rsid w:val="005615CA"/>
    <w:rsid w:val="00561664"/>
    <w:rsid w:val="005616C5"/>
    <w:rsid w:val="005616F0"/>
    <w:rsid w:val="00561782"/>
    <w:rsid w:val="00561841"/>
    <w:rsid w:val="005619A1"/>
    <w:rsid w:val="00561D1E"/>
    <w:rsid w:val="00561D58"/>
    <w:rsid w:val="00561E8A"/>
    <w:rsid w:val="00561EA2"/>
    <w:rsid w:val="00561F10"/>
    <w:rsid w:val="00561F42"/>
    <w:rsid w:val="00562030"/>
    <w:rsid w:val="005620CF"/>
    <w:rsid w:val="0056222E"/>
    <w:rsid w:val="00562239"/>
    <w:rsid w:val="005622AC"/>
    <w:rsid w:val="00562352"/>
    <w:rsid w:val="0056235E"/>
    <w:rsid w:val="00562382"/>
    <w:rsid w:val="005624EC"/>
    <w:rsid w:val="005626FA"/>
    <w:rsid w:val="00562701"/>
    <w:rsid w:val="00562782"/>
    <w:rsid w:val="00562A43"/>
    <w:rsid w:val="00562A54"/>
    <w:rsid w:val="00562B18"/>
    <w:rsid w:val="00562B52"/>
    <w:rsid w:val="00562C46"/>
    <w:rsid w:val="00562CE7"/>
    <w:rsid w:val="00562EB7"/>
    <w:rsid w:val="00562F41"/>
    <w:rsid w:val="00562F84"/>
    <w:rsid w:val="00562FC1"/>
    <w:rsid w:val="0056316B"/>
    <w:rsid w:val="005632FC"/>
    <w:rsid w:val="005633B6"/>
    <w:rsid w:val="00563412"/>
    <w:rsid w:val="00563446"/>
    <w:rsid w:val="0056368C"/>
    <w:rsid w:val="00563840"/>
    <w:rsid w:val="005638D4"/>
    <w:rsid w:val="00563982"/>
    <w:rsid w:val="005639B3"/>
    <w:rsid w:val="005639D3"/>
    <w:rsid w:val="00563B5A"/>
    <w:rsid w:val="00563E10"/>
    <w:rsid w:val="00563E6B"/>
    <w:rsid w:val="00563EA8"/>
    <w:rsid w:val="00563EB3"/>
    <w:rsid w:val="00563EDD"/>
    <w:rsid w:val="00564085"/>
    <w:rsid w:val="005640DE"/>
    <w:rsid w:val="00564175"/>
    <w:rsid w:val="005641E5"/>
    <w:rsid w:val="00564217"/>
    <w:rsid w:val="0056443B"/>
    <w:rsid w:val="0056444B"/>
    <w:rsid w:val="0056448B"/>
    <w:rsid w:val="00564527"/>
    <w:rsid w:val="00564566"/>
    <w:rsid w:val="005646B6"/>
    <w:rsid w:val="005646CA"/>
    <w:rsid w:val="005647EC"/>
    <w:rsid w:val="005648AD"/>
    <w:rsid w:val="00564912"/>
    <w:rsid w:val="00564935"/>
    <w:rsid w:val="00564A83"/>
    <w:rsid w:val="00564AD4"/>
    <w:rsid w:val="00564AFE"/>
    <w:rsid w:val="00564B57"/>
    <w:rsid w:val="00564C12"/>
    <w:rsid w:val="00564C7D"/>
    <w:rsid w:val="00564D01"/>
    <w:rsid w:val="00564E18"/>
    <w:rsid w:val="00564F39"/>
    <w:rsid w:val="00564FC5"/>
    <w:rsid w:val="00565136"/>
    <w:rsid w:val="00565250"/>
    <w:rsid w:val="005652D5"/>
    <w:rsid w:val="00565367"/>
    <w:rsid w:val="005653B3"/>
    <w:rsid w:val="005653F9"/>
    <w:rsid w:val="005653FB"/>
    <w:rsid w:val="00565409"/>
    <w:rsid w:val="0056552C"/>
    <w:rsid w:val="00565595"/>
    <w:rsid w:val="00565677"/>
    <w:rsid w:val="005656B8"/>
    <w:rsid w:val="00565874"/>
    <w:rsid w:val="00565918"/>
    <w:rsid w:val="00565952"/>
    <w:rsid w:val="00565A8F"/>
    <w:rsid w:val="00565B0F"/>
    <w:rsid w:val="00565B20"/>
    <w:rsid w:val="00565C0D"/>
    <w:rsid w:val="00565C5E"/>
    <w:rsid w:val="00565C6E"/>
    <w:rsid w:val="00565F85"/>
    <w:rsid w:val="0056610A"/>
    <w:rsid w:val="0056614A"/>
    <w:rsid w:val="005661D5"/>
    <w:rsid w:val="00566210"/>
    <w:rsid w:val="00566214"/>
    <w:rsid w:val="00566224"/>
    <w:rsid w:val="005662AA"/>
    <w:rsid w:val="005662B6"/>
    <w:rsid w:val="00566469"/>
    <w:rsid w:val="0056659D"/>
    <w:rsid w:val="005665A0"/>
    <w:rsid w:val="005665A9"/>
    <w:rsid w:val="00566639"/>
    <w:rsid w:val="005666C4"/>
    <w:rsid w:val="005667AA"/>
    <w:rsid w:val="00566804"/>
    <w:rsid w:val="00566827"/>
    <w:rsid w:val="005668C7"/>
    <w:rsid w:val="00566970"/>
    <w:rsid w:val="00566A2A"/>
    <w:rsid w:val="00566B03"/>
    <w:rsid w:val="00566B5F"/>
    <w:rsid w:val="00566BA9"/>
    <w:rsid w:val="00566BF4"/>
    <w:rsid w:val="00566C33"/>
    <w:rsid w:val="00566F97"/>
    <w:rsid w:val="0056705B"/>
    <w:rsid w:val="00567070"/>
    <w:rsid w:val="005672C2"/>
    <w:rsid w:val="00567370"/>
    <w:rsid w:val="005673ED"/>
    <w:rsid w:val="00567467"/>
    <w:rsid w:val="00567545"/>
    <w:rsid w:val="00567591"/>
    <w:rsid w:val="005675A3"/>
    <w:rsid w:val="005675E0"/>
    <w:rsid w:val="00567677"/>
    <w:rsid w:val="005676D4"/>
    <w:rsid w:val="0056770B"/>
    <w:rsid w:val="005677E4"/>
    <w:rsid w:val="00567938"/>
    <w:rsid w:val="00567A1E"/>
    <w:rsid w:val="00567AC6"/>
    <w:rsid w:val="00567C49"/>
    <w:rsid w:val="00567D23"/>
    <w:rsid w:val="00567D87"/>
    <w:rsid w:val="00567F09"/>
    <w:rsid w:val="00567F22"/>
    <w:rsid w:val="00567F90"/>
    <w:rsid w:val="00570026"/>
    <w:rsid w:val="00570106"/>
    <w:rsid w:val="005701E1"/>
    <w:rsid w:val="00570295"/>
    <w:rsid w:val="0057035D"/>
    <w:rsid w:val="005703FB"/>
    <w:rsid w:val="00570474"/>
    <w:rsid w:val="0057047B"/>
    <w:rsid w:val="005704BD"/>
    <w:rsid w:val="005704DE"/>
    <w:rsid w:val="005704FD"/>
    <w:rsid w:val="00570904"/>
    <w:rsid w:val="00570912"/>
    <w:rsid w:val="00570998"/>
    <w:rsid w:val="005709E3"/>
    <w:rsid w:val="00570A1B"/>
    <w:rsid w:val="00570B6D"/>
    <w:rsid w:val="00570BCC"/>
    <w:rsid w:val="00570C48"/>
    <w:rsid w:val="00570D2F"/>
    <w:rsid w:val="00570DD0"/>
    <w:rsid w:val="00570DED"/>
    <w:rsid w:val="00570E23"/>
    <w:rsid w:val="00570E46"/>
    <w:rsid w:val="00570F44"/>
    <w:rsid w:val="00570F48"/>
    <w:rsid w:val="005711D4"/>
    <w:rsid w:val="0057122D"/>
    <w:rsid w:val="005712D5"/>
    <w:rsid w:val="005714F4"/>
    <w:rsid w:val="005715F8"/>
    <w:rsid w:val="00571646"/>
    <w:rsid w:val="00571ACF"/>
    <w:rsid w:val="00571B32"/>
    <w:rsid w:val="00571BC3"/>
    <w:rsid w:val="00571D48"/>
    <w:rsid w:val="00571ECC"/>
    <w:rsid w:val="00571EE5"/>
    <w:rsid w:val="00571EE7"/>
    <w:rsid w:val="00571F60"/>
    <w:rsid w:val="00571F6B"/>
    <w:rsid w:val="0057204D"/>
    <w:rsid w:val="005720B6"/>
    <w:rsid w:val="00572277"/>
    <w:rsid w:val="005722DC"/>
    <w:rsid w:val="005722ED"/>
    <w:rsid w:val="005723C7"/>
    <w:rsid w:val="00572479"/>
    <w:rsid w:val="00572677"/>
    <w:rsid w:val="0057271B"/>
    <w:rsid w:val="0057277C"/>
    <w:rsid w:val="0057288F"/>
    <w:rsid w:val="00572905"/>
    <w:rsid w:val="00572909"/>
    <w:rsid w:val="00572992"/>
    <w:rsid w:val="00572B4E"/>
    <w:rsid w:val="00572BD1"/>
    <w:rsid w:val="00572CC5"/>
    <w:rsid w:val="00572D3A"/>
    <w:rsid w:val="00572D67"/>
    <w:rsid w:val="00572D99"/>
    <w:rsid w:val="00572F88"/>
    <w:rsid w:val="00572FE8"/>
    <w:rsid w:val="00573312"/>
    <w:rsid w:val="00573533"/>
    <w:rsid w:val="0057364A"/>
    <w:rsid w:val="0057372E"/>
    <w:rsid w:val="00573777"/>
    <w:rsid w:val="0057379F"/>
    <w:rsid w:val="00573A08"/>
    <w:rsid w:val="00573B02"/>
    <w:rsid w:val="00573B0E"/>
    <w:rsid w:val="00573D0A"/>
    <w:rsid w:val="00573D96"/>
    <w:rsid w:val="00573EA9"/>
    <w:rsid w:val="00573F26"/>
    <w:rsid w:val="00573F71"/>
    <w:rsid w:val="00573F82"/>
    <w:rsid w:val="0057403F"/>
    <w:rsid w:val="00574082"/>
    <w:rsid w:val="00574159"/>
    <w:rsid w:val="005743B3"/>
    <w:rsid w:val="005743D9"/>
    <w:rsid w:val="00574457"/>
    <w:rsid w:val="0057445D"/>
    <w:rsid w:val="005744E1"/>
    <w:rsid w:val="00574675"/>
    <w:rsid w:val="005746F2"/>
    <w:rsid w:val="005747A9"/>
    <w:rsid w:val="00574893"/>
    <w:rsid w:val="00574896"/>
    <w:rsid w:val="00574965"/>
    <w:rsid w:val="005749AD"/>
    <w:rsid w:val="005749ED"/>
    <w:rsid w:val="00574A69"/>
    <w:rsid w:val="00574AB7"/>
    <w:rsid w:val="00574B25"/>
    <w:rsid w:val="00574BFC"/>
    <w:rsid w:val="00575034"/>
    <w:rsid w:val="0057507B"/>
    <w:rsid w:val="0057519F"/>
    <w:rsid w:val="0057536B"/>
    <w:rsid w:val="005753E5"/>
    <w:rsid w:val="0057550C"/>
    <w:rsid w:val="00575536"/>
    <w:rsid w:val="00575590"/>
    <w:rsid w:val="005756D6"/>
    <w:rsid w:val="005757A9"/>
    <w:rsid w:val="005757BA"/>
    <w:rsid w:val="00575876"/>
    <w:rsid w:val="0057597B"/>
    <w:rsid w:val="00575A34"/>
    <w:rsid w:val="00575BE0"/>
    <w:rsid w:val="00575D49"/>
    <w:rsid w:val="00575D87"/>
    <w:rsid w:val="00575DCC"/>
    <w:rsid w:val="00575E01"/>
    <w:rsid w:val="00575F9E"/>
    <w:rsid w:val="005760D1"/>
    <w:rsid w:val="0057630D"/>
    <w:rsid w:val="0057647B"/>
    <w:rsid w:val="005766D3"/>
    <w:rsid w:val="00576724"/>
    <w:rsid w:val="00576740"/>
    <w:rsid w:val="005768BF"/>
    <w:rsid w:val="005768E7"/>
    <w:rsid w:val="00576A17"/>
    <w:rsid w:val="00576A48"/>
    <w:rsid w:val="00576A50"/>
    <w:rsid w:val="00576A63"/>
    <w:rsid w:val="00576CD2"/>
    <w:rsid w:val="00576DB3"/>
    <w:rsid w:val="00576FA8"/>
    <w:rsid w:val="00576FF9"/>
    <w:rsid w:val="00577115"/>
    <w:rsid w:val="0057713C"/>
    <w:rsid w:val="00577248"/>
    <w:rsid w:val="0057725F"/>
    <w:rsid w:val="005772D0"/>
    <w:rsid w:val="005773BD"/>
    <w:rsid w:val="00577565"/>
    <w:rsid w:val="00577602"/>
    <w:rsid w:val="005776B1"/>
    <w:rsid w:val="005776C0"/>
    <w:rsid w:val="00577761"/>
    <w:rsid w:val="005777F9"/>
    <w:rsid w:val="0057785F"/>
    <w:rsid w:val="0057790E"/>
    <w:rsid w:val="005779A4"/>
    <w:rsid w:val="00577A44"/>
    <w:rsid w:val="00577B84"/>
    <w:rsid w:val="00577C20"/>
    <w:rsid w:val="00577CC7"/>
    <w:rsid w:val="00577DEA"/>
    <w:rsid w:val="00577E95"/>
    <w:rsid w:val="00577F41"/>
    <w:rsid w:val="00577FBA"/>
    <w:rsid w:val="0058008D"/>
    <w:rsid w:val="00580183"/>
    <w:rsid w:val="0058023D"/>
    <w:rsid w:val="00580267"/>
    <w:rsid w:val="0058035C"/>
    <w:rsid w:val="005803C4"/>
    <w:rsid w:val="005806BA"/>
    <w:rsid w:val="005806C0"/>
    <w:rsid w:val="00580717"/>
    <w:rsid w:val="00580859"/>
    <w:rsid w:val="0058086A"/>
    <w:rsid w:val="00580883"/>
    <w:rsid w:val="00580AA6"/>
    <w:rsid w:val="00580AB6"/>
    <w:rsid w:val="00580BE3"/>
    <w:rsid w:val="00580C27"/>
    <w:rsid w:val="00580CA5"/>
    <w:rsid w:val="0058121B"/>
    <w:rsid w:val="00581244"/>
    <w:rsid w:val="00581291"/>
    <w:rsid w:val="00581374"/>
    <w:rsid w:val="00581439"/>
    <w:rsid w:val="00581494"/>
    <w:rsid w:val="005814A7"/>
    <w:rsid w:val="0058155B"/>
    <w:rsid w:val="0058167E"/>
    <w:rsid w:val="0058171C"/>
    <w:rsid w:val="00581764"/>
    <w:rsid w:val="00581925"/>
    <w:rsid w:val="00581A7D"/>
    <w:rsid w:val="00581B33"/>
    <w:rsid w:val="00581C39"/>
    <w:rsid w:val="00581CD7"/>
    <w:rsid w:val="00581D01"/>
    <w:rsid w:val="00581E26"/>
    <w:rsid w:val="00581EC7"/>
    <w:rsid w:val="00581FF5"/>
    <w:rsid w:val="0058214F"/>
    <w:rsid w:val="005821C0"/>
    <w:rsid w:val="005821F9"/>
    <w:rsid w:val="0058227F"/>
    <w:rsid w:val="00582357"/>
    <w:rsid w:val="00582368"/>
    <w:rsid w:val="00582379"/>
    <w:rsid w:val="0058240B"/>
    <w:rsid w:val="00582457"/>
    <w:rsid w:val="0058250A"/>
    <w:rsid w:val="0058268C"/>
    <w:rsid w:val="00582B0B"/>
    <w:rsid w:val="00582C1F"/>
    <w:rsid w:val="00582D06"/>
    <w:rsid w:val="00582D9B"/>
    <w:rsid w:val="00582FBD"/>
    <w:rsid w:val="00583026"/>
    <w:rsid w:val="0058310F"/>
    <w:rsid w:val="0058313C"/>
    <w:rsid w:val="0058321A"/>
    <w:rsid w:val="005832A5"/>
    <w:rsid w:val="005832FF"/>
    <w:rsid w:val="00583353"/>
    <w:rsid w:val="005833F4"/>
    <w:rsid w:val="005834C4"/>
    <w:rsid w:val="00583765"/>
    <w:rsid w:val="00583846"/>
    <w:rsid w:val="0058393B"/>
    <w:rsid w:val="00583A27"/>
    <w:rsid w:val="00583B90"/>
    <w:rsid w:val="00583BF8"/>
    <w:rsid w:val="00583CD6"/>
    <w:rsid w:val="00583D5E"/>
    <w:rsid w:val="00583F55"/>
    <w:rsid w:val="00583F92"/>
    <w:rsid w:val="0058400C"/>
    <w:rsid w:val="005840E5"/>
    <w:rsid w:val="00584127"/>
    <w:rsid w:val="005841A2"/>
    <w:rsid w:val="005841FA"/>
    <w:rsid w:val="005841FC"/>
    <w:rsid w:val="005842BD"/>
    <w:rsid w:val="0058465F"/>
    <w:rsid w:val="0058479A"/>
    <w:rsid w:val="005848AE"/>
    <w:rsid w:val="00584B5B"/>
    <w:rsid w:val="00584B6E"/>
    <w:rsid w:val="00584C38"/>
    <w:rsid w:val="00584C58"/>
    <w:rsid w:val="00584C84"/>
    <w:rsid w:val="00584F06"/>
    <w:rsid w:val="00584F28"/>
    <w:rsid w:val="00584F91"/>
    <w:rsid w:val="00585077"/>
    <w:rsid w:val="005852B6"/>
    <w:rsid w:val="005852C9"/>
    <w:rsid w:val="00585324"/>
    <w:rsid w:val="00585370"/>
    <w:rsid w:val="005853B3"/>
    <w:rsid w:val="00585425"/>
    <w:rsid w:val="0058543B"/>
    <w:rsid w:val="00585507"/>
    <w:rsid w:val="0058577B"/>
    <w:rsid w:val="00585813"/>
    <w:rsid w:val="00585852"/>
    <w:rsid w:val="00585895"/>
    <w:rsid w:val="005859A7"/>
    <w:rsid w:val="005859E1"/>
    <w:rsid w:val="00585A2E"/>
    <w:rsid w:val="00585A90"/>
    <w:rsid w:val="00585AF5"/>
    <w:rsid w:val="00585B87"/>
    <w:rsid w:val="00585B99"/>
    <w:rsid w:val="00585C0B"/>
    <w:rsid w:val="00585C3A"/>
    <w:rsid w:val="00585C9D"/>
    <w:rsid w:val="00585D85"/>
    <w:rsid w:val="00585DA5"/>
    <w:rsid w:val="00585E77"/>
    <w:rsid w:val="005860BC"/>
    <w:rsid w:val="005860EE"/>
    <w:rsid w:val="005861BA"/>
    <w:rsid w:val="005861EC"/>
    <w:rsid w:val="0058623C"/>
    <w:rsid w:val="00586248"/>
    <w:rsid w:val="0058626F"/>
    <w:rsid w:val="005862EB"/>
    <w:rsid w:val="00586544"/>
    <w:rsid w:val="005866BE"/>
    <w:rsid w:val="00586709"/>
    <w:rsid w:val="00586818"/>
    <w:rsid w:val="0058682C"/>
    <w:rsid w:val="00586958"/>
    <w:rsid w:val="00586A15"/>
    <w:rsid w:val="00586B3A"/>
    <w:rsid w:val="00586B9D"/>
    <w:rsid w:val="00586BC6"/>
    <w:rsid w:val="00586E40"/>
    <w:rsid w:val="00586EEC"/>
    <w:rsid w:val="00586F2F"/>
    <w:rsid w:val="00586FC4"/>
    <w:rsid w:val="005870AA"/>
    <w:rsid w:val="005870B5"/>
    <w:rsid w:val="005870D4"/>
    <w:rsid w:val="00587137"/>
    <w:rsid w:val="00587287"/>
    <w:rsid w:val="005872DB"/>
    <w:rsid w:val="0058730C"/>
    <w:rsid w:val="00587372"/>
    <w:rsid w:val="005873C8"/>
    <w:rsid w:val="00587453"/>
    <w:rsid w:val="00587462"/>
    <w:rsid w:val="0058748B"/>
    <w:rsid w:val="00587688"/>
    <w:rsid w:val="005876F2"/>
    <w:rsid w:val="00587711"/>
    <w:rsid w:val="0058788C"/>
    <w:rsid w:val="00587930"/>
    <w:rsid w:val="0058794F"/>
    <w:rsid w:val="00587A19"/>
    <w:rsid w:val="00587ABA"/>
    <w:rsid w:val="00587B1E"/>
    <w:rsid w:val="00587BDF"/>
    <w:rsid w:val="00587F2F"/>
    <w:rsid w:val="00587FDA"/>
    <w:rsid w:val="00587FDB"/>
    <w:rsid w:val="00587FF2"/>
    <w:rsid w:val="00590079"/>
    <w:rsid w:val="005900AA"/>
    <w:rsid w:val="005900DA"/>
    <w:rsid w:val="00590158"/>
    <w:rsid w:val="005902B0"/>
    <w:rsid w:val="0059043D"/>
    <w:rsid w:val="005904BE"/>
    <w:rsid w:val="0059057B"/>
    <w:rsid w:val="005905FC"/>
    <w:rsid w:val="0059065F"/>
    <w:rsid w:val="0059090C"/>
    <w:rsid w:val="00590929"/>
    <w:rsid w:val="00590983"/>
    <w:rsid w:val="00590A70"/>
    <w:rsid w:val="00590B03"/>
    <w:rsid w:val="00590C58"/>
    <w:rsid w:val="00590CD8"/>
    <w:rsid w:val="00590D84"/>
    <w:rsid w:val="00590DB4"/>
    <w:rsid w:val="00590F38"/>
    <w:rsid w:val="00590FC5"/>
    <w:rsid w:val="00591119"/>
    <w:rsid w:val="005911F1"/>
    <w:rsid w:val="00591219"/>
    <w:rsid w:val="0059142D"/>
    <w:rsid w:val="00591430"/>
    <w:rsid w:val="005914D1"/>
    <w:rsid w:val="0059185F"/>
    <w:rsid w:val="0059196E"/>
    <w:rsid w:val="00591A1F"/>
    <w:rsid w:val="00591BFE"/>
    <w:rsid w:val="00591C15"/>
    <w:rsid w:val="00591DED"/>
    <w:rsid w:val="00591DFB"/>
    <w:rsid w:val="00591E10"/>
    <w:rsid w:val="00591E27"/>
    <w:rsid w:val="00591E8E"/>
    <w:rsid w:val="00591EE2"/>
    <w:rsid w:val="00591F1D"/>
    <w:rsid w:val="00591F6E"/>
    <w:rsid w:val="00591FE8"/>
    <w:rsid w:val="005921AA"/>
    <w:rsid w:val="005921AD"/>
    <w:rsid w:val="005922DA"/>
    <w:rsid w:val="005922F5"/>
    <w:rsid w:val="0059238E"/>
    <w:rsid w:val="00592417"/>
    <w:rsid w:val="0059245E"/>
    <w:rsid w:val="0059268B"/>
    <w:rsid w:val="005926B1"/>
    <w:rsid w:val="00592794"/>
    <w:rsid w:val="00592866"/>
    <w:rsid w:val="005928CE"/>
    <w:rsid w:val="00592AAA"/>
    <w:rsid w:val="00592BD8"/>
    <w:rsid w:val="00592C74"/>
    <w:rsid w:val="00592ED3"/>
    <w:rsid w:val="00593012"/>
    <w:rsid w:val="0059301E"/>
    <w:rsid w:val="0059301F"/>
    <w:rsid w:val="0059307D"/>
    <w:rsid w:val="005932A9"/>
    <w:rsid w:val="00593377"/>
    <w:rsid w:val="005933B6"/>
    <w:rsid w:val="005935B0"/>
    <w:rsid w:val="005935CB"/>
    <w:rsid w:val="0059374A"/>
    <w:rsid w:val="00593891"/>
    <w:rsid w:val="005938C6"/>
    <w:rsid w:val="005938C8"/>
    <w:rsid w:val="005938E4"/>
    <w:rsid w:val="005938E7"/>
    <w:rsid w:val="00593931"/>
    <w:rsid w:val="00593935"/>
    <w:rsid w:val="00593BEA"/>
    <w:rsid w:val="00593C20"/>
    <w:rsid w:val="00593D3C"/>
    <w:rsid w:val="00593D53"/>
    <w:rsid w:val="00593DEE"/>
    <w:rsid w:val="00593F5D"/>
    <w:rsid w:val="00593FC7"/>
    <w:rsid w:val="0059409A"/>
    <w:rsid w:val="00594206"/>
    <w:rsid w:val="005942F3"/>
    <w:rsid w:val="005945FE"/>
    <w:rsid w:val="00594664"/>
    <w:rsid w:val="00594A02"/>
    <w:rsid w:val="00594BEF"/>
    <w:rsid w:val="00594C98"/>
    <w:rsid w:val="00594D0F"/>
    <w:rsid w:val="00594E22"/>
    <w:rsid w:val="00594E43"/>
    <w:rsid w:val="00594E59"/>
    <w:rsid w:val="00594FF5"/>
    <w:rsid w:val="005950C2"/>
    <w:rsid w:val="005952C8"/>
    <w:rsid w:val="00595530"/>
    <w:rsid w:val="005955E0"/>
    <w:rsid w:val="00595651"/>
    <w:rsid w:val="0059578B"/>
    <w:rsid w:val="005957E5"/>
    <w:rsid w:val="00595838"/>
    <w:rsid w:val="005959D9"/>
    <w:rsid w:val="00595A6A"/>
    <w:rsid w:val="00595D28"/>
    <w:rsid w:val="00595D9D"/>
    <w:rsid w:val="00595E62"/>
    <w:rsid w:val="0059625D"/>
    <w:rsid w:val="00596305"/>
    <w:rsid w:val="00596316"/>
    <w:rsid w:val="0059631D"/>
    <w:rsid w:val="005963CE"/>
    <w:rsid w:val="00596510"/>
    <w:rsid w:val="0059660D"/>
    <w:rsid w:val="005966EE"/>
    <w:rsid w:val="005967BD"/>
    <w:rsid w:val="0059680F"/>
    <w:rsid w:val="0059690B"/>
    <w:rsid w:val="00596A33"/>
    <w:rsid w:val="00596A9A"/>
    <w:rsid w:val="00596BA1"/>
    <w:rsid w:val="00596BAE"/>
    <w:rsid w:val="00596C18"/>
    <w:rsid w:val="00596CEF"/>
    <w:rsid w:val="00596D09"/>
    <w:rsid w:val="00596E5A"/>
    <w:rsid w:val="00596ECC"/>
    <w:rsid w:val="00596F37"/>
    <w:rsid w:val="00596F3F"/>
    <w:rsid w:val="00596FE6"/>
    <w:rsid w:val="005970B2"/>
    <w:rsid w:val="00597184"/>
    <w:rsid w:val="00597311"/>
    <w:rsid w:val="00597346"/>
    <w:rsid w:val="005973F4"/>
    <w:rsid w:val="005974EA"/>
    <w:rsid w:val="0059759B"/>
    <w:rsid w:val="00597696"/>
    <w:rsid w:val="0059779D"/>
    <w:rsid w:val="005977AD"/>
    <w:rsid w:val="0059794D"/>
    <w:rsid w:val="00597A09"/>
    <w:rsid w:val="00597B04"/>
    <w:rsid w:val="00597B21"/>
    <w:rsid w:val="00597B81"/>
    <w:rsid w:val="00597C0E"/>
    <w:rsid w:val="00597D65"/>
    <w:rsid w:val="00597DCF"/>
    <w:rsid w:val="00597E00"/>
    <w:rsid w:val="00597E72"/>
    <w:rsid w:val="00597FC3"/>
    <w:rsid w:val="005A012F"/>
    <w:rsid w:val="005A024B"/>
    <w:rsid w:val="005A0318"/>
    <w:rsid w:val="005A0340"/>
    <w:rsid w:val="005A038F"/>
    <w:rsid w:val="005A04C6"/>
    <w:rsid w:val="005A055A"/>
    <w:rsid w:val="005A0608"/>
    <w:rsid w:val="005A0628"/>
    <w:rsid w:val="005A066B"/>
    <w:rsid w:val="005A0716"/>
    <w:rsid w:val="005A07D3"/>
    <w:rsid w:val="005A0947"/>
    <w:rsid w:val="005A095F"/>
    <w:rsid w:val="005A09C7"/>
    <w:rsid w:val="005A0A19"/>
    <w:rsid w:val="005A0A22"/>
    <w:rsid w:val="005A0CC2"/>
    <w:rsid w:val="005A0D30"/>
    <w:rsid w:val="005A0D62"/>
    <w:rsid w:val="005A0E93"/>
    <w:rsid w:val="005A0EA0"/>
    <w:rsid w:val="005A0EA2"/>
    <w:rsid w:val="005A0EF3"/>
    <w:rsid w:val="005A0FED"/>
    <w:rsid w:val="005A1071"/>
    <w:rsid w:val="005A10C7"/>
    <w:rsid w:val="005A10E2"/>
    <w:rsid w:val="005A1148"/>
    <w:rsid w:val="005A114E"/>
    <w:rsid w:val="005A12E2"/>
    <w:rsid w:val="005A134F"/>
    <w:rsid w:val="005A13ED"/>
    <w:rsid w:val="005A14C7"/>
    <w:rsid w:val="005A14E6"/>
    <w:rsid w:val="005A14FC"/>
    <w:rsid w:val="005A1518"/>
    <w:rsid w:val="005A15E6"/>
    <w:rsid w:val="005A162C"/>
    <w:rsid w:val="005A1775"/>
    <w:rsid w:val="005A18A2"/>
    <w:rsid w:val="005A1910"/>
    <w:rsid w:val="005A1914"/>
    <w:rsid w:val="005A1999"/>
    <w:rsid w:val="005A19B1"/>
    <w:rsid w:val="005A1B01"/>
    <w:rsid w:val="005A1BC9"/>
    <w:rsid w:val="005A1C4C"/>
    <w:rsid w:val="005A1CDA"/>
    <w:rsid w:val="005A1DC8"/>
    <w:rsid w:val="005A1EC7"/>
    <w:rsid w:val="005A1F69"/>
    <w:rsid w:val="005A200F"/>
    <w:rsid w:val="005A211A"/>
    <w:rsid w:val="005A21BB"/>
    <w:rsid w:val="005A2227"/>
    <w:rsid w:val="005A2242"/>
    <w:rsid w:val="005A2309"/>
    <w:rsid w:val="005A2531"/>
    <w:rsid w:val="005A25D6"/>
    <w:rsid w:val="005A2606"/>
    <w:rsid w:val="005A2673"/>
    <w:rsid w:val="005A26C3"/>
    <w:rsid w:val="005A271C"/>
    <w:rsid w:val="005A27D4"/>
    <w:rsid w:val="005A285F"/>
    <w:rsid w:val="005A28DE"/>
    <w:rsid w:val="005A2916"/>
    <w:rsid w:val="005A29A5"/>
    <w:rsid w:val="005A29D1"/>
    <w:rsid w:val="005A2A7D"/>
    <w:rsid w:val="005A2AD9"/>
    <w:rsid w:val="005A2D82"/>
    <w:rsid w:val="005A2E83"/>
    <w:rsid w:val="005A2EB6"/>
    <w:rsid w:val="005A31E8"/>
    <w:rsid w:val="005A33B1"/>
    <w:rsid w:val="005A3456"/>
    <w:rsid w:val="005A34ED"/>
    <w:rsid w:val="005A3631"/>
    <w:rsid w:val="005A36B6"/>
    <w:rsid w:val="005A36D4"/>
    <w:rsid w:val="005A372B"/>
    <w:rsid w:val="005A375C"/>
    <w:rsid w:val="005A3808"/>
    <w:rsid w:val="005A380E"/>
    <w:rsid w:val="005A381C"/>
    <w:rsid w:val="005A3864"/>
    <w:rsid w:val="005A395E"/>
    <w:rsid w:val="005A3CEF"/>
    <w:rsid w:val="005A3D76"/>
    <w:rsid w:val="005A3DDE"/>
    <w:rsid w:val="005A3EF0"/>
    <w:rsid w:val="005A3F3C"/>
    <w:rsid w:val="005A3FCD"/>
    <w:rsid w:val="005A3FFC"/>
    <w:rsid w:val="005A40B0"/>
    <w:rsid w:val="005A40EE"/>
    <w:rsid w:val="005A4390"/>
    <w:rsid w:val="005A446D"/>
    <w:rsid w:val="005A44AA"/>
    <w:rsid w:val="005A44C9"/>
    <w:rsid w:val="005A4686"/>
    <w:rsid w:val="005A46BD"/>
    <w:rsid w:val="005A46FE"/>
    <w:rsid w:val="005A478D"/>
    <w:rsid w:val="005A4873"/>
    <w:rsid w:val="005A4909"/>
    <w:rsid w:val="005A491A"/>
    <w:rsid w:val="005A4981"/>
    <w:rsid w:val="005A49E6"/>
    <w:rsid w:val="005A4AC9"/>
    <w:rsid w:val="005A4C12"/>
    <w:rsid w:val="005A4C17"/>
    <w:rsid w:val="005A4CF1"/>
    <w:rsid w:val="005A4D57"/>
    <w:rsid w:val="005A4D6A"/>
    <w:rsid w:val="005A4E30"/>
    <w:rsid w:val="005A4E58"/>
    <w:rsid w:val="005A4EE5"/>
    <w:rsid w:val="005A4F97"/>
    <w:rsid w:val="005A4F9A"/>
    <w:rsid w:val="005A4FC4"/>
    <w:rsid w:val="005A5015"/>
    <w:rsid w:val="005A502D"/>
    <w:rsid w:val="005A52A9"/>
    <w:rsid w:val="005A535F"/>
    <w:rsid w:val="005A53C9"/>
    <w:rsid w:val="005A54CE"/>
    <w:rsid w:val="005A54D9"/>
    <w:rsid w:val="005A5518"/>
    <w:rsid w:val="005A5739"/>
    <w:rsid w:val="005A57BB"/>
    <w:rsid w:val="005A5814"/>
    <w:rsid w:val="005A5880"/>
    <w:rsid w:val="005A58F9"/>
    <w:rsid w:val="005A5A7C"/>
    <w:rsid w:val="005A5B02"/>
    <w:rsid w:val="005A5B09"/>
    <w:rsid w:val="005A5C5D"/>
    <w:rsid w:val="005A5C72"/>
    <w:rsid w:val="005A5CF7"/>
    <w:rsid w:val="005A5D91"/>
    <w:rsid w:val="005A6216"/>
    <w:rsid w:val="005A62BF"/>
    <w:rsid w:val="005A64FB"/>
    <w:rsid w:val="005A66DE"/>
    <w:rsid w:val="005A679B"/>
    <w:rsid w:val="005A682B"/>
    <w:rsid w:val="005A6850"/>
    <w:rsid w:val="005A68AB"/>
    <w:rsid w:val="005A693D"/>
    <w:rsid w:val="005A69FA"/>
    <w:rsid w:val="005A69FD"/>
    <w:rsid w:val="005A6AC9"/>
    <w:rsid w:val="005A6BAF"/>
    <w:rsid w:val="005A6BD6"/>
    <w:rsid w:val="005A6E24"/>
    <w:rsid w:val="005A6E9C"/>
    <w:rsid w:val="005A6F4D"/>
    <w:rsid w:val="005A7085"/>
    <w:rsid w:val="005A7253"/>
    <w:rsid w:val="005A7296"/>
    <w:rsid w:val="005A7375"/>
    <w:rsid w:val="005A74F8"/>
    <w:rsid w:val="005A74FB"/>
    <w:rsid w:val="005A7541"/>
    <w:rsid w:val="005A765C"/>
    <w:rsid w:val="005A76B5"/>
    <w:rsid w:val="005A7738"/>
    <w:rsid w:val="005A77ED"/>
    <w:rsid w:val="005A7945"/>
    <w:rsid w:val="005A7AA9"/>
    <w:rsid w:val="005A7AAF"/>
    <w:rsid w:val="005A7B9B"/>
    <w:rsid w:val="005A7CB3"/>
    <w:rsid w:val="005A7CEB"/>
    <w:rsid w:val="005A7D9D"/>
    <w:rsid w:val="005A7DC5"/>
    <w:rsid w:val="005A7DEA"/>
    <w:rsid w:val="005A7DFC"/>
    <w:rsid w:val="005A7E74"/>
    <w:rsid w:val="005A7ED3"/>
    <w:rsid w:val="005A7F8A"/>
    <w:rsid w:val="005A7FD3"/>
    <w:rsid w:val="005B0045"/>
    <w:rsid w:val="005B00E7"/>
    <w:rsid w:val="005B0151"/>
    <w:rsid w:val="005B0166"/>
    <w:rsid w:val="005B0174"/>
    <w:rsid w:val="005B0362"/>
    <w:rsid w:val="005B03BA"/>
    <w:rsid w:val="005B04DD"/>
    <w:rsid w:val="005B06C6"/>
    <w:rsid w:val="005B0827"/>
    <w:rsid w:val="005B090E"/>
    <w:rsid w:val="005B094A"/>
    <w:rsid w:val="005B0C2B"/>
    <w:rsid w:val="005B0C8B"/>
    <w:rsid w:val="005B0C9A"/>
    <w:rsid w:val="005B0EC5"/>
    <w:rsid w:val="005B0FEA"/>
    <w:rsid w:val="005B107C"/>
    <w:rsid w:val="005B109A"/>
    <w:rsid w:val="005B10C2"/>
    <w:rsid w:val="005B13A5"/>
    <w:rsid w:val="005B151D"/>
    <w:rsid w:val="005B1535"/>
    <w:rsid w:val="005B16C1"/>
    <w:rsid w:val="005B16E9"/>
    <w:rsid w:val="005B1717"/>
    <w:rsid w:val="005B179D"/>
    <w:rsid w:val="005B17FE"/>
    <w:rsid w:val="005B18D1"/>
    <w:rsid w:val="005B1AE2"/>
    <w:rsid w:val="005B1B22"/>
    <w:rsid w:val="005B1DF6"/>
    <w:rsid w:val="005B1E50"/>
    <w:rsid w:val="005B1E5C"/>
    <w:rsid w:val="005B1E64"/>
    <w:rsid w:val="005B1EB6"/>
    <w:rsid w:val="005B1F1E"/>
    <w:rsid w:val="005B1F80"/>
    <w:rsid w:val="005B1FA7"/>
    <w:rsid w:val="005B21E4"/>
    <w:rsid w:val="005B2236"/>
    <w:rsid w:val="005B2307"/>
    <w:rsid w:val="005B2321"/>
    <w:rsid w:val="005B232D"/>
    <w:rsid w:val="005B2422"/>
    <w:rsid w:val="005B24BF"/>
    <w:rsid w:val="005B2538"/>
    <w:rsid w:val="005B256C"/>
    <w:rsid w:val="005B2661"/>
    <w:rsid w:val="005B2810"/>
    <w:rsid w:val="005B2875"/>
    <w:rsid w:val="005B2992"/>
    <w:rsid w:val="005B2A0C"/>
    <w:rsid w:val="005B2DE1"/>
    <w:rsid w:val="005B2FD0"/>
    <w:rsid w:val="005B3103"/>
    <w:rsid w:val="005B311D"/>
    <w:rsid w:val="005B31E5"/>
    <w:rsid w:val="005B3234"/>
    <w:rsid w:val="005B32DF"/>
    <w:rsid w:val="005B3312"/>
    <w:rsid w:val="005B3493"/>
    <w:rsid w:val="005B352A"/>
    <w:rsid w:val="005B35FA"/>
    <w:rsid w:val="005B3745"/>
    <w:rsid w:val="005B388D"/>
    <w:rsid w:val="005B3891"/>
    <w:rsid w:val="005B38E4"/>
    <w:rsid w:val="005B38F3"/>
    <w:rsid w:val="005B391F"/>
    <w:rsid w:val="005B399C"/>
    <w:rsid w:val="005B39BE"/>
    <w:rsid w:val="005B3A73"/>
    <w:rsid w:val="005B3F61"/>
    <w:rsid w:val="005B3F7B"/>
    <w:rsid w:val="005B3F9E"/>
    <w:rsid w:val="005B403A"/>
    <w:rsid w:val="005B4158"/>
    <w:rsid w:val="005B4182"/>
    <w:rsid w:val="005B4222"/>
    <w:rsid w:val="005B42F6"/>
    <w:rsid w:val="005B449E"/>
    <w:rsid w:val="005B459E"/>
    <w:rsid w:val="005B4667"/>
    <w:rsid w:val="005B468C"/>
    <w:rsid w:val="005B472D"/>
    <w:rsid w:val="005B47A2"/>
    <w:rsid w:val="005B484B"/>
    <w:rsid w:val="005B4863"/>
    <w:rsid w:val="005B4944"/>
    <w:rsid w:val="005B49A3"/>
    <w:rsid w:val="005B49BA"/>
    <w:rsid w:val="005B4AC5"/>
    <w:rsid w:val="005B4B23"/>
    <w:rsid w:val="005B4B50"/>
    <w:rsid w:val="005B4B79"/>
    <w:rsid w:val="005B4B80"/>
    <w:rsid w:val="005B4C1A"/>
    <w:rsid w:val="005B4C1D"/>
    <w:rsid w:val="005B4C23"/>
    <w:rsid w:val="005B4CC7"/>
    <w:rsid w:val="005B4F14"/>
    <w:rsid w:val="005B4FC4"/>
    <w:rsid w:val="005B50FA"/>
    <w:rsid w:val="005B5173"/>
    <w:rsid w:val="005B51F8"/>
    <w:rsid w:val="005B5510"/>
    <w:rsid w:val="005B5537"/>
    <w:rsid w:val="005B556B"/>
    <w:rsid w:val="005B55EA"/>
    <w:rsid w:val="005B5634"/>
    <w:rsid w:val="005B5671"/>
    <w:rsid w:val="005B57C5"/>
    <w:rsid w:val="005B58CB"/>
    <w:rsid w:val="005B5936"/>
    <w:rsid w:val="005B5CBD"/>
    <w:rsid w:val="005B5F86"/>
    <w:rsid w:val="005B5FBC"/>
    <w:rsid w:val="005B604A"/>
    <w:rsid w:val="005B6087"/>
    <w:rsid w:val="005B6344"/>
    <w:rsid w:val="005B6447"/>
    <w:rsid w:val="005B6457"/>
    <w:rsid w:val="005B6461"/>
    <w:rsid w:val="005B64D5"/>
    <w:rsid w:val="005B6516"/>
    <w:rsid w:val="005B6521"/>
    <w:rsid w:val="005B65C2"/>
    <w:rsid w:val="005B6606"/>
    <w:rsid w:val="005B6639"/>
    <w:rsid w:val="005B677F"/>
    <w:rsid w:val="005B67D5"/>
    <w:rsid w:val="005B6806"/>
    <w:rsid w:val="005B680B"/>
    <w:rsid w:val="005B697F"/>
    <w:rsid w:val="005B6A2A"/>
    <w:rsid w:val="005B6A56"/>
    <w:rsid w:val="005B6A99"/>
    <w:rsid w:val="005B6B31"/>
    <w:rsid w:val="005B6B6A"/>
    <w:rsid w:val="005B6B76"/>
    <w:rsid w:val="005B6BB9"/>
    <w:rsid w:val="005B6DF6"/>
    <w:rsid w:val="005B6FBA"/>
    <w:rsid w:val="005B708E"/>
    <w:rsid w:val="005B70DC"/>
    <w:rsid w:val="005B7292"/>
    <w:rsid w:val="005B733E"/>
    <w:rsid w:val="005B7359"/>
    <w:rsid w:val="005B7364"/>
    <w:rsid w:val="005B75B1"/>
    <w:rsid w:val="005B7684"/>
    <w:rsid w:val="005B76BD"/>
    <w:rsid w:val="005B77C7"/>
    <w:rsid w:val="005B784B"/>
    <w:rsid w:val="005B7A44"/>
    <w:rsid w:val="005B7A62"/>
    <w:rsid w:val="005B7AF2"/>
    <w:rsid w:val="005B7B61"/>
    <w:rsid w:val="005B7B73"/>
    <w:rsid w:val="005B7BE2"/>
    <w:rsid w:val="005B7DC0"/>
    <w:rsid w:val="005B7E88"/>
    <w:rsid w:val="005C0180"/>
    <w:rsid w:val="005C0277"/>
    <w:rsid w:val="005C0365"/>
    <w:rsid w:val="005C0448"/>
    <w:rsid w:val="005C0481"/>
    <w:rsid w:val="005C0564"/>
    <w:rsid w:val="005C05B8"/>
    <w:rsid w:val="005C0616"/>
    <w:rsid w:val="005C0735"/>
    <w:rsid w:val="005C0881"/>
    <w:rsid w:val="005C089F"/>
    <w:rsid w:val="005C0942"/>
    <w:rsid w:val="005C0965"/>
    <w:rsid w:val="005C0A01"/>
    <w:rsid w:val="005C0AF6"/>
    <w:rsid w:val="005C0B3A"/>
    <w:rsid w:val="005C0C74"/>
    <w:rsid w:val="005C0CF1"/>
    <w:rsid w:val="005C0D00"/>
    <w:rsid w:val="005C0D61"/>
    <w:rsid w:val="005C0EE6"/>
    <w:rsid w:val="005C0EF3"/>
    <w:rsid w:val="005C0F2F"/>
    <w:rsid w:val="005C0F3E"/>
    <w:rsid w:val="005C10E5"/>
    <w:rsid w:val="005C1356"/>
    <w:rsid w:val="005C13D5"/>
    <w:rsid w:val="005C1464"/>
    <w:rsid w:val="005C147B"/>
    <w:rsid w:val="005C14AF"/>
    <w:rsid w:val="005C14CD"/>
    <w:rsid w:val="005C14E0"/>
    <w:rsid w:val="005C1548"/>
    <w:rsid w:val="005C16D0"/>
    <w:rsid w:val="005C186E"/>
    <w:rsid w:val="005C1A59"/>
    <w:rsid w:val="005C1B79"/>
    <w:rsid w:val="005C1DDE"/>
    <w:rsid w:val="005C1EF3"/>
    <w:rsid w:val="005C211A"/>
    <w:rsid w:val="005C211B"/>
    <w:rsid w:val="005C211C"/>
    <w:rsid w:val="005C221B"/>
    <w:rsid w:val="005C2495"/>
    <w:rsid w:val="005C2547"/>
    <w:rsid w:val="005C28D4"/>
    <w:rsid w:val="005C291D"/>
    <w:rsid w:val="005C2BB4"/>
    <w:rsid w:val="005C2CC0"/>
    <w:rsid w:val="005C2CFE"/>
    <w:rsid w:val="005C2D1F"/>
    <w:rsid w:val="005C2E1F"/>
    <w:rsid w:val="005C2E36"/>
    <w:rsid w:val="005C2E8B"/>
    <w:rsid w:val="005C2EC6"/>
    <w:rsid w:val="005C2FA4"/>
    <w:rsid w:val="005C30D5"/>
    <w:rsid w:val="005C31AA"/>
    <w:rsid w:val="005C3281"/>
    <w:rsid w:val="005C3427"/>
    <w:rsid w:val="005C34D1"/>
    <w:rsid w:val="005C354F"/>
    <w:rsid w:val="005C3604"/>
    <w:rsid w:val="005C370E"/>
    <w:rsid w:val="005C3727"/>
    <w:rsid w:val="005C3769"/>
    <w:rsid w:val="005C37C9"/>
    <w:rsid w:val="005C380B"/>
    <w:rsid w:val="005C3867"/>
    <w:rsid w:val="005C38E9"/>
    <w:rsid w:val="005C39F7"/>
    <w:rsid w:val="005C3A21"/>
    <w:rsid w:val="005C3AF1"/>
    <w:rsid w:val="005C3BCF"/>
    <w:rsid w:val="005C3BF5"/>
    <w:rsid w:val="005C3C0B"/>
    <w:rsid w:val="005C3D96"/>
    <w:rsid w:val="005C3EFD"/>
    <w:rsid w:val="005C3FA8"/>
    <w:rsid w:val="005C3FDE"/>
    <w:rsid w:val="005C411B"/>
    <w:rsid w:val="005C416F"/>
    <w:rsid w:val="005C41A1"/>
    <w:rsid w:val="005C41B9"/>
    <w:rsid w:val="005C41DA"/>
    <w:rsid w:val="005C41F0"/>
    <w:rsid w:val="005C4213"/>
    <w:rsid w:val="005C440B"/>
    <w:rsid w:val="005C4410"/>
    <w:rsid w:val="005C4567"/>
    <w:rsid w:val="005C4595"/>
    <w:rsid w:val="005C45E2"/>
    <w:rsid w:val="005C4695"/>
    <w:rsid w:val="005C479E"/>
    <w:rsid w:val="005C48A3"/>
    <w:rsid w:val="005C49E8"/>
    <w:rsid w:val="005C4A23"/>
    <w:rsid w:val="005C4A25"/>
    <w:rsid w:val="005C4AB9"/>
    <w:rsid w:val="005C4BF0"/>
    <w:rsid w:val="005C4C04"/>
    <w:rsid w:val="005C4C2F"/>
    <w:rsid w:val="005C4CBC"/>
    <w:rsid w:val="005C4CEF"/>
    <w:rsid w:val="005C4D1B"/>
    <w:rsid w:val="005C4DB9"/>
    <w:rsid w:val="005C4F05"/>
    <w:rsid w:val="005C4F45"/>
    <w:rsid w:val="005C4F98"/>
    <w:rsid w:val="005C5082"/>
    <w:rsid w:val="005C508F"/>
    <w:rsid w:val="005C51C0"/>
    <w:rsid w:val="005C5235"/>
    <w:rsid w:val="005C538A"/>
    <w:rsid w:val="005C53EE"/>
    <w:rsid w:val="005C5419"/>
    <w:rsid w:val="005C54A6"/>
    <w:rsid w:val="005C54D2"/>
    <w:rsid w:val="005C5613"/>
    <w:rsid w:val="005C5635"/>
    <w:rsid w:val="005C5699"/>
    <w:rsid w:val="005C57A0"/>
    <w:rsid w:val="005C57A8"/>
    <w:rsid w:val="005C57B3"/>
    <w:rsid w:val="005C5806"/>
    <w:rsid w:val="005C586B"/>
    <w:rsid w:val="005C58AD"/>
    <w:rsid w:val="005C58F5"/>
    <w:rsid w:val="005C59F7"/>
    <w:rsid w:val="005C5A75"/>
    <w:rsid w:val="005C5A93"/>
    <w:rsid w:val="005C5C1C"/>
    <w:rsid w:val="005C5C85"/>
    <w:rsid w:val="005C5CA4"/>
    <w:rsid w:val="005C5CD6"/>
    <w:rsid w:val="005C5CFA"/>
    <w:rsid w:val="005C5D1E"/>
    <w:rsid w:val="005C5D33"/>
    <w:rsid w:val="005C5DBF"/>
    <w:rsid w:val="005C5DCF"/>
    <w:rsid w:val="005C5DDD"/>
    <w:rsid w:val="005C5FB2"/>
    <w:rsid w:val="005C602E"/>
    <w:rsid w:val="005C6186"/>
    <w:rsid w:val="005C6215"/>
    <w:rsid w:val="005C62F5"/>
    <w:rsid w:val="005C6440"/>
    <w:rsid w:val="005C65DC"/>
    <w:rsid w:val="005C661F"/>
    <w:rsid w:val="005C6673"/>
    <w:rsid w:val="005C6696"/>
    <w:rsid w:val="005C676B"/>
    <w:rsid w:val="005C6854"/>
    <w:rsid w:val="005C6860"/>
    <w:rsid w:val="005C6987"/>
    <w:rsid w:val="005C6A60"/>
    <w:rsid w:val="005C6A64"/>
    <w:rsid w:val="005C6A71"/>
    <w:rsid w:val="005C6ACE"/>
    <w:rsid w:val="005C6B17"/>
    <w:rsid w:val="005C6C83"/>
    <w:rsid w:val="005C6CA6"/>
    <w:rsid w:val="005C6CF5"/>
    <w:rsid w:val="005C6D7B"/>
    <w:rsid w:val="005C6E54"/>
    <w:rsid w:val="005C6F0C"/>
    <w:rsid w:val="005C6F46"/>
    <w:rsid w:val="005C7105"/>
    <w:rsid w:val="005C7274"/>
    <w:rsid w:val="005C72D3"/>
    <w:rsid w:val="005C73BE"/>
    <w:rsid w:val="005C75E6"/>
    <w:rsid w:val="005C7720"/>
    <w:rsid w:val="005C7789"/>
    <w:rsid w:val="005C793C"/>
    <w:rsid w:val="005C7990"/>
    <w:rsid w:val="005C7997"/>
    <w:rsid w:val="005C7AEE"/>
    <w:rsid w:val="005C7B66"/>
    <w:rsid w:val="005C7BE2"/>
    <w:rsid w:val="005C7C64"/>
    <w:rsid w:val="005C7CBC"/>
    <w:rsid w:val="005C7D05"/>
    <w:rsid w:val="005C7E71"/>
    <w:rsid w:val="005C7F0E"/>
    <w:rsid w:val="005C7FCD"/>
    <w:rsid w:val="005C7FF9"/>
    <w:rsid w:val="005D0039"/>
    <w:rsid w:val="005D004D"/>
    <w:rsid w:val="005D00FB"/>
    <w:rsid w:val="005D015F"/>
    <w:rsid w:val="005D01AB"/>
    <w:rsid w:val="005D0215"/>
    <w:rsid w:val="005D02D3"/>
    <w:rsid w:val="005D0332"/>
    <w:rsid w:val="005D03DE"/>
    <w:rsid w:val="005D0449"/>
    <w:rsid w:val="005D04FF"/>
    <w:rsid w:val="005D05BF"/>
    <w:rsid w:val="005D05D5"/>
    <w:rsid w:val="005D05EB"/>
    <w:rsid w:val="005D06EA"/>
    <w:rsid w:val="005D0887"/>
    <w:rsid w:val="005D09CF"/>
    <w:rsid w:val="005D09F6"/>
    <w:rsid w:val="005D0ADF"/>
    <w:rsid w:val="005D0D2C"/>
    <w:rsid w:val="005D0E10"/>
    <w:rsid w:val="005D0E18"/>
    <w:rsid w:val="005D0E1B"/>
    <w:rsid w:val="005D0E40"/>
    <w:rsid w:val="005D0E92"/>
    <w:rsid w:val="005D0EBC"/>
    <w:rsid w:val="005D0EF7"/>
    <w:rsid w:val="005D0F8E"/>
    <w:rsid w:val="005D1047"/>
    <w:rsid w:val="005D120E"/>
    <w:rsid w:val="005D1271"/>
    <w:rsid w:val="005D1402"/>
    <w:rsid w:val="005D142C"/>
    <w:rsid w:val="005D1758"/>
    <w:rsid w:val="005D181D"/>
    <w:rsid w:val="005D19F2"/>
    <w:rsid w:val="005D1B06"/>
    <w:rsid w:val="005D1CC8"/>
    <w:rsid w:val="005D1F1A"/>
    <w:rsid w:val="005D1F28"/>
    <w:rsid w:val="005D1F53"/>
    <w:rsid w:val="005D1FDF"/>
    <w:rsid w:val="005D2080"/>
    <w:rsid w:val="005D20B0"/>
    <w:rsid w:val="005D220C"/>
    <w:rsid w:val="005D2330"/>
    <w:rsid w:val="005D2490"/>
    <w:rsid w:val="005D24BB"/>
    <w:rsid w:val="005D24F3"/>
    <w:rsid w:val="005D26F3"/>
    <w:rsid w:val="005D281E"/>
    <w:rsid w:val="005D2844"/>
    <w:rsid w:val="005D28C4"/>
    <w:rsid w:val="005D2961"/>
    <w:rsid w:val="005D297A"/>
    <w:rsid w:val="005D29DC"/>
    <w:rsid w:val="005D29ED"/>
    <w:rsid w:val="005D2A29"/>
    <w:rsid w:val="005D2B2C"/>
    <w:rsid w:val="005D2C48"/>
    <w:rsid w:val="005D2C6A"/>
    <w:rsid w:val="005D2D33"/>
    <w:rsid w:val="005D2DA9"/>
    <w:rsid w:val="005D2DF4"/>
    <w:rsid w:val="005D2FA8"/>
    <w:rsid w:val="005D302C"/>
    <w:rsid w:val="005D32E2"/>
    <w:rsid w:val="005D3372"/>
    <w:rsid w:val="005D33B4"/>
    <w:rsid w:val="005D3402"/>
    <w:rsid w:val="005D3476"/>
    <w:rsid w:val="005D34F3"/>
    <w:rsid w:val="005D34FD"/>
    <w:rsid w:val="005D355E"/>
    <w:rsid w:val="005D379B"/>
    <w:rsid w:val="005D3879"/>
    <w:rsid w:val="005D3893"/>
    <w:rsid w:val="005D389C"/>
    <w:rsid w:val="005D3A13"/>
    <w:rsid w:val="005D3B81"/>
    <w:rsid w:val="005D3C0F"/>
    <w:rsid w:val="005D3DDA"/>
    <w:rsid w:val="005D3E18"/>
    <w:rsid w:val="005D3E2B"/>
    <w:rsid w:val="005D3FAF"/>
    <w:rsid w:val="005D410D"/>
    <w:rsid w:val="005D4651"/>
    <w:rsid w:val="005D4706"/>
    <w:rsid w:val="005D474B"/>
    <w:rsid w:val="005D47B1"/>
    <w:rsid w:val="005D47CC"/>
    <w:rsid w:val="005D485F"/>
    <w:rsid w:val="005D4953"/>
    <w:rsid w:val="005D4A5E"/>
    <w:rsid w:val="005D4AD4"/>
    <w:rsid w:val="005D4C1D"/>
    <w:rsid w:val="005D4E6C"/>
    <w:rsid w:val="005D4ECB"/>
    <w:rsid w:val="005D4F5F"/>
    <w:rsid w:val="005D50CC"/>
    <w:rsid w:val="005D50F5"/>
    <w:rsid w:val="005D524A"/>
    <w:rsid w:val="005D528F"/>
    <w:rsid w:val="005D5364"/>
    <w:rsid w:val="005D54C5"/>
    <w:rsid w:val="005D5521"/>
    <w:rsid w:val="005D554B"/>
    <w:rsid w:val="005D5602"/>
    <w:rsid w:val="005D564C"/>
    <w:rsid w:val="005D5666"/>
    <w:rsid w:val="005D5744"/>
    <w:rsid w:val="005D5771"/>
    <w:rsid w:val="005D5942"/>
    <w:rsid w:val="005D5A2A"/>
    <w:rsid w:val="005D5A70"/>
    <w:rsid w:val="005D5B9C"/>
    <w:rsid w:val="005D5BB5"/>
    <w:rsid w:val="005D5C17"/>
    <w:rsid w:val="005D5CC4"/>
    <w:rsid w:val="005D5DD8"/>
    <w:rsid w:val="005D5F82"/>
    <w:rsid w:val="005D5F87"/>
    <w:rsid w:val="005D5FF2"/>
    <w:rsid w:val="005D6099"/>
    <w:rsid w:val="005D6129"/>
    <w:rsid w:val="005D6300"/>
    <w:rsid w:val="005D63BB"/>
    <w:rsid w:val="005D63F9"/>
    <w:rsid w:val="005D6442"/>
    <w:rsid w:val="005D6536"/>
    <w:rsid w:val="005D6619"/>
    <w:rsid w:val="005D66AD"/>
    <w:rsid w:val="005D67AD"/>
    <w:rsid w:val="005D6945"/>
    <w:rsid w:val="005D6A41"/>
    <w:rsid w:val="005D6AA2"/>
    <w:rsid w:val="005D6AED"/>
    <w:rsid w:val="005D6C74"/>
    <w:rsid w:val="005D6DCF"/>
    <w:rsid w:val="005D6E3F"/>
    <w:rsid w:val="005D6ECF"/>
    <w:rsid w:val="005D6F72"/>
    <w:rsid w:val="005D6FA8"/>
    <w:rsid w:val="005D7044"/>
    <w:rsid w:val="005D7344"/>
    <w:rsid w:val="005D75CF"/>
    <w:rsid w:val="005D7612"/>
    <w:rsid w:val="005D764B"/>
    <w:rsid w:val="005D7757"/>
    <w:rsid w:val="005D77BB"/>
    <w:rsid w:val="005D7865"/>
    <w:rsid w:val="005D798F"/>
    <w:rsid w:val="005D7998"/>
    <w:rsid w:val="005D79A5"/>
    <w:rsid w:val="005D79E8"/>
    <w:rsid w:val="005D7B8A"/>
    <w:rsid w:val="005D7DAB"/>
    <w:rsid w:val="005D7E74"/>
    <w:rsid w:val="005D7EE6"/>
    <w:rsid w:val="005D7EF9"/>
    <w:rsid w:val="005D7F73"/>
    <w:rsid w:val="005D7FE2"/>
    <w:rsid w:val="005D7FF3"/>
    <w:rsid w:val="005E0034"/>
    <w:rsid w:val="005E0041"/>
    <w:rsid w:val="005E00A9"/>
    <w:rsid w:val="005E01BF"/>
    <w:rsid w:val="005E01D5"/>
    <w:rsid w:val="005E0327"/>
    <w:rsid w:val="005E04D2"/>
    <w:rsid w:val="005E0636"/>
    <w:rsid w:val="005E07E6"/>
    <w:rsid w:val="005E07FD"/>
    <w:rsid w:val="005E0803"/>
    <w:rsid w:val="005E0826"/>
    <w:rsid w:val="005E083C"/>
    <w:rsid w:val="005E0884"/>
    <w:rsid w:val="005E08F6"/>
    <w:rsid w:val="005E0921"/>
    <w:rsid w:val="005E0A8A"/>
    <w:rsid w:val="005E0AAC"/>
    <w:rsid w:val="005E0B5D"/>
    <w:rsid w:val="005E0B7F"/>
    <w:rsid w:val="005E0BF7"/>
    <w:rsid w:val="005E0C51"/>
    <w:rsid w:val="005E0D85"/>
    <w:rsid w:val="005E124F"/>
    <w:rsid w:val="005E13A0"/>
    <w:rsid w:val="005E13A6"/>
    <w:rsid w:val="005E13D4"/>
    <w:rsid w:val="005E1530"/>
    <w:rsid w:val="005E157B"/>
    <w:rsid w:val="005E158E"/>
    <w:rsid w:val="005E15AB"/>
    <w:rsid w:val="005E15F2"/>
    <w:rsid w:val="005E1607"/>
    <w:rsid w:val="005E167E"/>
    <w:rsid w:val="005E169B"/>
    <w:rsid w:val="005E173F"/>
    <w:rsid w:val="005E1790"/>
    <w:rsid w:val="005E191D"/>
    <w:rsid w:val="005E1ADA"/>
    <w:rsid w:val="005E1B0A"/>
    <w:rsid w:val="005E1B28"/>
    <w:rsid w:val="005E1CED"/>
    <w:rsid w:val="005E1DE4"/>
    <w:rsid w:val="005E1E36"/>
    <w:rsid w:val="005E1FDB"/>
    <w:rsid w:val="005E1FF5"/>
    <w:rsid w:val="005E20B3"/>
    <w:rsid w:val="005E21BE"/>
    <w:rsid w:val="005E21EC"/>
    <w:rsid w:val="005E21FF"/>
    <w:rsid w:val="005E2212"/>
    <w:rsid w:val="005E2240"/>
    <w:rsid w:val="005E2249"/>
    <w:rsid w:val="005E23EB"/>
    <w:rsid w:val="005E249C"/>
    <w:rsid w:val="005E258A"/>
    <w:rsid w:val="005E25CF"/>
    <w:rsid w:val="005E2687"/>
    <w:rsid w:val="005E2804"/>
    <w:rsid w:val="005E29BF"/>
    <w:rsid w:val="005E29C2"/>
    <w:rsid w:val="005E2AAA"/>
    <w:rsid w:val="005E2AD8"/>
    <w:rsid w:val="005E2C65"/>
    <w:rsid w:val="005E2CCB"/>
    <w:rsid w:val="005E2DB0"/>
    <w:rsid w:val="005E2EFC"/>
    <w:rsid w:val="005E2FB9"/>
    <w:rsid w:val="005E3025"/>
    <w:rsid w:val="005E3042"/>
    <w:rsid w:val="005E3061"/>
    <w:rsid w:val="005E30F9"/>
    <w:rsid w:val="005E3138"/>
    <w:rsid w:val="005E316D"/>
    <w:rsid w:val="005E3177"/>
    <w:rsid w:val="005E31E9"/>
    <w:rsid w:val="005E31ED"/>
    <w:rsid w:val="005E33A5"/>
    <w:rsid w:val="005E346F"/>
    <w:rsid w:val="005E349B"/>
    <w:rsid w:val="005E34A8"/>
    <w:rsid w:val="005E34E7"/>
    <w:rsid w:val="005E34FE"/>
    <w:rsid w:val="005E3510"/>
    <w:rsid w:val="005E35F8"/>
    <w:rsid w:val="005E3626"/>
    <w:rsid w:val="005E36AC"/>
    <w:rsid w:val="005E37D9"/>
    <w:rsid w:val="005E38B6"/>
    <w:rsid w:val="005E3973"/>
    <w:rsid w:val="005E3983"/>
    <w:rsid w:val="005E398D"/>
    <w:rsid w:val="005E399F"/>
    <w:rsid w:val="005E3B46"/>
    <w:rsid w:val="005E3BB0"/>
    <w:rsid w:val="005E3C2A"/>
    <w:rsid w:val="005E3C71"/>
    <w:rsid w:val="005E3D4D"/>
    <w:rsid w:val="005E3DBF"/>
    <w:rsid w:val="005E3DC8"/>
    <w:rsid w:val="005E3E95"/>
    <w:rsid w:val="005E3EEE"/>
    <w:rsid w:val="005E3F08"/>
    <w:rsid w:val="005E3FD3"/>
    <w:rsid w:val="005E402B"/>
    <w:rsid w:val="005E40EC"/>
    <w:rsid w:val="005E4120"/>
    <w:rsid w:val="005E431D"/>
    <w:rsid w:val="005E43FC"/>
    <w:rsid w:val="005E4456"/>
    <w:rsid w:val="005E4526"/>
    <w:rsid w:val="005E465E"/>
    <w:rsid w:val="005E47B6"/>
    <w:rsid w:val="005E4882"/>
    <w:rsid w:val="005E48CF"/>
    <w:rsid w:val="005E48DF"/>
    <w:rsid w:val="005E4A0C"/>
    <w:rsid w:val="005E4C05"/>
    <w:rsid w:val="005E4CBA"/>
    <w:rsid w:val="005E4CEF"/>
    <w:rsid w:val="005E4CF7"/>
    <w:rsid w:val="005E4D56"/>
    <w:rsid w:val="005E4E4E"/>
    <w:rsid w:val="005E4FFC"/>
    <w:rsid w:val="005E504D"/>
    <w:rsid w:val="005E516B"/>
    <w:rsid w:val="005E5194"/>
    <w:rsid w:val="005E5234"/>
    <w:rsid w:val="005E534E"/>
    <w:rsid w:val="005E5382"/>
    <w:rsid w:val="005E5396"/>
    <w:rsid w:val="005E5408"/>
    <w:rsid w:val="005E5462"/>
    <w:rsid w:val="005E5503"/>
    <w:rsid w:val="005E559B"/>
    <w:rsid w:val="005E57A6"/>
    <w:rsid w:val="005E5A38"/>
    <w:rsid w:val="005E5A5A"/>
    <w:rsid w:val="005E5A7C"/>
    <w:rsid w:val="005E5A9A"/>
    <w:rsid w:val="005E5B93"/>
    <w:rsid w:val="005E5DE4"/>
    <w:rsid w:val="005E5FCC"/>
    <w:rsid w:val="005E5FF7"/>
    <w:rsid w:val="005E6219"/>
    <w:rsid w:val="005E62B0"/>
    <w:rsid w:val="005E62BE"/>
    <w:rsid w:val="005E6471"/>
    <w:rsid w:val="005E6488"/>
    <w:rsid w:val="005E6489"/>
    <w:rsid w:val="005E64CF"/>
    <w:rsid w:val="005E6641"/>
    <w:rsid w:val="005E66DB"/>
    <w:rsid w:val="005E6755"/>
    <w:rsid w:val="005E6792"/>
    <w:rsid w:val="005E6905"/>
    <w:rsid w:val="005E695B"/>
    <w:rsid w:val="005E6C2F"/>
    <w:rsid w:val="005E6C64"/>
    <w:rsid w:val="005E6CBB"/>
    <w:rsid w:val="005E6CE1"/>
    <w:rsid w:val="005E6D39"/>
    <w:rsid w:val="005E6DB9"/>
    <w:rsid w:val="005E6DE0"/>
    <w:rsid w:val="005E6E64"/>
    <w:rsid w:val="005E6E6E"/>
    <w:rsid w:val="005E6E99"/>
    <w:rsid w:val="005E6F46"/>
    <w:rsid w:val="005E704A"/>
    <w:rsid w:val="005E70B5"/>
    <w:rsid w:val="005E70E8"/>
    <w:rsid w:val="005E712D"/>
    <w:rsid w:val="005E727A"/>
    <w:rsid w:val="005E740B"/>
    <w:rsid w:val="005E745A"/>
    <w:rsid w:val="005E7490"/>
    <w:rsid w:val="005E753F"/>
    <w:rsid w:val="005E754A"/>
    <w:rsid w:val="005E7585"/>
    <w:rsid w:val="005E76A3"/>
    <w:rsid w:val="005E771B"/>
    <w:rsid w:val="005E7833"/>
    <w:rsid w:val="005E783F"/>
    <w:rsid w:val="005E799C"/>
    <w:rsid w:val="005E79DF"/>
    <w:rsid w:val="005E7A5B"/>
    <w:rsid w:val="005E7A70"/>
    <w:rsid w:val="005E7B23"/>
    <w:rsid w:val="005E7C33"/>
    <w:rsid w:val="005E7C35"/>
    <w:rsid w:val="005E7C36"/>
    <w:rsid w:val="005E7CED"/>
    <w:rsid w:val="005E7E0E"/>
    <w:rsid w:val="005E7EDC"/>
    <w:rsid w:val="005E7EEE"/>
    <w:rsid w:val="005E7F9D"/>
    <w:rsid w:val="005F0300"/>
    <w:rsid w:val="005F030D"/>
    <w:rsid w:val="005F0354"/>
    <w:rsid w:val="005F0598"/>
    <w:rsid w:val="005F05FF"/>
    <w:rsid w:val="005F0636"/>
    <w:rsid w:val="005F0720"/>
    <w:rsid w:val="005F0814"/>
    <w:rsid w:val="005F0828"/>
    <w:rsid w:val="005F086B"/>
    <w:rsid w:val="005F0890"/>
    <w:rsid w:val="005F0B2B"/>
    <w:rsid w:val="005F0C23"/>
    <w:rsid w:val="005F0CD8"/>
    <w:rsid w:val="005F0F26"/>
    <w:rsid w:val="005F0F5B"/>
    <w:rsid w:val="005F1014"/>
    <w:rsid w:val="005F1167"/>
    <w:rsid w:val="005F1214"/>
    <w:rsid w:val="005F12D8"/>
    <w:rsid w:val="005F1339"/>
    <w:rsid w:val="005F13F3"/>
    <w:rsid w:val="005F14A2"/>
    <w:rsid w:val="005F14BF"/>
    <w:rsid w:val="005F17AB"/>
    <w:rsid w:val="005F17D0"/>
    <w:rsid w:val="005F1829"/>
    <w:rsid w:val="005F187A"/>
    <w:rsid w:val="005F197E"/>
    <w:rsid w:val="005F1AED"/>
    <w:rsid w:val="005F1B60"/>
    <w:rsid w:val="005F1CC5"/>
    <w:rsid w:val="005F1DB1"/>
    <w:rsid w:val="005F1DDB"/>
    <w:rsid w:val="005F1E65"/>
    <w:rsid w:val="005F1FA6"/>
    <w:rsid w:val="005F1FF4"/>
    <w:rsid w:val="005F202B"/>
    <w:rsid w:val="005F206E"/>
    <w:rsid w:val="005F20C6"/>
    <w:rsid w:val="005F20FD"/>
    <w:rsid w:val="005F2188"/>
    <w:rsid w:val="005F21B4"/>
    <w:rsid w:val="005F22BA"/>
    <w:rsid w:val="005F2314"/>
    <w:rsid w:val="005F2343"/>
    <w:rsid w:val="005F2484"/>
    <w:rsid w:val="005F24A6"/>
    <w:rsid w:val="005F2509"/>
    <w:rsid w:val="005F25C2"/>
    <w:rsid w:val="005F2653"/>
    <w:rsid w:val="005F29CA"/>
    <w:rsid w:val="005F2AC0"/>
    <w:rsid w:val="005F2B3E"/>
    <w:rsid w:val="005F2B48"/>
    <w:rsid w:val="005F2D33"/>
    <w:rsid w:val="005F30D6"/>
    <w:rsid w:val="005F33EE"/>
    <w:rsid w:val="005F345E"/>
    <w:rsid w:val="005F36A8"/>
    <w:rsid w:val="005F39A8"/>
    <w:rsid w:val="005F3A0F"/>
    <w:rsid w:val="005F3B30"/>
    <w:rsid w:val="005F3B5F"/>
    <w:rsid w:val="005F3B6A"/>
    <w:rsid w:val="005F3BC6"/>
    <w:rsid w:val="005F3BEC"/>
    <w:rsid w:val="005F3C95"/>
    <w:rsid w:val="005F3CE5"/>
    <w:rsid w:val="005F3D4A"/>
    <w:rsid w:val="005F3D65"/>
    <w:rsid w:val="005F3DA5"/>
    <w:rsid w:val="005F3E84"/>
    <w:rsid w:val="005F3FC2"/>
    <w:rsid w:val="005F4095"/>
    <w:rsid w:val="005F40A0"/>
    <w:rsid w:val="005F40A9"/>
    <w:rsid w:val="005F4211"/>
    <w:rsid w:val="005F4253"/>
    <w:rsid w:val="005F4267"/>
    <w:rsid w:val="005F43A3"/>
    <w:rsid w:val="005F43CA"/>
    <w:rsid w:val="005F43E9"/>
    <w:rsid w:val="005F43FF"/>
    <w:rsid w:val="005F4509"/>
    <w:rsid w:val="005F452E"/>
    <w:rsid w:val="005F457B"/>
    <w:rsid w:val="005F4671"/>
    <w:rsid w:val="005F4770"/>
    <w:rsid w:val="005F4853"/>
    <w:rsid w:val="005F4B45"/>
    <w:rsid w:val="005F4BEA"/>
    <w:rsid w:val="005F4CC8"/>
    <w:rsid w:val="005F4DD5"/>
    <w:rsid w:val="005F4E9E"/>
    <w:rsid w:val="005F4F36"/>
    <w:rsid w:val="005F4F58"/>
    <w:rsid w:val="005F4FFD"/>
    <w:rsid w:val="005F5002"/>
    <w:rsid w:val="005F50A0"/>
    <w:rsid w:val="005F5162"/>
    <w:rsid w:val="005F52B2"/>
    <w:rsid w:val="005F52E5"/>
    <w:rsid w:val="005F5319"/>
    <w:rsid w:val="005F533E"/>
    <w:rsid w:val="005F537D"/>
    <w:rsid w:val="005F538C"/>
    <w:rsid w:val="005F5404"/>
    <w:rsid w:val="005F5533"/>
    <w:rsid w:val="005F5590"/>
    <w:rsid w:val="005F564D"/>
    <w:rsid w:val="005F5691"/>
    <w:rsid w:val="005F57D2"/>
    <w:rsid w:val="005F57EA"/>
    <w:rsid w:val="005F5867"/>
    <w:rsid w:val="005F58A4"/>
    <w:rsid w:val="005F5922"/>
    <w:rsid w:val="005F5B51"/>
    <w:rsid w:val="005F5B8E"/>
    <w:rsid w:val="005F5CF7"/>
    <w:rsid w:val="005F5DB1"/>
    <w:rsid w:val="005F5F8B"/>
    <w:rsid w:val="005F5FA4"/>
    <w:rsid w:val="005F6088"/>
    <w:rsid w:val="005F619B"/>
    <w:rsid w:val="005F61AB"/>
    <w:rsid w:val="005F6493"/>
    <w:rsid w:val="005F64BE"/>
    <w:rsid w:val="005F6589"/>
    <w:rsid w:val="005F6739"/>
    <w:rsid w:val="005F677A"/>
    <w:rsid w:val="005F67B7"/>
    <w:rsid w:val="005F684B"/>
    <w:rsid w:val="005F6861"/>
    <w:rsid w:val="005F68D7"/>
    <w:rsid w:val="005F6B94"/>
    <w:rsid w:val="005F6BBC"/>
    <w:rsid w:val="005F6C0A"/>
    <w:rsid w:val="005F6C82"/>
    <w:rsid w:val="005F6DAD"/>
    <w:rsid w:val="005F6EE0"/>
    <w:rsid w:val="005F700B"/>
    <w:rsid w:val="005F7179"/>
    <w:rsid w:val="005F71B3"/>
    <w:rsid w:val="005F7216"/>
    <w:rsid w:val="005F7272"/>
    <w:rsid w:val="005F7274"/>
    <w:rsid w:val="005F72D2"/>
    <w:rsid w:val="005F72D8"/>
    <w:rsid w:val="005F733C"/>
    <w:rsid w:val="005F735A"/>
    <w:rsid w:val="005F7466"/>
    <w:rsid w:val="005F74B3"/>
    <w:rsid w:val="005F75B1"/>
    <w:rsid w:val="005F777A"/>
    <w:rsid w:val="005F77C0"/>
    <w:rsid w:val="005F78F5"/>
    <w:rsid w:val="005F7976"/>
    <w:rsid w:val="005F79DB"/>
    <w:rsid w:val="005F7AC6"/>
    <w:rsid w:val="005F7B30"/>
    <w:rsid w:val="005F7B3C"/>
    <w:rsid w:val="005F7B5B"/>
    <w:rsid w:val="005F7B8B"/>
    <w:rsid w:val="005F7C59"/>
    <w:rsid w:val="005F7DA8"/>
    <w:rsid w:val="005F7DC0"/>
    <w:rsid w:val="005F7DE0"/>
    <w:rsid w:val="005F7EF6"/>
    <w:rsid w:val="00600097"/>
    <w:rsid w:val="00600167"/>
    <w:rsid w:val="00600280"/>
    <w:rsid w:val="0060029A"/>
    <w:rsid w:val="006002B2"/>
    <w:rsid w:val="006002B8"/>
    <w:rsid w:val="00600351"/>
    <w:rsid w:val="006003C2"/>
    <w:rsid w:val="0060040C"/>
    <w:rsid w:val="00600487"/>
    <w:rsid w:val="00600509"/>
    <w:rsid w:val="0060064E"/>
    <w:rsid w:val="0060066E"/>
    <w:rsid w:val="006006FE"/>
    <w:rsid w:val="00600751"/>
    <w:rsid w:val="006007E5"/>
    <w:rsid w:val="00600860"/>
    <w:rsid w:val="006008E9"/>
    <w:rsid w:val="00600A5B"/>
    <w:rsid w:val="00600C49"/>
    <w:rsid w:val="00600C65"/>
    <w:rsid w:val="00600C6D"/>
    <w:rsid w:val="00600D53"/>
    <w:rsid w:val="00600E1B"/>
    <w:rsid w:val="00600EDB"/>
    <w:rsid w:val="00600F69"/>
    <w:rsid w:val="0060102D"/>
    <w:rsid w:val="006011AE"/>
    <w:rsid w:val="00601201"/>
    <w:rsid w:val="00601306"/>
    <w:rsid w:val="00601397"/>
    <w:rsid w:val="0060144A"/>
    <w:rsid w:val="0060167D"/>
    <w:rsid w:val="006017AD"/>
    <w:rsid w:val="006018A2"/>
    <w:rsid w:val="00601928"/>
    <w:rsid w:val="00601A1C"/>
    <w:rsid w:val="00601ADE"/>
    <w:rsid w:val="00601EBA"/>
    <w:rsid w:val="00601EBE"/>
    <w:rsid w:val="00601F73"/>
    <w:rsid w:val="0060201D"/>
    <w:rsid w:val="0060206C"/>
    <w:rsid w:val="006020B6"/>
    <w:rsid w:val="006020DA"/>
    <w:rsid w:val="006022B7"/>
    <w:rsid w:val="006023B5"/>
    <w:rsid w:val="006023C9"/>
    <w:rsid w:val="006025C0"/>
    <w:rsid w:val="00602604"/>
    <w:rsid w:val="00602645"/>
    <w:rsid w:val="006026A2"/>
    <w:rsid w:val="0060270D"/>
    <w:rsid w:val="00602726"/>
    <w:rsid w:val="00602804"/>
    <w:rsid w:val="00602918"/>
    <w:rsid w:val="00602968"/>
    <w:rsid w:val="006029AE"/>
    <w:rsid w:val="006029F6"/>
    <w:rsid w:val="00602A4C"/>
    <w:rsid w:val="00602B01"/>
    <w:rsid w:val="00602C05"/>
    <w:rsid w:val="00602C0F"/>
    <w:rsid w:val="00602D71"/>
    <w:rsid w:val="00602E24"/>
    <w:rsid w:val="00602E93"/>
    <w:rsid w:val="00602F5C"/>
    <w:rsid w:val="00602FA8"/>
    <w:rsid w:val="00603069"/>
    <w:rsid w:val="006030C9"/>
    <w:rsid w:val="006031F4"/>
    <w:rsid w:val="00603372"/>
    <w:rsid w:val="00603401"/>
    <w:rsid w:val="0060355E"/>
    <w:rsid w:val="00603740"/>
    <w:rsid w:val="006037D0"/>
    <w:rsid w:val="00603888"/>
    <w:rsid w:val="0060390B"/>
    <w:rsid w:val="006039AD"/>
    <w:rsid w:val="006039F2"/>
    <w:rsid w:val="00603A3B"/>
    <w:rsid w:val="00603AE1"/>
    <w:rsid w:val="00603B0F"/>
    <w:rsid w:val="00603B4D"/>
    <w:rsid w:val="00603BC3"/>
    <w:rsid w:val="00603BCE"/>
    <w:rsid w:val="00603D23"/>
    <w:rsid w:val="00603D2F"/>
    <w:rsid w:val="00603D80"/>
    <w:rsid w:val="00603DCC"/>
    <w:rsid w:val="00603E17"/>
    <w:rsid w:val="00603EA1"/>
    <w:rsid w:val="00603F17"/>
    <w:rsid w:val="0060403E"/>
    <w:rsid w:val="00604066"/>
    <w:rsid w:val="00604495"/>
    <w:rsid w:val="00604581"/>
    <w:rsid w:val="00604808"/>
    <w:rsid w:val="006048F0"/>
    <w:rsid w:val="00604992"/>
    <w:rsid w:val="00604AC1"/>
    <w:rsid w:val="00604B2F"/>
    <w:rsid w:val="00604B3F"/>
    <w:rsid w:val="00604BB5"/>
    <w:rsid w:val="00604BCD"/>
    <w:rsid w:val="00604BE3"/>
    <w:rsid w:val="00604CCA"/>
    <w:rsid w:val="00604D1E"/>
    <w:rsid w:val="00604D9A"/>
    <w:rsid w:val="00604DB0"/>
    <w:rsid w:val="00604DB6"/>
    <w:rsid w:val="00604EE7"/>
    <w:rsid w:val="00604FC4"/>
    <w:rsid w:val="0060511A"/>
    <w:rsid w:val="006052A4"/>
    <w:rsid w:val="006053F0"/>
    <w:rsid w:val="0060541E"/>
    <w:rsid w:val="0060546D"/>
    <w:rsid w:val="00605509"/>
    <w:rsid w:val="006056E1"/>
    <w:rsid w:val="006058D9"/>
    <w:rsid w:val="006058DD"/>
    <w:rsid w:val="00605CCD"/>
    <w:rsid w:val="00605D6F"/>
    <w:rsid w:val="00605E63"/>
    <w:rsid w:val="00605E6E"/>
    <w:rsid w:val="0060605C"/>
    <w:rsid w:val="006060AF"/>
    <w:rsid w:val="00606129"/>
    <w:rsid w:val="006061BC"/>
    <w:rsid w:val="00606208"/>
    <w:rsid w:val="00606279"/>
    <w:rsid w:val="00606280"/>
    <w:rsid w:val="0060646C"/>
    <w:rsid w:val="006064F6"/>
    <w:rsid w:val="00606573"/>
    <w:rsid w:val="006065C4"/>
    <w:rsid w:val="0060661B"/>
    <w:rsid w:val="00606676"/>
    <w:rsid w:val="006066FA"/>
    <w:rsid w:val="0060671C"/>
    <w:rsid w:val="00606833"/>
    <w:rsid w:val="00606892"/>
    <w:rsid w:val="0060696D"/>
    <w:rsid w:val="006069D5"/>
    <w:rsid w:val="00606A8D"/>
    <w:rsid w:val="00606EF9"/>
    <w:rsid w:val="00607285"/>
    <w:rsid w:val="006073E1"/>
    <w:rsid w:val="00607600"/>
    <w:rsid w:val="00607679"/>
    <w:rsid w:val="006076A7"/>
    <w:rsid w:val="006076E5"/>
    <w:rsid w:val="00607713"/>
    <w:rsid w:val="00607740"/>
    <w:rsid w:val="006077A0"/>
    <w:rsid w:val="00607893"/>
    <w:rsid w:val="006078B9"/>
    <w:rsid w:val="00607916"/>
    <w:rsid w:val="0060792E"/>
    <w:rsid w:val="00607942"/>
    <w:rsid w:val="00607955"/>
    <w:rsid w:val="00607962"/>
    <w:rsid w:val="0060796A"/>
    <w:rsid w:val="006079BC"/>
    <w:rsid w:val="00607AEE"/>
    <w:rsid w:val="00607B09"/>
    <w:rsid w:val="00607B79"/>
    <w:rsid w:val="00607BD8"/>
    <w:rsid w:val="00607BF1"/>
    <w:rsid w:val="00607CAD"/>
    <w:rsid w:val="00607D01"/>
    <w:rsid w:val="00607D14"/>
    <w:rsid w:val="00607D37"/>
    <w:rsid w:val="00607D73"/>
    <w:rsid w:val="00610053"/>
    <w:rsid w:val="006101B2"/>
    <w:rsid w:val="006101E3"/>
    <w:rsid w:val="0061036F"/>
    <w:rsid w:val="006103C0"/>
    <w:rsid w:val="006103FE"/>
    <w:rsid w:val="00610477"/>
    <w:rsid w:val="00610651"/>
    <w:rsid w:val="0061067B"/>
    <w:rsid w:val="006106DD"/>
    <w:rsid w:val="00610732"/>
    <w:rsid w:val="006107BA"/>
    <w:rsid w:val="00610845"/>
    <w:rsid w:val="006108FE"/>
    <w:rsid w:val="00610954"/>
    <w:rsid w:val="0061098A"/>
    <w:rsid w:val="00610AF3"/>
    <w:rsid w:val="00610E6C"/>
    <w:rsid w:val="00610E78"/>
    <w:rsid w:val="00611048"/>
    <w:rsid w:val="0061113C"/>
    <w:rsid w:val="00611242"/>
    <w:rsid w:val="00611356"/>
    <w:rsid w:val="0061143D"/>
    <w:rsid w:val="006114E6"/>
    <w:rsid w:val="006115D9"/>
    <w:rsid w:val="006116E2"/>
    <w:rsid w:val="00611856"/>
    <w:rsid w:val="0061197E"/>
    <w:rsid w:val="006119E5"/>
    <w:rsid w:val="00611AEC"/>
    <w:rsid w:val="00611C5B"/>
    <w:rsid w:val="00611CEC"/>
    <w:rsid w:val="00611E4A"/>
    <w:rsid w:val="00611E52"/>
    <w:rsid w:val="00611E5C"/>
    <w:rsid w:val="00611E84"/>
    <w:rsid w:val="00611EF4"/>
    <w:rsid w:val="00611F80"/>
    <w:rsid w:val="00611FD6"/>
    <w:rsid w:val="006120F9"/>
    <w:rsid w:val="0061215D"/>
    <w:rsid w:val="00612286"/>
    <w:rsid w:val="00612330"/>
    <w:rsid w:val="0061235F"/>
    <w:rsid w:val="00612394"/>
    <w:rsid w:val="00612404"/>
    <w:rsid w:val="00612431"/>
    <w:rsid w:val="006124BA"/>
    <w:rsid w:val="00612523"/>
    <w:rsid w:val="0061257C"/>
    <w:rsid w:val="006125AE"/>
    <w:rsid w:val="006125B0"/>
    <w:rsid w:val="006125D9"/>
    <w:rsid w:val="006125E6"/>
    <w:rsid w:val="006126E5"/>
    <w:rsid w:val="006127D3"/>
    <w:rsid w:val="006127DB"/>
    <w:rsid w:val="00612826"/>
    <w:rsid w:val="006128C4"/>
    <w:rsid w:val="00612942"/>
    <w:rsid w:val="0061296B"/>
    <w:rsid w:val="00612A73"/>
    <w:rsid w:val="00612AB1"/>
    <w:rsid w:val="00612C05"/>
    <w:rsid w:val="00612C22"/>
    <w:rsid w:val="00612D3A"/>
    <w:rsid w:val="00612E82"/>
    <w:rsid w:val="00612FF3"/>
    <w:rsid w:val="00613012"/>
    <w:rsid w:val="0061312D"/>
    <w:rsid w:val="00613136"/>
    <w:rsid w:val="0061314F"/>
    <w:rsid w:val="00613213"/>
    <w:rsid w:val="00613253"/>
    <w:rsid w:val="0061325C"/>
    <w:rsid w:val="00613274"/>
    <w:rsid w:val="0061329B"/>
    <w:rsid w:val="00613329"/>
    <w:rsid w:val="0061338C"/>
    <w:rsid w:val="006133CA"/>
    <w:rsid w:val="006133EE"/>
    <w:rsid w:val="0061343E"/>
    <w:rsid w:val="00613451"/>
    <w:rsid w:val="00613492"/>
    <w:rsid w:val="006134D3"/>
    <w:rsid w:val="00613525"/>
    <w:rsid w:val="0061362E"/>
    <w:rsid w:val="00613734"/>
    <w:rsid w:val="00613895"/>
    <w:rsid w:val="00613AC1"/>
    <w:rsid w:val="00613BE5"/>
    <w:rsid w:val="00613C47"/>
    <w:rsid w:val="00613C77"/>
    <w:rsid w:val="00613C89"/>
    <w:rsid w:val="00613CD8"/>
    <w:rsid w:val="00613D17"/>
    <w:rsid w:val="00613D96"/>
    <w:rsid w:val="00613DCA"/>
    <w:rsid w:val="00613E79"/>
    <w:rsid w:val="00613F0B"/>
    <w:rsid w:val="0061405A"/>
    <w:rsid w:val="006140F4"/>
    <w:rsid w:val="006140F5"/>
    <w:rsid w:val="00614164"/>
    <w:rsid w:val="0061421F"/>
    <w:rsid w:val="00614297"/>
    <w:rsid w:val="006144EC"/>
    <w:rsid w:val="006146CD"/>
    <w:rsid w:val="00614837"/>
    <w:rsid w:val="00614880"/>
    <w:rsid w:val="006149A2"/>
    <w:rsid w:val="00614AD6"/>
    <w:rsid w:val="00614B0D"/>
    <w:rsid w:val="00614BC4"/>
    <w:rsid w:val="00614C33"/>
    <w:rsid w:val="00614CC7"/>
    <w:rsid w:val="00614D0C"/>
    <w:rsid w:val="00614DAD"/>
    <w:rsid w:val="00614DEB"/>
    <w:rsid w:val="00614F7B"/>
    <w:rsid w:val="00614FA0"/>
    <w:rsid w:val="006150AF"/>
    <w:rsid w:val="006150F3"/>
    <w:rsid w:val="00615107"/>
    <w:rsid w:val="00615208"/>
    <w:rsid w:val="0061527A"/>
    <w:rsid w:val="006152B8"/>
    <w:rsid w:val="006154B4"/>
    <w:rsid w:val="0061574F"/>
    <w:rsid w:val="0061579C"/>
    <w:rsid w:val="006157F6"/>
    <w:rsid w:val="0061584C"/>
    <w:rsid w:val="006158A0"/>
    <w:rsid w:val="006158CD"/>
    <w:rsid w:val="006158EC"/>
    <w:rsid w:val="0061595B"/>
    <w:rsid w:val="006159AA"/>
    <w:rsid w:val="00615A23"/>
    <w:rsid w:val="00615A2C"/>
    <w:rsid w:val="00615C38"/>
    <w:rsid w:val="00615E77"/>
    <w:rsid w:val="00615EF1"/>
    <w:rsid w:val="00615F3E"/>
    <w:rsid w:val="00615FE0"/>
    <w:rsid w:val="006160A0"/>
    <w:rsid w:val="0061616B"/>
    <w:rsid w:val="006161D6"/>
    <w:rsid w:val="00616210"/>
    <w:rsid w:val="00616246"/>
    <w:rsid w:val="00616248"/>
    <w:rsid w:val="00616284"/>
    <w:rsid w:val="006162CA"/>
    <w:rsid w:val="006163F7"/>
    <w:rsid w:val="006163F8"/>
    <w:rsid w:val="00616432"/>
    <w:rsid w:val="00616437"/>
    <w:rsid w:val="00616461"/>
    <w:rsid w:val="00616557"/>
    <w:rsid w:val="0061656E"/>
    <w:rsid w:val="0061662F"/>
    <w:rsid w:val="00616666"/>
    <w:rsid w:val="006166C8"/>
    <w:rsid w:val="006167F5"/>
    <w:rsid w:val="006168F5"/>
    <w:rsid w:val="006168F9"/>
    <w:rsid w:val="0061694F"/>
    <w:rsid w:val="00616989"/>
    <w:rsid w:val="006169DC"/>
    <w:rsid w:val="00616A75"/>
    <w:rsid w:val="00616B96"/>
    <w:rsid w:val="00616BEB"/>
    <w:rsid w:val="00616C13"/>
    <w:rsid w:val="00616C24"/>
    <w:rsid w:val="00616CA6"/>
    <w:rsid w:val="00616DBF"/>
    <w:rsid w:val="00616E41"/>
    <w:rsid w:val="00616E5E"/>
    <w:rsid w:val="00616EA4"/>
    <w:rsid w:val="00616EBC"/>
    <w:rsid w:val="00616F78"/>
    <w:rsid w:val="00616F85"/>
    <w:rsid w:val="006171CE"/>
    <w:rsid w:val="00617238"/>
    <w:rsid w:val="006172A0"/>
    <w:rsid w:val="006172F6"/>
    <w:rsid w:val="00617318"/>
    <w:rsid w:val="00617414"/>
    <w:rsid w:val="00617420"/>
    <w:rsid w:val="00617427"/>
    <w:rsid w:val="006174A7"/>
    <w:rsid w:val="006174F0"/>
    <w:rsid w:val="00617732"/>
    <w:rsid w:val="00617866"/>
    <w:rsid w:val="0061786C"/>
    <w:rsid w:val="00617894"/>
    <w:rsid w:val="00617DC7"/>
    <w:rsid w:val="00617E12"/>
    <w:rsid w:val="00617EA2"/>
    <w:rsid w:val="00617EE4"/>
    <w:rsid w:val="00617F25"/>
    <w:rsid w:val="00620006"/>
    <w:rsid w:val="00620052"/>
    <w:rsid w:val="006201CF"/>
    <w:rsid w:val="00620246"/>
    <w:rsid w:val="00620315"/>
    <w:rsid w:val="0062031F"/>
    <w:rsid w:val="00620362"/>
    <w:rsid w:val="006204DC"/>
    <w:rsid w:val="0062050D"/>
    <w:rsid w:val="00620531"/>
    <w:rsid w:val="00620555"/>
    <w:rsid w:val="006205A1"/>
    <w:rsid w:val="006205E5"/>
    <w:rsid w:val="00620670"/>
    <w:rsid w:val="00620829"/>
    <w:rsid w:val="00620832"/>
    <w:rsid w:val="00620945"/>
    <w:rsid w:val="00620974"/>
    <w:rsid w:val="00620C2C"/>
    <w:rsid w:val="00620C9C"/>
    <w:rsid w:val="00620EE3"/>
    <w:rsid w:val="00620F50"/>
    <w:rsid w:val="0062100E"/>
    <w:rsid w:val="0062101D"/>
    <w:rsid w:val="006210D5"/>
    <w:rsid w:val="00621179"/>
    <w:rsid w:val="0062123A"/>
    <w:rsid w:val="006212E0"/>
    <w:rsid w:val="00621361"/>
    <w:rsid w:val="006213C9"/>
    <w:rsid w:val="006213EB"/>
    <w:rsid w:val="0062141A"/>
    <w:rsid w:val="00621457"/>
    <w:rsid w:val="00621539"/>
    <w:rsid w:val="006216D4"/>
    <w:rsid w:val="006216F4"/>
    <w:rsid w:val="0062172A"/>
    <w:rsid w:val="0062173D"/>
    <w:rsid w:val="00621758"/>
    <w:rsid w:val="006217AF"/>
    <w:rsid w:val="0062185D"/>
    <w:rsid w:val="006218D4"/>
    <w:rsid w:val="00621BE3"/>
    <w:rsid w:val="00621C9B"/>
    <w:rsid w:val="00621DD2"/>
    <w:rsid w:val="00621ED7"/>
    <w:rsid w:val="00621FCE"/>
    <w:rsid w:val="00621FE2"/>
    <w:rsid w:val="00621FE5"/>
    <w:rsid w:val="0062200F"/>
    <w:rsid w:val="00622113"/>
    <w:rsid w:val="0062211A"/>
    <w:rsid w:val="006221A0"/>
    <w:rsid w:val="006222D9"/>
    <w:rsid w:val="00622374"/>
    <w:rsid w:val="0062243C"/>
    <w:rsid w:val="00622557"/>
    <w:rsid w:val="006225F9"/>
    <w:rsid w:val="0062269D"/>
    <w:rsid w:val="006226E5"/>
    <w:rsid w:val="00622727"/>
    <w:rsid w:val="00622774"/>
    <w:rsid w:val="006228A7"/>
    <w:rsid w:val="00622920"/>
    <w:rsid w:val="00622A1C"/>
    <w:rsid w:val="00622BEC"/>
    <w:rsid w:val="00622BFB"/>
    <w:rsid w:val="00622C5B"/>
    <w:rsid w:val="00622CD8"/>
    <w:rsid w:val="00622D6D"/>
    <w:rsid w:val="00622D7B"/>
    <w:rsid w:val="00622DD5"/>
    <w:rsid w:val="00622E8C"/>
    <w:rsid w:val="00622EC1"/>
    <w:rsid w:val="00622F08"/>
    <w:rsid w:val="00622F48"/>
    <w:rsid w:val="00623067"/>
    <w:rsid w:val="0062308A"/>
    <w:rsid w:val="00623092"/>
    <w:rsid w:val="00623099"/>
    <w:rsid w:val="00623100"/>
    <w:rsid w:val="0062310A"/>
    <w:rsid w:val="0062317F"/>
    <w:rsid w:val="006232BC"/>
    <w:rsid w:val="00623333"/>
    <w:rsid w:val="0062335E"/>
    <w:rsid w:val="00623517"/>
    <w:rsid w:val="0062354A"/>
    <w:rsid w:val="00623550"/>
    <w:rsid w:val="00623630"/>
    <w:rsid w:val="0062366A"/>
    <w:rsid w:val="00623697"/>
    <w:rsid w:val="00623858"/>
    <w:rsid w:val="0062396B"/>
    <w:rsid w:val="0062397D"/>
    <w:rsid w:val="00623992"/>
    <w:rsid w:val="006239A6"/>
    <w:rsid w:val="006239F3"/>
    <w:rsid w:val="00623BF9"/>
    <w:rsid w:val="00623C06"/>
    <w:rsid w:val="00623C50"/>
    <w:rsid w:val="00623CD0"/>
    <w:rsid w:val="00623F0E"/>
    <w:rsid w:val="00623F56"/>
    <w:rsid w:val="00623FB9"/>
    <w:rsid w:val="0062413F"/>
    <w:rsid w:val="006241BA"/>
    <w:rsid w:val="0062425C"/>
    <w:rsid w:val="006242C1"/>
    <w:rsid w:val="006242EC"/>
    <w:rsid w:val="00624383"/>
    <w:rsid w:val="0062445F"/>
    <w:rsid w:val="00624464"/>
    <w:rsid w:val="006244A4"/>
    <w:rsid w:val="00624563"/>
    <w:rsid w:val="0062466D"/>
    <w:rsid w:val="006246F0"/>
    <w:rsid w:val="006247B6"/>
    <w:rsid w:val="0062489F"/>
    <w:rsid w:val="006248BB"/>
    <w:rsid w:val="0062494A"/>
    <w:rsid w:val="00624B13"/>
    <w:rsid w:val="00624B2D"/>
    <w:rsid w:val="00624B7F"/>
    <w:rsid w:val="00624BBD"/>
    <w:rsid w:val="00624BCB"/>
    <w:rsid w:val="00624BD1"/>
    <w:rsid w:val="00624E5B"/>
    <w:rsid w:val="00625063"/>
    <w:rsid w:val="006250F6"/>
    <w:rsid w:val="0062510A"/>
    <w:rsid w:val="00625318"/>
    <w:rsid w:val="00625320"/>
    <w:rsid w:val="00625409"/>
    <w:rsid w:val="00625429"/>
    <w:rsid w:val="00625492"/>
    <w:rsid w:val="006254AE"/>
    <w:rsid w:val="00625512"/>
    <w:rsid w:val="006255F7"/>
    <w:rsid w:val="00625607"/>
    <w:rsid w:val="0062567A"/>
    <w:rsid w:val="00625748"/>
    <w:rsid w:val="006257A4"/>
    <w:rsid w:val="006257AD"/>
    <w:rsid w:val="006258DB"/>
    <w:rsid w:val="00625976"/>
    <w:rsid w:val="006259A6"/>
    <w:rsid w:val="00625A26"/>
    <w:rsid w:val="00625A2F"/>
    <w:rsid w:val="00625BB4"/>
    <w:rsid w:val="00625CB2"/>
    <w:rsid w:val="00625DA8"/>
    <w:rsid w:val="00625FA2"/>
    <w:rsid w:val="00626065"/>
    <w:rsid w:val="006261A0"/>
    <w:rsid w:val="0062628C"/>
    <w:rsid w:val="00626363"/>
    <w:rsid w:val="006263B1"/>
    <w:rsid w:val="006263E7"/>
    <w:rsid w:val="00626418"/>
    <w:rsid w:val="00626492"/>
    <w:rsid w:val="0062655C"/>
    <w:rsid w:val="006265BE"/>
    <w:rsid w:val="006265EB"/>
    <w:rsid w:val="0062660A"/>
    <w:rsid w:val="0062663C"/>
    <w:rsid w:val="00626876"/>
    <w:rsid w:val="0062687E"/>
    <w:rsid w:val="0062688B"/>
    <w:rsid w:val="006268BF"/>
    <w:rsid w:val="00626CDC"/>
    <w:rsid w:val="00626D0A"/>
    <w:rsid w:val="00626D43"/>
    <w:rsid w:val="00626D68"/>
    <w:rsid w:val="00626D85"/>
    <w:rsid w:val="00626DFB"/>
    <w:rsid w:val="0062722A"/>
    <w:rsid w:val="0062724A"/>
    <w:rsid w:val="006273F1"/>
    <w:rsid w:val="00627785"/>
    <w:rsid w:val="0062779F"/>
    <w:rsid w:val="006277DD"/>
    <w:rsid w:val="00627950"/>
    <w:rsid w:val="00627965"/>
    <w:rsid w:val="00627B34"/>
    <w:rsid w:val="00627B4B"/>
    <w:rsid w:val="00627B68"/>
    <w:rsid w:val="00627BE0"/>
    <w:rsid w:val="00627D96"/>
    <w:rsid w:val="00627F27"/>
    <w:rsid w:val="006300B2"/>
    <w:rsid w:val="00630203"/>
    <w:rsid w:val="00630298"/>
    <w:rsid w:val="00630356"/>
    <w:rsid w:val="006303C3"/>
    <w:rsid w:val="006303E3"/>
    <w:rsid w:val="00630515"/>
    <w:rsid w:val="00630531"/>
    <w:rsid w:val="006305AF"/>
    <w:rsid w:val="006305B9"/>
    <w:rsid w:val="006305E6"/>
    <w:rsid w:val="00630610"/>
    <w:rsid w:val="00630737"/>
    <w:rsid w:val="006307E5"/>
    <w:rsid w:val="00630873"/>
    <w:rsid w:val="00630B06"/>
    <w:rsid w:val="00630B25"/>
    <w:rsid w:val="00630D6A"/>
    <w:rsid w:val="00630DCC"/>
    <w:rsid w:val="00630E11"/>
    <w:rsid w:val="006310F7"/>
    <w:rsid w:val="00631120"/>
    <w:rsid w:val="0063114A"/>
    <w:rsid w:val="00631258"/>
    <w:rsid w:val="00631261"/>
    <w:rsid w:val="00631341"/>
    <w:rsid w:val="00631396"/>
    <w:rsid w:val="00631538"/>
    <w:rsid w:val="0063157D"/>
    <w:rsid w:val="006315E4"/>
    <w:rsid w:val="00631626"/>
    <w:rsid w:val="00631727"/>
    <w:rsid w:val="00631781"/>
    <w:rsid w:val="006317B8"/>
    <w:rsid w:val="0063180D"/>
    <w:rsid w:val="0063189A"/>
    <w:rsid w:val="006319B1"/>
    <w:rsid w:val="006319D5"/>
    <w:rsid w:val="00631A28"/>
    <w:rsid w:val="00631B05"/>
    <w:rsid w:val="00631B51"/>
    <w:rsid w:val="00631C67"/>
    <w:rsid w:val="00631D28"/>
    <w:rsid w:val="00631F34"/>
    <w:rsid w:val="00631F77"/>
    <w:rsid w:val="00632039"/>
    <w:rsid w:val="00632166"/>
    <w:rsid w:val="00632294"/>
    <w:rsid w:val="006322E3"/>
    <w:rsid w:val="0063237C"/>
    <w:rsid w:val="00632383"/>
    <w:rsid w:val="0063247B"/>
    <w:rsid w:val="00632554"/>
    <w:rsid w:val="006325D4"/>
    <w:rsid w:val="006325E4"/>
    <w:rsid w:val="0063260B"/>
    <w:rsid w:val="00632750"/>
    <w:rsid w:val="0063275B"/>
    <w:rsid w:val="00632766"/>
    <w:rsid w:val="006327E1"/>
    <w:rsid w:val="0063289E"/>
    <w:rsid w:val="006328EE"/>
    <w:rsid w:val="00632A39"/>
    <w:rsid w:val="00632A84"/>
    <w:rsid w:val="00632C45"/>
    <w:rsid w:val="00632D00"/>
    <w:rsid w:val="00632D42"/>
    <w:rsid w:val="00632D66"/>
    <w:rsid w:val="00632D7D"/>
    <w:rsid w:val="00632DBD"/>
    <w:rsid w:val="00632DD2"/>
    <w:rsid w:val="00632DFA"/>
    <w:rsid w:val="00632EE6"/>
    <w:rsid w:val="00632FEB"/>
    <w:rsid w:val="00633008"/>
    <w:rsid w:val="0063301D"/>
    <w:rsid w:val="00633186"/>
    <w:rsid w:val="0063321C"/>
    <w:rsid w:val="00633316"/>
    <w:rsid w:val="006333B2"/>
    <w:rsid w:val="006333E9"/>
    <w:rsid w:val="0063345F"/>
    <w:rsid w:val="00633548"/>
    <w:rsid w:val="006335FB"/>
    <w:rsid w:val="0063364E"/>
    <w:rsid w:val="006336C3"/>
    <w:rsid w:val="00633749"/>
    <w:rsid w:val="0063387A"/>
    <w:rsid w:val="006338EC"/>
    <w:rsid w:val="00633902"/>
    <w:rsid w:val="00633910"/>
    <w:rsid w:val="006339A1"/>
    <w:rsid w:val="006339E8"/>
    <w:rsid w:val="00633B56"/>
    <w:rsid w:val="00633C97"/>
    <w:rsid w:val="00633D9B"/>
    <w:rsid w:val="00633E87"/>
    <w:rsid w:val="00633EB9"/>
    <w:rsid w:val="00633EFD"/>
    <w:rsid w:val="00633F85"/>
    <w:rsid w:val="00633FD6"/>
    <w:rsid w:val="0063406F"/>
    <w:rsid w:val="006340C2"/>
    <w:rsid w:val="006341A3"/>
    <w:rsid w:val="00634251"/>
    <w:rsid w:val="006342FB"/>
    <w:rsid w:val="006344A2"/>
    <w:rsid w:val="0063458B"/>
    <w:rsid w:val="006345C3"/>
    <w:rsid w:val="00634687"/>
    <w:rsid w:val="00634833"/>
    <w:rsid w:val="0063487A"/>
    <w:rsid w:val="0063488A"/>
    <w:rsid w:val="00634ADE"/>
    <w:rsid w:val="00634B66"/>
    <w:rsid w:val="00634BEC"/>
    <w:rsid w:val="00634CA1"/>
    <w:rsid w:val="00634DB7"/>
    <w:rsid w:val="00634E6D"/>
    <w:rsid w:val="00634ED8"/>
    <w:rsid w:val="00634F6F"/>
    <w:rsid w:val="00634FB8"/>
    <w:rsid w:val="0063503F"/>
    <w:rsid w:val="00635079"/>
    <w:rsid w:val="00635100"/>
    <w:rsid w:val="006352FE"/>
    <w:rsid w:val="0063532B"/>
    <w:rsid w:val="0063558C"/>
    <w:rsid w:val="00635652"/>
    <w:rsid w:val="00635779"/>
    <w:rsid w:val="00635815"/>
    <w:rsid w:val="006358BA"/>
    <w:rsid w:val="006358C1"/>
    <w:rsid w:val="006358CE"/>
    <w:rsid w:val="00635A08"/>
    <w:rsid w:val="00635AB9"/>
    <w:rsid w:val="00635B05"/>
    <w:rsid w:val="00635B30"/>
    <w:rsid w:val="00635C3B"/>
    <w:rsid w:val="00635D0C"/>
    <w:rsid w:val="00635DF7"/>
    <w:rsid w:val="00635DFB"/>
    <w:rsid w:val="00635E96"/>
    <w:rsid w:val="00635EA4"/>
    <w:rsid w:val="00635F1B"/>
    <w:rsid w:val="00635F20"/>
    <w:rsid w:val="0063602C"/>
    <w:rsid w:val="00636073"/>
    <w:rsid w:val="0063624E"/>
    <w:rsid w:val="00636424"/>
    <w:rsid w:val="0063657D"/>
    <w:rsid w:val="0063657F"/>
    <w:rsid w:val="0063669C"/>
    <w:rsid w:val="006366C6"/>
    <w:rsid w:val="00636977"/>
    <w:rsid w:val="006369AF"/>
    <w:rsid w:val="006369DD"/>
    <w:rsid w:val="00636A75"/>
    <w:rsid w:val="00636ABF"/>
    <w:rsid w:val="00636B5C"/>
    <w:rsid w:val="00636B90"/>
    <w:rsid w:val="00636BA8"/>
    <w:rsid w:val="00636BBB"/>
    <w:rsid w:val="00636C76"/>
    <w:rsid w:val="00636D1C"/>
    <w:rsid w:val="00636E4E"/>
    <w:rsid w:val="00636F65"/>
    <w:rsid w:val="00636FA9"/>
    <w:rsid w:val="006370DD"/>
    <w:rsid w:val="00637164"/>
    <w:rsid w:val="006371D4"/>
    <w:rsid w:val="00637302"/>
    <w:rsid w:val="0063730E"/>
    <w:rsid w:val="006374A6"/>
    <w:rsid w:val="0063757E"/>
    <w:rsid w:val="00637713"/>
    <w:rsid w:val="00637733"/>
    <w:rsid w:val="0063782C"/>
    <w:rsid w:val="00637857"/>
    <w:rsid w:val="006379EF"/>
    <w:rsid w:val="00637B39"/>
    <w:rsid w:val="00637C1A"/>
    <w:rsid w:val="00637DE4"/>
    <w:rsid w:val="00637EEF"/>
    <w:rsid w:val="006400C9"/>
    <w:rsid w:val="006400E3"/>
    <w:rsid w:val="00640106"/>
    <w:rsid w:val="0064012C"/>
    <w:rsid w:val="00640205"/>
    <w:rsid w:val="00640221"/>
    <w:rsid w:val="006402D6"/>
    <w:rsid w:val="00640331"/>
    <w:rsid w:val="006403EC"/>
    <w:rsid w:val="0064060D"/>
    <w:rsid w:val="006406BD"/>
    <w:rsid w:val="00640750"/>
    <w:rsid w:val="0064079F"/>
    <w:rsid w:val="006407FC"/>
    <w:rsid w:val="00640833"/>
    <w:rsid w:val="0064086A"/>
    <w:rsid w:val="0064092E"/>
    <w:rsid w:val="00640931"/>
    <w:rsid w:val="00640991"/>
    <w:rsid w:val="00640AAD"/>
    <w:rsid w:val="00640BB6"/>
    <w:rsid w:val="00640CB8"/>
    <w:rsid w:val="00640D39"/>
    <w:rsid w:val="00640D93"/>
    <w:rsid w:val="00640EAE"/>
    <w:rsid w:val="00640EED"/>
    <w:rsid w:val="00640FAE"/>
    <w:rsid w:val="0064113B"/>
    <w:rsid w:val="006413B0"/>
    <w:rsid w:val="00641417"/>
    <w:rsid w:val="00641442"/>
    <w:rsid w:val="0064150C"/>
    <w:rsid w:val="006415BC"/>
    <w:rsid w:val="006418FA"/>
    <w:rsid w:val="00641953"/>
    <w:rsid w:val="00641A11"/>
    <w:rsid w:val="00641A41"/>
    <w:rsid w:val="00641AAC"/>
    <w:rsid w:val="00641C5A"/>
    <w:rsid w:val="00641E02"/>
    <w:rsid w:val="00641E6A"/>
    <w:rsid w:val="00641EA1"/>
    <w:rsid w:val="00641FE9"/>
    <w:rsid w:val="00642175"/>
    <w:rsid w:val="006421E0"/>
    <w:rsid w:val="006421ED"/>
    <w:rsid w:val="00642216"/>
    <w:rsid w:val="0064221F"/>
    <w:rsid w:val="00642332"/>
    <w:rsid w:val="00642626"/>
    <w:rsid w:val="00642653"/>
    <w:rsid w:val="0064274B"/>
    <w:rsid w:val="00642805"/>
    <w:rsid w:val="0064293F"/>
    <w:rsid w:val="006429A2"/>
    <w:rsid w:val="00642A66"/>
    <w:rsid w:val="00642D60"/>
    <w:rsid w:val="00642D62"/>
    <w:rsid w:val="00642F32"/>
    <w:rsid w:val="00642F3D"/>
    <w:rsid w:val="00642F3E"/>
    <w:rsid w:val="006430A9"/>
    <w:rsid w:val="006431C4"/>
    <w:rsid w:val="006432C9"/>
    <w:rsid w:val="006433E2"/>
    <w:rsid w:val="00643542"/>
    <w:rsid w:val="00643588"/>
    <w:rsid w:val="00643647"/>
    <w:rsid w:val="00643694"/>
    <w:rsid w:val="006436A0"/>
    <w:rsid w:val="006436C1"/>
    <w:rsid w:val="006436EF"/>
    <w:rsid w:val="0064378A"/>
    <w:rsid w:val="006437E6"/>
    <w:rsid w:val="00643841"/>
    <w:rsid w:val="00643967"/>
    <w:rsid w:val="00643981"/>
    <w:rsid w:val="006439D0"/>
    <w:rsid w:val="00643AF0"/>
    <w:rsid w:val="00643BAD"/>
    <w:rsid w:val="00643CEF"/>
    <w:rsid w:val="00643CF9"/>
    <w:rsid w:val="00643E4F"/>
    <w:rsid w:val="00643E5B"/>
    <w:rsid w:val="00643E8B"/>
    <w:rsid w:val="00643EF1"/>
    <w:rsid w:val="00644047"/>
    <w:rsid w:val="006440B6"/>
    <w:rsid w:val="00644122"/>
    <w:rsid w:val="00644145"/>
    <w:rsid w:val="006441EE"/>
    <w:rsid w:val="00644270"/>
    <w:rsid w:val="00644271"/>
    <w:rsid w:val="006442A5"/>
    <w:rsid w:val="006443AD"/>
    <w:rsid w:val="0064443A"/>
    <w:rsid w:val="00644477"/>
    <w:rsid w:val="00644743"/>
    <w:rsid w:val="00644768"/>
    <w:rsid w:val="00644817"/>
    <w:rsid w:val="0064481B"/>
    <w:rsid w:val="006448AF"/>
    <w:rsid w:val="006448BA"/>
    <w:rsid w:val="00644A6C"/>
    <w:rsid w:val="00644B6D"/>
    <w:rsid w:val="00644B76"/>
    <w:rsid w:val="00644C05"/>
    <w:rsid w:val="00644DA1"/>
    <w:rsid w:val="00644DD9"/>
    <w:rsid w:val="0064506A"/>
    <w:rsid w:val="00645079"/>
    <w:rsid w:val="0064512B"/>
    <w:rsid w:val="00645216"/>
    <w:rsid w:val="00645336"/>
    <w:rsid w:val="0064538B"/>
    <w:rsid w:val="0064539A"/>
    <w:rsid w:val="0064542C"/>
    <w:rsid w:val="0064559B"/>
    <w:rsid w:val="00645604"/>
    <w:rsid w:val="00645633"/>
    <w:rsid w:val="00645778"/>
    <w:rsid w:val="0064577F"/>
    <w:rsid w:val="006457BF"/>
    <w:rsid w:val="006457FF"/>
    <w:rsid w:val="00645937"/>
    <w:rsid w:val="006459F3"/>
    <w:rsid w:val="00645A01"/>
    <w:rsid w:val="00645A6A"/>
    <w:rsid w:val="00645ADA"/>
    <w:rsid w:val="00645C62"/>
    <w:rsid w:val="00645C69"/>
    <w:rsid w:val="00645E30"/>
    <w:rsid w:val="00645E73"/>
    <w:rsid w:val="00645FF7"/>
    <w:rsid w:val="0064604C"/>
    <w:rsid w:val="0064605E"/>
    <w:rsid w:val="006461FF"/>
    <w:rsid w:val="0064622C"/>
    <w:rsid w:val="00646299"/>
    <w:rsid w:val="0064629E"/>
    <w:rsid w:val="006463B3"/>
    <w:rsid w:val="006463CB"/>
    <w:rsid w:val="00646733"/>
    <w:rsid w:val="0064684E"/>
    <w:rsid w:val="00646A70"/>
    <w:rsid w:val="00646B23"/>
    <w:rsid w:val="00646D5B"/>
    <w:rsid w:val="00646E74"/>
    <w:rsid w:val="00646E92"/>
    <w:rsid w:val="00646F49"/>
    <w:rsid w:val="00646FA8"/>
    <w:rsid w:val="00646FAB"/>
    <w:rsid w:val="00646FAF"/>
    <w:rsid w:val="00647386"/>
    <w:rsid w:val="006473A1"/>
    <w:rsid w:val="0064749E"/>
    <w:rsid w:val="006474C3"/>
    <w:rsid w:val="00647594"/>
    <w:rsid w:val="00647629"/>
    <w:rsid w:val="006476C1"/>
    <w:rsid w:val="0064778B"/>
    <w:rsid w:val="00647932"/>
    <w:rsid w:val="00647C16"/>
    <w:rsid w:val="00647D42"/>
    <w:rsid w:val="00647E0E"/>
    <w:rsid w:val="00647FA9"/>
    <w:rsid w:val="00647FB0"/>
    <w:rsid w:val="006500A7"/>
    <w:rsid w:val="00650102"/>
    <w:rsid w:val="00650136"/>
    <w:rsid w:val="0065019C"/>
    <w:rsid w:val="00650324"/>
    <w:rsid w:val="0065041C"/>
    <w:rsid w:val="006504BC"/>
    <w:rsid w:val="006504BF"/>
    <w:rsid w:val="006504C1"/>
    <w:rsid w:val="00650546"/>
    <w:rsid w:val="006505C5"/>
    <w:rsid w:val="0065064E"/>
    <w:rsid w:val="00650871"/>
    <w:rsid w:val="006509B2"/>
    <w:rsid w:val="00650CBC"/>
    <w:rsid w:val="00650E18"/>
    <w:rsid w:val="00650E6A"/>
    <w:rsid w:val="00650EC0"/>
    <w:rsid w:val="00650EDB"/>
    <w:rsid w:val="00650F46"/>
    <w:rsid w:val="00651096"/>
    <w:rsid w:val="0065121C"/>
    <w:rsid w:val="00651230"/>
    <w:rsid w:val="00651237"/>
    <w:rsid w:val="006513B6"/>
    <w:rsid w:val="006513D2"/>
    <w:rsid w:val="006513D6"/>
    <w:rsid w:val="00651729"/>
    <w:rsid w:val="006518B3"/>
    <w:rsid w:val="006518BD"/>
    <w:rsid w:val="006518C4"/>
    <w:rsid w:val="00651965"/>
    <w:rsid w:val="00651B57"/>
    <w:rsid w:val="00651CE0"/>
    <w:rsid w:val="00651DBA"/>
    <w:rsid w:val="00651DF4"/>
    <w:rsid w:val="00651FF6"/>
    <w:rsid w:val="00652056"/>
    <w:rsid w:val="006520A1"/>
    <w:rsid w:val="00652113"/>
    <w:rsid w:val="00652305"/>
    <w:rsid w:val="00652311"/>
    <w:rsid w:val="00652405"/>
    <w:rsid w:val="0065241A"/>
    <w:rsid w:val="00652644"/>
    <w:rsid w:val="006527F1"/>
    <w:rsid w:val="00652869"/>
    <w:rsid w:val="006529ED"/>
    <w:rsid w:val="00652A78"/>
    <w:rsid w:val="00652AE5"/>
    <w:rsid w:val="00652D7A"/>
    <w:rsid w:val="00652EC3"/>
    <w:rsid w:val="00652EFF"/>
    <w:rsid w:val="00652FB0"/>
    <w:rsid w:val="006530CA"/>
    <w:rsid w:val="0065323B"/>
    <w:rsid w:val="006532F8"/>
    <w:rsid w:val="0065330D"/>
    <w:rsid w:val="00653349"/>
    <w:rsid w:val="0065338C"/>
    <w:rsid w:val="0065342D"/>
    <w:rsid w:val="0065342E"/>
    <w:rsid w:val="00653510"/>
    <w:rsid w:val="0065353B"/>
    <w:rsid w:val="00653549"/>
    <w:rsid w:val="00653719"/>
    <w:rsid w:val="00653945"/>
    <w:rsid w:val="00653A88"/>
    <w:rsid w:val="00653AF4"/>
    <w:rsid w:val="00653B8E"/>
    <w:rsid w:val="00653B95"/>
    <w:rsid w:val="00653BF8"/>
    <w:rsid w:val="00653C95"/>
    <w:rsid w:val="00653E5C"/>
    <w:rsid w:val="00654076"/>
    <w:rsid w:val="006540E6"/>
    <w:rsid w:val="006542B3"/>
    <w:rsid w:val="0065448B"/>
    <w:rsid w:val="00654490"/>
    <w:rsid w:val="00654651"/>
    <w:rsid w:val="006547B2"/>
    <w:rsid w:val="00654891"/>
    <w:rsid w:val="006549FC"/>
    <w:rsid w:val="00654A7D"/>
    <w:rsid w:val="00654A8C"/>
    <w:rsid w:val="00654BC1"/>
    <w:rsid w:val="00654C0B"/>
    <w:rsid w:val="00654DBA"/>
    <w:rsid w:val="00654E0F"/>
    <w:rsid w:val="00654EE4"/>
    <w:rsid w:val="00655039"/>
    <w:rsid w:val="006553B7"/>
    <w:rsid w:val="006553E4"/>
    <w:rsid w:val="00655467"/>
    <w:rsid w:val="006556CC"/>
    <w:rsid w:val="006556DA"/>
    <w:rsid w:val="0065572D"/>
    <w:rsid w:val="0065572F"/>
    <w:rsid w:val="0065574D"/>
    <w:rsid w:val="0065575B"/>
    <w:rsid w:val="006557B8"/>
    <w:rsid w:val="006557FC"/>
    <w:rsid w:val="00655816"/>
    <w:rsid w:val="006558C6"/>
    <w:rsid w:val="0065592F"/>
    <w:rsid w:val="006559E9"/>
    <w:rsid w:val="00655AA2"/>
    <w:rsid w:val="00655B6D"/>
    <w:rsid w:val="00655DC6"/>
    <w:rsid w:val="00655E51"/>
    <w:rsid w:val="00655E55"/>
    <w:rsid w:val="00655EE3"/>
    <w:rsid w:val="0065600A"/>
    <w:rsid w:val="0065609D"/>
    <w:rsid w:val="006560E4"/>
    <w:rsid w:val="0065613C"/>
    <w:rsid w:val="00656292"/>
    <w:rsid w:val="00656460"/>
    <w:rsid w:val="0065647C"/>
    <w:rsid w:val="0065650D"/>
    <w:rsid w:val="00656720"/>
    <w:rsid w:val="006568E3"/>
    <w:rsid w:val="00656949"/>
    <w:rsid w:val="00656EB4"/>
    <w:rsid w:val="00656EDB"/>
    <w:rsid w:val="00656EDE"/>
    <w:rsid w:val="00656F37"/>
    <w:rsid w:val="0065718E"/>
    <w:rsid w:val="006571DB"/>
    <w:rsid w:val="00657344"/>
    <w:rsid w:val="006573D2"/>
    <w:rsid w:val="006574A3"/>
    <w:rsid w:val="006574E9"/>
    <w:rsid w:val="0065754C"/>
    <w:rsid w:val="00657622"/>
    <w:rsid w:val="006576E6"/>
    <w:rsid w:val="00657748"/>
    <w:rsid w:val="006577EE"/>
    <w:rsid w:val="00657871"/>
    <w:rsid w:val="006578D8"/>
    <w:rsid w:val="00657A51"/>
    <w:rsid w:val="00657BBF"/>
    <w:rsid w:val="00657C88"/>
    <w:rsid w:val="00657CEA"/>
    <w:rsid w:val="00657EC1"/>
    <w:rsid w:val="00657EE0"/>
    <w:rsid w:val="00660072"/>
    <w:rsid w:val="006600F9"/>
    <w:rsid w:val="00660110"/>
    <w:rsid w:val="00660183"/>
    <w:rsid w:val="00660184"/>
    <w:rsid w:val="006601AD"/>
    <w:rsid w:val="006602A2"/>
    <w:rsid w:val="00660404"/>
    <w:rsid w:val="00660421"/>
    <w:rsid w:val="00660634"/>
    <w:rsid w:val="006606E1"/>
    <w:rsid w:val="006609B1"/>
    <w:rsid w:val="00660A11"/>
    <w:rsid w:val="00660BE2"/>
    <w:rsid w:val="00660C19"/>
    <w:rsid w:val="00660C1D"/>
    <w:rsid w:val="00660C37"/>
    <w:rsid w:val="00660D45"/>
    <w:rsid w:val="00660E22"/>
    <w:rsid w:val="00660FEF"/>
    <w:rsid w:val="006610E9"/>
    <w:rsid w:val="00661242"/>
    <w:rsid w:val="0066127B"/>
    <w:rsid w:val="006612CF"/>
    <w:rsid w:val="0066130D"/>
    <w:rsid w:val="006614EE"/>
    <w:rsid w:val="006615DC"/>
    <w:rsid w:val="0066161C"/>
    <w:rsid w:val="00661728"/>
    <w:rsid w:val="006617A6"/>
    <w:rsid w:val="006617ED"/>
    <w:rsid w:val="006618B0"/>
    <w:rsid w:val="006618E3"/>
    <w:rsid w:val="006618E8"/>
    <w:rsid w:val="00661907"/>
    <w:rsid w:val="00661923"/>
    <w:rsid w:val="006619E2"/>
    <w:rsid w:val="006619F6"/>
    <w:rsid w:val="00661A02"/>
    <w:rsid w:val="00661AFF"/>
    <w:rsid w:val="00661CF8"/>
    <w:rsid w:val="00661D21"/>
    <w:rsid w:val="00661D6B"/>
    <w:rsid w:val="00661D9D"/>
    <w:rsid w:val="00661DC5"/>
    <w:rsid w:val="00661F9D"/>
    <w:rsid w:val="0066207F"/>
    <w:rsid w:val="006620CD"/>
    <w:rsid w:val="006620E2"/>
    <w:rsid w:val="00662183"/>
    <w:rsid w:val="00662209"/>
    <w:rsid w:val="0066220D"/>
    <w:rsid w:val="00662263"/>
    <w:rsid w:val="0066231D"/>
    <w:rsid w:val="006623FB"/>
    <w:rsid w:val="00662477"/>
    <w:rsid w:val="00662513"/>
    <w:rsid w:val="0066254F"/>
    <w:rsid w:val="006626EC"/>
    <w:rsid w:val="00662844"/>
    <w:rsid w:val="00662991"/>
    <w:rsid w:val="006629D5"/>
    <w:rsid w:val="00662AEA"/>
    <w:rsid w:val="00662B82"/>
    <w:rsid w:val="00662BC3"/>
    <w:rsid w:val="00662D6D"/>
    <w:rsid w:val="00662DF9"/>
    <w:rsid w:val="00662FFC"/>
    <w:rsid w:val="0066315D"/>
    <w:rsid w:val="0066324D"/>
    <w:rsid w:val="0066325C"/>
    <w:rsid w:val="006632B0"/>
    <w:rsid w:val="006633C0"/>
    <w:rsid w:val="006635F2"/>
    <w:rsid w:val="00663629"/>
    <w:rsid w:val="006636EC"/>
    <w:rsid w:val="006636F6"/>
    <w:rsid w:val="00663946"/>
    <w:rsid w:val="00663962"/>
    <w:rsid w:val="00663A15"/>
    <w:rsid w:val="00663A31"/>
    <w:rsid w:val="00663AAA"/>
    <w:rsid w:val="00663B35"/>
    <w:rsid w:val="00663C3C"/>
    <w:rsid w:val="00663C42"/>
    <w:rsid w:val="00663CF6"/>
    <w:rsid w:val="00663D00"/>
    <w:rsid w:val="00663D53"/>
    <w:rsid w:val="00663DC1"/>
    <w:rsid w:val="00663E4F"/>
    <w:rsid w:val="00663ED2"/>
    <w:rsid w:val="00663F0E"/>
    <w:rsid w:val="00664290"/>
    <w:rsid w:val="006642D8"/>
    <w:rsid w:val="0066435D"/>
    <w:rsid w:val="006643E1"/>
    <w:rsid w:val="0066441C"/>
    <w:rsid w:val="006644C3"/>
    <w:rsid w:val="006645BE"/>
    <w:rsid w:val="00664682"/>
    <w:rsid w:val="006646D1"/>
    <w:rsid w:val="00664740"/>
    <w:rsid w:val="00664799"/>
    <w:rsid w:val="00664871"/>
    <w:rsid w:val="006649CB"/>
    <w:rsid w:val="00664A00"/>
    <w:rsid w:val="00664CB0"/>
    <w:rsid w:val="00664DA9"/>
    <w:rsid w:val="00664DC9"/>
    <w:rsid w:val="00664E26"/>
    <w:rsid w:val="00664E51"/>
    <w:rsid w:val="00664EA8"/>
    <w:rsid w:val="00664F47"/>
    <w:rsid w:val="00665002"/>
    <w:rsid w:val="00665057"/>
    <w:rsid w:val="0066511A"/>
    <w:rsid w:val="00665157"/>
    <w:rsid w:val="00665268"/>
    <w:rsid w:val="0066526D"/>
    <w:rsid w:val="006652C2"/>
    <w:rsid w:val="006652F1"/>
    <w:rsid w:val="00665362"/>
    <w:rsid w:val="006653A5"/>
    <w:rsid w:val="006653B7"/>
    <w:rsid w:val="00665488"/>
    <w:rsid w:val="006654B9"/>
    <w:rsid w:val="0066551B"/>
    <w:rsid w:val="006655C9"/>
    <w:rsid w:val="006655D7"/>
    <w:rsid w:val="006655D8"/>
    <w:rsid w:val="00665650"/>
    <w:rsid w:val="0066578C"/>
    <w:rsid w:val="00665848"/>
    <w:rsid w:val="006658BE"/>
    <w:rsid w:val="00665994"/>
    <w:rsid w:val="00665AB4"/>
    <w:rsid w:val="00665ACF"/>
    <w:rsid w:val="00665B87"/>
    <w:rsid w:val="00665B88"/>
    <w:rsid w:val="00665B90"/>
    <w:rsid w:val="00665BC9"/>
    <w:rsid w:val="00665C0D"/>
    <w:rsid w:val="00665CD9"/>
    <w:rsid w:val="00665D84"/>
    <w:rsid w:val="00665DA1"/>
    <w:rsid w:val="00665DE9"/>
    <w:rsid w:val="00665E5E"/>
    <w:rsid w:val="00665ED4"/>
    <w:rsid w:val="0066609D"/>
    <w:rsid w:val="006660DF"/>
    <w:rsid w:val="00666103"/>
    <w:rsid w:val="006661D6"/>
    <w:rsid w:val="00666256"/>
    <w:rsid w:val="0066643A"/>
    <w:rsid w:val="00666770"/>
    <w:rsid w:val="006667D0"/>
    <w:rsid w:val="006669A2"/>
    <w:rsid w:val="006669A3"/>
    <w:rsid w:val="00666A54"/>
    <w:rsid w:val="00666A86"/>
    <w:rsid w:val="00666B4A"/>
    <w:rsid w:val="00666D13"/>
    <w:rsid w:val="00666DEF"/>
    <w:rsid w:val="00666E78"/>
    <w:rsid w:val="00666FDB"/>
    <w:rsid w:val="006671B0"/>
    <w:rsid w:val="006671E8"/>
    <w:rsid w:val="006672DC"/>
    <w:rsid w:val="00667413"/>
    <w:rsid w:val="0066746F"/>
    <w:rsid w:val="006675E7"/>
    <w:rsid w:val="006675FD"/>
    <w:rsid w:val="00667607"/>
    <w:rsid w:val="00667693"/>
    <w:rsid w:val="00667731"/>
    <w:rsid w:val="00667754"/>
    <w:rsid w:val="00667958"/>
    <w:rsid w:val="00667B36"/>
    <w:rsid w:val="00667C01"/>
    <w:rsid w:val="00667DA1"/>
    <w:rsid w:val="00670406"/>
    <w:rsid w:val="00670468"/>
    <w:rsid w:val="00670542"/>
    <w:rsid w:val="00670612"/>
    <w:rsid w:val="00670618"/>
    <w:rsid w:val="0067063C"/>
    <w:rsid w:val="00670999"/>
    <w:rsid w:val="006709DC"/>
    <w:rsid w:val="00670A10"/>
    <w:rsid w:val="00670A50"/>
    <w:rsid w:val="00670A85"/>
    <w:rsid w:val="00670AAC"/>
    <w:rsid w:val="00670B24"/>
    <w:rsid w:val="00670BA9"/>
    <w:rsid w:val="00670C55"/>
    <w:rsid w:val="00670C65"/>
    <w:rsid w:val="00670CA6"/>
    <w:rsid w:val="00670CDC"/>
    <w:rsid w:val="00670CE4"/>
    <w:rsid w:val="00670D45"/>
    <w:rsid w:val="00670F92"/>
    <w:rsid w:val="00670FAC"/>
    <w:rsid w:val="00670FC8"/>
    <w:rsid w:val="00671055"/>
    <w:rsid w:val="0067114C"/>
    <w:rsid w:val="00671259"/>
    <w:rsid w:val="006714AC"/>
    <w:rsid w:val="0067159A"/>
    <w:rsid w:val="006715FB"/>
    <w:rsid w:val="0067168B"/>
    <w:rsid w:val="006716A9"/>
    <w:rsid w:val="0067175E"/>
    <w:rsid w:val="00671843"/>
    <w:rsid w:val="00671983"/>
    <w:rsid w:val="00671A0B"/>
    <w:rsid w:val="00671A25"/>
    <w:rsid w:val="00671A36"/>
    <w:rsid w:val="00671AA7"/>
    <w:rsid w:val="00671B20"/>
    <w:rsid w:val="00671B59"/>
    <w:rsid w:val="00671C58"/>
    <w:rsid w:val="00671E2C"/>
    <w:rsid w:val="00671E5C"/>
    <w:rsid w:val="00671E6E"/>
    <w:rsid w:val="00671F79"/>
    <w:rsid w:val="00672107"/>
    <w:rsid w:val="0067231C"/>
    <w:rsid w:val="006723CB"/>
    <w:rsid w:val="006725C0"/>
    <w:rsid w:val="006726FF"/>
    <w:rsid w:val="0067272C"/>
    <w:rsid w:val="00672948"/>
    <w:rsid w:val="00672996"/>
    <w:rsid w:val="0067299C"/>
    <w:rsid w:val="00672A74"/>
    <w:rsid w:val="00672D28"/>
    <w:rsid w:val="00672DB5"/>
    <w:rsid w:val="00672EA0"/>
    <w:rsid w:val="00672FAE"/>
    <w:rsid w:val="0067307A"/>
    <w:rsid w:val="006730CA"/>
    <w:rsid w:val="00673236"/>
    <w:rsid w:val="00673251"/>
    <w:rsid w:val="006732C7"/>
    <w:rsid w:val="0067335E"/>
    <w:rsid w:val="00673538"/>
    <w:rsid w:val="00673541"/>
    <w:rsid w:val="006735C2"/>
    <w:rsid w:val="006735E4"/>
    <w:rsid w:val="006736CF"/>
    <w:rsid w:val="0067370B"/>
    <w:rsid w:val="00673801"/>
    <w:rsid w:val="00673950"/>
    <w:rsid w:val="00673A59"/>
    <w:rsid w:val="00673B2F"/>
    <w:rsid w:val="00673BA6"/>
    <w:rsid w:val="00673BDF"/>
    <w:rsid w:val="00673CC1"/>
    <w:rsid w:val="00673DB4"/>
    <w:rsid w:val="00673E70"/>
    <w:rsid w:val="00673ED2"/>
    <w:rsid w:val="00674090"/>
    <w:rsid w:val="00674091"/>
    <w:rsid w:val="00674098"/>
    <w:rsid w:val="0067419C"/>
    <w:rsid w:val="0067447A"/>
    <w:rsid w:val="0067448F"/>
    <w:rsid w:val="006744EC"/>
    <w:rsid w:val="0067451F"/>
    <w:rsid w:val="00674571"/>
    <w:rsid w:val="006745A2"/>
    <w:rsid w:val="0067486B"/>
    <w:rsid w:val="00674881"/>
    <w:rsid w:val="00674909"/>
    <w:rsid w:val="0067490B"/>
    <w:rsid w:val="00674960"/>
    <w:rsid w:val="006749FA"/>
    <w:rsid w:val="00674A1E"/>
    <w:rsid w:val="00674A46"/>
    <w:rsid w:val="00674B22"/>
    <w:rsid w:val="00674B90"/>
    <w:rsid w:val="00674EAB"/>
    <w:rsid w:val="00674EBE"/>
    <w:rsid w:val="00674F22"/>
    <w:rsid w:val="00675103"/>
    <w:rsid w:val="00675136"/>
    <w:rsid w:val="0067520D"/>
    <w:rsid w:val="00675358"/>
    <w:rsid w:val="0067539F"/>
    <w:rsid w:val="006754F3"/>
    <w:rsid w:val="0067555D"/>
    <w:rsid w:val="006755B0"/>
    <w:rsid w:val="006755B9"/>
    <w:rsid w:val="0067562C"/>
    <w:rsid w:val="0067574A"/>
    <w:rsid w:val="006758E7"/>
    <w:rsid w:val="00675AAC"/>
    <w:rsid w:val="00675DEE"/>
    <w:rsid w:val="00675F09"/>
    <w:rsid w:val="00675F51"/>
    <w:rsid w:val="00675F83"/>
    <w:rsid w:val="00675F93"/>
    <w:rsid w:val="00676021"/>
    <w:rsid w:val="0067611F"/>
    <w:rsid w:val="00676141"/>
    <w:rsid w:val="00676241"/>
    <w:rsid w:val="00676340"/>
    <w:rsid w:val="00676465"/>
    <w:rsid w:val="006765E1"/>
    <w:rsid w:val="006766D8"/>
    <w:rsid w:val="00676746"/>
    <w:rsid w:val="00676884"/>
    <w:rsid w:val="00676902"/>
    <w:rsid w:val="00676916"/>
    <w:rsid w:val="00676AAD"/>
    <w:rsid w:val="00676AC3"/>
    <w:rsid w:val="00676B1D"/>
    <w:rsid w:val="00676B6A"/>
    <w:rsid w:val="00676CAA"/>
    <w:rsid w:val="00676D91"/>
    <w:rsid w:val="00676EE9"/>
    <w:rsid w:val="0067700F"/>
    <w:rsid w:val="006770BB"/>
    <w:rsid w:val="00677188"/>
    <w:rsid w:val="006772D5"/>
    <w:rsid w:val="006774A8"/>
    <w:rsid w:val="00677584"/>
    <w:rsid w:val="006775B2"/>
    <w:rsid w:val="0067763C"/>
    <w:rsid w:val="00677640"/>
    <w:rsid w:val="00677641"/>
    <w:rsid w:val="00677760"/>
    <w:rsid w:val="00677840"/>
    <w:rsid w:val="00677901"/>
    <w:rsid w:val="0067795F"/>
    <w:rsid w:val="006779D3"/>
    <w:rsid w:val="00677A2C"/>
    <w:rsid w:val="00677AC2"/>
    <w:rsid w:val="00677B26"/>
    <w:rsid w:val="00677B7B"/>
    <w:rsid w:val="00677BB4"/>
    <w:rsid w:val="00677D07"/>
    <w:rsid w:val="00677D58"/>
    <w:rsid w:val="00677D7D"/>
    <w:rsid w:val="00677DD1"/>
    <w:rsid w:val="00677E19"/>
    <w:rsid w:val="00677F34"/>
    <w:rsid w:val="00677FE5"/>
    <w:rsid w:val="00680334"/>
    <w:rsid w:val="00680335"/>
    <w:rsid w:val="0068041F"/>
    <w:rsid w:val="0068044E"/>
    <w:rsid w:val="006804E9"/>
    <w:rsid w:val="006805FD"/>
    <w:rsid w:val="00680649"/>
    <w:rsid w:val="00680845"/>
    <w:rsid w:val="00680853"/>
    <w:rsid w:val="00680916"/>
    <w:rsid w:val="00680945"/>
    <w:rsid w:val="006809C4"/>
    <w:rsid w:val="00680A3B"/>
    <w:rsid w:val="00680A81"/>
    <w:rsid w:val="00680AED"/>
    <w:rsid w:val="00680BAB"/>
    <w:rsid w:val="00680BD4"/>
    <w:rsid w:val="00680BF7"/>
    <w:rsid w:val="00680D66"/>
    <w:rsid w:val="00680DE9"/>
    <w:rsid w:val="00680ECA"/>
    <w:rsid w:val="00680FF4"/>
    <w:rsid w:val="0068112F"/>
    <w:rsid w:val="00681149"/>
    <w:rsid w:val="00681190"/>
    <w:rsid w:val="006811D6"/>
    <w:rsid w:val="006812DA"/>
    <w:rsid w:val="00681326"/>
    <w:rsid w:val="0068133F"/>
    <w:rsid w:val="00681447"/>
    <w:rsid w:val="006815D5"/>
    <w:rsid w:val="006815EB"/>
    <w:rsid w:val="006815FF"/>
    <w:rsid w:val="00681629"/>
    <w:rsid w:val="006816C5"/>
    <w:rsid w:val="006816EF"/>
    <w:rsid w:val="00681765"/>
    <w:rsid w:val="006817CA"/>
    <w:rsid w:val="006817CF"/>
    <w:rsid w:val="0068183F"/>
    <w:rsid w:val="006818F1"/>
    <w:rsid w:val="006819E9"/>
    <w:rsid w:val="00681B5D"/>
    <w:rsid w:val="00681BB7"/>
    <w:rsid w:val="00681BD9"/>
    <w:rsid w:val="00681C44"/>
    <w:rsid w:val="00681E22"/>
    <w:rsid w:val="00681E8C"/>
    <w:rsid w:val="00681F29"/>
    <w:rsid w:val="00681F48"/>
    <w:rsid w:val="00681F75"/>
    <w:rsid w:val="00681F8A"/>
    <w:rsid w:val="0068201D"/>
    <w:rsid w:val="00682194"/>
    <w:rsid w:val="006821A8"/>
    <w:rsid w:val="006821B2"/>
    <w:rsid w:val="0068220B"/>
    <w:rsid w:val="00682302"/>
    <w:rsid w:val="006823DC"/>
    <w:rsid w:val="006826D6"/>
    <w:rsid w:val="00682735"/>
    <w:rsid w:val="006827F2"/>
    <w:rsid w:val="00682930"/>
    <w:rsid w:val="00682995"/>
    <w:rsid w:val="00682BEE"/>
    <w:rsid w:val="00682C7F"/>
    <w:rsid w:val="00682DF7"/>
    <w:rsid w:val="00682F0D"/>
    <w:rsid w:val="00682FFC"/>
    <w:rsid w:val="00683089"/>
    <w:rsid w:val="0068310D"/>
    <w:rsid w:val="0068311B"/>
    <w:rsid w:val="0068328E"/>
    <w:rsid w:val="0068329D"/>
    <w:rsid w:val="00683439"/>
    <w:rsid w:val="0068351F"/>
    <w:rsid w:val="00683582"/>
    <w:rsid w:val="00683711"/>
    <w:rsid w:val="0068375C"/>
    <w:rsid w:val="006837CF"/>
    <w:rsid w:val="00683818"/>
    <w:rsid w:val="006838A8"/>
    <w:rsid w:val="006838D5"/>
    <w:rsid w:val="00683992"/>
    <w:rsid w:val="006839D0"/>
    <w:rsid w:val="00683A9F"/>
    <w:rsid w:val="00683B36"/>
    <w:rsid w:val="00683B73"/>
    <w:rsid w:val="00683B74"/>
    <w:rsid w:val="00683EE9"/>
    <w:rsid w:val="006841EE"/>
    <w:rsid w:val="006841EF"/>
    <w:rsid w:val="006843BE"/>
    <w:rsid w:val="006843E5"/>
    <w:rsid w:val="00684446"/>
    <w:rsid w:val="00684517"/>
    <w:rsid w:val="00684637"/>
    <w:rsid w:val="006846D3"/>
    <w:rsid w:val="00684724"/>
    <w:rsid w:val="00684778"/>
    <w:rsid w:val="00684ACB"/>
    <w:rsid w:val="00684D48"/>
    <w:rsid w:val="00684D56"/>
    <w:rsid w:val="00684DD0"/>
    <w:rsid w:val="00684F32"/>
    <w:rsid w:val="00684F75"/>
    <w:rsid w:val="006850A8"/>
    <w:rsid w:val="006855AE"/>
    <w:rsid w:val="00685616"/>
    <w:rsid w:val="00685661"/>
    <w:rsid w:val="00685771"/>
    <w:rsid w:val="006857D4"/>
    <w:rsid w:val="00685839"/>
    <w:rsid w:val="00685926"/>
    <w:rsid w:val="006859EB"/>
    <w:rsid w:val="00685BCE"/>
    <w:rsid w:val="00685CB9"/>
    <w:rsid w:val="00685D0A"/>
    <w:rsid w:val="00685D16"/>
    <w:rsid w:val="00685D5D"/>
    <w:rsid w:val="00685DD4"/>
    <w:rsid w:val="00685F02"/>
    <w:rsid w:val="00685F08"/>
    <w:rsid w:val="00685F57"/>
    <w:rsid w:val="00685FBD"/>
    <w:rsid w:val="00685FC9"/>
    <w:rsid w:val="006861A1"/>
    <w:rsid w:val="00686214"/>
    <w:rsid w:val="00686310"/>
    <w:rsid w:val="006864AA"/>
    <w:rsid w:val="006865E5"/>
    <w:rsid w:val="0068663F"/>
    <w:rsid w:val="006866A2"/>
    <w:rsid w:val="00686704"/>
    <w:rsid w:val="006867E0"/>
    <w:rsid w:val="0068686F"/>
    <w:rsid w:val="006868C6"/>
    <w:rsid w:val="00686907"/>
    <w:rsid w:val="00686981"/>
    <w:rsid w:val="00686A9A"/>
    <w:rsid w:val="00686C25"/>
    <w:rsid w:val="00686E2F"/>
    <w:rsid w:val="00686F12"/>
    <w:rsid w:val="00686F56"/>
    <w:rsid w:val="00687000"/>
    <w:rsid w:val="00687229"/>
    <w:rsid w:val="006872E6"/>
    <w:rsid w:val="0068740B"/>
    <w:rsid w:val="00687425"/>
    <w:rsid w:val="006874CC"/>
    <w:rsid w:val="0068751D"/>
    <w:rsid w:val="006876C6"/>
    <w:rsid w:val="0068780F"/>
    <w:rsid w:val="006879CA"/>
    <w:rsid w:val="00687A92"/>
    <w:rsid w:val="00687CDA"/>
    <w:rsid w:val="00687DEB"/>
    <w:rsid w:val="00687F21"/>
    <w:rsid w:val="006902BB"/>
    <w:rsid w:val="006902CD"/>
    <w:rsid w:val="00690335"/>
    <w:rsid w:val="0069033B"/>
    <w:rsid w:val="00690387"/>
    <w:rsid w:val="006903D8"/>
    <w:rsid w:val="00690474"/>
    <w:rsid w:val="00690638"/>
    <w:rsid w:val="00690691"/>
    <w:rsid w:val="006906DC"/>
    <w:rsid w:val="00690799"/>
    <w:rsid w:val="006907C9"/>
    <w:rsid w:val="00690840"/>
    <w:rsid w:val="00690AC6"/>
    <w:rsid w:val="00690B23"/>
    <w:rsid w:val="00690B73"/>
    <w:rsid w:val="00690C54"/>
    <w:rsid w:val="00690CEC"/>
    <w:rsid w:val="00690F8D"/>
    <w:rsid w:val="006910DE"/>
    <w:rsid w:val="0069116D"/>
    <w:rsid w:val="00691200"/>
    <w:rsid w:val="0069129E"/>
    <w:rsid w:val="006912D8"/>
    <w:rsid w:val="00691354"/>
    <w:rsid w:val="00691517"/>
    <w:rsid w:val="00691530"/>
    <w:rsid w:val="00691590"/>
    <w:rsid w:val="00691625"/>
    <w:rsid w:val="00691667"/>
    <w:rsid w:val="006916D2"/>
    <w:rsid w:val="006916F0"/>
    <w:rsid w:val="00691754"/>
    <w:rsid w:val="0069175E"/>
    <w:rsid w:val="00691775"/>
    <w:rsid w:val="0069192A"/>
    <w:rsid w:val="00691A54"/>
    <w:rsid w:val="00691A94"/>
    <w:rsid w:val="00691C8D"/>
    <w:rsid w:val="00691CA9"/>
    <w:rsid w:val="00691D37"/>
    <w:rsid w:val="00691DFA"/>
    <w:rsid w:val="00692013"/>
    <w:rsid w:val="00692065"/>
    <w:rsid w:val="0069221C"/>
    <w:rsid w:val="00692237"/>
    <w:rsid w:val="00692252"/>
    <w:rsid w:val="00692265"/>
    <w:rsid w:val="00692290"/>
    <w:rsid w:val="0069229C"/>
    <w:rsid w:val="00692300"/>
    <w:rsid w:val="006923BC"/>
    <w:rsid w:val="006923D5"/>
    <w:rsid w:val="00692543"/>
    <w:rsid w:val="00692557"/>
    <w:rsid w:val="00692683"/>
    <w:rsid w:val="006926CE"/>
    <w:rsid w:val="00692714"/>
    <w:rsid w:val="0069277A"/>
    <w:rsid w:val="006927AA"/>
    <w:rsid w:val="006927E0"/>
    <w:rsid w:val="006927E4"/>
    <w:rsid w:val="00692837"/>
    <w:rsid w:val="00692A14"/>
    <w:rsid w:val="00692A75"/>
    <w:rsid w:val="00692AF7"/>
    <w:rsid w:val="00692BB0"/>
    <w:rsid w:val="00692C5E"/>
    <w:rsid w:val="00692CD2"/>
    <w:rsid w:val="00692E5D"/>
    <w:rsid w:val="00692E76"/>
    <w:rsid w:val="00692FE4"/>
    <w:rsid w:val="0069301D"/>
    <w:rsid w:val="00693032"/>
    <w:rsid w:val="00693048"/>
    <w:rsid w:val="00693117"/>
    <w:rsid w:val="00693223"/>
    <w:rsid w:val="006932B9"/>
    <w:rsid w:val="00693347"/>
    <w:rsid w:val="006933EB"/>
    <w:rsid w:val="0069340E"/>
    <w:rsid w:val="00693427"/>
    <w:rsid w:val="00693468"/>
    <w:rsid w:val="00693670"/>
    <w:rsid w:val="006937F2"/>
    <w:rsid w:val="00693915"/>
    <w:rsid w:val="00693A5E"/>
    <w:rsid w:val="00693B65"/>
    <w:rsid w:val="00693B6D"/>
    <w:rsid w:val="00693C10"/>
    <w:rsid w:val="00693EE3"/>
    <w:rsid w:val="00693F12"/>
    <w:rsid w:val="00693F65"/>
    <w:rsid w:val="00694033"/>
    <w:rsid w:val="00694047"/>
    <w:rsid w:val="00694055"/>
    <w:rsid w:val="00694175"/>
    <w:rsid w:val="00694266"/>
    <w:rsid w:val="0069447B"/>
    <w:rsid w:val="00694793"/>
    <w:rsid w:val="0069479E"/>
    <w:rsid w:val="00694AC3"/>
    <w:rsid w:val="00694AE3"/>
    <w:rsid w:val="00694BCE"/>
    <w:rsid w:val="00694CAF"/>
    <w:rsid w:val="00694D2F"/>
    <w:rsid w:val="00694D95"/>
    <w:rsid w:val="00694E00"/>
    <w:rsid w:val="00694F54"/>
    <w:rsid w:val="00695100"/>
    <w:rsid w:val="006951F7"/>
    <w:rsid w:val="00695231"/>
    <w:rsid w:val="00695307"/>
    <w:rsid w:val="0069542B"/>
    <w:rsid w:val="00695461"/>
    <w:rsid w:val="006954FC"/>
    <w:rsid w:val="00695508"/>
    <w:rsid w:val="006955CC"/>
    <w:rsid w:val="0069564B"/>
    <w:rsid w:val="006956B3"/>
    <w:rsid w:val="006956C4"/>
    <w:rsid w:val="006956CA"/>
    <w:rsid w:val="00695716"/>
    <w:rsid w:val="0069576D"/>
    <w:rsid w:val="0069581F"/>
    <w:rsid w:val="0069583B"/>
    <w:rsid w:val="00695A2D"/>
    <w:rsid w:val="00695A5C"/>
    <w:rsid w:val="00695A71"/>
    <w:rsid w:val="00695B34"/>
    <w:rsid w:val="00695B49"/>
    <w:rsid w:val="00695B6A"/>
    <w:rsid w:val="00695BA7"/>
    <w:rsid w:val="00695CC6"/>
    <w:rsid w:val="00695DA7"/>
    <w:rsid w:val="00695DAA"/>
    <w:rsid w:val="00695E22"/>
    <w:rsid w:val="00695E42"/>
    <w:rsid w:val="00695F87"/>
    <w:rsid w:val="00695FFB"/>
    <w:rsid w:val="0069608A"/>
    <w:rsid w:val="0069618F"/>
    <w:rsid w:val="00696204"/>
    <w:rsid w:val="006962AA"/>
    <w:rsid w:val="006962CD"/>
    <w:rsid w:val="0069637C"/>
    <w:rsid w:val="00696391"/>
    <w:rsid w:val="00696412"/>
    <w:rsid w:val="0069648B"/>
    <w:rsid w:val="0069648F"/>
    <w:rsid w:val="00696567"/>
    <w:rsid w:val="00696602"/>
    <w:rsid w:val="00696662"/>
    <w:rsid w:val="00696757"/>
    <w:rsid w:val="00696773"/>
    <w:rsid w:val="006969C1"/>
    <w:rsid w:val="006969D7"/>
    <w:rsid w:val="00696AD7"/>
    <w:rsid w:val="00696B6B"/>
    <w:rsid w:val="00696C07"/>
    <w:rsid w:val="00696C9E"/>
    <w:rsid w:val="00696DC9"/>
    <w:rsid w:val="00696DD3"/>
    <w:rsid w:val="00696FA4"/>
    <w:rsid w:val="00697001"/>
    <w:rsid w:val="00697174"/>
    <w:rsid w:val="0069718B"/>
    <w:rsid w:val="00697237"/>
    <w:rsid w:val="00697354"/>
    <w:rsid w:val="0069738B"/>
    <w:rsid w:val="006973F3"/>
    <w:rsid w:val="00697511"/>
    <w:rsid w:val="0069752C"/>
    <w:rsid w:val="006977C3"/>
    <w:rsid w:val="006977D6"/>
    <w:rsid w:val="006977EF"/>
    <w:rsid w:val="0069782C"/>
    <w:rsid w:val="006978CD"/>
    <w:rsid w:val="006979BD"/>
    <w:rsid w:val="00697A2E"/>
    <w:rsid w:val="00697B0C"/>
    <w:rsid w:val="00697C6F"/>
    <w:rsid w:val="00697D72"/>
    <w:rsid w:val="00697DD3"/>
    <w:rsid w:val="00697DDC"/>
    <w:rsid w:val="00697EED"/>
    <w:rsid w:val="00697F09"/>
    <w:rsid w:val="00697FA8"/>
    <w:rsid w:val="00697FAD"/>
    <w:rsid w:val="006A00A6"/>
    <w:rsid w:val="006A00B3"/>
    <w:rsid w:val="006A0125"/>
    <w:rsid w:val="006A0310"/>
    <w:rsid w:val="006A0386"/>
    <w:rsid w:val="006A03A7"/>
    <w:rsid w:val="006A03C9"/>
    <w:rsid w:val="006A0428"/>
    <w:rsid w:val="006A04E1"/>
    <w:rsid w:val="006A053B"/>
    <w:rsid w:val="006A05D2"/>
    <w:rsid w:val="006A07A7"/>
    <w:rsid w:val="006A0845"/>
    <w:rsid w:val="006A08AF"/>
    <w:rsid w:val="006A0929"/>
    <w:rsid w:val="006A0993"/>
    <w:rsid w:val="006A0A0E"/>
    <w:rsid w:val="006A0A4D"/>
    <w:rsid w:val="006A0A89"/>
    <w:rsid w:val="006A0A9C"/>
    <w:rsid w:val="006A0AD4"/>
    <w:rsid w:val="006A0C5D"/>
    <w:rsid w:val="006A0CFF"/>
    <w:rsid w:val="006A0DBA"/>
    <w:rsid w:val="006A0DDF"/>
    <w:rsid w:val="006A0E98"/>
    <w:rsid w:val="006A0FB6"/>
    <w:rsid w:val="006A1023"/>
    <w:rsid w:val="006A107B"/>
    <w:rsid w:val="006A1159"/>
    <w:rsid w:val="006A1297"/>
    <w:rsid w:val="006A12D2"/>
    <w:rsid w:val="006A12E4"/>
    <w:rsid w:val="006A13F5"/>
    <w:rsid w:val="006A1477"/>
    <w:rsid w:val="006A1562"/>
    <w:rsid w:val="006A1598"/>
    <w:rsid w:val="006A15D0"/>
    <w:rsid w:val="006A160C"/>
    <w:rsid w:val="006A1624"/>
    <w:rsid w:val="006A1668"/>
    <w:rsid w:val="006A1733"/>
    <w:rsid w:val="006A1820"/>
    <w:rsid w:val="006A187F"/>
    <w:rsid w:val="006A18F4"/>
    <w:rsid w:val="006A19AF"/>
    <w:rsid w:val="006A1AAC"/>
    <w:rsid w:val="006A1AD5"/>
    <w:rsid w:val="006A1ADF"/>
    <w:rsid w:val="006A1B64"/>
    <w:rsid w:val="006A1C0A"/>
    <w:rsid w:val="006A1DE9"/>
    <w:rsid w:val="006A1E4E"/>
    <w:rsid w:val="006A1F18"/>
    <w:rsid w:val="006A1FBA"/>
    <w:rsid w:val="006A1FE3"/>
    <w:rsid w:val="006A205B"/>
    <w:rsid w:val="006A20BB"/>
    <w:rsid w:val="006A21B0"/>
    <w:rsid w:val="006A21B1"/>
    <w:rsid w:val="006A22BA"/>
    <w:rsid w:val="006A22C4"/>
    <w:rsid w:val="006A2362"/>
    <w:rsid w:val="006A23F5"/>
    <w:rsid w:val="006A24FF"/>
    <w:rsid w:val="006A25B3"/>
    <w:rsid w:val="006A265B"/>
    <w:rsid w:val="006A26CF"/>
    <w:rsid w:val="006A2705"/>
    <w:rsid w:val="006A2830"/>
    <w:rsid w:val="006A28F4"/>
    <w:rsid w:val="006A2973"/>
    <w:rsid w:val="006A2A7C"/>
    <w:rsid w:val="006A2CCD"/>
    <w:rsid w:val="006A2D3D"/>
    <w:rsid w:val="006A2E3D"/>
    <w:rsid w:val="006A2EBF"/>
    <w:rsid w:val="006A2EC4"/>
    <w:rsid w:val="006A300E"/>
    <w:rsid w:val="006A307C"/>
    <w:rsid w:val="006A30F9"/>
    <w:rsid w:val="006A3120"/>
    <w:rsid w:val="006A317C"/>
    <w:rsid w:val="006A31CF"/>
    <w:rsid w:val="006A31DE"/>
    <w:rsid w:val="006A3218"/>
    <w:rsid w:val="006A3255"/>
    <w:rsid w:val="006A3308"/>
    <w:rsid w:val="006A332F"/>
    <w:rsid w:val="006A34D5"/>
    <w:rsid w:val="006A3522"/>
    <w:rsid w:val="006A3578"/>
    <w:rsid w:val="006A368F"/>
    <w:rsid w:val="006A36FA"/>
    <w:rsid w:val="006A3745"/>
    <w:rsid w:val="006A3845"/>
    <w:rsid w:val="006A3945"/>
    <w:rsid w:val="006A3964"/>
    <w:rsid w:val="006A39FD"/>
    <w:rsid w:val="006A3B63"/>
    <w:rsid w:val="006A3C17"/>
    <w:rsid w:val="006A3C1D"/>
    <w:rsid w:val="006A3C70"/>
    <w:rsid w:val="006A3DA3"/>
    <w:rsid w:val="006A4202"/>
    <w:rsid w:val="006A4263"/>
    <w:rsid w:val="006A42C3"/>
    <w:rsid w:val="006A42F8"/>
    <w:rsid w:val="006A4387"/>
    <w:rsid w:val="006A442E"/>
    <w:rsid w:val="006A44DC"/>
    <w:rsid w:val="006A44FF"/>
    <w:rsid w:val="006A4619"/>
    <w:rsid w:val="006A4698"/>
    <w:rsid w:val="006A4742"/>
    <w:rsid w:val="006A4791"/>
    <w:rsid w:val="006A481B"/>
    <w:rsid w:val="006A4A10"/>
    <w:rsid w:val="006A4A2C"/>
    <w:rsid w:val="006A4C35"/>
    <w:rsid w:val="006A4D22"/>
    <w:rsid w:val="006A4EFE"/>
    <w:rsid w:val="006A4FE1"/>
    <w:rsid w:val="006A504D"/>
    <w:rsid w:val="006A512E"/>
    <w:rsid w:val="006A520C"/>
    <w:rsid w:val="006A526B"/>
    <w:rsid w:val="006A5290"/>
    <w:rsid w:val="006A5470"/>
    <w:rsid w:val="006A54F3"/>
    <w:rsid w:val="006A5541"/>
    <w:rsid w:val="006A5625"/>
    <w:rsid w:val="006A56BA"/>
    <w:rsid w:val="006A57C8"/>
    <w:rsid w:val="006A5849"/>
    <w:rsid w:val="006A585B"/>
    <w:rsid w:val="006A5909"/>
    <w:rsid w:val="006A5A1F"/>
    <w:rsid w:val="006A5A5C"/>
    <w:rsid w:val="006A5AF5"/>
    <w:rsid w:val="006A5E8C"/>
    <w:rsid w:val="006A5E9F"/>
    <w:rsid w:val="006A5FBE"/>
    <w:rsid w:val="006A60AF"/>
    <w:rsid w:val="006A6105"/>
    <w:rsid w:val="006A6247"/>
    <w:rsid w:val="006A636A"/>
    <w:rsid w:val="006A648C"/>
    <w:rsid w:val="006A64A7"/>
    <w:rsid w:val="006A6730"/>
    <w:rsid w:val="006A6875"/>
    <w:rsid w:val="006A68FD"/>
    <w:rsid w:val="006A69D9"/>
    <w:rsid w:val="006A6D26"/>
    <w:rsid w:val="006A6D8D"/>
    <w:rsid w:val="006A6D99"/>
    <w:rsid w:val="006A6DBC"/>
    <w:rsid w:val="006A6E60"/>
    <w:rsid w:val="006A6F2A"/>
    <w:rsid w:val="006A703D"/>
    <w:rsid w:val="006A717F"/>
    <w:rsid w:val="006A72ED"/>
    <w:rsid w:val="006A732F"/>
    <w:rsid w:val="006A7339"/>
    <w:rsid w:val="006A734D"/>
    <w:rsid w:val="006A7411"/>
    <w:rsid w:val="006A749B"/>
    <w:rsid w:val="006A74AB"/>
    <w:rsid w:val="006A74FB"/>
    <w:rsid w:val="006A7533"/>
    <w:rsid w:val="006A757E"/>
    <w:rsid w:val="006A7650"/>
    <w:rsid w:val="006A7720"/>
    <w:rsid w:val="006A77A1"/>
    <w:rsid w:val="006A77CA"/>
    <w:rsid w:val="006A7858"/>
    <w:rsid w:val="006A790C"/>
    <w:rsid w:val="006A7A44"/>
    <w:rsid w:val="006A7A8E"/>
    <w:rsid w:val="006A7B1D"/>
    <w:rsid w:val="006A7B2A"/>
    <w:rsid w:val="006A7B94"/>
    <w:rsid w:val="006A7B9D"/>
    <w:rsid w:val="006A7BEA"/>
    <w:rsid w:val="006A7C5A"/>
    <w:rsid w:val="006A7C69"/>
    <w:rsid w:val="006A7D03"/>
    <w:rsid w:val="006A7E04"/>
    <w:rsid w:val="006A7E2E"/>
    <w:rsid w:val="006A7E5E"/>
    <w:rsid w:val="006B003F"/>
    <w:rsid w:val="006B015A"/>
    <w:rsid w:val="006B0224"/>
    <w:rsid w:val="006B02A8"/>
    <w:rsid w:val="006B03C4"/>
    <w:rsid w:val="006B040B"/>
    <w:rsid w:val="006B04B9"/>
    <w:rsid w:val="006B0557"/>
    <w:rsid w:val="006B0708"/>
    <w:rsid w:val="006B0791"/>
    <w:rsid w:val="006B07B5"/>
    <w:rsid w:val="006B099F"/>
    <w:rsid w:val="006B0A79"/>
    <w:rsid w:val="006B0AF2"/>
    <w:rsid w:val="006B0C5E"/>
    <w:rsid w:val="006B0C77"/>
    <w:rsid w:val="006B0F30"/>
    <w:rsid w:val="006B0FD0"/>
    <w:rsid w:val="006B1031"/>
    <w:rsid w:val="006B1076"/>
    <w:rsid w:val="006B107A"/>
    <w:rsid w:val="006B109E"/>
    <w:rsid w:val="006B154C"/>
    <w:rsid w:val="006B15FF"/>
    <w:rsid w:val="006B1602"/>
    <w:rsid w:val="006B1690"/>
    <w:rsid w:val="006B16C9"/>
    <w:rsid w:val="006B1887"/>
    <w:rsid w:val="006B1909"/>
    <w:rsid w:val="006B1966"/>
    <w:rsid w:val="006B1A81"/>
    <w:rsid w:val="006B1AEC"/>
    <w:rsid w:val="006B1B67"/>
    <w:rsid w:val="006B1B91"/>
    <w:rsid w:val="006B1BFB"/>
    <w:rsid w:val="006B1C56"/>
    <w:rsid w:val="006B1DD7"/>
    <w:rsid w:val="006B1E39"/>
    <w:rsid w:val="006B1E81"/>
    <w:rsid w:val="006B1EE1"/>
    <w:rsid w:val="006B1EFA"/>
    <w:rsid w:val="006B2112"/>
    <w:rsid w:val="006B211B"/>
    <w:rsid w:val="006B2120"/>
    <w:rsid w:val="006B221E"/>
    <w:rsid w:val="006B22F1"/>
    <w:rsid w:val="006B2426"/>
    <w:rsid w:val="006B25F0"/>
    <w:rsid w:val="006B278A"/>
    <w:rsid w:val="006B2876"/>
    <w:rsid w:val="006B297C"/>
    <w:rsid w:val="006B2AEE"/>
    <w:rsid w:val="006B2C21"/>
    <w:rsid w:val="006B2C4A"/>
    <w:rsid w:val="006B2FCB"/>
    <w:rsid w:val="006B3077"/>
    <w:rsid w:val="006B307C"/>
    <w:rsid w:val="006B30B4"/>
    <w:rsid w:val="006B3143"/>
    <w:rsid w:val="006B320D"/>
    <w:rsid w:val="006B3230"/>
    <w:rsid w:val="006B3257"/>
    <w:rsid w:val="006B3321"/>
    <w:rsid w:val="006B33B0"/>
    <w:rsid w:val="006B345B"/>
    <w:rsid w:val="006B35A1"/>
    <w:rsid w:val="006B3732"/>
    <w:rsid w:val="006B37BE"/>
    <w:rsid w:val="006B3894"/>
    <w:rsid w:val="006B38F8"/>
    <w:rsid w:val="006B396A"/>
    <w:rsid w:val="006B3ADB"/>
    <w:rsid w:val="006B3B07"/>
    <w:rsid w:val="006B3B63"/>
    <w:rsid w:val="006B3DDA"/>
    <w:rsid w:val="006B3E1F"/>
    <w:rsid w:val="006B3EBD"/>
    <w:rsid w:val="006B3F19"/>
    <w:rsid w:val="006B3F6A"/>
    <w:rsid w:val="006B3FA2"/>
    <w:rsid w:val="006B4148"/>
    <w:rsid w:val="006B4298"/>
    <w:rsid w:val="006B42A0"/>
    <w:rsid w:val="006B4338"/>
    <w:rsid w:val="006B4390"/>
    <w:rsid w:val="006B440C"/>
    <w:rsid w:val="006B442F"/>
    <w:rsid w:val="006B446E"/>
    <w:rsid w:val="006B4489"/>
    <w:rsid w:val="006B452D"/>
    <w:rsid w:val="006B45FF"/>
    <w:rsid w:val="006B47BB"/>
    <w:rsid w:val="006B48EA"/>
    <w:rsid w:val="006B4910"/>
    <w:rsid w:val="006B49EA"/>
    <w:rsid w:val="006B4C78"/>
    <w:rsid w:val="006B4D1B"/>
    <w:rsid w:val="006B4D8A"/>
    <w:rsid w:val="006B4ECF"/>
    <w:rsid w:val="006B508F"/>
    <w:rsid w:val="006B521E"/>
    <w:rsid w:val="006B5507"/>
    <w:rsid w:val="006B55E5"/>
    <w:rsid w:val="006B5610"/>
    <w:rsid w:val="006B5648"/>
    <w:rsid w:val="006B565E"/>
    <w:rsid w:val="006B5660"/>
    <w:rsid w:val="006B56A2"/>
    <w:rsid w:val="006B5751"/>
    <w:rsid w:val="006B589E"/>
    <w:rsid w:val="006B5971"/>
    <w:rsid w:val="006B597A"/>
    <w:rsid w:val="006B5A5B"/>
    <w:rsid w:val="006B5B06"/>
    <w:rsid w:val="006B5C0E"/>
    <w:rsid w:val="006B5C52"/>
    <w:rsid w:val="006B5C56"/>
    <w:rsid w:val="006B5ED9"/>
    <w:rsid w:val="006B5F25"/>
    <w:rsid w:val="006B5F49"/>
    <w:rsid w:val="006B6123"/>
    <w:rsid w:val="006B6143"/>
    <w:rsid w:val="006B62F4"/>
    <w:rsid w:val="006B675D"/>
    <w:rsid w:val="006B67F9"/>
    <w:rsid w:val="006B6872"/>
    <w:rsid w:val="006B6894"/>
    <w:rsid w:val="006B695E"/>
    <w:rsid w:val="006B699C"/>
    <w:rsid w:val="006B6A4A"/>
    <w:rsid w:val="006B6C6C"/>
    <w:rsid w:val="006B6C96"/>
    <w:rsid w:val="006B6CDC"/>
    <w:rsid w:val="006B6D3E"/>
    <w:rsid w:val="006B6E38"/>
    <w:rsid w:val="006B6FA9"/>
    <w:rsid w:val="006B6FFD"/>
    <w:rsid w:val="006B700B"/>
    <w:rsid w:val="006B7054"/>
    <w:rsid w:val="006B713F"/>
    <w:rsid w:val="006B7196"/>
    <w:rsid w:val="006B71E6"/>
    <w:rsid w:val="006B720C"/>
    <w:rsid w:val="006B72A6"/>
    <w:rsid w:val="006B7303"/>
    <w:rsid w:val="006B733F"/>
    <w:rsid w:val="006B741C"/>
    <w:rsid w:val="006B7499"/>
    <w:rsid w:val="006B74DA"/>
    <w:rsid w:val="006B74FC"/>
    <w:rsid w:val="006B75BD"/>
    <w:rsid w:val="006B7687"/>
    <w:rsid w:val="006B7953"/>
    <w:rsid w:val="006B7BBB"/>
    <w:rsid w:val="006B7C20"/>
    <w:rsid w:val="006B7C37"/>
    <w:rsid w:val="006B7F6B"/>
    <w:rsid w:val="006B7F7E"/>
    <w:rsid w:val="006C0060"/>
    <w:rsid w:val="006C0157"/>
    <w:rsid w:val="006C023A"/>
    <w:rsid w:val="006C0391"/>
    <w:rsid w:val="006C048B"/>
    <w:rsid w:val="006C04BB"/>
    <w:rsid w:val="006C05CC"/>
    <w:rsid w:val="006C05DF"/>
    <w:rsid w:val="006C05EB"/>
    <w:rsid w:val="006C06A7"/>
    <w:rsid w:val="006C081F"/>
    <w:rsid w:val="006C0861"/>
    <w:rsid w:val="006C08A3"/>
    <w:rsid w:val="006C08F8"/>
    <w:rsid w:val="006C0A08"/>
    <w:rsid w:val="006C0A15"/>
    <w:rsid w:val="006C0A30"/>
    <w:rsid w:val="006C0A8B"/>
    <w:rsid w:val="006C0B63"/>
    <w:rsid w:val="006C0BB1"/>
    <w:rsid w:val="006C0C0B"/>
    <w:rsid w:val="006C0CE9"/>
    <w:rsid w:val="006C0EF2"/>
    <w:rsid w:val="006C0F52"/>
    <w:rsid w:val="006C102C"/>
    <w:rsid w:val="006C1063"/>
    <w:rsid w:val="006C110D"/>
    <w:rsid w:val="006C115C"/>
    <w:rsid w:val="006C139B"/>
    <w:rsid w:val="006C14D4"/>
    <w:rsid w:val="006C14F9"/>
    <w:rsid w:val="006C1649"/>
    <w:rsid w:val="006C16A4"/>
    <w:rsid w:val="006C1732"/>
    <w:rsid w:val="006C1775"/>
    <w:rsid w:val="006C1851"/>
    <w:rsid w:val="006C186D"/>
    <w:rsid w:val="006C1AB9"/>
    <w:rsid w:val="006C1B32"/>
    <w:rsid w:val="006C2027"/>
    <w:rsid w:val="006C2202"/>
    <w:rsid w:val="006C223F"/>
    <w:rsid w:val="006C2425"/>
    <w:rsid w:val="006C24B0"/>
    <w:rsid w:val="006C24FD"/>
    <w:rsid w:val="006C254D"/>
    <w:rsid w:val="006C25D5"/>
    <w:rsid w:val="006C26D1"/>
    <w:rsid w:val="006C2746"/>
    <w:rsid w:val="006C2857"/>
    <w:rsid w:val="006C296B"/>
    <w:rsid w:val="006C29A5"/>
    <w:rsid w:val="006C29BE"/>
    <w:rsid w:val="006C2A10"/>
    <w:rsid w:val="006C2A6F"/>
    <w:rsid w:val="006C2B3E"/>
    <w:rsid w:val="006C2B77"/>
    <w:rsid w:val="006C2CC9"/>
    <w:rsid w:val="006C2D5E"/>
    <w:rsid w:val="006C2E19"/>
    <w:rsid w:val="006C2F35"/>
    <w:rsid w:val="006C30AB"/>
    <w:rsid w:val="006C31B8"/>
    <w:rsid w:val="006C3334"/>
    <w:rsid w:val="006C3358"/>
    <w:rsid w:val="006C37CA"/>
    <w:rsid w:val="006C3837"/>
    <w:rsid w:val="006C387A"/>
    <w:rsid w:val="006C391B"/>
    <w:rsid w:val="006C3947"/>
    <w:rsid w:val="006C39AA"/>
    <w:rsid w:val="006C3C1D"/>
    <w:rsid w:val="006C3C22"/>
    <w:rsid w:val="006C3CB1"/>
    <w:rsid w:val="006C4147"/>
    <w:rsid w:val="006C4276"/>
    <w:rsid w:val="006C42F9"/>
    <w:rsid w:val="006C4329"/>
    <w:rsid w:val="006C43DD"/>
    <w:rsid w:val="006C446A"/>
    <w:rsid w:val="006C44E2"/>
    <w:rsid w:val="006C44F1"/>
    <w:rsid w:val="006C45C6"/>
    <w:rsid w:val="006C45C7"/>
    <w:rsid w:val="006C469B"/>
    <w:rsid w:val="006C46FB"/>
    <w:rsid w:val="006C471D"/>
    <w:rsid w:val="006C47A7"/>
    <w:rsid w:val="006C4809"/>
    <w:rsid w:val="006C491D"/>
    <w:rsid w:val="006C4923"/>
    <w:rsid w:val="006C499A"/>
    <w:rsid w:val="006C49C7"/>
    <w:rsid w:val="006C49D1"/>
    <w:rsid w:val="006C4C52"/>
    <w:rsid w:val="006C4C8E"/>
    <w:rsid w:val="006C4DA4"/>
    <w:rsid w:val="006C4E17"/>
    <w:rsid w:val="006C4ED3"/>
    <w:rsid w:val="006C4F13"/>
    <w:rsid w:val="006C5160"/>
    <w:rsid w:val="006C51FA"/>
    <w:rsid w:val="006C5335"/>
    <w:rsid w:val="006C53D6"/>
    <w:rsid w:val="006C54A3"/>
    <w:rsid w:val="006C5598"/>
    <w:rsid w:val="006C5713"/>
    <w:rsid w:val="006C576B"/>
    <w:rsid w:val="006C5826"/>
    <w:rsid w:val="006C585C"/>
    <w:rsid w:val="006C5948"/>
    <w:rsid w:val="006C5A6E"/>
    <w:rsid w:val="006C5ACF"/>
    <w:rsid w:val="006C5CCD"/>
    <w:rsid w:val="006C5D1F"/>
    <w:rsid w:val="006C5E8E"/>
    <w:rsid w:val="006C5F6C"/>
    <w:rsid w:val="006C5FCD"/>
    <w:rsid w:val="006C601E"/>
    <w:rsid w:val="006C605E"/>
    <w:rsid w:val="006C60FA"/>
    <w:rsid w:val="006C62A9"/>
    <w:rsid w:val="006C634B"/>
    <w:rsid w:val="006C6488"/>
    <w:rsid w:val="006C64E5"/>
    <w:rsid w:val="006C6532"/>
    <w:rsid w:val="006C660D"/>
    <w:rsid w:val="006C6791"/>
    <w:rsid w:val="006C6ACC"/>
    <w:rsid w:val="006C6BD6"/>
    <w:rsid w:val="006C6BFB"/>
    <w:rsid w:val="006C6D91"/>
    <w:rsid w:val="006C7051"/>
    <w:rsid w:val="006C7067"/>
    <w:rsid w:val="006C7131"/>
    <w:rsid w:val="006C7176"/>
    <w:rsid w:val="006C7266"/>
    <w:rsid w:val="006C7388"/>
    <w:rsid w:val="006C73B0"/>
    <w:rsid w:val="006C73CA"/>
    <w:rsid w:val="006C7507"/>
    <w:rsid w:val="006C7518"/>
    <w:rsid w:val="006C7620"/>
    <w:rsid w:val="006C7681"/>
    <w:rsid w:val="006C772B"/>
    <w:rsid w:val="006C79CC"/>
    <w:rsid w:val="006C7A8E"/>
    <w:rsid w:val="006C7AF5"/>
    <w:rsid w:val="006C7B09"/>
    <w:rsid w:val="006C7B10"/>
    <w:rsid w:val="006C7B95"/>
    <w:rsid w:val="006C7C3A"/>
    <w:rsid w:val="006C7C5A"/>
    <w:rsid w:val="006C7C6C"/>
    <w:rsid w:val="006C7D11"/>
    <w:rsid w:val="006C7D31"/>
    <w:rsid w:val="006C7D8E"/>
    <w:rsid w:val="006C7ECA"/>
    <w:rsid w:val="006D01F5"/>
    <w:rsid w:val="006D02A0"/>
    <w:rsid w:val="006D02CC"/>
    <w:rsid w:val="006D0511"/>
    <w:rsid w:val="006D0568"/>
    <w:rsid w:val="006D0649"/>
    <w:rsid w:val="006D0751"/>
    <w:rsid w:val="006D0942"/>
    <w:rsid w:val="006D09B6"/>
    <w:rsid w:val="006D09BF"/>
    <w:rsid w:val="006D0B25"/>
    <w:rsid w:val="006D0BAD"/>
    <w:rsid w:val="006D0C43"/>
    <w:rsid w:val="006D0C56"/>
    <w:rsid w:val="006D0D1C"/>
    <w:rsid w:val="006D0FE3"/>
    <w:rsid w:val="006D0FF7"/>
    <w:rsid w:val="006D1065"/>
    <w:rsid w:val="006D119E"/>
    <w:rsid w:val="006D1381"/>
    <w:rsid w:val="006D1387"/>
    <w:rsid w:val="006D13ED"/>
    <w:rsid w:val="006D1494"/>
    <w:rsid w:val="006D153E"/>
    <w:rsid w:val="006D15CF"/>
    <w:rsid w:val="006D15FD"/>
    <w:rsid w:val="006D1689"/>
    <w:rsid w:val="006D19BC"/>
    <w:rsid w:val="006D1A66"/>
    <w:rsid w:val="006D1AB7"/>
    <w:rsid w:val="006D1B91"/>
    <w:rsid w:val="006D1BB5"/>
    <w:rsid w:val="006D1BB8"/>
    <w:rsid w:val="006D1BE6"/>
    <w:rsid w:val="006D1D6C"/>
    <w:rsid w:val="006D1DD9"/>
    <w:rsid w:val="006D1E3A"/>
    <w:rsid w:val="006D1E7E"/>
    <w:rsid w:val="006D1F4A"/>
    <w:rsid w:val="006D1F65"/>
    <w:rsid w:val="006D1FB4"/>
    <w:rsid w:val="006D20E9"/>
    <w:rsid w:val="006D212A"/>
    <w:rsid w:val="006D215D"/>
    <w:rsid w:val="006D227F"/>
    <w:rsid w:val="006D23FB"/>
    <w:rsid w:val="006D2449"/>
    <w:rsid w:val="006D245B"/>
    <w:rsid w:val="006D24CA"/>
    <w:rsid w:val="006D252A"/>
    <w:rsid w:val="006D25E9"/>
    <w:rsid w:val="006D26EA"/>
    <w:rsid w:val="006D26EC"/>
    <w:rsid w:val="006D27E3"/>
    <w:rsid w:val="006D298C"/>
    <w:rsid w:val="006D2A97"/>
    <w:rsid w:val="006D2AF7"/>
    <w:rsid w:val="006D2BE6"/>
    <w:rsid w:val="006D2C55"/>
    <w:rsid w:val="006D2C6A"/>
    <w:rsid w:val="006D2C8D"/>
    <w:rsid w:val="006D2D27"/>
    <w:rsid w:val="006D2D44"/>
    <w:rsid w:val="006D2DCD"/>
    <w:rsid w:val="006D2E41"/>
    <w:rsid w:val="006D3036"/>
    <w:rsid w:val="006D316F"/>
    <w:rsid w:val="006D3181"/>
    <w:rsid w:val="006D3202"/>
    <w:rsid w:val="006D3254"/>
    <w:rsid w:val="006D3271"/>
    <w:rsid w:val="006D3302"/>
    <w:rsid w:val="006D3392"/>
    <w:rsid w:val="006D3440"/>
    <w:rsid w:val="006D34EA"/>
    <w:rsid w:val="006D3676"/>
    <w:rsid w:val="006D36E0"/>
    <w:rsid w:val="006D36EA"/>
    <w:rsid w:val="006D36EC"/>
    <w:rsid w:val="006D374C"/>
    <w:rsid w:val="006D3919"/>
    <w:rsid w:val="006D3C18"/>
    <w:rsid w:val="006D3C26"/>
    <w:rsid w:val="006D3C64"/>
    <w:rsid w:val="006D3EDA"/>
    <w:rsid w:val="006D3F48"/>
    <w:rsid w:val="006D3FB7"/>
    <w:rsid w:val="006D4161"/>
    <w:rsid w:val="006D4255"/>
    <w:rsid w:val="006D4355"/>
    <w:rsid w:val="006D44F0"/>
    <w:rsid w:val="006D4558"/>
    <w:rsid w:val="006D4658"/>
    <w:rsid w:val="006D466F"/>
    <w:rsid w:val="006D4686"/>
    <w:rsid w:val="006D4699"/>
    <w:rsid w:val="006D46F0"/>
    <w:rsid w:val="006D46FC"/>
    <w:rsid w:val="006D4764"/>
    <w:rsid w:val="006D4911"/>
    <w:rsid w:val="006D4948"/>
    <w:rsid w:val="006D4975"/>
    <w:rsid w:val="006D4B18"/>
    <w:rsid w:val="006D4B6F"/>
    <w:rsid w:val="006D4B93"/>
    <w:rsid w:val="006D4BA9"/>
    <w:rsid w:val="006D4BE8"/>
    <w:rsid w:val="006D4BEE"/>
    <w:rsid w:val="006D4C7A"/>
    <w:rsid w:val="006D4D50"/>
    <w:rsid w:val="006D4DFA"/>
    <w:rsid w:val="006D4F6D"/>
    <w:rsid w:val="006D5002"/>
    <w:rsid w:val="006D5025"/>
    <w:rsid w:val="006D5059"/>
    <w:rsid w:val="006D50CD"/>
    <w:rsid w:val="006D5198"/>
    <w:rsid w:val="006D53A1"/>
    <w:rsid w:val="006D53B9"/>
    <w:rsid w:val="006D546F"/>
    <w:rsid w:val="006D55A4"/>
    <w:rsid w:val="006D5706"/>
    <w:rsid w:val="006D57C3"/>
    <w:rsid w:val="006D57C4"/>
    <w:rsid w:val="006D57DF"/>
    <w:rsid w:val="006D5891"/>
    <w:rsid w:val="006D589B"/>
    <w:rsid w:val="006D58A6"/>
    <w:rsid w:val="006D5A63"/>
    <w:rsid w:val="006D5ABC"/>
    <w:rsid w:val="006D5AEB"/>
    <w:rsid w:val="006D5BC7"/>
    <w:rsid w:val="006D5BE5"/>
    <w:rsid w:val="006D5C19"/>
    <w:rsid w:val="006D5C4F"/>
    <w:rsid w:val="006D5C52"/>
    <w:rsid w:val="006D5C96"/>
    <w:rsid w:val="006D5E3B"/>
    <w:rsid w:val="006D5E82"/>
    <w:rsid w:val="006D5E9F"/>
    <w:rsid w:val="006D5EF5"/>
    <w:rsid w:val="006D5F96"/>
    <w:rsid w:val="006D61B5"/>
    <w:rsid w:val="006D63EF"/>
    <w:rsid w:val="006D6433"/>
    <w:rsid w:val="006D6516"/>
    <w:rsid w:val="006D6525"/>
    <w:rsid w:val="006D65CD"/>
    <w:rsid w:val="006D663B"/>
    <w:rsid w:val="006D666E"/>
    <w:rsid w:val="006D679C"/>
    <w:rsid w:val="006D68AE"/>
    <w:rsid w:val="006D6912"/>
    <w:rsid w:val="006D6923"/>
    <w:rsid w:val="006D693B"/>
    <w:rsid w:val="006D6B35"/>
    <w:rsid w:val="006D6BA3"/>
    <w:rsid w:val="006D6BDE"/>
    <w:rsid w:val="006D6EA5"/>
    <w:rsid w:val="006D6F24"/>
    <w:rsid w:val="006D704E"/>
    <w:rsid w:val="006D7058"/>
    <w:rsid w:val="006D7115"/>
    <w:rsid w:val="006D724A"/>
    <w:rsid w:val="006D7328"/>
    <w:rsid w:val="006D74F2"/>
    <w:rsid w:val="006D75B7"/>
    <w:rsid w:val="006D76C1"/>
    <w:rsid w:val="006D7791"/>
    <w:rsid w:val="006D77C0"/>
    <w:rsid w:val="006D7851"/>
    <w:rsid w:val="006D797A"/>
    <w:rsid w:val="006D7ACD"/>
    <w:rsid w:val="006D7CE5"/>
    <w:rsid w:val="006D7CF1"/>
    <w:rsid w:val="006D7E11"/>
    <w:rsid w:val="006D7F54"/>
    <w:rsid w:val="006D7F7E"/>
    <w:rsid w:val="006E0092"/>
    <w:rsid w:val="006E00BE"/>
    <w:rsid w:val="006E0155"/>
    <w:rsid w:val="006E0247"/>
    <w:rsid w:val="006E02FE"/>
    <w:rsid w:val="006E03C3"/>
    <w:rsid w:val="006E0413"/>
    <w:rsid w:val="006E0474"/>
    <w:rsid w:val="006E04D7"/>
    <w:rsid w:val="006E0544"/>
    <w:rsid w:val="006E05BB"/>
    <w:rsid w:val="006E05F7"/>
    <w:rsid w:val="006E065C"/>
    <w:rsid w:val="006E066F"/>
    <w:rsid w:val="006E07BB"/>
    <w:rsid w:val="006E092B"/>
    <w:rsid w:val="006E0A02"/>
    <w:rsid w:val="006E0B94"/>
    <w:rsid w:val="006E0BDB"/>
    <w:rsid w:val="006E0C17"/>
    <w:rsid w:val="006E0C43"/>
    <w:rsid w:val="006E0C7B"/>
    <w:rsid w:val="006E0E6A"/>
    <w:rsid w:val="006E0E89"/>
    <w:rsid w:val="006E0F73"/>
    <w:rsid w:val="006E0F93"/>
    <w:rsid w:val="006E100E"/>
    <w:rsid w:val="006E1017"/>
    <w:rsid w:val="006E101A"/>
    <w:rsid w:val="006E10B2"/>
    <w:rsid w:val="006E10D5"/>
    <w:rsid w:val="006E1122"/>
    <w:rsid w:val="006E114E"/>
    <w:rsid w:val="006E1174"/>
    <w:rsid w:val="006E120F"/>
    <w:rsid w:val="006E1214"/>
    <w:rsid w:val="006E1247"/>
    <w:rsid w:val="006E1254"/>
    <w:rsid w:val="006E12F6"/>
    <w:rsid w:val="006E13D4"/>
    <w:rsid w:val="006E1461"/>
    <w:rsid w:val="006E14A6"/>
    <w:rsid w:val="006E170F"/>
    <w:rsid w:val="006E174E"/>
    <w:rsid w:val="006E189E"/>
    <w:rsid w:val="006E1A7C"/>
    <w:rsid w:val="006E1B60"/>
    <w:rsid w:val="006E1B71"/>
    <w:rsid w:val="006E1BE9"/>
    <w:rsid w:val="006E1DDB"/>
    <w:rsid w:val="006E1EFF"/>
    <w:rsid w:val="006E1FB9"/>
    <w:rsid w:val="006E2135"/>
    <w:rsid w:val="006E215E"/>
    <w:rsid w:val="006E21A9"/>
    <w:rsid w:val="006E21C9"/>
    <w:rsid w:val="006E2335"/>
    <w:rsid w:val="006E2462"/>
    <w:rsid w:val="006E249F"/>
    <w:rsid w:val="006E2594"/>
    <w:rsid w:val="006E269D"/>
    <w:rsid w:val="006E270A"/>
    <w:rsid w:val="006E2776"/>
    <w:rsid w:val="006E2792"/>
    <w:rsid w:val="006E281C"/>
    <w:rsid w:val="006E2844"/>
    <w:rsid w:val="006E2889"/>
    <w:rsid w:val="006E28D6"/>
    <w:rsid w:val="006E28F1"/>
    <w:rsid w:val="006E2A76"/>
    <w:rsid w:val="006E2AB4"/>
    <w:rsid w:val="006E2B4D"/>
    <w:rsid w:val="006E2C41"/>
    <w:rsid w:val="006E2CAB"/>
    <w:rsid w:val="006E2CC9"/>
    <w:rsid w:val="006E2D2D"/>
    <w:rsid w:val="006E2D56"/>
    <w:rsid w:val="006E2D5B"/>
    <w:rsid w:val="006E2DD9"/>
    <w:rsid w:val="006E2DFC"/>
    <w:rsid w:val="006E2E02"/>
    <w:rsid w:val="006E2E3F"/>
    <w:rsid w:val="006E2E42"/>
    <w:rsid w:val="006E2F61"/>
    <w:rsid w:val="006E2F98"/>
    <w:rsid w:val="006E3059"/>
    <w:rsid w:val="006E316D"/>
    <w:rsid w:val="006E325B"/>
    <w:rsid w:val="006E32AB"/>
    <w:rsid w:val="006E3385"/>
    <w:rsid w:val="006E33AB"/>
    <w:rsid w:val="006E33E0"/>
    <w:rsid w:val="006E3474"/>
    <w:rsid w:val="006E3487"/>
    <w:rsid w:val="006E350C"/>
    <w:rsid w:val="006E3537"/>
    <w:rsid w:val="006E3557"/>
    <w:rsid w:val="006E3583"/>
    <w:rsid w:val="006E35E1"/>
    <w:rsid w:val="006E367D"/>
    <w:rsid w:val="006E3879"/>
    <w:rsid w:val="006E387D"/>
    <w:rsid w:val="006E395D"/>
    <w:rsid w:val="006E3A7D"/>
    <w:rsid w:val="006E3ACD"/>
    <w:rsid w:val="006E3C14"/>
    <w:rsid w:val="006E3CAE"/>
    <w:rsid w:val="006E3E98"/>
    <w:rsid w:val="006E3F71"/>
    <w:rsid w:val="006E3FE0"/>
    <w:rsid w:val="006E4295"/>
    <w:rsid w:val="006E4360"/>
    <w:rsid w:val="006E439D"/>
    <w:rsid w:val="006E458D"/>
    <w:rsid w:val="006E45B6"/>
    <w:rsid w:val="006E47A8"/>
    <w:rsid w:val="006E4801"/>
    <w:rsid w:val="006E498A"/>
    <w:rsid w:val="006E4AC3"/>
    <w:rsid w:val="006E4B4A"/>
    <w:rsid w:val="006E4D3B"/>
    <w:rsid w:val="006E4DEB"/>
    <w:rsid w:val="006E4E07"/>
    <w:rsid w:val="006E4F7B"/>
    <w:rsid w:val="006E5027"/>
    <w:rsid w:val="006E5036"/>
    <w:rsid w:val="006E50BF"/>
    <w:rsid w:val="006E50C5"/>
    <w:rsid w:val="006E5137"/>
    <w:rsid w:val="006E5385"/>
    <w:rsid w:val="006E5433"/>
    <w:rsid w:val="006E54AA"/>
    <w:rsid w:val="006E54D6"/>
    <w:rsid w:val="006E54E6"/>
    <w:rsid w:val="006E55DB"/>
    <w:rsid w:val="006E5722"/>
    <w:rsid w:val="006E5723"/>
    <w:rsid w:val="006E572D"/>
    <w:rsid w:val="006E579A"/>
    <w:rsid w:val="006E580B"/>
    <w:rsid w:val="006E58C7"/>
    <w:rsid w:val="006E5B43"/>
    <w:rsid w:val="006E5BBC"/>
    <w:rsid w:val="006E5CEB"/>
    <w:rsid w:val="006E5E3D"/>
    <w:rsid w:val="006E5F83"/>
    <w:rsid w:val="006E5FDB"/>
    <w:rsid w:val="006E607B"/>
    <w:rsid w:val="006E61ED"/>
    <w:rsid w:val="006E6243"/>
    <w:rsid w:val="006E626A"/>
    <w:rsid w:val="006E62F6"/>
    <w:rsid w:val="006E640A"/>
    <w:rsid w:val="006E6488"/>
    <w:rsid w:val="006E64CD"/>
    <w:rsid w:val="006E6520"/>
    <w:rsid w:val="006E652E"/>
    <w:rsid w:val="006E6587"/>
    <w:rsid w:val="006E6617"/>
    <w:rsid w:val="006E6664"/>
    <w:rsid w:val="006E6666"/>
    <w:rsid w:val="006E66C1"/>
    <w:rsid w:val="006E66DE"/>
    <w:rsid w:val="006E67DD"/>
    <w:rsid w:val="006E6875"/>
    <w:rsid w:val="006E6A5F"/>
    <w:rsid w:val="006E6A6C"/>
    <w:rsid w:val="006E6AE2"/>
    <w:rsid w:val="006E6B45"/>
    <w:rsid w:val="006E6DE4"/>
    <w:rsid w:val="006E6E2C"/>
    <w:rsid w:val="006E6EFF"/>
    <w:rsid w:val="006E6F56"/>
    <w:rsid w:val="006E707D"/>
    <w:rsid w:val="006E70C0"/>
    <w:rsid w:val="006E70E7"/>
    <w:rsid w:val="006E7158"/>
    <w:rsid w:val="006E72E0"/>
    <w:rsid w:val="006E73FA"/>
    <w:rsid w:val="006E746B"/>
    <w:rsid w:val="006E74EB"/>
    <w:rsid w:val="006E751C"/>
    <w:rsid w:val="006E757E"/>
    <w:rsid w:val="006E75F9"/>
    <w:rsid w:val="006E7907"/>
    <w:rsid w:val="006E7960"/>
    <w:rsid w:val="006E79BD"/>
    <w:rsid w:val="006E7A91"/>
    <w:rsid w:val="006E7AA1"/>
    <w:rsid w:val="006E7AED"/>
    <w:rsid w:val="006E7AF2"/>
    <w:rsid w:val="006E7BD6"/>
    <w:rsid w:val="006E7C68"/>
    <w:rsid w:val="006E7CC8"/>
    <w:rsid w:val="006E7D2B"/>
    <w:rsid w:val="006E7D2F"/>
    <w:rsid w:val="006E7EA5"/>
    <w:rsid w:val="006E7F1E"/>
    <w:rsid w:val="006E7FD2"/>
    <w:rsid w:val="006E7FF3"/>
    <w:rsid w:val="006F0045"/>
    <w:rsid w:val="006F0131"/>
    <w:rsid w:val="006F0145"/>
    <w:rsid w:val="006F024B"/>
    <w:rsid w:val="006F0464"/>
    <w:rsid w:val="006F048B"/>
    <w:rsid w:val="006F0500"/>
    <w:rsid w:val="006F0634"/>
    <w:rsid w:val="006F075D"/>
    <w:rsid w:val="006F08F1"/>
    <w:rsid w:val="006F0916"/>
    <w:rsid w:val="006F0C45"/>
    <w:rsid w:val="006F0E8C"/>
    <w:rsid w:val="006F116D"/>
    <w:rsid w:val="006F1184"/>
    <w:rsid w:val="006F12FA"/>
    <w:rsid w:val="006F1342"/>
    <w:rsid w:val="006F161A"/>
    <w:rsid w:val="006F1692"/>
    <w:rsid w:val="006F1780"/>
    <w:rsid w:val="006F18C9"/>
    <w:rsid w:val="006F1969"/>
    <w:rsid w:val="006F19B6"/>
    <w:rsid w:val="006F19F5"/>
    <w:rsid w:val="006F1AD2"/>
    <w:rsid w:val="006F1BB6"/>
    <w:rsid w:val="006F1C17"/>
    <w:rsid w:val="006F1CB9"/>
    <w:rsid w:val="006F1D7A"/>
    <w:rsid w:val="006F1E3F"/>
    <w:rsid w:val="006F1F8B"/>
    <w:rsid w:val="006F1FCF"/>
    <w:rsid w:val="006F2066"/>
    <w:rsid w:val="006F20A7"/>
    <w:rsid w:val="006F20FE"/>
    <w:rsid w:val="006F2185"/>
    <w:rsid w:val="006F21B8"/>
    <w:rsid w:val="006F232A"/>
    <w:rsid w:val="006F2337"/>
    <w:rsid w:val="006F24BE"/>
    <w:rsid w:val="006F2502"/>
    <w:rsid w:val="006F2562"/>
    <w:rsid w:val="006F2563"/>
    <w:rsid w:val="006F2593"/>
    <w:rsid w:val="006F25B3"/>
    <w:rsid w:val="006F2688"/>
    <w:rsid w:val="006F275C"/>
    <w:rsid w:val="006F28A0"/>
    <w:rsid w:val="006F28E5"/>
    <w:rsid w:val="006F2A7D"/>
    <w:rsid w:val="006F2AA1"/>
    <w:rsid w:val="006F2AF7"/>
    <w:rsid w:val="006F2B23"/>
    <w:rsid w:val="006F2B8A"/>
    <w:rsid w:val="006F2BBB"/>
    <w:rsid w:val="006F2C2E"/>
    <w:rsid w:val="006F2C85"/>
    <w:rsid w:val="006F2CF7"/>
    <w:rsid w:val="006F2DF8"/>
    <w:rsid w:val="006F2E88"/>
    <w:rsid w:val="006F2ECD"/>
    <w:rsid w:val="006F30D8"/>
    <w:rsid w:val="006F3113"/>
    <w:rsid w:val="006F3124"/>
    <w:rsid w:val="006F3184"/>
    <w:rsid w:val="006F32C7"/>
    <w:rsid w:val="006F32D8"/>
    <w:rsid w:val="006F32E0"/>
    <w:rsid w:val="006F32F8"/>
    <w:rsid w:val="006F3301"/>
    <w:rsid w:val="006F3333"/>
    <w:rsid w:val="006F337B"/>
    <w:rsid w:val="006F3380"/>
    <w:rsid w:val="006F33A3"/>
    <w:rsid w:val="006F3504"/>
    <w:rsid w:val="006F350A"/>
    <w:rsid w:val="006F35E0"/>
    <w:rsid w:val="006F3637"/>
    <w:rsid w:val="006F3792"/>
    <w:rsid w:val="006F3820"/>
    <w:rsid w:val="006F39A3"/>
    <w:rsid w:val="006F3A0F"/>
    <w:rsid w:val="006F3A70"/>
    <w:rsid w:val="006F3BB0"/>
    <w:rsid w:val="006F3CA6"/>
    <w:rsid w:val="006F3CD2"/>
    <w:rsid w:val="006F3D42"/>
    <w:rsid w:val="006F41EC"/>
    <w:rsid w:val="006F4258"/>
    <w:rsid w:val="006F42A9"/>
    <w:rsid w:val="006F433F"/>
    <w:rsid w:val="006F435A"/>
    <w:rsid w:val="006F4487"/>
    <w:rsid w:val="006F45F1"/>
    <w:rsid w:val="006F460D"/>
    <w:rsid w:val="006F462C"/>
    <w:rsid w:val="006F466E"/>
    <w:rsid w:val="006F468F"/>
    <w:rsid w:val="006F477C"/>
    <w:rsid w:val="006F4853"/>
    <w:rsid w:val="006F4894"/>
    <w:rsid w:val="006F4B06"/>
    <w:rsid w:val="006F4B19"/>
    <w:rsid w:val="006F4B27"/>
    <w:rsid w:val="006F4C20"/>
    <w:rsid w:val="006F4C9D"/>
    <w:rsid w:val="006F4E3F"/>
    <w:rsid w:val="006F4E62"/>
    <w:rsid w:val="006F511A"/>
    <w:rsid w:val="006F5195"/>
    <w:rsid w:val="006F51DB"/>
    <w:rsid w:val="006F52E1"/>
    <w:rsid w:val="006F5339"/>
    <w:rsid w:val="006F5342"/>
    <w:rsid w:val="006F5363"/>
    <w:rsid w:val="006F53AD"/>
    <w:rsid w:val="006F53BC"/>
    <w:rsid w:val="006F5525"/>
    <w:rsid w:val="006F5579"/>
    <w:rsid w:val="006F5634"/>
    <w:rsid w:val="006F5728"/>
    <w:rsid w:val="006F578F"/>
    <w:rsid w:val="006F57A2"/>
    <w:rsid w:val="006F57D4"/>
    <w:rsid w:val="006F57D7"/>
    <w:rsid w:val="006F582C"/>
    <w:rsid w:val="006F585E"/>
    <w:rsid w:val="006F5894"/>
    <w:rsid w:val="006F598E"/>
    <w:rsid w:val="006F5B12"/>
    <w:rsid w:val="006F5B96"/>
    <w:rsid w:val="006F5D32"/>
    <w:rsid w:val="006F5D3A"/>
    <w:rsid w:val="006F5EBB"/>
    <w:rsid w:val="006F5F5E"/>
    <w:rsid w:val="006F5FCF"/>
    <w:rsid w:val="006F6019"/>
    <w:rsid w:val="006F60AE"/>
    <w:rsid w:val="006F6138"/>
    <w:rsid w:val="006F61C9"/>
    <w:rsid w:val="006F61FB"/>
    <w:rsid w:val="006F6286"/>
    <w:rsid w:val="006F633F"/>
    <w:rsid w:val="006F650E"/>
    <w:rsid w:val="006F6531"/>
    <w:rsid w:val="006F656D"/>
    <w:rsid w:val="006F6595"/>
    <w:rsid w:val="006F66B5"/>
    <w:rsid w:val="006F6757"/>
    <w:rsid w:val="006F6A3B"/>
    <w:rsid w:val="006F6AF4"/>
    <w:rsid w:val="006F6C1E"/>
    <w:rsid w:val="006F6C21"/>
    <w:rsid w:val="006F6C35"/>
    <w:rsid w:val="006F6E17"/>
    <w:rsid w:val="006F710D"/>
    <w:rsid w:val="006F7170"/>
    <w:rsid w:val="006F72A5"/>
    <w:rsid w:val="006F73C1"/>
    <w:rsid w:val="006F7400"/>
    <w:rsid w:val="006F749D"/>
    <w:rsid w:val="006F74F3"/>
    <w:rsid w:val="006F7542"/>
    <w:rsid w:val="006F75DF"/>
    <w:rsid w:val="006F7645"/>
    <w:rsid w:val="006F765E"/>
    <w:rsid w:val="006F768B"/>
    <w:rsid w:val="006F7A15"/>
    <w:rsid w:val="006F7A37"/>
    <w:rsid w:val="006F7ACF"/>
    <w:rsid w:val="006F7B01"/>
    <w:rsid w:val="006F7D0B"/>
    <w:rsid w:val="006F7D19"/>
    <w:rsid w:val="006F7D61"/>
    <w:rsid w:val="006F7F21"/>
    <w:rsid w:val="0070017B"/>
    <w:rsid w:val="007001B0"/>
    <w:rsid w:val="0070025A"/>
    <w:rsid w:val="00700587"/>
    <w:rsid w:val="007005D3"/>
    <w:rsid w:val="0070063D"/>
    <w:rsid w:val="00700777"/>
    <w:rsid w:val="007008C0"/>
    <w:rsid w:val="00700A0C"/>
    <w:rsid w:val="00700AF0"/>
    <w:rsid w:val="00700B02"/>
    <w:rsid w:val="00700B03"/>
    <w:rsid w:val="00700B0D"/>
    <w:rsid w:val="00700B22"/>
    <w:rsid w:val="00700BEF"/>
    <w:rsid w:val="00700CED"/>
    <w:rsid w:val="00700D77"/>
    <w:rsid w:val="00700DDE"/>
    <w:rsid w:val="00700E04"/>
    <w:rsid w:val="0070110A"/>
    <w:rsid w:val="00701314"/>
    <w:rsid w:val="0070152F"/>
    <w:rsid w:val="0070161C"/>
    <w:rsid w:val="007018F8"/>
    <w:rsid w:val="0070190A"/>
    <w:rsid w:val="0070194C"/>
    <w:rsid w:val="007019D5"/>
    <w:rsid w:val="00701A12"/>
    <w:rsid w:val="00701C44"/>
    <w:rsid w:val="00701C7C"/>
    <w:rsid w:val="00701D5E"/>
    <w:rsid w:val="00701F90"/>
    <w:rsid w:val="00701FD9"/>
    <w:rsid w:val="00702031"/>
    <w:rsid w:val="0070206F"/>
    <w:rsid w:val="00702147"/>
    <w:rsid w:val="0070219B"/>
    <w:rsid w:val="0070219E"/>
    <w:rsid w:val="00702261"/>
    <w:rsid w:val="007022EA"/>
    <w:rsid w:val="0070236B"/>
    <w:rsid w:val="0070241D"/>
    <w:rsid w:val="007024B7"/>
    <w:rsid w:val="007024F9"/>
    <w:rsid w:val="0070264F"/>
    <w:rsid w:val="007026DE"/>
    <w:rsid w:val="00702AA1"/>
    <w:rsid w:val="00702B11"/>
    <w:rsid w:val="00702D11"/>
    <w:rsid w:val="00702E3B"/>
    <w:rsid w:val="00702E59"/>
    <w:rsid w:val="0070308F"/>
    <w:rsid w:val="00703141"/>
    <w:rsid w:val="0070315F"/>
    <w:rsid w:val="007032B8"/>
    <w:rsid w:val="007035F9"/>
    <w:rsid w:val="00703644"/>
    <w:rsid w:val="007037A2"/>
    <w:rsid w:val="007037A5"/>
    <w:rsid w:val="00703841"/>
    <w:rsid w:val="007038B1"/>
    <w:rsid w:val="007038C8"/>
    <w:rsid w:val="00703901"/>
    <w:rsid w:val="00703936"/>
    <w:rsid w:val="00703947"/>
    <w:rsid w:val="00703988"/>
    <w:rsid w:val="00703A3C"/>
    <w:rsid w:val="00703A41"/>
    <w:rsid w:val="00703A93"/>
    <w:rsid w:val="00703AF4"/>
    <w:rsid w:val="00703B85"/>
    <w:rsid w:val="00703B9A"/>
    <w:rsid w:val="00703BA0"/>
    <w:rsid w:val="00703BE3"/>
    <w:rsid w:val="00703CEE"/>
    <w:rsid w:val="00703CFC"/>
    <w:rsid w:val="00703D0D"/>
    <w:rsid w:val="00703D15"/>
    <w:rsid w:val="00703E85"/>
    <w:rsid w:val="00704052"/>
    <w:rsid w:val="00704072"/>
    <w:rsid w:val="007040E0"/>
    <w:rsid w:val="007042ED"/>
    <w:rsid w:val="007042F2"/>
    <w:rsid w:val="007044A3"/>
    <w:rsid w:val="007045B0"/>
    <w:rsid w:val="00704629"/>
    <w:rsid w:val="0070466D"/>
    <w:rsid w:val="007046D0"/>
    <w:rsid w:val="0070499D"/>
    <w:rsid w:val="00704AD6"/>
    <w:rsid w:val="00704C7A"/>
    <w:rsid w:val="00704CA5"/>
    <w:rsid w:val="00704CE4"/>
    <w:rsid w:val="00704E72"/>
    <w:rsid w:val="00704E8F"/>
    <w:rsid w:val="00704F43"/>
    <w:rsid w:val="0070503C"/>
    <w:rsid w:val="007051C6"/>
    <w:rsid w:val="007052D8"/>
    <w:rsid w:val="007052FB"/>
    <w:rsid w:val="00705515"/>
    <w:rsid w:val="00705692"/>
    <w:rsid w:val="00705733"/>
    <w:rsid w:val="00705752"/>
    <w:rsid w:val="0070577A"/>
    <w:rsid w:val="00705894"/>
    <w:rsid w:val="007058C5"/>
    <w:rsid w:val="00705C53"/>
    <w:rsid w:val="00705D68"/>
    <w:rsid w:val="00705DA5"/>
    <w:rsid w:val="00705EC0"/>
    <w:rsid w:val="00705F60"/>
    <w:rsid w:val="007060CC"/>
    <w:rsid w:val="007060D2"/>
    <w:rsid w:val="00706181"/>
    <w:rsid w:val="00706182"/>
    <w:rsid w:val="0070619A"/>
    <w:rsid w:val="00706282"/>
    <w:rsid w:val="00706334"/>
    <w:rsid w:val="0070636E"/>
    <w:rsid w:val="00706474"/>
    <w:rsid w:val="007064A1"/>
    <w:rsid w:val="00706536"/>
    <w:rsid w:val="007065EB"/>
    <w:rsid w:val="0070669F"/>
    <w:rsid w:val="00706848"/>
    <w:rsid w:val="007068E5"/>
    <w:rsid w:val="00706932"/>
    <w:rsid w:val="00706A69"/>
    <w:rsid w:val="00706B31"/>
    <w:rsid w:val="00706D6D"/>
    <w:rsid w:val="00706DCE"/>
    <w:rsid w:val="00706DE7"/>
    <w:rsid w:val="00706E2B"/>
    <w:rsid w:val="00706E67"/>
    <w:rsid w:val="00706F83"/>
    <w:rsid w:val="0070720F"/>
    <w:rsid w:val="007073DE"/>
    <w:rsid w:val="00707500"/>
    <w:rsid w:val="007075C4"/>
    <w:rsid w:val="00707610"/>
    <w:rsid w:val="00707621"/>
    <w:rsid w:val="007078BD"/>
    <w:rsid w:val="0070793A"/>
    <w:rsid w:val="00707969"/>
    <w:rsid w:val="00707AAC"/>
    <w:rsid w:val="00707B83"/>
    <w:rsid w:val="00707BD5"/>
    <w:rsid w:val="00707C38"/>
    <w:rsid w:val="00707CB4"/>
    <w:rsid w:val="00707D25"/>
    <w:rsid w:val="00707D4A"/>
    <w:rsid w:val="00707E86"/>
    <w:rsid w:val="00710029"/>
    <w:rsid w:val="00710037"/>
    <w:rsid w:val="00710158"/>
    <w:rsid w:val="007101C7"/>
    <w:rsid w:val="00710206"/>
    <w:rsid w:val="00710208"/>
    <w:rsid w:val="0071024A"/>
    <w:rsid w:val="0071037D"/>
    <w:rsid w:val="007104B6"/>
    <w:rsid w:val="0071053E"/>
    <w:rsid w:val="007106B6"/>
    <w:rsid w:val="007106C9"/>
    <w:rsid w:val="00710716"/>
    <w:rsid w:val="007107F1"/>
    <w:rsid w:val="00710848"/>
    <w:rsid w:val="00710857"/>
    <w:rsid w:val="00710989"/>
    <w:rsid w:val="007109E6"/>
    <w:rsid w:val="00710B9D"/>
    <w:rsid w:val="00710BA2"/>
    <w:rsid w:val="00710C47"/>
    <w:rsid w:val="00710C8E"/>
    <w:rsid w:val="00710DB3"/>
    <w:rsid w:val="00710E2B"/>
    <w:rsid w:val="00710F9A"/>
    <w:rsid w:val="00710FA2"/>
    <w:rsid w:val="0071108B"/>
    <w:rsid w:val="007110AD"/>
    <w:rsid w:val="00711329"/>
    <w:rsid w:val="00711443"/>
    <w:rsid w:val="00711799"/>
    <w:rsid w:val="00711838"/>
    <w:rsid w:val="007118D8"/>
    <w:rsid w:val="00711990"/>
    <w:rsid w:val="007119E3"/>
    <w:rsid w:val="00711A03"/>
    <w:rsid w:val="00711DAB"/>
    <w:rsid w:val="00711E9C"/>
    <w:rsid w:val="0071207C"/>
    <w:rsid w:val="007120B3"/>
    <w:rsid w:val="00712259"/>
    <w:rsid w:val="00712290"/>
    <w:rsid w:val="007122A0"/>
    <w:rsid w:val="00712424"/>
    <w:rsid w:val="0071242D"/>
    <w:rsid w:val="007124ED"/>
    <w:rsid w:val="00712530"/>
    <w:rsid w:val="0071255F"/>
    <w:rsid w:val="0071267B"/>
    <w:rsid w:val="007126F8"/>
    <w:rsid w:val="00712729"/>
    <w:rsid w:val="00712777"/>
    <w:rsid w:val="007128F4"/>
    <w:rsid w:val="00712B7C"/>
    <w:rsid w:val="00712D25"/>
    <w:rsid w:val="00712D4D"/>
    <w:rsid w:val="00712E67"/>
    <w:rsid w:val="00712F2E"/>
    <w:rsid w:val="00712FF9"/>
    <w:rsid w:val="007130D0"/>
    <w:rsid w:val="00713123"/>
    <w:rsid w:val="007132BA"/>
    <w:rsid w:val="007132BC"/>
    <w:rsid w:val="00713322"/>
    <w:rsid w:val="0071338E"/>
    <w:rsid w:val="007134C5"/>
    <w:rsid w:val="0071360C"/>
    <w:rsid w:val="0071361F"/>
    <w:rsid w:val="007136C3"/>
    <w:rsid w:val="00713782"/>
    <w:rsid w:val="00713851"/>
    <w:rsid w:val="007138FA"/>
    <w:rsid w:val="00713A09"/>
    <w:rsid w:val="00713A0A"/>
    <w:rsid w:val="00713A1B"/>
    <w:rsid w:val="00713B63"/>
    <w:rsid w:val="00713BFF"/>
    <w:rsid w:val="00713C6D"/>
    <w:rsid w:val="00713D94"/>
    <w:rsid w:val="00713DC9"/>
    <w:rsid w:val="00713F82"/>
    <w:rsid w:val="007140E3"/>
    <w:rsid w:val="007141FC"/>
    <w:rsid w:val="00714266"/>
    <w:rsid w:val="00714309"/>
    <w:rsid w:val="007143BB"/>
    <w:rsid w:val="007143E3"/>
    <w:rsid w:val="007143E6"/>
    <w:rsid w:val="0071444F"/>
    <w:rsid w:val="00714725"/>
    <w:rsid w:val="00714748"/>
    <w:rsid w:val="007147BB"/>
    <w:rsid w:val="00714852"/>
    <w:rsid w:val="00714911"/>
    <w:rsid w:val="00714940"/>
    <w:rsid w:val="00714A09"/>
    <w:rsid w:val="00714A64"/>
    <w:rsid w:val="00714B34"/>
    <w:rsid w:val="00714B9E"/>
    <w:rsid w:val="00714BD1"/>
    <w:rsid w:val="00714BFD"/>
    <w:rsid w:val="00714D40"/>
    <w:rsid w:val="00714D74"/>
    <w:rsid w:val="00714D96"/>
    <w:rsid w:val="00714FC0"/>
    <w:rsid w:val="0071504A"/>
    <w:rsid w:val="0071508C"/>
    <w:rsid w:val="007150D2"/>
    <w:rsid w:val="00715153"/>
    <w:rsid w:val="00715321"/>
    <w:rsid w:val="0071553D"/>
    <w:rsid w:val="007155D0"/>
    <w:rsid w:val="007156B4"/>
    <w:rsid w:val="007156E2"/>
    <w:rsid w:val="007156EA"/>
    <w:rsid w:val="00715850"/>
    <w:rsid w:val="00715908"/>
    <w:rsid w:val="00715954"/>
    <w:rsid w:val="00715C19"/>
    <w:rsid w:val="00715D5E"/>
    <w:rsid w:val="00715D6D"/>
    <w:rsid w:val="00715DC1"/>
    <w:rsid w:val="00715EB0"/>
    <w:rsid w:val="00715ECA"/>
    <w:rsid w:val="00715F1E"/>
    <w:rsid w:val="007161C7"/>
    <w:rsid w:val="00716246"/>
    <w:rsid w:val="0071625B"/>
    <w:rsid w:val="007164B4"/>
    <w:rsid w:val="00716609"/>
    <w:rsid w:val="0071660A"/>
    <w:rsid w:val="007166C4"/>
    <w:rsid w:val="007166DE"/>
    <w:rsid w:val="0071672F"/>
    <w:rsid w:val="00716772"/>
    <w:rsid w:val="007167E0"/>
    <w:rsid w:val="0071683C"/>
    <w:rsid w:val="00716A5A"/>
    <w:rsid w:val="00716B88"/>
    <w:rsid w:val="00716B8D"/>
    <w:rsid w:val="00716C9B"/>
    <w:rsid w:val="00716DCC"/>
    <w:rsid w:val="00716F68"/>
    <w:rsid w:val="00717166"/>
    <w:rsid w:val="00717266"/>
    <w:rsid w:val="0071738D"/>
    <w:rsid w:val="007173CA"/>
    <w:rsid w:val="007173EA"/>
    <w:rsid w:val="0071748D"/>
    <w:rsid w:val="00717631"/>
    <w:rsid w:val="00717712"/>
    <w:rsid w:val="00717758"/>
    <w:rsid w:val="00717771"/>
    <w:rsid w:val="007177D0"/>
    <w:rsid w:val="00717854"/>
    <w:rsid w:val="007179D5"/>
    <w:rsid w:val="007179E6"/>
    <w:rsid w:val="00717A64"/>
    <w:rsid w:val="00717ADD"/>
    <w:rsid w:val="00717AE9"/>
    <w:rsid w:val="00717BFE"/>
    <w:rsid w:val="00717D9F"/>
    <w:rsid w:val="00717FE7"/>
    <w:rsid w:val="0072007C"/>
    <w:rsid w:val="007200AE"/>
    <w:rsid w:val="0072046D"/>
    <w:rsid w:val="007204C1"/>
    <w:rsid w:val="007204E7"/>
    <w:rsid w:val="00720566"/>
    <w:rsid w:val="007205DF"/>
    <w:rsid w:val="00720695"/>
    <w:rsid w:val="0072081C"/>
    <w:rsid w:val="00720877"/>
    <w:rsid w:val="007208CC"/>
    <w:rsid w:val="0072092E"/>
    <w:rsid w:val="00720BE9"/>
    <w:rsid w:val="00720C5F"/>
    <w:rsid w:val="00720C76"/>
    <w:rsid w:val="00720CDA"/>
    <w:rsid w:val="00720F05"/>
    <w:rsid w:val="00720F06"/>
    <w:rsid w:val="00720F3C"/>
    <w:rsid w:val="00720FA7"/>
    <w:rsid w:val="00721111"/>
    <w:rsid w:val="00721165"/>
    <w:rsid w:val="0072118E"/>
    <w:rsid w:val="007211E2"/>
    <w:rsid w:val="0072125D"/>
    <w:rsid w:val="007212B3"/>
    <w:rsid w:val="0072130A"/>
    <w:rsid w:val="0072130B"/>
    <w:rsid w:val="0072130D"/>
    <w:rsid w:val="0072137E"/>
    <w:rsid w:val="007213D2"/>
    <w:rsid w:val="00721452"/>
    <w:rsid w:val="007214B5"/>
    <w:rsid w:val="007215B7"/>
    <w:rsid w:val="007216A7"/>
    <w:rsid w:val="00721712"/>
    <w:rsid w:val="0072171D"/>
    <w:rsid w:val="0072173B"/>
    <w:rsid w:val="00721781"/>
    <w:rsid w:val="00721782"/>
    <w:rsid w:val="0072189C"/>
    <w:rsid w:val="00721D81"/>
    <w:rsid w:val="00721DE1"/>
    <w:rsid w:val="00721E3C"/>
    <w:rsid w:val="00721EE8"/>
    <w:rsid w:val="0072211C"/>
    <w:rsid w:val="0072217F"/>
    <w:rsid w:val="007221B1"/>
    <w:rsid w:val="0072238E"/>
    <w:rsid w:val="0072242F"/>
    <w:rsid w:val="00722443"/>
    <w:rsid w:val="007224DD"/>
    <w:rsid w:val="0072256B"/>
    <w:rsid w:val="007225A9"/>
    <w:rsid w:val="007226DE"/>
    <w:rsid w:val="007226FF"/>
    <w:rsid w:val="007227FD"/>
    <w:rsid w:val="007229DE"/>
    <w:rsid w:val="00722B60"/>
    <w:rsid w:val="00722C91"/>
    <w:rsid w:val="00722D38"/>
    <w:rsid w:val="00722D83"/>
    <w:rsid w:val="00722EC8"/>
    <w:rsid w:val="00722F10"/>
    <w:rsid w:val="00722F85"/>
    <w:rsid w:val="00722F96"/>
    <w:rsid w:val="00723023"/>
    <w:rsid w:val="00723071"/>
    <w:rsid w:val="00723113"/>
    <w:rsid w:val="0072316B"/>
    <w:rsid w:val="007231E0"/>
    <w:rsid w:val="0072320B"/>
    <w:rsid w:val="00723291"/>
    <w:rsid w:val="0072335D"/>
    <w:rsid w:val="007233E9"/>
    <w:rsid w:val="00723421"/>
    <w:rsid w:val="00723434"/>
    <w:rsid w:val="007234A3"/>
    <w:rsid w:val="0072350F"/>
    <w:rsid w:val="00723603"/>
    <w:rsid w:val="00723690"/>
    <w:rsid w:val="00723915"/>
    <w:rsid w:val="007239F0"/>
    <w:rsid w:val="00723AF0"/>
    <w:rsid w:val="00723BF4"/>
    <w:rsid w:val="00723C5B"/>
    <w:rsid w:val="00723DE9"/>
    <w:rsid w:val="00723F85"/>
    <w:rsid w:val="007240E7"/>
    <w:rsid w:val="0072415D"/>
    <w:rsid w:val="0072440C"/>
    <w:rsid w:val="00724452"/>
    <w:rsid w:val="007244A4"/>
    <w:rsid w:val="007246C9"/>
    <w:rsid w:val="007248AF"/>
    <w:rsid w:val="00724912"/>
    <w:rsid w:val="00724AB4"/>
    <w:rsid w:val="00724AE4"/>
    <w:rsid w:val="00724BFC"/>
    <w:rsid w:val="00724C9B"/>
    <w:rsid w:val="00724D2D"/>
    <w:rsid w:val="00724D92"/>
    <w:rsid w:val="00724D9C"/>
    <w:rsid w:val="00724DDA"/>
    <w:rsid w:val="00724F0D"/>
    <w:rsid w:val="00725199"/>
    <w:rsid w:val="00725286"/>
    <w:rsid w:val="007252C2"/>
    <w:rsid w:val="007253B9"/>
    <w:rsid w:val="0072540E"/>
    <w:rsid w:val="00725444"/>
    <w:rsid w:val="00725651"/>
    <w:rsid w:val="007256B1"/>
    <w:rsid w:val="007256C2"/>
    <w:rsid w:val="007256CF"/>
    <w:rsid w:val="0072578C"/>
    <w:rsid w:val="00725944"/>
    <w:rsid w:val="0072594E"/>
    <w:rsid w:val="00725992"/>
    <w:rsid w:val="00725AD8"/>
    <w:rsid w:val="00725AFA"/>
    <w:rsid w:val="00725B9F"/>
    <w:rsid w:val="00725C2E"/>
    <w:rsid w:val="00725D60"/>
    <w:rsid w:val="00725DC6"/>
    <w:rsid w:val="00725E96"/>
    <w:rsid w:val="00725EF7"/>
    <w:rsid w:val="00725F16"/>
    <w:rsid w:val="00725FD3"/>
    <w:rsid w:val="00725FF7"/>
    <w:rsid w:val="00726004"/>
    <w:rsid w:val="00726088"/>
    <w:rsid w:val="007260B5"/>
    <w:rsid w:val="007260F9"/>
    <w:rsid w:val="00726177"/>
    <w:rsid w:val="007263E4"/>
    <w:rsid w:val="007267E7"/>
    <w:rsid w:val="00726825"/>
    <w:rsid w:val="007269C8"/>
    <w:rsid w:val="00726A7C"/>
    <w:rsid w:val="00726B23"/>
    <w:rsid w:val="00726B49"/>
    <w:rsid w:val="00726C73"/>
    <w:rsid w:val="00726D75"/>
    <w:rsid w:val="00726D97"/>
    <w:rsid w:val="00726F25"/>
    <w:rsid w:val="0072727E"/>
    <w:rsid w:val="007272C1"/>
    <w:rsid w:val="00727301"/>
    <w:rsid w:val="0072749F"/>
    <w:rsid w:val="00727549"/>
    <w:rsid w:val="007277BF"/>
    <w:rsid w:val="0072784B"/>
    <w:rsid w:val="007278CA"/>
    <w:rsid w:val="007278FB"/>
    <w:rsid w:val="00727B1F"/>
    <w:rsid w:val="00727B25"/>
    <w:rsid w:val="00727B83"/>
    <w:rsid w:val="00727BEF"/>
    <w:rsid w:val="00727D3A"/>
    <w:rsid w:val="00727D58"/>
    <w:rsid w:val="00727D6E"/>
    <w:rsid w:val="00727D83"/>
    <w:rsid w:val="00727EA1"/>
    <w:rsid w:val="00727F35"/>
    <w:rsid w:val="00730043"/>
    <w:rsid w:val="0073018D"/>
    <w:rsid w:val="007301D5"/>
    <w:rsid w:val="0073047F"/>
    <w:rsid w:val="00730497"/>
    <w:rsid w:val="00730509"/>
    <w:rsid w:val="007307EC"/>
    <w:rsid w:val="00730815"/>
    <w:rsid w:val="00730A3E"/>
    <w:rsid w:val="00730A7D"/>
    <w:rsid w:val="00730CB3"/>
    <w:rsid w:val="00730CD5"/>
    <w:rsid w:val="00730E0A"/>
    <w:rsid w:val="00730F11"/>
    <w:rsid w:val="00730F13"/>
    <w:rsid w:val="00731044"/>
    <w:rsid w:val="0073107B"/>
    <w:rsid w:val="00731136"/>
    <w:rsid w:val="00731177"/>
    <w:rsid w:val="00731210"/>
    <w:rsid w:val="007312BA"/>
    <w:rsid w:val="0073137C"/>
    <w:rsid w:val="00731414"/>
    <w:rsid w:val="0073149F"/>
    <w:rsid w:val="007314E8"/>
    <w:rsid w:val="007316B8"/>
    <w:rsid w:val="007316CB"/>
    <w:rsid w:val="0073177E"/>
    <w:rsid w:val="007317BD"/>
    <w:rsid w:val="0073184C"/>
    <w:rsid w:val="00731894"/>
    <w:rsid w:val="007318E7"/>
    <w:rsid w:val="00731A0F"/>
    <w:rsid w:val="00731AAE"/>
    <w:rsid w:val="00731CC1"/>
    <w:rsid w:val="00731CEE"/>
    <w:rsid w:val="00731D22"/>
    <w:rsid w:val="00731DB9"/>
    <w:rsid w:val="00731DDD"/>
    <w:rsid w:val="00731EDD"/>
    <w:rsid w:val="00731EF7"/>
    <w:rsid w:val="00731F40"/>
    <w:rsid w:val="007320E8"/>
    <w:rsid w:val="00732396"/>
    <w:rsid w:val="007323D8"/>
    <w:rsid w:val="007323F1"/>
    <w:rsid w:val="00732424"/>
    <w:rsid w:val="0073246D"/>
    <w:rsid w:val="007325B2"/>
    <w:rsid w:val="007325D3"/>
    <w:rsid w:val="00732611"/>
    <w:rsid w:val="00732986"/>
    <w:rsid w:val="00732AC6"/>
    <w:rsid w:val="00732C29"/>
    <w:rsid w:val="00732C9F"/>
    <w:rsid w:val="00732DF1"/>
    <w:rsid w:val="00732FA5"/>
    <w:rsid w:val="007330B8"/>
    <w:rsid w:val="007331EB"/>
    <w:rsid w:val="00733212"/>
    <w:rsid w:val="00733354"/>
    <w:rsid w:val="0073339E"/>
    <w:rsid w:val="0073346D"/>
    <w:rsid w:val="00733525"/>
    <w:rsid w:val="007335A5"/>
    <w:rsid w:val="007335EB"/>
    <w:rsid w:val="00733628"/>
    <w:rsid w:val="0073366C"/>
    <w:rsid w:val="00733A36"/>
    <w:rsid w:val="00733A89"/>
    <w:rsid w:val="00733ABC"/>
    <w:rsid w:val="00733AEB"/>
    <w:rsid w:val="00733B05"/>
    <w:rsid w:val="00733B32"/>
    <w:rsid w:val="00733BE0"/>
    <w:rsid w:val="00733D0A"/>
    <w:rsid w:val="00733D6E"/>
    <w:rsid w:val="00733E26"/>
    <w:rsid w:val="00733EE3"/>
    <w:rsid w:val="00734030"/>
    <w:rsid w:val="00734074"/>
    <w:rsid w:val="007341A5"/>
    <w:rsid w:val="0073425B"/>
    <w:rsid w:val="007344C9"/>
    <w:rsid w:val="00734527"/>
    <w:rsid w:val="00734589"/>
    <w:rsid w:val="007345A3"/>
    <w:rsid w:val="007345C2"/>
    <w:rsid w:val="0073473A"/>
    <w:rsid w:val="007347D9"/>
    <w:rsid w:val="00734864"/>
    <w:rsid w:val="0073486D"/>
    <w:rsid w:val="007348C9"/>
    <w:rsid w:val="00734903"/>
    <w:rsid w:val="0073498E"/>
    <w:rsid w:val="00734C05"/>
    <w:rsid w:val="00734F65"/>
    <w:rsid w:val="00735004"/>
    <w:rsid w:val="0073508B"/>
    <w:rsid w:val="007350E1"/>
    <w:rsid w:val="00735117"/>
    <w:rsid w:val="00735148"/>
    <w:rsid w:val="007351BA"/>
    <w:rsid w:val="00735212"/>
    <w:rsid w:val="0073530F"/>
    <w:rsid w:val="00735434"/>
    <w:rsid w:val="007354FA"/>
    <w:rsid w:val="00735526"/>
    <w:rsid w:val="00735641"/>
    <w:rsid w:val="00735737"/>
    <w:rsid w:val="00735915"/>
    <w:rsid w:val="00735A8E"/>
    <w:rsid w:val="00735BA8"/>
    <w:rsid w:val="00735CBA"/>
    <w:rsid w:val="00735D5C"/>
    <w:rsid w:val="00735EFD"/>
    <w:rsid w:val="00735F14"/>
    <w:rsid w:val="00735F71"/>
    <w:rsid w:val="007361C5"/>
    <w:rsid w:val="007363CB"/>
    <w:rsid w:val="007363D6"/>
    <w:rsid w:val="007363FB"/>
    <w:rsid w:val="00736401"/>
    <w:rsid w:val="0073640B"/>
    <w:rsid w:val="0073641E"/>
    <w:rsid w:val="0073644E"/>
    <w:rsid w:val="007364F2"/>
    <w:rsid w:val="00736546"/>
    <w:rsid w:val="007365F1"/>
    <w:rsid w:val="00736646"/>
    <w:rsid w:val="0073664A"/>
    <w:rsid w:val="00736679"/>
    <w:rsid w:val="007367AB"/>
    <w:rsid w:val="00736853"/>
    <w:rsid w:val="00736898"/>
    <w:rsid w:val="007368A9"/>
    <w:rsid w:val="007369B3"/>
    <w:rsid w:val="007369D3"/>
    <w:rsid w:val="00736B69"/>
    <w:rsid w:val="00736D2E"/>
    <w:rsid w:val="00736D33"/>
    <w:rsid w:val="00736E71"/>
    <w:rsid w:val="00736E8A"/>
    <w:rsid w:val="00736EDA"/>
    <w:rsid w:val="00736F2C"/>
    <w:rsid w:val="0073702B"/>
    <w:rsid w:val="007370CE"/>
    <w:rsid w:val="0073720C"/>
    <w:rsid w:val="0073723B"/>
    <w:rsid w:val="0073724B"/>
    <w:rsid w:val="00737281"/>
    <w:rsid w:val="00737345"/>
    <w:rsid w:val="00737502"/>
    <w:rsid w:val="00737518"/>
    <w:rsid w:val="007375FE"/>
    <w:rsid w:val="00737645"/>
    <w:rsid w:val="007376A6"/>
    <w:rsid w:val="00737790"/>
    <w:rsid w:val="0073788E"/>
    <w:rsid w:val="007378C3"/>
    <w:rsid w:val="00737954"/>
    <w:rsid w:val="007379AD"/>
    <w:rsid w:val="007379D5"/>
    <w:rsid w:val="00737BA7"/>
    <w:rsid w:val="00737BC4"/>
    <w:rsid w:val="00737C2F"/>
    <w:rsid w:val="00737CBC"/>
    <w:rsid w:val="00737E66"/>
    <w:rsid w:val="00737F00"/>
    <w:rsid w:val="00737F06"/>
    <w:rsid w:val="00737F4F"/>
    <w:rsid w:val="00737FC3"/>
    <w:rsid w:val="00740064"/>
    <w:rsid w:val="00740101"/>
    <w:rsid w:val="0074024A"/>
    <w:rsid w:val="007402CA"/>
    <w:rsid w:val="0074043A"/>
    <w:rsid w:val="0074047C"/>
    <w:rsid w:val="007404FF"/>
    <w:rsid w:val="0074066A"/>
    <w:rsid w:val="007406BB"/>
    <w:rsid w:val="007407A3"/>
    <w:rsid w:val="00740858"/>
    <w:rsid w:val="007408B1"/>
    <w:rsid w:val="00740914"/>
    <w:rsid w:val="007409CB"/>
    <w:rsid w:val="00740A0B"/>
    <w:rsid w:val="00740AB3"/>
    <w:rsid w:val="00740B0A"/>
    <w:rsid w:val="00740B40"/>
    <w:rsid w:val="00740BA5"/>
    <w:rsid w:val="00740BDE"/>
    <w:rsid w:val="00740BE7"/>
    <w:rsid w:val="00740BEB"/>
    <w:rsid w:val="00740C8A"/>
    <w:rsid w:val="00740F30"/>
    <w:rsid w:val="00740F48"/>
    <w:rsid w:val="00740F4E"/>
    <w:rsid w:val="00740F51"/>
    <w:rsid w:val="00740FE4"/>
    <w:rsid w:val="00741043"/>
    <w:rsid w:val="00741077"/>
    <w:rsid w:val="00741127"/>
    <w:rsid w:val="007411F0"/>
    <w:rsid w:val="00741234"/>
    <w:rsid w:val="0074126D"/>
    <w:rsid w:val="0074128C"/>
    <w:rsid w:val="0074129F"/>
    <w:rsid w:val="007412B4"/>
    <w:rsid w:val="007413B5"/>
    <w:rsid w:val="007415D8"/>
    <w:rsid w:val="00741695"/>
    <w:rsid w:val="0074177D"/>
    <w:rsid w:val="00741795"/>
    <w:rsid w:val="0074186F"/>
    <w:rsid w:val="007418A1"/>
    <w:rsid w:val="00741A63"/>
    <w:rsid w:val="00741ADC"/>
    <w:rsid w:val="00741B3F"/>
    <w:rsid w:val="00741B73"/>
    <w:rsid w:val="00741BB2"/>
    <w:rsid w:val="00741BC6"/>
    <w:rsid w:val="00741C2E"/>
    <w:rsid w:val="00741D00"/>
    <w:rsid w:val="00741D32"/>
    <w:rsid w:val="00741D89"/>
    <w:rsid w:val="00741E3D"/>
    <w:rsid w:val="00741EFC"/>
    <w:rsid w:val="00741F8D"/>
    <w:rsid w:val="00742017"/>
    <w:rsid w:val="0074203F"/>
    <w:rsid w:val="00742126"/>
    <w:rsid w:val="0074217A"/>
    <w:rsid w:val="00742198"/>
    <w:rsid w:val="007421F5"/>
    <w:rsid w:val="00742261"/>
    <w:rsid w:val="0074226E"/>
    <w:rsid w:val="00742288"/>
    <w:rsid w:val="00742295"/>
    <w:rsid w:val="00742352"/>
    <w:rsid w:val="0074236C"/>
    <w:rsid w:val="00742501"/>
    <w:rsid w:val="007425EA"/>
    <w:rsid w:val="00742622"/>
    <w:rsid w:val="007427BB"/>
    <w:rsid w:val="00742837"/>
    <w:rsid w:val="007429E3"/>
    <w:rsid w:val="00742AE9"/>
    <w:rsid w:val="00742DCF"/>
    <w:rsid w:val="00742F1E"/>
    <w:rsid w:val="00742FBA"/>
    <w:rsid w:val="0074300F"/>
    <w:rsid w:val="0074301E"/>
    <w:rsid w:val="00743073"/>
    <w:rsid w:val="007430BD"/>
    <w:rsid w:val="007430E2"/>
    <w:rsid w:val="00743104"/>
    <w:rsid w:val="00743107"/>
    <w:rsid w:val="00743138"/>
    <w:rsid w:val="007432E1"/>
    <w:rsid w:val="00743306"/>
    <w:rsid w:val="00743421"/>
    <w:rsid w:val="00743490"/>
    <w:rsid w:val="00743504"/>
    <w:rsid w:val="0074366D"/>
    <w:rsid w:val="0074377A"/>
    <w:rsid w:val="0074377C"/>
    <w:rsid w:val="00743794"/>
    <w:rsid w:val="007438FE"/>
    <w:rsid w:val="0074397F"/>
    <w:rsid w:val="00743B47"/>
    <w:rsid w:val="00743C79"/>
    <w:rsid w:val="00743C94"/>
    <w:rsid w:val="00743DA1"/>
    <w:rsid w:val="00743FD1"/>
    <w:rsid w:val="00744002"/>
    <w:rsid w:val="0074423F"/>
    <w:rsid w:val="0074426F"/>
    <w:rsid w:val="007442AC"/>
    <w:rsid w:val="007442DF"/>
    <w:rsid w:val="007443D3"/>
    <w:rsid w:val="00744479"/>
    <w:rsid w:val="00744585"/>
    <w:rsid w:val="007445CC"/>
    <w:rsid w:val="007446BA"/>
    <w:rsid w:val="00744712"/>
    <w:rsid w:val="00744768"/>
    <w:rsid w:val="007447DD"/>
    <w:rsid w:val="00744850"/>
    <w:rsid w:val="00744897"/>
    <w:rsid w:val="007448BB"/>
    <w:rsid w:val="00744B23"/>
    <w:rsid w:val="00744B69"/>
    <w:rsid w:val="00744C0B"/>
    <w:rsid w:val="00744D1B"/>
    <w:rsid w:val="00744DA0"/>
    <w:rsid w:val="00744DBD"/>
    <w:rsid w:val="00744EAC"/>
    <w:rsid w:val="0074504A"/>
    <w:rsid w:val="007450FB"/>
    <w:rsid w:val="007451BE"/>
    <w:rsid w:val="007451EE"/>
    <w:rsid w:val="007452C9"/>
    <w:rsid w:val="00745332"/>
    <w:rsid w:val="007454B8"/>
    <w:rsid w:val="007454DF"/>
    <w:rsid w:val="00745632"/>
    <w:rsid w:val="007456EE"/>
    <w:rsid w:val="00745957"/>
    <w:rsid w:val="007459B5"/>
    <w:rsid w:val="007459DB"/>
    <w:rsid w:val="00745A52"/>
    <w:rsid w:val="00745AFE"/>
    <w:rsid w:val="00745D3D"/>
    <w:rsid w:val="00745DB3"/>
    <w:rsid w:val="00745DD0"/>
    <w:rsid w:val="00745E20"/>
    <w:rsid w:val="0074601C"/>
    <w:rsid w:val="007461B1"/>
    <w:rsid w:val="007462F8"/>
    <w:rsid w:val="007464DB"/>
    <w:rsid w:val="0074656A"/>
    <w:rsid w:val="007465DB"/>
    <w:rsid w:val="00746624"/>
    <w:rsid w:val="0074674E"/>
    <w:rsid w:val="007468E7"/>
    <w:rsid w:val="007469D8"/>
    <w:rsid w:val="00746A49"/>
    <w:rsid w:val="00746ABA"/>
    <w:rsid w:val="00746BDE"/>
    <w:rsid w:val="00746C16"/>
    <w:rsid w:val="00746CD2"/>
    <w:rsid w:val="00746D65"/>
    <w:rsid w:val="00746D79"/>
    <w:rsid w:val="00746DF5"/>
    <w:rsid w:val="00746FEF"/>
    <w:rsid w:val="00747080"/>
    <w:rsid w:val="007470E5"/>
    <w:rsid w:val="007470EB"/>
    <w:rsid w:val="007472AC"/>
    <w:rsid w:val="007472C6"/>
    <w:rsid w:val="00747314"/>
    <w:rsid w:val="0074737E"/>
    <w:rsid w:val="0074742A"/>
    <w:rsid w:val="007474CB"/>
    <w:rsid w:val="0074757A"/>
    <w:rsid w:val="0074769D"/>
    <w:rsid w:val="007476D8"/>
    <w:rsid w:val="00747771"/>
    <w:rsid w:val="00747964"/>
    <w:rsid w:val="007479AB"/>
    <w:rsid w:val="00747A36"/>
    <w:rsid w:val="00747B52"/>
    <w:rsid w:val="00747BCA"/>
    <w:rsid w:val="00747CA4"/>
    <w:rsid w:val="00747CCB"/>
    <w:rsid w:val="00747DCC"/>
    <w:rsid w:val="00747E54"/>
    <w:rsid w:val="00747EE0"/>
    <w:rsid w:val="00747F60"/>
    <w:rsid w:val="00750051"/>
    <w:rsid w:val="00750206"/>
    <w:rsid w:val="007503B2"/>
    <w:rsid w:val="007503CD"/>
    <w:rsid w:val="007503D2"/>
    <w:rsid w:val="007503E2"/>
    <w:rsid w:val="007504EB"/>
    <w:rsid w:val="0075050F"/>
    <w:rsid w:val="00750538"/>
    <w:rsid w:val="00750544"/>
    <w:rsid w:val="00750652"/>
    <w:rsid w:val="00750751"/>
    <w:rsid w:val="00750804"/>
    <w:rsid w:val="0075090E"/>
    <w:rsid w:val="007509E7"/>
    <w:rsid w:val="00750A54"/>
    <w:rsid w:val="00750B2B"/>
    <w:rsid w:val="00750B99"/>
    <w:rsid w:val="00750BE8"/>
    <w:rsid w:val="00750C85"/>
    <w:rsid w:val="00750C87"/>
    <w:rsid w:val="00750D66"/>
    <w:rsid w:val="00750DE0"/>
    <w:rsid w:val="00750E3E"/>
    <w:rsid w:val="00750E76"/>
    <w:rsid w:val="007511FA"/>
    <w:rsid w:val="00751377"/>
    <w:rsid w:val="007516BE"/>
    <w:rsid w:val="0075189A"/>
    <w:rsid w:val="00751B0D"/>
    <w:rsid w:val="00751B11"/>
    <w:rsid w:val="00751C41"/>
    <w:rsid w:val="00751CF5"/>
    <w:rsid w:val="00751E96"/>
    <w:rsid w:val="00751EFA"/>
    <w:rsid w:val="00751F96"/>
    <w:rsid w:val="00752020"/>
    <w:rsid w:val="0075208F"/>
    <w:rsid w:val="007521B0"/>
    <w:rsid w:val="0075221A"/>
    <w:rsid w:val="00752259"/>
    <w:rsid w:val="00752271"/>
    <w:rsid w:val="00752357"/>
    <w:rsid w:val="00752468"/>
    <w:rsid w:val="007525B4"/>
    <w:rsid w:val="0075269F"/>
    <w:rsid w:val="00752921"/>
    <w:rsid w:val="00752A18"/>
    <w:rsid w:val="00752B6D"/>
    <w:rsid w:val="00752C7F"/>
    <w:rsid w:val="00752D20"/>
    <w:rsid w:val="00752DB9"/>
    <w:rsid w:val="00752DE7"/>
    <w:rsid w:val="007531E9"/>
    <w:rsid w:val="007531F3"/>
    <w:rsid w:val="007531FC"/>
    <w:rsid w:val="00753210"/>
    <w:rsid w:val="00753249"/>
    <w:rsid w:val="00753424"/>
    <w:rsid w:val="007534C5"/>
    <w:rsid w:val="00753587"/>
    <w:rsid w:val="007535EC"/>
    <w:rsid w:val="0075365E"/>
    <w:rsid w:val="0075377F"/>
    <w:rsid w:val="007538BF"/>
    <w:rsid w:val="007538CD"/>
    <w:rsid w:val="00753A96"/>
    <w:rsid w:val="00753AA0"/>
    <w:rsid w:val="00753B05"/>
    <w:rsid w:val="00753B4D"/>
    <w:rsid w:val="00753B82"/>
    <w:rsid w:val="00753DEB"/>
    <w:rsid w:val="00753E76"/>
    <w:rsid w:val="00753EE8"/>
    <w:rsid w:val="007541CD"/>
    <w:rsid w:val="007541E4"/>
    <w:rsid w:val="007543AA"/>
    <w:rsid w:val="0075442A"/>
    <w:rsid w:val="00754452"/>
    <w:rsid w:val="007544E0"/>
    <w:rsid w:val="007545C0"/>
    <w:rsid w:val="007546B2"/>
    <w:rsid w:val="00754710"/>
    <w:rsid w:val="0075473B"/>
    <w:rsid w:val="007547B9"/>
    <w:rsid w:val="007547D6"/>
    <w:rsid w:val="007547F1"/>
    <w:rsid w:val="00754879"/>
    <w:rsid w:val="00754892"/>
    <w:rsid w:val="007548D6"/>
    <w:rsid w:val="007548E1"/>
    <w:rsid w:val="007549AA"/>
    <w:rsid w:val="00754BEF"/>
    <w:rsid w:val="00754C17"/>
    <w:rsid w:val="00754C32"/>
    <w:rsid w:val="00754CD8"/>
    <w:rsid w:val="00754D30"/>
    <w:rsid w:val="00754DDB"/>
    <w:rsid w:val="00754DF1"/>
    <w:rsid w:val="00754F1F"/>
    <w:rsid w:val="0075504E"/>
    <w:rsid w:val="00755199"/>
    <w:rsid w:val="0075525D"/>
    <w:rsid w:val="00755457"/>
    <w:rsid w:val="0075570C"/>
    <w:rsid w:val="0075575E"/>
    <w:rsid w:val="007557A8"/>
    <w:rsid w:val="007557D0"/>
    <w:rsid w:val="00755823"/>
    <w:rsid w:val="0075585A"/>
    <w:rsid w:val="00755928"/>
    <w:rsid w:val="00755A46"/>
    <w:rsid w:val="00755A4F"/>
    <w:rsid w:val="00755B09"/>
    <w:rsid w:val="00755B11"/>
    <w:rsid w:val="00755B18"/>
    <w:rsid w:val="00755B1D"/>
    <w:rsid w:val="00755B98"/>
    <w:rsid w:val="00755D93"/>
    <w:rsid w:val="00755D97"/>
    <w:rsid w:val="00755DA3"/>
    <w:rsid w:val="00755DA5"/>
    <w:rsid w:val="00755DFE"/>
    <w:rsid w:val="00755E55"/>
    <w:rsid w:val="00755E58"/>
    <w:rsid w:val="0075607D"/>
    <w:rsid w:val="007561CC"/>
    <w:rsid w:val="007561D9"/>
    <w:rsid w:val="00756221"/>
    <w:rsid w:val="007565D1"/>
    <w:rsid w:val="0075661F"/>
    <w:rsid w:val="00756823"/>
    <w:rsid w:val="00756965"/>
    <w:rsid w:val="00756CEF"/>
    <w:rsid w:val="00756D52"/>
    <w:rsid w:val="00756DAF"/>
    <w:rsid w:val="00756ECE"/>
    <w:rsid w:val="00756EF3"/>
    <w:rsid w:val="00756F88"/>
    <w:rsid w:val="0075704D"/>
    <w:rsid w:val="007570E8"/>
    <w:rsid w:val="00757165"/>
    <w:rsid w:val="00757490"/>
    <w:rsid w:val="007574DC"/>
    <w:rsid w:val="007574F2"/>
    <w:rsid w:val="007576D8"/>
    <w:rsid w:val="007576ED"/>
    <w:rsid w:val="00757711"/>
    <w:rsid w:val="0075775C"/>
    <w:rsid w:val="007577D7"/>
    <w:rsid w:val="007577FE"/>
    <w:rsid w:val="0075781C"/>
    <w:rsid w:val="007578A5"/>
    <w:rsid w:val="00757A82"/>
    <w:rsid w:val="00757BB9"/>
    <w:rsid w:val="00757BFB"/>
    <w:rsid w:val="00757C04"/>
    <w:rsid w:val="00757CDD"/>
    <w:rsid w:val="00757DA7"/>
    <w:rsid w:val="00757E59"/>
    <w:rsid w:val="00757EE8"/>
    <w:rsid w:val="00757EFE"/>
    <w:rsid w:val="00757F2B"/>
    <w:rsid w:val="00757F55"/>
    <w:rsid w:val="00757FB4"/>
    <w:rsid w:val="00760294"/>
    <w:rsid w:val="007603E4"/>
    <w:rsid w:val="0076044C"/>
    <w:rsid w:val="0076044F"/>
    <w:rsid w:val="007607F7"/>
    <w:rsid w:val="007608E8"/>
    <w:rsid w:val="00760924"/>
    <w:rsid w:val="0076098A"/>
    <w:rsid w:val="007609E7"/>
    <w:rsid w:val="00760A3A"/>
    <w:rsid w:val="00760BDE"/>
    <w:rsid w:val="00760E17"/>
    <w:rsid w:val="00760E95"/>
    <w:rsid w:val="00760F25"/>
    <w:rsid w:val="007610EB"/>
    <w:rsid w:val="00761378"/>
    <w:rsid w:val="00761454"/>
    <w:rsid w:val="007614C9"/>
    <w:rsid w:val="00761538"/>
    <w:rsid w:val="007617F3"/>
    <w:rsid w:val="00761996"/>
    <w:rsid w:val="00761A41"/>
    <w:rsid w:val="00761A77"/>
    <w:rsid w:val="00761AB8"/>
    <w:rsid w:val="00761AF5"/>
    <w:rsid w:val="00761B18"/>
    <w:rsid w:val="00761B47"/>
    <w:rsid w:val="00761B5D"/>
    <w:rsid w:val="00761C07"/>
    <w:rsid w:val="00761E6D"/>
    <w:rsid w:val="00761F32"/>
    <w:rsid w:val="00762000"/>
    <w:rsid w:val="0076200D"/>
    <w:rsid w:val="0076232B"/>
    <w:rsid w:val="00762360"/>
    <w:rsid w:val="00762373"/>
    <w:rsid w:val="007624AE"/>
    <w:rsid w:val="00762523"/>
    <w:rsid w:val="0076259C"/>
    <w:rsid w:val="00762818"/>
    <w:rsid w:val="0076296B"/>
    <w:rsid w:val="00762AB0"/>
    <w:rsid w:val="00762AF6"/>
    <w:rsid w:val="00762B57"/>
    <w:rsid w:val="00762B98"/>
    <w:rsid w:val="00762BC9"/>
    <w:rsid w:val="00762BD2"/>
    <w:rsid w:val="00762BF6"/>
    <w:rsid w:val="00762C35"/>
    <w:rsid w:val="00762C57"/>
    <w:rsid w:val="00762C5D"/>
    <w:rsid w:val="00762D29"/>
    <w:rsid w:val="00762D36"/>
    <w:rsid w:val="00762EA6"/>
    <w:rsid w:val="00762F29"/>
    <w:rsid w:val="00762F45"/>
    <w:rsid w:val="00762F8E"/>
    <w:rsid w:val="0076300C"/>
    <w:rsid w:val="00763033"/>
    <w:rsid w:val="00763036"/>
    <w:rsid w:val="007631C1"/>
    <w:rsid w:val="007631CF"/>
    <w:rsid w:val="007632A0"/>
    <w:rsid w:val="007632C3"/>
    <w:rsid w:val="00763324"/>
    <w:rsid w:val="007633DA"/>
    <w:rsid w:val="007633F1"/>
    <w:rsid w:val="007634FB"/>
    <w:rsid w:val="0076353A"/>
    <w:rsid w:val="00763548"/>
    <w:rsid w:val="00763623"/>
    <w:rsid w:val="00763675"/>
    <w:rsid w:val="00763692"/>
    <w:rsid w:val="007636AF"/>
    <w:rsid w:val="00763722"/>
    <w:rsid w:val="0076381E"/>
    <w:rsid w:val="00763887"/>
    <w:rsid w:val="00763941"/>
    <w:rsid w:val="00763943"/>
    <w:rsid w:val="007639F3"/>
    <w:rsid w:val="00763AAB"/>
    <w:rsid w:val="00763B3D"/>
    <w:rsid w:val="00763BA9"/>
    <w:rsid w:val="00763C10"/>
    <w:rsid w:val="00763C73"/>
    <w:rsid w:val="00763C91"/>
    <w:rsid w:val="00763C96"/>
    <w:rsid w:val="00763E79"/>
    <w:rsid w:val="00763EC0"/>
    <w:rsid w:val="00763EE7"/>
    <w:rsid w:val="00764025"/>
    <w:rsid w:val="00764054"/>
    <w:rsid w:val="0076425B"/>
    <w:rsid w:val="0076425F"/>
    <w:rsid w:val="00764430"/>
    <w:rsid w:val="007644ED"/>
    <w:rsid w:val="00764515"/>
    <w:rsid w:val="007646AA"/>
    <w:rsid w:val="007647D8"/>
    <w:rsid w:val="0076484E"/>
    <w:rsid w:val="0076485B"/>
    <w:rsid w:val="007649E3"/>
    <w:rsid w:val="00764A67"/>
    <w:rsid w:val="00764A9D"/>
    <w:rsid w:val="00764C69"/>
    <w:rsid w:val="00764C8C"/>
    <w:rsid w:val="00764CDF"/>
    <w:rsid w:val="00764CF3"/>
    <w:rsid w:val="00764DDF"/>
    <w:rsid w:val="00765055"/>
    <w:rsid w:val="00765119"/>
    <w:rsid w:val="007652E2"/>
    <w:rsid w:val="007653EE"/>
    <w:rsid w:val="00765543"/>
    <w:rsid w:val="0076555D"/>
    <w:rsid w:val="0076555E"/>
    <w:rsid w:val="007655AF"/>
    <w:rsid w:val="0076572B"/>
    <w:rsid w:val="00765811"/>
    <w:rsid w:val="00765817"/>
    <w:rsid w:val="007658F1"/>
    <w:rsid w:val="00765A64"/>
    <w:rsid w:val="00765A9A"/>
    <w:rsid w:val="00765AD4"/>
    <w:rsid w:val="00765B55"/>
    <w:rsid w:val="00765B7D"/>
    <w:rsid w:val="00765BF0"/>
    <w:rsid w:val="00765D22"/>
    <w:rsid w:val="00765D47"/>
    <w:rsid w:val="00765D9B"/>
    <w:rsid w:val="00765DEF"/>
    <w:rsid w:val="00765EFE"/>
    <w:rsid w:val="00765FBE"/>
    <w:rsid w:val="00766080"/>
    <w:rsid w:val="00766187"/>
    <w:rsid w:val="00766366"/>
    <w:rsid w:val="00766396"/>
    <w:rsid w:val="007663A3"/>
    <w:rsid w:val="00766633"/>
    <w:rsid w:val="00766660"/>
    <w:rsid w:val="007666F4"/>
    <w:rsid w:val="007668E4"/>
    <w:rsid w:val="007669D6"/>
    <w:rsid w:val="00766A1B"/>
    <w:rsid w:val="00766B86"/>
    <w:rsid w:val="00766CDF"/>
    <w:rsid w:val="007671E6"/>
    <w:rsid w:val="007671FC"/>
    <w:rsid w:val="007671FF"/>
    <w:rsid w:val="0076733F"/>
    <w:rsid w:val="007675A5"/>
    <w:rsid w:val="007675A9"/>
    <w:rsid w:val="007675E5"/>
    <w:rsid w:val="007675F7"/>
    <w:rsid w:val="007676CD"/>
    <w:rsid w:val="007676E4"/>
    <w:rsid w:val="0076771E"/>
    <w:rsid w:val="00767837"/>
    <w:rsid w:val="00767858"/>
    <w:rsid w:val="0076792F"/>
    <w:rsid w:val="007679BD"/>
    <w:rsid w:val="00767B44"/>
    <w:rsid w:val="00767C43"/>
    <w:rsid w:val="00767CFE"/>
    <w:rsid w:val="00767D6F"/>
    <w:rsid w:val="00767D89"/>
    <w:rsid w:val="00767EDF"/>
    <w:rsid w:val="00767F73"/>
    <w:rsid w:val="0077003A"/>
    <w:rsid w:val="007700E3"/>
    <w:rsid w:val="007702E0"/>
    <w:rsid w:val="007703C8"/>
    <w:rsid w:val="007706DD"/>
    <w:rsid w:val="00770715"/>
    <w:rsid w:val="00770897"/>
    <w:rsid w:val="00770921"/>
    <w:rsid w:val="0077097D"/>
    <w:rsid w:val="007709A5"/>
    <w:rsid w:val="007709B2"/>
    <w:rsid w:val="00770A9C"/>
    <w:rsid w:val="00770AAA"/>
    <w:rsid w:val="00770B5B"/>
    <w:rsid w:val="00770B94"/>
    <w:rsid w:val="00770C03"/>
    <w:rsid w:val="00770CCC"/>
    <w:rsid w:val="00770D95"/>
    <w:rsid w:val="00770E28"/>
    <w:rsid w:val="00770E78"/>
    <w:rsid w:val="00770ECA"/>
    <w:rsid w:val="00770F2B"/>
    <w:rsid w:val="00770F4C"/>
    <w:rsid w:val="007711E3"/>
    <w:rsid w:val="0077123C"/>
    <w:rsid w:val="007713E6"/>
    <w:rsid w:val="00771429"/>
    <w:rsid w:val="007714A5"/>
    <w:rsid w:val="0077150D"/>
    <w:rsid w:val="00771511"/>
    <w:rsid w:val="007715CA"/>
    <w:rsid w:val="007716BF"/>
    <w:rsid w:val="007716CD"/>
    <w:rsid w:val="007717E7"/>
    <w:rsid w:val="00771846"/>
    <w:rsid w:val="00771863"/>
    <w:rsid w:val="00771899"/>
    <w:rsid w:val="007718A6"/>
    <w:rsid w:val="00771A4C"/>
    <w:rsid w:val="00771B57"/>
    <w:rsid w:val="00771C34"/>
    <w:rsid w:val="00771C88"/>
    <w:rsid w:val="00771CF8"/>
    <w:rsid w:val="00771DEA"/>
    <w:rsid w:val="00771F11"/>
    <w:rsid w:val="00771FA5"/>
    <w:rsid w:val="0077208F"/>
    <w:rsid w:val="007721AC"/>
    <w:rsid w:val="007721EF"/>
    <w:rsid w:val="0077222C"/>
    <w:rsid w:val="0077223D"/>
    <w:rsid w:val="00772277"/>
    <w:rsid w:val="0077239B"/>
    <w:rsid w:val="007723B7"/>
    <w:rsid w:val="00772605"/>
    <w:rsid w:val="0077270D"/>
    <w:rsid w:val="0077272F"/>
    <w:rsid w:val="00772761"/>
    <w:rsid w:val="007727DC"/>
    <w:rsid w:val="007727F4"/>
    <w:rsid w:val="00772958"/>
    <w:rsid w:val="007729E9"/>
    <w:rsid w:val="00772ACA"/>
    <w:rsid w:val="00772B47"/>
    <w:rsid w:val="00772CF4"/>
    <w:rsid w:val="00772D0A"/>
    <w:rsid w:val="00772E54"/>
    <w:rsid w:val="00772E6C"/>
    <w:rsid w:val="00772E97"/>
    <w:rsid w:val="00772EB0"/>
    <w:rsid w:val="00772F0C"/>
    <w:rsid w:val="00772F45"/>
    <w:rsid w:val="007730E5"/>
    <w:rsid w:val="007730EC"/>
    <w:rsid w:val="007730FC"/>
    <w:rsid w:val="00773117"/>
    <w:rsid w:val="00773231"/>
    <w:rsid w:val="00773331"/>
    <w:rsid w:val="00773334"/>
    <w:rsid w:val="00773409"/>
    <w:rsid w:val="007736CF"/>
    <w:rsid w:val="0077398F"/>
    <w:rsid w:val="007739BF"/>
    <w:rsid w:val="00773AA5"/>
    <w:rsid w:val="00773AE6"/>
    <w:rsid w:val="00773B09"/>
    <w:rsid w:val="00773C20"/>
    <w:rsid w:val="00773CF5"/>
    <w:rsid w:val="00773D0D"/>
    <w:rsid w:val="00773D7C"/>
    <w:rsid w:val="00773DE0"/>
    <w:rsid w:val="00773E48"/>
    <w:rsid w:val="00773E67"/>
    <w:rsid w:val="00773F02"/>
    <w:rsid w:val="007740C0"/>
    <w:rsid w:val="00774131"/>
    <w:rsid w:val="00774214"/>
    <w:rsid w:val="00774393"/>
    <w:rsid w:val="007743C0"/>
    <w:rsid w:val="00774656"/>
    <w:rsid w:val="007746F5"/>
    <w:rsid w:val="007747A3"/>
    <w:rsid w:val="007747AE"/>
    <w:rsid w:val="00774846"/>
    <w:rsid w:val="00774887"/>
    <w:rsid w:val="00774974"/>
    <w:rsid w:val="0077499E"/>
    <w:rsid w:val="007749DB"/>
    <w:rsid w:val="007749E2"/>
    <w:rsid w:val="007749E6"/>
    <w:rsid w:val="007749F3"/>
    <w:rsid w:val="00774AFE"/>
    <w:rsid w:val="00774BF5"/>
    <w:rsid w:val="00774C15"/>
    <w:rsid w:val="00774C5D"/>
    <w:rsid w:val="00774D3D"/>
    <w:rsid w:val="00774D44"/>
    <w:rsid w:val="00774DF1"/>
    <w:rsid w:val="00774F51"/>
    <w:rsid w:val="00775194"/>
    <w:rsid w:val="007751B5"/>
    <w:rsid w:val="007751E7"/>
    <w:rsid w:val="007751F1"/>
    <w:rsid w:val="00775207"/>
    <w:rsid w:val="00775308"/>
    <w:rsid w:val="0077532D"/>
    <w:rsid w:val="007754F2"/>
    <w:rsid w:val="007755CF"/>
    <w:rsid w:val="007756EE"/>
    <w:rsid w:val="007758BF"/>
    <w:rsid w:val="007759CB"/>
    <w:rsid w:val="00775A22"/>
    <w:rsid w:val="00775A25"/>
    <w:rsid w:val="00775BB3"/>
    <w:rsid w:val="00775BB4"/>
    <w:rsid w:val="00775C16"/>
    <w:rsid w:val="00775C4C"/>
    <w:rsid w:val="00775E69"/>
    <w:rsid w:val="00775E7E"/>
    <w:rsid w:val="00775EA5"/>
    <w:rsid w:val="00775EC4"/>
    <w:rsid w:val="00775EE6"/>
    <w:rsid w:val="00776033"/>
    <w:rsid w:val="007760C3"/>
    <w:rsid w:val="00776190"/>
    <w:rsid w:val="007761C8"/>
    <w:rsid w:val="007761DD"/>
    <w:rsid w:val="00776254"/>
    <w:rsid w:val="0077640E"/>
    <w:rsid w:val="00776478"/>
    <w:rsid w:val="007764C2"/>
    <w:rsid w:val="007764EA"/>
    <w:rsid w:val="007766A1"/>
    <w:rsid w:val="0077670E"/>
    <w:rsid w:val="0077673D"/>
    <w:rsid w:val="00776748"/>
    <w:rsid w:val="00776774"/>
    <w:rsid w:val="00776777"/>
    <w:rsid w:val="007768BA"/>
    <w:rsid w:val="007768BD"/>
    <w:rsid w:val="00776957"/>
    <w:rsid w:val="00776964"/>
    <w:rsid w:val="0077696F"/>
    <w:rsid w:val="00776A08"/>
    <w:rsid w:val="00776A21"/>
    <w:rsid w:val="00776A35"/>
    <w:rsid w:val="00776A4C"/>
    <w:rsid w:val="00776A70"/>
    <w:rsid w:val="00776AD5"/>
    <w:rsid w:val="00776B54"/>
    <w:rsid w:val="00776BD7"/>
    <w:rsid w:val="00776C1E"/>
    <w:rsid w:val="00776D60"/>
    <w:rsid w:val="00776E43"/>
    <w:rsid w:val="0077709C"/>
    <w:rsid w:val="00777159"/>
    <w:rsid w:val="007772C0"/>
    <w:rsid w:val="0077732C"/>
    <w:rsid w:val="0077739B"/>
    <w:rsid w:val="007773A6"/>
    <w:rsid w:val="00777410"/>
    <w:rsid w:val="007774A5"/>
    <w:rsid w:val="00777575"/>
    <w:rsid w:val="007775A4"/>
    <w:rsid w:val="007775A7"/>
    <w:rsid w:val="00777611"/>
    <w:rsid w:val="00777628"/>
    <w:rsid w:val="0077764E"/>
    <w:rsid w:val="007776F1"/>
    <w:rsid w:val="007777E0"/>
    <w:rsid w:val="00777836"/>
    <w:rsid w:val="00777891"/>
    <w:rsid w:val="00777901"/>
    <w:rsid w:val="00777939"/>
    <w:rsid w:val="00777B4D"/>
    <w:rsid w:val="00777BC5"/>
    <w:rsid w:val="00777C61"/>
    <w:rsid w:val="00777C71"/>
    <w:rsid w:val="00777C85"/>
    <w:rsid w:val="00777CF4"/>
    <w:rsid w:val="00777D8F"/>
    <w:rsid w:val="00777DA8"/>
    <w:rsid w:val="00777DBC"/>
    <w:rsid w:val="00777DD7"/>
    <w:rsid w:val="00777DF2"/>
    <w:rsid w:val="00777EBB"/>
    <w:rsid w:val="00777ED8"/>
    <w:rsid w:val="00780090"/>
    <w:rsid w:val="0078013C"/>
    <w:rsid w:val="0078018B"/>
    <w:rsid w:val="007801DB"/>
    <w:rsid w:val="0078033B"/>
    <w:rsid w:val="00780388"/>
    <w:rsid w:val="00780405"/>
    <w:rsid w:val="007804FE"/>
    <w:rsid w:val="00780500"/>
    <w:rsid w:val="00780577"/>
    <w:rsid w:val="007805E4"/>
    <w:rsid w:val="00780604"/>
    <w:rsid w:val="0078064B"/>
    <w:rsid w:val="00780958"/>
    <w:rsid w:val="00780A01"/>
    <w:rsid w:val="00780AA2"/>
    <w:rsid w:val="00780AED"/>
    <w:rsid w:val="00780B09"/>
    <w:rsid w:val="00780D02"/>
    <w:rsid w:val="00780D5D"/>
    <w:rsid w:val="00780D66"/>
    <w:rsid w:val="00780DB6"/>
    <w:rsid w:val="00780E08"/>
    <w:rsid w:val="00780E0A"/>
    <w:rsid w:val="00780E56"/>
    <w:rsid w:val="00780EFE"/>
    <w:rsid w:val="00780F0F"/>
    <w:rsid w:val="00781244"/>
    <w:rsid w:val="00781278"/>
    <w:rsid w:val="0078133E"/>
    <w:rsid w:val="007813C8"/>
    <w:rsid w:val="00781557"/>
    <w:rsid w:val="0078162A"/>
    <w:rsid w:val="0078178A"/>
    <w:rsid w:val="007817D1"/>
    <w:rsid w:val="007817F0"/>
    <w:rsid w:val="00781926"/>
    <w:rsid w:val="00781946"/>
    <w:rsid w:val="00781958"/>
    <w:rsid w:val="007819E3"/>
    <w:rsid w:val="007819FD"/>
    <w:rsid w:val="00781A1B"/>
    <w:rsid w:val="00781A36"/>
    <w:rsid w:val="00781B2A"/>
    <w:rsid w:val="00781B6C"/>
    <w:rsid w:val="00781BAC"/>
    <w:rsid w:val="00781C27"/>
    <w:rsid w:val="00781D1D"/>
    <w:rsid w:val="00781D30"/>
    <w:rsid w:val="00781D5A"/>
    <w:rsid w:val="00781DF0"/>
    <w:rsid w:val="00781E47"/>
    <w:rsid w:val="00781F8E"/>
    <w:rsid w:val="007820E6"/>
    <w:rsid w:val="007822F4"/>
    <w:rsid w:val="00782354"/>
    <w:rsid w:val="0078237D"/>
    <w:rsid w:val="00782414"/>
    <w:rsid w:val="00782546"/>
    <w:rsid w:val="007825A2"/>
    <w:rsid w:val="007826C3"/>
    <w:rsid w:val="007826D0"/>
    <w:rsid w:val="00782750"/>
    <w:rsid w:val="0078281E"/>
    <w:rsid w:val="00782922"/>
    <w:rsid w:val="007829BF"/>
    <w:rsid w:val="00782A05"/>
    <w:rsid w:val="00782AA7"/>
    <w:rsid w:val="00782BD3"/>
    <w:rsid w:val="00782C54"/>
    <w:rsid w:val="00782D6C"/>
    <w:rsid w:val="00782E9E"/>
    <w:rsid w:val="00782EAD"/>
    <w:rsid w:val="00782F42"/>
    <w:rsid w:val="00782FAA"/>
    <w:rsid w:val="00782FC8"/>
    <w:rsid w:val="00782FF0"/>
    <w:rsid w:val="00783015"/>
    <w:rsid w:val="0078308F"/>
    <w:rsid w:val="0078314B"/>
    <w:rsid w:val="007831C6"/>
    <w:rsid w:val="00783210"/>
    <w:rsid w:val="0078337B"/>
    <w:rsid w:val="007833DB"/>
    <w:rsid w:val="007834DA"/>
    <w:rsid w:val="0078351B"/>
    <w:rsid w:val="0078352F"/>
    <w:rsid w:val="00783716"/>
    <w:rsid w:val="007837E0"/>
    <w:rsid w:val="00783804"/>
    <w:rsid w:val="00783856"/>
    <w:rsid w:val="007838CF"/>
    <w:rsid w:val="00783913"/>
    <w:rsid w:val="0078393E"/>
    <w:rsid w:val="0078396F"/>
    <w:rsid w:val="00783A2C"/>
    <w:rsid w:val="00783AAA"/>
    <w:rsid w:val="00783B92"/>
    <w:rsid w:val="00783BF8"/>
    <w:rsid w:val="00783C19"/>
    <w:rsid w:val="00783D83"/>
    <w:rsid w:val="00783E49"/>
    <w:rsid w:val="00783F23"/>
    <w:rsid w:val="00783F2B"/>
    <w:rsid w:val="00783F42"/>
    <w:rsid w:val="00783F58"/>
    <w:rsid w:val="00783F86"/>
    <w:rsid w:val="007841A3"/>
    <w:rsid w:val="0078420B"/>
    <w:rsid w:val="0078425F"/>
    <w:rsid w:val="00784345"/>
    <w:rsid w:val="0078434A"/>
    <w:rsid w:val="007843A6"/>
    <w:rsid w:val="007843C1"/>
    <w:rsid w:val="007843E3"/>
    <w:rsid w:val="0078450D"/>
    <w:rsid w:val="0078454B"/>
    <w:rsid w:val="0078456D"/>
    <w:rsid w:val="007845C4"/>
    <w:rsid w:val="007845D1"/>
    <w:rsid w:val="00784625"/>
    <w:rsid w:val="0078467F"/>
    <w:rsid w:val="00784837"/>
    <w:rsid w:val="0078485E"/>
    <w:rsid w:val="0078487F"/>
    <w:rsid w:val="00784B71"/>
    <w:rsid w:val="00784BA4"/>
    <w:rsid w:val="00784C07"/>
    <w:rsid w:val="00784C73"/>
    <w:rsid w:val="00784DA1"/>
    <w:rsid w:val="00784F43"/>
    <w:rsid w:val="00785078"/>
    <w:rsid w:val="0078508B"/>
    <w:rsid w:val="007851E5"/>
    <w:rsid w:val="007852E6"/>
    <w:rsid w:val="007853D8"/>
    <w:rsid w:val="00785459"/>
    <w:rsid w:val="0078556B"/>
    <w:rsid w:val="007855A1"/>
    <w:rsid w:val="007855B6"/>
    <w:rsid w:val="007856CD"/>
    <w:rsid w:val="007856D4"/>
    <w:rsid w:val="0078573E"/>
    <w:rsid w:val="00785800"/>
    <w:rsid w:val="00785815"/>
    <w:rsid w:val="00785910"/>
    <w:rsid w:val="00785A44"/>
    <w:rsid w:val="00785A9F"/>
    <w:rsid w:val="00785ACB"/>
    <w:rsid w:val="00785BB2"/>
    <w:rsid w:val="00785CDA"/>
    <w:rsid w:val="00785D70"/>
    <w:rsid w:val="00785E6B"/>
    <w:rsid w:val="00785F6F"/>
    <w:rsid w:val="0078605C"/>
    <w:rsid w:val="00786109"/>
    <w:rsid w:val="00786142"/>
    <w:rsid w:val="007863BE"/>
    <w:rsid w:val="007863EE"/>
    <w:rsid w:val="007864D8"/>
    <w:rsid w:val="007866F7"/>
    <w:rsid w:val="00786851"/>
    <w:rsid w:val="0078692B"/>
    <w:rsid w:val="00786A97"/>
    <w:rsid w:val="00786AA9"/>
    <w:rsid w:val="00786AEF"/>
    <w:rsid w:val="00786AF5"/>
    <w:rsid w:val="00786B50"/>
    <w:rsid w:val="00786CAE"/>
    <w:rsid w:val="00786D5A"/>
    <w:rsid w:val="00786DB1"/>
    <w:rsid w:val="00786E47"/>
    <w:rsid w:val="00786F23"/>
    <w:rsid w:val="00786F8D"/>
    <w:rsid w:val="00786FB5"/>
    <w:rsid w:val="00786FF9"/>
    <w:rsid w:val="0078701E"/>
    <w:rsid w:val="007870F7"/>
    <w:rsid w:val="007872CC"/>
    <w:rsid w:val="0078749D"/>
    <w:rsid w:val="007874B8"/>
    <w:rsid w:val="007876DB"/>
    <w:rsid w:val="00787702"/>
    <w:rsid w:val="0078776A"/>
    <w:rsid w:val="00787770"/>
    <w:rsid w:val="0078787F"/>
    <w:rsid w:val="00787885"/>
    <w:rsid w:val="007878CD"/>
    <w:rsid w:val="007879B2"/>
    <w:rsid w:val="00787A4E"/>
    <w:rsid w:val="00787BE2"/>
    <w:rsid w:val="00787C27"/>
    <w:rsid w:val="00787DBB"/>
    <w:rsid w:val="00787DDF"/>
    <w:rsid w:val="00787DFE"/>
    <w:rsid w:val="00787E0B"/>
    <w:rsid w:val="00787E1E"/>
    <w:rsid w:val="00787E8C"/>
    <w:rsid w:val="00787EF8"/>
    <w:rsid w:val="00790039"/>
    <w:rsid w:val="00790043"/>
    <w:rsid w:val="00790089"/>
    <w:rsid w:val="007901D1"/>
    <w:rsid w:val="0079022E"/>
    <w:rsid w:val="007905CF"/>
    <w:rsid w:val="00790617"/>
    <w:rsid w:val="0079068C"/>
    <w:rsid w:val="007906B0"/>
    <w:rsid w:val="00790850"/>
    <w:rsid w:val="00790873"/>
    <w:rsid w:val="00790912"/>
    <w:rsid w:val="00790B57"/>
    <w:rsid w:val="00790CF5"/>
    <w:rsid w:val="00790DF4"/>
    <w:rsid w:val="00790E59"/>
    <w:rsid w:val="00790EAF"/>
    <w:rsid w:val="007910C7"/>
    <w:rsid w:val="0079115D"/>
    <w:rsid w:val="007911CF"/>
    <w:rsid w:val="00791280"/>
    <w:rsid w:val="007913B7"/>
    <w:rsid w:val="00791438"/>
    <w:rsid w:val="0079161E"/>
    <w:rsid w:val="007918C9"/>
    <w:rsid w:val="00791A8F"/>
    <w:rsid w:val="00791AFE"/>
    <w:rsid w:val="00791C04"/>
    <w:rsid w:val="00791E61"/>
    <w:rsid w:val="00791E7F"/>
    <w:rsid w:val="00791EDD"/>
    <w:rsid w:val="00791F51"/>
    <w:rsid w:val="00791F90"/>
    <w:rsid w:val="00792211"/>
    <w:rsid w:val="00792270"/>
    <w:rsid w:val="007922AD"/>
    <w:rsid w:val="007923D3"/>
    <w:rsid w:val="0079245E"/>
    <w:rsid w:val="007925A7"/>
    <w:rsid w:val="00792612"/>
    <w:rsid w:val="00792813"/>
    <w:rsid w:val="007928DD"/>
    <w:rsid w:val="007928EF"/>
    <w:rsid w:val="00792958"/>
    <w:rsid w:val="00792AFC"/>
    <w:rsid w:val="00792D05"/>
    <w:rsid w:val="00792DE8"/>
    <w:rsid w:val="00792E68"/>
    <w:rsid w:val="00792E8F"/>
    <w:rsid w:val="00792F86"/>
    <w:rsid w:val="00792FEB"/>
    <w:rsid w:val="00792FF0"/>
    <w:rsid w:val="007930CA"/>
    <w:rsid w:val="00793188"/>
    <w:rsid w:val="00793193"/>
    <w:rsid w:val="007931A1"/>
    <w:rsid w:val="00793204"/>
    <w:rsid w:val="00793299"/>
    <w:rsid w:val="007932A2"/>
    <w:rsid w:val="007932C4"/>
    <w:rsid w:val="007932EF"/>
    <w:rsid w:val="00793458"/>
    <w:rsid w:val="00793463"/>
    <w:rsid w:val="0079347B"/>
    <w:rsid w:val="00793482"/>
    <w:rsid w:val="007935B6"/>
    <w:rsid w:val="0079373F"/>
    <w:rsid w:val="007937BB"/>
    <w:rsid w:val="007937E1"/>
    <w:rsid w:val="0079380A"/>
    <w:rsid w:val="0079387A"/>
    <w:rsid w:val="00793886"/>
    <w:rsid w:val="007938DC"/>
    <w:rsid w:val="0079392C"/>
    <w:rsid w:val="007939B6"/>
    <w:rsid w:val="00793A01"/>
    <w:rsid w:val="00793A5F"/>
    <w:rsid w:val="00793B5E"/>
    <w:rsid w:val="00793B7D"/>
    <w:rsid w:val="00793BC0"/>
    <w:rsid w:val="00793CE1"/>
    <w:rsid w:val="00793D3D"/>
    <w:rsid w:val="00793D67"/>
    <w:rsid w:val="00793D7A"/>
    <w:rsid w:val="00793D92"/>
    <w:rsid w:val="00793DB6"/>
    <w:rsid w:val="00794233"/>
    <w:rsid w:val="00794344"/>
    <w:rsid w:val="0079437C"/>
    <w:rsid w:val="007943D6"/>
    <w:rsid w:val="00794477"/>
    <w:rsid w:val="00794585"/>
    <w:rsid w:val="00794621"/>
    <w:rsid w:val="00794895"/>
    <w:rsid w:val="007948EB"/>
    <w:rsid w:val="00794923"/>
    <w:rsid w:val="0079497D"/>
    <w:rsid w:val="00794A16"/>
    <w:rsid w:val="00794A6E"/>
    <w:rsid w:val="00794CA1"/>
    <w:rsid w:val="00794D00"/>
    <w:rsid w:val="00794DA5"/>
    <w:rsid w:val="00794DF9"/>
    <w:rsid w:val="00794E43"/>
    <w:rsid w:val="00794EAA"/>
    <w:rsid w:val="00794FEC"/>
    <w:rsid w:val="0079508C"/>
    <w:rsid w:val="00795169"/>
    <w:rsid w:val="007952C9"/>
    <w:rsid w:val="007953E6"/>
    <w:rsid w:val="007954AB"/>
    <w:rsid w:val="007955D7"/>
    <w:rsid w:val="007955F4"/>
    <w:rsid w:val="00795628"/>
    <w:rsid w:val="00795795"/>
    <w:rsid w:val="007957A0"/>
    <w:rsid w:val="007957E3"/>
    <w:rsid w:val="00795B49"/>
    <w:rsid w:val="00795C5D"/>
    <w:rsid w:val="00795C6C"/>
    <w:rsid w:val="00795C7A"/>
    <w:rsid w:val="00795DFD"/>
    <w:rsid w:val="00795E3D"/>
    <w:rsid w:val="00795E58"/>
    <w:rsid w:val="00795FDB"/>
    <w:rsid w:val="00796389"/>
    <w:rsid w:val="00796433"/>
    <w:rsid w:val="007964F8"/>
    <w:rsid w:val="00796775"/>
    <w:rsid w:val="0079680A"/>
    <w:rsid w:val="0079685E"/>
    <w:rsid w:val="007968C8"/>
    <w:rsid w:val="00796A46"/>
    <w:rsid w:val="00796B6D"/>
    <w:rsid w:val="00796C20"/>
    <w:rsid w:val="00796CB9"/>
    <w:rsid w:val="00796F83"/>
    <w:rsid w:val="00796F98"/>
    <w:rsid w:val="00797183"/>
    <w:rsid w:val="007972A2"/>
    <w:rsid w:val="00797303"/>
    <w:rsid w:val="00797342"/>
    <w:rsid w:val="00797415"/>
    <w:rsid w:val="0079769F"/>
    <w:rsid w:val="007977EB"/>
    <w:rsid w:val="007978A0"/>
    <w:rsid w:val="007978E4"/>
    <w:rsid w:val="00797912"/>
    <w:rsid w:val="007979BB"/>
    <w:rsid w:val="00797A30"/>
    <w:rsid w:val="00797A7F"/>
    <w:rsid w:val="00797BAE"/>
    <w:rsid w:val="00797BC7"/>
    <w:rsid w:val="00797DC1"/>
    <w:rsid w:val="00797E09"/>
    <w:rsid w:val="00797FC5"/>
    <w:rsid w:val="0079F831"/>
    <w:rsid w:val="007A0060"/>
    <w:rsid w:val="007A00CC"/>
    <w:rsid w:val="007A00D9"/>
    <w:rsid w:val="007A01E4"/>
    <w:rsid w:val="007A0314"/>
    <w:rsid w:val="007A035E"/>
    <w:rsid w:val="007A0425"/>
    <w:rsid w:val="007A0483"/>
    <w:rsid w:val="007A04E0"/>
    <w:rsid w:val="007A0599"/>
    <w:rsid w:val="007A0689"/>
    <w:rsid w:val="007A085F"/>
    <w:rsid w:val="007A099F"/>
    <w:rsid w:val="007A0BA1"/>
    <w:rsid w:val="007A0BFF"/>
    <w:rsid w:val="007A0C76"/>
    <w:rsid w:val="007A0E47"/>
    <w:rsid w:val="007A0EC4"/>
    <w:rsid w:val="007A0F66"/>
    <w:rsid w:val="007A107A"/>
    <w:rsid w:val="007A10A3"/>
    <w:rsid w:val="007A1390"/>
    <w:rsid w:val="007A13FB"/>
    <w:rsid w:val="007A1438"/>
    <w:rsid w:val="007A1536"/>
    <w:rsid w:val="007A15B5"/>
    <w:rsid w:val="007A1712"/>
    <w:rsid w:val="007A171A"/>
    <w:rsid w:val="007A177A"/>
    <w:rsid w:val="007A1795"/>
    <w:rsid w:val="007A17FC"/>
    <w:rsid w:val="007A17FD"/>
    <w:rsid w:val="007A186C"/>
    <w:rsid w:val="007A1A79"/>
    <w:rsid w:val="007A1B12"/>
    <w:rsid w:val="007A1C65"/>
    <w:rsid w:val="007A1CC8"/>
    <w:rsid w:val="007A1CF6"/>
    <w:rsid w:val="007A1D45"/>
    <w:rsid w:val="007A1E5C"/>
    <w:rsid w:val="007A1E64"/>
    <w:rsid w:val="007A1E71"/>
    <w:rsid w:val="007A1E79"/>
    <w:rsid w:val="007A1FAB"/>
    <w:rsid w:val="007A1FE3"/>
    <w:rsid w:val="007A1FED"/>
    <w:rsid w:val="007A2126"/>
    <w:rsid w:val="007A2161"/>
    <w:rsid w:val="007A2212"/>
    <w:rsid w:val="007A22C4"/>
    <w:rsid w:val="007A22D6"/>
    <w:rsid w:val="007A237F"/>
    <w:rsid w:val="007A2412"/>
    <w:rsid w:val="007A24ED"/>
    <w:rsid w:val="007A2577"/>
    <w:rsid w:val="007A2581"/>
    <w:rsid w:val="007A25A1"/>
    <w:rsid w:val="007A264E"/>
    <w:rsid w:val="007A274B"/>
    <w:rsid w:val="007A2784"/>
    <w:rsid w:val="007A27D9"/>
    <w:rsid w:val="007A27E3"/>
    <w:rsid w:val="007A2848"/>
    <w:rsid w:val="007A2B07"/>
    <w:rsid w:val="007A2D60"/>
    <w:rsid w:val="007A2DF4"/>
    <w:rsid w:val="007A2DFE"/>
    <w:rsid w:val="007A2E03"/>
    <w:rsid w:val="007A2E42"/>
    <w:rsid w:val="007A2EB0"/>
    <w:rsid w:val="007A2F0C"/>
    <w:rsid w:val="007A310A"/>
    <w:rsid w:val="007A3113"/>
    <w:rsid w:val="007A31E0"/>
    <w:rsid w:val="007A321A"/>
    <w:rsid w:val="007A32CF"/>
    <w:rsid w:val="007A33AD"/>
    <w:rsid w:val="007A33EF"/>
    <w:rsid w:val="007A34C3"/>
    <w:rsid w:val="007A352A"/>
    <w:rsid w:val="007A3585"/>
    <w:rsid w:val="007A3854"/>
    <w:rsid w:val="007A3A24"/>
    <w:rsid w:val="007A3A57"/>
    <w:rsid w:val="007A3ECD"/>
    <w:rsid w:val="007A402D"/>
    <w:rsid w:val="007A40E7"/>
    <w:rsid w:val="007A41AF"/>
    <w:rsid w:val="007A41F9"/>
    <w:rsid w:val="007A422C"/>
    <w:rsid w:val="007A42B3"/>
    <w:rsid w:val="007A44F6"/>
    <w:rsid w:val="007A456D"/>
    <w:rsid w:val="007A4617"/>
    <w:rsid w:val="007A46A1"/>
    <w:rsid w:val="007A479C"/>
    <w:rsid w:val="007A47C0"/>
    <w:rsid w:val="007A4801"/>
    <w:rsid w:val="007A4833"/>
    <w:rsid w:val="007A4A06"/>
    <w:rsid w:val="007A4CF0"/>
    <w:rsid w:val="007A4D1D"/>
    <w:rsid w:val="007A4D2F"/>
    <w:rsid w:val="007A4D35"/>
    <w:rsid w:val="007A4DF3"/>
    <w:rsid w:val="007A4E4C"/>
    <w:rsid w:val="007A50CC"/>
    <w:rsid w:val="007A5127"/>
    <w:rsid w:val="007A51D5"/>
    <w:rsid w:val="007A5212"/>
    <w:rsid w:val="007A526A"/>
    <w:rsid w:val="007A533B"/>
    <w:rsid w:val="007A53D8"/>
    <w:rsid w:val="007A53E5"/>
    <w:rsid w:val="007A5420"/>
    <w:rsid w:val="007A547E"/>
    <w:rsid w:val="007A54E6"/>
    <w:rsid w:val="007A56A9"/>
    <w:rsid w:val="007A56EA"/>
    <w:rsid w:val="007A5783"/>
    <w:rsid w:val="007A593A"/>
    <w:rsid w:val="007A599F"/>
    <w:rsid w:val="007A5BA3"/>
    <w:rsid w:val="007A5CC2"/>
    <w:rsid w:val="007A5D3A"/>
    <w:rsid w:val="007A5DAE"/>
    <w:rsid w:val="007A5DD4"/>
    <w:rsid w:val="007A5E56"/>
    <w:rsid w:val="007A5E6E"/>
    <w:rsid w:val="007A5F06"/>
    <w:rsid w:val="007A5FA4"/>
    <w:rsid w:val="007A5FF2"/>
    <w:rsid w:val="007A6011"/>
    <w:rsid w:val="007A6108"/>
    <w:rsid w:val="007A6185"/>
    <w:rsid w:val="007A6261"/>
    <w:rsid w:val="007A63F3"/>
    <w:rsid w:val="007A6499"/>
    <w:rsid w:val="007A665A"/>
    <w:rsid w:val="007A6793"/>
    <w:rsid w:val="007A68E1"/>
    <w:rsid w:val="007A69BC"/>
    <w:rsid w:val="007A6C1E"/>
    <w:rsid w:val="007A6C85"/>
    <w:rsid w:val="007A6C8A"/>
    <w:rsid w:val="007A6D46"/>
    <w:rsid w:val="007A6D4C"/>
    <w:rsid w:val="007A6E97"/>
    <w:rsid w:val="007A6F44"/>
    <w:rsid w:val="007A6F45"/>
    <w:rsid w:val="007A6F86"/>
    <w:rsid w:val="007A727C"/>
    <w:rsid w:val="007A7299"/>
    <w:rsid w:val="007A72A2"/>
    <w:rsid w:val="007A72A5"/>
    <w:rsid w:val="007A7382"/>
    <w:rsid w:val="007A73C1"/>
    <w:rsid w:val="007A746C"/>
    <w:rsid w:val="007A74D4"/>
    <w:rsid w:val="007A74D8"/>
    <w:rsid w:val="007A7502"/>
    <w:rsid w:val="007A763B"/>
    <w:rsid w:val="007A7643"/>
    <w:rsid w:val="007A77BE"/>
    <w:rsid w:val="007A78A2"/>
    <w:rsid w:val="007A78E4"/>
    <w:rsid w:val="007A793C"/>
    <w:rsid w:val="007A79FA"/>
    <w:rsid w:val="007A7A1C"/>
    <w:rsid w:val="007A7AED"/>
    <w:rsid w:val="007A7B02"/>
    <w:rsid w:val="007A7B15"/>
    <w:rsid w:val="007A7B48"/>
    <w:rsid w:val="007A7BE4"/>
    <w:rsid w:val="007A7CED"/>
    <w:rsid w:val="007A7D6C"/>
    <w:rsid w:val="007A7D85"/>
    <w:rsid w:val="007A7EA3"/>
    <w:rsid w:val="007A7F9E"/>
    <w:rsid w:val="007A7FE9"/>
    <w:rsid w:val="007B001E"/>
    <w:rsid w:val="007B00DA"/>
    <w:rsid w:val="007B028D"/>
    <w:rsid w:val="007B0313"/>
    <w:rsid w:val="007B035F"/>
    <w:rsid w:val="007B0581"/>
    <w:rsid w:val="007B063B"/>
    <w:rsid w:val="007B07D4"/>
    <w:rsid w:val="007B07EB"/>
    <w:rsid w:val="007B0804"/>
    <w:rsid w:val="007B08CA"/>
    <w:rsid w:val="007B09C7"/>
    <w:rsid w:val="007B0A82"/>
    <w:rsid w:val="007B0AF7"/>
    <w:rsid w:val="007B0B5D"/>
    <w:rsid w:val="007B0DAF"/>
    <w:rsid w:val="007B0E2C"/>
    <w:rsid w:val="007B1117"/>
    <w:rsid w:val="007B1127"/>
    <w:rsid w:val="007B131A"/>
    <w:rsid w:val="007B13A6"/>
    <w:rsid w:val="007B14CA"/>
    <w:rsid w:val="007B160C"/>
    <w:rsid w:val="007B1664"/>
    <w:rsid w:val="007B16AD"/>
    <w:rsid w:val="007B1744"/>
    <w:rsid w:val="007B1746"/>
    <w:rsid w:val="007B177E"/>
    <w:rsid w:val="007B17CA"/>
    <w:rsid w:val="007B17EE"/>
    <w:rsid w:val="007B1925"/>
    <w:rsid w:val="007B1944"/>
    <w:rsid w:val="007B19DC"/>
    <w:rsid w:val="007B1ACB"/>
    <w:rsid w:val="007B1C6E"/>
    <w:rsid w:val="007B1E99"/>
    <w:rsid w:val="007B2092"/>
    <w:rsid w:val="007B20B2"/>
    <w:rsid w:val="007B20D3"/>
    <w:rsid w:val="007B20F8"/>
    <w:rsid w:val="007B2165"/>
    <w:rsid w:val="007B21DF"/>
    <w:rsid w:val="007B21FA"/>
    <w:rsid w:val="007B22E4"/>
    <w:rsid w:val="007B22EA"/>
    <w:rsid w:val="007B231A"/>
    <w:rsid w:val="007B2342"/>
    <w:rsid w:val="007B23AE"/>
    <w:rsid w:val="007B23BC"/>
    <w:rsid w:val="007B2442"/>
    <w:rsid w:val="007B2502"/>
    <w:rsid w:val="007B25FE"/>
    <w:rsid w:val="007B263C"/>
    <w:rsid w:val="007B265D"/>
    <w:rsid w:val="007B266C"/>
    <w:rsid w:val="007B2694"/>
    <w:rsid w:val="007B270D"/>
    <w:rsid w:val="007B2782"/>
    <w:rsid w:val="007B287A"/>
    <w:rsid w:val="007B28E4"/>
    <w:rsid w:val="007B2919"/>
    <w:rsid w:val="007B291E"/>
    <w:rsid w:val="007B2992"/>
    <w:rsid w:val="007B2A3E"/>
    <w:rsid w:val="007B2A90"/>
    <w:rsid w:val="007B2ABA"/>
    <w:rsid w:val="007B2AC9"/>
    <w:rsid w:val="007B2AE5"/>
    <w:rsid w:val="007B2B4A"/>
    <w:rsid w:val="007B2BE8"/>
    <w:rsid w:val="007B2C73"/>
    <w:rsid w:val="007B2E03"/>
    <w:rsid w:val="007B2E5C"/>
    <w:rsid w:val="007B2E66"/>
    <w:rsid w:val="007B2F9E"/>
    <w:rsid w:val="007B2FA5"/>
    <w:rsid w:val="007B3202"/>
    <w:rsid w:val="007B3228"/>
    <w:rsid w:val="007B32F6"/>
    <w:rsid w:val="007B3478"/>
    <w:rsid w:val="007B349C"/>
    <w:rsid w:val="007B3664"/>
    <w:rsid w:val="007B370A"/>
    <w:rsid w:val="007B3784"/>
    <w:rsid w:val="007B37A9"/>
    <w:rsid w:val="007B37D0"/>
    <w:rsid w:val="007B3874"/>
    <w:rsid w:val="007B3954"/>
    <w:rsid w:val="007B3A9C"/>
    <w:rsid w:val="007B3AD6"/>
    <w:rsid w:val="007B3DC4"/>
    <w:rsid w:val="007B3E2C"/>
    <w:rsid w:val="007B3EF0"/>
    <w:rsid w:val="007B3F42"/>
    <w:rsid w:val="007B3F57"/>
    <w:rsid w:val="007B41CF"/>
    <w:rsid w:val="007B422F"/>
    <w:rsid w:val="007B42C4"/>
    <w:rsid w:val="007B43D6"/>
    <w:rsid w:val="007B4456"/>
    <w:rsid w:val="007B447C"/>
    <w:rsid w:val="007B4487"/>
    <w:rsid w:val="007B4759"/>
    <w:rsid w:val="007B47CC"/>
    <w:rsid w:val="007B47F0"/>
    <w:rsid w:val="007B486A"/>
    <w:rsid w:val="007B4A23"/>
    <w:rsid w:val="007B4ABF"/>
    <w:rsid w:val="007B4B54"/>
    <w:rsid w:val="007B4B5A"/>
    <w:rsid w:val="007B4C14"/>
    <w:rsid w:val="007B4C3C"/>
    <w:rsid w:val="007B4E0D"/>
    <w:rsid w:val="007B507A"/>
    <w:rsid w:val="007B50D9"/>
    <w:rsid w:val="007B50DC"/>
    <w:rsid w:val="007B514C"/>
    <w:rsid w:val="007B51F9"/>
    <w:rsid w:val="007B5337"/>
    <w:rsid w:val="007B5509"/>
    <w:rsid w:val="007B5579"/>
    <w:rsid w:val="007B566C"/>
    <w:rsid w:val="007B5749"/>
    <w:rsid w:val="007B57C1"/>
    <w:rsid w:val="007B58B7"/>
    <w:rsid w:val="007B5A79"/>
    <w:rsid w:val="007B5B9B"/>
    <w:rsid w:val="007B5CD5"/>
    <w:rsid w:val="007B5E59"/>
    <w:rsid w:val="007B5E5D"/>
    <w:rsid w:val="007B5F2D"/>
    <w:rsid w:val="007B5F8D"/>
    <w:rsid w:val="007B6029"/>
    <w:rsid w:val="007B613C"/>
    <w:rsid w:val="007B6160"/>
    <w:rsid w:val="007B61FC"/>
    <w:rsid w:val="007B6218"/>
    <w:rsid w:val="007B62DC"/>
    <w:rsid w:val="007B6463"/>
    <w:rsid w:val="007B658B"/>
    <w:rsid w:val="007B6649"/>
    <w:rsid w:val="007B6810"/>
    <w:rsid w:val="007B694B"/>
    <w:rsid w:val="007B69E0"/>
    <w:rsid w:val="007B6C16"/>
    <w:rsid w:val="007B6C3C"/>
    <w:rsid w:val="007B6CC1"/>
    <w:rsid w:val="007B6D70"/>
    <w:rsid w:val="007B6DD4"/>
    <w:rsid w:val="007B6E4D"/>
    <w:rsid w:val="007B6F43"/>
    <w:rsid w:val="007B70D5"/>
    <w:rsid w:val="007B71A4"/>
    <w:rsid w:val="007B725D"/>
    <w:rsid w:val="007B72E8"/>
    <w:rsid w:val="007B735A"/>
    <w:rsid w:val="007B7424"/>
    <w:rsid w:val="007B7470"/>
    <w:rsid w:val="007B74AE"/>
    <w:rsid w:val="007B7613"/>
    <w:rsid w:val="007B78F7"/>
    <w:rsid w:val="007B7901"/>
    <w:rsid w:val="007B7981"/>
    <w:rsid w:val="007B7B3F"/>
    <w:rsid w:val="007B7B6E"/>
    <w:rsid w:val="007B7C39"/>
    <w:rsid w:val="007B7D0E"/>
    <w:rsid w:val="007B7D27"/>
    <w:rsid w:val="007B7DDF"/>
    <w:rsid w:val="007B7E44"/>
    <w:rsid w:val="007B7EA7"/>
    <w:rsid w:val="007B7F30"/>
    <w:rsid w:val="007B7F80"/>
    <w:rsid w:val="007B7FB9"/>
    <w:rsid w:val="007C00B6"/>
    <w:rsid w:val="007C014B"/>
    <w:rsid w:val="007C01F4"/>
    <w:rsid w:val="007C0406"/>
    <w:rsid w:val="007C044B"/>
    <w:rsid w:val="007C04A6"/>
    <w:rsid w:val="007C052D"/>
    <w:rsid w:val="007C059D"/>
    <w:rsid w:val="007C0616"/>
    <w:rsid w:val="007C0720"/>
    <w:rsid w:val="007C07FC"/>
    <w:rsid w:val="007C0813"/>
    <w:rsid w:val="007C097C"/>
    <w:rsid w:val="007C09E9"/>
    <w:rsid w:val="007C0A25"/>
    <w:rsid w:val="007C0A9E"/>
    <w:rsid w:val="007C0ADA"/>
    <w:rsid w:val="007C0AE6"/>
    <w:rsid w:val="007C0B8F"/>
    <w:rsid w:val="007C0BF2"/>
    <w:rsid w:val="007C0BFE"/>
    <w:rsid w:val="007C0C10"/>
    <w:rsid w:val="007C0C8E"/>
    <w:rsid w:val="007C0CAD"/>
    <w:rsid w:val="007C0DF2"/>
    <w:rsid w:val="007C0E68"/>
    <w:rsid w:val="007C0E8C"/>
    <w:rsid w:val="007C0FD5"/>
    <w:rsid w:val="007C0FF7"/>
    <w:rsid w:val="007C1006"/>
    <w:rsid w:val="007C1018"/>
    <w:rsid w:val="007C113E"/>
    <w:rsid w:val="007C11A4"/>
    <w:rsid w:val="007C12C6"/>
    <w:rsid w:val="007C147E"/>
    <w:rsid w:val="007C1555"/>
    <w:rsid w:val="007C1586"/>
    <w:rsid w:val="007C15B0"/>
    <w:rsid w:val="007C15D8"/>
    <w:rsid w:val="007C17B8"/>
    <w:rsid w:val="007C17E6"/>
    <w:rsid w:val="007C181C"/>
    <w:rsid w:val="007C1922"/>
    <w:rsid w:val="007C195A"/>
    <w:rsid w:val="007C1B1D"/>
    <w:rsid w:val="007C1B2E"/>
    <w:rsid w:val="007C1C11"/>
    <w:rsid w:val="007C1C62"/>
    <w:rsid w:val="007C1D6E"/>
    <w:rsid w:val="007C1DE4"/>
    <w:rsid w:val="007C1ED0"/>
    <w:rsid w:val="007C1F20"/>
    <w:rsid w:val="007C1FAB"/>
    <w:rsid w:val="007C1FB1"/>
    <w:rsid w:val="007C1FCF"/>
    <w:rsid w:val="007C227C"/>
    <w:rsid w:val="007C271C"/>
    <w:rsid w:val="007C2750"/>
    <w:rsid w:val="007C277E"/>
    <w:rsid w:val="007C27AE"/>
    <w:rsid w:val="007C2881"/>
    <w:rsid w:val="007C2930"/>
    <w:rsid w:val="007C2A41"/>
    <w:rsid w:val="007C2A50"/>
    <w:rsid w:val="007C2A7A"/>
    <w:rsid w:val="007C2A87"/>
    <w:rsid w:val="007C2C4F"/>
    <w:rsid w:val="007C2E56"/>
    <w:rsid w:val="007C2EBC"/>
    <w:rsid w:val="007C2F50"/>
    <w:rsid w:val="007C3148"/>
    <w:rsid w:val="007C31EC"/>
    <w:rsid w:val="007C3252"/>
    <w:rsid w:val="007C3255"/>
    <w:rsid w:val="007C33E0"/>
    <w:rsid w:val="007C3478"/>
    <w:rsid w:val="007C34E3"/>
    <w:rsid w:val="007C355E"/>
    <w:rsid w:val="007C3628"/>
    <w:rsid w:val="007C368C"/>
    <w:rsid w:val="007C3757"/>
    <w:rsid w:val="007C37BE"/>
    <w:rsid w:val="007C3855"/>
    <w:rsid w:val="007C3871"/>
    <w:rsid w:val="007C38C2"/>
    <w:rsid w:val="007C3B4A"/>
    <w:rsid w:val="007C3BE0"/>
    <w:rsid w:val="007C3C5F"/>
    <w:rsid w:val="007C3F36"/>
    <w:rsid w:val="007C3FA6"/>
    <w:rsid w:val="007C408A"/>
    <w:rsid w:val="007C41C7"/>
    <w:rsid w:val="007C430A"/>
    <w:rsid w:val="007C4333"/>
    <w:rsid w:val="007C4358"/>
    <w:rsid w:val="007C43F3"/>
    <w:rsid w:val="007C440D"/>
    <w:rsid w:val="007C444F"/>
    <w:rsid w:val="007C4533"/>
    <w:rsid w:val="007C45F5"/>
    <w:rsid w:val="007C467F"/>
    <w:rsid w:val="007C472C"/>
    <w:rsid w:val="007C47B1"/>
    <w:rsid w:val="007C47FE"/>
    <w:rsid w:val="007C4856"/>
    <w:rsid w:val="007C4865"/>
    <w:rsid w:val="007C499F"/>
    <w:rsid w:val="007C49D1"/>
    <w:rsid w:val="007C4A8D"/>
    <w:rsid w:val="007C4AD7"/>
    <w:rsid w:val="007C4B4D"/>
    <w:rsid w:val="007C4B9B"/>
    <w:rsid w:val="007C4BB2"/>
    <w:rsid w:val="007C4C87"/>
    <w:rsid w:val="007C4DC6"/>
    <w:rsid w:val="007C4DEA"/>
    <w:rsid w:val="007C4E42"/>
    <w:rsid w:val="007C4ECF"/>
    <w:rsid w:val="007C5026"/>
    <w:rsid w:val="007C50DF"/>
    <w:rsid w:val="007C51E8"/>
    <w:rsid w:val="007C53D8"/>
    <w:rsid w:val="007C545D"/>
    <w:rsid w:val="007C547F"/>
    <w:rsid w:val="007C54A2"/>
    <w:rsid w:val="007C550A"/>
    <w:rsid w:val="007C552A"/>
    <w:rsid w:val="007C5560"/>
    <w:rsid w:val="007C5621"/>
    <w:rsid w:val="007C5647"/>
    <w:rsid w:val="007C5656"/>
    <w:rsid w:val="007C56A4"/>
    <w:rsid w:val="007C57DC"/>
    <w:rsid w:val="007C5985"/>
    <w:rsid w:val="007C59DC"/>
    <w:rsid w:val="007C5A29"/>
    <w:rsid w:val="007C5B39"/>
    <w:rsid w:val="007C5BCC"/>
    <w:rsid w:val="007C5CA5"/>
    <w:rsid w:val="007C5CC7"/>
    <w:rsid w:val="007C5D2D"/>
    <w:rsid w:val="007C5DBD"/>
    <w:rsid w:val="007C5DE8"/>
    <w:rsid w:val="007C5FC9"/>
    <w:rsid w:val="007C5FE4"/>
    <w:rsid w:val="007C621B"/>
    <w:rsid w:val="007C6232"/>
    <w:rsid w:val="007C6536"/>
    <w:rsid w:val="007C67CD"/>
    <w:rsid w:val="007C67DF"/>
    <w:rsid w:val="007C689A"/>
    <w:rsid w:val="007C6B25"/>
    <w:rsid w:val="007C6B6B"/>
    <w:rsid w:val="007C6B92"/>
    <w:rsid w:val="007C6C9B"/>
    <w:rsid w:val="007C6CAC"/>
    <w:rsid w:val="007C6D58"/>
    <w:rsid w:val="007C6F76"/>
    <w:rsid w:val="007C6FF3"/>
    <w:rsid w:val="007C7074"/>
    <w:rsid w:val="007C7137"/>
    <w:rsid w:val="007C7207"/>
    <w:rsid w:val="007C7238"/>
    <w:rsid w:val="007C728E"/>
    <w:rsid w:val="007C72C9"/>
    <w:rsid w:val="007C735C"/>
    <w:rsid w:val="007C73F4"/>
    <w:rsid w:val="007C751B"/>
    <w:rsid w:val="007C75A6"/>
    <w:rsid w:val="007C7624"/>
    <w:rsid w:val="007C7763"/>
    <w:rsid w:val="007C78A2"/>
    <w:rsid w:val="007C78AC"/>
    <w:rsid w:val="007C78E5"/>
    <w:rsid w:val="007C794D"/>
    <w:rsid w:val="007C797C"/>
    <w:rsid w:val="007C7A18"/>
    <w:rsid w:val="007C7AFC"/>
    <w:rsid w:val="007C7BA9"/>
    <w:rsid w:val="007C7C3F"/>
    <w:rsid w:val="007C7CCA"/>
    <w:rsid w:val="007C7D7B"/>
    <w:rsid w:val="007C7DB0"/>
    <w:rsid w:val="007C7E8E"/>
    <w:rsid w:val="007D002A"/>
    <w:rsid w:val="007D0066"/>
    <w:rsid w:val="007D00E9"/>
    <w:rsid w:val="007D018D"/>
    <w:rsid w:val="007D0236"/>
    <w:rsid w:val="007D02AF"/>
    <w:rsid w:val="007D02F6"/>
    <w:rsid w:val="007D0321"/>
    <w:rsid w:val="007D0376"/>
    <w:rsid w:val="007D03D0"/>
    <w:rsid w:val="007D0607"/>
    <w:rsid w:val="007D070E"/>
    <w:rsid w:val="007D07EB"/>
    <w:rsid w:val="007D080D"/>
    <w:rsid w:val="007D0940"/>
    <w:rsid w:val="007D0992"/>
    <w:rsid w:val="007D09E3"/>
    <w:rsid w:val="007D09F3"/>
    <w:rsid w:val="007D0A18"/>
    <w:rsid w:val="007D0AAA"/>
    <w:rsid w:val="007D0AFD"/>
    <w:rsid w:val="007D0C2A"/>
    <w:rsid w:val="007D0C71"/>
    <w:rsid w:val="007D0D2E"/>
    <w:rsid w:val="007D0EA4"/>
    <w:rsid w:val="007D106D"/>
    <w:rsid w:val="007D1088"/>
    <w:rsid w:val="007D116D"/>
    <w:rsid w:val="007D1176"/>
    <w:rsid w:val="007D121E"/>
    <w:rsid w:val="007D1229"/>
    <w:rsid w:val="007D12C3"/>
    <w:rsid w:val="007D12FE"/>
    <w:rsid w:val="007D1362"/>
    <w:rsid w:val="007D13E6"/>
    <w:rsid w:val="007D14D1"/>
    <w:rsid w:val="007D15FF"/>
    <w:rsid w:val="007D1604"/>
    <w:rsid w:val="007D1637"/>
    <w:rsid w:val="007D1728"/>
    <w:rsid w:val="007D17F7"/>
    <w:rsid w:val="007D1870"/>
    <w:rsid w:val="007D188C"/>
    <w:rsid w:val="007D18E1"/>
    <w:rsid w:val="007D1A0D"/>
    <w:rsid w:val="007D1A35"/>
    <w:rsid w:val="007D1AB8"/>
    <w:rsid w:val="007D1ACE"/>
    <w:rsid w:val="007D1B62"/>
    <w:rsid w:val="007D1CE0"/>
    <w:rsid w:val="007D1E31"/>
    <w:rsid w:val="007D1E4A"/>
    <w:rsid w:val="007D2007"/>
    <w:rsid w:val="007D2184"/>
    <w:rsid w:val="007D2197"/>
    <w:rsid w:val="007D224C"/>
    <w:rsid w:val="007D22B9"/>
    <w:rsid w:val="007D233D"/>
    <w:rsid w:val="007D2597"/>
    <w:rsid w:val="007D2689"/>
    <w:rsid w:val="007D26C8"/>
    <w:rsid w:val="007D28C2"/>
    <w:rsid w:val="007D294A"/>
    <w:rsid w:val="007D299F"/>
    <w:rsid w:val="007D2A2C"/>
    <w:rsid w:val="007D2A46"/>
    <w:rsid w:val="007D2A4C"/>
    <w:rsid w:val="007D2A58"/>
    <w:rsid w:val="007D2B02"/>
    <w:rsid w:val="007D2CC6"/>
    <w:rsid w:val="007D2DCA"/>
    <w:rsid w:val="007D2ED7"/>
    <w:rsid w:val="007D2EDB"/>
    <w:rsid w:val="007D2FA9"/>
    <w:rsid w:val="007D3066"/>
    <w:rsid w:val="007D30F9"/>
    <w:rsid w:val="007D3298"/>
    <w:rsid w:val="007D32D9"/>
    <w:rsid w:val="007D32F1"/>
    <w:rsid w:val="007D3345"/>
    <w:rsid w:val="007D345E"/>
    <w:rsid w:val="007D35C4"/>
    <w:rsid w:val="007D35E9"/>
    <w:rsid w:val="007D35F6"/>
    <w:rsid w:val="007D3668"/>
    <w:rsid w:val="007D38C7"/>
    <w:rsid w:val="007D3924"/>
    <w:rsid w:val="007D3A70"/>
    <w:rsid w:val="007D3C25"/>
    <w:rsid w:val="007D3F83"/>
    <w:rsid w:val="007D3FFC"/>
    <w:rsid w:val="007D3FFD"/>
    <w:rsid w:val="007D4145"/>
    <w:rsid w:val="007D431C"/>
    <w:rsid w:val="007D4440"/>
    <w:rsid w:val="007D4504"/>
    <w:rsid w:val="007D4654"/>
    <w:rsid w:val="007D4666"/>
    <w:rsid w:val="007D4698"/>
    <w:rsid w:val="007D46B7"/>
    <w:rsid w:val="007D4709"/>
    <w:rsid w:val="007D4A4C"/>
    <w:rsid w:val="007D4A66"/>
    <w:rsid w:val="007D4C88"/>
    <w:rsid w:val="007D4C94"/>
    <w:rsid w:val="007D4CAF"/>
    <w:rsid w:val="007D4DC5"/>
    <w:rsid w:val="007D4E01"/>
    <w:rsid w:val="007D4E53"/>
    <w:rsid w:val="007D4EAE"/>
    <w:rsid w:val="007D4EB4"/>
    <w:rsid w:val="007D4EFD"/>
    <w:rsid w:val="007D4FC4"/>
    <w:rsid w:val="007D5027"/>
    <w:rsid w:val="007D516E"/>
    <w:rsid w:val="007D5237"/>
    <w:rsid w:val="007D5295"/>
    <w:rsid w:val="007D530A"/>
    <w:rsid w:val="007D538F"/>
    <w:rsid w:val="007D53CB"/>
    <w:rsid w:val="007D54ED"/>
    <w:rsid w:val="007D554F"/>
    <w:rsid w:val="007D56BC"/>
    <w:rsid w:val="007D583F"/>
    <w:rsid w:val="007D5889"/>
    <w:rsid w:val="007D59FB"/>
    <w:rsid w:val="007D5AFA"/>
    <w:rsid w:val="007D5C56"/>
    <w:rsid w:val="007D5E0B"/>
    <w:rsid w:val="007D5E7D"/>
    <w:rsid w:val="007D60E7"/>
    <w:rsid w:val="007D619B"/>
    <w:rsid w:val="007D61EA"/>
    <w:rsid w:val="007D624C"/>
    <w:rsid w:val="007D63F4"/>
    <w:rsid w:val="007D6433"/>
    <w:rsid w:val="007D64D1"/>
    <w:rsid w:val="007D6535"/>
    <w:rsid w:val="007D6540"/>
    <w:rsid w:val="007D655B"/>
    <w:rsid w:val="007D65A7"/>
    <w:rsid w:val="007D66D0"/>
    <w:rsid w:val="007D672E"/>
    <w:rsid w:val="007D678F"/>
    <w:rsid w:val="007D68FB"/>
    <w:rsid w:val="007D696A"/>
    <w:rsid w:val="007D6A43"/>
    <w:rsid w:val="007D6AEA"/>
    <w:rsid w:val="007D6CBA"/>
    <w:rsid w:val="007D6DD5"/>
    <w:rsid w:val="007D6E71"/>
    <w:rsid w:val="007D6F6A"/>
    <w:rsid w:val="007D6FA5"/>
    <w:rsid w:val="007D6FC9"/>
    <w:rsid w:val="007D6FE0"/>
    <w:rsid w:val="007D6FE7"/>
    <w:rsid w:val="007D7155"/>
    <w:rsid w:val="007D71C0"/>
    <w:rsid w:val="007D723F"/>
    <w:rsid w:val="007D74A9"/>
    <w:rsid w:val="007D74B0"/>
    <w:rsid w:val="007D7677"/>
    <w:rsid w:val="007D76D3"/>
    <w:rsid w:val="007D78C3"/>
    <w:rsid w:val="007D7908"/>
    <w:rsid w:val="007D79BE"/>
    <w:rsid w:val="007D7B1D"/>
    <w:rsid w:val="007D7E0A"/>
    <w:rsid w:val="007D7E23"/>
    <w:rsid w:val="007D7F84"/>
    <w:rsid w:val="007D7FAD"/>
    <w:rsid w:val="007E000A"/>
    <w:rsid w:val="007E00C8"/>
    <w:rsid w:val="007E01D8"/>
    <w:rsid w:val="007E0260"/>
    <w:rsid w:val="007E034E"/>
    <w:rsid w:val="007E044A"/>
    <w:rsid w:val="007E05B0"/>
    <w:rsid w:val="007E060D"/>
    <w:rsid w:val="007E06D0"/>
    <w:rsid w:val="007E0723"/>
    <w:rsid w:val="007E073A"/>
    <w:rsid w:val="007E07C8"/>
    <w:rsid w:val="007E0810"/>
    <w:rsid w:val="007E0861"/>
    <w:rsid w:val="007E0867"/>
    <w:rsid w:val="007E0869"/>
    <w:rsid w:val="007E08F2"/>
    <w:rsid w:val="007E08FC"/>
    <w:rsid w:val="007E0949"/>
    <w:rsid w:val="007E0964"/>
    <w:rsid w:val="007E09C3"/>
    <w:rsid w:val="007E0AD8"/>
    <w:rsid w:val="007E0B3E"/>
    <w:rsid w:val="007E0CBA"/>
    <w:rsid w:val="007E0D18"/>
    <w:rsid w:val="007E0D1E"/>
    <w:rsid w:val="007E112C"/>
    <w:rsid w:val="007E145B"/>
    <w:rsid w:val="007E14F9"/>
    <w:rsid w:val="007E152E"/>
    <w:rsid w:val="007E17C0"/>
    <w:rsid w:val="007E183F"/>
    <w:rsid w:val="007E1A2E"/>
    <w:rsid w:val="007E1A46"/>
    <w:rsid w:val="007E1A73"/>
    <w:rsid w:val="007E1B08"/>
    <w:rsid w:val="007E1B56"/>
    <w:rsid w:val="007E1C9A"/>
    <w:rsid w:val="007E1FC7"/>
    <w:rsid w:val="007E1FE3"/>
    <w:rsid w:val="007E1FEF"/>
    <w:rsid w:val="007E203D"/>
    <w:rsid w:val="007E2165"/>
    <w:rsid w:val="007E217A"/>
    <w:rsid w:val="007E2193"/>
    <w:rsid w:val="007E22B0"/>
    <w:rsid w:val="007E22FA"/>
    <w:rsid w:val="007E23C9"/>
    <w:rsid w:val="007E24B3"/>
    <w:rsid w:val="007E2564"/>
    <w:rsid w:val="007E2679"/>
    <w:rsid w:val="007E26A3"/>
    <w:rsid w:val="007E26D8"/>
    <w:rsid w:val="007E276B"/>
    <w:rsid w:val="007E28AF"/>
    <w:rsid w:val="007E29E9"/>
    <w:rsid w:val="007E2A41"/>
    <w:rsid w:val="007E2BAF"/>
    <w:rsid w:val="007E2BC6"/>
    <w:rsid w:val="007E2C7B"/>
    <w:rsid w:val="007E2CA6"/>
    <w:rsid w:val="007E2D6B"/>
    <w:rsid w:val="007E321D"/>
    <w:rsid w:val="007E3300"/>
    <w:rsid w:val="007E3802"/>
    <w:rsid w:val="007E38EA"/>
    <w:rsid w:val="007E397A"/>
    <w:rsid w:val="007E3AB6"/>
    <w:rsid w:val="007E3B4D"/>
    <w:rsid w:val="007E3BF1"/>
    <w:rsid w:val="007E3C77"/>
    <w:rsid w:val="007E3CDA"/>
    <w:rsid w:val="007E3D1F"/>
    <w:rsid w:val="007E3DAB"/>
    <w:rsid w:val="007E3E6D"/>
    <w:rsid w:val="007E3F8C"/>
    <w:rsid w:val="007E3FAA"/>
    <w:rsid w:val="007E3FDC"/>
    <w:rsid w:val="007E40C8"/>
    <w:rsid w:val="007E4104"/>
    <w:rsid w:val="007E41AE"/>
    <w:rsid w:val="007E4221"/>
    <w:rsid w:val="007E4417"/>
    <w:rsid w:val="007E4574"/>
    <w:rsid w:val="007E464F"/>
    <w:rsid w:val="007E47D3"/>
    <w:rsid w:val="007E47F5"/>
    <w:rsid w:val="007E48D3"/>
    <w:rsid w:val="007E48F7"/>
    <w:rsid w:val="007E4947"/>
    <w:rsid w:val="007E4B6C"/>
    <w:rsid w:val="007E4C9A"/>
    <w:rsid w:val="007E4D67"/>
    <w:rsid w:val="007E4E41"/>
    <w:rsid w:val="007E4E4C"/>
    <w:rsid w:val="007E4EBA"/>
    <w:rsid w:val="007E4FA5"/>
    <w:rsid w:val="007E505F"/>
    <w:rsid w:val="007E51ED"/>
    <w:rsid w:val="007E530B"/>
    <w:rsid w:val="007E556C"/>
    <w:rsid w:val="007E55B2"/>
    <w:rsid w:val="007E55CB"/>
    <w:rsid w:val="007E5833"/>
    <w:rsid w:val="007E59DE"/>
    <w:rsid w:val="007E5A12"/>
    <w:rsid w:val="007E5A40"/>
    <w:rsid w:val="007E5AE7"/>
    <w:rsid w:val="007E5C5E"/>
    <w:rsid w:val="007E5CFF"/>
    <w:rsid w:val="007E5D82"/>
    <w:rsid w:val="007E5DA4"/>
    <w:rsid w:val="007E5DF1"/>
    <w:rsid w:val="007E5EB0"/>
    <w:rsid w:val="007E5EFB"/>
    <w:rsid w:val="007E5FB5"/>
    <w:rsid w:val="007E5FE6"/>
    <w:rsid w:val="007E5FF9"/>
    <w:rsid w:val="007E6090"/>
    <w:rsid w:val="007E60C5"/>
    <w:rsid w:val="007E6106"/>
    <w:rsid w:val="007E61A3"/>
    <w:rsid w:val="007E628B"/>
    <w:rsid w:val="007E62F5"/>
    <w:rsid w:val="007E6322"/>
    <w:rsid w:val="007E6346"/>
    <w:rsid w:val="007E640F"/>
    <w:rsid w:val="007E6470"/>
    <w:rsid w:val="007E6516"/>
    <w:rsid w:val="007E6621"/>
    <w:rsid w:val="007E662E"/>
    <w:rsid w:val="007E6696"/>
    <w:rsid w:val="007E66CA"/>
    <w:rsid w:val="007E6898"/>
    <w:rsid w:val="007E695F"/>
    <w:rsid w:val="007E69D0"/>
    <w:rsid w:val="007E6B57"/>
    <w:rsid w:val="007E6B81"/>
    <w:rsid w:val="007E6C4C"/>
    <w:rsid w:val="007E6C5B"/>
    <w:rsid w:val="007E6CC8"/>
    <w:rsid w:val="007E6D70"/>
    <w:rsid w:val="007E6F6F"/>
    <w:rsid w:val="007E7036"/>
    <w:rsid w:val="007E7259"/>
    <w:rsid w:val="007E72FD"/>
    <w:rsid w:val="007E7823"/>
    <w:rsid w:val="007E7902"/>
    <w:rsid w:val="007E7A3D"/>
    <w:rsid w:val="007E7A74"/>
    <w:rsid w:val="007E7AE4"/>
    <w:rsid w:val="007E7B34"/>
    <w:rsid w:val="007E7BD2"/>
    <w:rsid w:val="007E7CE8"/>
    <w:rsid w:val="007E7D9F"/>
    <w:rsid w:val="007E7EFB"/>
    <w:rsid w:val="007E7F18"/>
    <w:rsid w:val="007E7F9C"/>
    <w:rsid w:val="007E7FC1"/>
    <w:rsid w:val="007F0091"/>
    <w:rsid w:val="007F009D"/>
    <w:rsid w:val="007F00C2"/>
    <w:rsid w:val="007F00CB"/>
    <w:rsid w:val="007F0185"/>
    <w:rsid w:val="007F0446"/>
    <w:rsid w:val="007F0479"/>
    <w:rsid w:val="007F0494"/>
    <w:rsid w:val="007F054D"/>
    <w:rsid w:val="007F0924"/>
    <w:rsid w:val="007F0B5B"/>
    <w:rsid w:val="007F0C30"/>
    <w:rsid w:val="007F0C98"/>
    <w:rsid w:val="007F0CF3"/>
    <w:rsid w:val="007F0D1B"/>
    <w:rsid w:val="007F0F31"/>
    <w:rsid w:val="007F0FBB"/>
    <w:rsid w:val="007F1183"/>
    <w:rsid w:val="007F1199"/>
    <w:rsid w:val="007F11C5"/>
    <w:rsid w:val="007F11E4"/>
    <w:rsid w:val="007F11FF"/>
    <w:rsid w:val="007F12B2"/>
    <w:rsid w:val="007F1425"/>
    <w:rsid w:val="007F1684"/>
    <w:rsid w:val="007F16E6"/>
    <w:rsid w:val="007F18CB"/>
    <w:rsid w:val="007F18F1"/>
    <w:rsid w:val="007F1930"/>
    <w:rsid w:val="007F195E"/>
    <w:rsid w:val="007F197D"/>
    <w:rsid w:val="007F19F7"/>
    <w:rsid w:val="007F1B25"/>
    <w:rsid w:val="007F1BCB"/>
    <w:rsid w:val="007F1D0F"/>
    <w:rsid w:val="007F1E30"/>
    <w:rsid w:val="007F1EBB"/>
    <w:rsid w:val="007F210E"/>
    <w:rsid w:val="007F21AF"/>
    <w:rsid w:val="007F2360"/>
    <w:rsid w:val="007F23DF"/>
    <w:rsid w:val="007F240A"/>
    <w:rsid w:val="007F280E"/>
    <w:rsid w:val="007F28EB"/>
    <w:rsid w:val="007F2911"/>
    <w:rsid w:val="007F2ACC"/>
    <w:rsid w:val="007F2B8B"/>
    <w:rsid w:val="007F2E06"/>
    <w:rsid w:val="007F2E61"/>
    <w:rsid w:val="007F2EB6"/>
    <w:rsid w:val="007F2F21"/>
    <w:rsid w:val="007F2F5C"/>
    <w:rsid w:val="007F2F78"/>
    <w:rsid w:val="007F2FB0"/>
    <w:rsid w:val="007F30F7"/>
    <w:rsid w:val="007F31B4"/>
    <w:rsid w:val="007F3249"/>
    <w:rsid w:val="007F3266"/>
    <w:rsid w:val="007F3388"/>
    <w:rsid w:val="007F3427"/>
    <w:rsid w:val="007F34CA"/>
    <w:rsid w:val="007F3662"/>
    <w:rsid w:val="007F36C2"/>
    <w:rsid w:val="007F3719"/>
    <w:rsid w:val="007F3731"/>
    <w:rsid w:val="007F3749"/>
    <w:rsid w:val="007F3760"/>
    <w:rsid w:val="007F3787"/>
    <w:rsid w:val="007F37C0"/>
    <w:rsid w:val="007F3822"/>
    <w:rsid w:val="007F3879"/>
    <w:rsid w:val="007F38D1"/>
    <w:rsid w:val="007F392C"/>
    <w:rsid w:val="007F3973"/>
    <w:rsid w:val="007F398F"/>
    <w:rsid w:val="007F3A98"/>
    <w:rsid w:val="007F3AA5"/>
    <w:rsid w:val="007F3B43"/>
    <w:rsid w:val="007F3C49"/>
    <w:rsid w:val="007F3C54"/>
    <w:rsid w:val="007F3CB8"/>
    <w:rsid w:val="007F3CDA"/>
    <w:rsid w:val="007F3E4B"/>
    <w:rsid w:val="007F3EC1"/>
    <w:rsid w:val="007F4005"/>
    <w:rsid w:val="007F4025"/>
    <w:rsid w:val="007F4290"/>
    <w:rsid w:val="007F4292"/>
    <w:rsid w:val="007F42CB"/>
    <w:rsid w:val="007F4370"/>
    <w:rsid w:val="007F43F4"/>
    <w:rsid w:val="007F447D"/>
    <w:rsid w:val="007F44F8"/>
    <w:rsid w:val="007F45EB"/>
    <w:rsid w:val="007F4608"/>
    <w:rsid w:val="007F4777"/>
    <w:rsid w:val="007F49F5"/>
    <w:rsid w:val="007F4A7E"/>
    <w:rsid w:val="007F4AF6"/>
    <w:rsid w:val="007F4B13"/>
    <w:rsid w:val="007F4B9B"/>
    <w:rsid w:val="007F4BF0"/>
    <w:rsid w:val="007F4D09"/>
    <w:rsid w:val="007F4DE5"/>
    <w:rsid w:val="007F4F29"/>
    <w:rsid w:val="007F4F70"/>
    <w:rsid w:val="007F4FEF"/>
    <w:rsid w:val="007F5058"/>
    <w:rsid w:val="007F50AD"/>
    <w:rsid w:val="007F5144"/>
    <w:rsid w:val="007F52E5"/>
    <w:rsid w:val="007F5317"/>
    <w:rsid w:val="007F5335"/>
    <w:rsid w:val="007F536F"/>
    <w:rsid w:val="007F551D"/>
    <w:rsid w:val="007F55E5"/>
    <w:rsid w:val="007F572D"/>
    <w:rsid w:val="007F5845"/>
    <w:rsid w:val="007F587B"/>
    <w:rsid w:val="007F597D"/>
    <w:rsid w:val="007F59C9"/>
    <w:rsid w:val="007F59FC"/>
    <w:rsid w:val="007F5A26"/>
    <w:rsid w:val="007F5A6D"/>
    <w:rsid w:val="007F5A6F"/>
    <w:rsid w:val="007F6015"/>
    <w:rsid w:val="007F608E"/>
    <w:rsid w:val="007F60EC"/>
    <w:rsid w:val="007F6122"/>
    <w:rsid w:val="007F6201"/>
    <w:rsid w:val="007F62E9"/>
    <w:rsid w:val="007F6302"/>
    <w:rsid w:val="007F641E"/>
    <w:rsid w:val="007F6472"/>
    <w:rsid w:val="007F6496"/>
    <w:rsid w:val="007F64A3"/>
    <w:rsid w:val="007F657D"/>
    <w:rsid w:val="007F66C5"/>
    <w:rsid w:val="007F66D7"/>
    <w:rsid w:val="007F677E"/>
    <w:rsid w:val="007F6788"/>
    <w:rsid w:val="007F69C2"/>
    <w:rsid w:val="007F6AA9"/>
    <w:rsid w:val="007F6B63"/>
    <w:rsid w:val="007F6B68"/>
    <w:rsid w:val="007F6BEE"/>
    <w:rsid w:val="007F6CEE"/>
    <w:rsid w:val="007F6D32"/>
    <w:rsid w:val="007F6E00"/>
    <w:rsid w:val="007F6FF4"/>
    <w:rsid w:val="007F705C"/>
    <w:rsid w:val="007F70C9"/>
    <w:rsid w:val="007F72D0"/>
    <w:rsid w:val="007F748C"/>
    <w:rsid w:val="007F74DD"/>
    <w:rsid w:val="007F7528"/>
    <w:rsid w:val="007F75E7"/>
    <w:rsid w:val="007F766D"/>
    <w:rsid w:val="007F77C5"/>
    <w:rsid w:val="007F77DD"/>
    <w:rsid w:val="007F79D9"/>
    <w:rsid w:val="007F7A04"/>
    <w:rsid w:val="007F7A6E"/>
    <w:rsid w:val="007F7A7A"/>
    <w:rsid w:val="007F7B57"/>
    <w:rsid w:val="007F7BF2"/>
    <w:rsid w:val="007F7C4B"/>
    <w:rsid w:val="007F7CCF"/>
    <w:rsid w:val="007F7D00"/>
    <w:rsid w:val="007F7D0A"/>
    <w:rsid w:val="007F7F27"/>
    <w:rsid w:val="0080003D"/>
    <w:rsid w:val="0080007E"/>
    <w:rsid w:val="008001C2"/>
    <w:rsid w:val="008001C3"/>
    <w:rsid w:val="00800248"/>
    <w:rsid w:val="0080034F"/>
    <w:rsid w:val="00800357"/>
    <w:rsid w:val="00800375"/>
    <w:rsid w:val="008003ED"/>
    <w:rsid w:val="00800409"/>
    <w:rsid w:val="00800497"/>
    <w:rsid w:val="008004B0"/>
    <w:rsid w:val="0080070A"/>
    <w:rsid w:val="0080074B"/>
    <w:rsid w:val="0080077E"/>
    <w:rsid w:val="00800816"/>
    <w:rsid w:val="0080091F"/>
    <w:rsid w:val="00800954"/>
    <w:rsid w:val="00800ACF"/>
    <w:rsid w:val="00800B1D"/>
    <w:rsid w:val="00800B62"/>
    <w:rsid w:val="00800C36"/>
    <w:rsid w:val="00800D4E"/>
    <w:rsid w:val="00800D4F"/>
    <w:rsid w:val="00800E40"/>
    <w:rsid w:val="00800FFA"/>
    <w:rsid w:val="00801123"/>
    <w:rsid w:val="0080130D"/>
    <w:rsid w:val="00801398"/>
    <w:rsid w:val="008013B6"/>
    <w:rsid w:val="00801404"/>
    <w:rsid w:val="00801489"/>
    <w:rsid w:val="008014AC"/>
    <w:rsid w:val="008014FB"/>
    <w:rsid w:val="0080150E"/>
    <w:rsid w:val="00801520"/>
    <w:rsid w:val="0080156C"/>
    <w:rsid w:val="008015CF"/>
    <w:rsid w:val="00801690"/>
    <w:rsid w:val="0080187B"/>
    <w:rsid w:val="0080190A"/>
    <w:rsid w:val="008019DD"/>
    <w:rsid w:val="00801A19"/>
    <w:rsid w:val="00801B0E"/>
    <w:rsid w:val="00801B82"/>
    <w:rsid w:val="00801BAC"/>
    <w:rsid w:val="00801BBD"/>
    <w:rsid w:val="00801C8F"/>
    <w:rsid w:val="00801CFF"/>
    <w:rsid w:val="00801DEF"/>
    <w:rsid w:val="00801E45"/>
    <w:rsid w:val="00801E58"/>
    <w:rsid w:val="00801E6E"/>
    <w:rsid w:val="00801F3C"/>
    <w:rsid w:val="008020E4"/>
    <w:rsid w:val="00802107"/>
    <w:rsid w:val="00802126"/>
    <w:rsid w:val="00802238"/>
    <w:rsid w:val="00802251"/>
    <w:rsid w:val="00802292"/>
    <w:rsid w:val="0080233D"/>
    <w:rsid w:val="00802410"/>
    <w:rsid w:val="00802446"/>
    <w:rsid w:val="0080250A"/>
    <w:rsid w:val="00802705"/>
    <w:rsid w:val="0080277E"/>
    <w:rsid w:val="00802802"/>
    <w:rsid w:val="00802991"/>
    <w:rsid w:val="00802A24"/>
    <w:rsid w:val="00802C19"/>
    <w:rsid w:val="00802C4B"/>
    <w:rsid w:val="00802C71"/>
    <w:rsid w:val="00802E9B"/>
    <w:rsid w:val="00802F50"/>
    <w:rsid w:val="008031EA"/>
    <w:rsid w:val="00803218"/>
    <w:rsid w:val="0080323B"/>
    <w:rsid w:val="008032EA"/>
    <w:rsid w:val="00803315"/>
    <w:rsid w:val="0080336C"/>
    <w:rsid w:val="0080337D"/>
    <w:rsid w:val="008033EE"/>
    <w:rsid w:val="0080360A"/>
    <w:rsid w:val="00803694"/>
    <w:rsid w:val="008036AA"/>
    <w:rsid w:val="008036EA"/>
    <w:rsid w:val="0080371D"/>
    <w:rsid w:val="008037B8"/>
    <w:rsid w:val="008038EB"/>
    <w:rsid w:val="00803940"/>
    <w:rsid w:val="00803984"/>
    <w:rsid w:val="00803A44"/>
    <w:rsid w:val="00803B49"/>
    <w:rsid w:val="00803BD2"/>
    <w:rsid w:val="00803C03"/>
    <w:rsid w:val="00803CA2"/>
    <w:rsid w:val="00803CAE"/>
    <w:rsid w:val="00803D10"/>
    <w:rsid w:val="00803D33"/>
    <w:rsid w:val="00803D5B"/>
    <w:rsid w:val="00803DFE"/>
    <w:rsid w:val="00803E53"/>
    <w:rsid w:val="00803E67"/>
    <w:rsid w:val="00803EA3"/>
    <w:rsid w:val="00804174"/>
    <w:rsid w:val="0080423A"/>
    <w:rsid w:val="00804486"/>
    <w:rsid w:val="008044AF"/>
    <w:rsid w:val="008046D1"/>
    <w:rsid w:val="00804993"/>
    <w:rsid w:val="008049DA"/>
    <w:rsid w:val="008049E7"/>
    <w:rsid w:val="00804ACD"/>
    <w:rsid w:val="00804BA8"/>
    <w:rsid w:val="00804BEA"/>
    <w:rsid w:val="00804BFF"/>
    <w:rsid w:val="00804C4A"/>
    <w:rsid w:val="00804E94"/>
    <w:rsid w:val="008050C7"/>
    <w:rsid w:val="008054C9"/>
    <w:rsid w:val="00805515"/>
    <w:rsid w:val="00805597"/>
    <w:rsid w:val="008055CD"/>
    <w:rsid w:val="008055D5"/>
    <w:rsid w:val="0080564B"/>
    <w:rsid w:val="008056B0"/>
    <w:rsid w:val="00805762"/>
    <w:rsid w:val="00805839"/>
    <w:rsid w:val="00805861"/>
    <w:rsid w:val="008058B4"/>
    <w:rsid w:val="00805994"/>
    <w:rsid w:val="008059F1"/>
    <w:rsid w:val="00805AFA"/>
    <w:rsid w:val="00805C7C"/>
    <w:rsid w:val="00805CC0"/>
    <w:rsid w:val="00805E05"/>
    <w:rsid w:val="00805FF8"/>
    <w:rsid w:val="008060A3"/>
    <w:rsid w:val="0080619D"/>
    <w:rsid w:val="008061F5"/>
    <w:rsid w:val="00806209"/>
    <w:rsid w:val="0080622C"/>
    <w:rsid w:val="00806303"/>
    <w:rsid w:val="00806373"/>
    <w:rsid w:val="00806409"/>
    <w:rsid w:val="00806652"/>
    <w:rsid w:val="008066FF"/>
    <w:rsid w:val="00806885"/>
    <w:rsid w:val="008068E7"/>
    <w:rsid w:val="008069ED"/>
    <w:rsid w:val="00806A96"/>
    <w:rsid w:val="00806BAB"/>
    <w:rsid w:val="00806E38"/>
    <w:rsid w:val="00807029"/>
    <w:rsid w:val="008070BC"/>
    <w:rsid w:val="00807123"/>
    <w:rsid w:val="008071AA"/>
    <w:rsid w:val="008074B3"/>
    <w:rsid w:val="0080756C"/>
    <w:rsid w:val="0080759D"/>
    <w:rsid w:val="00807668"/>
    <w:rsid w:val="00807690"/>
    <w:rsid w:val="008076BF"/>
    <w:rsid w:val="00807703"/>
    <w:rsid w:val="00807742"/>
    <w:rsid w:val="00807814"/>
    <w:rsid w:val="00807952"/>
    <w:rsid w:val="008079D2"/>
    <w:rsid w:val="00807A46"/>
    <w:rsid w:val="00807B70"/>
    <w:rsid w:val="00807B95"/>
    <w:rsid w:val="00807BA2"/>
    <w:rsid w:val="00807C58"/>
    <w:rsid w:val="00807D27"/>
    <w:rsid w:val="00807D94"/>
    <w:rsid w:val="00807DCC"/>
    <w:rsid w:val="00807ED6"/>
    <w:rsid w:val="00807F57"/>
    <w:rsid w:val="0081011D"/>
    <w:rsid w:val="008101EE"/>
    <w:rsid w:val="0081022B"/>
    <w:rsid w:val="0081024E"/>
    <w:rsid w:val="008106A5"/>
    <w:rsid w:val="008107CD"/>
    <w:rsid w:val="0081086D"/>
    <w:rsid w:val="008108D9"/>
    <w:rsid w:val="008108EA"/>
    <w:rsid w:val="0081093A"/>
    <w:rsid w:val="0081096B"/>
    <w:rsid w:val="00810A41"/>
    <w:rsid w:val="00810ACD"/>
    <w:rsid w:val="00810C9A"/>
    <w:rsid w:val="00810E30"/>
    <w:rsid w:val="00810F7F"/>
    <w:rsid w:val="00811125"/>
    <w:rsid w:val="0081122E"/>
    <w:rsid w:val="00811462"/>
    <w:rsid w:val="008114A8"/>
    <w:rsid w:val="008114E2"/>
    <w:rsid w:val="0081154D"/>
    <w:rsid w:val="008115EB"/>
    <w:rsid w:val="0081160D"/>
    <w:rsid w:val="00811731"/>
    <w:rsid w:val="0081178E"/>
    <w:rsid w:val="008119D4"/>
    <w:rsid w:val="00811A88"/>
    <w:rsid w:val="00811B97"/>
    <w:rsid w:val="00811CC2"/>
    <w:rsid w:val="00811DC4"/>
    <w:rsid w:val="00811E1B"/>
    <w:rsid w:val="00811EBD"/>
    <w:rsid w:val="00812001"/>
    <w:rsid w:val="0081212B"/>
    <w:rsid w:val="00812197"/>
    <w:rsid w:val="008121DF"/>
    <w:rsid w:val="00812312"/>
    <w:rsid w:val="00812351"/>
    <w:rsid w:val="00812431"/>
    <w:rsid w:val="00812440"/>
    <w:rsid w:val="00812511"/>
    <w:rsid w:val="0081263E"/>
    <w:rsid w:val="008126D6"/>
    <w:rsid w:val="0081279A"/>
    <w:rsid w:val="008128E6"/>
    <w:rsid w:val="00812982"/>
    <w:rsid w:val="008129F5"/>
    <w:rsid w:val="00812AF4"/>
    <w:rsid w:val="00812B2A"/>
    <w:rsid w:val="00812BC2"/>
    <w:rsid w:val="00812E5F"/>
    <w:rsid w:val="00812EBE"/>
    <w:rsid w:val="00812EEE"/>
    <w:rsid w:val="00812FC0"/>
    <w:rsid w:val="0081301E"/>
    <w:rsid w:val="008132D8"/>
    <w:rsid w:val="0081339D"/>
    <w:rsid w:val="008133B7"/>
    <w:rsid w:val="008134E9"/>
    <w:rsid w:val="00813512"/>
    <w:rsid w:val="008135D1"/>
    <w:rsid w:val="008136A3"/>
    <w:rsid w:val="0081387F"/>
    <w:rsid w:val="008138E5"/>
    <w:rsid w:val="00813AA0"/>
    <w:rsid w:val="00813BA3"/>
    <w:rsid w:val="00813BB7"/>
    <w:rsid w:val="00813C08"/>
    <w:rsid w:val="00813D87"/>
    <w:rsid w:val="00813E80"/>
    <w:rsid w:val="00813ED7"/>
    <w:rsid w:val="00813F49"/>
    <w:rsid w:val="00814032"/>
    <w:rsid w:val="00814063"/>
    <w:rsid w:val="00814087"/>
    <w:rsid w:val="008140B1"/>
    <w:rsid w:val="0081420C"/>
    <w:rsid w:val="008142D5"/>
    <w:rsid w:val="008143A8"/>
    <w:rsid w:val="00814427"/>
    <w:rsid w:val="0081442B"/>
    <w:rsid w:val="0081455B"/>
    <w:rsid w:val="00814693"/>
    <w:rsid w:val="00814906"/>
    <w:rsid w:val="00814A2B"/>
    <w:rsid w:val="00814C65"/>
    <w:rsid w:val="00814EA5"/>
    <w:rsid w:val="00814EF8"/>
    <w:rsid w:val="00814FCE"/>
    <w:rsid w:val="00814FF3"/>
    <w:rsid w:val="00815161"/>
    <w:rsid w:val="0081521D"/>
    <w:rsid w:val="00815239"/>
    <w:rsid w:val="0081525E"/>
    <w:rsid w:val="008152E3"/>
    <w:rsid w:val="008153E4"/>
    <w:rsid w:val="00815400"/>
    <w:rsid w:val="008155EB"/>
    <w:rsid w:val="0081577D"/>
    <w:rsid w:val="0081589E"/>
    <w:rsid w:val="00815926"/>
    <w:rsid w:val="008159FC"/>
    <w:rsid w:val="00815A0C"/>
    <w:rsid w:val="00815A24"/>
    <w:rsid w:val="00815C5E"/>
    <w:rsid w:val="00815D0C"/>
    <w:rsid w:val="00815D2D"/>
    <w:rsid w:val="00815D5D"/>
    <w:rsid w:val="00815DA0"/>
    <w:rsid w:val="00815EB6"/>
    <w:rsid w:val="00815EBF"/>
    <w:rsid w:val="00815F79"/>
    <w:rsid w:val="00816061"/>
    <w:rsid w:val="008160AA"/>
    <w:rsid w:val="008160EA"/>
    <w:rsid w:val="0081622B"/>
    <w:rsid w:val="0081622F"/>
    <w:rsid w:val="00816294"/>
    <w:rsid w:val="008164C1"/>
    <w:rsid w:val="00816520"/>
    <w:rsid w:val="008165C6"/>
    <w:rsid w:val="0081679E"/>
    <w:rsid w:val="008168C6"/>
    <w:rsid w:val="0081691C"/>
    <w:rsid w:val="008169E3"/>
    <w:rsid w:val="00816A38"/>
    <w:rsid w:val="00816B44"/>
    <w:rsid w:val="00816C03"/>
    <w:rsid w:val="00816CC1"/>
    <w:rsid w:val="00816D92"/>
    <w:rsid w:val="00816DA4"/>
    <w:rsid w:val="00816EBE"/>
    <w:rsid w:val="00816EE4"/>
    <w:rsid w:val="00816F22"/>
    <w:rsid w:val="00816F83"/>
    <w:rsid w:val="00816FE4"/>
    <w:rsid w:val="008170C8"/>
    <w:rsid w:val="008171BC"/>
    <w:rsid w:val="008171FB"/>
    <w:rsid w:val="00817240"/>
    <w:rsid w:val="008172F3"/>
    <w:rsid w:val="008173B5"/>
    <w:rsid w:val="008173ED"/>
    <w:rsid w:val="008174A6"/>
    <w:rsid w:val="0081752C"/>
    <w:rsid w:val="0081752E"/>
    <w:rsid w:val="00817548"/>
    <w:rsid w:val="00817573"/>
    <w:rsid w:val="00817652"/>
    <w:rsid w:val="008176A2"/>
    <w:rsid w:val="00817793"/>
    <w:rsid w:val="008177BF"/>
    <w:rsid w:val="008178A9"/>
    <w:rsid w:val="0081794A"/>
    <w:rsid w:val="00817A4D"/>
    <w:rsid w:val="00817C25"/>
    <w:rsid w:val="00817D45"/>
    <w:rsid w:val="00817E2A"/>
    <w:rsid w:val="00817EFD"/>
    <w:rsid w:val="00820003"/>
    <w:rsid w:val="00820071"/>
    <w:rsid w:val="00820078"/>
    <w:rsid w:val="008200FC"/>
    <w:rsid w:val="00820119"/>
    <w:rsid w:val="00820129"/>
    <w:rsid w:val="00820197"/>
    <w:rsid w:val="008201E8"/>
    <w:rsid w:val="0082020A"/>
    <w:rsid w:val="00820250"/>
    <w:rsid w:val="008202D8"/>
    <w:rsid w:val="0082030B"/>
    <w:rsid w:val="00820389"/>
    <w:rsid w:val="00820513"/>
    <w:rsid w:val="00820570"/>
    <w:rsid w:val="00820580"/>
    <w:rsid w:val="008205AC"/>
    <w:rsid w:val="008205B8"/>
    <w:rsid w:val="008205CF"/>
    <w:rsid w:val="008206F3"/>
    <w:rsid w:val="008206FE"/>
    <w:rsid w:val="00820735"/>
    <w:rsid w:val="0082074B"/>
    <w:rsid w:val="0082080D"/>
    <w:rsid w:val="00820937"/>
    <w:rsid w:val="008209E4"/>
    <w:rsid w:val="00820BD3"/>
    <w:rsid w:val="00820CA3"/>
    <w:rsid w:val="00820D08"/>
    <w:rsid w:val="00820D42"/>
    <w:rsid w:val="00820DAD"/>
    <w:rsid w:val="00820E25"/>
    <w:rsid w:val="00820E51"/>
    <w:rsid w:val="0082112B"/>
    <w:rsid w:val="0082119D"/>
    <w:rsid w:val="0082136B"/>
    <w:rsid w:val="008213AE"/>
    <w:rsid w:val="0082140E"/>
    <w:rsid w:val="0082144A"/>
    <w:rsid w:val="008214CD"/>
    <w:rsid w:val="00821592"/>
    <w:rsid w:val="00821593"/>
    <w:rsid w:val="00821773"/>
    <w:rsid w:val="008217E9"/>
    <w:rsid w:val="008218FD"/>
    <w:rsid w:val="00821962"/>
    <w:rsid w:val="008219A8"/>
    <w:rsid w:val="00821AD0"/>
    <w:rsid w:val="00821B32"/>
    <w:rsid w:val="00821B7B"/>
    <w:rsid w:val="00821BF1"/>
    <w:rsid w:val="00821C78"/>
    <w:rsid w:val="00821F56"/>
    <w:rsid w:val="0082203A"/>
    <w:rsid w:val="008220FF"/>
    <w:rsid w:val="0082210D"/>
    <w:rsid w:val="00822137"/>
    <w:rsid w:val="008223ED"/>
    <w:rsid w:val="00822473"/>
    <w:rsid w:val="0082254F"/>
    <w:rsid w:val="00822722"/>
    <w:rsid w:val="0082274B"/>
    <w:rsid w:val="0082286E"/>
    <w:rsid w:val="00822A35"/>
    <w:rsid w:val="00822A38"/>
    <w:rsid w:val="00822A8E"/>
    <w:rsid w:val="00822BA5"/>
    <w:rsid w:val="00822D8D"/>
    <w:rsid w:val="00822D93"/>
    <w:rsid w:val="00822E40"/>
    <w:rsid w:val="00822F58"/>
    <w:rsid w:val="00822F73"/>
    <w:rsid w:val="00822FC3"/>
    <w:rsid w:val="008230BB"/>
    <w:rsid w:val="008230F5"/>
    <w:rsid w:val="008232A8"/>
    <w:rsid w:val="008232EB"/>
    <w:rsid w:val="0082338E"/>
    <w:rsid w:val="0082343E"/>
    <w:rsid w:val="00823478"/>
    <w:rsid w:val="0082349D"/>
    <w:rsid w:val="008234C1"/>
    <w:rsid w:val="008234F0"/>
    <w:rsid w:val="00823615"/>
    <w:rsid w:val="008236C8"/>
    <w:rsid w:val="008236E1"/>
    <w:rsid w:val="0082373F"/>
    <w:rsid w:val="00823B5C"/>
    <w:rsid w:val="00823BD0"/>
    <w:rsid w:val="00823CBF"/>
    <w:rsid w:val="00823D70"/>
    <w:rsid w:val="00823E06"/>
    <w:rsid w:val="0082402A"/>
    <w:rsid w:val="008240F8"/>
    <w:rsid w:val="008241DA"/>
    <w:rsid w:val="008243E7"/>
    <w:rsid w:val="00824425"/>
    <w:rsid w:val="0082458F"/>
    <w:rsid w:val="0082460D"/>
    <w:rsid w:val="00824647"/>
    <w:rsid w:val="008248E9"/>
    <w:rsid w:val="00824911"/>
    <w:rsid w:val="008249DD"/>
    <w:rsid w:val="00824A6C"/>
    <w:rsid w:val="00824ABC"/>
    <w:rsid w:val="00824BE0"/>
    <w:rsid w:val="00824CAD"/>
    <w:rsid w:val="00824CED"/>
    <w:rsid w:val="008251C2"/>
    <w:rsid w:val="008252C0"/>
    <w:rsid w:val="008252DA"/>
    <w:rsid w:val="008253E6"/>
    <w:rsid w:val="00825432"/>
    <w:rsid w:val="00825497"/>
    <w:rsid w:val="008254DC"/>
    <w:rsid w:val="00825587"/>
    <w:rsid w:val="00825628"/>
    <w:rsid w:val="0082568B"/>
    <w:rsid w:val="008256FF"/>
    <w:rsid w:val="00825777"/>
    <w:rsid w:val="008257DC"/>
    <w:rsid w:val="008257FA"/>
    <w:rsid w:val="008258E9"/>
    <w:rsid w:val="00825A62"/>
    <w:rsid w:val="00825B77"/>
    <w:rsid w:val="00825BFF"/>
    <w:rsid w:val="00825C45"/>
    <w:rsid w:val="00825C76"/>
    <w:rsid w:val="00825DB4"/>
    <w:rsid w:val="00825DB9"/>
    <w:rsid w:val="00825DEB"/>
    <w:rsid w:val="00825E84"/>
    <w:rsid w:val="00825EA8"/>
    <w:rsid w:val="00825EAD"/>
    <w:rsid w:val="00825F23"/>
    <w:rsid w:val="00826092"/>
    <w:rsid w:val="008260EF"/>
    <w:rsid w:val="00826273"/>
    <w:rsid w:val="008262B1"/>
    <w:rsid w:val="008263D7"/>
    <w:rsid w:val="008263FB"/>
    <w:rsid w:val="0082642D"/>
    <w:rsid w:val="0082669E"/>
    <w:rsid w:val="0082681A"/>
    <w:rsid w:val="00826822"/>
    <w:rsid w:val="00826967"/>
    <w:rsid w:val="00826A57"/>
    <w:rsid w:val="00826A86"/>
    <w:rsid w:val="00826AD7"/>
    <w:rsid w:val="00826B0A"/>
    <w:rsid w:val="00826B4B"/>
    <w:rsid w:val="00826FE9"/>
    <w:rsid w:val="008270DB"/>
    <w:rsid w:val="00827119"/>
    <w:rsid w:val="00827185"/>
    <w:rsid w:val="008272DE"/>
    <w:rsid w:val="0082767E"/>
    <w:rsid w:val="008276CC"/>
    <w:rsid w:val="00827783"/>
    <w:rsid w:val="00827875"/>
    <w:rsid w:val="008279FE"/>
    <w:rsid w:val="00827A68"/>
    <w:rsid w:val="00827B20"/>
    <w:rsid w:val="00827BB3"/>
    <w:rsid w:val="00827BCB"/>
    <w:rsid w:val="00827BFE"/>
    <w:rsid w:val="00827D98"/>
    <w:rsid w:val="00827E25"/>
    <w:rsid w:val="00827EF1"/>
    <w:rsid w:val="008300C8"/>
    <w:rsid w:val="0083017B"/>
    <w:rsid w:val="00830373"/>
    <w:rsid w:val="008303CA"/>
    <w:rsid w:val="008303CD"/>
    <w:rsid w:val="00830429"/>
    <w:rsid w:val="008304C5"/>
    <w:rsid w:val="008304C8"/>
    <w:rsid w:val="008305B0"/>
    <w:rsid w:val="008305F9"/>
    <w:rsid w:val="0083065B"/>
    <w:rsid w:val="008306AD"/>
    <w:rsid w:val="008307E0"/>
    <w:rsid w:val="008308F3"/>
    <w:rsid w:val="008309AB"/>
    <w:rsid w:val="008309DC"/>
    <w:rsid w:val="00830B67"/>
    <w:rsid w:val="00830E4C"/>
    <w:rsid w:val="00830F68"/>
    <w:rsid w:val="00830FDE"/>
    <w:rsid w:val="008310CC"/>
    <w:rsid w:val="00831110"/>
    <w:rsid w:val="00831141"/>
    <w:rsid w:val="00831203"/>
    <w:rsid w:val="008312A5"/>
    <w:rsid w:val="008312D5"/>
    <w:rsid w:val="00831344"/>
    <w:rsid w:val="008315D8"/>
    <w:rsid w:val="00831839"/>
    <w:rsid w:val="00831907"/>
    <w:rsid w:val="00831915"/>
    <w:rsid w:val="0083193F"/>
    <w:rsid w:val="008319EE"/>
    <w:rsid w:val="00831AC9"/>
    <w:rsid w:val="00831B68"/>
    <w:rsid w:val="00831B85"/>
    <w:rsid w:val="00831B89"/>
    <w:rsid w:val="00831BA9"/>
    <w:rsid w:val="00831BAE"/>
    <w:rsid w:val="00831BBF"/>
    <w:rsid w:val="00831BF0"/>
    <w:rsid w:val="00831C9F"/>
    <w:rsid w:val="00831CD9"/>
    <w:rsid w:val="00831CE5"/>
    <w:rsid w:val="00831D5D"/>
    <w:rsid w:val="00831E63"/>
    <w:rsid w:val="00831E85"/>
    <w:rsid w:val="00832163"/>
    <w:rsid w:val="00832255"/>
    <w:rsid w:val="008322AB"/>
    <w:rsid w:val="0083246A"/>
    <w:rsid w:val="00832521"/>
    <w:rsid w:val="00832761"/>
    <w:rsid w:val="008327C5"/>
    <w:rsid w:val="00832843"/>
    <w:rsid w:val="0083288B"/>
    <w:rsid w:val="00832A00"/>
    <w:rsid w:val="00832B5E"/>
    <w:rsid w:val="00832B86"/>
    <w:rsid w:val="00832B8D"/>
    <w:rsid w:val="00832C6C"/>
    <w:rsid w:val="00832C9C"/>
    <w:rsid w:val="00832CC2"/>
    <w:rsid w:val="00832CD3"/>
    <w:rsid w:val="00832CEF"/>
    <w:rsid w:val="00832DBE"/>
    <w:rsid w:val="00832EB9"/>
    <w:rsid w:val="00832F55"/>
    <w:rsid w:val="00832FC5"/>
    <w:rsid w:val="00832FE4"/>
    <w:rsid w:val="00833254"/>
    <w:rsid w:val="00833322"/>
    <w:rsid w:val="00833332"/>
    <w:rsid w:val="0083371E"/>
    <w:rsid w:val="0083376C"/>
    <w:rsid w:val="008338CF"/>
    <w:rsid w:val="008339CA"/>
    <w:rsid w:val="008339CB"/>
    <w:rsid w:val="00833BEF"/>
    <w:rsid w:val="00833CBF"/>
    <w:rsid w:val="00833D8D"/>
    <w:rsid w:val="00833D98"/>
    <w:rsid w:val="00833DE0"/>
    <w:rsid w:val="00833F2B"/>
    <w:rsid w:val="00833F36"/>
    <w:rsid w:val="00833FBA"/>
    <w:rsid w:val="00834007"/>
    <w:rsid w:val="00834030"/>
    <w:rsid w:val="008341F5"/>
    <w:rsid w:val="00834261"/>
    <w:rsid w:val="00834452"/>
    <w:rsid w:val="008345C0"/>
    <w:rsid w:val="008345C5"/>
    <w:rsid w:val="0083460C"/>
    <w:rsid w:val="00834694"/>
    <w:rsid w:val="00834714"/>
    <w:rsid w:val="00834731"/>
    <w:rsid w:val="0083474E"/>
    <w:rsid w:val="008347DF"/>
    <w:rsid w:val="008347FC"/>
    <w:rsid w:val="0083490F"/>
    <w:rsid w:val="00834936"/>
    <w:rsid w:val="00834981"/>
    <w:rsid w:val="00834982"/>
    <w:rsid w:val="00834CA8"/>
    <w:rsid w:val="00834CB0"/>
    <w:rsid w:val="00834CE0"/>
    <w:rsid w:val="00834CE3"/>
    <w:rsid w:val="00834DFC"/>
    <w:rsid w:val="00835010"/>
    <w:rsid w:val="008354C8"/>
    <w:rsid w:val="008355C3"/>
    <w:rsid w:val="00835611"/>
    <w:rsid w:val="00835626"/>
    <w:rsid w:val="00835746"/>
    <w:rsid w:val="00835793"/>
    <w:rsid w:val="0083579D"/>
    <w:rsid w:val="008357CE"/>
    <w:rsid w:val="008357F7"/>
    <w:rsid w:val="00835880"/>
    <w:rsid w:val="00835A0F"/>
    <w:rsid w:val="00835A69"/>
    <w:rsid w:val="00835B80"/>
    <w:rsid w:val="00835D27"/>
    <w:rsid w:val="00835D44"/>
    <w:rsid w:val="00835D4B"/>
    <w:rsid w:val="00835F43"/>
    <w:rsid w:val="008360A6"/>
    <w:rsid w:val="008360AE"/>
    <w:rsid w:val="008360BE"/>
    <w:rsid w:val="008362CB"/>
    <w:rsid w:val="00836300"/>
    <w:rsid w:val="00836344"/>
    <w:rsid w:val="00836347"/>
    <w:rsid w:val="0083642D"/>
    <w:rsid w:val="008364BF"/>
    <w:rsid w:val="00836524"/>
    <w:rsid w:val="00836574"/>
    <w:rsid w:val="0083660C"/>
    <w:rsid w:val="008366E3"/>
    <w:rsid w:val="008367CA"/>
    <w:rsid w:val="008368C2"/>
    <w:rsid w:val="008369E2"/>
    <w:rsid w:val="00836B89"/>
    <w:rsid w:val="00836CD6"/>
    <w:rsid w:val="00836EB2"/>
    <w:rsid w:val="00836EB5"/>
    <w:rsid w:val="00836ED8"/>
    <w:rsid w:val="00837028"/>
    <w:rsid w:val="0083705C"/>
    <w:rsid w:val="0083713E"/>
    <w:rsid w:val="008371C2"/>
    <w:rsid w:val="008372B4"/>
    <w:rsid w:val="0083731C"/>
    <w:rsid w:val="00837320"/>
    <w:rsid w:val="008374A7"/>
    <w:rsid w:val="008374AE"/>
    <w:rsid w:val="00837747"/>
    <w:rsid w:val="008378BC"/>
    <w:rsid w:val="00837A36"/>
    <w:rsid w:val="00837A47"/>
    <w:rsid w:val="00837A6E"/>
    <w:rsid w:val="00837A79"/>
    <w:rsid w:val="00837C75"/>
    <w:rsid w:val="00837D44"/>
    <w:rsid w:val="00837D57"/>
    <w:rsid w:val="00837FA3"/>
    <w:rsid w:val="008400B4"/>
    <w:rsid w:val="00840188"/>
    <w:rsid w:val="008401F6"/>
    <w:rsid w:val="00840215"/>
    <w:rsid w:val="0084023B"/>
    <w:rsid w:val="00840261"/>
    <w:rsid w:val="008402FC"/>
    <w:rsid w:val="00840486"/>
    <w:rsid w:val="008404B2"/>
    <w:rsid w:val="00840665"/>
    <w:rsid w:val="008406CC"/>
    <w:rsid w:val="008407CF"/>
    <w:rsid w:val="008408BC"/>
    <w:rsid w:val="008408BD"/>
    <w:rsid w:val="008408C8"/>
    <w:rsid w:val="0084097F"/>
    <w:rsid w:val="00840ACB"/>
    <w:rsid w:val="00840DA8"/>
    <w:rsid w:val="00840DFA"/>
    <w:rsid w:val="00840E09"/>
    <w:rsid w:val="00840F0E"/>
    <w:rsid w:val="00841051"/>
    <w:rsid w:val="0084115E"/>
    <w:rsid w:val="0084118A"/>
    <w:rsid w:val="008411C1"/>
    <w:rsid w:val="00841260"/>
    <w:rsid w:val="00841292"/>
    <w:rsid w:val="00841412"/>
    <w:rsid w:val="0084145A"/>
    <w:rsid w:val="0084151B"/>
    <w:rsid w:val="008415DC"/>
    <w:rsid w:val="008415F5"/>
    <w:rsid w:val="0084194A"/>
    <w:rsid w:val="00841AAD"/>
    <w:rsid w:val="00841B0C"/>
    <w:rsid w:val="00841B10"/>
    <w:rsid w:val="00841BD5"/>
    <w:rsid w:val="00841C31"/>
    <w:rsid w:val="00841D39"/>
    <w:rsid w:val="00841D5C"/>
    <w:rsid w:val="00841DA9"/>
    <w:rsid w:val="00841E29"/>
    <w:rsid w:val="00841EC5"/>
    <w:rsid w:val="00841EEE"/>
    <w:rsid w:val="00841F1A"/>
    <w:rsid w:val="00841F22"/>
    <w:rsid w:val="00841F86"/>
    <w:rsid w:val="00841FDA"/>
    <w:rsid w:val="0084207E"/>
    <w:rsid w:val="00842144"/>
    <w:rsid w:val="00842229"/>
    <w:rsid w:val="0084224F"/>
    <w:rsid w:val="00842290"/>
    <w:rsid w:val="00842383"/>
    <w:rsid w:val="00842455"/>
    <w:rsid w:val="00842574"/>
    <w:rsid w:val="008425F6"/>
    <w:rsid w:val="00842626"/>
    <w:rsid w:val="00842666"/>
    <w:rsid w:val="00842674"/>
    <w:rsid w:val="008426DE"/>
    <w:rsid w:val="008426F3"/>
    <w:rsid w:val="008428FC"/>
    <w:rsid w:val="00842A09"/>
    <w:rsid w:val="00842A56"/>
    <w:rsid w:val="00842AE9"/>
    <w:rsid w:val="00842AFC"/>
    <w:rsid w:val="00842EF6"/>
    <w:rsid w:val="00842F3E"/>
    <w:rsid w:val="00842F5F"/>
    <w:rsid w:val="00842F64"/>
    <w:rsid w:val="00842F76"/>
    <w:rsid w:val="00843111"/>
    <w:rsid w:val="00843234"/>
    <w:rsid w:val="00843303"/>
    <w:rsid w:val="00843392"/>
    <w:rsid w:val="00843420"/>
    <w:rsid w:val="0084359A"/>
    <w:rsid w:val="00843655"/>
    <w:rsid w:val="00843692"/>
    <w:rsid w:val="00843732"/>
    <w:rsid w:val="00843787"/>
    <w:rsid w:val="008438CB"/>
    <w:rsid w:val="0084394B"/>
    <w:rsid w:val="00843A3D"/>
    <w:rsid w:val="00843A52"/>
    <w:rsid w:val="00843A62"/>
    <w:rsid w:val="00843A76"/>
    <w:rsid w:val="00843A7E"/>
    <w:rsid w:val="00843B61"/>
    <w:rsid w:val="00843BDB"/>
    <w:rsid w:val="00843CEE"/>
    <w:rsid w:val="00843CF8"/>
    <w:rsid w:val="00843E9B"/>
    <w:rsid w:val="00843F43"/>
    <w:rsid w:val="008440C3"/>
    <w:rsid w:val="008440CB"/>
    <w:rsid w:val="00844105"/>
    <w:rsid w:val="00844131"/>
    <w:rsid w:val="00844241"/>
    <w:rsid w:val="008442B5"/>
    <w:rsid w:val="00844368"/>
    <w:rsid w:val="008443F6"/>
    <w:rsid w:val="0084447D"/>
    <w:rsid w:val="008444F7"/>
    <w:rsid w:val="008445A2"/>
    <w:rsid w:val="008445D6"/>
    <w:rsid w:val="008446A3"/>
    <w:rsid w:val="008446FE"/>
    <w:rsid w:val="00844707"/>
    <w:rsid w:val="00844767"/>
    <w:rsid w:val="00844774"/>
    <w:rsid w:val="008447AD"/>
    <w:rsid w:val="008447FD"/>
    <w:rsid w:val="008448F0"/>
    <w:rsid w:val="00844A11"/>
    <w:rsid w:val="00844A3A"/>
    <w:rsid w:val="00844AB7"/>
    <w:rsid w:val="00844AD6"/>
    <w:rsid w:val="00844CAD"/>
    <w:rsid w:val="00844DB2"/>
    <w:rsid w:val="00844E55"/>
    <w:rsid w:val="00844F27"/>
    <w:rsid w:val="00844FD4"/>
    <w:rsid w:val="00844FD8"/>
    <w:rsid w:val="00844FF8"/>
    <w:rsid w:val="0084504C"/>
    <w:rsid w:val="00845087"/>
    <w:rsid w:val="008450A2"/>
    <w:rsid w:val="00845210"/>
    <w:rsid w:val="0084521F"/>
    <w:rsid w:val="00845248"/>
    <w:rsid w:val="00845257"/>
    <w:rsid w:val="00845318"/>
    <w:rsid w:val="00845355"/>
    <w:rsid w:val="0084540D"/>
    <w:rsid w:val="0084552F"/>
    <w:rsid w:val="00845697"/>
    <w:rsid w:val="0084586E"/>
    <w:rsid w:val="008458D0"/>
    <w:rsid w:val="00845997"/>
    <w:rsid w:val="008459AC"/>
    <w:rsid w:val="00845A4C"/>
    <w:rsid w:val="00845AAB"/>
    <w:rsid w:val="00845AEC"/>
    <w:rsid w:val="00845E8C"/>
    <w:rsid w:val="00845F30"/>
    <w:rsid w:val="00845FDD"/>
    <w:rsid w:val="0084626A"/>
    <w:rsid w:val="0084627F"/>
    <w:rsid w:val="008462B7"/>
    <w:rsid w:val="0084645B"/>
    <w:rsid w:val="008465BF"/>
    <w:rsid w:val="00846677"/>
    <w:rsid w:val="008466B0"/>
    <w:rsid w:val="008466ED"/>
    <w:rsid w:val="0084697C"/>
    <w:rsid w:val="00846B17"/>
    <w:rsid w:val="00846B98"/>
    <w:rsid w:val="00846B99"/>
    <w:rsid w:val="00846BB7"/>
    <w:rsid w:val="00846C7F"/>
    <w:rsid w:val="00846C9D"/>
    <w:rsid w:val="00846CB3"/>
    <w:rsid w:val="00846CD5"/>
    <w:rsid w:val="00846D51"/>
    <w:rsid w:val="00846EB0"/>
    <w:rsid w:val="00847068"/>
    <w:rsid w:val="008470ED"/>
    <w:rsid w:val="00847210"/>
    <w:rsid w:val="00847279"/>
    <w:rsid w:val="008472AC"/>
    <w:rsid w:val="00847406"/>
    <w:rsid w:val="008475FC"/>
    <w:rsid w:val="0084762C"/>
    <w:rsid w:val="00847713"/>
    <w:rsid w:val="00847910"/>
    <w:rsid w:val="00847933"/>
    <w:rsid w:val="0084797E"/>
    <w:rsid w:val="00847B0C"/>
    <w:rsid w:val="00847C44"/>
    <w:rsid w:val="00847D44"/>
    <w:rsid w:val="00847D5A"/>
    <w:rsid w:val="00847E0F"/>
    <w:rsid w:val="00847E8E"/>
    <w:rsid w:val="00847FF7"/>
    <w:rsid w:val="00850231"/>
    <w:rsid w:val="008502F7"/>
    <w:rsid w:val="008504FD"/>
    <w:rsid w:val="0085052F"/>
    <w:rsid w:val="00850555"/>
    <w:rsid w:val="0085055A"/>
    <w:rsid w:val="008505A0"/>
    <w:rsid w:val="00850649"/>
    <w:rsid w:val="0085066A"/>
    <w:rsid w:val="0085068E"/>
    <w:rsid w:val="008506B6"/>
    <w:rsid w:val="008507C4"/>
    <w:rsid w:val="00850866"/>
    <w:rsid w:val="008508F1"/>
    <w:rsid w:val="008509AF"/>
    <w:rsid w:val="008509DE"/>
    <w:rsid w:val="00850A34"/>
    <w:rsid w:val="00850AE9"/>
    <w:rsid w:val="00850D78"/>
    <w:rsid w:val="00850DF4"/>
    <w:rsid w:val="00850E24"/>
    <w:rsid w:val="00850F3E"/>
    <w:rsid w:val="00850F68"/>
    <w:rsid w:val="00850FE6"/>
    <w:rsid w:val="008510D8"/>
    <w:rsid w:val="00851103"/>
    <w:rsid w:val="00851244"/>
    <w:rsid w:val="00851419"/>
    <w:rsid w:val="00851428"/>
    <w:rsid w:val="00851617"/>
    <w:rsid w:val="0085168F"/>
    <w:rsid w:val="00851695"/>
    <w:rsid w:val="00851837"/>
    <w:rsid w:val="008518DE"/>
    <w:rsid w:val="0085196D"/>
    <w:rsid w:val="00851C63"/>
    <w:rsid w:val="00851CA3"/>
    <w:rsid w:val="00851CE4"/>
    <w:rsid w:val="00851D6B"/>
    <w:rsid w:val="00851DFA"/>
    <w:rsid w:val="00851EE4"/>
    <w:rsid w:val="00851FEC"/>
    <w:rsid w:val="00852000"/>
    <w:rsid w:val="008520AA"/>
    <w:rsid w:val="00852235"/>
    <w:rsid w:val="00852247"/>
    <w:rsid w:val="0085224A"/>
    <w:rsid w:val="008522CE"/>
    <w:rsid w:val="00852340"/>
    <w:rsid w:val="008523AB"/>
    <w:rsid w:val="00852467"/>
    <w:rsid w:val="008524EC"/>
    <w:rsid w:val="00852637"/>
    <w:rsid w:val="0085263A"/>
    <w:rsid w:val="00852641"/>
    <w:rsid w:val="00852697"/>
    <w:rsid w:val="008526EB"/>
    <w:rsid w:val="00852824"/>
    <w:rsid w:val="008528AD"/>
    <w:rsid w:val="00852925"/>
    <w:rsid w:val="0085298B"/>
    <w:rsid w:val="00852AC3"/>
    <w:rsid w:val="00852B61"/>
    <w:rsid w:val="00852B7A"/>
    <w:rsid w:val="00852C7B"/>
    <w:rsid w:val="00852D1B"/>
    <w:rsid w:val="00852E49"/>
    <w:rsid w:val="00852E54"/>
    <w:rsid w:val="00853044"/>
    <w:rsid w:val="008531ED"/>
    <w:rsid w:val="008534B1"/>
    <w:rsid w:val="008535CC"/>
    <w:rsid w:val="00853605"/>
    <w:rsid w:val="00853632"/>
    <w:rsid w:val="0085367A"/>
    <w:rsid w:val="0085372A"/>
    <w:rsid w:val="008537CD"/>
    <w:rsid w:val="008538D8"/>
    <w:rsid w:val="00853934"/>
    <w:rsid w:val="00853A00"/>
    <w:rsid w:val="00853BD3"/>
    <w:rsid w:val="00853C7C"/>
    <w:rsid w:val="00853D02"/>
    <w:rsid w:val="00853DB5"/>
    <w:rsid w:val="008540F6"/>
    <w:rsid w:val="00854115"/>
    <w:rsid w:val="0085419C"/>
    <w:rsid w:val="0085432E"/>
    <w:rsid w:val="00854416"/>
    <w:rsid w:val="008547BA"/>
    <w:rsid w:val="008547E4"/>
    <w:rsid w:val="008547FE"/>
    <w:rsid w:val="0085487C"/>
    <w:rsid w:val="008548B8"/>
    <w:rsid w:val="008548E6"/>
    <w:rsid w:val="00854ABA"/>
    <w:rsid w:val="00854C9C"/>
    <w:rsid w:val="00854D1D"/>
    <w:rsid w:val="00854D32"/>
    <w:rsid w:val="00854D70"/>
    <w:rsid w:val="00854D90"/>
    <w:rsid w:val="00854E7C"/>
    <w:rsid w:val="00854E9E"/>
    <w:rsid w:val="00854ECB"/>
    <w:rsid w:val="00854ED6"/>
    <w:rsid w:val="00854F4D"/>
    <w:rsid w:val="00854F85"/>
    <w:rsid w:val="00854FAF"/>
    <w:rsid w:val="00855069"/>
    <w:rsid w:val="00855072"/>
    <w:rsid w:val="00855087"/>
    <w:rsid w:val="00855292"/>
    <w:rsid w:val="008552B7"/>
    <w:rsid w:val="00855317"/>
    <w:rsid w:val="00855353"/>
    <w:rsid w:val="0085548C"/>
    <w:rsid w:val="008554A7"/>
    <w:rsid w:val="0085558E"/>
    <w:rsid w:val="00855608"/>
    <w:rsid w:val="0085563A"/>
    <w:rsid w:val="0085570D"/>
    <w:rsid w:val="0085577A"/>
    <w:rsid w:val="008557CE"/>
    <w:rsid w:val="00855A70"/>
    <w:rsid w:val="00855A8F"/>
    <w:rsid w:val="00855AD9"/>
    <w:rsid w:val="00855C08"/>
    <w:rsid w:val="00855D89"/>
    <w:rsid w:val="00855DF0"/>
    <w:rsid w:val="00855E07"/>
    <w:rsid w:val="0085602C"/>
    <w:rsid w:val="008560A2"/>
    <w:rsid w:val="008561FD"/>
    <w:rsid w:val="008562B6"/>
    <w:rsid w:val="008563EE"/>
    <w:rsid w:val="0085650C"/>
    <w:rsid w:val="00856608"/>
    <w:rsid w:val="00856655"/>
    <w:rsid w:val="008566EA"/>
    <w:rsid w:val="00856707"/>
    <w:rsid w:val="00856763"/>
    <w:rsid w:val="008567CB"/>
    <w:rsid w:val="0085692D"/>
    <w:rsid w:val="00856A8E"/>
    <w:rsid w:val="00856A9C"/>
    <w:rsid w:val="00856BE4"/>
    <w:rsid w:val="00856C25"/>
    <w:rsid w:val="00856C56"/>
    <w:rsid w:val="00856C8F"/>
    <w:rsid w:val="00856DAF"/>
    <w:rsid w:val="00856DBC"/>
    <w:rsid w:val="00856DC4"/>
    <w:rsid w:val="00856EF3"/>
    <w:rsid w:val="00856F0C"/>
    <w:rsid w:val="00856FB9"/>
    <w:rsid w:val="0085715A"/>
    <w:rsid w:val="00857168"/>
    <w:rsid w:val="0085724C"/>
    <w:rsid w:val="00857265"/>
    <w:rsid w:val="008573D7"/>
    <w:rsid w:val="008573FB"/>
    <w:rsid w:val="00857433"/>
    <w:rsid w:val="00857846"/>
    <w:rsid w:val="0085787C"/>
    <w:rsid w:val="008578D6"/>
    <w:rsid w:val="008579C8"/>
    <w:rsid w:val="00857A29"/>
    <w:rsid w:val="00857A41"/>
    <w:rsid w:val="00857A56"/>
    <w:rsid w:val="00857BE1"/>
    <w:rsid w:val="00857C3F"/>
    <w:rsid w:val="00857C4F"/>
    <w:rsid w:val="00857D6B"/>
    <w:rsid w:val="00857DF6"/>
    <w:rsid w:val="00857E13"/>
    <w:rsid w:val="00857ED5"/>
    <w:rsid w:val="00857EFE"/>
    <w:rsid w:val="00857FA3"/>
    <w:rsid w:val="00857FD5"/>
    <w:rsid w:val="0085C7BA"/>
    <w:rsid w:val="0086010D"/>
    <w:rsid w:val="008601E9"/>
    <w:rsid w:val="008603CD"/>
    <w:rsid w:val="0086040A"/>
    <w:rsid w:val="0086042F"/>
    <w:rsid w:val="00860480"/>
    <w:rsid w:val="0086048D"/>
    <w:rsid w:val="008604C1"/>
    <w:rsid w:val="008604C7"/>
    <w:rsid w:val="0086052C"/>
    <w:rsid w:val="00860560"/>
    <w:rsid w:val="00860774"/>
    <w:rsid w:val="00860791"/>
    <w:rsid w:val="008609DD"/>
    <w:rsid w:val="00860A05"/>
    <w:rsid w:val="00860A30"/>
    <w:rsid w:val="00860ABB"/>
    <w:rsid w:val="00860B79"/>
    <w:rsid w:val="00860CC2"/>
    <w:rsid w:val="00860DD6"/>
    <w:rsid w:val="00860E02"/>
    <w:rsid w:val="00860EFD"/>
    <w:rsid w:val="00860F61"/>
    <w:rsid w:val="00860FC4"/>
    <w:rsid w:val="00860FD1"/>
    <w:rsid w:val="00860FDF"/>
    <w:rsid w:val="008612A2"/>
    <w:rsid w:val="008612CA"/>
    <w:rsid w:val="008613E0"/>
    <w:rsid w:val="00861462"/>
    <w:rsid w:val="008615E2"/>
    <w:rsid w:val="008616DF"/>
    <w:rsid w:val="00861810"/>
    <w:rsid w:val="00861881"/>
    <w:rsid w:val="0086192A"/>
    <w:rsid w:val="00861A29"/>
    <w:rsid w:val="00861A71"/>
    <w:rsid w:val="00861B35"/>
    <w:rsid w:val="00861B99"/>
    <w:rsid w:val="00861BD9"/>
    <w:rsid w:val="00861C17"/>
    <w:rsid w:val="00861D80"/>
    <w:rsid w:val="00861D8E"/>
    <w:rsid w:val="00861D94"/>
    <w:rsid w:val="00861E06"/>
    <w:rsid w:val="00861E59"/>
    <w:rsid w:val="00861F19"/>
    <w:rsid w:val="0086200F"/>
    <w:rsid w:val="00862058"/>
    <w:rsid w:val="008620CA"/>
    <w:rsid w:val="008620D2"/>
    <w:rsid w:val="00862127"/>
    <w:rsid w:val="008621AA"/>
    <w:rsid w:val="008621CB"/>
    <w:rsid w:val="0086224F"/>
    <w:rsid w:val="00862387"/>
    <w:rsid w:val="00862394"/>
    <w:rsid w:val="008624CD"/>
    <w:rsid w:val="00862812"/>
    <w:rsid w:val="00862834"/>
    <w:rsid w:val="00862854"/>
    <w:rsid w:val="00862900"/>
    <w:rsid w:val="00862940"/>
    <w:rsid w:val="008629AA"/>
    <w:rsid w:val="00862B57"/>
    <w:rsid w:val="00862C22"/>
    <w:rsid w:val="00862C58"/>
    <w:rsid w:val="00862DB1"/>
    <w:rsid w:val="00862E92"/>
    <w:rsid w:val="0086300F"/>
    <w:rsid w:val="008630BA"/>
    <w:rsid w:val="00863138"/>
    <w:rsid w:val="008632B1"/>
    <w:rsid w:val="0086331C"/>
    <w:rsid w:val="008633BB"/>
    <w:rsid w:val="0086357E"/>
    <w:rsid w:val="00863694"/>
    <w:rsid w:val="00863752"/>
    <w:rsid w:val="0086375D"/>
    <w:rsid w:val="008637DA"/>
    <w:rsid w:val="008639A8"/>
    <w:rsid w:val="00863A9D"/>
    <w:rsid w:val="00863AEB"/>
    <w:rsid w:val="00863B52"/>
    <w:rsid w:val="00863B8B"/>
    <w:rsid w:val="00863C64"/>
    <w:rsid w:val="00863CAA"/>
    <w:rsid w:val="00863D5E"/>
    <w:rsid w:val="00863DE7"/>
    <w:rsid w:val="00863E49"/>
    <w:rsid w:val="00863E90"/>
    <w:rsid w:val="00863EE0"/>
    <w:rsid w:val="00863F36"/>
    <w:rsid w:val="00863F56"/>
    <w:rsid w:val="00863F5E"/>
    <w:rsid w:val="00863FF3"/>
    <w:rsid w:val="00863FF9"/>
    <w:rsid w:val="008642F6"/>
    <w:rsid w:val="008643C8"/>
    <w:rsid w:val="0086457D"/>
    <w:rsid w:val="008646F7"/>
    <w:rsid w:val="0086471F"/>
    <w:rsid w:val="00864740"/>
    <w:rsid w:val="008647ED"/>
    <w:rsid w:val="00864A49"/>
    <w:rsid w:val="00864D53"/>
    <w:rsid w:val="00864E0C"/>
    <w:rsid w:val="00864F7A"/>
    <w:rsid w:val="00864F9B"/>
    <w:rsid w:val="0086500D"/>
    <w:rsid w:val="00865104"/>
    <w:rsid w:val="00865436"/>
    <w:rsid w:val="0086554A"/>
    <w:rsid w:val="00865605"/>
    <w:rsid w:val="008656D6"/>
    <w:rsid w:val="008656FB"/>
    <w:rsid w:val="008657B2"/>
    <w:rsid w:val="008657C7"/>
    <w:rsid w:val="00865B35"/>
    <w:rsid w:val="00865CC1"/>
    <w:rsid w:val="00865D3C"/>
    <w:rsid w:val="00865D9E"/>
    <w:rsid w:val="00865EC9"/>
    <w:rsid w:val="00865FFF"/>
    <w:rsid w:val="00866031"/>
    <w:rsid w:val="00866149"/>
    <w:rsid w:val="0086626F"/>
    <w:rsid w:val="0086632A"/>
    <w:rsid w:val="008663A5"/>
    <w:rsid w:val="0086647E"/>
    <w:rsid w:val="0086664A"/>
    <w:rsid w:val="00866677"/>
    <w:rsid w:val="00866748"/>
    <w:rsid w:val="00866820"/>
    <w:rsid w:val="00866974"/>
    <w:rsid w:val="00866A4A"/>
    <w:rsid w:val="00866A83"/>
    <w:rsid w:val="00866AA6"/>
    <w:rsid w:val="00866AAC"/>
    <w:rsid w:val="00866ADB"/>
    <w:rsid w:val="00866B79"/>
    <w:rsid w:val="00866BF5"/>
    <w:rsid w:val="00866C2E"/>
    <w:rsid w:val="00866E7A"/>
    <w:rsid w:val="00866EFA"/>
    <w:rsid w:val="0086702B"/>
    <w:rsid w:val="008671A7"/>
    <w:rsid w:val="008671DA"/>
    <w:rsid w:val="00867205"/>
    <w:rsid w:val="0086721E"/>
    <w:rsid w:val="0086729D"/>
    <w:rsid w:val="008672EE"/>
    <w:rsid w:val="008673E8"/>
    <w:rsid w:val="008674CD"/>
    <w:rsid w:val="008674EF"/>
    <w:rsid w:val="0086755A"/>
    <w:rsid w:val="0086775B"/>
    <w:rsid w:val="0086776D"/>
    <w:rsid w:val="008677A8"/>
    <w:rsid w:val="00867888"/>
    <w:rsid w:val="0086789D"/>
    <w:rsid w:val="008678D2"/>
    <w:rsid w:val="008678E8"/>
    <w:rsid w:val="00867982"/>
    <w:rsid w:val="00867A99"/>
    <w:rsid w:val="00867AF3"/>
    <w:rsid w:val="00867BAA"/>
    <w:rsid w:val="00867C15"/>
    <w:rsid w:val="00867C6C"/>
    <w:rsid w:val="00867EC0"/>
    <w:rsid w:val="008700B4"/>
    <w:rsid w:val="0087024E"/>
    <w:rsid w:val="008702AF"/>
    <w:rsid w:val="00870344"/>
    <w:rsid w:val="00870370"/>
    <w:rsid w:val="008706C9"/>
    <w:rsid w:val="00870782"/>
    <w:rsid w:val="00870874"/>
    <w:rsid w:val="00870B09"/>
    <w:rsid w:val="00870B17"/>
    <w:rsid w:val="00870BE8"/>
    <w:rsid w:val="00870C13"/>
    <w:rsid w:val="00870C6B"/>
    <w:rsid w:val="00870CB4"/>
    <w:rsid w:val="00870CB9"/>
    <w:rsid w:val="00870D3F"/>
    <w:rsid w:val="00870E21"/>
    <w:rsid w:val="00870E26"/>
    <w:rsid w:val="00870ED6"/>
    <w:rsid w:val="0087100F"/>
    <w:rsid w:val="00871065"/>
    <w:rsid w:val="008710D1"/>
    <w:rsid w:val="008710EC"/>
    <w:rsid w:val="0087111B"/>
    <w:rsid w:val="00871285"/>
    <w:rsid w:val="00871296"/>
    <w:rsid w:val="008712B4"/>
    <w:rsid w:val="00871352"/>
    <w:rsid w:val="00871406"/>
    <w:rsid w:val="00871587"/>
    <w:rsid w:val="00871666"/>
    <w:rsid w:val="008716D6"/>
    <w:rsid w:val="008717FC"/>
    <w:rsid w:val="0087181B"/>
    <w:rsid w:val="008718A0"/>
    <w:rsid w:val="008719BE"/>
    <w:rsid w:val="008719D1"/>
    <w:rsid w:val="00871A3E"/>
    <w:rsid w:val="00871A88"/>
    <w:rsid w:val="00871B67"/>
    <w:rsid w:val="00871BDA"/>
    <w:rsid w:val="00871BDC"/>
    <w:rsid w:val="00871C01"/>
    <w:rsid w:val="00871CDF"/>
    <w:rsid w:val="00871D8D"/>
    <w:rsid w:val="00871EA2"/>
    <w:rsid w:val="00871EEB"/>
    <w:rsid w:val="00871F00"/>
    <w:rsid w:val="00871F51"/>
    <w:rsid w:val="00871FE9"/>
    <w:rsid w:val="00872050"/>
    <w:rsid w:val="0087209D"/>
    <w:rsid w:val="0087212B"/>
    <w:rsid w:val="0087213C"/>
    <w:rsid w:val="0087225E"/>
    <w:rsid w:val="00872356"/>
    <w:rsid w:val="0087235C"/>
    <w:rsid w:val="008724CF"/>
    <w:rsid w:val="008725A3"/>
    <w:rsid w:val="00872622"/>
    <w:rsid w:val="00872633"/>
    <w:rsid w:val="00872639"/>
    <w:rsid w:val="008726A1"/>
    <w:rsid w:val="008726B8"/>
    <w:rsid w:val="008726D9"/>
    <w:rsid w:val="008727DE"/>
    <w:rsid w:val="00872827"/>
    <w:rsid w:val="0087283C"/>
    <w:rsid w:val="008728C3"/>
    <w:rsid w:val="00872988"/>
    <w:rsid w:val="00872A79"/>
    <w:rsid w:val="00872AE7"/>
    <w:rsid w:val="00872B46"/>
    <w:rsid w:val="00872B75"/>
    <w:rsid w:val="00872C27"/>
    <w:rsid w:val="00872C42"/>
    <w:rsid w:val="00872CEB"/>
    <w:rsid w:val="0087309B"/>
    <w:rsid w:val="008731CA"/>
    <w:rsid w:val="008732CA"/>
    <w:rsid w:val="00873321"/>
    <w:rsid w:val="008734AF"/>
    <w:rsid w:val="008734EB"/>
    <w:rsid w:val="008736B0"/>
    <w:rsid w:val="0087374C"/>
    <w:rsid w:val="00873798"/>
    <w:rsid w:val="0087384C"/>
    <w:rsid w:val="0087394C"/>
    <w:rsid w:val="00873AFE"/>
    <w:rsid w:val="00873B09"/>
    <w:rsid w:val="00873B0E"/>
    <w:rsid w:val="00873B6B"/>
    <w:rsid w:val="00873B9B"/>
    <w:rsid w:val="00873BD8"/>
    <w:rsid w:val="00873C50"/>
    <w:rsid w:val="00873C92"/>
    <w:rsid w:val="00873C9A"/>
    <w:rsid w:val="00873CB2"/>
    <w:rsid w:val="00873D29"/>
    <w:rsid w:val="00873D50"/>
    <w:rsid w:val="00873DE1"/>
    <w:rsid w:val="00873E16"/>
    <w:rsid w:val="00873E94"/>
    <w:rsid w:val="00873FFB"/>
    <w:rsid w:val="008740EC"/>
    <w:rsid w:val="008740F5"/>
    <w:rsid w:val="00874154"/>
    <w:rsid w:val="0087428C"/>
    <w:rsid w:val="00874354"/>
    <w:rsid w:val="008743D4"/>
    <w:rsid w:val="008744BD"/>
    <w:rsid w:val="008746A4"/>
    <w:rsid w:val="00874710"/>
    <w:rsid w:val="008747B2"/>
    <w:rsid w:val="0087480B"/>
    <w:rsid w:val="0087496D"/>
    <w:rsid w:val="00874D14"/>
    <w:rsid w:val="00874D22"/>
    <w:rsid w:val="00874E62"/>
    <w:rsid w:val="00874EB7"/>
    <w:rsid w:val="0087501E"/>
    <w:rsid w:val="0087504F"/>
    <w:rsid w:val="008750B1"/>
    <w:rsid w:val="00875192"/>
    <w:rsid w:val="008752A0"/>
    <w:rsid w:val="00875356"/>
    <w:rsid w:val="00875412"/>
    <w:rsid w:val="00875462"/>
    <w:rsid w:val="008754CF"/>
    <w:rsid w:val="008755B4"/>
    <w:rsid w:val="0087567B"/>
    <w:rsid w:val="0087571D"/>
    <w:rsid w:val="00875817"/>
    <w:rsid w:val="00875840"/>
    <w:rsid w:val="00875961"/>
    <w:rsid w:val="00875AF5"/>
    <w:rsid w:val="00875B07"/>
    <w:rsid w:val="00875CCB"/>
    <w:rsid w:val="00875DCB"/>
    <w:rsid w:val="00875ECC"/>
    <w:rsid w:val="00875ECD"/>
    <w:rsid w:val="00875F24"/>
    <w:rsid w:val="00875F4B"/>
    <w:rsid w:val="00875FF2"/>
    <w:rsid w:val="00876064"/>
    <w:rsid w:val="008760EB"/>
    <w:rsid w:val="008761B7"/>
    <w:rsid w:val="0087626C"/>
    <w:rsid w:val="0087632C"/>
    <w:rsid w:val="0087642C"/>
    <w:rsid w:val="0087659C"/>
    <w:rsid w:val="008765EF"/>
    <w:rsid w:val="0087669D"/>
    <w:rsid w:val="008766E4"/>
    <w:rsid w:val="008767B5"/>
    <w:rsid w:val="008768C9"/>
    <w:rsid w:val="00876A65"/>
    <w:rsid w:val="00876B6E"/>
    <w:rsid w:val="00876BB6"/>
    <w:rsid w:val="00876D5A"/>
    <w:rsid w:val="00876E6F"/>
    <w:rsid w:val="00877224"/>
    <w:rsid w:val="00877391"/>
    <w:rsid w:val="00877394"/>
    <w:rsid w:val="00877505"/>
    <w:rsid w:val="00877551"/>
    <w:rsid w:val="008775B4"/>
    <w:rsid w:val="008775C3"/>
    <w:rsid w:val="008776F2"/>
    <w:rsid w:val="008776F8"/>
    <w:rsid w:val="0087772A"/>
    <w:rsid w:val="00877919"/>
    <w:rsid w:val="008779CB"/>
    <w:rsid w:val="008779F6"/>
    <w:rsid w:val="00877ABD"/>
    <w:rsid w:val="00877B3E"/>
    <w:rsid w:val="00877CE5"/>
    <w:rsid w:val="00877D81"/>
    <w:rsid w:val="00877E52"/>
    <w:rsid w:val="00877F87"/>
    <w:rsid w:val="00880082"/>
    <w:rsid w:val="00880275"/>
    <w:rsid w:val="008802CB"/>
    <w:rsid w:val="008802D7"/>
    <w:rsid w:val="008803B4"/>
    <w:rsid w:val="00880418"/>
    <w:rsid w:val="00880525"/>
    <w:rsid w:val="0088053B"/>
    <w:rsid w:val="0088061C"/>
    <w:rsid w:val="0088061F"/>
    <w:rsid w:val="00880624"/>
    <w:rsid w:val="00880630"/>
    <w:rsid w:val="008806CF"/>
    <w:rsid w:val="00880738"/>
    <w:rsid w:val="00880796"/>
    <w:rsid w:val="00880881"/>
    <w:rsid w:val="008808CF"/>
    <w:rsid w:val="00880912"/>
    <w:rsid w:val="0088098B"/>
    <w:rsid w:val="00880A9F"/>
    <w:rsid w:val="00880B23"/>
    <w:rsid w:val="00880C52"/>
    <w:rsid w:val="00880D78"/>
    <w:rsid w:val="00880D8E"/>
    <w:rsid w:val="00880DFB"/>
    <w:rsid w:val="00880E8D"/>
    <w:rsid w:val="00880EF6"/>
    <w:rsid w:val="00880F45"/>
    <w:rsid w:val="00880F87"/>
    <w:rsid w:val="00880FAB"/>
    <w:rsid w:val="00881047"/>
    <w:rsid w:val="008810D3"/>
    <w:rsid w:val="0088110F"/>
    <w:rsid w:val="0088116D"/>
    <w:rsid w:val="0088120A"/>
    <w:rsid w:val="0088121C"/>
    <w:rsid w:val="008812A7"/>
    <w:rsid w:val="008812EB"/>
    <w:rsid w:val="00881391"/>
    <w:rsid w:val="008814A6"/>
    <w:rsid w:val="00881566"/>
    <w:rsid w:val="00881601"/>
    <w:rsid w:val="0088162F"/>
    <w:rsid w:val="0088167A"/>
    <w:rsid w:val="0088172D"/>
    <w:rsid w:val="00881743"/>
    <w:rsid w:val="008818A8"/>
    <w:rsid w:val="00881992"/>
    <w:rsid w:val="00881A47"/>
    <w:rsid w:val="00881B9A"/>
    <w:rsid w:val="00881BB2"/>
    <w:rsid w:val="00881C51"/>
    <w:rsid w:val="00881D36"/>
    <w:rsid w:val="00881F36"/>
    <w:rsid w:val="00882069"/>
    <w:rsid w:val="00882080"/>
    <w:rsid w:val="008820AB"/>
    <w:rsid w:val="008820F0"/>
    <w:rsid w:val="008821B8"/>
    <w:rsid w:val="00882275"/>
    <w:rsid w:val="00882374"/>
    <w:rsid w:val="008823CD"/>
    <w:rsid w:val="008823E0"/>
    <w:rsid w:val="008824E9"/>
    <w:rsid w:val="00882662"/>
    <w:rsid w:val="00882766"/>
    <w:rsid w:val="00882787"/>
    <w:rsid w:val="008828FF"/>
    <w:rsid w:val="008829D1"/>
    <w:rsid w:val="00882A30"/>
    <w:rsid w:val="00882A4F"/>
    <w:rsid w:val="00882A8F"/>
    <w:rsid w:val="00882AD7"/>
    <w:rsid w:val="00882B38"/>
    <w:rsid w:val="00882BA2"/>
    <w:rsid w:val="00882C4C"/>
    <w:rsid w:val="00882D0A"/>
    <w:rsid w:val="00882E0D"/>
    <w:rsid w:val="00882E4F"/>
    <w:rsid w:val="00882EA0"/>
    <w:rsid w:val="00882EA7"/>
    <w:rsid w:val="00882EAC"/>
    <w:rsid w:val="00882EB4"/>
    <w:rsid w:val="00882FCA"/>
    <w:rsid w:val="0088303C"/>
    <w:rsid w:val="00883069"/>
    <w:rsid w:val="0088319B"/>
    <w:rsid w:val="008832FD"/>
    <w:rsid w:val="008834FF"/>
    <w:rsid w:val="0088356F"/>
    <w:rsid w:val="0088358B"/>
    <w:rsid w:val="008836AC"/>
    <w:rsid w:val="00883716"/>
    <w:rsid w:val="00883757"/>
    <w:rsid w:val="008837FC"/>
    <w:rsid w:val="00883888"/>
    <w:rsid w:val="00883943"/>
    <w:rsid w:val="0088396D"/>
    <w:rsid w:val="00883B5C"/>
    <w:rsid w:val="00883C8D"/>
    <w:rsid w:val="00883D0C"/>
    <w:rsid w:val="00883D24"/>
    <w:rsid w:val="00883D50"/>
    <w:rsid w:val="00883DE5"/>
    <w:rsid w:val="00883E2D"/>
    <w:rsid w:val="00883F5E"/>
    <w:rsid w:val="00883FDE"/>
    <w:rsid w:val="0088400F"/>
    <w:rsid w:val="00884057"/>
    <w:rsid w:val="00884104"/>
    <w:rsid w:val="008841BB"/>
    <w:rsid w:val="00884385"/>
    <w:rsid w:val="0088438A"/>
    <w:rsid w:val="008843E5"/>
    <w:rsid w:val="00884413"/>
    <w:rsid w:val="0088443F"/>
    <w:rsid w:val="00884499"/>
    <w:rsid w:val="0088456F"/>
    <w:rsid w:val="008845D4"/>
    <w:rsid w:val="008847D2"/>
    <w:rsid w:val="0088487A"/>
    <w:rsid w:val="0088491D"/>
    <w:rsid w:val="0088492B"/>
    <w:rsid w:val="00884A6E"/>
    <w:rsid w:val="00884BDB"/>
    <w:rsid w:val="00884DC4"/>
    <w:rsid w:val="00884DD9"/>
    <w:rsid w:val="00884DDC"/>
    <w:rsid w:val="00884E30"/>
    <w:rsid w:val="00884F9E"/>
    <w:rsid w:val="00884FC1"/>
    <w:rsid w:val="00884FE5"/>
    <w:rsid w:val="00885060"/>
    <w:rsid w:val="0088515D"/>
    <w:rsid w:val="00885291"/>
    <w:rsid w:val="00885374"/>
    <w:rsid w:val="008853EB"/>
    <w:rsid w:val="008855AD"/>
    <w:rsid w:val="008856A0"/>
    <w:rsid w:val="008856F2"/>
    <w:rsid w:val="00885971"/>
    <w:rsid w:val="0088597D"/>
    <w:rsid w:val="00885A15"/>
    <w:rsid w:val="00885AA3"/>
    <w:rsid w:val="00885BD0"/>
    <w:rsid w:val="00885C4A"/>
    <w:rsid w:val="00885D3A"/>
    <w:rsid w:val="00885D46"/>
    <w:rsid w:val="00885DB8"/>
    <w:rsid w:val="00885DF9"/>
    <w:rsid w:val="00885DFB"/>
    <w:rsid w:val="00885EC2"/>
    <w:rsid w:val="00885F7B"/>
    <w:rsid w:val="00885FF0"/>
    <w:rsid w:val="008861CC"/>
    <w:rsid w:val="00886318"/>
    <w:rsid w:val="0088636B"/>
    <w:rsid w:val="0088638E"/>
    <w:rsid w:val="00886477"/>
    <w:rsid w:val="008865A5"/>
    <w:rsid w:val="008866F6"/>
    <w:rsid w:val="0088675D"/>
    <w:rsid w:val="008867DC"/>
    <w:rsid w:val="00886931"/>
    <w:rsid w:val="00886B81"/>
    <w:rsid w:val="00886BA9"/>
    <w:rsid w:val="00886C7E"/>
    <w:rsid w:val="00886C80"/>
    <w:rsid w:val="00886D49"/>
    <w:rsid w:val="00886D77"/>
    <w:rsid w:val="00886DA1"/>
    <w:rsid w:val="00886E07"/>
    <w:rsid w:val="00886F6A"/>
    <w:rsid w:val="00887111"/>
    <w:rsid w:val="00887112"/>
    <w:rsid w:val="00887241"/>
    <w:rsid w:val="00887352"/>
    <w:rsid w:val="00887421"/>
    <w:rsid w:val="00887475"/>
    <w:rsid w:val="00887483"/>
    <w:rsid w:val="00887579"/>
    <w:rsid w:val="0088765E"/>
    <w:rsid w:val="00887662"/>
    <w:rsid w:val="00887AEF"/>
    <w:rsid w:val="00887CA4"/>
    <w:rsid w:val="00887CB5"/>
    <w:rsid w:val="00887CD5"/>
    <w:rsid w:val="00887CDA"/>
    <w:rsid w:val="00887D77"/>
    <w:rsid w:val="00887DA0"/>
    <w:rsid w:val="00887DFC"/>
    <w:rsid w:val="00887EEC"/>
    <w:rsid w:val="00890149"/>
    <w:rsid w:val="00890201"/>
    <w:rsid w:val="008902B2"/>
    <w:rsid w:val="008902BA"/>
    <w:rsid w:val="00890336"/>
    <w:rsid w:val="0089054A"/>
    <w:rsid w:val="008905CD"/>
    <w:rsid w:val="00890747"/>
    <w:rsid w:val="008907A3"/>
    <w:rsid w:val="008907E6"/>
    <w:rsid w:val="0089093B"/>
    <w:rsid w:val="00890A79"/>
    <w:rsid w:val="00890AB4"/>
    <w:rsid w:val="00890B24"/>
    <w:rsid w:val="00890B84"/>
    <w:rsid w:val="00890D14"/>
    <w:rsid w:val="00890D93"/>
    <w:rsid w:val="00890DF9"/>
    <w:rsid w:val="00890E45"/>
    <w:rsid w:val="00890E78"/>
    <w:rsid w:val="00891017"/>
    <w:rsid w:val="008910D3"/>
    <w:rsid w:val="008910F2"/>
    <w:rsid w:val="00891107"/>
    <w:rsid w:val="0089118E"/>
    <w:rsid w:val="008911C4"/>
    <w:rsid w:val="00891289"/>
    <w:rsid w:val="008912E1"/>
    <w:rsid w:val="008916AA"/>
    <w:rsid w:val="008918EF"/>
    <w:rsid w:val="00891A65"/>
    <w:rsid w:val="00891B87"/>
    <w:rsid w:val="00891D06"/>
    <w:rsid w:val="00891DBD"/>
    <w:rsid w:val="00891E68"/>
    <w:rsid w:val="00891EE5"/>
    <w:rsid w:val="00891F1E"/>
    <w:rsid w:val="00891F22"/>
    <w:rsid w:val="00891FF7"/>
    <w:rsid w:val="0089206E"/>
    <w:rsid w:val="008920E7"/>
    <w:rsid w:val="00892215"/>
    <w:rsid w:val="00892216"/>
    <w:rsid w:val="00892225"/>
    <w:rsid w:val="00892326"/>
    <w:rsid w:val="0089235B"/>
    <w:rsid w:val="008923AF"/>
    <w:rsid w:val="008923B9"/>
    <w:rsid w:val="00892406"/>
    <w:rsid w:val="008924A4"/>
    <w:rsid w:val="008924DD"/>
    <w:rsid w:val="00892580"/>
    <w:rsid w:val="00892597"/>
    <w:rsid w:val="00892728"/>
    <w:rsid w:val="00892840"/>
    <w:rsid w:val="008928D8"/>
    <w:rsid w:val="0089290C"/>
    <w:rsid w:val="0089298F"/>
    <w:rsid w:val="008929CC"/>
    <w:rsid w:val="008929F9"/>
    <w:rsid w:val="00892AFC"/>
    <w:rsid w:val="00892B53"/>
    <w:rsid w:val="00892BA7"/>
    <w:rsid w:val="00892BF7"/>
    <w:rsid w:val="00892D1A"/>
    <w:rsid w:val="00892D7F"/>
    <w:rsid w:val="00892DE0"/>
    <w:rsid w:val="00892F3A"/>
    <w:rsid w:val="00893078"/>
    <w:rsid w:val="00893219"/>
    <w:rsid w:val="00893483"/>
    <w:rsid w:val="0089368B"/>
    <w:rsid w:val="008937A3"/>
    <w:rsid w:val="008938F1"/>
    <w:rsid w:val="008939CB"/>
    <w:rsid w:val="00893B38"/>
    <w:rsid w:val="00893B4E"/>
    <w:rsid w:val="00893B70"/>
    <w:rsid w:val="00893C01"/>
    <w:rsid w:val="00893C73"/>
    <w:rsid w:val="00893CB7"/>
    <w:rsid w:val="00893D28"/>
    <w:rsid w:val="00893D3C"/>
    <w:rsid w:val="00893E23"/>
    <w:rsid w:val="00893EC8"/>
    <w:rsid w:val="00893EDB"/>
    <w:rsid w:val="00894247"/>
    <w:rsid w:val="008942B3"/>
    <w:rsid w:val="00894354"/>
    <w:rsid w:val="00894385"/>
    <w:rsid w:val="008943C1"/>
    <w:rsid w:val="008943EC"/>
    <w:rsid w:val="008944B8"/>
    <w:rsid w:val="0089455E"/>
    <w:rsid w:val="0089457A"/>
    <w:rsid w:val="008946AC"/>
    <w:rsid w:val="008948B1"/>
    <w:rsid w:val="008948B5"/>
    <w:rsid w:val="008948E7"/>
    <w:rsid w:val="00894932"/>
    <w:rsid w:val="008949DD"/>
    <w:rsid w:val="008949FD"/>
    <w:rsid w:val="00894A87"/>
    <w:rsid w:val="00894A9F"/>
    <w:rsid w:val="00894AD6"/>
    <w:rsid w:val="00894BD1"/>
    <w:rsid w:val="00894C2B"/>
    <w:rsid w:val="00894C94"/>
    <w:rsid w:val="00894D54"/>
    <w:rsid w:val="00894DA4"/>
    <w:rsid w:val="00894E9B"/>
    <w:rsid w:val="00894FE8"/>
    <w:rsid w:val="008951E9"/>
    <w:rsid w:val="00895202"/>
    <w:rsid w:val="00895252"/>
    <w:rsid w:val="00895268"/>
    <w:rsid w:val="0089540E"/>
    <w:rsid w:val="00895418"/>
    <w:rsid w:val="008954C1"/>
    <w:rsid w:val="0089566B"/>
    <w:rsid w:val="00895766"/>
    <w:rsid w:val="0089579E"/>
    <w:rsid w:val="008957BD"/>
    <w:rsid w:val="00895864"/>
    <w:rsid w:val="00895984"/>
    <w:rsid w:val="008959C5"/>
    <w:rsid w:val="00895AD3"/>
    <w:rsid w:val="00895B5D"/>
    <w:rsid w:val="00895BF3"/>
    <w:rsid w:val="00895D6A"/>
    <w:rsid w:val="00895DFB"/>
    <w:rsid w:val="0089601F"/>
    <w:rsid w:val="008960B5"/>
    <w:rsid w:val="008960FF"/>
    <w:rsid w:val="00896130"/>
    <w:rsid w:val="00896145"/>
    <w:rsid w:val="00896199"/>
    <w:rsid w:val="00896484"/>
    <w:rsid w:val="00896503"/>
    <w:rsid w:val="0089653A"/>
    <w:rsid w:val="008965DD"/>
    <w:rsid w:val="008966F7"/>
    <w:rsid w:val="008966F8"/>
    <w:rsid w:val="008968D3"/>
    <w:rsid w:val="00896936"/>
    <w:rsid w:val="0089694F"/>
    <w:rsid w:val="00896A32"/>
    <w:rsid w:val="00896A52"/>
    <w:rsid w:val="00896AB3"/>
    <w:rsid w:val="00896B0F"/>
    <w:rsid w:val="00896B11"/>
    <w:rsid w:val="00896B43"/>
    <w:rsid w:val="00896C32"/>
    <w:rsid w:val="00896C95"/>
    <w:rsid w:val="00896E0B"/>
    <w:rsid w:val="00896E25"/>
    <w:rsid w:val="00896E80"/>
    <w:rsid w:val="00896E98"/>
    <w:rsid w:val="00896EB0"/>
    <w:rsid w:val="00896F54"/>
    <w:rsid w:val="00896FAC"/>
    <w:rsid w:val="0089705F"/>
    <w:rsid w:val="00897155"/>
    <w:rsid w:val="00897177"/>
    <w:rsid w:val="008971D2"/>
    <w:rsid w:val="0089727E"/>
    <w:rsid w:val="008972CF"/>
    <w:rsid w:val="00897384"/>
    <w:rsid w:val="008973BB"/>
    <w:rsid w:val="0089747F"/>
    <w:rsid w:val="008974C8"/>
    <w:rsid w:val="00897509"/>
    <w:rsid w:val="00897561"/>
    <w:rsid w:val="008975A9"/>
    <w:rsid w:val="00897657"/>
    <w:rsid w:val="00897667"/>
    <w:rsid w:val="00897683"/>
    <w:rsid w:val="008976CE"/>
    <w:rsid w:val="00897743"/>
    <w:rsid w:val="00897753"/>
    <w:rsid w:val="008977C2"/>
    <w:rsid w:val="008977D1"/>
    <w:rsid w:val="00897897"/>
    <w:rsid w:val="00897901"/>
    <w:rsid w:val="0089796B"/>
    <w:rsid w:val="0089799B"/>
    <w:rsid w:val="00897AD9"/>
    <w:rsid w:val="00897B5E"/>
    <w:rsid w:val="00897B8D"/>
    <w:rsid w:val="00897BD0"/>
    <w:rsid w:val="00897F57"/>
    <w:rsid w:val="00897F65"/>
    <w:rsid w:val="008A006C"/>
    <w:rsid w:val="008A031F"/>
    <w:rsid w:val="008A0351"/>
    <w:rsid w:val="008A04D2"/>
    <w:rsid w:val="008A054F"/>
    <w:rsid w:val="008A05A7"/>
    <w:rsid w:val="008A05E2"/>
    <w:rsid w:val="008A0626"/>
    <w:rsid w:val="008A077D"/>
    <w:rsid w:val="008A078F"/>
    <w:rsid w:val="008A081B"/>
    <w:rsid w:val="008A083B"/>
    <w:rsid w:val="008A09C5"/>
    <w:rsid w:val="008A09E8"/>
    <w:rsid w:val="008A09F8"/>
    <w:rsid w:val="008A0A33"/>
    <w:rsid w:val="008A0A67"/>
    <w:rsid w:val="008A0B53"/>
    <w:rsid w:val="008A0BBE"/>
    <w:rsid w:val="008A0D0C"/>
    <w:rsid w:val="008A0EE1"/>
    <w:rsid w:val="008A0EE3"/>
    <w:rsid w:val="008A0F5C"/>
    <w:rsid w:val="008A0F72"/>
    <w:rsid w:val="008A0FE1"/>
    <w:rsid w:val="008A102E"/>
    <w:rsid w:val="008A1165"/>
    <w:rsid w:val="008A1339"/>
    <w:rsid w:val="008A13A7"/>
    <w:rsid w:val="008A13B6"/>
    <w:rsid w:val="008A13FB"/>
    <w:rsid w:val="008A14A4"/>
    <w:rsid w:val="008A1553"/>
    <w:rsid w:val="008A1583"/>
    <w:rsid w:val="008A1606"/>
    <w:rsid w:val="008A1616"/>
    <w:rsid w:val="008A1736"/>
    <w:rsid w:val="008A179F"/>
    <w:rsid w:val="008A18C2"/>
    <w:rsid w:val="008A18D2"/>
    <w:rsid w:val="008A1915"/>
    <w:rsid w:val="008A1998"/>
    <w:rsid w:val="008A1A70"/>
    <w:rsid w:val="008A1AA3"/>
    <w:rsid w:val="008A1AAD"/>
    <w:rsid w:val="008A1AF4"/>
    <w:rsid w:val="008A1AFA"/>
    <w:rsid w:val="008A1CC9"/>
    <w:rsid w:val="008A1D38"/>
    <w:rsid w:val="008A1FA2"/>
    <w:rsid w:val="008A219D"/>
    <w:rsid w:val="008A21A6"/>
    <w:rsid w:val="008A2256"/>
    <w:rsid w:val="008A231F"/>
    <w:rsid w:val="008A23A4"/>
    <w:rsid w:val="008A23C6"/>
    <w:rsid w:val="008A23D0"/>
    <w:rsid w:val="008A2450"/>
    <w:rsid w:val="008A2487"/>
    <w:rsid w:val="008A258A"/>
    <w:rsid w:val="008A264F"/>
    <w:rsid w:val="008A26D0"/>
    <w:rsid w:val="008A26D4"/>
    <w:rsid w:val="008A2766"/>
    <w:rsid w:val="008A2823"/>
    <w:rsid w:val="008A28D3"/>
    <w:rsid w:val="008A2914"/>
    <w:rsid w:val="008A2B58"/>
    <w:rsid w:val="008A2C61"/>
    <w:rsid w:val="008A2E40"/>
    <w:rsid w:val="008A2E5B"/>
    <w:rsid w:val="008A2E5C"/>
    <w:rsid w:val="008A2F0D"/>
    <w:rsid w:val="008A304B"/>
    <w:rsid w:val="008A307F"/>
    <w:rsid w:val="008A3084"/>
    <w:rsid w:val="008A3097"/>
    <w:rsid w:val="008A30A0"/>
    <w:rsid w:val="008A30A1"/>
    <w:rsid w:val="008A317F"/>
    <w:rsid w:val="008A31D0"/>
    <w:rsid w:val="008A31E3"/>
    <w:rsid w:val="008A3248"/>
    <w:rsid w:val="008A3264"/>
    <w:rsid w:val="008A329C"/>
    <w:rsid w:val="008A33C7"/>
    <w:rsid w:val="008A346B"/>
    <w:rsid w:val="008A3485"/>
    <w:rsid w:val="008A34F1"/>
    <w:rsid w:val="008A358D"/>
    <w:rsid w:val="008A3700"/>
    <w:rsid w:val="008A3737"/>
    <w:rsid w:val="008A38B5"/>
    <w:rsid w:val="008A394A"/>
    <w:rsid w:val="008A3AD2"/>
    <w:rsid w:val="008A3B2E"/>
    <w:rsid w:val="008A3C75"/>
    <w:rsid w:val="008A3C8A"/>
    <w:rsid w:val="008A3C9B"/>
    <w:rsid w:val="008A3CAE"/>
    <w:rsid w:val="008A3DDB"/>
    <w:rsid w:val="008A3E13"/>
    <w:rsid w:val="008A3F74"/>
    <w:rsid w:val="008A40E1"/>
    <w:rsid w:val="008A420F"/>
    <w:rsid w:val="008A4296"/>
    <w:rsid w:val="008A42BF"/>
    <w:rsid w:val="008A42D1"/>
    <w:rsid w:val="008A434F"/>
    <w:rsid w:val="008A4367"/>
    <w:rsid w:val="008A4372"/>
    <w:rsid w:val="008A43C6"/>
    <w:rsid w:val="008A4409"/>
    <w:rsid w:val="008A457A"/>
    <w:rsid w:val="008A45B8"/>
    <w:rsid w:val="008A46AD"/>
    <w:rsid w:val="008A47F6"/>
    <w:rsid w:val="008A4831"/>
    <w:rsid w:val="008A484A"/>
    <w:rsid w:val="008A4873"/>
    <w:rsid w:val="008A4A30"/>
    <w:rsid w:val="008A4A7D"/>
    <w:rsid w:val="008A4BCE"/>
    <w:rsid w:val="008A4C92"/>
    <w:rsid w:val="008A4CBC"/>
    <w:rsid w:val="008A4F29"/>
    <w:rsid w:val="008A4FB4"/>
    <w:rsid w:val="008A5038"/>
    <w:rsid w:val="008A50A7"/>
    <w:rsid w:val="008A5132"/>
    <w:rsid w:val="008A520C"/>
    <w:rsid w:val="008A5261"/>
    <w:rsid w:val="008A52B2"/>
    <w:rsid w:val="008A52F8"/>
    <w:rsid w:val="008A5305"/>
    <w:rsid w:val="008A5435"/>
    <w:rsid w:val="008A5612"/>
    <w:rsid w:val="008A564D"/>
    <w:rsid w:val="008A5652"/>
    <w:rsid w:val="008A57BA"/>
    <w:rsid w:val="008A57BB"/>
    <w:rsid w:val="008A58B4"/>
    <w:rsid w:val="008A5922"/>
    <w:rsid w:val="008A592E"/>
    <w:rsid w:val="008A5A20"/>
    <w:rsid w:val="008A5B33"/>
    <w:rsid w:val="008A5B4D"/>
    <w:rsid w:val="008A5B63"/>
    <w:rsid w:val="008A5B99"/>
    <w:rsid w:val="008A5C1D"/>
    <w:rsid w:val="008A5C66"/>
    <w:rsid w:val="008A5CEA"/>
    <w:rsid w:val="008A5DA2"/>
    <w:rsid w:val="008A5EEE"/>
    <w:rsid w:val="008A60DB"/>
    <w:rsid w:val="008A618B"/>
    <w:rsid w:val="008A61F7"/>
    <w:rsid w:val="008A624B"/>
    <w:rsid w:val="008A6325"/>
    <w:rsid w:val="008A63B3"/>
    <w:rsid w:val="008A646C"/>
    <w:rsid w:val="008A654D"/>
    <w:rsid w:val="008A665D"/>
    <w:rsid w:val="008A66A7"/>
    <w:rsid w:val="008A66D1"/>
    <w:rsid w:val="008A68B2"/>
    <w:rsid w:val="008A69DA"/>
    <w:rsid w:val="008A6A2F"/>
    <w:rsid w:val="008A6B64"/>
    <w:rsid w:val="008A6B92"/>
    <w:rsid w:val="008A6BA0"/>
    <w:rsid w:val="008A6BAE"/>
    <w:rsid w:val="008A6CB9"/>
    <w:rsid w:val="008A6D3B"/>
    <w:rsid w:val="008A6E72"/>
    <w:rsid w:val="008A6EFB"/>
    <w:rsid w:val="008A6F39"/>
    <w:rsid w:val="008A72E1"/>
    <w:rsid w:val="008A733A"/>
    <w:rsid w:val="008A7370"/>
    <w:rsid w:val="008A73F4"/>
    <w:rsid w:val="008A7481"/>
    <w:rsid w:val="008A74D6"/>
    <w:rsid w:val="008A7518"/>
    <w:rsid w:val="008A751A"/>
    <w:rsid w:val="008A75E9"/>
    <w:rsid w:val="008A763E"/>
    <w:rsid w:val="008A7781"/>
    <w:rsid w:val="008A77D6"/>
    <w:rsid w:val="008A79FD"/>
    <w:rsid w:val="008A7A77"/>
    <w:rsid w:val="008A7AA1"/>
    <w:rsid w:val="008A7AC5"/>
    <w:rsid w:val="008A7AFF"/>
    <w:rsid w:val="008A7B6A"/>
    <w:rsid w:val="008A7BCA"/>
    <w:rsid w:val="008A7CA2"/>
    <w:rsid w:val="008A7CF4"/>
    <w:rsid w:val="008A7D15"/>
    <w:rsid w:val="008A7E13"/>
    <w:rsid w:val="008A7EF1"/>
    <w:rsid w:val="008A7F27"/>
    <w:rsid w:val="008A7F9E"/>
    <w:rsid w:val="008B0043"/>
    <w:rsid w:val="008B0063"/>
    <w:rsid w:val="008B0162"/>
    <w:rsid w:val="008B022C"/>
    <w:rsid w:val="008B0262"/>
    <w:rsid w:val="008B03B7"/>
    <w:rsid w:val="008B03D4"/>
    <w:rsid w:val="008B04A9"/>
    <w:rsid w:val="008B04BF"/>
    <w:rsid w:val="008B06B7"/>
    <w:rsid w:val="008B0838"/>
    <w:rsid w:val="008B0903"/>
    <w:rsid w:val="008B0959"/>
    <w:rsid w:val="008B09D0"/>
    <w:rsid w:val="008B0AE9"/>
    <w:rsid w:val="008B0B7F"/>
    <w:rsid w:val="008B0B97"/>
    <w:rsid w:val="008B0BDA"/>
    <w:rsid w:val="008B0C4C"/>
    <w:rsid w:val="008B0DE3"/>
    <w:rsid w:val="008B0E74"/>
    <w:rsid w:val="008B0EC7"/>
    <w:rsid w:val="008B0EF4"/>
    <w:rsid w:val="008B102E"/>
    <w:rsid w:val="008B1056"/>
    <w:rsid w:val="008B11FB"/>
    <w:rsid w:val="008B1218"/>
    <w:rsid w:val="008B1255"/>
    <w:rsid w:val="008B1309"/>
    <w:rsid w:val="008B132F"/>
    <w:rsid w:val="008B13EA"/>
    <w:rsid w:val="008B1577"/>
    <w:rsid w:val="008B15AE"/>
    <w:rsid w:val="008B1696"/>
    <w:rsid w:val="008B1718"/>
    <w:rsid w:val="008B1760"/>
    <w:rsid w:val="008B183F"/>
    <w:rsid w:val="008B1859"/>
    <w:rsid w:val="008B1894"/>
    <w:rsid w:val="008B189A"/>
    <w:rsid w:val="008B192C"/>
    <w:rsid w:val="008B19BB"/>
    <w:rsid w:val="008B19E5"/>
    <w:rsid w:val="008B1CEE"/>
    <w:rsid w:val="008B1D72"/>
    <w:rsid w:val="008B1ED1"/>
    <w:rsid w:val="008B1EE9"/>
    <w:rsid w:val="008B1F29"/>
    <w:rsid w:val="008B2006"/>
    <w:rsid w:val="008B204F"/>
    <w:rsid w:val="008B2151"/>
    <w:rsid w:val="008B21FD"/>
    <w:rsid w:val="008B221D"/>
    <w:rsid w:val="008B2351"/>
    <w:rsid w:val="008B235D"/>
    <w:rsid w:val="008B23DA"/>
    <w:rsid w:val="008B2406"/>
    <w:rsid w:val="008B26C0"/>
    <w:rsid w:val="008B2752"/>
    <w:rsid w:val="008B27B6"/>
    <w:rsid w:val="008B2881"/>
    <w:rsid w:val="008B28CC"/>
    <w:rsid w:val="008B298A"/>
    <w:rsid w:val="008B2A6A"/>
    <w:rsid w:val="008B2B44"/>
    <w:rsid w:val="008B2BCB"/>
    <w:rsid w:val="008B2BF7"/>
    <w:rsid w:val="008B2D0C"/>
    <w:rsid w:val="008B2D29"/>
    <w:rsid w:val="008B2DB6"/>
    <w:rsid w:val="008B2EB5"/>
    <w:rsid w:val="008B2EE3"/>
    <w:rsid w:val="008B2EF3"/>
    <w:rsid w:val="008B2FC9"/>
    <w:rsid w:val="008B3034"/>
    <w:rsid w:val="008B304F"/>
    <w:rsid w:val="008B30A5"/>
    <w:rsid w:val="008B30C1"/>
    <w:rsid w:val="008B3700"/>
    <w:rsid w:val="008B3779"/>
    <w:rsid w:val="008B394F"/>
    <w:rsid w:val="008B3A86"/>
    <w:rsid w:val="008B3A8B"/>
    <w:rsid w:val="008B3AC2"/>
    <w:rsid w:val="008B3C4F"/>
    <w:rsid w:val="008B3C82"/>
    <w:rsid w:val="008B3EBD"/>
    <w:rsid w:val="008B3EE5"/>
    <w:rsid w:val="008B409D"/>
    <w:rsid w:val="008B40E4"/>
    <w:rsid w:val="008B4166"/>
    <w:rsid w:val="008B4245"/>
    <w:rsid w:val="008B432F"/>
    <w:rsid w:val="008B43A2"/>
    <w:rsid w:val="008B43AF"/>
    <w:rsid w:val="008B444A"/>
    <w:rsid w:val="008B44AF"/>
    <w:rsid w:val="008B4575"/>
    <w:rsid w:val="008B4757"/>
    <w:rsid w:val="008B47A9"/>
    <w:rsid w:val="008B4908"/>
    <w:rsid w:val="008B4995"/>
    <w:rsid w:val="008B4A1F"/>
    <w:rsid w:val="008B4A81"/>
    <w:rsid w:val="008B4B2F"/>
    <w:rsid w:val="008B4BA6"/>
    <w:rsid w:val="008B4BF8"/>
    <w:rsid w:val="008B4BFF"/>
    <w:rsid w:val="008B4C8A"/>
    <w:rsid w:val="008B4E28"/>
    <w:rsid w:val="008B4E4B"/>
    <w:rsid w:val="008B4EBE"/>
    <w:rsid w:val="008B4FC8"/>
    <w:rsid w:val="008B4FD5"/>
    <w:rsid w:val="008B506C"/>
    <w:rsid w:val="008B5085"/>
    <w:rsid w:val="008B5162"/>
    <w:rsid w:val="008B51A2"/>
    <w:rsid w:val="008B532F"/>
    <w:rsid w:val="008B5355"/>
    <w:rsid w:val="008B5480"/>
    <w:rsid w:val="008B555F"/>
    <w:rsid w:val="008B5571"/>
    <w:rsid w:val="008B55A2"/>
    <w:rsid w:val="008B57EB"/>
    <w:rsid w:val="008B58A2"/>
    <w:rsid w:val="008B58AF"/>
    <w:rsid w:val="008B58C5"/>
    <w:rsid w:val="008B59E3"/>
    <w:rsid w:val="008B5A71"/>
    <w:rsid w:val="008B5C90"/>
    <w:rsid w:val="008B5D58"/>
    <w:rsid w:val="008B5E90"/>
    <w:rsid w:val="008B625B"/>
    <w:rsid w:val="008B6268"/>
    <w:rsid w:val="008B62D1"/>
    <w:rsid w:val="008B64B9"/>
    <w:rsid w:val="008B6596"/>
    <w:rsid w:val="008B6627"/>
    <w:rsid w:val="008B6667"/>
    <w:rsid w:val="008B66ED"/>
    <w:rsid w:val="008B6B00"/>
    <w:rsid w:val="008B6B47"/>
    <w:rsid w:val="008B6C26"/>
    <w:rsid w:val="008B6C8E"/>
    <w:rsid w:val="008B6DC0"/>
    <w:rsid w:val="008B6DFD"/>
    <w:rsid w:val="008B6FDC"/>
    <w:rsid w:val="008B7281"/>
    <w:rsid w:val="008B7282"/>
    <w:rsid w:val="008B72AF"/>
    <w:rsid w:val="008B7406"/>
    <w:rsid w:val="008B742C"/>
    <w:rsid w:val="008B752D"/>
    <w:rsid w:val="008B759C"/>
    <w:rsid w:val="008B75E5"/>
    <w:rsid w:val="008B78D3"/>
    <w:rsid w:val="008B7978"/>
    <w:rsid w:val="008B7AC1"/>
    <w:rsid w:val="008B7AD0"/>
    <w:rsid w:val="008B7B23"/>
    <w:rsid w:val="008B7B25"/>
    <w:rsid w:val="008B7CF5"/>
    <w:rsid w:val="008B7E53"/>
    <w:rsid w:val="008B7E62"/>
    <w:rsid w:val="008B7F2C"/>
    <w:rsid w:val="008B7F9E"/>
    <w:rsid w:val="008B7FD0"/>
    <w:rsid w:val="008B7FDE"/>
    <w:rsid w:val="008C01D3"/>
    <w:rsid w:val="008C02E5"/>
    <w:rsid w:val="008C03B1"/>
    <w:rsid w:val="008C03D4"/>
    <w:rsid w:val="008C0448"/>
    <w:rsid w:val="008C050E"/>
    <w:rsid w:val="008C0533"/>
    <w:rsid w:val="008C0693"/>
    <w:rsid w:val="008C0716"/>
    <w:rsid w:val="008C07AC"/>
    <w:rsid w:val="008C07E1"/>
    <w:rsid w:val="008C07E2"/>
    <w:rsid w:val="008C0A32"/>
    <w:rsid w:val="008C0B19"/>
    <w:rsid w:val="008C0CA7"/>
    <w:rsid w:val="008C0E4D"/>
    <w:rsid w:val="008C0E50"/>
    <w:rsid w:val="008C0E8D"/>
    <w:rsid w:val="008C0F06"/>
    <w:rsid w:val="008C11E7"/>
    <w:rsid w:val="008C11ED"/>
    <w:rsid w:val="008C12A8"/>
    <w:rsid w:val="008C12B1"/>
    <w:rsid w:val="008C12F0"/>
    <w:rsid w:val="008C1351"/>
    <w:rsid w:val="008C13C9"/>
    <w:rsid w:val="008C13ED"/>
    <w:rsid w:val="008C1436"/>
    <w:rsid w:val="008C17BC"/>
    <w:rsid w:val="008C18A2"/>
    <w:rsid w:val="008C18E7"/>
    <w:rsid w:val="008C1944"/>
    <w:rsid w:val="008C1977"/>
    <w:rsid w:val="008C1AC7"/>
    <w:rsid w:val="008C1B48"/>
    <w:rsid w:val="008C1B64"/>
    <w:rsid w:val="008C1BC6"/>
    <w:rsid w:val="008C1C51"/>
    <w:rsid w:val="008C1CDC"/>
    <w:rsid w:val="008C1E61"/>
    <w:rsid w:val="008C1EDB"/>
    <w:rsid w:val="008C1EF8"/>
    <w:rsid w:val="008C20BE"/>
    <w:rsid w:val="008C2157"/>
    <w:rsid w:val="008C2192"/>
    <w:rsid w:val="008C220E"/>
    <w:rsid w:val="008C2224"/>
    <w:rsid w:val="008C2316"/>
    <w:rsid w:val="008C2456"/>
    <w:rsid w:val="008C2643"/>
    <w:rsid w:val="008C26D8"/>
    <w:rsid w:val="008C287B"/>
    <w:rsid w:val="008C289D"/>
    <w:rsid w:val="008C28CA"/>
    <w:rsid w:val="008C2A27"/>
    <w:rsid w:val="008C2AA5"/>
    <w:rsid w:val="008C2C21"/>
    <w:rsid w:val="008C2CB7"/>
    <w:rsid w:val="008C2CDE"/>
    <w:rsid w:val="008C2E1A"/>
    <w:rsid w:val="008C2ED1"/>
    <w:rsid w:val="008C321D"/>
    <w:rsid w:val="008C3235"/>
    <w:rsid w:val="008C3288"/>
    <w:rsid w:val="008C32AE"/>
    <w:rsid w:val="008C33B8"/>
    <w:rsid w:val="008C34DF"/>
    <w:rsid w:val="008C375C"/>
    <w:rsid w:val="008C3880"/>
    <w:rsid w:val="008C38C3"/>
    <w:rsid w:val="008C3A5B"/>
    <w:rsid w:val="008C3AEC"/>
    <w:rsid w:val="008C3B76"/>
    <w:rsid w:val="008C3D20"/>
    <w:rsid w:val="008C3D73"/>
    <w:rsid w:val="008C3DA5"/>
    <w:rsid w:val="008C3E62"/>
    <w:rsid w:val="008C3F7B"/>
    <w:rsid w:val="008C3FD2"/>
    <w:rsid w:val="008C3FE2"/>
    <w:rsid w:val="008C4006"/>
    <w:rsid w:val="008C400F"/>
    <w:rsid w:val="008C408A"/>
    <w:rsid w:val="008C42D8"/>
    <w:rsid w:val="008C43FE"/>
    <w:rsid w:val="008C448B"/>
    <w:rsid w:val="008C44D8"/>
    <w:rsid w:val="008C45CE"/>
    <w:rsid w:val="008C4658"/>
    <w:rsid w:val="008C4722"/>
    <w:rsid w:val="008C48D7"/>
    <w:rsid w:val="008C48EF"/>
    <w:rsid w:val="008C4949"/>
    <w:rsid w:val="008C49C3"/>
    <w:rsid w:val="008C4B21"/>
    <w:rsid w:val="008C4B4C"/>
    <w:rsid w:val="008C4B60"/>
    <w:rsid w:val="008C4B75"/>
    <w:rsid w:val="008C4C9A"/>
    <w:rsid w:val="008C500A"/>
    <w:rsid w:val="008C51EB"/>
    <w:rsid w:val="008C522F"/>
    <w:rsid w:val="008C5294"/>
    <w:rsid w:val="008C5413"/>
    <w:rsid w:val="008C541C"/>
    <w:rsid w:val="008C551D"/>
    <w:rsid w:val="008C5732"/>
    <w:rsid w:val="008C57CF"/>
    <w:rsid w:val="008C57E8"/>
    <w:rsid w:val="008C5858"/>
    <w:rsid w:val="008C58A6"/>
    <w:rsid w:val="008C5A17"/>
    <w:rsid w:val="008C5B15"/>
    <w:rsid w:val="008C5B4F"/>
    <w:rsid w:val="008C5B8F"/>
    <w:rsid w:val="008C5BDB"/>
    <w:rsid w:val="008C5CFF"/>
    <w:rsid w:val="008C5D0F"/>
    <w:rsid w:val="008C5E1A"/>
    <w:rsid w:val="008C5E21"/>
    <w:rsid w:val="008C5E3E"/>
    <w:rsid w:val="008C5F41"/>
    <w:rsid w:val="008C5F45"/>
    <w:rsid w:val="008C612B"/>
    <w:rsid w:val="008C624D"/>
    <w:rsid w:val="008C641A"/>
    <w:rsid w:val="008C6776"/>
    <w:rsid w:val="008C67BF"/>
    <w:rsid w:val="008C67CF"/>
    <w:rsid w:val="008C6810"/>
    <w:rsid w:val="008C68BD"/>
    <w:rsid w:val="008C6A52"/>
    <w:rsid w:val="008C6C49"/>
    <w:rsid w:val="008C6C8A"/>
    <w:rsid w:val="008C6D9A"/>
    <w:rsid w:val="008C6F70"/>
    <w:rsid w:val="008C6FAA"/>
    <w:rsid w:val="008C708F"/>
    <w:rsid w:val="008C7185"/>
    <w:rsid w:val="008C71DF"/>
    <w:rsid w:val="008C7267"/>
    <w:rsid w:val="008C7289"/>
    <w:rsid w:val="008C72A6"/>
    <w:rsid w:val="008C7509"/>
    <w:rsid w:val="008C7519"/>
    <w:rsid w:val="008C7541"/>
    <w:rsid w:val="008C772C"/>
    <w:rsid w:val="008C7818"/>
    <w:rsid w:val="008C786B"/>
    <w:rsid w:val="008C7888"/>
    <w:rsid w:val="008C79DD"/>
    <w:rsid w:val="008C79E8"/>
    <w:rsid w:val="008C7A52"/>
    <w:rsid w:val="008C7A80"/>
    <w:rsid w:val="008C7A9D"/>
    <w:rsid w:val="008C7AA2"/>
    <w:rsid w:val="008C7B07"/>
    <w:rsid w:val="008C7CEE"/>
    <w:rsid w:val="008C7D5B"/>
    <w:rsid w:val="008C7D92"/>
    <w:rsid w:val="008C7E1D"/>
    <w:rsid w:val="008C7E68"/>
    <w:rsid w:val="008C7E88"/>
    <w:rsid w:val="008D0056"/>
    <w:rsid w:val="008D0326"/>
    <w:rsid w:val="008D0550"/>
    <w:rsid w:val="008D05B1"/>
    <w:rsid w:val="008D060A"/>
    <w:rsid w:val="008D068D"/>
    <w:rsid w:val="008D06C5"/>
    <w:rsid w:val="008D0773"/>
    <w:rsid w:val="008D0795"/>
    <w:rsid w:val="008D0890"/>
    <w:rsid w:val="008D08F2"/>
    <w:rsid w:val="008D0925"/>
    <w:rsid w:val="008D0979"/>
    <w:rsid w:val="008D0A32"/>
    <w:rsid w:val="008D0A52"/>
    <w:rsid w:val="008D0BBA"/>
    <w:rsid w:val="008D0C22"/>
    <w:rsid w:val="008D0D6B"/>
    <w:rsid w:val="008D0DED"/>
    <w:rsid w:val="008D0E0C"/>
    <w:rsid w:val="008D0E8B"/>
    <w:rsid w:val="008D1126"/>
    <w:rsid w:val="008D120B"/>
    <w:rsid w:val="008D132D"/>
    <w:rsid w:val="008D13B5"/>
    <w:rsid w:val="008D1478"/>
    <w:rsid w:val="008D150F"/>
    <w:rsid w:val="008D1550"/>
    <w:rsid w:val="008D160B"/>
    <w:rsid w:val="008D168B"/>
    <w:rsid w:val="008D16D4"/>
    <w:rsid w:val="008D176A"/>
    <w:rsid w:val="008D1779"/>
    <w:rsid w:val="008D1805"/>
    <w:rsid w:val="008D1829"/>
    <w:rsid w:val="008D18A6"/>
    <w:rsid w:val="008D18D0"/>
    <w:rsid w:val="008D1931"/>
    <w:rsid w:val="008D19EA"/>
    <w:rsid w:val="008D1B1E"/>
    <w:rsid w:val="008D1B5D"/>
    <w:rsid w:val="008D1EA2"/>
    <w:rsid w:val="008D1F5A"/>
    <w:rsid w:val="008D1FC2"/>
    <w:rsid w:val="008D1FCC"/>
    <w:rsid w:val="008D2115"/>
    <w:rsid w:val="008D21E9"/>
    <w:rsid w:val="008D2319"/>
    <w:rsid w:val="008D23EE"/>
    <w:rsid w:val="008D242F"/>
    <w:rsid w:val="008D243D"/>
    <w:rsid w:val="008D24B2"/>
    <w:rsid w:val="008D2565"/>
    <w:rsid w:val="008D25A9"/>
    <w:rsid w:val="008D272D"/>
    <w:rsid w:val="008D279B"/>
    <w:rsid w:val="008D27D4"/>
    <w:rsid w:val="008D2877"/>
    <w:rsid w:val="008D29A2"/>
    <w:rsid w:val="008D2A0B"/>
    <w:rsid w:val="008D2A21"/>
    <w:rsid w:val="008D2A43"/>
    <w:rsid w:val="008D2A4F"/>
    <w:rsid w:val="008D2D75"/>
    <w:rsid w:val="008D2DBC"/>
    <w:rsid w:val="008D2E17"/>
    <w:rsid w:val="008D2F2C"/>
    <w:rsid w:val="008D3046"/>
    <w:rsid w:val="008D3065"/>
    <w:rsid w:val="008D3110"/>
    <w:rsid w:val="008D3188"/>
    <w:rsid w:val="008D32B3"/>
    <w:rsid w:val="008D33CE"/>
    <w:rsid w:val="008D35B7"/>
    <w:rsid w:val="008D37E3"/>
    <w:rsid w:val="008D37EF"/>
    <w:rsid w:val="008D3919"/>
    <w:rsid w:val="008D396A"/>
    <w:rsid w:val="008D39A1"/>
    <w:rsid w:val="008D39AC"/>
    <w:rsid w:val="008D3A26"/>
    <w:rsid w:val="008D3B11"/>
    <w:rsid w:val="008D3B7C"/>
    <w:rsid w:val="008D3B97"/>
    <w:rsid w:val="008D3C58"/>
    <w:rsid w:val="008D3E7F"/>
    <w:rsid w:val="008D3FAF"/>
    <w:rsid w:val="008D3FD8"/>
    <w:rsid w:val="008D4024"/>
    <w:rsid w:val="008D41AA"/>
    <w:rsid w:val="008D423A"/>
    <w:rsid w:val="008D425A"/>
    <w:rsid w:val="008D42DC"/>
    <w:rsid w:val="008D4336"/>
    <w:rsid w:val="008D43A4"/>
    <w:rsid w:val="008D43AF"/>
    <w:rsid w:val="008D43BE"/>
    <w:rsid w:val="008D4416"/>
    <w:rsid w:val="008D445B"/>
    <w:rsid w:val="008D4479"/>
    <w:rsid w:val="008D4486"/>
    <w:rsid w:val="008D4509"/>
    <w:rsid w:val="008D4510"/>
    <w:rsid w:val="008D455A"/>
    <w:rsid w:val="008D462F"/>
    <w:rsid w:val="008D46A2"/>
    <w:rsid w:val="008D487F"/>
    <w:rsid w:val="008D489A"/>
    <w:rsid w:val="008D48EE"/>
    <w:rsid w:val="008D4AE0"/>
    <w:rsid w:val="008D4B13"/>
    <w:rsid w:val="008D4D00"/>
    <w:rsid w:val="008D4EC0"/>
    <w:rsid w:val="008D4FF1"/>
    <w:rsid w:val="008D5004"/>
    <w:rsid w:val="008D50A2"/>
    <w:rsid w:val="008D5180"/>
    <w:rsid w:val="008D51D3"/>
    <w:rsid w:val="008D5210"/>
    <w:rsid w:val="008D52DC"/>
    <w:rsid w:val="008D530F"/>
    <w:rsid w:val="008D541E"/>
    <w:rsid w:val="008D5506"/>
    <w:rsid w:val="008D55CC"/>
    <w:rsid w:val="008D55D0"/>
    <w:rsid w:val="008D56F5"/>
    <w:rsid w:val="008D570C"/>
    <w:rsid w:val="008D5722"/>
    <w:rsid w:val="008D5787"/>
    <w:rsid w:val="008D5804"/>
    <w:rsid w:val="008D584E"/>
    <w:rsid w:val="008D587A"/>
    <w:rsid w:val="008D5886"/>
    <w:rsid w:val="008D5940"/>
    <w:rsid w:val="008D595B"/>
    <w:rsid w:val="008D5A60"/>
    <w:rsid w:val="008D5C8B"/>
    <w:rsid w:val="008D5DCB"/>
    <w:rsid w:val="008D5E68"/>
    <w:rsid w:val="008D62A7"/>
    <w:rsid w:val="008D62D5"/>
    <w:rsid w:val="008D6332"/>
    <w:rsid w:val="008D634F"/>
    <w:rsid w:val="008D6385"/>
    <w:rsid w:val="008D64A9"/>
    <w:rsid w:val="008D64EA"/>
    <w:rsid w:val="008D64F8"/>
    <w:rsid w:val="008D6546"/>
    <w:rsid w:val="008D657F"/>
    <w:rsid w:val="008D66B6"/>
    <w:rsid w:val="008D66CB"/>
    <w:rsid w:val="008D6781"/>
    <w:rsid w:val="008D67DE"/>
    <w:rsid w:val="008D6942"/>
    <w:rsid w:val="008D6960"/>
    <w:rsid w:val="008D696C"/>
    <w:rsid w:val="008D6977"/>
    <w:rsid w:val="008D6A06"/>
    <w:rsid w:val="008D6A2E"/>
    <w:rsid w:val="008D6B18"/>
    <w:rsid w:val="008D6B69"/>
    <w:rsid w:val="008D6B71"/>
    <w:rsid w:val="008D6C3C"/>
    <w:rsid w:val="008D6C43"/>
    <w:rsid w:val="008D6FB7"/>
    <w:rsid w:val="008D70C3"/>
    <w:rsid w:val="008D719F"/>
    <w:rsid w:val="008D7249"/>
    <w:rsid w:val="008D72EB"/>
    <w:rsid w:val="008D7308"/>
    <w:rsid w:val="008D7375"/>
    <w:rsid w:val="008D7842"/>
    <w:rsid w:val="008D7878"/>
    <w:rsid w:val="008D78AC"/>
    <w:rsid w:val="008D78B0"/>
    <w:rsid w:val="008D7981"/>
    <w:rsid w:val="008D79AE"/>
    <w:rsid w:val="008D7A2E"/>
    <w:rsid w:val="008D7A5B"/>
    <w:rsid w:val="008D7B4E"/>
    <w:rsid w:val="008D7B9B"/>
    <w:rsid w:val="008D7BE8"/>
    <w:rsid w:val="008D7C50"/>
    <w:rsid w:val="008D7D7D"/>
    <w:rsid w:val="008D7E07"/>
    <w:rsid w:val="008D7F1C"/>
    <w:rsid w:val="008D7F51"/>
    <w:rsid w:val="008D7FBF"/>
    <w:rsid w:val="008D7FDC"/>
    <w:rsid w:val="008E0129"/>
    <w:rsid w:val="008E0152"/>
    <w:rsid w:val="008E0174"/>
    <w:rsid w:val="008E02FC"/>
    <w:rsid w:val="008E0303"/>
    <w:rsid w:val="008E035A"/>
    <w:rsid w:val="008E038E"/>
    <w:rsid w:val="008E051E"/>
    <w:rsid w:val="008E0829"/>
    <w:rsid w:val="008E082D"/>
    <w:rsid w:val="008E0879"/>
    <w:rsid w:val="008E08A6"/>
    <w:rsid w:val="008E08D0"/>
    <w:rsid w:val="008E096F"/>
    <w:rsid w:val="008E09A2"/>
    <w:rsid w:val="008E0A40"/>
    <w:rsid w:val="008E0AD4"/>
    <w:rsid w:val="008E0B2F"/>
    <w:rsid w:val="008E0DB8"/>
    <w:rsid w:val="008E0E36"/>
    <w:rsid w:val="008E0E94"/>
    <w:rsid w:val="008E0F53"/>
    <w:rsid w:val="008E0FAD"/>
    <w:rsid w:val="008E144E"/>
    <w:rsid w:val="008E16C1"/>
    <w:rsid w:val="008E16F0"/>
    <w:rsid w:val="008E17F1"/>
    <w:rsid w:val="008E189E"/>
    <w:rsid w:val="008E1918"/>
    <w:rsid w:val="008E19E4"/>
    <w:rsid w:val="008E1A7E"/>
    <w:rsid w:val="008E1B9D"/>
    <w:rsid w:val="008E1B9E"/>
    <w:rsid w:val="008E1BA2"/>
    <w:rsid w:val="008E1C85"/>
    <w:rsid w:val="008E1C8D"/>
    <w:rsid w:val="008E1CF2"/>
    <w:rsid w:val="008E1D15"/>
    <w:rsid w:val="008E1D3F"/>
    <w:rsid w:val="008E1EBA"/>
    <w:rsid w:val="008E1F0A"/>
    <w:rsid w:val="008E1F98"/>
    <w:rsid w:val="008E2027"/>
    <w:rsid w:val="008E210A"/>
    <w:rsid w:val="008E2216"/>
    <w:rsid w:val="008E2245"/>
    <w:rsid w:val="008E2329"/>
    <w:rsid w:val="008E2379"/>
    <w:rsid w:val="008E2431"/>
    <w:rsid w:val="008E24C9"/>
    <w:rsid w:val="008E24F1"/>
    <w:rsid w:val="008E2585"/>
    <w:rsid w:val="008E25B1"/>
    <w:rsid w:val="008E27E0"/>
    <w:rsid w:val="008E291D"/>
    <w:rsid w:val="008E2968"/>
    <w:rsid w:val="008E2A23"/>
    <w:rsid w:val="008E2AAA"/>
    <w:rsid w:val="008E2AAB"/>
    <w:rsid w:val="008E2AC0"/>
    <w:rsid w:val="008E2B38"/>
    <w:rsid w:val="008E2B9E"/>
    <w:rsid w:val="008E2BA6"/>
    <w:rsid w:val="008E2BE0"/>
    <w:rsid w:val="008E2CC7"/>
    <w:rsid w:val="008E2CCF"/>
    <w:rsid w:val="008E2D3E"/>
    <w:rsid w:val="008E2F68"/>
    <w:rsid w:val="008E2FF6"/>
    <w:rsid w:val="008E3040"/>
    <w:rsid w:val="008E33B8"/>
    <w:rsid w:val="008E33BE"/>
    <w:rsid w:val="008E34C0"/>
    <w:rsid w:val="008E351C"/>
    <w:rsid w:val="008E365C"/>
    <w:rsid w:val="008E36C7"/>
    <w:rsid w:val="008E3756"/>
    <w:rsid w:val="008E378D"/>
    <w:rsid w:val="008E3893"/>
    <w:rsid w:val="008E38E1"/>
    <w:rsid w:val="008E3904"/>
    <w:rsid w:val="008E3916"/>
    <w:rsid w:val="008E396F"/>
    <w:rsid w:val="008E39A3"/>
    <w:rsid w:val="008E3A33"/>
    <w:rsid w:val="008E3A3F"/>
    <w:rsid w:val="008E3B6A"/>
    <w:rsid w:val="008E3BCF"/>
    <w:rsid w:val="008E3C6C"/>
    <w:rsid w:val="008E3E4D"/>
    <w:rsid w:val="008E42B8"/>
    <w:rsid w:val="008E4343"/>
    <w:rsid w:val="008E43C8"/>
    <w:rsid w:val="008E43F6"/>
    <w:rsid w:val="008E4630"/>
    <w:rsid w:val="008E471A"/>
    <w:rsid w:val="008E4888"/>
    <w:rsid w:val="008E48DC"/>
    <w:rsid w:val="008E49BF"/>
    <w:rsid w:val="008E4BCB"/>
    <w:rsid w:val="008E4C93"/>
    <w:rsid w:val="008E4D39"/>
    <w:rsid w:val="008E4D8E"/>
    <w:rsid w:val="008E4E4E"/>
    <w:rsid w:val="008E4E7B"/>
    <w:rsid w:val="008E4FD2"/>
    <w:rsid w:val="008E502F"/>
    <w:rsid w:val="008E516C"/>
    <w:rsid w:val="008E5232"/>
    <w:rsid w:val="008E5284"/>
    <w:rsid w:val="008E533E"/>
    <w:rsid w:val="008E53C8"/>
    <w:rsid w:val="008E544D"/>
    <w:rsid w:val="008E56AF"/>
    <w:rsid w:val="008E572A"/>
    <w:rsid w:val="008E57FF"/>
    <w:rsid w:val="008E5920"/>
    <w:rsid w:val="008E597D"/>
    <w:rsid w:val="008E59D9"/>
    <w:rsid w:val="008E5B6E"/>
    <w:rsid w:val="008E5BAC"/>
    <w:rsid w:val="008E5C71"/>
    <w:rsid w:val="008E5CA8"/>
    <w:rsid w:val="008E5D2F"/>
    <w:rsid w:val="008E5DF9"/>
    <w:rsid w:val="008E5E9F"/>
    <w:rsid w:val="008E5EA2"/>
    <w:rsid w:val="008E5F4E"/>
    <w:rsid w:val="008E5F93"/>
    <w:rsid w:val="008E5FB4"/>
    <w:rsid w:val="008E5FD6"/>
    <w:rsid w:val="008E604C"/>
    <w:rsid w:val="008E6110"/>
    <w:rsid w:val="008E613F"/>
    <w:rsid w:val="008E6191"/>
    <w:rsid w:val="008E623C"/>
    <w:rsid w:val="008E6286"/>
    <w:rsid w:val="008E62AC"/>
    <w:rsid w:val="008E62BA"/>
    <w:rsid w:val="008E6385"/>
    <w:rsid w:val="008E64DB"/>
    <w:rsid w:val="008E6616"/>
    <w:rsid w:val="008E6676"/>
    <w:rsid w:val="008E6683"/>
    <w:rsid w:val="008E6689"/>
    <w:rsid w:val="008E66B6"/>
    <w:rsid w:val="008E6708"/>
    <w:rsid w:val="008E67BE"/>
    <w:rsid w:val="008E6819"/>
    <w:rsid w:val="008E6A58"/>
    <w:rsid w:val="008E6B69"/>
    <w:rsid w:val="008E6BF7"/>
    <w:rsid w:val="008E6CA0"/>
    <w:rsid w:val="008E6D64"/>
    <w:rsid w:val="008E6D9E"/>
    <w:rsid w:val="008E6E5B"/>
    <w:rsid w:val="008E6EA9"/>
    <w:rsid w:val="008E6EC2"/>
    <w:rsid w:val="008E7200"/>
    <w:rsid w:val="008E72B9"/>
    <w:rsid w:val="008E7353"/>
    <w:rsid w:val="008E73C4"/>
    <w:rsid w:val="008E76CE"/>
    <w:rsid w:val="008E7712"/>
    <w:rsid w:val="008E7713"/>
    <w:rsid w:val="008E773F"/>
    <w:rsid w:val="008E779A"/>
    <w:rsid w:val="008E77FD"/>
    <w:rsid w:val="008E7908"/>
    <w:rsid w:val="008E793D"/>
    <w:rsid w:val="008E79C7"/>
    <w:rsid w:val="008E7B22"/>
    <w:rsid w:val="008E7B7B"/>
    <w:rsid w:val="008E7C13"/>
    <w:rsid w:val="008E7C98"/>
    <w:rsid w:val="008E7E3E"/>
    <w:rsid w:val="008E7E92"/>
    <w:rsid w:val="008F0033"/>
    <w:rsid w:val="008F00D6"/>
    <w:rsid w:val="008F016C"/>
    <w:rsid w:val="008F024F"/>
    <w:rsid w:val="008F0316"/>
    <w:rsid w:val="008F03A9"/>
    <w:rsid w:val="008F0468"/>
    <w:rsid w:val="008F0498"/>
    <w:rsid w:val="008F051F"/>
    <w:rsid w:val="008F0616"/>
    <w:rsid w:val="008F06E1"/>
    <w:rsid w:val="008F072D"/>
    <w:rsid w:val="008F08EB"/>
    <w:rsid w:val="008F08FB"/>
    <w:rsid w:val="008F097D"/>
    <w:rsid w:val="008F09CA"/>
    <w:rsid w:val="008F09EB"/>
    <w:rsid w:val="008F0A83"/>
    <w:rsid w:val="008F0B1A"/>
    <w:rsid w:val="008F0B57"/>
    <w:rsid w:val="008F0B9F"/>
    <w:rsid w:val="008F0BBC"/>
    <w:rsid w:val="008F0BC6"/>
    <w:rsid w:val="008F0D2E"/>
    <w:rsid w:val="008F0E86"/>
    <w:rsid w:val="008F0E9D"/>
    <w:rsid w:val="008F0EA2"/>
    <w:rsid w:val="008F0EDA"/>
    <w:rsid w:val="008F0F9D"/>
    <w:rsid w:val="008F1095"/>
    <w:rsid w:val="008F11A6"/>
    <w:rsid w:val="008F1217"/>
    <w:rsid w:val="008F12AE"/>
    <w:rsid w:val="008F1320"/>
    <w:rsid w:val="008F1328"/>
    <w:rsid w:val="008F13C3"/>
    <w:rsid w:val="008F1472"/>
    <w:rsid w:val="008F14A4"/>
    <w:rsid w:val="008F150B"/>
    <w:rsid w:val="008F164B"/>
    <w:rsid w:val="008F1750"/>
    <w:rsid w:val="008F17AF"/>
    <w:rsid w:val="008F17FD"/>
    <w:rsid w:val="008F184F"/>
    <w:rsid w:val="008F185A"/>
    <w:rsid w:val="008F19A2"/>
    <w:rsid w:val="008F19FB"/>
    <w:rsid w:val="008F1A07"/>
    <w:rsid w:val="008F1A98"/>
    <w:rsid w:val="008F1AC4"/>
    <w:rsid w:val="008F1B26"/>
    <w:rsid w:val="008F1B9D"/>
    <w:rsid w:val="008F1BF0"/>
    <w:rsid w:val="008F1C29"/>
    <w:rsid w:val="008F1CEE"/>
    <w:rsid w:val="008F1D8B"/>
    <w:rsid w:val="008F1E81"/>
    <w:rsid w:val="008F1F48"/>
    <w:rsid w:val="008F1F96"/>
    <w:rsid w:val="008F1F9D"/>
    <w:rsid w:val="008F2099"/>
    <w:rsid w:val="008F20C8"/>
    <w:rsid w:val="008F2120"/>
    <w:rsid w:val="008F2154"/>
    <w:rsid w:val="008F2199"/>
    <w:rsid w:val="008F21E2"/>
    <w:rsid w:val="008F2339"/>
    <w:rsid w:val="008F2343"/>
    <w:rsid w:val="008F2361"/>
    <w:rsid w:val="008F239E"/>
    <w:rsid w:val="008F2401"/>
    <w:rsid w:val="008F2486"/>
    <w:rsid w:val="008F24E1"/>
    <w:rsid w:val="008F26F8"/>
    <w:rsid w:val="008F28CE"/>
    <w:rsid w:val="008F292D"/>
    <w:rsid w:val="008F29F6"/>
    <w:rsid w:val="008F2A11"/>
    <w:rsid w:val="008F2A1B"/>
    <w:rsid w:val="008F2A4D"/>
    <w:rsid w:val="008F2A4F"/>
    <w:rsid w:val="008F2B60"/>
    <w:rsid w:val="008F2D11"/>
    <w:rsid w:val="008F2D36"/>
    <w:rsid w:val="008F2DD2"/>
    <w:rsid w:val="008F2F01"/>
    <w:rsid w:val="008F2F4D"/>
    <w:rsid w:val="008F2F51"/>
    <w:rsid w:val="008F2FE2"/>
    <w:rsid w:val="008F2FF8"/>
    <w:rsid w:val="008F303D"/>
    <w:rsid w:val="008F3055"/>
    <w:rsid w:val="008F3153"/>
    <w:rsid w:val="008F31AE"/>
    <w:rsid w:val="008F3330"/>
    <w:rsid w:val="008F3478"/>
    <w:rsid w:val="008F34CD"/>
    <w:rsid w:val="008F34D4"/>
    <w:rsid w:val="008F34D8"/>
    <w:rsid w:val="008F35B8"/>
    <w:rsid w:val="008F35D8"/>
    <w:rsid w:val="008F363A"/>
    <w:rsid w:val="008F37E5"/>
    <w:rsid w:val="008F37E9"/>
    <w:rsid w:val="008F38C1"/>
    <w:rsid w:val="008F38EA"/>
    <w:rsid w:val="008F39CA"/>
    <w:rsid w:val="008F3A1F"/>
    <w:rsid w:val="008F3A39"/>
    <w:rsid w:val="008F3A3B"/>
    <w:rsid w:val="008F3A65"/>
    <w:rsid w:val="008F3B34"/>
    <w:rsid w:val="008F3DC4"/>
    <w:rsid w:val="008F3E6A"/>
    <w:rsid w:val="008F3ED5"/>
    <w:rsid w:val="008F3EEA"/>
    <w:rsid w:val="008F3FFE"/>
    <w:rsid w:val="008F4190"/>
    <w:rsid w:val="008F4233"/>
    <w:rsid w:val="008F428B"/>
    <w:rsid w:val="008F4301"/>
    <w:rsid w:val="008F44EA"/>
    <w:rsid w:val="008F4542"/>
    <w:rsid w:val="008F455D"/>
    <w:rsid w:val="008F460B"/>
    <w:rsid w:val="008F472D"/>
    <w:rsid w:val="008F491C"/>
    <w:rsid w:val="008F4994"/>
    <w:rsid w:val="008F49BA"/>
    <w:rsid w:val="008F4B79"/>
    <w:rsid w:val="008F4E82"/>
    <w:rsid w:val="008F505C"/>
    <w:rsid w:val="008F50F0"/>
    <w:rsid w:val="008F54E1"/>
    <w:rsid w:val="008F55AD"/>
    <w:rsid w:val="008F55CE"/>
    <w:rsid w:val="008F56EA"/>
    <w:rsid w:val="008F5733"/>
    <w:rsid w:val="008F5753"/>
    <w:rsid w:val="008F57E7"/>
    <w:rsid w:val="008F58D5"/>
    <w:rsid w:val="008F592A"/>
    <w:rsid w:val="008F5939"/>
    <w:rsid w:val="008F5950"/>
    <w:rsid w:val="008F5994"/>
    <w:rsid w:val="008F59D6"/>
    <w:rsid w:val="008F5A13"/>
    <w:rsid w:val="008F5B46"/>
    <w:rsid w:val="008F5E76"/>
    <w:rsid w:val="008F5EEA"/>
    <w:rsid w:val="008F60AA"/>
    <w:rsid w:val="008F60E9"/>
    <w:rsid w:val="008F61F6"/>
    <w:rsid w:val="008F632E"/>
    <w:rsid w:val="008F633B"/>
    <w:rsid w:val="008F641E"/>
    <w:rsid w:val="008F64C7"/>
    <w:rsid w:val="008F6530"/>
    <w:rsid w:val="008F65F2"/>
    <w:rsid w:val="008F663D"/>
    <w:rsid w:val="008F6721"/>
    <w:rsid w:val="008F680B"/>
    <w:rsid w:val="008F6964"/>
    <w:rsid w:val="008F69A2"/>
    <w:rsid w:val="008F69B8"/>
    <w:rsid w:val="008F6ABC"/>
    <w:rsid w:val="008F6B34"/>
    <w:rsid w:val="008F6B5C"/>
    <w:rsid w:val="008F6C51"/>
    <w:rsid w:val="008F6DCC"/>
    <w:rsid w:val="008F6EA0"/>
    <w:rsid w:val="008F6EB2"/>
    <w:rsid w:val="008F7145"/>
    <w:rsid w:val="008F71B2"/>
    <w:rsid w:val="008F73A1"/>
    <w:rsid w:val="008F73B4"/>
    <w:rsid w:val="008F7484"/>
    <w:rsid w:val="008F7505"/>
    <w:rsid w:val="008F75EE"/>
    <w:rsid w:val="008F7645"/>
    <w:rsid w:val="008F7743"/>
    <w:rsid w:val="008F777E"/>
    <w:rsid w:val="008F7818"/>
    <w:rsid w:val="008F7880"/>
    <w:rsid w:val="008F79CE"/>
    <w:rsid w:val="008F7B5B"/>
    <w:rsid w:val="008F7C56"/>
    <w:rsid w:val="008F7EA8"/>
    <w:rsid w:val="00900076"/>
    <w:rsid w:val="009000A5"/>
    <w:rsid w:val="009000F7"/>
    <w:rsid w:val="0090011A"/>
    <w:rsid w:val="00900145"/>
    <w:rsid w:val="009002C0"/>
    <w:rsid w:val="0090031A"/>
    <w:rsid w:val="00900393"/>
    <w:rsid w:val="009003AA"/>
    <w:rsid w:val="0090055B"/>
    <w:rsid w:val="0090058A"/>
    <w:rsid w:val="0090063A"/>
    <w:rsid w:val="009007D5"/>
    <w:rsid w:val="00900941"/>
    <w:rsid w:val="0090098D"/>
    <w:rsid w:val="009009D3"/>
    <w:rsid w:val="00900A50"/>
    <w:rsid w:val="00900BA9"/>
    <w:rsid w:val="00900BC3"/>
    <w:rsid w:val="00900C0E"/>
    <w:rsid w:val="00900D8B"/>
    <w:rsid w:val="00900DB3"/>
    <w:rsid w:val="00900DF4"/>
    <w:rsid w:val="00900E2B"/>
    <w:rsid w:val="00900EE3"/>
    <w:rsid w:val="00900EF6"/>
    <w:rsid w:val="00900F9C"/>
    <w:rsid w:val="00900FB1"/>
    <w:rsid w:val="0090102B"/>
    <w:rsid w:val="00901177"/>
    <w:rsid w:val="0090134E"/>
    <w:rsid w:val="009013F1"/>
    <w:rsid w:val="00901470"/>
    <w:rsid w:val="00901483"/>
    <w:rsid w:val="00901513"/>
    <w:rsid w:val="009015E4"/>
    <w:rsid w:val="00901829"/>
    <w:rsid w:val="00901987"/>
    <w:rsid w:val="00901A76"/>
    <w:rsid w:val="00901AA9"/>
    <w:rsid w:val="00901AB7"/>
    <w:rsid w:val="00901B07"/>
    <w:rsid w:val="00901BB5"/>
    <w:rsid w:val="00901D14"/>
    <w:rsid w:val="00901DCA"/>
    <w:rsid w:val="00901E6B"/>
    <w:rsid w:val="00901EDC"/>
    <w:rsid w:val="00901EFF"/>
    <w:rsid w:val="00901FEA"/>
    <w:rsid w:val="009020DC"/>
    <w:rsid w:val="009020F3"/>
    <w:rsid w:val="00902219"/>
    <w:rsid w:val="00902358"/>
    <w:rsid w:val="00902689"/>
    <w:rsid w:val="00902716"/>
    <w:rsid w:val="009027C3"/>
    <w:rsid w:val="00902818"/>
    <w:rsid w:val="0090294F"/>
    <w:rsid w:val="00902A7E"/>
    <w:rsid w:val="00902B32"/>
    <w:rsid w:val="00902D07"/>
    <w:rsid w:val="00902D83"/>
    <w:rsid w:val="00902DA9"/>
    <w:rsid w:val="00902DC4"/>
    <w:rsid w:val="00902E33"/>
    <w:rsid w:val="00902EAD"/>
    <w:rsid w:val="00902F3A"/>
    <w:rsid w:val="0090300B"/>
    <w:rsid w:val="00903280"/>
    <w:rsid w:val="009033E9"/>
    <w:rsid w:val="009033FF"/>
    <w:rsid w:val="00903521"/>
    <w:rsid w:val="0090355D"/>
    <w:rsid w:val="009035BB"/>
    <w:rsid w:val="00903719"/>
    <w:rsid w:val="0090373A"/>
    <w:rsid w:val="00903765"/>
    <w:rsid w:val="00903768"/>
    <w:rsid w:val="009037F7"/>
    <w:rsid w:val="00903C36"/>
    <w:rsid w:val="00903D64"/>
    <w:rsid w:val="00903D86"/>
    <w:rsid w:val="00903DB4"/>
    <w:rsid w:val="00903E1B"/>
    <w:rsid w:val="0090403D"/>
    <w:rsid w:val="0090408D"/>
    <w:rsid w:val="009040C4"/>
    <w:rsid w:val="00904107"/>
    <w:rsid w:val="00904158"/>
    <w:rsid w:val="00904187"/>
    <w:rsid w:val="0090422B"/>
    <w:rsid w:val="009042CE"/>
    <w:rsid w:val="0090460C"/>
    <w:rsid w:val="009046C9"/>
    <w:rsid w:val="00904798"/>
    <w:rsid w:val="009048B3"/>
    <w:rsid w:val="009048DC"/>
    <w:rsid w:val="0090495F"/>
    <w:rsid w:val="00904967"/>
    <w:rsid w:val="009049FC"/>
    <w:rsid w:val="00904B6B"/>
    <w:rsid w:val="00904FD7"/>
    <w:rsid w:val="0090502C"/>
    <w:rsid w:val="0090506B"/>
    <w:rsid w:val="00905121"/>
    <w:rsid w:val="0090514E"/>
    <w:rsid w:val="00905365"/>
    <w:rsid w:val="0090537D"/>
    <w:rsid w:val="00905432"/>
    <w:rsid w:val="0090547F"/>
    <w:rsid w:val="0090560D"/>
    <w:rsid w:val="009056AC"/>
    <w:rsid w:val="009056DE"/>
    <w:rsid w:val="00905739"/>
    <w:rsid w:val="00905847"/>
    <w:rsid w:val="00905892"/>
    <w:rsid w:val="00905947"/>
    <w:rsid w:val="009059A8"/>
    <w:rsid w:val="00905A45"/>
    <w:rsid w:val="00905AAB"/>
    <w:rsid w:val="00905C33"/>
    <w:rsid w:val="00905FFA"/>
    <w:rsid w:val="0090603F"/>
    <w:rsid w:val="009060BF"/>
    <w:rsid w:val="009060FB"/>
    <w:rsid w:val="0090618E"/>
    <w:rsid w:val="00906365"/>
    <w:rsid w:val="0090654A"/>
    <w:rsid w:val="00906565"/>
    <w:rsid w:val="0090687E"/>
    <w:rsid w:val="0090694C"/>
    <w:rsid w:val="00906A55"/>
    <w:rsid w:val="00906ADF"/>
    <w:rsid w:val="00906CF6"/>
    <w:rsid w:val="00906D1D"/>
    <w:rsid w:val="00906D25"/>
    <w:rsid w:val="00906DF6"/>
    <w:rsid w:val="00906E9E"/>
    <w:rsid w:val="00906EC3"/>
    <w:rsid w:val="00906EE9"/>
    <w:rsid w:val="00906FB1"/>
    <w:rsid w:val="00906FEB"/>
    <w:rsid w:val="009070EF"/>
    <w:rsid w:val="00907104"/>
    <w:rsid w:val="0090722B"/>
    <w:rsid w:val="009072FB"/>
    <w:rsid w:val="00907354"/>
    <w:rsid w:val="009073C8"/>
    <w:rsid w:val="0090744A"/>
    <w:rsid w:val="0090746F"/>
    <w:rsid w:val="00907480"/>
    <w:rsid w:val="00907520"/>
    <w:rsid w:val="009075AD"/>
    <w:rsid w:val="00907636"/>
    <w:rsid w:val="00907725"/>
    <w:rsid w:val="00907773"/>
    <w:rsid w:val="009077DC"/>
    <w:rsid w:val="0090782D"/>
    <w:rsid w:val="00907856"/>
    <w:rsid w:val="00907897"/>
    <w:rsid w:val="0090792F"/>
    <w:rsid w:val="009079B2"/>
    <w:rsid w:val="00907A0F"/>
    <w:rsid w:val="00907A94"/>
    <w:rsid w:val="00907AE9"/>
    <w:rsid w:val="00907BB6"/>
    <w:rsid w:val="00907C97"/>
    <w:rsid w:val="00907D91"/>
    <w:rsid w:val="00907DC1"/>
    <w:rsid w:val="00907EBB"/>
    <w:rsid w:val="00907F2C"/>
    <w:rsid w:val="00910596"/>
    <w:rsid w:val="009105D3"/>
    <w:rsid w:val="009105D9"/>
    <w:rsid w:val="00910675"/>
    <w:rsid w:val="009106A5"/>
    <w:rsid w:val="009108E9"/>
    <w:rsid w:val="009109D9"/>
    <w:rsid w:val="00910CA8"/>
    <w:rsid w:val="00910D41"/>
    <w:rsid w:val="00910D5C"/>
    <w:rsid w:val="00910E81"/>
    <w:rsid w:val="00910EAB"/>
    <w:rsid w:val="0091110A"/>
    <w:rsid w:val="0091118F"/>
    <w:rsid w:val="009111F0"/>
    <w:rsid w:val="00911229"/>
    <w:rsid w:val="009112F4"/>
    <w:rsid w:val="0091140E"/>
    <w:rsid w:val="0091142B"/>
    <w:rsid w:val="0091143A"/>
    <w:rsid w:val="00911580"/>
    <w:rsid w:val="009115C6"/>
    <w:rsid w:val="00911798"/>
    <w:rsid w:val="009117A3"/>
    <w:rsid w:val="009118CE"/>
    <w:rsid w:val="0091197A"/>
    <w:rsid w:val="009119DA"/>
    <w:rsid w:val="00911A16"/>
    <w:rsid w:val="00911A4E"/>
    <w:rsid w:val="00911AB2"/>
    <w:rsid w:val="00911AC6"/>
    <w:rsid w:val="00911AF4"/>
    <w:rsid w:val="00911BA0"/>
    <w:rsid w:val="00911CD0"/>
    <w:rsid w:val="00911D17"/>
    <w:rsid w:val="00911D35"/>
    <w:rsid w:val="00911E72"/>
    <w:rsid w:val="0091200F"/>
    <w:rsid w:val="009120DF"/>
    <w:rsid w:val="0091218A"/>
    <w:rsid w:val="009121F0"/>
    <w:rsid w:val="009122AE"/>
    <w:rsid w:val="009122C2"/>
    <w:rsid w:val="009123F0"/>
    <w:rsid w:val="009124D6"/>
    <w:rsid w:val="009125DB"/>
    <w:rsid w:val="009125E3"/>
    <w:rsid w:val="009126A0"/>
    <w:rsid w:val="0091275E"/>
    <w:rsid w:val="0091293D"/>
    <w:rsid w:val="00912940"/>
    <w:rsid w:val="0091295C"/>
    <w:rsid w:val="00912C64"/>
    <w:rsid w:val="00912CB5"/>
    <w:rsid w:val="00912CF7"/>
    <w:rsid w:val="00912DE8"/>
    <w:rsid w:val="00912E41"/>
    <w:rsid w:val="00912FC4"/>
    <w:rsid w:val="00912FCD"/>
    <w:rsid w:val="009130BD"/>
    <w:rsid w:val="0091313B"/>
    <w:rsid w:val="0091318F"/>
    <w:rsid w:val="00913266"/>
    <w:rsid w:val="009132A8"/>
    <w:rsid w:val="0091331B"/>
    <w:rsid w:val="00913366"/>
    <w:rsid w:val="0091369F"/>
    <w:rsid w:val="009139A8"/>
    <w:rsid w:val="00913B40"/>
    <w:rsid w:val="00913C43"/>
    <w:rsid w:val="00913CDA"/>
    <w:rsid w:val="00913D0D"/>
    <w:rsid w:val="00913E9C"/>
    <w:rsid w:val="00913EB5"/>
    <w:rsid w:val="00913F1D"/>
    <w:rsid w:val="00913F7E"/>
    <w:rsid w:val="00913FC0"/>
    <w:rsid w:val="0091435A"/>
    <w:rsid w:val="009143FE"/>
    <w:rsid w:val="0091440C"/>
    <w:rsid w:val="0091447B"/>
    <w:rsid w:val="009144DF"/>
    <w:rsid w:val="00914560"/>
    <w:rsid w:val="0091457E"/>
    <w:rsid w:val="009145C1"/>
    <w:rsid w:val="00914652"/>
    <w:rsid w:val="00914956"/>
    <w:rsid w:val="009149BB"/>
    <w:rsid w:val="00914ABD"/>
    <w:rsid w:val="00914ADB"/>
    <w:rsid w:val="00914B7E"/>
    <w:rsid w:val="00914CB9"/>
    <w:rsid w:val="00914F38"/>
    <w:rsid w:val="00914FBD"/>
    <w:rsid w:val="009150FD"/>
    <w:rsid w:val="009152B0"/>
    <w:rsid w:val="009152ED"/>
    <w:rsid w:val="0091535C"/>
    <w:rsid w:val="00915550"/>
    <w:rsid w:val="009155A0"/>
    <w:rsid w:val="009155B6"/>
    <w:rsid w:val="0091565F"/>
    <w:rsid w:val="00915747"/>
    <w:rsid w:val="0091578C"/>
    <w:rsid w:val="00915848"/>
    <w:rsid w:val="0091599A"/>
    <w:rsid w:val="009159F9"/>
    <w:rsid w:val="00915A10"/>
    <w:rsid w:val="00915A2B"/>
    <w:rsid w:val="00915A56"/>
    <w:rsid w:val="00915A8C"/>
    <w:rsid w:val="00915A93"/>
    <w:rsid w:val="00915AB8"/>
    <w:rsid w:val="00915B47"/>
    <w:rsid w:val="00915B8E"/>
    <w:rsid w:val="00915B90"/>
    <w:rsid w:val="00915C07"/>
    <w:rsid w:val="00915CB7"/>
    <w:rsid w:val="00915D0F"/>
    <w:rsid w:val="00915D1B"/>
    <w:rsid w:val="00915D69"/>
    <w:rsid w:val="00915DBB"/>
    <w:rsid w:val="00915DDD"/>
    <w:rsid w:val="00915E3D"/>
    <w:rsid w:val="00915EBF"/>
    <w:rsid w:val="00915EE8"/>
    <w:rsid w:val="00915EFD"/>
    <w:rsid w:val="00915FFA"/>
    <w:rsid w:val="0091618C"/>
    <w:rsid w:val="0091618D"/>
    <w:rsid w:val="00916209"/>
    <w:rsid w:val="0091622E"/>
    <w:rsid w:val="00916468"/>
    <w:rsid w:val="009165C4"/>
    <w:rsid w:val="009165E2"/>
    <w:rsid w:val="009165F0"/>
    <w:rsid w:val="0091695F"/>
    <w:rsid w:val="009169E8"/>
    <w:rsid w:val="00916A96"/>
    <w:rsid w:val="00916B70"/>
    <w:rsid w:val="00916BCA"/>
    <w:rsid w:val="00916CD1"/>
    <w:rsid w:val="00916D4B"/>
    <w:rsid w:val="00916D6C"/>
    <w:rsid w:val="00916E6E"/>
    <w:rsid w:val="00916E88"/>
    <w:rsid w:val="009170BB"/>
    <w:rsid w:val="00917105"/>
    <w:rsid w:val="009171C7"/>
    <w:rsid w:val="009172AB"/>
    <w:rsid w:val="00917394"/>
    <w:rsid w:val="00917641"/>
    <w:rsid w:val="00917693"/>
    <w:rsid w:val="00917760"/>
    <w:rsid w:val="00917769"/>
    <w:rsid w:val="0091798A"/>
    <w:rsid w:val="00917A26"/>
    <w:rsid w:val="00917A59"/>
    <w:rsid w:val="00917A99"/>
    <w:rsid w:val="00917B7C"/>
    <w:rsid w:val="00917BD6"/>
    <w:rsid w:val="00917C30"/>
    <w:rsid w:val="00917CF1"/>
    <w:rsid w:val="00917DAB"/>
    <w:rsid w:val="00917DB8"/>
    <w:rsid w:val="00917E83"/>
    <w:rsid w:val="00917F42"/>
    <w:rsid w:val="00917F6A"/>
    <w:rsid w:val="00917FED"/>
    <w:rsid w:val="00920003"/>
    <w:rsid w:val="00920078"/>
    <w:rsid w:val="0092007B"/>
    <w:rsid w:val="0092013F"/>
    <w:rsid w:val="009201E8"/>
    <w:rsid w:val="00920238"/>
    <w:rsid w:val="009202BB"/>
    <w:rsid w:val="009203FA"/>
    <w:rsid w:val="009204E4"/>
    <w:rsid w:val="00920597"/>
    <w:rsid w:val="009205B8"/>
    <w:rsid w:val="00920778"/>
    <w:rsid w:val="00920883"/>
    <w:rsid w:val="0092089A"/>
    <w:rsid w:val="00920A8B"/>
    <w:rsid w:val="00920B13"/>
    <w:rsid w:val="00920B85"/>
    <w:rsid w:val="00920B8B"/>
    <w:rsid w:val="00920C73"/>
    <w:rsid w:val="00920C8B"/>
    <w:rsid w:val="00920C97"/>
    <w:rsid w:val="00920E0F"/>
    <w:rsid w:val="00920E29"/>
    <w:rsid w:val="00920EB6"/>
    <w:rsid w:val="00920EC4"/>
    <w:rsid w:val="00920F66"/>
    <w:rsid w:val="00920FDE"/>
    <w:rsid w:val="00920FEB"/>
    <w:rsid w:val="009210D5"/>
    <w:rsid w:val="009211E8"/>
    <w:rsid w:val="009211F1"/>
    <w:rsid w:val="009214AF"/>
    <w:rsid w:val="00921568"/>
    <w:rsid w:val="009215D9"/>
    <w:rsid w:val="0092172C"/>
    <w:rsid w:val="0092173C"/>
    <w:rsid w:val="009217EE"/>
    <w:rsid w:val="009218AC"/>
    <w:rsid w:val="00921A3A"/>
    <w:rsid w:val="00921A87"/>
    <w:rsid w:val="00921AA0"/>
    <w:rsid w:val="00921B7F"/>
    <w:rsid w:val="00921C1C"/>
    <w:rsid w:val="00921C56"/>
    <w:rsid w:val="00921C5E"/>
    <w:rsid w:val="00921C79"/>
    <w:rsid w:val="00921C9E"/>
    <w:rsid w:val="00921CE4"/>
    <w:rsid w:val="00921D13"/>
    <w:rsid w:val="0092200E"/>
    <w:rsid w:val="009220CC"/>
    <w:rsid w:val="009221F0"/>
    <w:rsid w:val="00922248"/>
    <w:rsid w:val="009225A4"/>
    <w:rsid w:val="009225FB"/>
    <w:rsid w:val="00922785"/>
    <w:rsid w:val="00922801"/>
    <w:rsid w:val="009228A2"/>
    <w:rsid w:val="009228C2"/>
    <w:rsid w:val="009229A9"/>
    <w:rsid w:val="00922BB0"/>
    <w:rsid w:val="00922BD5"/>
    <w:rsid w:val="00922C2F"/>
    <w:rsid w:val="00922C41"/>
    <w:rsid w:val="00922DA7"/>
    <w:rsid w:val="00922E1C"/>
    <w:rsid w:val="00922F35"/>
    <w:rsid w:val="009231C1"/>
    <w:rsid w:val="00923203"/>
    <w:rsid w:val="009232B0"/>
    <w:rsid w:val="009232EC"/>
    <w:rsid w:val="00923332"/>
    <w:rsid w:val="00923354"/>
    <w:rsid w:val="00923402"/>
    <w:rsid w:val="009234D3"/>
    <w:rsid w:val="009236B2"/>
    <w:rsid w:val="009236BD"/>
    <w:rsid w:val="00923709"/>
    <w:rsid w:val="0092378D"/>
    <w:rsid w:val="00923828"/>
    <w:rsid w:val="0092384D"/>
    <w:rsid w:val="00923AAA"/>
    <w:rsid w:val="00923D1E"/>
    <w:rsid w:val="00923E27"/>
    <w:rsid w:val="00923E41"/>
    <w:rsid w:val="00923E88"/>
    <w:rsid w:val="00923EE8"/>
    <w:rsid w:val="00923F4E"/>
    <w:rsid w:val="009240A8"/>
    <w:rsid w:val="009241E6"/>
    <w:rsid w:val="009242B2"/>
    <w:rsid w:val="009243AA"/>
    <w:rsid w:val="0092446F"/>
    <w:rsid w:val="009245DB"/>
    <w:rsid w:val="009246DB"/>
    <w:rsid w:val="0092475C"/>
    <w:rsid w:val="009247E8"/>
    <w:rsid w:val="0092480C"/>
    <w:rsid w:val="0092480D"/>
    <w:rsid w:val="009248FC"/>
    <w:rsid w:val="00924A57"/>
    <w:rsid w:val="00924ACA"/>
    <w:rsid w:val="00924C27"/>
    <w:rsid w:val="00924CBC"/>
    <w:rsid w:val="00924D65"/>
    <w:rsid w:val="00924D92"/>
    <w:rsid w:val="00924DE0"/>
    <w:rsid w:val="00924E2C"/>
    <w:rsid w:val="00924F61"/>
    <w:rsid w:val="00924F6F"/>
    <w:rsid w:val="0092505F"/>
    <w:rsid w:val="0092506A"/>
    <w:rsid w:val="00925138"/>
    <w:rsid w:val="0092540B"/>
    <w:rsid w:val="0092541A"/>
    <w:rsid w:val="0092543C"/>
    <w:rsid w:val="0092550A"/>
    <w:rsid w:val="0092552B"/>
    <w:rsid w:val="00925670"/>
    <w:rsid w:val="009256B3"/>
    <w:rsid w:val="009257DB"/>
    <w:rsid w:val="00925844"/>
    <w:rsid w:val="00925915"/>
    <w:rsid w:val="00925916"/>
    <w:rsid w:val="00925AF0"/>
    <w:rsid w:val="00925C5C"/>
    <w:rsid w:val="00925E0C"/>
    <w:rsid w:val="00925F1E"/>
    <w:rsid w:val="009260A3"/>
    <w:rsid w:val="00926257"/>
    <w:rsid w:val="009262AD"/>
    <w:rsid w:val="00926318"/>
    <w:rsid w:val="0092634E"/>
    <w:rsid w:val="009263BC"/>
    <w:rsid w:val="00926443"/>
    <w:rsid w:val="009265B4"/>
    <w:rsid w:val="009265C5"/>
    <w:rsid w:val="009265DF"/>
    <w:rsid w:val="00926642"/>
    <w:rsid w:val="009267F8"/>
    <w:rsid w:val="0092689A"/>
    <w:rsid w:val="00926994"/>
    <w:rsid w:val="00926D1B"/>
    <w:rsid w:val="00926D2B"/>
    <w:rsid w:val="00926E34"/>
    <w:rsid w:val="00926F4A"/>
    <w:rsid w:val="00926F94"/>
    <w:rsid w:val="00927030"/>
    <w:rsid w:val="009270C5"/>
    <w:rsid w:val="0092724B"/>
    <w:rsid w:val="009272FE"/>
    <w:rsid w:val="0092735F"/>
    <w:rsid w:val="0092736B"/>
    <w:rsid w:val="009274DA"/>
    <w:rsid w:val="00927523"/>
    <w:rsid w:val="009277BB"/>
    <w:rsid w:val="0092781B"/>
    <w:rsid w:val="009278E1"/>
    <w:rsid w:val="009278EE"/>
    <w:rsid w:val="0092790A"/>
    <w:rsid w:val="0092792F"/>
    <w:rsid w:val="00927CC9"/>
    <w:rsid w:val="00927CEA"/>
    <w:rsid w:val="00927D15"/>
    <w:rsid w:val="00927D1D"/>
    <w:rsid w:val="00927EF9"/>
    <w:rsid w:val="00927F10"/>
    <w:rsid w:val="00927F5C"/>
    <w:rsid w:val="00930281"/>
    <w:rsid w:val="00930317"/>
    <w:rsid w:val="0093033A"/>
    <w:rsid w:val="00930426"/>
    <w:rsid w:val="009304DE"/>
    <w:rsid w:val="009306FE"/>
    <w:rsid w:val="009307CA"/>
    <w:rsid w:val="00930836"/>
    <w:rsid w:val="00930859"/>
    <w:rsid w:val="009308C8"/>
    <w:rsid w:val="009309EB"/>
    <w:rsid w:val="00930AD3"/>
    <w:rsid w:val="00930AF8"/>
    <w:rsid w:val="00930B7F"/>
    <w:rsid w:val="00930BFE"/>
    <w:rsid w:val="00930C01"/>
    <w:rsid w:val="00930D1E"/>
    <w:rsid w:val="00930D24"/>
    <w:rsid w:val="00930E39"/>
    <w:rsid w:val="00930E4D"/>
    <w:rsid w:val="00930E69"/>
    <w:rsid w:val="00930E91"/>
    <w:rsid w:val="00930ECD"/>
    <w:rsid w:val="00930ECE"/>
    <w:rsid w:val="00930EEA"/>
    <w:rsid w:val="00930F43"/>
    <w:rsid w:val="0093108D"/>
    <w:rsid w:val="00931122"/>
    <w:rsid w:val="009311E4"/>
    <w:rsid w:val="0093126D"/>
    <w:rsid w:val="00931331"/>
    <w:rsid w:val="0093133A"/>
    <w:rsid w:val="009313CB"/>
    <w:rsid w:val="0093143A"/>
    <w:rsid w:val="0093143B"/>
    <w:rsid w:val="0093145E"/>
    <w:rsid w:val="00931478"/>
    <w:rsid w:val="00931539"/>
    <w:rsid w:val="009315BD"/>
    <w:rsid w:val="0093160A"/>
    <w:rsid w:val="00931633"/>
    <w:rsid w:val="00931862"/>
    <w:rsid w:val="00931977"/>
    <w:rsid w:val="00931A0D"/>
    <w:rsid w:val="00931AC5"/>
    <w:rsid w:val="00931B15"/>
    <w:rsid w:val="00931B71"/>
    <w:rsid w:val="00931BEE"/>
    <w:rsid w:val="00931C36"/>
    <w:rsid w:val="00931CBE"/>
    <w:rsid w:val="00931D1A"/>
    <w:rsid w:val="00931D2C"/>
    <w:rsid w:val="00931DC0"/>
    <w:rsid w:val="00931E25"/>
    <w:rsid w:val="00931F4C"/>
    <w:rsid w:val="00932078"/>
    <w:rsid w:val="00932105"/>
    <w:rsid w:val="00932153"/>
    <w:rsid w:val="00932380"/>
    <w:rsid w:val="0093242F"/>
    <w:rsid w:val="009324DD"/>
    <w:rsid w:val="0093270E"/>
    <w:rsid w:val="00932719"/>
    <w:rsid w:val="00932885"/>
    <w:rsid w:val="0093288B"/>
    <w:rsid w:val="00932A3E"/>
    <w:rsid w:val="00932A62"/>
    <w:rsid w:val="00932C0F"/>
    <w:rsid w:val="00932CD0"/>
    <w:rsid w:val="00932D1E"/>
    <w:rsid w:val="00932D25"/>
    <w:rsid w:val="00932DC4"/>
    <w:rsid w:val="00932E61"/>
    <w:rsid w:val="00932FE7"/>
    <w:rsid w:val="00933164"/>
    <w:rsid w:val="00933379"/>
    <w:rsid w:val="009333DA"/>
    <w:rsid w:val="00933419"/>
    <w:rsid w:val="0093342C"/>
    <w:rsid w:val="00933464"/>
    <w:rsid w:val="00933475"/>
    <w:rsid w:val="00933616"/>
    <w:rsid w:val="0093372E"/>
    <w:rsid w:val="009337B3"/>
    <w:rsid w:val="0093385E"/>
    <w:rsid w:val="00933872"/>
    <w:rsid w:val="009338A6"/>
    <w:rsid w:val="00933970"/>
    <w:rsid w:val="009339F6"/>
    <w:rsid w:val="00933C40"/>
    <w:rsid w:val="00933D12"/>
    <w:rsid w:val="00933EDA"/>
    <w:rsid w:val="00933FE2"/>
    <w:rsid w:val="0093400C"/>
    <w:rsid w:val="009342BF"/>
    <w:rsid w:val="009342E4"/>
    <w:rsid w:val="0093445B"/>
    <w:rsid w:val="0093451C"/>
    <w:rsid w:val="009345AB"/>
    <w:rsid w:val="00934609"/>
    <w:rsid w:val="00934675"/>
    <w:rsid w:val="0093471C"/>
    <w:rsid w:val="009347BB"/>
    <w:rsid w:val="009349ED"/>
    <w:rsid w:val="00934A04"/>
    <w:rsid w:val="00934A29"/>
    <w:rsid w:val="00934AE9"/>
    <w:rsid w:val="00934B40"/>
    <w:rsid w:val="00934B8A"/>
    <w:rsid w:val="00934B92"/>
    <w:rsid w:val="00934BCB"/>
    <w:rsid w:val="00934D2D"/>
    <w:rsid w:val="00934D94"/>
    <w:rsid w:val="00934E3C"/>
    <w:rsid w:val="00934E72"/>
    <w:rsid w:val="00934EE4"/>
    <w:rsid w:val="00934F7F"/>
    <w:rsid w:val="00934F83"/>
    <w:rsid w:val="009350E7"/>
    <w:rsid w:val="00935155"/>
    <w:rsid w:val="00935173"/>
    <w:rsid w:val="00935198"/>
    <w:rsid w:val="00935225"/>
    <w:rsid w:val="009352AB"/>
    <w:rsid w:val="009352B2"/>
    <w:rsid w:val="009353F4"/>
    <w:rsid w:val="0093556D"/>
    <w:rsid w:val="009356BD"/>
    <w:rsid w:val="009357FF"/>
    <w:rsid w:val="0093596F"/>
    <w:rsid w:val="009359A3"/>
    <w:rsid w:val="009359AD"/>
    <w:rsid w:val="00935A86"/>
    <w:rsid w:val="00935B3E"/>
    <w:rsid w:val="00935CDA"/>
    <w:rsid w:val="00935CF3"/>
    <w:rsid w:val="00935D88"/>
    <w:rsid w:val="00935D99"/>
    <w:rsid w:val="00935E23"/>
    <w:rsid w:val="00935E3C"/>
    <w:rsid w:val="00935E97"/>
    <w:rsid w:val="00935F41"/>
    <w:rsid w:val="00935F49"/>
    <w:rsid w:val="00935FA2"/>
    <w:rsid w:val="00936038"/>
    <w:rsid w:val="009360A3"/>
    <w:rsid w:val="009361CB"/>
    <w:rsid w:val="009361D5"/>
    <w:rsid w:val="00936238"/>
    <w:rsid w:val="009363A7"/>
    <w:rsid w:val="009363F2"/>
    <w:rsid w:val="009364AF"/>
    <w:rsid w:val="009364B4"/>
    <w:rsid w:val="00936527"/>
    <w:rsid w:val="00936608"/>
    <w:rsid w:val="00936697"/>
    <w:rsid w:val="00936755"/>
    <w:rsid w:val="009367D3"/>
    <w:rsid w:val="0093693F"/>
    <w:rsid w:val="009369AF"/>
    <w:rsid w:val="009369B1"/>
    <w:rsid w:val="00936A9C"/>
    <w:rsid w:val="00936AF7"/>
    <w:rsid w:val="00936BFB"/>
    <w:rsid w:val="00936C68"/>
    <w:rsid w:val="00936CD7"/>
    <w:rsid w:val="00936DDD"/>
    <w:rsid w:val="00936E30"/>
    <w:rsid w:val="00936E77"/>
    <w:rsid w:val="00936ECE"/>
    <w:rsid w:val="00936FC4"/>
    <w:rsid w:val="00936FDB"/>
    <w:rsid w:val="0093723A"/>
    <w:rsid w:val="00937399"/>
    <w:rsid w:val="00937440"/>
    <w:rsid w:val="00937562"/>
    <w:rsid w:val="00937736"/>
    <w:rsid w:val="0093773C"/>
    <w:rsid w:val="00937896"/>
    <w:rsid w:val="009378D2"/>
    <w:rsid w:val="00937907"/>
    <w:rsid w:val="0093793C"/>
    <w:rsid w:val="009379EC"/>
    <w:rsid w:val="00937A58"/>
    <w:rsid w:val="00937AF3"/>
    <w:rsid w:val="00937B11"/>
    <w:rsid w:val="00937BB3"/>
    <w:rsid w:val="00937C94"/>
    <w:rsid w:val="00937CCE"/>
    <w:rsid w:val="00937D08"/>
    <w:rsid w:val="00937DA4"/>
    <w:rsid w:val="00937EA5"/>
    <w:rsid w:val="00937F3A"/>
    <w:rsid w:val="0094026F"/>
    <w:rsid w:val="00940365"/>
    <w:rsid w:val="00940477"/>
    <w:rsid w:val="009404AA"/>
    <w:rsid w:val="009404F4"/>
    <w:rsid w:val="00940575"/>
    <w:rsid w:val="009405C8"/>
    <w:rsid w:val="00940668"/>
    <w:rsid w:val="00940689"/>
    <w:rsid w:val="009406A2"/>
    <w:rsid w:val="009406C4"/>
    <w:rsid w:val="009407E7"/>
    <w:rsid w:val="00940988"/>
    <w:rsid w:val="009409D0"/>
    <w:rsid w:val="00940AE8"/>
    <w:rsid w:val="00940C19"/>
    <w:rsid w:val="00940DC4"/>
    <w:rsid w:val="00940E09"/>
    <w:rsid w:val="00940E50"/>
    <w:rsid w:val="00940EF4"/>
    <w:rsid w:val="009414A6"/>
    <w:rsid w:val="009414DA"/>
    <w:rsid w:val="00941558"/>
    <w:rsid w:val="009415F7"/>
    <w:rsid w:val="00941603"/>
    <w:rsid w:val="00941629"/>
    <w:rsid w:val="00941694"/>
    <w:rsid w:val="0094175D"/>
    <w:rsid w:val="009417C4"/>
    <w:rsid w:val="00941818"/>
    <w:rsid w:val="00941845"/>
    <w:rsid w:val="009418A6"/>
    <w:rsid w:val="009418BD"/>
    <w:rsid w:val="009419BB"/>
    <w:rsid w:val="00941A86"/>
    <w:rsid w:val="00941AE7"/>
    <w:rsid w:val="00941AF0"/>
    <w:rsid w:val="00941B2F"/>
    <w:rsid w:val="00941BE4"/>
    <w:rsid w:val="00941C87"/>
    <w:rsid w:val="00941CA6"/>
    <w:rsid w:val="00941CBA"/>
    <w:rsid w:val="00941CC2"/>
    <w:rsid w:val="00941CF3"/>
    <w:rsid w:val="00941D19"/>
    <w:rsid w:val="00941D54"/>
    <w:rsid w:val="00941E24"/>
    <w:rsid w:val="00941E7E"/>
    <w:rsid w:val="00941ED5"/>
    <w:rsid w:val="00941F2C"/>
    <w:rsid w:val="00941FD4"/>
    <w:rsid w:val="00941FD8"/>
    <w:rsid w:val="00941FDB"/>
    <w:rsid w:val="00942013"/>
    <w:rsid w:val="0094210A"/>
    <w:rsid w:val="009421A0"/>
    <w:rsid w:val="009421C8"/>
    <w:rsid w:val="0094222B"/>
    <w:rsid w:val="009423E1"/>
    <w:rsid w:val="0094248B"/>
    <w:rsid w:val="009425D1"/>
    <w:rsid w:val="0094268E"/>
    <w:rsid w:val="00942705"/>
    <w:rsid w:val="00942740"/>
    <w:rsid w:val="0094283A"/>
    <w:rsid w:val="00942984"/>
    <w:rsid w:val="0094298C"/>
    <w:rsid w:val="009429A7"/>
    <w:rsid w:val="009429EF"/>
    <w:rsid w:val="009429F0"/>
    <w:rsid w:val="00942A33"/>
    <w:rsid w:val="00942A63"/>
    <w:rsid w:val="00942ABC"/>
    <w:rsid w:val="00942B9D"/>
    <w:rsid w:val="00942E3C"/>
    <w:rsid w:val="00942EB1"/>
    <w:rsid w:val="00942F8C"/>
    <w:rsid w:val="00943001"/>
    <w:rsid w:val="00943067"/>
    <w:rsid w:val="00943352"/>
    <w:rsid w:val="009433F1"/>
    <w:rsid w:val="0094343A"/>
    <w:rsid w:val="009436C8"/>
    <w:rsid w:val="0094381E"/>
    <w:rsid w:val="00943826"/>
    <w:rsid w:val="0094383D"/>
    <w:rsid w:val="0094385E"/>
    <w:rsid w:val="00943881"/>
    <w:rsid w:val="009438CD"/>
    <w:rsid w:val="00943AEB"/>
    <w:rsid w:val="00943CE4"/>
    <w:rsid w:val="00943DF1"/>
    <w:rsid w:val="0094402F"/>
    <w:rsid w:val="009440CF"/>
    <w:rsid w:val="00944185"/>
    <w:rsid w:val="009441B8"/>
    <w:rsid w:val="009442A3"/>
    <w:rsid w:val="009442EF"/>
    <w:rsid w:val="009443E3"/>
    <w:rsid w:val="00944426"/>
    <w:rsid w:val="00944467"/>
    <w:rsid w:val="009444B8"/>
    <w:rsid w:val="0094452F"/>
    <w:rsid w:val="00944753"/>
    <w:rsid w:val="00944A40"/>
    <w:rsid w:val="00944B20"/>
    <w:rsid w:val="00944B52"/>
    <w:rsid w:val="00944C8B"/>
    <w:rsid w:val="00944D63"/>
    <w:rsid w:val="00944DE5"/>
    <w:rsid w:val="00944E71"/>
    <w:rsid w:val="00944F41"/>
    <w:rsid w:val="00944FFF"/>
    <w:rsid w:val="00945005"/>
    <w:rsid w:val="00945008"/>
    <w:rsid w:val="00945015"/>
    <w:rsid w:val="00945050"/>
    <w:rsid w:val="00945075"/>
    <w:rsid w:val="00945246"/>
    <w:rsid w:val="009453A2"/>
    <w:rsid w:val="009453B0"/>
    <w:rsid w:val="009454AE"/>
    <w:rsid w:val="009456AA"/>
    <w:rsid w:val="009456E8"/>
    <w:rsid w:val="0094570D"/>
    <w:rsid w:val="00945735"/>
    <w:rsid w:val="00945781"/>
    <w:rsid w:val="009457A0"/>
    <w:rsid w:val="009457D1"/>
    <w:rsid w:val="00945878"/>
    <w:rsid w:val="00945ADA"/>
    <w:rsid w:val="00945B1F"/>
    <w:rsid w:val="00945B64"/>
    <w:rsid w:val="00945D35"/>
    <w:rsid w:val="00945DEC"/>
    <w:rsid w:val="00945E35"/>
    <w:rsid w:val="00945EFA"/>
    <w:rsid w:val="00946377"/>
    <w:rsid w:val="00946472"/>
    <w:rsid w:val="0094667E"/>
    <w:rsid w:val="009466B9"/>
    <w:rsid w:val="00946804"/>
    <w:rsid w:val="00946850"/>
    <w:rsid w:val="009469C4"/>
    <w:rsid w:val="00946BA0"/>
    <w:rsid w:val="00946D8F"/>
    <w:rsid w:val="00946DA2"/>
    <w:rsid w:val="00946EE4"/>
    <w:rsid w:val="00946EF9"/>
    <w:rsid w:val="00946FC6"/>
    <w:rsid w:val="00947090"/>
    <w:rsid w:val="009470B7"/>
    <w:rsid w:val="009471AB"/>
    <w:rsid w:val="0094741D"/>
    <w:rsid w:val="0094774F"/>
    <w:rsid w:val="009478AA"/>
    <w:rsid w:val="009478B9"/>
    <w:rsid w:val="00947937"/>
    <w:rsid w:val="00947988"/>
    <w:rsid w:val="009479B6"/>
    <w:rsid w:val="009479D3"/>
    <w:rsid w:val="00947A6E"/>
    <w:rsid w:val="00947ABF"/>
    <w:rsid w:val="00947CA4"/>
    <w:rsid w:val="00947CCA"/>
    <w:rsid w:val="00947CD6"/>
    <w:rsid w:val="00947E1B"/>
    <w:rsid w:val="00947EC1"/>
    <w:rsid w:val="00947F18"/>
    <w:rsid w:val="009500CC"/>
    <w:rsid w:val="009500E7"/>
    <w:rsid w:val="0095013C"/>
    <w:rsid w:val="009501E1"/>
    <w:rsid w:val="00950214"/>
    <w:rsid w:val="00950316"/>
    <w:rsid w:val="0095032D"/>
    <w:rsid w:val="00950382"/>
    <w:rsid w:val="009503A7"/>
    <w:rsid w:val="0095052F"/>
    <w:rsid w:val="00950632"/>
    <w:rsid w:val="00950677"/>
    <w:rsid w:val="00950752"/>
    <w:rsid w:val="00950795"/>
    <w:rsid w:val="009508D7"/>
    <w:rsid w:val="00950A45"/>
    <w:rsid w:val="00950A46"/>
    <w:rsid w:val="00950B10"/>
    <w:rsid w:val="00950BEC"/>
    <w:rsid w:val="00950C11"/>
    <w:rsid w:val="00950CEF"/>
    <w:rsid w:val="00950DDE"/>
    <w:rsid w:val="00950E7D"/>
    <w:rsid w:val="00950EAB"/>
    <w:rsid w:val="00950EFD"/>
    <w:rsid w:val="00951030"/>
    <w:rsid w:val="00951076"/>
    <w:rsid w:val="00951087"/>
    <w:rsid w:val="009511E2"/>
    <w:rsid w:val="00951449"/>
    <w:rsid w:val="009514B3"/>
    <w:rsid w:val="0095154B"/>
    <w:rsid w:val="00951585"/>
    <w:rsid w:val="00951599"/>
    <w:rsid w:val="00951676"/>
    <w:rsid w:val="00951694"/>
    <w:rsid w:val="009516B1"/>
    <w:rsid w:val="009517BC"/>
    <w:rsid w:val="009517CE"/>
    <w:rsid w:val="009519E1"/>
    <w:rsid w:val="00951A78"/>
    <w:rsid w:val="00951BE4"/>
    <w:rsid w:val="00951EB2"/>
    <w:rsid w:val="00951FC9"/>
    <w:rsid w:val="00952041"/>
    <w:rsid w:val="0095216B"/>
    <w:rsid w:val="009521AC"/>
    <w:rsid w:val="009522C9"/>
    <w:rsid w:val="009522CD"/>
    <w:rsid w:val="0095237F"/>
    <w:rsid w:val="009523B5"/>
    <w:rsid w:val="00952438"/>
    <w:rsid w:val="0095243B"/>
    <w:rsid w:val="0095245E"/>
    <w:rsid w:val="00952512"/>
    <w:rsid w:val="0095256A"/>
    <w:rsid w:val="00952811"/>
    <w:rsid w:val="0095288C"/>
    <w:rsid w:val="009528E1"/>
    <w:rsid w:val="0095292A"/>
    <w:rsid w:val="0095294A"/>
    <w:rsid w:val="0095295A"/>
    <w:rsid w:val="00952967"/>
    <w:rsid w:val="00952A9F"/>
    <w:rsid w:val="00952AA5"/>
    <w:rsid w:val="00952ABE"/>
    <w:rsid w:val="00952ADC"/>
    <w:rsid w:val="00952C8D"/>
    <w:rsid w:val="00952C99"/>
    <w:rsid w:val="00952D4D"/>
    <w:rsid w:val="00952DC5"/>
    <w:rsid w:val="00952F9F"/>
    <w:rsid w:val="00952FD8"/>
    <w:rsid w:val="00952FE7"/>
    <w:rsid w:val="00953097"/>
    <w:rsid w:val="009531CE"/>
    <w:rsid w:val="00953219"/>
    <w:rsid w:val="00953232"/>
    <w:rsid w:val="009533BE"/>
    <w:rsid w:val="00953541"/>
    <w:rsid w:val="0095354F"/>
    <w:rsid w:val="00953579"/>
    <w:rsid w:val="00953769"/>
    <w:rsid w:val="009538F2"/>
    <w:rsid w:val="0095392A"/>
    <w:rsid w:val="00953A4C"/>
    <w:rsid w:val="00953B14"/>
    <w:rsid w:val="00953CD8"/>
    <w:rsid w:val="00953D9B"/>
    <w:rsid w:val="00953E40"/>
    <w:rsid w:val="00953E48"/>
    <w:rsid w:val="00954018"/>
    <w:rsid w:val="0095402B"/>
    <w:rsid w:val="00954071"/>
    <w:rsid w:val="009540F7"/>
    <w:rsid w:val="009542B7"/>
    <w:rsid w:val="0095435B"/>
    <w:rsid w:val="00954379"/>
    <w:rsid w:val="0095466F"/>
    <w:rsid w:val="009547CA"/>
    <w:rsid w:val="00954836"/>
    <w:rsid w:val="00954A73"/>
    <w:rsid w:val="00954A7C"/>
    <w:rsid w:val="00954A9E"/>
    <w:rsid w:val="00954C53"/>
    <w:rsid w:val="00954C6D"/>
    <w:rsid w:val="00954CBC"/>
    <w:rsid w:val="00954D32"/>
    <w:rsid w:val="00954E25"/>
    <w:rsid w:val="00954E50"/>
    <w:rsid w:val="00954F5F"/>
    <w:rsid w:val="0095501E"/>
    <w:rsid w:val="0095505A"/>
    <w:rsid w:val="00955098"/>
    <w:rsid w:val="009551B6"/>
    <w:rsid w:val="00955244"/>
    <w:rsid w:val="00955272"/>
    <w:rsid w:val="009552AD"/>
    <w:rsid w:val="00955313"/>
    <w:rsid w:val="00955420"/>
    <w:rsid w:val="0095542B"/>
    <w:rsid w:val="00955467"/>
    <w:rsid w:val="0095546E"/>
    <w:rsid w:val="00955532"/>
    <w:rsid w:val="00955587"/>
    <w:rsid w:val="0095560D"/>
    <w:rsid w:val="00955680"/>
    <w:rsid w:val="009557B9"/>
    <w:rsid w:val="009557D6"/>
    <w:rsid w:val="00955821"/>
    <w:rsid w:val="0095588E"/>
    <w:rsid w:val="0095591C"/>
    <w:rsid w:val="0095599F"/>
    <w:rsid w:val="00955BF2"/>
    <w:rsid w:val="00955CC5"/>
    <w:rsid w:val="00955E45"/>
    <w:rsid w:val="00955EA2"/>
    <w:rsid w:val="00955EF6"/>
    <w:rsid w:val="00955FBB"/>
    <w:rsid w:val="00956066"/>
    <w:rsid w:val="00956075"/>
    <w:rsid w:val="009560F9"/>
    <w:rsid w:val="00956163"/>
    <w:rsid w:val="009561F1"/>
    <w:rsid w:val="00956284"/>
    <w:rsid w:val="00956292"/>
    <w:rsid w:val="009562F2"/>
    <w:rsid w:val="009563BD"/>
    <w:rsid w:val="00956500"/>
    <w:rsid w:val="00956650"/>
    <w:rsid w:val="00956696"/>
    <w:rsid w:val="009566E5"/>
    <w:rsid w:val="0095670B"/>
    <w:rsid w:val="0095675C"/>
    <w:rsid w:val="00956937"/>
    <w:rsid w:val="0095696B"/>
    <w:rsid w:val="0095697F"/>
    <w:rsid w:val="00956A41"/>
    <w:rsid w:val="00956ACC"/>
    <w:rsid w:val="00956CC5"/>
    <w:rsid w:val="00956CFC"/>
    <w:rsid w:val="00956EFE"/>
    <w:rsid w:val="00956F0F"/>
    <w:rsid w:val="00957099"/>
    <w:rsid w:val="00957141"/>
    <w:rsid w:val="00957143"/>
    <w:rsid w:val="00957382"/>
    <w:rsid w:val="00957515"/>
    <w:rsid w:val="00957840"/>
    <w:rsid w:val="009578AF"/>
    <w:rsid w:val="00957BAC"/>
    <w:rsid w:val="00957C12"/>
    <w:rsid w:val="00957C97"/>
    <w:rsid w:val="00957E21"/>
    <w:rsid w:val="00957E7B"/>
    <w:rsid w:val="009600CB"/>
    <w:rsid w:val="009601B3"/>
    <w:rsid w:val="00960266"/>
    <w:rsid w:val="00960360"/>
    <w:rsid w:val="00960448"/>
    <w:rsid w:val="009605C6"/>
    <w:rsid w:val="0096071C"/>
    <w:rsid w:val="00960823"/>
    <w:rsid w:val="00960884"/>
    <w:rsid w:val="0096091E"/>
    <w:rsid w:val="00960A06"/>
    <w:rsid w:val="00960AEB"/>
    <w:rsid w:val="00960EE6"/>
    <w:rsid w:val="00961206"/>
    <w:rsid w:val="00961328"/>
    <w:rsid w:val="009613DF"/>
    <w:rsid w:val="00961460"/>
    <w:rsid w:val="00961486"/>
    <w:rsid w:val="009614EF"/>
    <w:rsid w:val="00961598"/>
    <w:rsid w:val="009615A9"/>
    <w:rsid w:val="00961617"/>
    <w:rsid w:val="0096161C"/>
    <w:rsid w:val="00961646"/>
    <w:rsid w:val="0096164C"/>
    <w:rsid w:val="009616CD"/>
    <w:rsid w:val="00961700"/>
    <w:rsid w:val="0096171A"/>
    <w:rsid w:val="00961756"/>
    <w:rsid w:val="009617C0"/>
    <w:rsid w:val="009618CD"/>
    <w:rsid w:val="00961A36"/>
    <w:rsid w:val="00961A67"/>
    <w:rsid w:val="00961B9D"/>
    <w:rsid w:val="00961D21"/>
    <w:rsid w:val="00962061"/>
    <w:rsid w:val="009620AE"/>
    <w:rsid w:val="00962433"/>
    <w:rsid w:val="00962475"/>
    <w:rsid w:val="0096251C"/>
    <w:rsid w:val="00962620"/>
    <w:rsid w:val="0096278D"/>
    <w:rsid w:val="009627B0"/>
    <w:rsid w:val="0096288C"/>
    <w:rsid w:val="00962982"/>
    <w:rsid w:val="0096298D"/>
    <w:rsid w:val="00962993"/>
    <w:rsid w:val="009629E4"/>
    <w:rsid w:val="00962C26"/>
    <w:rsid w:val="00962C49"/>
    <w:rsid w:val="00962CA4"/>
    <w:rsid w:val="00962ECC"/>
    <w:rsid w:val="00962F34"/>
    <w:rsid w:val="00962F3D"/>
    <w:rsid w:val="009630FE"/>
    <w:rsid w:val="00963159"/>
    <w:rsid w:val="0096333F"/>
    <w:rsid w:val="009633D4"/>
    <w:rsid w:val="00963480"/>
    <w:rsid w:val="0096350B"/>
    <w:rsid w:val="00963802"/>
    <w:rsid w:val="00963831"/>
    <w:rsid w:val="009639A7"/>
    <w:rsid w:val="00963A99"/>
    <w:rsid w:val="00963BAB"/>
    <w:rsid w:val="00963BD6"/>
    <w:rsid w:val="00963D6B"/>
    <w:rsid w:val="00963DCC"/>
    <w:rsid w:val="00963E11"/>
    <w:rsid w:val="00963E36"/>
    <w:rsid w:val="00963F60"/>
    <w:rsid w:val="0096400E"/>
    <w:rsid w:val="00964070"/>
    <w:rsid w:val="0096414C"/>
    <w:rsid w:val="009641CA"/>
    <w:rsid w:val="00964284"/>
    <w:rsid w:val="0096432B"/>
    <w:rsid w:val="00964629"/>
    <w:rsid w:val="0096489A"/>
    <w:rsid w:val="0096490E"/>
    <w:rsid w:val="00964931"/>
    <w:rsid w:val="00964A43"/>
    <w:rsid w:val="00964B92"/>
    <w:rsid w:val="00964C17"/>
    <w:rsid w:val="00964CA4"/>
    <w:rsid w:val="00964D28"/>
    <w:rsid w:val="00964D50"/>
    <w:rsid w:val="00964D82"/>
    <w:rsid w:val="00964DB0"/>
    <w:rsid w:val="00965156"/>
    <w:rsid w:val="0096516D"/>
    <w:rsid w:val="0096523B"/>
    <w:rsid w:val="0096529A"/>
    <w:rsid w:val="00965302"/>
    <w:rsid w:val="00965399"/>
    <w:rsid w:val="009653B4"/>
    <w:rsid w:val="009653C3"/>
    <w:rsid w:val="0096552F"/>
    <w:rsid w:val="00965548"/>
    <w:rsid w:val="00965631"/>
    <w:rsid w:val="009656BA"/>
    <w:rsid w:val="00965737"/>
    <w:rsid w:val="0096574E"/>
    <w:rsid w:val="009657B5"/>
    <w:rsid w:val="009657E5"/>
    <w:rsid w:val="00965C7C"/>
    <w:rsid w:val="00965CE2"/>
    <w:rsid w:val="00965D2E"/>
    <w:rsid w:val="00965D33"/>
    <w:rsid w:val="00965D7D"/>
    <w:rsid w:val="00965F25"/>
    <w:rsid w:val="00965F3B"/>
    <w:rsid w:val="00966262"/>
    <w:rsid w:val="0096626F"/>
    <w:rsid w:val="009662C7"/>
    <w:rsid w:val="00966318"/>
    <w:rsid w:val="0096631E"/>
    <w:rsid w:val="009663AA"/>
    <w:rsid w:val="00966478"/>
    <w:rsid w:val="00966502"/>
    <w:rsid w:val="0096657E"/>
    <w:rsid w:val="00966637"/>
    <w:rsid w:val="0096668C"/>
    <w:rsid w:val="009666EF"/>
    <w:rsid w:val="00966767"/>
    <w:rsid w:val="0096678D"/>
    <w:rsid w:val="009668F5"/>
    <w:rsid w:val="00966905"/>
    <w:rsid w:val="00966A7D"/>
    <w:rsid w:val="00966AF8"/>
    <w:rsid w:val="00966BFA"/>
    <w:rsid w:val="00966C78"/>
    <w:rsid w:val="00966EDE"/>
    <w:rsid w:val="00966EFA"/>
    <w:rsid w:val="00966FAC"/>
    <w:rsid w:val="00967097"/>
    <w:rsid w:val="00967162"/>
    <w:rsid w:val="009671EF"/>
    <w:rsid w:val="009672FC"/>
    <w:rsid w:val="009673A7"/>
    <w:rsid w:val="009673BD"/>
    <w:rsid w:val="009674AC"/>
    <w:rsid w:val="0096774B"/>
    <w:rsid w:val="0096785C"/>
    <w:rsid w:val="0096791A"/>
    <w:rsid w:val="00967A20"/>
    <w:rsid w:val="00967A7E"/>
    <w:rsid w:val="00967AEC"/>
    <w:rsid w:val="00967B3C"/>
    <w:rsid w:val="00967B90"/>
    <w:rsid w:val="00967B95"/>
    <w:rsid w:val="00967C92"/>
    <w:rsid w:val="00967CD7"/>
    <w:rsid w:val="00967E7E"/>
    <w:rsid w:val="00967EBF"/>
    <w:rsid w:val="00967FD2"/>
    <w:rsid w:val="00970056"/>
    <w:rsid w:val="009700DD"/>
    <w:rsid w:val="0097010D"/>
    <w:rsid w:val="0097016C"/>
    <w:rsid w:val="009701A7"/>
    <w:rsid w:val="009701EC"/>
    <w:rsid w:val="0097027B"/>
    <w:rsid w:val="00970543"/>
    <w:rsid w:val="009705A8"/>
    <w:rsid w:val="009705F8"/>
    <w:rsid w:val="00970702"/>
    <w:rsid w:val="0097070F"/>
    <w:rsid w:val="00970834"/>
    <w:rsid w:val="00970929"/>
    <w:rsid w:val="0097093D"/>
    <w:rsid w:val="0097095E"/>
    <w:rsid w:val="0097097E"/>
    <w:rsid w:val="009709C8"/>
    <w:rsid w:val="00970A07"/>
    <w:rsid w:val="00970B03"/>
    <w:rsid w:val="00970B0B"/>
    <w:rsid w:val="00970CA7"/>
    <w:rsid w:val="00970CB3"/>
    <w:rsid w:val="00970D22"/>
    <w:rsid w:val="00970D88"/>
    <w:rsid w:val="00970E04"/>
    <w:rsid w:val="00970E6C"/>
    <w:rsid w:val="00970EAD"/>
    <w:rsid w:val="00970F84"/>
    <w:rsid w:val="00970F9B"/>
    <w:rsid w:val="00970FC5"/>
    <w:rsid w:val="00971124"/>
    <w:rsid w:val="009711CA"/>
    <w:rsid w:val="0097126D"/>
    <w:rsid w:val="00971356"/>
    <w:rsid w:val="00971454"/>
    <w:rsid w:val="009714E9"/>
    <w:rsid w:val="00971580"/>
    <w:rsid w:val="009715A8"/>
    <w:rsid w:val="0097163B"/>
    <w:rsid w:val="0097164F"/>
    <w:rsid w:val="009717DA"/>
    <w:rsid w:val="00971920"/>
    <w:rsid w:val="00971B66"/>
    <w:rsid w:val="00971C30"/>
    <w:rsid w:val="00971D1D"/>
    <w:rsid w:val="00971D8B"/>
    <w:rsid w:val="00971DD1"/>
    <w:rsid w:val="00971F2F"/>
    <w:rsid w:val="00971F6B"/>
    <w:rsid w:val="00972180"/>
    <w:rsid w:val="009722AA"/>
    <w:rsid w:val="00972392"/>
    <w:rsid w:val="009723D0"/>
    <w:rsid w:val="009723D6"/>
    <w:rsid w:val="009723E6"/>
    <w:rsid w:val="00972535"/>
    <w:rsid w:val="0097265B"/>
    <w:rsid w:val="009726CE"/>
    <w:rsid w:val="0097275E"/>
    <w:rsid w:val="00972821"/>
    <w:rsid w:val="00972947"/>
    <w:rsid w:val="00972A0D"/>
    <w:rsid w:val="00972B3E"/>
    <w:rsid w:val="00972B85"/>
    <w:rsid w:val="00972BE0"/>
    <w:rsid w:val="00972CB7"/>
    <w:rsid w:val="00972D11"/>
    <w:rsid w:val="00972D73"/>
    <w:rsid w:val="00972E93"/>
    <w:rsid w:val="00972EA0"/>
    <w:rsid w:val="00972FB0"/>
    <w:rsid w:val="00973049"/>
    <w:rsid w:val="0097306B"/>
    <w:rsid w:val="009732AB"/>
    <w:rsid w:val="0097338A"/>
    <w:rsid w:val="0097341B"/>
    <w:rsid w:val="00973438"/>
    <w:rsid w:val="00973535"/>
    <w:rsid w:val="00973609"/>
    <w:rsid w:val="00973773"/>
    <w:rsid w:val="00973A3A"/>
    <w:rsid w:val="00973C90"/>
    <w:rsid w:val="00973DC3"/>
    <w:rsid w:val="00973E3D"/>
    <w:rsid w:val="00973E54"/>
    <w:rsid w:val="00974062"/>
    <w:rsid w:val="009741F4"/>
    <w:rsid w:val="00974414"/>
    <w:rsid w:val="009744A4"/>
    <w:rsid w:val="009744D2"/>
    <w:rsid w:val="00974583"/>
    <w:rsid w:val="009746D9"/>
    <w:rsid w:val="00974700"/>
    <w:rsid w:val="0097475F"/>
    <w:rsid w:val="00974860"/>
    <w:rsid w:val="009748E1"/>
    <w:rsid w:val="009748E5"/>
    <w:rsid w:val="0097492F"/>
    <w:rsid w:val="009749CF"/>
    <w:rsid w:val="00974B16"/>
    <w:rsid w:val="00974BCF"/>
    <w:rsid w:val="00974C64"/>
    <w:rsid w:val="00974D2F"/>
    <w:rsid w:val="00974D30"/>
    <w:rsid w:val="00974DE2"/>
    <w:rsid w:val="00974E30"/>
    <w:rsid w:val="00974EA2"/>
    <w:rsid w:val="00974F61"/>
    <w:rsid w:val="009750B0"/>
    <w:rsid w:val="0097514B"/>
    <w:rsid w:val="0097517D"/>
    <w:rsid w:val="009751CE"/>
    <w:rsid w:val="0097526C"/>
    <w:rsid w:val="00975276"/>
    <w:rsid w:val="00975288"/>
    <w:rsid w:val="009752B9"/>
    <w:rsid w:val="009752C0"/>
    <w:rsid w:val="00975346"/>
    <w:rsid w:val="00975505"/>
    <w:rsid w:val="009755AE"/>
    <w:rsid w:val="009755C7"/>
    <w:rsid w:val="009755D8"/>
    <w:rsid w:val="009755F2"/>
    <w:rsid w:val="0097560D"/>
    <w:rsid w:val="00975660"/>
    <w:rsid w:val="009756F8"/>
    <w:rsid w:val="00975700"/>
    <w:rsid w:val="0097573F"/>
    <w:rsid w:val="009757F9"/>
    <w:rsid w:val="00975838"/>
    <w:rsid w:val="0097590B"/>
    <w:rsid w:val="0097592A"/>
    <w:rsid w:val="00975A7D"/>
    <w:rsid w:val="00975B58"/>
    <w:rsid w:val="00975BE4"/>
    <w:rsid w:val="00975C8F"/>
    <w:rsid w:val="00975CD6"/>
    <w:rsid w:val="00975F69"/>
    <w:rsid w:val="00976078"/>
    <w:rsid w:val="009760D7"/>
    <w:rsid w:val="009760F7"/>
    <w:rsid w:val="009761E3"/>
    <w:rsid w:val="00976661"/>
    <w:rsid w:val="00976821"/>
    <w:rsid w:val="00976A36"/>
    <w:rsid w:val="00976B78"/>
    <w:rsid w:val="00976D7D"/>
    <w:rsid w:val="00976DA6"/>
    <w:rsid w:val="00976DDA"/>
    <w:rsid w:val="00976F93"/>
    <w:rsid w:val="00976FDE"/>
    <w:rsid w:val="00976FFB"/>
    <w:rsid w:val="0097710E"/>
    <w:rsid w:val="009771E8"/>
    <w:rsid w:val="0097732F"/>
    <w:rsid w:val="0097739C"/>
    <w:rsid w:val="009773E8"/>
    <w:rsid w:val="0097740C"/>
    <w:rsid w:val="009775A5"/>
    <w:rsid w:val="00977611"/>
    <w:rsid w:val="00977639"/>
    <w:rsid w:val="00977681"/>
    <w:rsid w:val="0097769A"/>
    <w:rsid w:val="00977746"/>
    <w:rsid w:val="0097780B"/>
    <w:rsid w:val="00977846"/>
    <w:rsid w:val="009779D0"/>
    <w:rsid w:val="009779E0"/>
    <w:rsid w:val="00977AB0"/>
    <w:rsid w:val="00977D03"/>
    <w:rsid w:val="00977DD5"/>
    <w:rsid w:val="00977F2D"/>
    <w:rsid w:val="00977F51"/>
    <w:rsid w:val="00977FA7"/>
    <w:rsid w:val="009800DC"/>
    <w:rsid w:val="00980122"/>
    <w:rsid w:val="00980311"/>
    <w:rsid w:val="0098033E"/>
    <w:rsid w:val="009803B3"/>
    <w:rsid w:val="00980454"/>
    <w:rsid w:val="009804EA"/>
    <w:rsid w:val="00980505"/>
    <w:rsid w:val="0098054C"/>
    <w:rsid w:val="00980587"/>
    <w:rsid w:val="00980740"/>
    <w:rsid w:val="0098077D"/>
    <w:rsid w:val="009808DF"/>
    <w:rsid w:val="009809CA"/>
    <w:rsid w:val="00980A77"/>
    <w:rsid w:val="00980BA8"/>
    <w:rsid w:val="00980BC7"/>
    <w:rsid w:val="00980BE5"/>
    <w:rsid w:val="00980C95"/>
    <w:rsid w:val="00980D60"/>
    <w:rsid w:val="00980E0D"/>
    <w:rsid w:val="00980E17"/>
    <w:rsid w:val="00981033"/>
    <w:rsid w:val="009811ED"/>
    <w:rsid w:val="00981264"/>
    <w:rsid w:val="00981294"/>
    <w:rsid w:val="009812AF"/>
    <w:rsid w:val="009812C9"/>
    <w:rsid w:val="009813AA"/>
    <w:rsid w:val="009813C8"/>
    <w:rsid w:val="00981432"/>
    <w:rsid w:val="009814E1"/>
    <w:rsid w:val="0098152B"/>
    <w:rsid w:val="0098158A"/>
    <w:rsid w:val="009815E4"/>
    <w:rsid w:val="00981601"/>
    <w:rsid w:val="00981648"/>
    <w:rsid w:val="00981686"/>
    <w:rsid w:val="0098169A"/>
    <w:rsid w:val="009816E5"/>
    <w:rsid w:val="00981734"/>
    <w:rsid w:val="00981970"/>
    <w:rsid w:val="009819A7"/>
    <w:rsid w:val="009819FB"/>
    <w:rsid w:val="00981B0F"/>
    <w:rsid w:val="00981C32"/>
    <w:rsid w:val="00981C4B"/>
    <w:rsid w:val="00981C7B"/>
    <w:rsid w:val="00981D61"/>
    <w:rsid w:val="00981D84"/>
    <w:rsid w:val="00981EAB"/>
    <w:rsid w:val="00981F63"/>
    <w:rsid w:val="009820A0"/>
    <w:rsid w:val="009820D3"/>
    <w:rsid w:val="00982135"/>
    <w:rsid w:val="00982382"/>
    <w:rsid w:val="009823D6"/>
    <w:rsid w:val="00982476"/>
    <w:rsid w:val="009824DB"/>
    <w:rsid w:val="009824E7"/>
    <w:rsid w:val="00982555"/>
    <w:rsid w:val="0098263B"/>
    <w:rsid w:val="00982710"/>
    <w:rsid w:val="00982810"/>
    <w:rsid w:val="009828DB"/>
    <w:rsid w:val="0098294E"/>
    <w:rsid w:val="0098296A"/>
    <w:rsid w:val="009829C3"/>
    <w:rsid w:val="009829CA"/>
    <w:rsid w:val="009829DA"/>
    <w:rsid w:val="00982A81"/>
    <w:rsid w:val="00982A9A"/>
    <w:rsid w:val="00982B79"/>
    <w:rsid w:val="00982C06"/>
    <w:rsid w:val="00982C15"/>
    <w:rsid w:val="00982C51"/>
    <w:rsid w:val="00982C75"/>
    <w:rsid w:val="00982D71"/>
    <w:rsid w:val="00982DD0"/>
    <w:rsid w:val="00982E95"/>
    <w:rsid w:val="00982ED9"/>
    <w:rsid w:val="00982F3D"/>
    <w:rsid w:val="009830FB"/>
    <w:rsid w:val="00983150"/>
    <w:rsid w:val="009831F7"/>
    <w:rsid w:val="00983356"/>
    <w:rsid w:val="00983558"/>
    <w:rsid w:val="009837A3"/>
    <w:rsid w:val="0098381B"/>
    <w:rsid w:val="009838AB"/>
    <w:rsid w:val="009838F3"/>
    <w:rsid w:val="00983970"/>
    <w:rsid w:val="00983A1E"/>
    <w:rsid w:val="00983A27"/>
    <w:rsid w:val="00983AEA"/>
    <w:rsid w:val="00983CE1"/>
    <w:rsid w:val="00983D43"/>
    <w:rsid w:val="00983E63"/>
    <w:rsid w:val="00983F4F"/>
    <w:rsid w:val="00983F58"/>
    <w:rsid w:val="00984003"/>
    <w:rsid w:val="009841E2"/>
    <w:rsid w:val="009842B2"/>
    <w:rsid w:val="00984304"/>
    <w:rsid w:val="009843A5"/>
    <w:rsid w:val="00984457"/>
    <w:rsid w:val="009844C1"/>
    <w:rsid w:val="0098461D"/>
    <w:rsid w:val="009847F4"/>
    <w:rsid w:val="0098482D"/>
    <w:rsid w:val="009848BD"/>
    <w:rsid w:val="00984902"/>
    <w:rsid w:val="00984924"/>
    <w:rsid w:val="0098492B"/>
    <w:rsid w:val="00984949"/>
    <w:rsid w:val="00984972"/>
    <w:rsid w:val="00984A0D"/>
    <w:rsid w:val="00984AE3"/>
    <w:rsid w:val="00984B3B"/>
    <w:rsid w:val="00984B84"/>
    <w:rsid w:val="00984BF6"/>
    <w:rsid w:val="00984C59"/>
    <w:rsid w:val="00984D02"/>
    <w:rsid w:val="00984D24"/>
    <w:rsid w:val="00984DD6"/>
    <w:rsid w:val="00984E4A"/>
    <w:rsid w:val="00984E5D"/>
    <w:rsid w:val="00984EE7"/>
    <w:rsid w:val="00985002"/>
    <w:rsid w:val="0098508C"/>
    <w:rsid w:val="009851EF"/>
    <w:rsid w:val="009851F5"/>
    <w:rsid w:val="0098558E"/>
    <w:rsid w:val="009855A5"/>
    <w:rsid w:val="00985755"/>
    <w:rsid w:val="009857A1"/>
    <w:rsid w:val="00985866"/>
    <w:rsid w:val="00985A08"/>
    <w:rsid w:val="00985B35"/>
    <w:rsid w:val="00985BFF"/>
    <w:rsid w:val="00985C59"/>
    <w:rsid w:val="00985D91"/>
    <w:rsid w:val="00985D93"/>
    <w:rsid w:val="00985E52"/>
    <w:rsid w:val="00985F69"/>
    <w:rsid w:val="00986041"/>
    <w:rsid w:val="009860D2"/>
    <w:rsid w:val="0098618A"/>
    <w:rsid w:val="00986239"/>
    <w:rsid w:val="0098627A"/>
    <w:rsid w:val="00986341"/>
    <w:rsid w:val="009863A5"/>
    <w:rsid w:val="0098642F"/>
    <w:rsid w:val="00986483"/>
    <w:rsid w:val="009864B5"/>
    <w:rsid w:val="0098660A"/>
    <w:rsid w:val="00986669"/>
    <w:rsid w:val="009866AD"/>
    <w:rsid w:val="009867A7"/>
    <w:rsid w:val="0098690F"/>
    <w:rsid w:val="00986959"/>
    <w:rsid w:val="0098698B"/>
    <w:rsid w:val="00986AD3"/>
    <w:rsid w:val="00986B08"/>
    <w:rsid w:val="00986D04"/>
    <w:rsid w:val="00986D94"/>
    <w:rsid w:val="00986F0F"/>
    <w:rsid w:val="00986FE5"/>
    <w:rsid w:val="009871C8"/>
    <w:rsid w:val="00987274"/>
    <w:rsid w:val="009872FA"/>
    <w:rsid w:val="009872FC"/>
    <w:rsid w:val="0098734C"/>
    <w:rsid w:val="0098739B"/>
    <w:rsid w:val="00987425"/>
    <w:rsid w:val="00987515"/>
    <w:rsid w:val="00987649"/>
    <w:rsid w:val="009876B1"/>
    <w:rsid w:val="009876E4"/>
    <w:rsid w:val="009876F3"/>
    <w:rsid w:val="009877F3"/>
    <w:rsid w:val="0098780A"/>
    <w:rsid w:val="00987821"/>
    <w:rsid w:val="009878D4"/>
    <w:rsid w:val="009878E3"/>
    <w:rsid w:val="00987901"/>
    <w:rsid w:val="00987979"/>
    <w:rsid w:val="00987A7F"/>
    <w:rsid w:val="00987AAA"/>
    <w:rsid w:val="00987B47"/>
    <w:rsid w:val="00987DFA"/>
    <w:rsid w:val="00987E11"/>
    <w:rsid w:val="00987F45"/>
    <w:rsid w:val="00990041"/>
    <w:rsid w:val="00990156"/>
    <w:rsid w:val="00990196"/>
    <w:rsid w:val="009901ED"/>
    <w:rsid w:val="009902E6"/>
    <w:rsid w:val="009902EC"/>
    <w:rsid w:val="00990311"/>
    <w:rsid w:val="009904A1"/>
    <w:rsid w:val="009904D3"/>
    <w:rsid w:val="0099051C"/>
    <w:rsid w:val="00990527"/>
    <w:rsid w:val="0099060E"/>
    <w:rsid w:val="00990B66"/>
    <w:rsid w:val="00990C17"/>
    <w:rsid w:val="00990C1C"/>
    <w:rsid w:val="00990C30"/>
    <w:rsid w:val="00990C3C"/>
    <w:rsid w:val="00990C6F"/>
    <w:rsid w:val="00990C8D"/>
    <w:rsid w:val="00990CDC"/>
    <w:rsid w:val="00990D4F"/>
    <w:rsid w:val="00990D82"/>
    <w:rsid w:val="00990DE6"/>
    <w:rsid w:val="00990E00"/>
    <w:rsid w:val="00990E55"/>
    <w:rsid w:val="00990F2D"/>
    <w:rsid w:val="00990F4D"/>
    <w:rsid w:val="00990FC7"/>
    <w:rsid w:val="00991316"/>
    <w:rsid w:val="00991318"/>
    <w:rsid w:val="00991488"/>
    <w:rsid w:val="0099149F"/>
    <w:rsid w:val="00991562"/>
    <w:rsid w:val="0099160E"/>
    <w:rsid w:val="009916ED"/>
    <w:rsid w:val="0099171C"/>
    <w:rsid w:val="00991907"/>
    <w:rsid w:val="00991929"/>
    <w:rsid w:val="0099195E"/>
    <w:rsid w:val="00991A13"/>
    <w:rsid w:val="00991A34"/>
    <w:rsid w:val="00991AC4"/>
    <w:rsid w:val="00991AD1"/>
    <w:rsid w:val="00991B08"/>
    <w:rsid w:val="00991E6B"/>
    <w:rsid w:val="00991E81"/>
    <w:rsid w:val="0099203B"/>
    <w:rsid w:val="009920E7"/>
    <w:rsid w:val="00992251"/>
    <w:rsid w:val="009922CC"/>
    <w:rsid w:val="009922FD"/>
    <w:rsid w:val="0099231C"/>
    <w:rsid w:val="0099236E"/>
    <w:rsid w:val="00992401"/>
    <w:rsid w:val="00992443"/>
    <w:rsid w:val="00992480"/>
    <w:rsid w:val="0099255A"/>
    <w:rsid w:val="00992581"/>
    <w:rsid w:val="0099262C"/>
    <w:rsid w:val="0099291C"/>
    <w:rsid w:val="00992A76"/>
    <w:rsid w:val="00992C98"/>
    <w:rsid w:val="00992D8C"/>
    <w:rsid w:val="00992DB5"/>
    <w:rsid w:val="00992E50"/>
    <w:rsid w:val="00993033"/>
    <w:rsid w:val="009930F5"/>
    <w:rsid w:val="009932D5"/>
    <w:rsid w:val="009932E1"/>
    <w:rsid w:val="009932F2"/>
    <w:rsid w:val="00993411"/>
    <w:rsid w:val="00993437"/>
    <w:rsid w:val="00993521"/>
    <w:rsid w:val="00993598"/>
    <w:rsid w:val="00993645"/>
    <w:rsid w:val="00993652"/>
    <w:rsid w:val="009936A7"/>
    <w:rsid w:val="009936CE"/>
    <w:rsid w:val="00993727"/>
    <w:rsid w:val="0099376F"/>
    <w:rsid w:val="009937EC"/>
    <w:rsid w:val="009938DC"/>
    <w:rsid w:val="009939A4"/>
    <w:rsid w:val="00993A79"/>
    <w:rsid w:val="00993AC0"/>
    <w:rsid w:val="00993B17"/>
    <w:rsid w:val="00993B42"/>
    <w:rsid w:val="00993BBF"/>
    <w:rsid w:val="00993BD0"/>
    <w:rsid w:val="00993C4E"/>
    <w:rsid w:val="00993D12"/>
    <w:rsid w:val="00993DA4"/>
    <w:rsid w:val="00993E7C"/>
    <w:rsid w:val="00993F71"/>
    <w:rsid w:val="009940B5"/>
    <w:rsid w:val="00994222"/>
    <w:rsid w:val="00994246"/>
    <w:rsid w:val="00994408"/>
    <w:rsid w:val="0099451D"/>
    <w:rsid w:val="00994563"/>
    <w:rsid w:val="009946F3"/>
    <w:rsid w:val="009948A0"/>
    <w:rsid w:val="009948E0"/>
    <w:rsid w:val="009949E2"/>
    <w:rsid w:val="00994B18"/>
    <w:rsid w:val="00994C26"/>
    <w:rsid w:val="00994D45"/>
    <w:rsid w:val="00994E0E"/>
    <w:rsid w:val="00994F7D"/>
    <w:rsid w:val="00994FAE"/>
    <w:rsid w:val="0099511C"/>
    <w:rsid w:val="009951AF"/>
    <w:rsid w:val="009951B0"/>
    <w:rsid w:val="009951B5"/>
    <w:rsid w:val="0099538C"/>
    <w:rsid w:val="009954F5"/>
    <w:rsid w:val="0099552F"/>
    <w:rsid w:val="0099559A"/>
    <w:rsid w:val="00995694"/>
    <w:rsid w:val="0099580F"/>
    <w:rsid w:val="0099585E"/>
    <w:rsid w:val="009958DF"/>
    <w:rsid w:val="00995998"/>
    <w:rsid w:val="00995A49"/>
    <w:rsid w:val="00995AB9"/>
    <w:rsid w:val="00995AF0"/>
    <w:rsid w:val="00995C43"/>
    <w:rsid w:val="00995D12"/>
    <w:rsid w:val="00995DE4"/>
    <w:rsid w:val="00995E8C"/>
    <w:rsid w:val="00995EB0"/>
    <w:rsid w:val="00995F11"/>
    <w:rsid w:val="00995FAD"/>
    <w:rsid w:val="0099610F"/>
    <w:rsid w:val="00996173"/>
    <w:rsid w:val="009962C0"/>
    <w:rsid w:val="0099658A"/>
    <w:rsid w:val="009966B2"/>
    <w:rsid w:val="009967CA"/>
    <w:rsid w:val="009968C6"/>
    <w:rsid w:val="00996961"/>
    <w:rsid w:val="00996A2C"/>
    <w:rsid w:val="00996AC5"/>
    <w:rsid w:val="00996B35"/>
    <w:rsid w:val="00996B3A"/>
    <w:rsid w:val="00996C34"/>
    <w:rsid w:val="00996CAB"/>
    <w:rsid w:val="00996E62"/>
    <w:rsid w:val="00996ED4"/>
    <w:rsid w:val="00996F23"/>
    <w:rsid w:val="00996F69"/>
    <w:rsid w:val="00996F95"/>
    <w:rsid w:val="00997195"/>
    <w:rsid w:val="0099720A"/>
    <w:rsid w:val="0099729A"/>
    <w:rsid w:val="00997367"/>
    <w:rsid w:val="00997418"/>
    <w:rsid w:val="00997511"/>
    <w:rsid w:val="00997557"/>
    <w:rsid w:val="009975C2"/>
    <w:rsid w:val="00997694"/>
    <w:rsid w:val="009976AA"/>
    <w:rsid w:val="0099790D"/>
    <w:rsid w:val="00997966"/>
    <w:rsid w:val="00997A79"/>
    <w:rsid w:val="00997B0A"/>
    <w:rsid w:val="00997BF9"/>
    <w:rsid w:val="00997C85"/>
    <w:rsid w:val="00997C88"/>
    <w:rsid w:val="00997D8B"/>
    <w:rsid w:val="00997DF0"/>
    <w:rsid w:val="00997E2C"/>
    <w:rsid w:val="00997ED1"/>
    <w:rsid w:val="00997F6A"/>
    <w:rsid w:val="00997F6E"/>
    <w:rsid w:val="009A005E"/>
    <w:rsid w:val="009A018C"/>
    <w:rsid w:val="009A025B"/>
    <w:rsid w:val="009A032E"/>
    <w:rsid w:val="009A0333"/>
    <w:rsid w:val="009A035F"/>
    <w:rsid w:val="009A04C5"/>
    <w:rsid w:val="009A069A"/>
    <w:rsid w:val="009A0889"/>
    <w:rsid w:val="009A08BF"/>
    <w:rsid w:val="009A08CF"/>
    <w:rsid w:val="009A098D"/>
    <w:rsid w:val="009A0A30"/>
    <w:rsid w:val="009A0BCC"/>
    <w:rsid w:val="009A0C07"/>
    <w:rsid w:val="009A0DCF"/>
    <w:rsid w:val="009A0E00"/>
    <w:rsid w:val="009A0E55"/>
    <w:rsid w:val="009A0E64"/>
    <w:rsid w:val="009A0ED6"/>
    <w:rsid w:val="009A0EF4"/>
    <w:rsid w:val="009A0F79"/>
    <w:rsid w:val="009A0FC1"/>
    <w:rsid w:val="009A100E"/>
    <w:rsid w:val="009A10B3"/>
    <w:rsid w:val="009A12F0"/>
    <w:rsid w:val="009A1314"/>
    <w:rsid w:val="009A13B1"/>
    <w:rsid w:val="009A1523"/>
    <w:rsid w:val="009A15BB"/>
    <w:rsid w:val="009A172B"/>
    <w:rsid w:val="009A1759"/>
    <w:rsid w:val="009A17C1"/>
    <w:rsid w:val="009A19BC"/>
    <w:rsid w:val="009A1A97"/>
    <w:rsid w:val="009A1C32"/>
    <w:rsid w:val="009A1DE2"/>
    <w:rsid w:val="009A1E4E"/>
    <w:rsid w:val="009A1F48"/>
    <w:rsid w:val="009A1FF9"/>
    <w:rsid w:val="009A2086"/>
    <w:rsid w:val="009A20D0"/>
    <w:rsid w:val="009A21FA"/>
    <w:rsid w:val="009A22A6"/>
    <w:rsid w:val="009A2500"/>
    <w:rsid w:val="009A2514"/>
    <w:rsid w:val="009A25A6"/>
    <w:rsid w:val="009A25D2"/>
    <w:rsid w:val="009A2684"/>
    <w:rsid w:val="009A279B"/>
    <w:rsid w:val="009A27A1"/>
    <w:rsid w:val="009A298C"/>
    <w:rsid w:val="009A2A21"/>
    <w:rsid w:val="009A2A53"/>
    <w:rsid w:val="009A2C30"/>
    <w:rsid w:val="009A2E5D"/>
    <w:rsid w:val="009A2EFC"/>
    <w:rsid w:val="009A2F31"/>
    <w:rsid w:val="009A2F6A"/>
    <w:rsid w:val="009A3003"/>
    <w:rsid w:val="009A300D"/>
    <w:rsid w:val="009A3025"/>
    <w:rsid w:val="009A3179"/>
    <w:rsid w:val="009A3326"/>
    <w:rsid w:val="009A333A"/>
    <w:rsid w:val="009A33C1"/>
    <w:rsid w:val="009A3465"/>
    <w:rsid w:val="009A3476"/>
    <w:rsid w:val="009A3664"/>
    <w:rsid w:val="009A36D1"/>
    <w:rsid w:val="009A3716"/>
    <w:rsid w:val="009A37A4"/>
    <w:rsid w:val="009A399A"/>
    <w:rsid w:val="009A3A93"/>
    <w:rsid w:val="009A3AF5"/>
    <w:rsid w:val="009A3B0F"/>
    <w:rsid w:val="009A3B1B"/>
    <w:rsid w:val="009A3B39"/>
    <w:rsid w:val="009A3B8C"/>
    <w:rsid w:val="009A3DC5"/>
    <w:rsid w:val="009A3FF3"/>
    <w:rsid w:val="009A411E"/>
    <w:rsid w:val="009A4244"/>
    <w:rsid w:val="009A42C5"/>
    <w:rsid w:val="009A42D7"/>
    <w:rsid w:val="009A42FF"/>
    <w:rsid w:val="009A4344"/>
    <w:rsid w:val="009A4529"/>
    <w:rsid w:val="009A4712"/>
    <w:rsid w:val="009A4BAD"/>
    <w:rsid w:val="009A4C4C"/>
    <w:rsid w:val="009A4D51"/>
    <w:rsid w:val="009A4DD5"/>
    <w:rsid w:val="009A4EC3"/>
    <w:rsid w:val="009A5006"/>
    <w:rsid w:val="009A5021"/>
    <w:rsid w:val="009A5049"/>
    <w:rsid w:val="009A505C"/>
    <w:rsid w:val="009A50E6"/>
    <w:rsid w:val="009A5191"/>
    <w:rsid w:val="009A539A"/>
    <w:rsid w:val="009A53A6"/>
    <w:rsid w:val="009A53E0"/>
    <w:rsid w:val="009A54B1"/>
    <w:rsid w:val="009A5662"/>
    <w:rsid w:val="009A5938"/>
    <w:rsid w:val="009A5998"/>
    <w:rsid w:val="009A5A7C"/>
    <w:rsid w:val="009A5A8E"/>
    <w:rsid w:val="009A5AF6"/>
    <w:rsid w:val="009A5C08"/>
    <w:rsid w:val="009A5C6C"/>
    <w:rsid w:val="009A5CDF"/>
    <w:rsid w:val="009A5E3B"/>
    <w:rsid w:val="009A5E82"/>
    <w:rsid w:val="009A5F02"/>
    <w:rsid w:val="009A5FD2"/>
    <w:rsid w:val="009A609D"/>
    <w:rsid w:val="009A629E"/>
    <w:rsid w:val="009A63C9"/>
    <w:rsid w:val="009A6421"/>
    <w:rsid w:val="009A646F"/>
    <w:rsid w:val="009A654E"/>
    <w:rsid w:val="009A65BD"/>
    <w:rsid w:val="009A65C5"/>
    <w:rsid w:val="009A667E"/>
    <w:rsid w:val="009A676E"/>
    <w:rsid w:val="009A67FC"/>
    <w:rsid w:val="009A6809"/>
    <w:rsid w:val="009A6848"/>
    <w:rsid w:val="009A6912"/>
    <w:rsid w:val="009A6B3C"/>
    <w:rsid w:val="009A6C04"/>
    <w:rsid w:val="009A6CDF"/>
    <w:rsid w:val="009A6E91"/>
    <w:rsid w:val="009A6EFB"/>
    <w:rsid w:val="009A6F00"/>
    <w:rsid w:val="009A6F35"/>
    <w:rsid w:val="009A6FCE"/>
    <w:rsid w:val="009A6FDE"/>
    <w:rsid w:val="009A7048"/>
    <w:rsid w:val="009A71B3"/>
    <w:rsid w:val="009A71B5"/>
    <w:rsid w:val="009A72E2"/>
    <w:rsid w:val="009A7367"/>
    <w:rsid w:val="009A738F"/>
    <w:rsid w:val="009A73FA"/>
    <w:rsid w:val="009A7530"/>
    <w:rsid w:val="009A75A0"/>
    <w:rsid w:val="009A75AD"/>
    <w:rsid w:val="009A7701"/>
    <w:rsid w:val="009A78DD"/>
    <w:rsid w:val="009A793B"/>
    <w:rsid w:val="009A7A1D"/>
    <w:rsid w:val="009A7AA1"/>
    <w:rsid w:val="009A7AF9"/>
    <w:rsid w:val="009A7BBE"/>
    <w:rsid w:val="009A7C30"/>
    <w:rsid w:val="009A7C5A"/>
    <w:rsid w:val="009A7D9F"/>
    <w:rsid w:val="009A7DAB"/>
    <w:rsid w:val="009A7E49"/>
    <w:rsid w:val="009A7E7C"/>
    <w:rsid w:val="009A7EF0"/>
    <w:rsid w:val="009B007B"/>
    <w:rsid w:val="009B00F1"/>
    <w:rsid w:val="009B010F"/>
    <w:rsid w:val="009B0135"/>
    <w:rsid w:val="009B013A"/>
    <w:rsid w:val="009B01F4"/>
    <w:rsid w:val="009B0211"/>
    <w:rsid w:val="009B0242"/>
    <w:rsid w:val="009B028D"/>
    <w:rsid w:val="009B032B"/>
    <w:rsid w:val="009B0488"/>
    <w:rsid w:val="009B04F3"/>
    <w:rsid w:val="009B0713"/>
    <w:rsid w:val="009B073F"/>
    <w:rsid w:val="009B0801"/>
    <w:rsid w:val="009B08B5"/>
    <w:rsid w:val="009B0B36"/>
    <w:rsid w:val="009B0B74"/>
    <w:rsid w:val="009B0C06"/>
    <w:rsid w:val="009B0DC9"/>
    <w:rsid w:val="009B0F5D"/>
    <w:rsid w:val="009B101B"/>
    <w:rsid w:val="009B1033"/>
    <w:rsid w:val="009B106F"/>
    <w:rsid w:val="009B119C"/>
    <w:rsid w:val="009B121F"/>
    <w:rsid w:val="009B125E"/>
    <w:rsid w:val="009B12E6"/>
    <w:rsid w:val="009B1335"/>
    <w:rsid w:val="009B1419"/>
    <w:rsid w:val="009B1782"/>
    <w:rsid w:val="009B195A"/>
    <w:rsid w:val="009B1A38"/>
    <w:rsid w:val="009B1A51"/>
    <w:rsid w:val="009B1AD6"/>
    <w:rsid w:val="009B1B9B"/>
    <w:rsid w:val="009B1D1A"/>
    <w:rsid w:val="009B1D69"/>
    <w:rsid w:val="009B1DBB"/>
    <w:rsid w:val="009B1E32"/>
    <w:rsid w:val="009B1ECE"/>
    <w:rsid w:val="009B1EEC"/>
    <w:rsid w:val="009B1F09"/>
    <w:rsid w:val="009B2217"/>
    <w:rsid w:val="009B2264"/>
    <w:rsid w:val="009B2302"/>
    <w:rsid w:val="009B236D"/>
    <w:rsid w:val="009B240C"/>
    <w:rsid w:val="009B2617"/>
    <w:rsid w:val="009B261B"/>
    <w:rsid w:val="009B27EB"/>
    <w:rsid w:val="009B28D5"/>
    <w:rsid w:val="009B294A"/>
    <w:rsid w:val="009B2987"/>
    <w:rsid w:val="009B29A0"/>
    <w:rsid w:val="009B2A57"/>
    <w:rsid w:val="009B2A92"/>
    <w:rsid w:val="009B2C63"/>
    <w:rsid w:val="009B2C6B"/>
    <w:rsid w:val="009B2C82"/>
    <w:rsid w:val="009B2D48"/>
    <w:rsid w:val="009B2D4F"/>
    <w:rsid w:val="009B2E7A"/>
    <w:rsid w:val="009B2E9A"/>
    <w:rsid w:val="009B2EFE"/>
    <w:rsid w:val="009B2F89"/>
    <w:rsid w:val="009B2FDD"/>
    <w:rsid w:val="009B2FFD"/>
    <w:rsid w:val="009B3036"/>
    <w:rsid w:val="009B3052"/>
    <w:rsid w:val="009B3344"/>
    <w:rsid w:val="009B33E5"/>
    <w:rsid w:val="009B3475"/>
    <w:rsid w:val="009B3578"/>
    <w:rsid w:val="009B360C"/>
    <w:rsid w:val="009B387F"/>
    <w:rsid w:val="009B3972"/>
    <w:rsid w:val="009B3C22"/>
    <w:rsid w:val="009B3D56"/>
    <w:rsid w:val="009B3D7F"/>
    <w:rsid w:val="009B3DA6"/>
    <w:rsid w:val="009B3E11"/>
    <w:rsid w:val="009B3F96"/>
    <w:rsid w:val="009B3FAF"/>
    <w:rsid w:val="009B40D1"/>
    <w:rsid w:val="009B41FB"/>
    <w:rsid w:val="009B4270"/>
    <w:rsid w:val="009B4308"/>
    <w:rsid w:val="009B453C"/>
    <w:rsid w:val="009B45E5"/>
    <w:rsid w:val="009B4660"/>
    <w:rsid w:val="009B4754"/>
    <w:rsid w:val="009B47EB"/>
    <w:rsid w:val="009B484F"/>
    <w:rsid w:val="009B488A"/>
    <w:rsid w:val="009B493D"/>
    <w:rsid w:val="009B4B54"/>
    <w:rsid w:val="009B4C8E"/>
    <w:rsid w:val="009B4CFF"/>
    <w:rsid w:val="009B4ECB"/>
    <w:rsid w:val="009B505A"/>
    <w:rsid w:val="009B5126"/>
    <w:rsid w:val="009B51B1"/>
    <w:rsid w:val="009B51B3"/>
    <w:rsid w:val="009B51D5"/>
    <w:rsid w:val="009B52EA"/>
    <w:rsid w:val="009B52F2"/>
    <w:rsid w:val="009B531B"/>
    <w:rsid w:val="009B5ACF"/>
    <w:rsid w:val="009B5B69"/>
    <w:rsid w:val="009B5BA0"/>
    <w:rsid w:val="009B5D3C"/>
    <w:rsid w:val="009B5DD6"/>
    <w:rsid w:val="009B5F69"/>
    <w:rsid w:val="009B5FB7"/>
    <w:rsid w:val="009B608B"/>
    <w:rsid w:val="009B612D"/>
    <w:rsid w:val="009B622C"/>
    <w:rsid w:val="009B623F"/>
    <w:rsid w:val="009B63E7"/>
    <w:rsid w:val="009B6586"/>
    <w:rsid w:val="009B6592"/>
    <w:rsid w:val="009B65E5"/>
    <w:rsid w:val="009B66B8"/>
    <w:rsid w:val="009B677C"/>
    <w:rsid w:val="009B6A49"/>
    <w:rsid w:val="009B6ABD"/>
    <w:rsid w:val="009B6CA9"/>
    <w:rsid w:val="009B6D4C"/>
    <w:rsid w:val="009B6D9C"/>
    <w:rsid w:val="009B6E1A"/>
    <w:rsid w:val="009B6F12"/>
    <w:rsid w:val="009B6F3B"/>
    <w:rsid w:val="009B7020"/>
    <w:rsid w:val="009B7155"/>
    <w:rsid w:val="009B71E5"/>
    <w:rsid w:val="009B7252"/>
    <w:rsid w:val="009B727D"/>
    <w:rsid w:val="009B732D"/>
    <w:rsid w:val="009B7396"/>
    <w:rsid w:val="009B751B"/>
    <w:rsid w:val="009B7693"/>
    <w:rsid w:val="009B76B5"/>
    <w:rsid w:val="009B779A"/>
    <w:rsid w:val="009B7837"/>
    <w:rsid w:val="009B78F9"/>
    <w:rsid w:val="009B794D"/>
    <w:rsid w:val="009B7A11"/>
    <w:rsid w:val="009B7ADA"/>
    <w:rsid w:val="009B7C64"/>
    <w:rsid w:val="009B7CFB"/>
    <w:rsid w:val="009B7D38"/>
    <w:rsid w:val="009B7DFA"/>
    <w:rsid w:val="009B7E8B"/>
    <w:rsid w:val="009C0334"/>
    <w:rsid w:val="009C0692"/>
    <w:rsid w:val="009C0711"/>
    <w:rsid w:val="009C0741"/>
    <w:rsid w:val="009C0786"/>
    <w:rsid w:val="009C07EB"/>
    <w:rsid w:val="009C0AAD"/>
    <w:rsid w:val="009C0AC4"/>
    <w:rsid w:val="009C0AFC"/>
    <w:rsid w:val="009C0B70"/>
    <w:rsid w:val="009C0C40"/>
    <w:rsid w:val="009C0C79"/>
    <w:rsid w:val="009C0D57"/>
    <w:rsid w:val="009C0E43"/>
    <w:rsid w:val="009C0E68"/>
    <w:rsid w:val="009C0F06"/>
    <w:rsid w:val="009C0FBB"/>
    <w:rsid w:val="009C0FCD"/>
    <w:rsid w:val="009C107B"/>
    <w:rsid w:val="009C10C6"/>
    <w:rsid w:val="009C1197"/>
    <w:rsid w:val="009C11DE"/>
    <w:rsid w:val="009C12DD"/>
    <w:rsid w:val="009C12ED"/>
    <w:rsid w:val="009C135B"/>
    <w:rsid w:val="009C1486"/>
    <w:rsid w:val="009C14EC"/>
    <w:rsid w:val="009C1550"/>
    <w:rsid w:val="009C15A9"/>
    <w:rsid w:val="009C15AB"/>
    <w:rsid w:val="009C163E"/>
    <w:rsid w:val="009C1696"/>
    <w:rsid w:val="009C17D4"/>
    <w:rsid w:val="009C17DC"/>
    <w:rsid w:val="009C1835"/>
    <w:rsid w:val="009C1847"/>
    <w:rsid w:val="009C1927"/>
    <w:rsid w:val="009C1960"/>
    <w:rsid w:val="009C1A83"/>
    <w:rsid w:val="009C1B05"/>
    <w:rsid w:val="009C1B75"/>
    <w:rsid w:val="009C1BDF"/>
    <w:rsid w:val="009C1C84"/>
    <w:rsid w:val="009C1C90"/>
    <w:rsid w:val="009C1CA3"/>
    <w:rsid w:val="009C206A"/>
    <w:rsid w:val="009C2133"/>
    <w:rsid w:val="009C217F"/>
    <w:rsid w:val="009C223D"/>
    <w:rsid w:val="009C23B6"/>
    <w:rsid w:val="009C2487"/>
    <w:rsid w:val="009C24C7"/>
    <w:rsid w:val="009C2625"/>
    <w:rsid w:val="009C263C"/>
    <w:rsid w:val="009C264B"/>
    <w:rsid w:val="009C26BB"/>
    <w:rsid w:val="009C2737"/>
    <w:rsid w:val="009C273B"/>
    <w:rsid w:val="009C2787"/>
    <w:rsid w:val="009C2893"/>
    <w:rsid w:val="009C2980"/>
    <w:rsid w:val="009C2B10"/>
    <w:rsid w:val="009C2B12"/>
    <w:rsid w:val="009C2B79"/>
    <w:rsid w:val="009C2BB3"/>
    <w:rsid w:val="009C2BFD"/>
    <w:rsid w:val="009C2C37"/>
    <w:rsid w:val="009C2CC7"/>
    <w:rsid w:val="009C2DE1"/>
    <w:rsid w:val="009C2E9C"/>
    <w:rsid w:val="009C31AC"/>
    <w:rsid w:val="009C3224"/>
    <w:rsid w:val="009C327A"/>
    <w:rsid w:val="009C3316"/>
    <w:rsid w:val="009C334A"/>
    <w:rsid w:val="009C336F"/>
    <w:rsid w:val="009C3409"/>
    <w:rsid w:val="009C3421"/>
    <w:rsid w:val="009C3438"/>
    <w:rsid w:val="009C3461"/>
    <w:rsid w:val="009C36DD"/>
    <w:rsid w:val="009C3748"/>
    <w:rsid w:val="009C3823"/>
    <w:rsid w:val="009C3ABC"/>
    <w:rsid w:val="009C3AC9"/>
    <w:rsid w:val="009C3B20"/>
    <w:rsid w:val="009C3B70"/>
    <w:rsid w:val="009C3DEF"/>
    <w:rsid w:val="009C3E2B"/>
    <w:rsid w:val="009C3EB4"/>
    <w:rsid w:val="009C3F00"/>
    <w:rsid w:val="009C3F15"/>
    <w:rsid w:val="009C3F3A"/>
    <w:rsid w:val="009C3F67"/>
    <w:rsid w:val="009C4146"/>
    <w:rsid w:val="009C4155"/>
    <w:rsid w:val="009C417F"/>
    <w:rsid w:val="009C428D"/>
    <w:rsid w:val="009C4300"/>
    <w:rsid w:val="009C43AB"/>
    <w:rsid w:val="009C43E1"/>
    <w:rsid w:val="009C45C7"/>
    <w:rsid w:val="009C469F"/>
    <w:rsid w:val="009C474C"/>
    <w:rsid w:val="009C486E"/>
    <w:rsid w:val="009C4909"/>
    <w:rsid w:val="009C4995"/>
    <w:rsid w:val="009C4ADF"/>
    <w:rsid w:val="009C4AE0"/>
    <w:rsid w:val="009C4ED8"/>
    <w:rsid w:val="009C4EFF"/>
    <w:rsid w:val="009C4FB7"/>
    <w:rsid w:val="009C5005"/>
    <w:rsid w:val="009C51C1"/>
    <w:rsid w:val="009C51FA"/>
    <w:rsid w:val="009C523E"/>
    <w:rsid w:val="009C5369"/>
    <w:rsid w:val="009C5426"/>
    <w:rsid w:val="009C579B"/>
    <w:rsid w:val="009C5912"/>
    <w:rsid w:val="009C5921"/>
    <w:rsid w:val="009C5948"/>
    <w:rsid w:val="009C5A17"/>
    <w:rsid w:val="009C5A47"/>
    <w:rsid w:val="009C5A69"/>
    <w:rsid w:val="009C5A6A"/>
    <w:rsid w:val="009C5B3F"/>
    <w:rsid w:val="009C5B4C"/>
    <w:rsid w:val="009C5BBD"/>
    <w:rsid w:val="009C5BDF"/>
    <w:rsid w:val="009C5C50"/>
    <w:rsid w:val="009C5FC7"/>
    <w:rsid w:val="009C5FF2"/>
    <w:rsid w:val="009C60B8"/>
    <w:rsid w:val="009C620F"/>
    <w:rsid w:val="009C6387"/>
    <w:rsid w:val="009C63B1"/>
    <w:rsid w:val="009C645C"/>
    <w:rsid w:val="009C6496"/>
    <w:rsid w:val="009C6612"/>
    <w:rsid w:val="009C6681"/>
    <w:rsid w:val="009C66B1"/>
    <w:rsid w:val="009C66BD"/>
    <w:rsid w:val="009C6706"/>
    <w:rsid w:val="009C6741"/>
    <w:rsid w:val="009C6845"/>
    <w:rsid w:val="009C6905"/>
    <w:rsid w:val="009C6931"/>
    <w:rsid w:val="009C695C"/>
    <w:rsid w:val="009C69A9"/>
    <w:rsid w:val="009C6B2B"/>
    <w:rsid w:val="009C6BF3"/>
    <w:rsid w:val="009C6C60"/>
    <w:rsid w:val="009C6CA2"/>
    <w:rsid w:val="009C6CF4"/>
    <w:rsid w:val="009C6D95"/>
    <w:rsid w:val="009C6DE7"/>
    <w:rsid w:val="009C6E63"/>
    <w:rsid w:val="009C6F4E"/>
    <w:rsid w:val="009C70C6"/>
    <w:rsid w:val="009C70D2"/>
    <w:rsid w:val="009C723E"/>
    <w:rsid w:val="009C72B1"/>
    <w:rsid w:val="009C72C3"/>
    <w:rsid w:val="009C744A"/>
    <w:rsid w:val="009C7469"/>
    <w:rsid w:val="009C7598"/>
    <w:rsid w:val="009C780D"/>
    <w:rsid w:val="009C78D6"/>
    <w:rsid w:val="009C7A26"/>
    <w:rsid w:val="009C7A55"/>
    <w:rsid w:val="009C7A69"/>
    <w:rsid w:val="009C7B7A"/>
    <w:rsid w:val="009C7DC0"/>
    <w:rsid w:val="009C7DEE"/>
    <w:rsid w:val="009C7F38"/>
    <w:rsid w:val="009D003D"/>
    <w:rsid w:val="009D0115"/>
    <w:rsid w:val="009D0146"/>
    <w:rsid w:val="009D01B1"/>
    <w:rsid w:val="009D01E5"/>
    <w:rsid w:val="009D0409"/>
    <w:rsid w:val="009D05EC"/>
    <w:rsid w:val="009D0654"/>
    <w:rsid w:val="009D091A"/>
    <w:rsid w:val="009D0942"/>
    <w:rsid w:val="009D094A"/>
    <w:rsid w:val="009D0A18"/>
    <w:rsid w:val="009D0A87"/>
    <w:rsid w:val="009D0A8E"/>
    <w:rsid w:val="009D0BAE"/>
    <w:rsid w:val="009D0BC5"/>
    <w:rsid w:val="009D0C6A"/>
    <w:rsid w:val="009D0D2E"/>
    <w:rsid w:val="009D0DC8"/>
    <w:rsid w:val="009D0EA0"/>
    <w:rsid w:val="009D0FD6"/>
    <w:rsid w:val="009D100E"/>
    <w:rsid w:val="009D10D7"/>
    <w:rsid w:val="009D10F0"/>
    <w:rsid w:val="009D12F7"/>
    <w:rsid w:val="009D1446"/>
    <w:rsid w:val="009D153B"/>
    <w:rsid w:val="009D15AB"/>
    <w:rsid w:val="009D15BF"/>
    <w:rsid w:val="009D1601"/>
    <w:rsid w:val="009D165C"/>
    <w:rsid w:val="009D1803"/>
    <w:rsid w:val="009D1823"/>
    <w:rsid w:val="009D19A9"/>
    <w:rsid w:val="009D19C4"/>
    <w:rsid w:val="009D1A1D"/>
    <w:rsid w:val="009D1C67"/>
    <w:rsid w:val="009D1CF2"/>
    <w:rsid w:val="009D1E50"/>
    <w:rsid w:val="009D1FEF"/>
    <w:rsid w:val="009D21DC"/>
    <w:rsid w:val="009D21FE"/>
    <w:rsid w:val="009D2245"/>
    <w:rsid w:val="009D2277"/>
    <w:rsid w:val="009D2461"/>
    <w:rsid w:val="009D247A"/>
    <w:rsid w:val="009D2506"/>
    <w:rsid w:val="009D273C"/>
    <w:rsid w:val="009D2747"/>
    <w:rsid w:val="009D2787"/>
    <w:rsid w:val="009D29B2"/>
    <w:rsid w:val="009D29CB"/>
    <w:rsid w:val="009D29F9"/>
    <w:rsid w:val="009D2C7C"/>
    <w:rsid w:val="009D2D13"/>
    <w:rsid w:val="009D2D44"/>
    <w:rsid w:val="009D2D75"/>
    <w:rsid w:val="009D2D82"/>
    <w:rsid w:val="009D2DB5"/>
    <w:rsid w:val="009D2DE7"/>
    <w:rsid w:val="009D2DEF"/>
    <w:rsid w:val="009D2FA7"/>
    <w:rsid w:val="009D30CB"/>
    <w:rsid w:val="009D31E6"/>
    <w:rsid w:val="009D328D"/>
    <w:rsid w:val="009D339A"/>
    <w:rsid w:val="009D33FB"/>
    <w:rsid w:val="009D343D"/>
    <w:rsid w:val="009D346B"/>
    <w:rsid w:val="009D369F"/>
    <w:rsid w:val="009D3758"/>
    <w:rsid w:val="009D376D"/>
    <w:rsid w:val="009D3823"/>
    <w:rsid w:val="009D382D"/>
    <w:rsid w:val="009D38C1"/>
    <w:rsid w:val="009D38C7"/>
    <w:rsid w:val="009D39CD"/>
    <w:rsid w:val="009D3AB5"/>
    <w:rsid w:val="009D3B83"/>
    <w:rsid w:val="009D3B8A"/>
    <w:rsid w:val="009D3BCB"/>
    <w:rsid w:val="009D3F82"/>
    <w:rsid w:val="009D3F98"/>
    <w:rsid w:val="009D3FE0"/>
    <w:rsid w:val="009D3FEB"/>
    <w:rsid w:val="009D3FF0"/>
    <w:rsid w:val="009D3FF3"/>
    <w:rsid w:val="009D4068"/>
    <w:rsid w:val="009D424F"/>
    <w:rsid w:val="009D44EF"/>
    <w:rsid w:val="009D4607"/>
    <w:rsid w:val="009D47A6"/>
    <w:rsid w:val="009D47FF"/>
    <w:rsid w:val="009D480E"/>
    <w:rsid w:val="009D486B"/>
    <w:rsid w:val="009D48BF"/>
    <w:rsid w:val="009D48FF"/>
    <w:rsid w:val="009D4915"/>
    <w:rsid w:val="009D4A5E"/>
    <w:rsid w:val="009D4A8C"/>
    <w:rsid w:val="009D4B17"/>
    <w:rsid w:val="009D4C38"/>
    <w:rsid w:val="009D4C7F"/>
    <w:rsid w:val="009D4C98"/>
    <w:rsid w:val="009D4E61"/>
    <w:rsid w:val="009D4E93"/>
    <w:rsid w:val="009D4F6C"/>
    <w:rsid w:val="009D4FD1"/>
    <w:rsid w:val="009D5100"/>
    <w:rsid w:val="009D52E6"/>
    <w:rsid w:val="009D533F"/>
    <w:rsid w:val="009D5391"/>
    <w:rsid w:val="009D5481"/>
    <w:rsid w:val="009D5492"/>
    <w:rsid w:val="009D5534"/>
    <w:rsid w:val="009D5594"/>
    <w:rsid w:val="009D5598"/>
    <w:rsid w:val="009D55AA"/>
    <w:rsid w:val="009D55B6"/>
    <w:rsid w:val="009D5642"/>
    <w:rsid w:val="009D57FC"/>
    <w:rsid w:val="009D5964"/>
    <w:rsid w:val="009D5975"/>
    <w:rsid w:val="009D59AD"/>
    <w:rsid w:val="009D59C7"/>
    <w:rsid w:val="009D5BBC"/>
    <w:rsid w:val="009D5C02"/>
    <w:rsid w:val="009D5C05"/>
    <w:rsid w:val="009D5C29"/>
    <w:rsid w:val="009D5C93"/>
    <w:rsid w:val="009D5CB5"/>
    <w:rsid w:val="009D5CD3"/>
    <w:rsid w:val="009D6079"/>
    <w:rsid w:val="009D611B"/>
    <w:rsid w:val="009D612A"/>
    <w:rsid w:val="009D61A8"/>
    <w:rsid w:val="009D61F6"/>
    <w:rsid w:val="009D6205"/>
    <w:rsid w:val="009D6246"/>
    <w:rsid w:val="009D632F"/>
    <w:rsid w:val="009D6370"/>
    <w:rsid w:val="009D639D"/>
    <w:rsid w:val="009D6414"/>
    <w:rsid w:val="009D649F"/>
    <w:rsid w:val="009D64A8"/>
    <w:rsid w:val="009D64C0"/>
    <w:rsid w:val="009D64CC"/>
    <w:rsid w:val="009D650D"/>
    <w:rsid w:val="009D659F"/>
    <w:rsid w:val="009D6670"/>
    <w:rsid w:val="009D66DF"/>
    <w:rsid w:val="009D66FF"/>
    <w:rsid w:val="009D6889"/>
    <w:rsid w:val="009D6922"/>
    <w:rsid w:val="009D692E"/>
    <w:rsid w:val="009D697B"/>
    <w:rsid w:val="009D69B8"/>
    <w:rsid w:val="009D6A85"/>
    <w:rsid w:val="009D6BB1"/>
    <w:rsid w:val="009D6C53"/>
    <w:rsid w:val="009D6CCC"/>
    <w:rsid w:val="009D6CD8"/>
    <w:rsid w:val="009D6CF3"/>
    <w:rsid w:val="009D6D03"/>
    <w:rsid w:val="009D6E03"/>
    <w:rsid w:val="009D6F63"/>
    <w:rsid w:val="009D6FD5"/>
    <w:rsid w:val="009D6FF2"/>
    <w:rsid w:val="009D70C7"/>
    <w:rsid w:val="009D7177"/>
    <w:rsid w:val="009D718F"/>
    <w:rsid w:val="009D72CE"/>
    <w:rsid w:val="009D7448"/>
    <w:rsid w:val="009D7483"/>
    <w:rsid w:val="009D75DA"/>
    <w:rsid w:val="009D76E5"/>
    <w:rsid w:val="009D7753"/>
    <w:rsid w:val="009D776D"/>
    <w:rsid w:val="009D77B0"/>
    <w:rsid w:val="009D7829"/>
    <w:rsid w:val="009D7A1E"/>
    <w:rsid w:val="009D7A7D"/>
    <w:rsid w:val="009D7BD8"/>
    <w:rsid w:val="009D7C3E"/>
    <w:rsid w:val="009D7CC2"/>
    <w:rsid w:val="009D7D0F"/>
    <w:rsid w:val="009D7D5C"/>
    <w:rsid w:val="009D7D66"/>
    <w:rsid w:val="009D7E67"/>
    <w:rsid w:val="009E01E9"/>
    <w:rsid w:val="009E025D"/>
    <w:rsid w:val="009E02B4"/>
    <w:rsid w:val="009E02C0"/>
    <w:rsid w:val="009E02D1"/>
    <w:rsid w:val="009E051C"/>
    <w:rsid w:val="009E06A3"/>
    <w:rsid w:val="009E074B"/>
    <w:rsid w:val="009E07AF"/>
    <w:rsid w:val="009E080E"/>
    <w:rsid w:val="009E0908"/>
    <w:rsid w:val="009E0924"/>
    <w:rsid w:val="009E0B6D"/>
    <w:rsid w:val="009E0B99"/>
    <w:rsid w:val="009E0E4D"/>
    <w:rsid w:val="009E0F86"/>
    <w:rsid w:val="009E1003"/>
    <w:rsid w:val="009E10E8"/>
    <w:rsid w:val="009E1167"/>
    <w:rsid w:val="009E11C2"/>
    <w:rsid w:val="009E11D3"/>
    <w:rsid w:val="009E11E1"/>
    <w:rsid w:val="009E129B"/>
    <w:rsid w:val="009E12A2"/>
    <w:rsid w:val="009E12F7"/>
    <w:rsid w:val="009E1310"/>
    <w:rsid w:val="009E1444"/>
    <w:rsid w:val="009E1713"/>
    <w:rsid w:val="009E17C3"/>
    <w:rsid w:val="009E1864"/>
    <w:rsid w:val="009E18B6"/>
    <w:rsid w:val="009E19D7"/>
    <w:rsid w:val="009E1AC4"/>
    <w:rsid w:val="009E1B4A"/>
    <w:rsid w:val="009E1B8F"/>
    <w:rsid w:val="009E1B9F"/>
    <w:rsid w:val="009E1BFC"/>
    <w:rsid w:val="009E1C29"/>
    <w:rsid w:val="009E1D2B"/>
    <w:rsid w:val="009E1F44"/>
    <w:rsid w:val="009E1F77"/>
    <w:rsid w:val="009E1FCB"/>
    <w:rsid w:val="009E1FFC"/>
    <w:rsid w:val="009E203A"/>
    <w:rsid w:val="009E214D"/>
    <w:rsid w:val="009E2527"/>
    <w:rsid w:val="009E2605"/>
    <w:rsid w:val="009E26CC"/>
    <w:rsid w:val="009E274C"/>
    <w:rsid w:val="009E2794"/>
    <w:rsid w:val="009E28AF"/>
    <w:rsid w:val="009E29E2"/>
    <w:rsid w:val="009E29FF"/>
    <w:rsid w:val="009E2B19"/>
    <w:rsid w:val="009E2C0D"/>
    <w:rsid w:val="009E2C42"/>
    <w:rsid w:val="009E2C99"/>
    <w:rsid w:val="009E2CCB"/>
    <w:rsid w:val="009E2D72"/>
    <w:rsid w:val="009E2E13"/>
    <w:rsid w:val="009E2EDC"/>
    <w:rsid w:val="009E317E"/>
    <w:rsid w:val="009E31C2"/>
    <w:rsid w:val="009E31F9"/>
    <w:rsid w:val="009E3530"/>
    <w:rsid w:val="009E356C"/>
    <w:rsid w:val="009E364F"/>
    <w:rsid w:val="009E36A0"/>
    <w:rsid w:val="009E3703"/>
    <w:rsid w:val="009E3846"/>
    <w:rsid w:val="009E387E"/>
    <w:rsid w:val="009E39AC"/>
    <w:rsid w:val="009E3A00"/>
    <w:rsid w:val="009E3A66"/>
    <w:rsid w:val="009E3A84"/>
    <w:rsid w:val="009E3AA9"/>
    <w:rsid w:val="009E3B66"/>
    <w:rsid w:val="009E3BA0"/>
    <w:rsid w:val="009E3BDC"/>
    <w:rsid w:val="009E3BEB"/>
    <w:rsid w:val="009E3CF6"/>
    <w:rsid w:val="009E3D21"/>
    <w:rsid w:val="009E3D26"/>
    <w:rsid w:val="009E3DA1"/>
    <w:rsid w:val="009E3E3F"/>
    <w:rsid w:val="009E3EB3"/>
    <w:rsid w:val="009E420C"/>
    <w:rsid w:val="009E4212"/>
    <w:rsid w:val="009E44FC"/>
    <w:rsid w:val="009E4538"/>
    <w:rsid w:val="009E4633"/>
    <w:rsid w:val="009E4646"/>
    <w:rsid w:val="009E4649"/>
    <w:rsid w:val="009E46B9"/>
    <w:rsid w:val="009E475B"/>
    <w:rsid w:val="009E484F"/>
    <w:rsid w:val="009E489D"/>
    <w:rsid w:val="009E48D2"/>
    <w:rsid w:val="009E48F3"/>
    <w:rsid w:val="009E4910"/>
    <w:rsid w:val="009E49AC"/>
    <w:rsid w:val="009E49C3"/>
    <w:rsid w:val="009E49C8"/>
    <w:rsid w:val="009E4A4F"/>
    <w:rsid w:val="009E4C09"/>
    <w:rsid w:val="009E4C6B"/>
    <w:rsid w:val="009E4D3F"/>
    <w:rsid w:val="009E4D93"/>
    <w:rsid w:val="009E4D94"/>
    <w:rsid w:val="009E4DC3"/>
    <w:rsid w:val="009E4E5B"/>
    <w:rsid w:val="009E4F0D"/>
    <w:rsid w:val="009E4F55"/>
    <w:rsid w:val="009E4FB3"/>
    <w:rsid w:val="009E4FBB"/>
    <w:rsid w:val="009E50F3"/>
    <w:rsid w:val="009E513E"/>
    <w:rsid w:val="009E52C6"/>
    <w:rsid w:val="009E52DA"/>
    <w:rsid w:val="009E53CC"/>
    <w:rsid w:val="009E53D5"/>
    <w:rsid w:val="009E53D8"/>
    <w:rsid w:val="009E54AA"/>
    <w:rsid w:val="009E550B"/>
    <w:rsid w:val="009E56CA"/>
    <w:rsid w:val="009E57BE"/>
    <w:rsid w:val="009E584B"/>
    <w:rsid w:val="009E5920"/>
    <w:rsid w:val="009E598D"/>
    <w:rsid w:val="009E59CB"/>
    <w:rsid w:val="009E59FB"/>
    <w:rsid w:val="009E5A7B"/>
    <w:rsid w:val="009E5A7F"/>
    <w:rsid w:val="009E5AF0"/>
    <w:rsid w:val="009E5B38"/>
    <w:rsid w:val="009E5C72"/>
    <w:rsid w:val="009E5D28"/>
    <w:rsid w:val="009E5DE1"/>
    <w:rsid w:val="009E5E5A"/>
    <w:rsid w:val="009E6064"/>
    <w:rsid w:val="009E613E"/>
    <w:rsid w:val="009E6150"/>
    <w:rsid w:val="009E616D"/>
    <w:rsid w:val="009E61A4"/>
    <w:rsid w:val="009E61C9"/>
    <w:rsid w:val="009E61D2"/>
    <w:rsid w:val="009E6363"/>
    <w:rsid w:val="009E6452"/>
    <w:rsid w:val="009E6455"/>
    <w:rsid w:val="009E656B"/>
    <w:rsid w:val="009E65E4"/>
    <w:rsid w:val="009E65FE"/>
    <w:rsid w:val="009E66FA"/>
    <w:rsid w:val="009E67F4"/>
    <w:rsid w:val="009E69A8"/>
    <w:rsid w:val="009E6A19"/>
    <w:rsid w:val="009E6AED"/>
    <w:rsid w:val="009E6AF3"/>
    <w:rsid w:val="009E6B99"/>
    <w:rsid w:val="009E6CBA"/>
    <w:rsid w:val="009E6D14"/>
    <w:rsid w:val="009E6D1A"/>
    <w:rsid w:val="009E6D55"/>
    <w:rsid w:val="009E6D6A"/>
    <w:rsid w:val="009E6F22"/>
    <w:rsid w:val="009E6FF9"/>
    <w:rsid w:val="009E7008"/>
    <w:rsid w:val="009E707B"/>
    <w:rsid w:val="009E7102"/>
    <w:rsid w:val="009E7111"/>
    <w:rsid w:val="009E7176"/>
    <w:rsid w:val="009E7181"/>
    <w:rsid w:val="009E72B6"/>
    <w:rsid w:val="009E7416"/>
    <w:rsid w:val="009E742F"/>
    <w:rsid w:val="009E74ED"/>
    <w:rsid w:val="009E7585"/>
    <w:rsid w:val="009E7636"/>
    <w:rsid w:val="009E76CC"/>
    <w:rsid w:val="009E7843"/>
    <w:rsid w:val="009E7912"/>
    <w:rsid w:val="009E7A7E"/>
    <w:rsid w:val="009E7B22"/>
    <w:rsid w:val="009E7B4F"/>
    <w:rsid w:val="009E7BC7"/>
    <w:rsid w:val="009E7C2D"/>
    <w:rsid w:val="009E7CC0"/>
    <w:rsid w:val="009E7D0E"/>
    <w:rsid w:val="009E7D8F"/>
    <w:rsid w:val="009E7DE7"/>
    <w:rsid w:val="009E7DFB"/>
    <w:rsid w:val="009E7EF8"/>
    <w:rsid w:val="009F001C"/>
    <w:rsid w:val="009F0182"/>
    <w:rsid w:val="009F01F7"/>
    <w:rsid w:val="009F026B"/>
    <w:rsid w:val="009F0371"/>
    <w:rsid w:val="009F03A4"/>
    <w:rsid w:val="009F03F7"/>
    <w:rsid w:val="009F052F"/>
    <w:rsid w:val="009F059A"/>
    <w:rsid w:val="009F0950"/>
    <w:rsid w:val="009F0983"/>
    <w:rsid w:val="009F0A87"/>
    <w:rsid w:val="009F0C04"/>
    <w:rsid w:val="009F0D0F"/>
    <w:rsid w:val="009F0D11"/>
    <w:rsid w:val="009F0E0B"/>
    <w:rsid w:val="009F0F4C"/>
    <w:rsid w:val="009F0F5E"/>
    <w:rsid w:val="009F1090"/>
    <w:rsid w:val="009F10C8"/>
    <w:rsid w:val="009F1166"/>
    <w:rsid w:val="009F136B"/>
    <w:rsid w:val="009F13B4"/>
    <w:rsid w:val="009F13CE"/>
    <w:rsid w:val="009F13F3"/>
    <w:rsid w:val="009F1425"/>
    <w:rsid w:val="009F1461"/>
    <w:rsid w:val="009F14EE"/>
    <w:rsid w:val="009F1507"/>
    <w:rsid w:val="009F162D"/>
    <w:rsid w:val="009F16AD"/>
    <w:rsid w:val="009F1845"/>
    <w:rsid w:val="009F1874"/>
    <w:rsid w:val="009F1A6B"/>
    <w:rsid w:val="009F1A7C"/>
    <w:rsid w:val="009F1BF5"/>
    <w:rsid w:val="009F1C21"/>
    <w:rsid w:val="009F1C8F"/>
    <w:rsid w:val="009F1DF3"/>
    <w:rsid w:val="009F1E62"/>
    <w:rsid w:val="009F1F52"/>
    <w:rsid w:val="009F2028"/>
    <w:rsid w:val="009F217B"/>
    <w:rsid w:val="009F2182"/>
    <w:rsid w:val="009F21F3"/>
    <w:rsid w:val="009F2298"/>
    <w:rsid w:val="009F251A"/>
    <w:rsid w:val="009F252E"/>
    <w:rsid w:val="009F27AB"/>
    <w:rsid w:val="009F28A2"/>
    <w:rsid w:val="009F28CF"/>
    <w:rsid w:val="009F28E4"/>
    <w:rsid w:val="009F29C1"/>
    <w:rsid w:val="009F2A40"/>
    <w:rsid w:val="009F2AA4"/>
    <w:rsid w:val="009F2B82"/>
    <w:rsid w:val="009F2BA7"/>
    <w:rsid w:val="009F2D60"/>
    <w:rsid w:val="009F2E4E"/>
    <w:rsid w:val="009F2E5C"/>
    <w:rsid w:val="009F2E5E"/>
    <w:rsid w:val="009F2E64"/>
    <w:rsid w:val="009F2FF9"/>
    <w:rsid w:val="009F326E"/>
    <w:rsid w:val="009F32F0"/>
    <w:rsid w:val="009F3341"/>
    <w:rsid w:val="009F33AF"/>
    <w:rsid w:val="009F350F"/>
    <w:rsid w:val="009F3651"/>
    <w:rsid w:val="009F36EC"/>
    <w:rsid w:val="009F379C"/>
    <w:rsid w:val="009F37B9"/>
    <w:rsid w:val="009F38C2"/>
    <w:rsid w:val="009F38D1"/>
    <w:rsid w:val="009F3AAF"/>
    <w:rsid w:val="009F3AE7"/>
    <w:rsid w:val="009F3BEA"/>
    <w:rsid w:val="009F3E6C"/>
    <w:rsid w:val="009F3E75"/>
    <w:rsid w:val="009F3E9A"/>
    <w:rsid w:val="009F4046"/>
    <w:rsid w:val="009F409C"/>
    <w:rsid w:val="009F4178"/>
    <w:rsid w:val="009F428B"/>
    <w:rsid w:val="009F42ED"/>
    <w:rsid w:val="009F4361"/>
    <w:rsid w:val="009F44CD"/>
    <w:rsid w:val="009F4565"/>
    <w:rsid w:val="009F45DB"/>
    <w:rsid w:val="009F46A2"/>
    <w:rsid w:val="009F4809"/>
    <w:rsid w:val="009F4842"/>
    <w:rsid w:val="009F4893"/>
    <w:rsid w:val="009F496A"/>
    <w:rsid w:val="009F499F"/>
    <w:rsid w:val="009F49A1"/>
    <w:rsid w:val="009F4A88"/>
    <w:rsid w:val="009F4BAC"/>
    <w:rsid w:val="009F4C2B"/>
    <w:rsid w:val="009F4C3D"/>
    <w:rsid w:val="009F4C5E"/>
    <w:rsid w:val="009F4D12"/>
    <w:rsid w:val="009F4DBB"/>
    <w:rsid w:val="009F4EA4"/>
    <w:rsid w:val="009F4EF3"/>
    <w:rsid w:val="009F4F40"/>
    <w:rsid w:val="009F4FED"/>
    <w:rsid w:val="009F5157"/>
    <w:rsid w:val="009F517E"/>
    <w:rsid w:val="009F519B"/>
    <w:rsid w:val="009F53D8"/>
    <w:rsid w:val="009F5416"/>
    <w:rsid w:val="009F5417"/>
    <w:rsid w:val="009F5524"/>
    <w:rsid w:val="009F5577"/>
    <w:rsid w:val="009F5590"/>
    <w:rsid w:val="009F56F1"/>
    <w:rsid w:val="009F5836"/>
    <w:rsid w:val="009F58B4"/>
    <w:rsid w:val="009F5AD8"/>
    <w:rsid w:val="009F5AE4"/>
    <w:rsid w:val="009F5DC8"/>
    <w:rsid w:val="009F5DD0"/>
    <w:rsid w:val="009F5FDB"/>
    <w:rsid w:val="009F60FA"/>
    <w:rsid w:val="009F61A4"/>
    <w:rsid w:val="009F6236"/>
    <w:rsid w:val="009F6258"/>
    <w:rsid w:val="009F62E1"/>
    <w:rsid w:val="009F635A"/>
    <w:rsid w:val="009F63A4"/>
    <w:rsid w:val="009F63FC"/>
    <w:rsid w:val="009F6473"/>
    <w:rsid w:val="009F64D2"/>
    <w:rsid w:val="009F64F9"/>
    <w:rsid w:val="009F6575"/>
    <w:rsid w:val="009F668E"/>
    <w:rsid w:val="009F66CE"/>
    <w:rsid w:val="009F66F5"/>
    <w:rsid w:val="009F6710"/>
    <w:rsid w:val="009F68DE"/>
    <w:rsid w:val="009F69FD"/>
    <w:rsid w:val="009F6A02"/>
    <w:rsid w:val="009F6A5B"/>
    <w:rsid w:val="009F6BD2"/>
    <w:rsid w:val="009F6BDA"/>
    <w:rsid w:val="009F6D01"/>
    <w:rsid w:val="009F6DC2"/>
    <w:rsid w:val="009F6E1B"/>
    <w:rsid w:val="009F6E91"/>
    <w:rsid w:val="009F6F9E"/>
    <w:rsid w:val="009F6FB1"/>
    <w:rsid w:val="009F6FDB"/>
    <w:rsid w:val="009F70E2"/>
    <w:rsid w:val="009F7100"/>
    <w:rsid w:val="009F7220"/>
    <w:rsid w:val="009F7238"/>
    <w:rsid w:val="009F7377"/>
    <w:rsid w:val="009F73B4"/>
    <w:rsid w:val="009F7433"/>
    <w:rsid w:val="009F7463"/>
    <w:rsid w:val="009F746B"/>
    <w:rsid w:val="009F749F"/>
    <w:rsid w:val="009F7592"/>
    <w:rsid w:val="009F75F8"/>
    <w:rsid w:val="009F7928"/>
    <w:rsid w:val="009F7987"/>
    <w:rsid w:val="009F7A6D"/>
    <w:rsid w:val="009F7ABF"/>
    <w:rsid w:val="009F7B85"/>
    <w:rsid w:val="009F7DEE"/>
    <w:rsid w:val="009F7F3C"/>
    <w:rsid w:val="009F7F95"/>
    <w:rsid w:val="00A00114"/>
    <w:rsid w:val="00A003A8"/>
    <w:rsid w:val="00A003B9"/>
    <w:rsid w:val="00A003F5"/>
    <w:rsid w:val="00A00423"/>
    <w:rsid w:val="00A00440"/>
    <w:rsid w:val="00A0044A"/>
    <w:rsid w:val="00A004A9"/>
    <w:rsid w:val="00A004FB"/>
    <w:rsid w:val="00A00679"/>
    <w:rsid w:val="00A006BF"/>
    <w:rsid w:val="00A006E7"/>
    <w:rsid w:val="00A0085E"/>
    <w:rsid w:val="00A00879"/>
    <w:rsid w:val="00A00922"/>
    <w:rsid w:val="00A00AC7"/>
    <w:rsid w:val="00A00AED"/>
    <w:rsid w:val="00A00BB4"/>
    <w:rsid w:val="00A00C48"/>
    <w:rsid w:val="00A00C9A"/>
    <w:rsid w:val="00A00CE8"/>
    <w:rsid w:val="00A00D67"/>
    <w:rsid w:val="00A00E1E"/>
    <w:rsid w:val="00A00FB1"/>
    <w:rsid w:val="00A0107C"/>
    <w:rsid w:val="00A01153"/>
    <w:rsid w:val="00A011E8"/>
    <w:rsid w:val="00A0121E"/>
    <w:rsid w:val="00A0122D"/>
    <w:rsid w:val="00A0145F"/>
    <w:rsid w:val="00A01674"/>
    <w:rsid w:val="00A01686"/>
    <w:rsid w:val="00A016DE"/>
    <w:rsid w:val="00A016DF"/>
    <w:rsid w:val="00A01752"/>
    <w:rsid w:val="00A018DC"/>
    <w:rsid w:val="00A019D1"/>
    <w:rsid w:val="00A01A64"/>
    <w:rsid w:val="00A01B03"/>
    <w:rsid w:val="00A01C8E"/>
    <w:rsid w:val="00A01D4B"/>
    <w:rsid w:val="00A01DFC"/>
    <w:rsid w:val="00A01E12"/>
    <w:rsid w:val="00A01E83"/>
    <w:rsid w:val="00A01EB5"/>
    <w:rsid w:val="00A02058"/>
    <w:rsid w:val="00A020C9"/>
    <w:rsid w:val="00A020F3"/>
    <w:rsid w:val="00A02239"/>
    <w:rsid w:val="00A0252C"/>
    <w:rsid w:val="00A02538"/>
    <w:rsid w:val="00A02672"/>
    <w:rsid w:val="00A026A4"/>
    <w:rsid w:val="00A026F5"/>
    <w:rsid w:val="00A026F6"/>
    <w:rsid w:val="00A0284F"/>
    <w:rsid w:val="00A02861"/>
    <w:rsid w:val="00A029A5"/>
    <w:rsid w:val="00A02A70"/>
    <w:rsid w:val="00A02AE4"/>
    <w:rsid w:val="00A02B09"/>
    <w:rsid w:val="00A02DF9"/>
    <w:rsid w:val="00A02F71"/>
    <w:rsid w:val="00A03002"/>
    <w:rsid w:val="00A0306A"/>
    <w:rsid w:val="00A03152"/>
    <w:rsid w:val="00A0315B"/>
    <w:rsid w:val="00A031C2"/>
    <w:rsid w:val="00A03229"/>
    <w:rsid w:val="00A033AB"/>
    <w:rsid w:val="00A033BF"/>
    <w:rsid w:val="00A033D2"/>
    <w:rsid w:val="00A03418"/>
    <w:rsid w:val="00A0364D"/>
    <w:rsid w:val="00A0377B"/>
    <w:rsid w:val="00A03813"/>
    <w:rsid w:val="00A038AF"/>
    <w:rsid w:val="00A03A54"/>
    <w:rsid w:val="00A03A6A"/>
    <w:rsid w:val="00A03ACA"/>
    <w:rsid w:val="00A03B1E"/>
    <w:rsid w:val="00A03C3F"/>
    <w:rsid w:val="00A03D10"/>
    <w:rsid w:val="00A03DB5"/>
    <w:rsid w:val="00A03DE8"/>
    <w:rsid w:val="00A03E45"/>
    <w:rsid w:val="00A03E60"/>
    <w:rsid w:val="00A03EBA"/>
    <w:rsid w:val="00A03FBB"/>
    <w:rsid w:val="00A0400B"/>
    <w:rsid w:val="00A042AA"/>
    <w:rsid w:val="00A042E4"/>
    <w:rsid w:val="00A043FA"/>
    <w:rsid w:val="00A04448"/>
    <w:rsid w:val="00A044A9"/>
    <w:rsid w:val="00A04662"/>
    <w:rsid w:val="00A046C7"/>
    <w:rsid w:val="00A047C9"/>
    <w:rsid w:val="00A04951"/>
    <w:rsid w:val="00A04A81"/>
    <w:rsid w:val="00A04B5C"/>
    <w:rsid w:val="00A04BF6"/>
    <w:rsid w:val="00A04C97"/>
    <w:rsid w:val="00A04D3E"/>
    <w:rsid w:val="00A04D64"/>
    <w:rsid w:val="00A04E83"/>
    <w:rsid w:val="00A05005"/>
    <w:rsid w:val="00A050BD"/>
    <w:rsid w:val="00A0512E"/>
    <w:rsid w:val="00A05179"/>
    <w:rsid w:val="00A051FE"/>
    <w:rsid w:val="00A05260"/>
    <w:rsid w:val="00A052C0"/>
    <w:rsid w:val="00A05300"/>
    <w:rsid w:val="00A05316"/>
    <w:rsid w:val="00A05322"/>
    <w:rsid w:val="00A05461"/>
    <w:rsid w:val="00A055EB"/>
    <w:rsid w:val="00A056A9"/>
    <w:rsid w:val="00A0597F"/>
    <w:rsid w:val="00A05A71"/>
    <w:rsid w:val="00A05B1E"/>
    <w:rsid w:val="00A05B7D"/>
    <w:rsid w:val="00A05D03"/>
    <w:rsid w:val="00A05ECB"/>
    <w:rsid w:val="00A0605D"/>
    <w:rsid w:val="00A0610A"/>
    <w:rsid w:val="00A061CF"/>
    <w:rsid w:val="00A062D9"/>
    <w:rsid w:val="00A0631C"/>
    <w:rsid w:val="00A06325"/>
    <w:rsid w:val="00A06335"/>
    <w:rsid w:val="00A06395"/>
    <w:rsid w:val="00A063EC"/>
    <w:rsid w:val="00A063F3"/>
    <w:rsid w:val="00A06441"/>
    <w:rsid w:val="00A06560"/>
    <w:rsid w:val="00A065FA"/>
    <w:rsid w:val="00A0670C"/>
    <w:rsid w:val="00A067F1"/>
    <w:rsid w:val="00A06940"/>
    <w:rsid w:val="00A069A5"/>
    <w:rsid w:val="00A069AE"/>
    <w:rsid w:val="00A069EF"/>
    <w:rsid w:val="00A06B8D"/>
    <w:rsid w:val="00A06C2B"/>
    <w:rsid w:val="00A06C9F"/>
    <w:rsid w:val="00A06D39"/>
    <w:rsid w:val="00A06D9F"/>
    <w:rsid w:val="00A06E05"/>
    <w:rsid w:val="00A06F42"/>
    <w:rsid w:val="00A06F5D"/>
    <w:rsid w:val="00A06F84"/>
    <w:rsid w:val="00A0706F"/>
    <w:rsid w:val="00A07087"/>
    <w:rsid w:val="00A07130"/>
    <w:rsid w:val="00A071AD"/>
    <w:rsid w:val="00A07335"/>
    <w:rsid w:val="00A07482"/>
    <w:rsid w:val="00A07518"/>
    <w:rsid w:val="00A07573"/>
    <w:rsid w:val="00A075E7"/>
    <w:rsid w:val="00A07643"/>
    <w:rsid w:val="00A0773A"/>
    <w:rsid w:val="00A0779D"/>
    <w:rsid w:val="00A0780F"/>
    <w:rsid w:val="00A07831"/>
    <w:rsid w:val="00A07879"/>
    <w:rsid w:val="00A07904"/>
    <w:rsid w:val="00A079D1"/>
    <w:rsid w:val="00A079D4"/>
    <w:rsid w:val="00A079FE"/>
    <w:rsid w:val="00A07A35"/>
    <w:rsid w:val="00A07B1E"/>
    <w:rsid w:val="00A07B4A"/>
    <w:rsid w:val="00A07BAC"/>
    <w:rsid w:val="00A07CEE"/>
    <w:rsid w:val="00A07DCD"/>
    <w:rsid w:val="00A07E71"/>
    <w:rsid w:val="00A07F52"/>
    <w:rsid w:val="00A07FCF"/>
    <w:rsid w:val="00A100DA"/>
    <w:rsid w:val="00A10244"/>
    <w:rsid w:val="00A103A3"/>
    <w:rsid w:val="00A10401"/>
    <w:rsid w:val="00A10475"/>
    <w:rsid w:val="00A10556"/>
    <w:rsid w:val="00A1056C"/>
    <w:rsid w:val="00A1075E"/>
    <w:rsid w:val="00A107FC"/>
    <w:rsid w:val="00A10856"/>
    <w:rsid w:val="00A108B2"/>
    <w:rsid w:val="00A10913"/>
    <w:rsid w:val="00A10A12"/>
    <w:rsid w:val="00A10A81"/>
    <w:rsid w:val="00A10ABC"/>
    <w:rsid w:val="00A10B0F"/>
    <w:rsid w:val="00A10B7D"/>
    <w:rsid w:val="00A10C5D"/>
    <w:rsid w:val="00A10F45"/>
    <w:rsid w:val="00A10F53"/>
    <w:rsid w:val="00A110AF"/>
    <w:rsid w:val="00A1128C"/>
    <w:rsid w:val="00A113D0"/>
    <w:rsid w:val="00A11499"/>
    <w:rsid w:val="00A11500"/>
    <w:rsid w:val="00A11537"/>
    <w:rsid w:val="00A11556"/>
    <w:rsid w:val="00A1189E"/>
    <w:rsid w:val="00A11A15"/>
    <w:rsid w:val="00A11A2A"/>
    <w:rsid w:val="00A11A74"/>
    <w:rsid w:val="00A11AA0"/>
    <w:rsid w:val="00A11BA3"/>
    <w:rsid w:val="00A11BF9"/>
    <w:rsid w:val="00A11C1A"/>
    <w:rsid w:val="00A11F09"/>
    <w:rsid w:val="00A11F91"/>
    <w:rsid w:val="00A11FCA"/>
    <w:rsid w:val="00A121FC"/>
    <w:rsid w:val="00A1225D"/>
    <w:rsid w:val="00A12459"/>
    <w:rsid w:val="00A1245B"/>
    <w:rsid w:val="00A1254B"/>
    <w:rsid w:val="00A129DA"/>
    <w:rsid w:val="00A12A05"/>
    <w:rsid w:val="00A12ADE"/>
    <w:rsid w:val="00A12B65"/>
    <w:rsid w:val="00A12B9F"/>
    <w:rsid w:val="00A12CC0"/>
    <w:rsid w:val="00A12DBA"/>
    <w:rsid w:val="00A12F3D"/>
    <w:rsid w:val="00A12F7B"/>
    <w:rsid w:val="00A1302F"/>
    <w:rsid w:val="00A1319C"/>
    <w:rsid w:val="00A1343F"/>
    <w:rsid w:val="00A13494"/>
    <w:rsid w:val="00A134CB"/>
    <w:rsid w:val="00A135E2"/>
    <w:rsid w:val="00A135FD"/>
    <w:rsid w:val="00A13760"/>
    <w:rsid w:val="00A1387D"/>
    <w:rsid w:val="00A13960"/>
    <w:rsid w:val="00A13A8A"/>
    <w:rsid w:val="00A13BA1"/>
    <w:rsid w:val="00A13BDB"/>
    <w:rsid w:val="00A13D0F"/>
    <w:rsid w:val="00A13F8B"/>
    <w:rsid w:val="00A13FF2"/>
    <w:rsid w:val="00A13FF9"/>
    <w:rsid w:val="00A14101"/>
    <w:rsid w:val="00A14138"/>
    <w:rsid w:val="00A14187"/>
    <w:rsid w:val="00A141CE"/>
    <w:rsid w:val="00A14216"/>
    <w:rsid w:val="00A14237"/>
    <w:rsid w:val="00A1432E"/>
    <w:rsid w:val="00A143E4"/>
    <w:rsid w:val="00A14466"/>
    <w:rsid w:val="00A144DE"/>
    <w:rsid w:val="00A144F3"/>
    <w:rsid w:val="00A145D3"/>
    <w:rsid w:val="00A1479A"/>
    <w:rsid w:val="00A1480F"/>
    <w:rsid w:val="00A14897"/>
    <w:rsid w:val="00A14952"/>
    <w:rsid w:val="00A149BA"/>
    <w:rsid w:val="00A14A07"/>
    <w:rsid w:val="00A14B18"/>
    <w:rsid w:val="00A14B6C"/>
    <w:rsid w:val="00A14C64"/>
    <w:rsid w:val="00A14CD0"/>
    <w:rsid w:val="00A14DB1"/>
    <w:rsid w:val="00A14DB5"/>
    <w:rsid w:val="00A14E62"/>
    <w:rsid w:val="00A14E73"/>
    <w:rsid w:val="00A14FC4"/>
    <w:rsid w:val="00A150C4"/>
    <w:rsid w:val="00A15194"/>
    <w:rsid w:val="00A15287"/>
    <w:rsid w:val="00A1534F"/>
    <w:rsid w:val="00A1540F"/>
    <w:rsid w:val="00A154F3"/>
    <w:rsid w:val="00A155B2"/>
    <w:rsid w:val="00A155FF"/>
    <w:rsid w:val="00A15621"/>
    <w:rsid w:val="00A15630"/>
    <w:rsid w:val="00A1563E"/>
    <w:rsid w:val="00A1575F"/>
    <w:rsid w:val="00A1580B"/>
    <w:rsid w:val="00A1592C"/>
    <w:rsid w:val="00A159AD"/>
    <w:rsid w:val="00A15A4B"/>
    <w:rsid w:val="00A15AED"/>
    <w:rsid w:val="00A15B12"/>
    <w:rsid w:val="00A15B7C"/>
    <w:rsid w:val="00A15C8A"/>
    <w:rsid w:val="00A15D34"/>
    <w:rsid w:val="00A15D46"/>
    <w:rsid w:val="00A15DF9"/>
    <w:rsid w:val="00A15E1E"/>
    <w:rsid w:val="00A15E20"/>
    <w:rsid w:val="00A15FA5"/>
    <w:rsid w:val="00A160C8"/>
    <w:rsid w:val="00A160F7"/>
    <w:rsid w:val="00A16227"/>
    <w:rsid w:val="00A16253"/>
    <w:rsid w:val="00A1625C"/>
    <w:rsid w:val="00A162A0"/>
    <w:rsid w:val="00A162C6"/>
    <w:rsid w:val="00A162CB"/>
    <w:rsid w:val="00A162CF"/>
    <w:rsid w:val="00A1636C"/>
    <w:rsid w:val="00A164DE"/>
    <w:rsid w:val="00A16567"/>
    <w:rsid w:val="00A166E3"/>
    <w:rsid w:val="00A167B2"/>
    <w:rsid w:val="00A16819"/>
    <w:rsid w:val="00A16823"/>
    <w:rsid w:val="00A16AD2"/>
    <w:rsid w:val="00A16B84"/>
    <w:rsid w:val="00A16BB1"/>
    <w:rsid w:val="00A16BF5"/>
    <w:rsid w:val="00A16BF8"/>
    <w:rsid w:val="00A16C0A"/>
    <w:rsid w:val="00A16C21"/>
    <w:rsid w:val="00A16D53"/>
    <w:rsid w:val="00A16D56"/>
    <w:rsid w:val="00A16E29"/>
    <w:rsid w:val="00A16FB2"/>
    <w:rsid w:val="00A17037"/>
    <w:rsid w:val="00A1716B"/>
    <w:rsid w:val="00A172CA"/>
    <w:rsid w:val="00A1744F"/>
    <w:rsid w:val="00A174C5"/>
    <w:rsid w:val="00A1765F"/>
    <w:rsid w:val="00A17735"/>
    <w:rsid w:val="00A177C7"/>
    <w:rsid w:val="00A1788F"/>
    <w:rsid w:val="00A178F4"/>
    <w:rsid w:val="00A17A86"/>
    <w:rsid w:val="00A17A9B"/>
    <w:rsid w:val="00A17D3F"/>
    <w:rsid w:val="00A17F49"/>
    <w:rsid w:val="00A17FF9"/>
    <w:rsid w:val="00A20161"/>
    <w:rsid w:val="00A20162"/>
    <w:rsid w:val="00A201EA"/>
    <w:rsid w:val="00A201FA"/>
    <w:rsid w:val="00A201FD"/>
    <w:rsid w:val="00A2031D"/>
    <w:rsid w:val="00A2039A"/>
    <w:rsid w:val="00A20502"/>
    <w:rsid w:val="00A20577"/>
    <w:rsid w:val="00A205E7"/>
    <w:rsid w:val="00A2065D"/>
    <w:rsid w:val="00A206E9"/>
    <w:rsid w:val="00A20744"/>
    <w:rsid w:val="00A2088A"/>
    <w:rsid w:val="00A2094D"/>
    <w:rsid w:val="00A20C27"/>
    <w:rsid w:val="00A20DA9"/>
    <w:rsid w:val="00A20F0B"/>
    <w:rsid w:val="00A20FFE"/>
    <w:rsid w:val="00A21080"/>
    <w:rsid w:val="00A211AC"/>
    <w:rsid w:val="00A2128B"/>
    <w:rsid w:val="00A21290"/>
    <w:rsid w:val="00A21298"/>
    <w:rsid w:val="00A2134D"/>
    <w:rsid w:val="00A21389"/>
    <w:rsid w:val="00A21505"/>
    <w:rsid w:val="00A215AF"/>
    <w:rsid w:val="00A215B0"/>
    <w:rsid w:val="00A217D2"/>
    <w:rsid w:val="00A21847"/>
    <w:rsid w:val="00A21B09"/>
    <w:rsid w:val="00A21C1A"/>
    <w:rsid w:val="00A21CFD"/>
    <w:rsid w:val="00A21D5D"/>
    <w:rsid w:val="00A21EB1"/>
    <w:rsid w:val="00A21F40"/>
    <w:rsid w:val="00A220C0"/>
    <w:rsid w:val="00A221BF"/>
    <w:rsid w:val="00A22287"/>
    <w:rsid w:val="00A22326"/>
    <w:rsid w:val="00A224C4"/>
    <w:rsid w:val="00A226CC"/>
    <w:rsid w:val="00A22723"/>
    <w:rsid w:val="00A227B1"/>
    <w:rsid w:val="00A22805"/>
    <w:rsid w:val="00A229A6"/>
    <w:rsid w:val="00A22A53"/>
    <w:rsid w:val="00A22AB5"/>
    <w:rsid w:val="00A22AF9"/>
    <w:rsid w:val="00A22B0D"/>
    <w:rsid w:val="00A22B36"/>
    <w:rsid w:val="00A22C17"/>
    <w:rsid w:val="00A22CC5"/>
    <w:rsid w:val="00A22CD9"/>
    <w:rsid w:val="00A22DDA"/>
    <w:rsid w:val="00A22E30"/>
    <w:rsid w:val="00A22F9A"/>
    <w:rsid w:val="00A22FF2"/>
    <w:rsid w:val="00A2302C"/>
    <w:rsid w:val="00A230A6"/>
    <w:rsid w:val="00A230E9"/>
    <w:rsid w:val="00A231CB"/>
    <w:rsid w:val="00A232E5"/>
    <w:rsid w:val="00A23407"/>
    <w:rsid w:val="00A23608"/>
    <w:rsid w:val="00A23680"/>
    <w:rsid w:val="00A23739"/>
    <w:rsid w:val="00A237AF"/>
    <w:rsid w:val="00A2388B"/>
    <w:rsid w:val="00A239A4"/>
    <w:rsid w:val="00A23D90"/>
    <w:rsid w:val="00A23DAB"/>
    <w:rsid w:val="00A23DAD"/>
    <w:rsid w:val="00A24082"/>
    <w:rsid w:val="00A241E9"/>
    <w:rsid w:val="00A242AC"/>
    <w:rsid w:val="00A24397"/>
    <w:rsid w:val="00A24452"/>
    <w:rsid w:val="00A245AE"/>
    <w:rsid w:val="00A246D3"/>
    <w:rsid w:val="00A247AF"/>
    <w:rsid w:val="00A24814"/>
    <w:rsid w:val="00A2488E"/>
    <w:rsid w:val="00A248C5"/>
    <w:rsid w:val="00A24A30"/>
    <w:rsid w:val="00A24A59"/>
    <w:rsid w:val="00A24B91"/>
    <w:rsid w:val="00A24BDD"/>
    <w:rsid w:val="00A24BEA"/>
    <w:rsid w:val="00A24C54"/>
    <w:rsid w:val="00A24D90"/>
    <w:rsid w:val="00A24E3C"/>
    <w:rsid w:val="00A24E52"/>
    <w:rsid w:val="00A24E57"/>
    <w:rsid w:val="00A24F68"/>
    <w:rsid w:val="00A24FA1"/>
    <w:rsid w:val="00A24FB8"/>
    <w:rsid w:val="00A24FE2"/>
    <w:rsid w:val="00A24FF3"/>
    <w:rsid w:val="00A250C0"/>
    <w:rsid w:val="00A25134"/>
    <w:rsid w:val="00A251A8"/>
    <w:rsid w:val="00A25206"/>
    <w:rsid w:val="00A252C5"/>
    <w:rsid w:val="00A252E2"/>
    <w:rsid w:val="00A25333"/>
    <w:rsid w:val="00A25401"/>
    <w:rsid w:val="00A254DE"/>
    <w:rsid w:val="00A2558C"/>
    <w:rsid w:val="00A255B0"/>
    <w:rsid w:val="00A255C9"/>
    <w:rsid w:val="00A2568C"/>
    <w:rsid w:val="00A256DC"/>
    <w:rsid w:val="00A25714"/>
    <w:rsid w:val="00A258FE"/>
    <w:rsid w:val="00A25900"/>
    <w:rsid w:val="00A2591E"/>
    <w:rsid w:val="00A25A3D"/>
    <w:rsid w:val="00A25A6E"/>
    <w:rsid w:val="00A25AFF"/>
    <w:rsid w:val="00A25B3C"/>
    <w:rsid w:val="00A25C1F"/>
    <w:rsid w:val="00A25D33"/>
    <w:rsid w:val="00A25D6A"/>
    <w:rsid w:val="00A25E8F"/>
    <w:rsid w:val="00A25F85"/>
    <w:rsid w:val="00A26082"/>
    <w:rsid w:val="00A2613E"/>
    <w:rsid w:val="00A26153"/>
    <w:rsid w:val="00A261F3"/>
    <w:rsid w:val="00A26232"/>
    <w:rsid w:val="00A26385"/>
    <w:rsid w:val="00A26396"/>
    <w:rsid w:val="00A263CB"/>
    <w:rsid w:val="00A26456"/>
    <w:rsid w:val="00A264D3"/>
    <w:rsid w:val="00A266F4"/>
    <w:rsid w:val="00A26767"/>
    <w:rsid w:val="00A2676C"/>
    <w:rsid w:val="00A26775"/>
    <w:rsid w:val="00A26888"/>
    <w:rsid w:val="00A268AA"/>
    <w:rsid w:val="00A26963"/>
    <w:rsid w:val="00A26AFE"/>
    <w:rsid w:val="00A26B99"/>
    <w:rsid w:val="00A26C37"/>
    <w:rsid w:val="00A26D17"/>
    <w:rsid w:val="00A26D52"/>
    <w:rsid w:val="00A26D67"/>
    <w:rsid w:val="00A26DAA"/>
    <w:rsid w:val="00A26DD3"/>
    <w:rsid w:val="00A26E7B"/>
    <w:rsid w:val="00A26E81"/>
    <w:rsid w:val="00A26EA7"/>
    <w:rsid w:val="00A26EEC"/>
    <w:rsid w:val="00A26F07"/>
    <w:rsid w:val="00A26F86"/>
    <w:rsid w:val="00A26FF2"/>
    <w:rsid w:val="00A2707C"/>
    <w:rsid w:val="00A270A5"/>
    <w:rsid w:val="00A270BC"/>
    <w:rsid w:val="00A270CC"/>
    <w:rsid w:val="00A270CD"/>
    <w:rsid w:val="00A27185"/>
    <w:rsid w:val="00A271B8"/>
    <w:rsid w:val="00A272EA"/>
    <w:rsid w:val="00A273C0"/>
    <w:rsid w:val="00A273EF"/>
    <w:rsid w:val="00A27498"/>
    <w:rsid w:val="00A27533"/>
    <w:rsid w:val="00A275D6"/>
    <w:rsid w:val="00A2762F"/>
    <w:rsid w:val="00A277C7"/>
    <w:rsid w:val="00A27896"/>
    <w:rsid w:val="00A2791C"/>
    <w:rsid w:val="00A27937"/>
    <w:rsid w:val="00A2794C"/>
    <w:rsid w:val="00A279AB"/>
    <w:rsid w:val="00A27CEE"/>
    <w:rsid w:val="00A27D8A"/>
    <w:rsid w:val="00A27E15"/>
    <w:rsid w:val="00A27F17"/>
    <w:rsid w:val="00A27F61"/>
    <w:rsid w:val="00A27F92"/>
    <w:rsid w:val="00A30138"/>
    <w:rsid w:val="00A301D0"/>
    <w:rsid w:val="00A30353"/>
    <w:rsid w:val="00A30386"/>
    <w:rsid w:val="00A30417"/>
    <w:rsid w:val="00A305EE"/>
    <w:rsid w:val="00A3065F"/>
    <w:rsid w:val="00A30678"/>
    <w:rsid w:val="00A3069F"/>
    <w:rsid w:val="00A30721"/>
    <w:rsid w:val="00A30798"/>
    <w:rsid w:val="00A30814"/>
    <w:rsid w:val="00A30A4B"/>
    <w:rsid w:val="00A30AF1"/>
    <w:rsid w:val="00A30BB1"/>
    <w:rsid w:val="00A30C94"/>
    <w:rsid w:val="00A30D4B"/>
    <w:rsid w:val="00A30D9E"/>
    <w:rsid w:val="00A30E13"/>
    <w:rsid w:val="00A30E91"/>
    <w:rsid w:val="00A30EA5"/>
    <w:rsid w:val="00A30ECD"/>
    <w:rsid w:val="00A311EB"/>
    <w:rsid w:val="00A31358"/>
    <w:rsid w:val="00A3144A"/>
    <w:rsid w:val="00A31461"/>
    <w:rsid w:val="00A314A3"/>
    <w:rsid w:val="00A316CF"/>
    <w:rsid w:val="00A317F1"/>
    <w:rsid w:val="00A31809"/>
    <w:rsid w:val="00A31996"/>
    <w:rsid w:val="00A319C5"/>
    <w:rsid w:val="00A319DF"/>
    <w:rsid w:val="00A31B64"/>
    <w:rsid w:val="00A31BF9"/>
    <w:rsid w:val="00A31D86"/>
    <w:rsid w:val="00A31DFA"/>
    <w:rsid w:val="00A31E2A"/>
    <w:rsid w:val="00A31EDF"/>
    <w:rsid w:val="00A32008"/>
    <w:rsid w:val="00A32069"/>
    <w:rsid w:val="00A3212D"/>
    <w:rsid w:val="00A3241F"/>
    <w:rsid w:val="00A32447"/>
    <w:rsid w:val="00A324C0"/>
    <w:rsid w:val="00A324E6"/>
    <w:rsid w:val="00A325B0"/>
    <w:rsid w:val="00A326CB"/>
    <w:rsid w:val="00A32766"/>
    <w:rsid w:val="00A3287A"/>
    <w:rsid w:val="00A328B6"/>
    <w:rsid w:val="00A328F7"/>
    <w:rsid w:val="00A328FF"/>
    <w:rsid w:val="00A32A62"/>
    <w:rsid w:val="00A32AE1"/>
    <w:rsid w:val="00A32B56"/>
    <w:rsid w:val="00A32BC1"/>
    <w:rsid w:val="00A32C62"/>
    <w:rsid w:val="00A32C9E"/>
    <w:rsid w:val="00A32CE8"/>
    <w:rsid w:val="00A32D26"/>
    <w:rsid w:val="00A32D7A"/>
    <w:rsid w:val="00A32F8F"/>
    <w:rsid w:val="00A32FA0"/>
    <w:rsid w:val="00A33022"/>
    <w:rsid w:val="00A331BF"/>
    <w:rsid w:val="00A33201"/>
    <w:rsid w:val="00A3320B"/>
    <w:rsid w:val="00A332C4"/>
    <w:rsid w:val="00A33397"/>
    <w:rsid w:val="00A333AB"/>
    <w:rsid w:val="00A333AE"/>
    <w:rsid w:val="00A33465"/>
    <w:rsid w:val="00A33471"/>
    <w:rsid w:val="00A335D4"/>
    <w:rsid w:val="00A3373A"/>
    <w:rsid w:val="00A338FD"/>
    <w:rsid w:val="00A33A13"/>
    <w:rsid w:val="00A33BCA"/>
    <w:rsid w:val="00A33CDF"/>
    <w:rsid w:val="00A33D2D"/>
    <w:rsid w:val="00A33E76"/>
    <w:rsid w:val="00A33E7F"/>
    <w:rsid w:val="00A34026"/>
    <w:rsid w:val="00A3406D"/>
    <w:rsid w:val="00A34189"/>
    <w:rsid w:val="00A34194"/>
    <w:rsid w:val="00A34363"/>
    <w:rsid w:val="00A3436B"/>
    <w:rsid w:val="00A344FE"/>
    <w:rsid w:val="00A34507"/>
    <w:rsid w:val="00A34580"/>
    <w:rsid w:val="00A345FF"/>
    <w:rsid w:val="00A347B0"/>
    <w:rsid w:val="00A3480D"/>
    <w:rsid w:val="00A348B3"/>
    <w:rsid w:val="00A348BD"/>
    <w:rsid w:val="00A34A08"/>
    <w:rsid w:val="00A34BCB"/>
    <w:rsid w:val="00A34BE9"/>
    <w:rsid w:val="00A34DCD"/>
    <w:rsid w:val="00A34E81"/>
    <w:rsid w:val="00A34E82"/>
    <w:rsid w:val="00A34F35"/>
    <w:rsid w:val="00A34F75"/>
    <w:rsid w:val="00A34FC4"/>
    <w:rsid w:val="00A34FC8"/>
    <w:rsid w:val="00A34FD8"/>
    <w:rsid w:val="00A35000"/>
    <w:rsid w:val="00A35081"/>
    <w:rsid w:val="00A350A9"/>
    <w:rsid w:val="00A353CB"/>
    <w:rsid w:val="00A35496"/>
    <w:rsid w:val="00A355AE"/>
    <w:rsid w:val="00A355BA"/>
    <w:rsid w:val="00A356C3"/>
    <w:rsid w:val="00A357A7"/>
    <w:rsid w:val="00A358B0"/>
    <w:rsid w:val="00A35926"/>
    <w:rsid w:val="00A35A61"/>
    <w:rsid w:val="00A35B52"/>
    <w:rsid w:val="00A35BAE"/>
    <w:rsid w:val="00A35BD7"/>
    <w:rsid w:val="00A35C69"/>
    <w:rsid w:val="00A35E02"/>
    <w:rsid w:val="00A35E7D"/>
    <w:rsid w:val="00A35E82"/>
    <w:rsid w:val="00A35EFF"/>
    <w:rsid w:val="00A35F38"/>
    <w:rsid w:val="00A35FBA"/>
    <w:rsid w:val="00A36120"/>
    <w:rsid w:val="00A36208"/>
    <w:rsid w:val="00A3624E"/>
    <w:rsid w:val="00A36263"/>
    <w:rsid w:val="00A362D3"/>
    <w:rsid w:val="00A363CD"/>
    <w:rsid w:val="00A36407"/>
    <w:rsid w:val="00A364BE"/>
    <w:rsid w:val="00A36537"/>
    <w:rsid w:val="00A3660E"/>
    <w:rsid w:val="00A367CB"/>
    <w:rsid w:val="00A36971"/>
    <w:rsid w:val="00A369A4"/>
    <w:rsid w:val="00A369FB"/>
    <w:rsid w:val="00A36C6D"/>
    <w:rsid w:val="00A36CBD"/>
    <w:rsid w:val="00A36DFC"/>
    <w:rsid w:val="00A36E40"/>
    <w:rsid w:val="00A36FA9"/>
    <w:rsid w:val="00A370A7"/>
    <w:rsid w:val="00A37191"/>
    <w:rsid w:val="00A372B5"/>
    <w:rsid w:val="00A37389"/>
    <w:rsid w:val="00A373DC"/>
    <w:rsid w:val="00A373EE"/>
    <w:rsid w:val="00A3742E"/>
    <w:rsid w:val="00A37528"/>
    <w:rsid w:val="00A37583"/>
    <w:rsid w:val="00A375CD"/>
    <w:rsid w:val="00A375CF"/>
    <w:rsid w:val="00A3775F"/>
    <w:rsid w:val="00A3776D"/>
    <w:rsid w:val="00A378E4"/>
    <w:rsid w:val="00A37926"/>
    <w:rsid w:val="00A37B43"/>
    <w:rsid w:val="00A37B6D"/>
    <w:rsid w:val="00A37D9C"/>
    <w:rsid w:val="00A37E49"/>
    <w:rsid w:val="00A37EBF"/>
    <w:rsid w:val="00A37F65"/>
    <w:rsid w:val="00A40086"/>
    <w:rsid w:val="00A400FD"/>
    <w:rsid w:val="00A40222"/>
    <w:rsid w:val="00A4025D"/>
    <w:rsid w:val="00A4028E"/>
    <w:rsid w:val="00A403C4"/>
    <w:rsid w:val="00A403EB"/>
    <w:rsid w:val="00A40424"/>
    <w:rsid w:val="00A40436"/>
    <w:rsid w:val="00A4047C"/>
    <w:rsid w:val="00A405B4"/>
    <w:rsid w:val="00A40739"/>
    <w:rsid w:val="00A40768"/>
    <w:rsid w:val="00A407FA"/>
    <w:rsid w:val="00A4085B"/>
    <w:rsid w:val="00A40899"/>
    <w:rsid w:val="00A4089A"/>
    <w:rsid w:val="00A40925"/>
    <w:rsid w:val="00A409FF"/>
    <w:rsid w:val="00A40A7A"/>
    <w:rsid w:val="00A40AB8"/>
    <w:rsid w:val="00A40B30"/>
    <w:rsid w:val="00A40B5F"/>
    <w:rsid w:val="00A40C07"/>
    <w:rsid w:val="00A40C16"/>
    <w:rsid w:val="00A40C65"/>
    <w:rsid w:val="00A40EFF"/>
    <w:rsid w:val="00A40F9D"/>
    <w:rsid w:val="00A4102B"/>
    <w:rsid w:val="00A4105F"/>
    <w:rsid w:val="00A410CC"/>
    <w:rsid w:val="00A41168"/>
    <w:rsid w:val="00A4116A"/>
    <w:rsid w:val="00A41374"/>
    <w:rsid w:val="00A414D5"/>
    <w:rsid w:val="00A41567"/>
    <w:rsid w:val="00A415CF"/>
    <w:rsid w:val="00A416BF"/>
    <w:rsid w:val="00A417AF"/>
    <w:rsid w:val="00A41874"/>
    <w:rsid w:val="00A418F2"/>
    <w:rsid w:val="00A41909"/>
    <w:rsid w:val="00A41A1E"/>
    <w:rsid w:val="00A41A37"/>
    <w:rsid w:val="00A41C12"/>
    <w:rsid w:val="00A41C1D"/>
    <w:rsid w:val="00A41C97"/>
    <w:rsid w:val="00A41F8C"/>
    <w:rsid w:val="00A41FF8"/>
    <w:rsid w:val="00A4203E"/>
    <w:rsid w:val="00A42127"/>
    <w:rsid w:val="00A421C8"/>
    <w:rsid w:val="00A4223C"/>
    <w:rsid w:val="00A42266"/>
    <w:rsid w:val="00A422DC"/>
    <w:rsid w:val="00A423C7"/>
    <w:rsid w:val="00A42671"/>
    <w:rsid w:val="00A426F1"/>
    <w:rsid w:val="00A42774"/>
    <w:rsid w:val="00A42835"/>
    <w:rsid w:val="00A4294E"/>
    <w:rsid w:val="00A42D49"/>
    <w:rsid w:val="00A42D52"/>
    <w:rsid w:val="00A42DA5"/>
    <w:rsid w:val="00A42DFF"/>
    <w:rsid w:val="00A42E5C"/>
    <w:rsid w:val="00A42EB6"/>
    <w:rsid w:val="00A42EC0"/>
    <w:rsid w:val="00A42FBD"/>
    <w:rsid w:val="00A431CF"/>
    <w:rsid w:val="00A43270"/>
    <w:rsid w:val="00A43292"/>
    <w:rsid w:val="00A43391"/>
    <w:rsid w:val="00A43429"/>
    <w:rsid w:val="00A43432"/>
    <w:rsid w:val="00A434FC"/>
    <w:rsid w:val="00A434FF"/>
    <w:rsid w:val="00A43515"/>
    <w:rsid w:val="00A43601"/>
    <w:rsid w:val="00A43668"/>
    <w:rsid w:val="00A436AF"/>
    <w:rsid w:val="00A437BD"/>
    <w:rsid w:val="00A4393B"/>
    <w:rsid w:val="00A4394F"/>
    <w:rsid w:val="00A4397B"/>
    <w:rsid w:val="00A43AFD"/>
    <w:rsid w:val="00A43B3E"/>
    <w:rsid w:val="00A43D3A"/>
    <w:rsid w:val="00A43DC4"/>
    <w:rsid w:val="00A43E2A"/>
    <w:rsid w:val="00A43E79"/>
    <w:rsid w:val="00A43F10"/>
    <w:rsid w:val="00A44030"/>
    <w:rsid w:val="00A4412E"/>
    <w:rsid w:val="00A44136"/>
    <w:rsid w:val="00A443E6"/>
    <w:rsid w:val="00A44461"/>
    <w:rsid w:val="00A4469E"/>
    <w:rsid w:val="00A4488D"/>
    <w:rsid w:val="00A44894"/>
    <w:rsid w:val="00A449AB"/>
    <w:rsid w:val="00A44A15"/>
    <w:rsid w:val="00A44A1D"/>
    <w:rsid w:val="00A44A9C"/>
    <w:rsid w:val="00A44AD0"/>
    <w:rsid w:val="00A44C1B"/>
    <w:rsid w:val="00A44D2D"/>
    <w:rsid w:val="00A44D93"/>
    <w:rsid w:val="00A44DCF"/>
    <w:rsid w:val="00A44EBD"/>
    <w:rsid w:val="00A44EF9"/>
    <w:rsid w:val="00A44F24"/>
    <w:rsid w:val="00A45262"/>
    <w:rsid w:val="00A45268"/>
    <w:rsid w:val="00A4532F"/>
    <w:rsid w:val="00A45676"/>
    <w:rsid w:val="00A456E9"/>
    <w:rsid w:val="00A456F8"/>
    <w:rsid w:val="00A45766"/>
    <w:rsid w:val="00A45784"/>
    <w:rsid w:val="00A457FB"/>
    <w:rsid w:val="00A458B2"/>
    <w:rsid w:val="00A45A31"/>
    <w:rsid w:val="00A45B42"/>
    <w:rsid w:val="00A45CF5"/>
    <w:rsid w:val="00A45D3A"/>
    <w:rsid w:val="00A45DC2"/>
    <w:rsid w:val="00A45DDA"/>
    <w:rsid w:val="00A4611C"/>
    <w:rsid w:val="00A461AA"/>
    <w:rsid w:val="00A463A5"/>
    <w:rsid w:val="00A463B2"/>
    <w:rsid w:val="00A4642F"/>
    <w:rsid w:val="00A465BF"/>
    <w:rsid w:val="00A465CB"/>
    <w:rsid w:val="00A4668D"/>
    <w:rsid w:val="00A46793"/>
    <w:rsid w:val="00A467AE"/>
    <w:rsid w:val="00A46841"/>
    <w:rsid w:val="00A46982"/>
    <w:rsid w:val="00A46A14"/>
    <w:rsid w:val="00A46B9C"/>
    <w:rsid w:val="00A46C07"/>
    <w:rsid w:val="00A46DED"/>
    <w:rsid w:val="00A46F2B"/>
    <w:rsid w:val="00A47046"/>
    <w:rsid w:val="00A4711F"/>
    <w:rsid w:val="00A47152"/>
    <w:rsid w:val="00A4715D"/>
    <w:rsid w:val="00A47162"/>
    <w:rsid w:val="00A47219"/>
    <w:rsid w:val="00A473F7"/>
    <w:rsid w:val="00A4745F"/>
    <w:rsid w:val="00A4746B"/>
    <w:rsid w:val="00A47475"/>
    <w:rsid w:val="00A47485"/>
    <w:rsid w:val="00A47493"/>
    <w:rsid w:val="00A47505"/>
    <w:rsid w:val="00A47649"/>
    <w:rsid w:val="00A476A5"/>
    <w:rsid w:val="00A47763"/>
    <w:rsid w:val="00A4782D"/>
    <w:rsid w:val="00A47933"/>
    <w:rsid w:val="00A47B65"/>
    <w:rsid w:val="00A47BEA"/>
    <w:rsid w:val="00A47BEC"/>
    <w:rsid w:val="00A47CA5"/>
    <w:rsid w:val="00A47CF6"/>
    <w:rsid w:val="00A47D01"/>
    <w:rsid w:val="00A47DA9"/>
    <w:rsid w:val="00A47EF2"/>
    <w:rsid w:val="00A47F22"/>
    <w:rsid w:val="00A47F2F"/>
    <w:rsid w:val="00A47F7A"/>
    <w:rsid w:val="00A47F86"/>
    <w:rsid w:val="00A47FA4"/>
    <w:rsid w:val="00A5005A"/>
    <w:rsid w:val="00A50073"/>
    <w:rsid w:val="00A50180"/>
    <w:rsid w:val="00A50277"/>
    <w:rsid w:val="00A502F2"/>
    <w:rsid w:val="00A502F6"/>
    <w:rsid w:val="00A50362"/>
    <w:rsid w:val="00A503E5"/>
    <w:rsid w:val="00A504E7"/>
    <w:rsid w:val="00A50505"/>
    <w:rsid w:val="00A5059C"/>
    <w:rsid w:val="00A506A0"/>
    <w:rsid w:val="00A506A1"/>
    <w:rsid w:val="00A50711"/>
    <w:rsid w:val="00A50713"/>
    <w:rsid w:val="00A50739"/>
    <w:rsid w:val="00A5085C"/>
    <w:rsid w:val="00A5096A"/>
    <w:rsid w:val="00A509EF"/>
    <w:rsid w:val="00A50A46"/>
    <w:rsid w:val="00A50AA7"/>
    <w:rsid w:val="00A50C42"/>
    <w:rsid w:val="00A50DDA"/>
    <w:rsid w:val="00A50ECF"/>
    <w:rsid w:val="00A50FC3"/>
    <w:rsid w:val="00A50FFC"/>
    <w:rsid w:val="00A51014"/>
    <w:rsid w:val="00A51084"/>
    <w:rsid w:val="00A51121"/>
    <w:rsid w:val="00A51162"/>
    <w:rsid w:val="00A511B4"/>
    <w:rsid w:val="00A5125D"/>
    <w:rsid w:val="00A512BD"/>
    <w:rsid w:val="00A513D0"/>
    <w:rsid w:val="00A51532"/>
    <w:rsid w:val="00A51543"/>
    <w:rsid w:val="00A516BF"/>
    <w:rsid w:val="00A5172D"/>
    <w:rsid w:val="00A517A1"/>
    <w:rsid w:val="00A517E3"/>
    <w:rsid w:val="00A5182E"/>
    <w:rsid w:val="00A51866"/>
    <w:rsid w:val="00A5196D"/>
    <w:rsid w:val="00A51A17"/>
    <w:rsid w:val="00A51BF9"/>
    <w:rsid w:val="00A51C64"/>
    <w:rsid w:val="00A51CD4"/>
    <w:rsid w:val="00A51DFA"/>
    <w:rsid w:val="00A51E3F"/>
    <w:rsid w:val="00A51EA2"/>
    <w:rsid w:val="00A51EC3"/>
    <w:rsid w:val="00A51F24"/>
    <w:rsid w:val="00A51FEA"/>
    <w:rsid w:val="00A52013"/>
    <w:rsid w:val="00A52020"/>
    <w:rsid w:val="00A5205E"/>
    <w:rsid w:val="00A520FA"/>
    <w:rsid w:val="00A52213"/>
    <w:rsid w:val="00A52319"/>
    <w:rsid w:val="00A5231D"/>
    <w:rsid w:val="00A52714"/>
    <w:rsid w:val="00A5271A"/>
    <w:rsid w:val="00A5292E"/>
    <w:rsid w:val="00A5293F"/>
    <w:rsid w:val="00A529C6"/>
    <w:rsid w:val="00A52D1D"/>
    <w:rsid w:val="00A53024"/>
    <w:rsid w:val="00A53042"/>
    <w:rsid w:val="00A53126"/>
    <w:rsid w:val="00A53129"/>
    <w:rsid w:val="00A5317F"/>
    <w:rsid w:val="00A5318E"/>
    <w:rsid w:val="00A5324C"/>
    <w:rsid w:val="00A5327C"/>
    <w:rsid w:val="00A532F4"/>
    <w:rsid w:val="00A5331F"/>
    <w:rsid w:val="00A53485"/>
    <w:rsid w:val="00A5356A"/>
    <w:rsid w:val="00A535F4"/>
    <w:rsid w:val="00A53605"/>
    <w:rsid w:val="00A53775"/>
    <w:rsid w:val="00A53856"/>
    <w:rsid w:val="00A538B2"/>
    <w:rsid w:val="00A5392A"/>
    <w:rsid w:val="00A539F2"/>
    <w:rsid w:val="00A53ACD"/>
    <w:rsid w:val="00A53BA8"/>
    <w:rsid w:val="00A53BD9"/>
    <w:rsid w:val="00A53CAB"/>
    <w:rsid w:val="00A53CC3"/>
    <w:rsid w:val="00A53F30"/>
    <w:rsid w:val="00A53FC2"/>
    <w:rsid w:val="00A53FFA"/>
    <w:rsid w:val="00A5401E"/>
    <w:rsid w:val="00A54061"/>
    <w:rsid w:val="00A540F0"/>
    <w:rsid w:val="00A54117"/>
    <w:rsid w:val="00A54250"/>
    <w:rsid w:val="00A542E7"/>
    <w:rsid w:val="00A54397"/>
    <w:rsid w:val="00A54458"/>
    <w:rsid w:val="00A544A5"/>
    <w:rsid w:val="00A54534"/>
    <w:rsid w:val="00A5453D"/>
    <w:rsid w:val="00A5462E"/>
    <w:rsid w:val="00A54823"/>
    <w:rsid w:val="00A54874"/>
    <w:rsid w:val="00A54891"/>
    <w:rsid w:val="00A54934"/>
    <w:rsid w:val="00A549BB"/>
    <w:rsid w:val="00A549E3"/>
    <w:rsid w:val="00A54B4B"/>
    <w:rsid w:val="00A54C53"/>
    <w:rsid w:val="00A54C69"/>
    <w:rsid w:val="00A54C85"/>
    <w:rsid w:val="00A54CA8"/>
    <w:rsid w:val="00A54DE3"/>
    <w:rsid w:val="00A54E76"/>
    <w:rsid w:val="00A54E89"/>
    <w:rsid w:val="00A54EFC"/>
    <w:rsid w:val="00A54FA7"/>
    <w:rsid w:val="00A54FC4"/>
    <w:rsid w:val="00A5501A"/>
    <w:rsid w:val="00A5516C"/>
    <w:rsid w:val="00A5517B"/>
    <w:rsid w:val="00A552C5"/>
    <w:rsid w:val="00A552CD"/>
    <w:rsid w:val="00A5534C"/>
    <w:rsid w:val="00A55350"/>
    <w:rsid w:val="00A5535E"/>
    <w:rsid w:val="00A55370"/>
    <w:rsid w:val="00A554FB"/>
    <w:rsid w:val="00A55604"/>
    <w:rsid w:val="00A55631"/>
    <w:rsid w:val="00A5563F"/>
    <w:rsid w:val="00A55723"/>
    <w:rsid w:val="00A5572F"/>
    <w:rsid w:val="00A557C2"/>
    <w:rsid w:val="00A557C3"/>
    <w:rsid w:val="00A5581A"/>
    <w:rsid w:val="00A55892"/>
    <w:rsid w:val="00A5596C"/>
    <w:rsid w:val="00A559FF"/>
    <w:rsid w:val="00A55A33"/>
    <w:rsid w:val="00A55B10"/>
    <w:rsid w:val="00A55C17"/>
    <w:rsid w:val="00A55CCC"/>
    <w:rsid w:val="00A55D54"/>
    <w:rsid w:val="00A55DB4"/>
    <w:rsid w:val="00A55FDF"/>
    <w:rsid w:val="00A56139"/>
    <w:rsid w:val="00A56188"/>
    <w:rsid w:val="00A561EA"/>
    <w:rsid w:val="00A56304"/>
    <w:rsid w:val="00A56341"/>
    <w:rsid w:val="00A563F6"/>
    <w:rsid w:val="00A565A0"/>
    <w:rsid w:val="00A565FC"/>
    <w:rsid w:val="00A56649"/>
    <w:rsid w:val="00A56672"/>
    <w:rsid w:val="00A56689"/>
    <w:rsid w:val="00A566CA"/>
    <w:rsid w:val="00A5673D"/>
    <w:rsid w:val="00A56776"/>
    <w:rsid w:val="00A567D9"/>
    <w:rsid w:val="00A567ED"/>
    <w:rsid w:val="00A56810"/>
    <w:rsid w:val="00A56B67"/>
    <w:rsid w:val="00A56D32"/>
    <w:rsid w:val="00A570DB"/>
    <w:rsid w:val="00A57378"/>
    <w:rsid w:val="00A573E1"/>
    <w:rsid w:val="00A573F2"/>
    <w:rsid w:val="00A576AD"/>
    <w:rsid w:val="00A5782B"/>
    <w:rsid w:val="00A57A9C"/>
    <w:rsid w:val="00A57AD0"/>
    <w:rsid w:val="00A57AE2"/>
    <w:rsid w:val="00A57B1E"/>
    <w:rsid w:val="00A57B64"/>
    <w:rsid w:val="00A57B76"/>
    <w:rsid w:val="00A57D7B"/>
    <w:rsid w:val="00A57E62"/>
    <w:rsid w:val="00A57F94"/>
    <w:rsid w:val="00A57F9C"/>
    <w:rsid w:val="00A6004B"/>
    <w:rsid w:val="00A60199"/>
    <w:rsid w:val="00A60256"/>
    <w:rsid w:val="00A60549"/>
    <w:rsid w:val="00A6054A"/>
    <w:rsid w:val="00A606E4"/>
    <w:rsid w:val="00A608E5"/>
    <w:rsid w:val="00A60957"/>
    <w:rsid w:val="00A60B7A"/>
    <w:rsid w:val="00A60BC5"/>
    <w:rsid w:val="00A60BC6"/>
    <w:rsid w:val="00A60C2A"/>
    <w:rsid w:val="00A60E8A"/>
    <w:rsid w:val="00A60EA0"/>
    <w:rsid w:val="00A60EF2"/>
    <w:rsid w:val="00A6102B"/>
    <w:rsid w:val="00A61102"/>
    <w:rsid w:val="00A61132"/>
    <w:rsid w:val="00A61178"/>
    <w:rsid w:val="00A611D5"/>
    <w:rsid w:val="00A6120D"/>
    <w:rsid w:val="00A612E2"/>
    <w:rsid w:val="00A6138E"/>
    <w:rsid w:val="00A61422"/>
    <w:rsid w:val="00A615DE"/>
    <w:rsid w:val="00A617A9"/>
    <w:rsid w:val="00A6180D"/>
    <w:rsid w:val="00A618FC"/>
    <w:rsid w:val="00A6190F"/>
    <w:rsid w:val="00A61921"/>
    <w:rsid w:val="00A61965"/>
    <w:rsid w:val="00A619AD"/>
    <w:rsid w:val="00A619B2"/>
    <w:rsid w:val="00A61B74"/>
    <w:rsid w:val="00A61BB6"/>
    <w:rsid w:val="00A61E1E"/>
    <w:rsid w:val="00A61E5F"/>
    <w:rsid w:val="00A61FCE"/>
    <w:rsid w:val="00A620C9"/>
    <w:rsid w:val="00A62103"/>
    <w:rsid w:val="00A62162"/>
    <w:rsid w:val="00A6218A"/>
    <w:rsid w:val="00A621AA"/>
    <w:rsid w:val="00A62269"/>
    <w:rsid w:val="00A6227B"/>
    <w:rsid w:val="00A62451"/>
    <w:rsid w:val="00A624D5"/>
    <w:rsid w:val="00A62590"/>
    <w:rsid w:val="00A6275F"/>
    <w:rsid w:val="00A627AF"/>
    <w:rsid w:val="00A62831"/>
    <w:rsid w:val="00A62875"/>
    <w:rsid w:val="00A62986"/>
    <w:rsid w:val="00A62A49"/>
    <w:rsid w:val="00A62BBD"/>
    <w:rsid w:val="00A62BCB"/>
    <w:rsid w:val="00A62F2C"/>
    <w:rsid w:val="00A630D2"/>
    <w:rsid w:val="00A63108"/>
    <w:rsid w:val="00A631B3"/>
    <w:rsid w:val="00A632D7"/>
    <w:rsid w:val="00A633D7"/>
    <w:rsid w:val="00A635C8"/>
    <w:rsid w:val="00A636DE"/>
    <w:rsid w:val="00A63758"/>
    <w:rsid w:val="00A6382D"/>
    <w:rsid w:val="00A63842"/>
    <w:rsid w:val="00A639A2"/>
    <w:rsid w:val="00A63B07"/>
    <w:rsid w:val="00A63BDE"/>
    <w:rsid w:val="00A63C2B"/>
    <w:rsid w:val="00A63C4B"/>
    <w:rsid w:val="00A63CAA"/>
    <w:rsid w:val="00A63D2E"/>
    <w:rsid w:val="00A63DB6"/>
    <w:rsid w:val="00A63DED"/>
    <w:rsid w:val="00A63E5C"/>
    <w:rsid w:val="00A63F48"/>
    <w:rsid w:val="00A63FB3"/>
    <w:rsid w:val="00A64004"/>
    <w:rsid w:val="00A64109"/>
    <w:rsid w:val="00A6414E"/>
    <w:rsid w:val="00A6427D"/>
    <w:rsid w:val="00A643D3"/>
    <w:rsid w:val="00A64404"/>
    <w:rsid w:val="00A6442E"/>
    <w:rsid w:val="00A645A8"/>
    <w:rsid w:val="00A6468A"/>
    <w:rsid w:val="00A648C2"/>
    <w:rsid w:val="00A649BB"/>
    <w:rsid w:val="00A64AD2"/>
    <w:rsid w:val="00A64B2A"/>
    <w:rsid w:val="00A64B34"/>
    <w:rsid w:val="00A64BCE"/>
    <w:rsid w:val="00A64C68"/>
    <w:rsid w:val="00A64D38"/>
    <w:rsid w:val="00A64DCA"/>
    <w:rsid w:val="00A64E57"/>
    <w:rsid w:val="00A64E6E"/>
    <w:rsid w:val="00A64E9D"/>
    <w:rsid w:val="00A64F54"/>
    <w:rsid w:val="00A64FCC"/>
    <w:rsid w:val="00A65078"/>
    <w:rsid w:val="00A65175"/>
    <w:rsid w:val="00A651D7"/>
    <w:rsid w:val="00A651E4"/>
    <w:rsid w:val="00A65459"/>
    <w:rsid w:val="00A6569A"/>
    <w:rsid w:val="00A656E0"/>
    <w:rsid w:val="00A657DB"/>
    <w:rsid w:val="00A65803"/>
    <w:rsid w:val="00A65827"/>
    <w:rsid w:val="00A65844"/>
    <w:rsid w:val="00A658B5"/>
    <w:rsid w:val="00A658BB"/>
    <w:rsid w:val="00A65904"/>
    <w:rsid w:val="00A65A39"/>
    <w:rsid w:val="00A65AB9"/>
    <w:rsid w:val="00A65B5B"/>
    <w:rsid w:val="00A65BAB"/>
    <w:rsid w:val="00A65D02"/>
    <w:rsid w:val="00A65D26"/>
    <w:rsid w:val="00A65D95"/>
    <w:rsid w:val="00A65E98"/>
    <w:rsid w:val="00A65F00"/>
    <w:rsid w:val="00A660FF"/>
    <w:rsid w:val="00A661C3"/>
    <w:rsid w:val="00A661D8"/>
    <w:rsid w:val="00A66291"/>
    <w:rsid w:val="00A662F3"/>
    <w:rsid w:val="00A6646D"/>
    <w:rsid w:val="00A6649F"/>
    <w:rsid w:val="00A664E7"/>
    <w:rsid w:val="00A665FF"/>
    <w:rsid w:val="00A666AC"/>
    <w:rsid w:val="00A66747"/>
    <w:rsid w:val="00A667C8"/>
    <w:rsid w:val="00A66810"/>
    <w:rsid w:val="00A66927"/>
    <w:rsid w:val="00A66948"/>
    <w:rsid w:val="00A66A4A"/>
    <w:rsid w:val="00A66ACE"/>
    <w:rsid w:val="00A66B7D"/>
    <w:rsid w:val="00A66D07"/>
    <w:rsid w:val="00A66DD1"/>
    <w:rsid w:val="00A66FC8"/>
    <w:rsid w:val="00A67002"/>
    <w:rsid w:val="00A67245"/>
    <w:rsid w:val="00A67297"/>
    <w:rsid w:val="00A67551"/>
    <w:rsid w:val="00A67612"/>
    <w:rsid w:val="00A6767A"/>
    <w:rsid w:val="00A6777C"/>
    <w:rsid w:val="00A6779F"/>
    <w:rsid w:val="00A677CE"/>
    <w:rsid w:val="00A67834"/>
    <w:rsid w:val="00A6791D"/>
    <w:rsid w:val="00A67A8C"/>
    <w:rsid w:val="00A67AB3"/>
    <w:rsid w:val="00A67B1F"/>
    <w:rsid w:val="00A67B35"/>
    <w:rsid w:val="00A67BBD"/>
    <w:rsid w:val="00A67BC1"/>
    <w:rsid w:val="00A67C0A"/>
    <w:rsid w:val="00A67CDA"/>
    <w:rsid w:val="00A67D3B"/>
    <w:rsid w:val="00A67E4D"/>
    <w:rsid w:val="00A70077"/>
    <w:rsid w:val="00A70186"/>
    <w:rsid w:val="00A701A7"/>
    <w:rsid w:val="00A7020E"/>
    <w:rsid w:val="00A7024A"/>
    <w:rsid w:val="00A70285"/>
    <w:rsid w:val="00A703A3"/>
    <w:rsid w:val="00A70525"/>
    <w:rsid w:val="00A70629"/>
    <w:rsid w:val="00A7080F"/>
    <w:rsid w:val="00A70A28"/>
    <w:rsid w:val="00A70AD0"/>
    <w:rsid w:val="00A70B7C"/>
    <w:rsid w:val="00A70BAA"/>
    <w:rsid w:val="00A70D4C"/>
    <w:rsid w:val="00A70DDD"/>
    <w:rsid w:val="00A70EE3"/>
    <w:rsid w:val="00A70F8A"/>
    <w:rsid w:val="00A70FD1"/>
    <w:rsid w:val="00A71048"/>
    <w:rsid w:val="00A71088"/>
    <w:rsid w:val="00A7111F"/>
    <w:rsid w:val="00A71229"/>
    <w:rsid w:val="00A71251"/>
    <w:rsid w:val="00A712B0"/>
    <w:rsid w:val="00A712CE"/>
    <w:rsid w:val="00A71433"/>
    <w:rsid w:val="00A71462"/>
    <w:rsid w:val="00A7150D"/>
    <w:rsid w:val="00A71634"/>
    <w:rsid w:val="00A71736"/>
    <w:rsid w:val="00A717BA"/>
    <w:rsid w:val="00A71846"/>
    <w:rsid w:val="00A718E3"/>
    <w:rsid w:val="00A71A67"/>
    <w:rsid w:val="00A71B8C"/>
    <w:rsid w:val="00A71C03"/>
    <w:rsid w:val="00A71C08"/>
    <w:rsid w:val="00A71C8B"/>
    <w:rsid w:val="00A71DDF"/>
    <w:rsid w:val="00A71DE8"/>
    <w:rsid w:val="00A7208F"/>
    <w:rsid w:val="00A720EC"/>
    <w:rsid w:val="00A7217E"/>
    <w:rsid w:val="00A7229C"/>
    <w:rsid w:val="00A725C0"/>
    <w:rsid w:val="00A725E2"/>
    <w:rsid w:val="00A72751"/>
    <w:rsid w:val="00A72757"/>
    <w:rsid w:val="00A7276E"/>
    <w:rsid w:val="00A72830"/>
    <w:rsid w:val="00A72850"/>
    <w:rsid w:val="00A7291B"/>
    <w:rsid w:val="00A7292A"/>
    <w:rsid w:val="00A7296E"/>
    <w:rsid w:val="00A729F6"/>
    <w:rsid w:val="00A72A96"/>
    <w:rsid w:val="00A72AC4"/>
    <w:rsid w:val="00A72B1F"/>
    <w:rsid w:val="00A72DA9"/>
    <w:rsid w:val="00A72F99"/>
    <w:rsid w:val="00A73131"/>
    <w:rsid w:val="00A73208"/>
    <w:rsid w:val="00A73285"/>
    <w:rsid w:val="00A73588"/>
    <w:rsid w:val="00A735A5"/>
    <w:rsid w:val="00A7361E"/>
    <w:rsid w:val="00A737DB"/>
    <w:rsid w:val="00A738A8"/>
    <w:rsid w:val="00A738CA"/>
    <w:rsid w:val="00A7391C"/>
    <w:rsid w:val="00A73946"/>
    <w:rsid w:val="00A739BE"/>
    <w:rsid w:val="00A739ED"/>
    <w:rsid w:val="00A739F8"/>
    <w:rsid w:val="00A73A86"/>
    <w:rsid w:val="00A73B89"/>
    <w:rsid w:val="00A73C3E"/>
    <w:rsid w:val="00A73C65"/>
    <w:rsid w:val="00A73F89"/>
    <w:rsid w:val="00A73FDB"/>
    <w:rsid w:val="00A73FEB"/>
    <w:rsid w:val="00A74070"/>
    <w:rsid w:val="00A7414E"/>
    <w:rsid w:val="00A74228"/>
    <w:rsid w:val="00A74265"/>
    <w:rsid w:val="00A74348"/>
    <w:rsid w:val="00A74452"/>
    <w:rsid w:val="00A74461"/>
    <w:rsid w:val="00A744FD"/>
    <w:rsid w:val="00A74535"/>
    <w:rsid w:val="00A745A7"/>
    <w:rsid w:val="00A7460C"/>
    <w:rsid w:val="00A74633"/>
    <w:rsid w:val="00A74883"/>
    <w:rsid w:val="00A74A76"/>
    <w:rsid w:val="00A74AF4"/>
    <w:rsid w:val="00A74B0A"/>
    <w:rsid w:val="00A74B16"/>
    <w:rsid w:val="00A74BF1"/>
    <w:rsid w:val="00A74BFA"/>
    <w:rsid w:val="00A74C2D"/>
    <w:rsid w:val="00A74D0F"/>
    <w:rsid w:val="00A74DB1"/>
    <w:rsid w:val="00A74EB1"/>
    <w:rsid w:val="00A7502D"/>
    <w:rsid w:val="00A750F0"/>
    <w:rsid w:val="00A7511F"/>
    <w:rsid w:val="00A75315"/>
    <w:rsid w:val="00A7535B"/>
    <w:rsid w:val="00A753A5"/>
    <w:rsid w:val="00A75455"/>
    <w:rsid w:val="00A75605"/>
    <w:rsid w:val="00A7566C"/>
    <w:rsid w:val="00A75675"/>
    <w:rsid w:val="00A75854"/>
    <w:rsid w:val="00A7595A"/>
    <w:rsid w:val="00A75A11"/>
    <w:rsid w:val="00A75BDE"/>
    <w:rsid w:val="00A75D2D"/>
    <w:rsid w:val="00A75D5C"/>
    <w:rsid w:val="00A75DA5"/>
    <w:rsid w:val="00A75E22"/>
    <w:rsid w:val="00A75F5D"/>
    <w:rsid w:val="00A76118"/>
    <w:rsid w:val="00A7611C"/>
    <w:rsid w:val="00A76133"/>
    <w:rsid w:val="00A762BB"/>
    <w:rsid w:val="00A763A9"/>
    <w:rsid w:val="00A76419"/>
    <w:rsid w:val="00A765E9"/>
    <w:rsid w:val="00A76630"/>
    <w:rsid w:val="00A7667F"/>
    <w:rsid w:val="00A766BA"/>
    <w:rsid w:val="00A76725"/>
    <w:rsid w:val="00A76825"/>
    <w:rsid w:val="00A76924"/>
    <w:rsid w:val="00A76AB5"/>
    <w:rsid w:val="00A76ADE"/>
    <w:rsid w:val="00A76AFE"/>
    <w:rsid w:val="00A76B08"/>
    <w:rsid w:val="00A76B46"/>
    <w:rsid w:val="00A76B81"/>
    <w:rsid w:val="00A76BB5"/>
    <w:rsid w:val="00A76C0D"/>
    <w:rsid w:val="00A76C2C"/>
    <w:rsid w:val="00A76E34"/>
    <w:rsid w:val="00A76ED7"/>
    <w:rsid w:val="00A76F57"/>
    <w:rsid w:val="00A76FB0"/>
    <w:rsid w:val="00A76FD0"/>
    <w:rsid w:val="00A77048"/>
    <w:rsid w:val="00A7704A"/>
    <w:rsid w:val="00A77123"/>
    <w:rsid w:val="00A771A7"/>
    <w:rsid w:val="00A772BF"/>
    <w:rsid w:val="00A77334"/>
    <w:rsid w:val="00A77340"/>
    <w:rsid w:val="00A773B7"/>
    <w:rsid w:val="00A773BD"/>
    <w:rsid w:val="00A77448"/>
    <w:rsid w:val="00A774E4"/>
    <w:rsid w:val="00A77567"/>
    <w:rsid w:val="00A77681"/>
    <w:rsid w:val="00A7771A"/>
    <w:rsid w:val="00A7774B"/>
    <w:rsid w:val="00A777C6"/>
    <w:rsid w:val="00A777F2"/>
    <w:rsid w:val="00A777F6"/>
    <w:rsid w:val="00A77800"/>
    <w:rsid w:val="00A77A74"/>
    <w:rsid w:val="00A77B4E"/>
    <w:rsid w:val="00A77B5D"/>
    <w:rsid w:val="00A77DB2"/>
    <w:rsid w:val="00A77E1E"/>
    <w:rsid w:val="00A77E51"/>
    <w:rsid w:val="00A77EAA"/>
    <w:rsid w:val="00A77F1D"/>
    <w:rsid w:val="00A77FF0"/>
    <w:rsid w:val="00A80070"/>
    <w:rsid w:val="00A8012B"/>
    <w:rsid w:val="00A80182"/>
    <w:rsid w:val="00A80237"/>
    <w:rsid w:val="00A80250"/>
    <w:rsid w:val="00A80474"/>
    <w:rsid w:val="00A8055C"/>
    <w:rsid w:val="00A805D8"/>
    <w:rsid w:val="00A80628"/>
    <w:rsid w:val="00A80645"/>
    <w:rsid w:val="00A8071A"/>
    <w:rsid w:val="00A80785"/>
    <w:rsid w:val="00A807FA"/>
    <w:rsid w:val="00A808F0"/>
    <w:rsid w:val="00A80998"/>
    <w:rsid w:val="00A80B59"/>
    <w:rsid w:val="00A80C28"/>
    <w:rsid w:val="00A80C4D"/>
    <w:rsid w:val="00A80C6C"/>
    <w:rsid w:val="00A80CFE"/>
    <w:rsid w:val="00A80D7C"/>
    <w:rsid w:val="00A80E16"/>
    <w:rsid w:val="00A80F68"/>
    <w:rsid w:val="00A810D8"/>
    <w:rsid w:val="00A810F4"/>
    <w:rsid w:val="00A81146"/>
    <w:rsid w:val="00A81183"/>
    <w:rsid w:val="00A81220"/>
    <w:rsid w:val="00A812E8"/>
    <w:rsid w:val="00A81469"/>
    <w:rsid w:val="00A81512"/>
    <w:rsid w:val="00A81662"/>
    <w:rsid w:val="00A81698"/>
    <w:rsid w:val="00A817CB"/>
    <w:rsid w:val="00A817DF"/>
    <w:rsid w:val="00A817E8"/>
    <w:rsid w:val="00A8197F"/>
    <w:rsid w:val="00A81A20"/>
    <w:rsid w:val="00A81B54"/>
    <w:rsid w:val="00A81C12"/>
    <w:rsid w:val="00A81C15"/>
    <w:rsid w:val="00A81C37"/>
    <w:rsid w:val="00A81DF4"/>
    <w:rsid w:val="00A81E84"/>
    <w:rsid w:val="00A81EA0"/>
    <w:rsid w:val="00A81EAF"/>
    <w:rsid w:val="00A81ED2"/>
    <w:rsid w:val="00A81EFC"/>
    <w:rsid w:val="00A81F10"/>
    <w:rsid w:val="00A81FCB"/>
    <w:rsid w:val="00A82028"/>
    <w:rsid w:val="00A8206F"/>
    <w:rsid w:val="00A82089"/>
    <w:rsid w:val="00A82119"/>
    <w:rsid w:val="00A8219A"/>
    <w:rsid w:val="00A82296"/>
    <w:rsid w:val="00A825EF"/>
    <w:rsid w:val="00A82684"/>
    <w:rsid w:val="00A8284C"/>
    <w:rsid w:val="00A828DB"/>
    <w:rsid w:val="00A82929"/>
    <w:rsid w:val="00A82941"/>
    <w:rsid w:val="00A829D9"/>
    <w:rsid w:val="00A829E5"/>
    <w:rsid w:val="00A82B5F"/>
    <w:rsid w:val="00A82C93"/>
    <w:rsid w:val="00A82CA6"/>
    <w:rsid w:val="00A82CED"/>
    <w:rsid w:val="00A82D32"/>
    <w:rsid w:val="00A82D84"/>
    <w:rsid w:val="00A82E59"/>
    <w:rsid w:val="00A82E8C"/>
    <w:rsid w:val="00A82EB7"/>
    <w:rsid w:val="00A83148"/>
    <w:rsid w:val="00A8318E"/>
    <w:rsid w:val="00A83200"/>
    <w:rsid w:val="00A83366"/>
    <w:rsid w:val="00A83379"/>
    <w:rsid w:val="00A833C5"/>
    <w:rsid w:val="00A833D7"/>
    <w:rsid w:val="00A833EF"/>
    <w:rsid w:val="00A83584"/>
    <w:rsid w:val="00A83606"/>
    <w:rsid w:val="00A8361B"/>
    <w:rsid w:val="00A83675"/>
    <w:rsid w:val="00A8368E"/>
    <w:rsid w:val="00A8369A"/>
    <w:rsid w:val="00A836DB"/>
    <w:rsid w:val="00A8377D"/>
    <w:rsid w:val="00A8389E"/>
    <w:rsid w:val="00A83971"/>
    <w:rsid w:val="00A83985"/>
    <w:rsid w:val="00A839CF"/>
    <w:rsid w:val="00A83B92"/>
    <w:rsid w:val="00A83CF6"/>
    <w:rsid w:val="00A83DBC"/>
    <w:rsid w:val="00A83DC9"/>
    <w:rsid w:val="00A83F2B"/>
    <w:rsid w:val="00A83F35"/>
    <w:rsid w:val="00A840DE"/>
    <w:rsid w:val="00A840F1"/>
    <w:rsid w:val="00A84112"/>
    <w:rsid w:val="00A84135"/>
    <w:rsid w:val="00A84251"/>
    <w:rsid w:val="00A84346"/>
    <w:rsid w:val="00A8434E"/>
    <w:rsid w:val="00A8435E"/>
    <w:rsid w:val="00A843CE"/>
    <w:rsid w:val="00A84454"/>
    <w:rsid w:val="00A84535"/>
    <w:rsid w:val="00A84772"/>
    <w:rsid w:val="00A84894"/>
    <w:rsid w:val="00A8499A"/>
    <w:rsid w:val="00A84AA6"/>
    <w:rsid w:val="00A84AC3"/>
    <w:rsid w:val="00A84B97"/>
    <w:rsid w:val="00A84BC9"/>
    <w:rsid w:val="00A84C0C"/>
    <w:rsid w:val="00A84D2D"/>
    <w:rsid w:val="00A84DC8"/>
    <w:rsid w:val="00A84EF9"/>
    <w:rsid w:val="00A84F0B"/>
    <w:rsid w:val="00A84FFA"/>
    <w:rsid w:val="00A8501E"/>
    <w:rsid w:val="00A850CF"/>
    <w:rsid w:val="00A850E3"/>
    <w:rsid w:val="00A85362"/>
    <w:rsid w:val="00A85456"/>
    <w:rsid w:val="00A854F1"/>
    <w:rsid w:val="00A855DA"/>
    <w:rsid w:val="00A85611"/>
    <w:rsid w:val="00A85730"/>
    <w:rsid w:val="00A85742"/>
    <w:rsid w:val="00A85794"/>
    <w:rsid w:val="00A857D1"/>
    <w:rsid w:val="00A858CB"/>
    <w:rsid w:val="00A85B12"/>
    <w:rsid w:val="00A85BC1"/>
    <w:rsid w:val="00A85C4D"/>
    <w:rsid w:val="00A85D08"/>
    <w:rsid w:val="00A85D9E"/>
    <w:rsid w:val="00A85DEA"/>
    <w:rsid w:val="00A85E74"/>
    <w:rsid w:val="00A85EC0"/>
    <w:rsid w:val="00A85F16"/>
    <w:rsid w:val="00A86119"/>
    <w:rsid w:val="00A8612F"/>
    <w:rsid w:val="00A86179"/>
    <w:rsid w:val="00A86332"/>
    <w:rsid w:val="00A863B4"/>
    <w:rsid w:val="00A863F9"/>
    <w:rsid w:val="00A86665"/>
    <w:rsid w:val="00A86694"/>
    <w:rsid w:val="00A8669E"/>
    <w:rsid w:val="00A866DF"/>
    <w:rsid w:val="00A8670A"/>
    <w:rsid w:val="00A867DB"/>
    <w:rsid w:val="00A86818"/>
    <w:rsid w:val="00A86842"/>
    <w:rsid w:val="00A86856"/>
    <w:rsid w:val="00A869CC"/>
    <w:rsid w:val="00A869D0"/>
    <w:rsid w:val="00A86AB9"/>
    <w:rsid w:val="00A86ABD"/>
    <w:rsid w:val="00A86CCA"/>
    <w:rsid w:val="00A86E28"/>
    <w:rsid w:val="00A86E40"/>
    <w:rsid w:val="00A86E67"/>
    <w:rsid w:val="00A86E70"/>
    <w:rsid w:val="00A87220"/>
    <w:rsid w:val="00A872ED"/>
    <w:rsid w:val="00A874F9"/>
    <w:rsid w:val="00A87596"/>
    <w:rsid w:val="00A875AB"/>
    <w:rsid w:val="00A8772E"/>
    <w:rsid w:val="00A87780"/>
    <w:rsid w:val="00A877F6"/>
    <w:rsid w:val="00A87835"/>
    <w:rsid w:val="00A87837"/>
    <w:rsid w:val="00A878CD"/>
    <w:rsid w:val="00A87AD9"/>
    <w:rsid w:val="00A87CCE"/>
    <w:rsid w:val="00A87D16"/>
    <w:rsid w:val="00A87D81"/>
    <w:rsid w:val="00A87E57"/>
    <w:rsid w:val="00A900D3"/>
    <w:rsid w:val="00A90194"/>
    <w:rsid w:val="00A902DF"/>
    <w:rsid w:val="00A9034C"/>
    <w:rsid w:val="00A903D4"/>
    <w:rsid w:val="00A903E1"/>
    <w:rsid w:val="00A90511"/>
    <w:rsid w:val="00A90786"/>
    <w:rsid w:val="00A907DB"/>
    <w:rsid w:val="00A90834"/>
    <w:rsid w:val="00A9084F"/>
    <w:rsid w:val="00A90944"/>
    <w:rsid w:val="00A90977"/>
    <w:rsid w:val="00A909A1"/>
    <w:rsid w:val="00A909EE"/>
    <w:rsid w:val="00A90A4E"/>
    <w:rsid w:val="00A90B03"/>
    <w:rsid w:val="00A90CAC"/>
    <w:rsid w:val="00A90CED"/>
    <w:rsid w:val="00A90CF1"/>
    <w:rsid w:val="00A90DE2"/>
    <w:rsid w:val="00A90E02"/>
    <w:rsid w:val="00A90F2F"/>
    <w:rsid w:val="00A90FDC"/>
    <w:rsid w:val="00A91097"/>
    <w:rsid w:val="00A910FF"/>
    <w:rsid w:val="00A91119"/>
    <w:rsid w:val="00A91146"/>
    <w:rsid w:val="00A91152"/>
    <w:rsid w:val="00A9123A"/>
    <w:rsid w:val="00A912AD"/>
    <w:rsid w:val="00A912C2"/>
    <w:rsid w:val="00A91453"/>
    <w:rsid w:val="00A91464"/>
    <w:rsid w:val="00A91480"/>
    <w:rsid w:val="00A91493"/>
    <w:rsid w:val="00A9151D"/>
    <w:rsid w:val="00A91559"/>
    <w:rsid w:val="00A915B2"/>
    <w:rsid w:val="00A915EC"/>
    <w:rsid w:val="00A917E1"/>
    <w:rsid w:val="00A91892"/>
    <w:rsid w:val="00A918C4"/>
    <w:rsid w:val="00A918DD"/>
    <w:rsid w:val="00A91948"/>
    <w:rsid w:val="00A91997"/>
    <w:rsid w:val="00A91AA0"/>
    <w:rsid w:val="00A91B6A"/>
    <w:rsid w:val="00A91BAB"/>
    <w:rsid w:val="00A91C77"/>
    <w:rsid w:val="00A91CA0"/>
    <w:rsid w:val="00A91CF6"/>
    <w:rsid w:val="00A91D6D"/>
    <w:rsid w:val="00A91D70"/>
    <w:rsid w:val="00A91DD3"/>
    <w:rsid w:val="00A91E83"/>
    <w:rsid w:val="00A91F35"/>
    <w:rsid w:val="00A91F4A"/>
    <w:rsid w:val="00A91F6F"/>
    <w:rsid w:val="00A91F7B"/>
    <w:rsid w:val="00A92077"/>
    <w:rsid w:val="00A9222D"/>
    <w:rsid w:val="00A92234"/>
    <w:rsid w:val="00A92328"/>
    <w:rsid w:val="00A924CC"/>
    <w:rsid w:val="00A9272A"/>
    <w:rsid w:val="00A928BE"/>
    <w:rsid w:val="00A92AA7"/>
    <w:rsid w:val="00A92AF3"/>
    <w:rsid w:val="00A92B14"/>
    <w:rsid w:val="00A92B60"/>
    <w:rsid w:val="00A92F69"/>
    <w:rsid w:val="00A92F76"/>
    <w:rsid w:val="00A930DA"/>
    <w:rsid w:val="00A931A5"/>
    <w:rsid w:val="00A9343B"/>
    <w:rsid w:val="00A9346D"/>
    <w:rsid w:val="00A93551"/>
    <w:rsid w:val="00A9369E"/>
    <w:rsid w:val="00A937D6"/>
    <w:rsid w:val="00A93860"/>
    <w:rsid w:val="00A9387A"/>
    <w:rsid w:val="00A9398D"/>
    <w:rsid w:val="00A93A94"/>
    <w:rsid w:val="00A93CC3"/>
    <w:rsid w:val="00A93D73"/>
    <w:rsid w:val="00A93E3F"/>
    <w:rsid w:val="00A93F6D"/>
    <w:rsid w:val="00A93FCA"/>
    <w:rsid w:val="00A9400C"/>
    <w:rsid w:val="00A94277"/>
    <w:rsid w:val="00A942D3"/>
    <w:rsid w:val="00A942EC"/>
    <w:rsid w:val="00A943C1"/>
    <w:rsid w:val="00A94443"/>
    <w:rsid w:val="00A94469"/>
    <w:rsid w:val="00A944EB"/>
    <w:rsid w:val="00A94815"/>
    <w:rsid w:val="00A9487F"/>
    <w:rsid w:val="00A949FC"/>
    <w:rsid w:val="00A94A7A"/>
    <w:rsid w:val="00A94AB2"/>
    <w:rsid w:val="00A94B40"/>
    <w:rsid w:val="00A94B57"/>
    <w:rsid w:val="00A94C6C"/>
    <w:rsid w:val="00A94C75"/>
    <w:rsid w:val="00A94CFD"/>
    <w:rsid w:val="00A94DBF"/>
    <w:rsid w:val="00A94ED6"/>
    <w:rsid w:val="00A95021"/>
    <w:rsid w:val="00A950B8"/>
    <w:rsid w:val="00A95313"/>
    <w:rsid w:val="00A95407"/>
    <w:rsid w:val="00A9546E"/>
    <w:rsid w:val="00A954B9"/>
    <w:rsid w:val="00A9556A"/>
    <w:rsid w:val="00A955E2"/>
    <w:rsid w:val="00A95A20"/>
    <w:rsid w:val="00A95A41"/>
    <w:rsid w:val="00A95BE4"/>
    <w:rsid w:val="00A95D7B"/>
    <w:rsid w:val="00A95D87"/>
    <w:rsid w:val="00A95DF4"/>
    <w:rsid w:val="00A95E99"/>
    <w:rsid w:val="00A9606F"/>
    <w:rsid w:val="00A960B4"/>
    <w:rsid w:val="00A96176"/>
    <w:rsid w:val="00A961B1"/>
    <w:rsid w:val="00A964CD"/>
    <w:rsid w:val="00A964FE"/>
    <w:rsid w:val="00A9652A"/>
    <w:rsid w:val="00A9654D"/>
    <w:rsid w:val="00A96580"/>
    <w:rsid w:val="00A96597"/>
    <w:rsid w:val="00A965CD"/>
    <w:rsid w:val="00A965D4"/>
    <w:rsid w:val="00A96674"/>
    <w:rsid w:val="00A969A8"/>
    <w:rsid w:val="00A96B53"/>
    <w:rsid w:val="00A96CC2"/>
    <w:rsid w:val="00A96DF3"/>
    <w:rsid w:val="00A96EC4"/>
    <w:rsid w:val="00A96F40"/>
    <w:rsid w:val="00A96F58"/>
    <w:rsid w:val="00A97093"/>
    <w:rsid w:val="00A970A5"/>
    <w:rsid w:val="00A970C2"/>
    <w:rsid w:val="00A970DD"/>
    <w:rsid w:val="00A9712F"/>
    <w:rsid w:val="00A97154"/>
    <w:rsid w:val="00A9715E"/>
    <w:rsid w:val="00A9725D"/>
    <w:rsid w:val="00A97356"/>
    <w:rsid w:val="00A9743E"/>
    <w:rsid w:val="00A9751B"/>
    <w:rsid w:val="00A97529"/>
    <w:rsid w:val="00A9786E"/>
    <w:rsid w:val="00A978C2"/>
    <w:rsid w:val="00A978D0"/>
    <w:rsid w:val="00A9796E"/>
    <w:rsid w:val="00A97AF7"/>
    <w:rsid w:val="00A97B3D"/>
    <w:rsid w:val="00A97CE2"/>
    <w:rsid w:val="00A97D93"/>
    <w:rsid w:val="00A97FE0"/>
    <w:rsid w:val="00AA0135"/>
    <w:rsid w:val="00AA02C3"/>
    <w:rsid w:val="00AA0378"/>
    <w:rsid w:val="00AA03E9"/>
    <w:rsid w:val="00AA0523"/>
    <w:rsid w:val="00AA0707"/>
    <w:rsid w:val="00AA07E1"/>
    <w:rsid w:val="00AA0866"/>
    <w:rsid w:val="00AA0877"/>
    <w:rsid w:val="00AA0B16"/>
    <w:rsid w:val="00AA0CD5"/>
    <w:rsid w:val="00AA0D4C"/>
    <w:rsid w:val="00AA0D71"/>
    <w:rsid w:val="00AA0DAF"/>
    <w:rsid w:val="00AA0EC5"/>
    <w:rsid w:val="00AA0F5E"/>
    <w:rsid w:val="00AA0F8D"/>
    <w:rsid w:val="00AA0FE9"/>
    <w:rsid w:val="00AA1201"/>
    <w:rsid w:val="00AA135B"/>
    <w:rsid w:val="00AA138A"/>
    <w:rsid w:val="00AA14BE"/>
    <w:rsid w:val="00AA14E5"/>
    <w:rsid w:val="00AA1522"/>
    <w:rsid w:val="00AA163A"/>
    <w:rsid w:val="00AA1756"/>
    <w:rsid w:val="00AA1828"/>
    <w:rsid w:val="00AA1937"/>
    <w:rsid w:val="00AA1948"/>
    <w:rsid w:val="00AA1A2D"/>
    <w:rsid w:val="00AA1A4F"/>
    <w:rsid w:val="00AA1A50"/>
    <w:rsid w:val="00AA1BBD"/>
    <w:rsid w:val="00AA1C04"/>
    <w:rsid w:val="00AA1E06"/>
    <w:rsid w:val="00AA1E13"/>
    <w:rsid w:val="00AA1E9F"/>
    <w:rsid w:val="00AA1F4D"/>
    <w:rsid w:val="00AA1F60"/>
    <w:rsid w:val="00AA1FAC"/>
    <w:rsid w:val="00AA1FB9"/>
    <w:rsid w:val="00AA206E"/>
    <w:rsid w:val="00AA209F"/>
    <w:rsid w:val="00AA20D7"/>
    <w:rsid w:val="00AA21D5"/>
    <w:rsid w:val="00AA22B9"/>
    <w:rsid w:val="00AA246A"/>
    <w:rsid w:val="00AA24C0"/>
    <w:rsid w:val="00AA24D4"/>
    <w:rsid w:val="00AA251E"/>
    <w:rsid w:val="00AA2540"/>
    <w:rsid w:val="00AA26A7"/>
    <w:rsid w:val="00AA2906"/>
    <w:rsid w:val="00AA29BF"/>
    <w:rsid w:val="00AA2A31"/>
    <w:rsid w:val="00AA2A39"/>
    <w:rsid w:val="00AA2ABF"/>
    <w:rsid w:val="00AA2B14"/>
    <w:rsid w:val="00AA2B75"/>
    <w:rsid w:val="00AA2BBF"/>
    <w:rsid w:val="00AA2D86"/>
    <w:rsid w:val="00AA2E74"/>
    <w:rsid w:val="00AA318C"/>
    <w:rsid w:val="00AA31B3"/>
    <w:rsid w:val="00AA31F9"/>
    <w:rsid w:val="00AA331F"/>
    <w:rsid w:val="00AA334A"/>
    <w:rsid w:val="00AA3399"/>
    <w:rsid w:val="00AA3456"/>
    <w:rsid w:val="00AA34F1"/>
    <w:rsid w:val="00AA3644"/>
    <w:rsid w:val="00AA3688"/>
    <w:rsid w:val="00AA36EF"/>
    <w:rsid w:val="00AA3722"/>
    <w:rsid w:val="00AA372B"/>
    <w:rsid w:val="00AA373D"/>
    <w:rsid w:val="00AA373F"/>
    <w:rsid w:val="00AA3794"/>
    <w:rsid w:val="00AA3834"/>
    <w:rsid w:val="00AA3894"/>
    <w:rsid w:val="00AA389C"/>
    <w:rsid w:val="00AA3A3A"/>
    <w:rsid w:val="00AA3A7B"/>
    <w:rsid w:val="00AA3AA0"/>
    <w:rsid w:val="00AA3BFA"/>
    <w:rsid w:val="00AA3C8D"/>
    <w:rsid w:val="00AA3DD9"/>
    <w:rsid w:val="00AA3E08"/>
    <w:rsid w:val="00AA3F70"/>
    <w:rsid w:val="00AA3FCA"/>
    <w:rsid w:val="00AA3FCB"/>
    <w:rsid w:val="00AA401B"/>
    <w:rsid w:val="00AA4281"/>
    <w:rsid w:val="00AA451F"/>
    <w:rsid w:val="00AA4622"/>
    <w:rsid w:val="00AA4661"/>
    <w:rsid w:val="00AA47BE"/>
    <w:rsid w:val="00AA47D1"/>
    <w:rsid w:val="00AA47D8"/>
    <w:rsid w:val="00AA48F1"/>
    <w:rsid w:val="00AA496D"/>
    <w:rsid w:val="00AA4A66"/>
    <w:rsid w:val="00AA4B2D"/>
    <w:rsid w:val="00AA4B3F"/>
    <w:rsid w:val="00AA4BC9"/>
    <w:rsid w:val="00AA4D31"/>
    <w:rsid w:val="00AA4DA9"/>
    <w:rsid w:val="00AA4E1E"/>
    <w:rsid w:val="00AA4EE6"/>
    <w:rsid w:val="00AA5065"/>
    <w:rsid w:val="00AA514B"/>
    <w:rsid w:val="00AA514E"/>
    <w:rsid w:val="00AA5241"/>
    <w:rsid w:val="00AA53CF"/>
    <w:rsid w:val="00AA543B"/>
    <w:rsid w:val="00AA54A3"/>
    <w:rsid w:val="00AA568A"/>
    <w:rsid w:val="00AA5891"/>
    <w:rsid w:val="00AA58D6"/>
    <w:rsid w:val="00AA5A75"/>
    <w:rsid w:val="00AA5ABF"/>
    <w:rsid w:val="00AA5B43"/>
    <w:rsid w:val="00AA5CD9"/>
    <w:rsid w:val="00AA5D50"/>
    <w:rsid w:val="00AA5D75"/>
    <w:rsid w:val="00AA5DAA"/>
    <w:rsid w:val="00AA5DF2"/>
    <w:rsid w:val="00AA5E4A"/>
    <w:rsid w:val="00AA5F30"/>
    <w:rsid w:val="00AA5F77"/>
    <w:rsid w:val="00AA617D"/>
    <w:rsid w:val="00AA61CD"/>
    <w:rsid w:val="00AA6292"/>
    <w:rsid w:val="00AA62AB"/>
    <w:rsid w:val="00AA6328"/>
    <w:rsid w:val="00AA6336"/>
    <w:rsid w:val="00AA639D"/>
    <w:rsid w:val="00AA6529"/>
    <w:rsid w:val="00AA65A4"/>
    <w:rsid w:val="00AA6663"/>
    <w:rsid w:val="00AA66F6"/>
    <w:rsid w:val="00AA6752"/>
    <w:rsid w:val="00AA687A"/>
    <w:rsid w:val="00AA6954"/>
    <w:rsid w:val="00AA6A09"/>
    <w:rsid w:val="00AA6B31"/>
    <w:rsid w:val="00AA6C9C"/>
    <w:rsid w:val="00AA6D19"/>
    <w:rsid w:val="00AA6E13"/>
    <w:rsid w:val="00AA6EFE"/>
    <w:rsid w:val="00AA6F8A"/>
    <w:rsid w:val="00AA6FB6"/>
    <w:rsid w:val="00AA70F8"/>
    <w:rsid w:val="00AA71AE"/>
    <w:rsid w:val="00AA7224"/>
    <w:rsid w:val="00AA738E"/>
    <w:rsid w:val="00AA73AE"/>
    <w:rsid w:val="00AA7411"/>
    <w:rsid w:val="00AA7606"/>
    <w:rsid w:val="00AA772E"/>
    <w:rsid w:val="00AA7851"/>
    <w:rsid w:val="00AA78BD"/>
    <w:rsid w:val="00AA7938"/>
    <w:rsid w:val="00AA7AA5"/>
    <w:rsid w:val="00AA7C29"/>
    <w:rsid w:val="00AA7C63"/>
    <w:rsid w:val="00AA7C85"/>
    <w:rsid w:val="00AB0016"/>
    <w:rsid w:val="00AB0218"/>
    <w:rsid w:val="00AB03F7"/>
    <w:rsid w:val="00AB0462"/>
    <w:rsid w:val="00AB0586"/>
    <w:rsid w:val="00AB05D7"/>
    <w:rsid w:val="00AB075A"/>
    <w:rsid w:val="00AB08C6"/>
    <w:rsid w:val="00AB09C5"/>
    <w:rsid w:val="00AB0A98"/>
    <w:rsid w:val="00AB0AEE"/>
    <w:rsid w:val="00AB0BFA"/>
    <w:rsid w:val="00AB0CD7"/>
    <w:rsid w:val="00AB0D00"/>
    <w:rsid w:val="00AB0E35"/>
    <w:rsid w:val="00AB0E9D"/>
    <w:rsid w:val="00AB0ED6"/>
    <w:rsid w:val="00AB0F03"/>
    <w:rsid w:val="00AB1076"/>
    <w:rsid w:val="00AB10A1"/>
    <w:rsid w:val="00AB114B"/>
    <w:rsid w:val="00AB11B2"/>
    <w:rsid w:val="00AB12FE"/>
    <w:rsid w:val="00AB1335"/>
    <w:rsid w:val="00AB136D"/>
    <w:rsid w:val="00AB1607"/>
    <w:rsid w:val="00AB1693"/>
    <w:rsid w:val="00AB187D"/>
    <w:rsid w:val="00AB1888"/>
    <w:rsid w:val="00AB1B44"/>
    <w:rsid w:val="00AB1C5D"/>
    <w:rsid w:val="00AB1C85"/>
    <w:rsid w:val="00AB1D15"/>
    <w:rsid w:val="00AB1D3D"/>
    <w:rsid w:val="00AB1DBB"/>
    <w:rsid w:val="00AB1E56"/>
    <w:rsid w:val="00AB1F2E"/>
    <w:rsid w:val="00AB1FE8"/>
    <w:rsid w:val="00AB1FFA"/>
    <w:rsid w:val="00AB2003"/>
    <w:rsid w:val="00AB2052"/>
    <w:rsid w:val="00AB211B"/>
    <w:rsid w:val="00AB2188"/>
    <w:rsid w:val="00AB21A4"/>
    <w:rsid w:val="00AB21B1"/>
    <w:rsid w:val="00AB21BB"/>
    <w:rsid w:val="00AB21CD"/>
    <w:rsid w:val="00AB2354"/>
    <w:rsid w:val="00AB23F7"/>
    <w:rsid w:val="00AB2471"/>
    <w:rsid w:val="00AB24B4"/>
    <w:rsid w:val="00AB24FA"/>
    <w:rsid w:val="00AB2509"/>
    <w:rsid w:val="00AB2556"/>
    <w:rsid w:val="00AB2587"/>
    <w:rsid w:val="00AB267B"/>
    <w:rsid w:val="00AB2769"/>
    <w:rsid w:val="00AB27CB"/>
    <w:rsid w:val="00AB2902"/>
    <w:rsid w:val="00AB2A26"/>
    <w:rsid w:val="00AB2B73"/>
    <w:rsid w:val="00AB2C26"/>
    <w:rsid w:val="00AB2CA2"/>
    <w:rsid w:val="00AB2D1B"/>
    <w:rsid w:val="00AB2D72"/>
    <w:rsid w:val="00AB2D9E"/>
    <w:rsid w:val="00AB2E1B"/>
    <w:rsid w:val="00AB2E34"/>
    <w:rsid w:val="00AB2E67"/>
    <w:rsid w:val="00AB2F2E"/>
    <w:rsid w:val="00AB2F84"/>
    <w:rsid w:val="00AB3055"/>
    <w:rsid w:val="00AB312D"/>
    <w:rsid w:val="00AB31DE"/>
    <w:rsid w:val="00AB3465"/>
    <w:rsid w:val="00AB346D"/>
    <w:rsid w:val="00AB34D7"/>
    <w:rsid w:val="00AB3555"/>
    <w:rsid w:val="00AB35C9"/>
    <w:rsid w:val="00AB35F6"/>
    <w:rsid w:val="00AB3763"/>
    <w:rsid w:val="00AB3808"/>
    <w:rsid w:val="00AB39C3"/>
    <w:rsid w:val="00AB3A75"/>
    <w:rsid w:val="00AB3AD5"/>
    <w:rsid w:val="00AB3BBC"/>
    <w:rsid w:val="00AB3CC0"/>
    <w:rsid w:val="00AB3CD0"/>
    <w:rsid w:val="00AB3CD7"/>
    <w:rsid w:val="00AB3CEE"/>
    <w:rsid w:val="00AB3D07"/>
    <w:rsid w:val="00AB3D57"/>
    <w:rsid w:val="00AB3DF9"/>
    <w:rsid w:val="00AB3F66"/>
    <w:rsid w:val="00AB406D"/>
    <w:rsid w:val="00AB40AC"/>
    <w:rsid w:val="00AB4107"/>
    <w:rsid w:val="00AB411E"/>
    <w:rsid w:val="00AB434B"/>
    <w:rsid w:val="00AB45CE"/>
    <w:rsid w:val="00AB45D7"/>
    <w:rsid w:val="00AB46B4"/>
    <w:rsid w:val="00AB46BD"/>
    <w:rsid w:val="00AB4846"/>
    <w:rsid w:val="00AB48B4"/>
    <w:rsid w:val="00AB48C8"/>
    <w:rsid w:val="00AB4998"/>
    <w:rsid w:val="00AB4A05"/>
    <w:rsid w:val="00AB4C5B"/>
    <w:rsid w:val="00AB4CC1"/>
    <w:rsid w:val="00AB4D4F"/>
    <w:rsid w:val="00AB4E25"/>
    <w:rsid w:val="00AB4F75"/>
    <w:rsid w:val="00AB4F7A"/>
    <w:rsid w:val="00AB4F8E"/>
    <w:rsid w:val="00AB520D"/>
    <w:rsid w:val="00AB5299"/>
    <w:rsid w:val="00AB5302"/>
    <w:rsid w:val="00AB53EE"/>
    <w:rsid w:val="00AB556E"/>
    <w:rsid w:val="00AB565C"/>
    <w:rsid w:val="00AB56F3"/>
    <w:rsid w:val="00AB579B"/>
    <w:rsid w:val="00AB57C2"/>
    <w:rsid w:val="00AB57EB"/>
    <w:rsid w:val="00AB592B"/>
    <w:rsid w:val="00AB5B05"/>
    <w:rsid w:val="00AB5B3E"/>
    <w:rsid w:val="00AB5C14"/>
    <w:rsid w:val="00AB5C44"/>
    <w:rsid w:val="00AB5D11"/>
    <w:rsid w:val="00AB5D48"/>
    <w:rsid w:val="00AB5ED9"/>
    <w:rsid w:val="00AB5F6F"/>
    <w:rsid w:val="00AB600E"/>
    <w:rsid w:val="00AB6069"/>
    <w:rsid w:val="00AB61C4"/>
    <w:rsid w:val="00AB62B9"/>
    <w:rsid w:val="00AB6383"/>
    <w:rsid w:val="00AB642E"/>
    <w:rsid w:val="00AB645F"/>
    <w:rsid w:val="00AB6484"/>
    <w:rsid w:val="00AB6593"/>
    <w:rsid w:val="00AB662C"/>
    <w:rsid w:val="00AB673E"/>
    <w:rsid w:val="00AB67DA"/>
    <w:rsid w:val="00AB68C8"/>
    <w:rsid w:val="00AB695E"/>
    <w:rsid w:val="00AB6A00"/>
    <w:rsid w:val="00AB6A5C"/>
    <w:rsid w:val="00AB6AA0"/>
    <w:rsid w:val="00AB6CEA"/>
    <w:rsid w:val="00AB6D25"/>
    <w:rsid w:val="00AB6D8C"/>
    <w:rsid w:val="00AB6F97"/>
    <w:rsid w:val="00AB6FB1"/>
    <w:rsid w:val="00AB6FDA"/>
    <w:rsid w:val="00AB7315"/>
    <w:rsid w:val="00AB745E"/>
    <w:rsid w:val="00AB76AC"/>
    <w:rsid w:val="00AB771C"/>
    <w:rsid w:val="00AB7AFB"/>
    <w:rsid w:val="00AB7D28"/>
    <w:rsid w:val="00AB7D4A"/>
    <w:rsid w:val="00AB7EF7"/>
    <w:rsid w:val="00AB7F17"/>
    <w:rsid w:val="00AC022B"/>
    <w:rsid w:val="00AC0278"/>
    <w:rsid w:val="00AC02C4"/>
    <w:rsid w:val="00AC039D"/>
    <w:rsid w:val="00AC048F"/>
    <w:rsid w:val="00AC05C7"/>
    <w:rsid w:val="00AC05F9"/>
    <w:rsid w:val="00AC074D"/>
    <w:rsid w:val="00AC0903"/>
    <w:rsid w:val="00AC0953"/>
    <w:rsid w:val="00AC0B06"/>
    <w:rsid w:val="00AC0B11"/>
    <w:rsid w:val="00AC0B4C"/>
    <w:rsid w:val="00AC0B6D"/>
    <w:rsid w:val="00AC0BF3"/>
    <w:rsid w:val="00AC0C68"/>
    <w:rsid w:val="00AC0CC0"/>
    <w:rsid w:val="00AC0D30"/>
    <w:rsid w:val="00AC0D67"/>
    <w:rsid w:val="00AC0DD7"/>
    <w:rsid w:val="00AC0EA4"/>
    <w:rsid w:val="00AC104A"/>
    <w:rsid w:val="00AC107C"/>
    <w:rsid w:val="00AC116C"/>
    <w:rsid w:val="00AC1220"/>
    <w:rsid w:val="00AC1407"/>
    <w:rsid w:val="00AC1688"/>
    <w:rsid w:val="00AC16B3"/>
    <w:rsid w:val="00AC16DA"/>
    <w:rsid w:val="00AC17F5"/>
    <w:rsid w:val="00AC1957"/>
    <w:rsid w:val="00AC1968"/>
    <w:rsid w:val="00AC19CC"/>
    <w:rsid w:val="00AC1A04"/>
    <w:rsid w:val="00AC1A7A"/>
    <w:rsid w:val="00AC1B31"/>
    <w:rsid w:val="00AC1D45"/>
    <w:rsid w:val="00AC1DA1"/>
    <w:rsid w:val="00AC1F03"/>
    <w:rsid w:val="00AC1F0E"/>
    <w:rsid w:val="00AC1FCD"/>
    <w:rsid w:val="00AC20BC"/>
    <w:rsid w:val="00AC20ED"/>
    <w:rsid w:val="00AC22E7"/>
    <w:rsid w:val="00AC2341"/>
    <w:rsid w:val="00AC2409"/>
    <w:rsid w:val="00AC24DC"/>
    <w:rsid w:val="00AC26C1"/>
    <w:rsid w:val="00AC279A"/>
    <w:rsid w:val="00AC27CA"/>
    <w:rsid w:val="00AC2800"/>
    <w:rsid w:val="00AC28B2"/>
    <w:rsid w:val="00AC28CA"/>
    <w:rsid w:val="00AC28D9"/>
    <w:rsid w:val="00AC2B43"/>
    <w:rsid w:val="00AC2C72"/>
    <w:rsid w:val="00AC2D17"/>
    <w:rsid w:val="00AC2E5C"/>
    <w:rsid w:val="00AC2FA9"/>
    <w:rsid w:val="00AC307A"/>
    <w:rsid w:val="00AC30BC"/>
    <w:rsid w:val="00AC31FA"/>
    <w:rsid w:val="00AC31FB"/>
    <w:rsid w:val="00AC3201"/>
    <w:rsid w:val="00AC3298"/>
    <w:rsid w:val="00AC32D3"/>
    <w:rsid w:val="00AC335C"/>
    <w:rsid w:val="00AC34E4"/>
    <w:rsid w:val="00AC3573"/>
    <w:rsid w:val="00AC3585"/>
    <w:rsid w:val="00AC3633"/>
    <w:rsid w:val="00AC36D0"/>
    <w:rsid w:val="00AC37F8"/>
    <w:rsid w:val="00AC380E"/>
    <w:rsid w:val="00AC38A4"/>
    <w:rsid w:val="00AC38EF"/>
    <w:rsid w:val="00AC3994"/>
    <w:rsid w:val="00AC39AE"/>
    <w:rsid w:val="00AC39F5"/>
    <w:rsid w:val="00AC3A13"/>
    <w:rsid w:val="00AC3A1B"/>
    <w:rsid w:val="00AC3A24"/>
    <w:rsid w:val="00AC3A4F"/>
    <w:rsid w:val="00AC3B49"/>
    <w:rsid w:val="00AC3B69"/>
    <w:rsid w:val="00AC3BC1"/>
    <w:rsid w:val="00AC3DB9"/>
    <w:rsid w:val="00AC3DC8"/>
    <w:rsid w:val="00AC3EA6"/>
    <w:rsid w:val="00AC3EC6"/>
    <w:rsid w:val="00AC3F5F"/>
    <w:rsid w:val="00AC3F66"/>
    <w:rsid w:val="00AC3F71"/>
    <w:rsid w:val="00AC40E2"/>
    <w:rsid w:val="00AC4265"/>
    <w:rsid w:val="00AC4271"/>
    <w:rsid w:val="00AC4286"/>
    <w:rsid w:val="00AC42E4"/>
    <w:rsid w:val="00AC43CC"/>
    <w:rsid w:val="00AC4458"/>
    <w:rsid w:val="00AC44C6"/>
    <w:rsid w:val="00AC4527"/>
    <w:rsid w:val="00AC45E6"/>
    <w:rsid w:val="00AC4641"/>
    <w:rsid w:val="00AC4649"/>
    <w:rsid w:val="00AC4751"/>
    <w:rsid w:val="00AC48B1"/>
    <w:rsid w:val="00AC48E7"/>
    <w:rsid w:val="00AC4A95"/>
    <w:rsid w:val="00AC4AD7"/>
    <w:rsid w:val="00AC4B64"/>
    <w:rsid w:val="00AC4CF9"/>
    <w:rsid w:val="00AC4DF1"/>
    <w:rsid w:val="00AC4E56"/>
    <w:rsid w:val="00AC4F10"/>
    <w:rsid w:val="00AC4F66"/>
    <w:rsid w:val="00AC4FA1"/>
    <w:rsid w:val="00AC4FA4"/>
    <w:rsid w:val="00AC5045"/>
    <w:rsid w:val="00AC505D"/>
    <w:rsid w:val="00AC50F3"/>
    <w:rsid w:val="00AC50F5"/>
    <w:rsid w:val="00AC51BD"/>
    <w:rsid w:val="00AC52A2"/>
    <w:rsid w:val="00AC52D8"/>
    <w:rsid w:val="00AC5492"/>
    <w:rsid w:val="00AC549B"/>
    <w:rsid w:val="00AC55DF"/>
    <w:rsid w:val="00AC567C"/>
    <w:rsid w:val="00AC5720"/>
    <w:rsid w:val="00AC5793"/>
    <w:rsid w:val="00AC5870"/>
    <w:rsid w:val="00AC5A61"/>
    <w:rsid w:val="00AC5AA7"/>
    <w:rsid w:val="00AC5C83"/>
    <w:rsid w:val="00AC5D67"/>
    <w:rsid w:val="00AC5EBE"/>
    <w:rsid w:val="00AC6095"/>
    <w:rsid w:val="00AC618A"/>
    <w:rsid w:val="00AC621B"/>
    <w:rsid w:val="00AC6275"/>
    <w:rsid w:val="00AC6285"/>
    <w:rsid w:val="00AC6299"/>
    <w:rsid w:val="00AC62AC"/>
    <w:rsid w:val="00AC62B9"/>
    <w:rsid w:val="00AC6458"/>
    <w:rsid w:val="00AC64E8"/>
    <w:rsid w:val="00AC65E5"/>
    <w:rsid w:val="00AC6645"/>
    <w:rsid w:val="00AC66B3"/>
    <w:rsid w:val="00AC67A7"/>
    <w:rsid w:val="00AC686C"/>
    <w:rsid w:val="00AC6880"/>
    <w:rsid w:val="00AC6899"/>
    <w:rsid w:val="00AC68F4"/>
    <w:rsid w:val="00AC68FD"/>
    <w:rsid w:val="00AC6955"/>
    <w:rsid w:val="00AC69AA"/>
    <w:rsid w:val="00AC69EB"/>
    <w:rsid w:val="00AC6A3D"/>
    <w:rsid w:val="00AC6B68"/>
    <w:rsid w:val="00AC6BF1"/>
    <w:rsid w:val="00AC6C5C"/>
    <w:rsid w:val="00AC6E57"/>
    <w:rsid w:val="00AC6E7E"/>
    <w:rsid w:val="00AC6EA3"/>
    <w:rsid w:val="00AC70A8"/>
    <w:rsid w:val="00AC70DE"/>
    <w:rsid w:val="00AC71CF"/>
    <w:rsid w:val="00AC7237"/>
    <w:rsid w:val="00AC72C2"/>
    <w:rsid w:val="00AC7313"/>
    <w:rsid w:val="00AC732A"/>
    <w:rsid w:val="00AC7529"/>
    <w:rsid w:val="00AC7639"/>
    <w:rsid w:val="00AC7736"/>
    <w:rsid w:val="00AC7807"/>
    <w:rsid w:val="00AC783C"/>
    <w:rsid w:val="00AC78C3"/>
    <w:rsid w:val="00AC7938"/>
    <w:rsid w:val="00AC7B5D"/>
    <w:rsid w:val="00AC7B60"/>
    <w:rsid w:val="00AC7B72"/>
    <w:rsid w:val="00AC7BC9"/>
    <w:rsid w:val="00AC7BF2"/>
    <w:rsid w:val="00AC7CE6"/>
    <w:rsid w:val="00AC7D4D"/>
    <w:rsid w:val="00AC7E14"/>
    <w:rsid w:val="00AC7F20"/>
    <w:rsid w:val="00AD0038"/>
    <w:rsid w:val="00AD00E0"/>
    <w:rsid w:val="00AD0109"/>
    <w:rsid w:val="00AD01D5"/>
    <w:rsid w:val="00AD028C"/>
    <w:rsid w:val="00AD02F6"/>
    <w:rsid w:val="00AD045C"/>
    <w:rsid w:val="00AD04D1"/>
    <w:rsid w:val="00AD04E9"/>
    <w:rsid w:val="00AD059B"/>
    <w:rsid w:val="00AD067B"/>
    <w:rsid w:val="00AD06DD"/>
    <w:rsid w:val="00AD06F3"/>
    <w:rsid w:val="00AD07D8"/>
    <w:rsid w:val="00AD08D4"/>
    <w:rsid w:val="00AD0931"/>
    <w:rsid w:val="00AD0985"/>
    <w:rsid w:val="00AD0AF2"/>
    <w:rsid w:val="00AD0C17"/>
    <w:rsid w:val="00AD0CAC"/>
    <w:rsid w:val="00AD0CDA"/>
    <w:rsid w:val="00AD0D3F"/>
    <w:rsid w:val="00AD0D88"/>
    <w:rsid w:val="00AD0EF9"/>
    <w:rsid w:val="00AD0F24"/>
    <w:rsid w:val="00AD0F59"/>
    <w:rsid w:val="00AD0F9D"/>
    <w:rsid w:val="00AD103C"/>
    <w:rsid w:val="00AD108D"/>
    <w:rsid w:val="00AD10C8"/>
    <w:rsid w:val="00AD1140"/>
    <w:rsid w:val="00AD114D"/>
    <w:rsid w:val="00AD116D"/>
    <w:rsid w:val="00AD11AE"/>
    <w:rsid w:val="00AD1293"/>
    <w:rsid w:val="00AD12FA"/>
    <w:rsid w:val="00AD13C4"/>
    <w:rsid w:val="00AD13E3"/>
    <w:rsid w:val="00AD14C6"/>
    <w:rsid w:val="00AD1558"/>
    <w:rsid w:val="00AD165F"/>
    <w:rsid w:val="00AD1681"/>
    <w:rsid w:val="00AD1700"/>
    <w:rsid w:val="00AD1B96"/>
    <w:rsid w:val="00AD1C1B"/>
    <w:rsid w:val="00AD1C53"/>
    <w:rsid w:val="00AD1CAE"/>
    <w:rsid w:val="00AD1CB9"/>
    <w:rsid w:val="00AD1CE5"/>
    <w:rsid w:val="00AD1D94"/>
    <w:rsid w:val="00AD1E33"/>
    <w:rsid w:val="00AD1EC8"/>
    <w:rsid w:val="00AD1FB8"/>
    <w:rsid w:val="00AD23B2"/>
    <w:rsid w:val="00AD23C1"/>
    <w:rsid w:val="00AD2427"/>
    <w:rsid w:val="00AD247F"/>
    <w:rsid w:val="00AD2519"/>
    <w:rsid w:val="00AD26D3"/>
    <w:rsid w:val="00AD2753"/>
    <w:rsid w:val="00AD289A"/>
    <w:rsid w:val="00AD295F"/>
    <w:rsid w:val="00AD2A46"/>
    <w:rsid w:val="00AD2A7B"/>
    <w:rsid w:val="00AD2C9F"/>
    <w:rsid w:val="00AD2CBA"/>
    <w:rsid w:val="00AD2E3C"/>
    <w:rsid w:val="00AD2E6B"/>
    <w:rsid w:val="00AD2EAC"/>
    <w:rsid w:val="00AD2F08"/>
    <w:rsid w:val="00AD2F33"/>
    <w:rsid w:val="00AD2FC1"/>
    <w:rsid w:val="00AD3039"/>
    <w:rsid w:val="00AD3069"/>
    <w:rsid w:val="00AD3173"/>
    <w:rsid w:val="00AD3192"/>
    <w:rsid w:val="00AD3226"/>
    <w:rsid w:val="00AD338E"/>
    <w:rsid w:val="00AD3498"/>
    <w:rsid w:val="00AD34AB"/>
    <w:rsid w:val="00AD34C1"/>
    <w:rsid w:val="00AD3693"/>
    <w:rsid w:val="00AD36B9"/>
    <w:rsid w:val="00AD377A"/>
    <w:rsid w:val="00AD37AA"/>
    <w:rsid w:val="00AD37ED"/>
    <w:rsid w:val="00AD384A"/>
    <w:rsid w:val="00AD3AFE"/>
    <w:rsid w:val="00AD3B0E"/>
    <w:rsid w:val="00AD3D2E"/>
    <w:rsid w:val="00AD3F0B"/>
    <w:rsid w:val="00AD3F5E"/>
    <w:rsid w:val="00AD40D3"/>
    <w:rsid w:val="00AD4266"/>
    <w:rsid w:val="00AD4275"/>
    <w:rsid w:val="00AD43DF"/>
    <w:rsid w:val="00AD44D6"/>
    <w:rsid w:val="00AD45E9"/>
    <w:rsid w:val="00AD46D1"/>
    <w:rsid w:val="00AD474C"/>
    <w:rsid w:val="00AD4857"/>
    <w:rsid w:val="00AD49AF"/>
    <w:rsid w:val="00AD4ADB"/>
    <w:rsid w:val="00AD4C3C"/>
    <w:rsid w:val="00AD4C98"/>
    <w:rsid w:val="00AD4E2A"/>
    <w:rsid w:val="00AD4ED2"/>
    <w:rsid w:val="00AD4F25"/>
    <w:rsid w:val="00AD4F3C"/>
    <w:rsid w:val="00AD4F73"/>
    <w:rsid w:val="00AD4F82"/>
    <w:rsid w:val="00AD4FB7"/>
    <w:rsid w:val="00AD5065"/>
    <w:rsid w:val="00AD5146"/>
    <w:rsid w:val="00AD523C"/>
    <w:rsid w:val="00AD52AF"/>
    <w:rsid w:val="00AD5397"/>
    <w:rsid w:val="00AD55D0"/>
    <w:rsid w:val="00AD5658"/>
    <w:rsid w:val="00AD56E8"/>
    <w:rsid w:val="00AD5704"/>
    <w:rsid w:val="00AD5775"/>
    <w:rsid w:val="00AD577E"/>
    <w:rsid w:val="00AD578C"/>
    <w:rsid w:val="00AD5861"/>
    <w:rsid w:val="00AD58D2"/>
    <w:rsid w:val="00AD599F"/>
    <w:rsid w:val="00AD5A74"/>
    <w:rsid w:val="00AD5B95"/>
    <w:rsid w:val="00AD5C1E"/>
    <w:rsid w:val="00AD5C2C"/>
    <w:rsid w:val="00AD5DC9"/>
    <w:rsid w:val="00AD5EFE"/>
    <w:rsid w:val="00AD5F44"/>
    <w:rsid w:val="00AD5F4F"/>
    <w:rsid w:val="00AD5FD0"/>
    <w:rsid w:val="00AD600C"/>
    <w:rsid w:val="00AD6083"/>
    <w:rsid w:val="00AD61EF"/>
    <w:rsid w:val="00AD62BA"/>
    <w:rsid w:val="00AD63D4"/>
    <w:rsid w:val="00AD63E4"/>
    <w:rsid w:val="00AD6607"/>
    <w:rsid w:val="00AD675E"/>
    <w:rsid w:val="00AD67D8"/>
    <w:rsid w:val="00AD687D"/>
    <w:rsid w:val="00AD6934"/>
    <w:rsid w:val="00AD6A9D"/>
    <w:rsid w:val="00AD6AF2"/>
    <w:rsid w:val="00AD6B77"/>
    <w:rsid w:val="00AD6B87"/>
    <w:rsid w:val="00AD6CB5"/>
    <w:rsid w:val="00AD6E24"/>
    <w:rsid w:val="00AD6ED1"/>
    <w:rsid w:val="00AD6EDD"/>
    <w:rsid w:val="00AD6F84"/>
    <w:rsid w:val="00AD7035"/>
    <w:rsid w:val="00AD7094"/>
    <w:rsid w:val="00AD7133"/>
    <w:rsid w:val="00AD71F5"/>
    <w:rsid w:val="00AD71FD"/>
    <w:rsid w:val="00AD7603"/>
    <w:rsid w:val="00AD7622"/>
    <w:rsid w:val="00AD7626"/>
    <w:rsid w:val="00AD76CD"/>
    <w:rsid w:val="00AD777A"/>
    <w:rsid w:val="00AD777F"/>
    <w:rsid w:val="00AD778A"/>
    <w:rsid w:val="00AD7798"/>
    <w:rsid w:val="00AD787F"/>
    <w:rsid w:val="00AD78A7"/>
    <w:rsid w:val="00AD7991"/>
    <w:rsid w:val="00AD7B85"/>
    <w:rsid w:val="00AD7BA5"/>
    <w:rsid w:val="00AD7CE2"/>
    <w:rsid w:val="00AD7D1C"/>
    <w:rsid w:val="00AD7DB2"/>
    <w:rsid w:val="00AD7E60"/>
    <w:rsid w:val="00AD7E9E"/>
    <w:rsid w:val="00AD7FAF"/>
    <w:rsid w:val="00AE027D"/>
    <w:rsid w:val="00AE02AD"/>
    <w:rsid w:val="00AE02EC"/>
    <w:rsid w:val="00AE0394"/>
    <w:rsid w:val="00AE03B6"/>
    <w:rsid w:val="00AE04A9"/>
    <w:rsid w:val="00AE0577"/>
    <w:rsid w:val="00AE0587"/>
    <w:rsid w:val="00AE0676"/>
    <w:rsid w:val="00AE0710"/>
    <w:rsid w:val="00AE0731"/>
    <w:rsid w:val="00AE07BD"/>
    <w:rsid w:val="00AE080D"/>
    <w:rsid w:val="00AE09A6"/>
    <w:rsid w:val="00AE09C5"/>
    <w:rsid w:val="00AE0A89"/>
    <w:rsid w:val="00AE0AAF"/>
    <w:rsid w:val="00AE0B0A"/>
    <w:rsid w:val="00AE0B1D"/>
    <w:rsid w:val="00AE0C32"/>
    <w:rsid w:val="00AE0D78"/>
    <w:rsid w:val="00AE0DEA"/>
    <w:rsid w:val="00AE0E3A"/>
    <w:rsid w:val="00AE0F40"/>
    <w:rsid w:val="00AE0F95"/>
    <w:rsid w:val="00AE1093"/>
    <w:rsid w:val="00AE1095"/>
    <w:rsid w:val="00AE115F"/>
    <w:rsid w:val="00AE1162"/>
    <w:rsid w:val="00AE11A5"/>
    <w:rsid w:val="00AE11C0"/>
    <w:rsid w:val="00AE11FD"/>
    <w:rsid w:val="00AE1471"/>
    <w:rsid w:val="00AE156A"/>
    <w:rsid w:val="00AE158F"/>
    <w:rsid w:val="00AE161E"/>
    <w:rsid w:val="00AE168E"/>
    <w:rsid w:val="00AE174B"/>
    <w:rsid w:val="00AE17B6"/>
    <w:rsid w:val="00AE18C5"/>
    <w:rsid w:val="00AE18D1"/>
    <w:rsid w:val="00AE19F7"/>
    <w:rsid w:val="00AE1A5C"/>
    <w:rsid w:val="00AE1AB5"/>
    <w:rsid w:val="00AE1B25"/>
    <w:rsid w:val="00AE1C69"/>
    <w:rsid w:val="00AE1C8A"/>
    <w:rsid w:val="00AE1CE8"/>
    <w:rsid w:val="00AE1D7C"/>
    <w:rsid w:val="00AE1E74"/>
    <w:rsid w:val="00AE1EAF"/>
    <w:rsid w:val="00AE1F7A"/>
    <w:rsid w:val="00AE2083"/>
    <w:rsid w:val="00AE22CD"/>
    <w:rsid w:val="00AE231B"/>
    <w:rsid w:val="00AE257E"/>
    <w:rsid w:val="00AE2637"/>
    <w:rsid w:val="00AE2887"/>
    <w:rsid w:val="00AE29E2"/>
    <w:rsid w:val="00AE2BB1"/>
    <w:rsid w:val="00AE2BE5"/>
    <w:rsid w:val="00AE2C90"/>
    <w:rsid w:val="00AE2D8C"/>
    <w:rsid w:val="00AE2E21"/>
    <w:rsid w:val="00AE2E4C"/>
    <w:rsid w:val="00AE2EFC"/>
    <w:rsid w:val="00AE303D"/>
    <w:rsid w:val="00AE30BD"/>
    <w:rsid w:val="00AE30E1"/>
    <w:rsid w:val="00AE3202"/>
    <w:rsid w:val="00AE3203"/>
    <w:rsid w:val="00AE3275"/>
    <w:rsid w:val="00AE33B2"/>
    <w:rsid w:val="00AE3461"/>
    <w:rsid w:val="00AE3481"/>
    <w:rsid w:val="00AE3502"/>
    <w:rsid w:val="00AE353C"/>
    <w:rsid w:val="00AE361C"/>
    <w:rsid w:val="00AE3736"/>
    <w:rsid w:val="00AE37F6"/>
    <w:rsid w:val="00AE3867"/>
    <w:rsid w:val="00AE389A"/>
    <w:rsid w:val="00AE3A6A"/>
    <w:rsid w:val="00AE3B89"/>
    <w:rsid w:val="00AE3BD3"/>
    <w:rsid w:val="00AE3BF1"/>
    <w:rsid w:val="00AE3C51"/>
    <w:rsid w:val="00AE3CA3"/>
    <w:rsid w:val="00AE3CBE"/>
    <w:rsid w:val="00AE3CFF"/>
    <w:rsid w:val="00AE3F04"/>
    <w:rsid w:val="00AE41C2"/>
    <w:rsid w:val="00AE427A"/>
    <w:rsid w:val="00AE432A"/>
    <w:rsid w:val="00AE4339"/>
    <w:rsid w:val="00AE4448"/>
    <w:rsid w:val="00AE44B9"/>
    <w:rsid w:val="00AE46A3"/>
    <w:rsid w:val="00AE4745"/>
    <w:rsid w:val="00AE48EA"/>
    <w:rsid w:val="00AE4A36"/>
    <w:rsid w:val="00AE4AB3"/>
    <w:rsid w:val="00AE4B7B"/>
    <w:rsid w:val="00AE4C0A"/>
    <w:rsid w:val="00AE4CE8"/>
    <w:rsid w:val="00AE4D6E"/>
    <w:rsid w:val="00AE4D98"/>
    <w:rsid w:val="00AE4DA9"/>
    <w:rsid w:val="00AE4F8C"/>
    <w:rsid w:val="00AE5070"/>
    <w:rsid w:val="00AE50C2"/>
    <w:rsid w:val="00AE50D7"/>
    <w:rsid w:val="00AE513A"/>
    <w:rsid w:val="00AE5264"/>
    <w:rsid w:val="00AE530F"/>
    <w:rsid w:val="00AE5384"/>
    <w:rsid w:val="00AE5388"/>
    <w:rsid w:val="00AE53B6"/>
    <w:rsid w:val="00AE53E4"/>
    <w:rsid w:val="00AE5478"/>
    <w:rsid w:val="00AE5533"/>
    <w:rsid w:val="00AE553D"/>
    <w:rsid w:val="00AE557F"/>
    <w:rsid w:val="00AE57C8"/>
    <w:rsid w:val="00AE581E"/>
    <w:rsid w:val="00AE586D"/>
    <w:rsid w:val="00AE5871"/>
    <w:rsid w:val="00AE5944"/>
    <w:rsid w:val="00AE59B6"/>
    <w:rsid w:val="00AE59FD"/>
    <w:rsid w:val="00AE5B30"/>
    <w:rsid w:val="00AE5B84"/>
    <w:rsid w:val="00AE5C24"/>
    <w:rsid w:val="00AE5D93"/>
    <w:rsid w:val="00AE5E11"/>
    <w:rsid w:val="00AE5E17"/>
    <w:rsid w:val="00AE5EF4"/>
    <w:rsid w:val="00AE5F0D"/>
    <w:rsid w:val="00AE5FCC"/>
    <w:rsid w:val="00AE5FDC"/>
    <w:rsid w:val="00AE60CC"/>
    <w:rsid w:val="00AE62CB"/>
    <w:rsid w:val="00AE6384"/>
    <w:rsid w:val="00AE63C2"/>
    <w:rsid w:val="00AE64CE"/>
    <w:rsid w:val="00AE6563"/>
    <w:rsid w:val="00AE65E0"/>
    <w:rsid w:val="00AE6645"/>
    <w:rsid w:val="00AE6768"/>
    <w:rsid w:val="00AE692A"/>
    <w:rsid w:val="00AE6A06"/>
    <w:rsid w:val="00AE6A93"/>
    <w:rsid w:val="00AE6B39"/>
    <w:rsid w:val="00AE6D08"/>
    <w:rsid w:val="00AE70FB"/>
    <w:rsid w:val="00AE74AB"/>
    <w:rsid w:val="00AE7618"/>
    <w:rsid w:val="00AE7754"/>
    <w:rsid w:val="00AE77CB"/>
    <w:rsid w:val="00AE7912"/>
    <w:rsid w:val="00AE793E"/>
    <w:rsid w:val="00AE79AB"/>
    <w:rsid w:val="00AE79C8"/>
    <w:rsid w:val="00AE79D3"/>
    <w:rsid w:val="00AE79E2"/>
    <w:rsid w:val="00AE7B77"/>
    <w:rsid w:val="00AE7D64"/>
    <w:rsid w:val="00AE7E47"/>
    <w:rsid w:val="00AE7E76"/>
    <w:rsid w:val="00AE7F20"/>
    <w:rsid w:val="00AE7F59"/>
    <w:rsid w:val="00AE7FAD"/>
    <w:rsid w:val="00AF0127"/>
    <w:rsid w:val="00AF027E"/>
    <w:rsid w:val="00AF039A"/>
    <w:rsid w:val="00AF039E"/>
    <w:rsid w:val="00AF0405"/>
    <w:rsid w:val="00AF0532"/>
    <w:rsid w:val="00AF056B"/>
    <w:rsid w:val="00AF06B6"/>
    <w:rsid w:val="00AF072F"/>
    <w:rsid w:val="00AF07F1"/>
    <w:rsid w:val="00AF086B"/>
    <w:rsid w:val="00AF0925"/>
    <w:rsid w:val="00AF09E1"/>
    <w:rsid w:val="00AF09F2"/>
    <w:rsid w:val="00AF0A6E"/>
    <w:rsid w:val="00AF0A96"/>
    <w:rsid w:val="00AF0B0F"/>
    <w:rsid w:val="00AF0B90"/>
    <w:rsid w:val="00AF0C24"/>
    <w:rsid w:val="00AF0C42"/>
    <w:rsid w:val="00AF0D89"/>
    <w:rsid w:val="00AF0DCB"/>
    <w:rsid w:val="00AF0DE5"/>
    <w:rsid w:val="00AF0FB1"/>
    <w:rsid w:val="00AF0FBB"/>
    <w:rsid w:val="00AF10F2"/>
    <w:rsid w:val="00AF1135"/>
    <w:rsid w:val="00AF124C"/>
    <w:rsid w:val="00AF1253"/>
    <w:rsid w:val="00AF14D1"/>
    <w:rsid w:val="00AF1582"/>
    <w:rsid w:val="00AF1624"/>
    <w:rsid w:val="00AF1711"/>
    <w:rsid w:val="00AF174A"/>
    <w:rsid w:val="00AF177A"/>
    <w:rsid w:val="00AF18E0"/>
    <w:rsid w:val="00AF19CF"/>
    <w:rsid w:val="00AF1B79"/>
    <w:rsid w:val="00AF1C38"/>
    <w:rsid w:val="00AF1C5D"/>
    <w:rsid w:val="00AF1C74"/>
    <w:rsid w:val="00AF1E91"/>
    <w:rsid w:val="00AF1E93"/>
    <w:rsid w:val="00AF1EAA"/>
    <w:rsid w:val="00AF1EF4"/>
    <w:rsid w:val="00AF206F"/>
    <w:rsid w:val="00AF21CA"/>
    <w:rsid w:val="00AF21E1"/>
    <w:rsid w:val="00AF223E"/>
    <w:rsid w:val="00AF22BC"/>
    <w:rsid w:val="00AF235F"/>
    <w:rsid w:val="00AF25F1"/>
    <w:rsid w:val="00AF25FD"/>
    <w:rsid w:val="00AF272C"/>
    <w:rsid w:val="00AF2786"/>
    <w:rsid w:val="00AF27D3"/>
    <w:rsid w:val="00AF2808"/>
    <w:rsid w:val="00AF2814"/>
    <w:rsid w:val="00AF2844"/>
    <w:rsid w:val="00AF2887"/>
    <w:rsid w:val="00AF2A4F"/>
    <w:rsid w:val="00AF2AD7"/>
    <w:rsid w:val="00AF2BDA"/>
    <w:rsid w:val="00AF2C81"/>
    <w:rsid w:val="00AF2D20"/>
    <w:rsid w:val="00AF2DCC"/>
    <w:rsid w:val="00AF2DF3"/>
    <w:rsid w:val="00AF2F50"/>
    <w:rsid w:val="00AF31F4"/>
    <w:rsid w:val="00AF32FA"/>
    <w:rsid w:val="00AF3399"/>
    <w:rsid w:val="00AF33CB"/>
    <w:rsid w:val="00AF3456"/>
    <w:rsid w:val="00AF35AB"/>
    <w:rsid w:val="00AF3614"/>
    <w:rsid w:val="00AF36A2"/>
    <w:rsid w:val="00AF37B2"/>
    <w:rsid w:val="00AF3842"/>
    <w:rsid w:val="00AF38BB"/>
    <w:rsid w:val="00AF398C"/>
    <w:rsid w:val="00AF399A"/>
    <w:rsid w:val="00AF39D0"/>
    <w:rsid w:val="00AF39FD"/>
    <w:rsid w:val="00AF3C72"/>
    <w:rsid w:val="00AF40C5"/>
    <w:rsid w:val="00AF41AE"/>
    <w:rsid w:val="00AF4213"/>
    <w:rsid w:val="00AF432C"/>
    <w:rsid w:val="00AF447D"/>
    <w:rsid w:val="00AF44E8"/>
    <w:rsid w:val="00AF4587"/>
    <w:rsid w:val="00AF4606"/>
    <w:rsid w:val="00AF465F"/>
    <w:rsid w:val="00AF4843"/>
    <w:rsid w:val="00AF48B6"/>
    <w:rsid w:val="00AF490E"/>
    <w:rsid w:val="00AF4951"/>
    <w:rsid w:val="00AF4BDE"/>
    <w:rsid w:val="00AF4C43"/>
    <w:rsid w:val="00AF4D04"/>
    <w:rsid w:val="00AF4D4E"/>
    <w:rsid w:val="00AF4D7D"/>
    <w:rsid w:val="00AF4DF4"/>
    <w:rsid w:val="00AF4E3E"/>
    <w:rsid w:val="00AF50A8"/>
    <w:rsid w:val="00AF512B"/>
    <w:rsid w:val="00AF518D"/>
    <w:rsid w:val="00AF51A5"/>
    <w:rsid w:val="00AF51F1"/>
    <w:rsid w:val="00AF51FA"/>
    <w:rsid w:val="00AF5362"/>
    <w:rsid w:val="00AF5428"/>
    <w:rsid w:val="00AF5441"/>
    <w:rsid w:val="00AF555E"/>
    <w:rsid w:val="00AF55F6"/>
    <w:rsid w:val="00AF55F9"/>
    <w:rsid w:val="00AF5602"/>
    <w:rsid w:val="00AF57A0"/>
    <w:rsid w:val="00AF57F5"/>
    <w:rsid w:val="00AF5975"/>
    <w:rsid w:val="00AF59D5"/>
    <w:rsid w:val="00AF5AD7"/>
    <w:rsid w:val="00AF5B79"/>
    <w:rsid w:val="00AF5BC5"/>
    <w:rsid w:val="00AF5C19"/>
    <w:rsid w:val="00AF5CCE"/>
    <w:rsid w:val="00AF5D5F"/>
    <w:rsid w:val="00AF5D6F"/>
    <w:rsid w:val="00AF5D80"/>
    <w:rsid w:val="00AF5E1A"/>
    <w:rsid w:val="00AF5E32"/>
    <w:rsid w:val="00AF5F2E"/>
    <w:rsid w:val="00AF6024"/>
    <w:rsid w:val="00AF603C"/>
    <w:rsid w:val="00AF62A1"/>
    <w:rsid w:val="00AF62CF"/>
    <w:rsid w:val="00AF6407"/>
    <w:rsid w:val="00AF64C5"/>
    <w:rsid w:val="00AF65B4"/>
    <w:rsid w:val="00AF65B8"/>
    <w:rsid w:val="00AF670C"/>
    <w:rsid w:val="00AF6790"/>
    <w:rsid w:val="00AF692E"/>
    <w:rsid w:val="00AF6949"/>
    <w:rsid w:val="00AF6A2B"/>
    <w:rsid w:val="00AF6B7B"/>
    <w:rsid w:val="00AF6BF6"/>
    <w:rsid w:val="00AF6C8C"/>
    <w:rsid w:val="00AF6DB3"/>
    <w:rsid w:val="00AF6E0F"/>
    <w:rsid w:val="00AF6E1C"/>
    <w:rsid w:val="00AF6E8B"/>
    <w:rsid w:val="00AF6FC2"/>
    <w:rsid w:val="00AF6FF9"/>
    <w:rsid w:val="00AF71C0"/>
    <w:rsid w:val="00AF7282"/>
    <w:rsid w:val="00AF72F1"/>
    <w:rsid w:val="00AF7394"/>
    <w:rsid w:val="00AF7482"/>
    <w:rsid w:val="00AF7492"/>
    <w:rsid w:val="00AF749E"/>
    <w:rsid w:val="00AF7514"/>
    <w:rsid w:val="00AF7537"/>
    <w:rsid w:val="00AF75DA"/>
    <w:rsid w:val="00AF76A2"/>
    <w:rsid w:val="00AF7A82"/>
    <w:rsid w:val="00AF7B57"/>
    <w:rsid w:val="00AF7BA4"/>
    <w:rsid w:val="00AF7C66"/>
    <w:rsid w:val="00AF7C76"/>
    <w:rsid w:val="00AF7C93"/>
    <w:rsid w:val="00AF7D53"/>
    <w:rsid w:val="00AF7E9D"/>
    <w:rsid w:val="00AF7EBE"/>
    <w:rsid w:val="00AF7EFB"/>
    <w:rsid w:val="00AF7FE3"/>
    <w:rsid w:val="00B00117"/>
    <w:rsid w:val="00B001C5"/>
    <w:rsid w:val="00B002A8"/>
    <w:rsid w:val="00B004D7"/>
    <w:rsid w:val="00B00539"/>
    <w:rsid w:val="00B00560"/>
    <w:rsid w:val="00B006F4"/>
    <w:rsid w:val="00B00710"/>
    <w:rsid w:val="00B0074D"/>
    <w:rsid w:val="00B00830"/>
    <w:rsid w:val="00B00986"/>
    <w:rsid w:val="00B00A29"/>
    <w:rsid w:val="00B00D3D"/>
    <w:rsid w:val="00B00D6A"/>
    <w:rsid w:val="00B00E02"/>
    <w:rsid w:val="00B00E96"/>
    <w:rsid w:val="00B00EF8"/>
    <w:rsid w:val="00B011CF"/>
    <w:rsid w:val="00B011FA"/>
    <w:rsid w:val="00B01241"/>
    <w:rsid w:val="00B0144E"/>
    <w:rsid w:val="00B01454"/>
    <w:rsid w:val="00B015A6"/>
    <w:rsid w:val="00B015BA"/>
    <w:rsid w:val="00B017AE"/>
    <w:rsid w:val="00B017C0"/>
    <w:rsid w:val="00B0188B"/>
    <w:rsid w:val="00B01911"/>
    <w:rsid w:val="00B019DB"/>
    <w:rsid w:val="00B01B1F"/>
    <w:rsid w:val="00B01B9C"/>
    <w:rsid w:val="00B01BD0"/>
    <w:rsid w:val="00B01CC3"/>
    <w:rsid w:val="00B01F85"/>
    <w:rsid w:val="00B02052"/>
    <w:rsid w:val="00B02093"/>
    <w:rsid w:val="00B0210B"/>
    <w:rsid w:val="00B02135"/>
    <w:rsid w:val="00B022D4"/>
    <w:rsid w:val="00B023F5"/>
    <w:rsid w:val="00B02402"/>
    <w:rsid w:val="00B02480"/>
    <w:rsid w:val="00B02497"/>
    <w:rsid w:val="00B02629"/>
    <w:rsid w:val="00B0267E"/>
    <w:rsid w:val="00B027AB"/>
    <w:rsid w:val="00B02856"/>
    <w:rsid w:val="00B02926"/>
    <w:rsid w:val="00B02A3E"/>
    <w:rsid w:val="00B02B26"/>
    <w:rsid w:val="00B02B83"/>
    <w:rsid w:val="00B02C75"/>
    <w:rsid w:val="00B02E50"/>
    <w:rsid w:val="00B02FAB"/>
    <w:rsid w:val="00B03046"/>
    <w:rsid w:val="00B0304E"/>
    <w:rsid w:val="00B030A2"/>
    <w:rsid w:val="00B031BF"/>
    <w:rsid w:val="00B031F2"/>
    <w:rsid w:val="00B031FC"/>
    <w:rsid w:val="00B031FD"/>
    <w:rsid w:val="00B032B3"/>
    <w:rsid w:val="00B032EC"/>
    <w:rsid w:val="00B03329"/>
    <w:rsid w:val="00B033A2"/>
    <w:rsid w:val="00B0364F"/>
    <w:rsid w:val="00B037F8"/>
    <w:rsid w:val="00B03835"/>
    <w:rsid w:val="00B03946"/>
    <w:rsid w:val="00B0399B"/>
    <w:rsid w:val="00B03A1C"/>
    <w:rsid w:val="00B03A47"/>
    <w:rsid w:val="00B03A96"/>
    <w:rsid w:val="00B03B38"/>
    <w:rsid w:val="00B03C25"/>
    <w:rsid w:val="00B03DB5"/>
    <w:rsid w:val="00B03E01"/>
    <w:rsid w:val="00B03FAA"/>
    <w:rsid w:val="00B03FE2"/>
    <w:rsid w:val="00B0402F"/>
    <w:rsid w:val="00B041FD"/>
    <w:rsid w:val="00B04424"/>
    <w:rsid w:val="00B04567"/>
    <w:rsid w:val="00B04572"/>
    <w:rsid w:val="00B0459A"/>
    <w:rsid w:val="00B045A7"/>
    <w:rsid w:val="00B045B4"/>
    <w:rsid w:val="00B046AF"/>
    <w:rsid w:val="00B04718"/>
    <w:rsid w:val="00B04865"/>
    <w:rsid w:val="00B049D8"/>
    <w:rsid w:val="00B04B0A"/>
    <w:rsid w:val="00B04B44"/>
    <w:rsid w:val="00B04B7E"/>
    <w:rsid w:val="00B04B82"/>
    <w:rsid w:val="00B04BB1"/>
    <w:rsid w:val="00B04C7C"/>
    <w:rsid w:val="00B04D1A"/>
    <w:rsid w:val="00B04D3B"/>
    <w:rsid w:val="00B04D65"/>
    <w:rsid w:val="00B04DBD"/>
    <w:rsid w:val="00B04DE9"/>
    <w:rsid w:val="00B04E3F"/>
    <w:rsid w:val="00B04F36"/>
    <w:rsid w:val="00B0503C"/>
    <w:rsid w:val="00B05150"/>
    <w:rsid w:val="00B05269"/>
    <w:rsid w:val="00B053A3"/>
    <w:rsid w:val="00B05445"/>
    <w:rsid w:val="00B0547E"/>
    <w:rsid w:val="00B0555D"/>
    <w:rsid w:val="00B05690"/>
    <w:rsid w:val="00B0573D"/>
    <w:rsid w:val="00B05853"/>
    <w:rsid w:val="00B05976"/>
    <w:rsid w:val="00B059C0"/>
    <w:rsid w:val="00B059E2"/>
    <w:rsid w:val="00B05A16"/>
    <w:rsid w:val="00B05ABF"/>
    <w:rsid w:val="00B05B24"/>
    <w:rsid w:val="00B05C35"/>
    <w:rsid w:val="00B05C5D"/>
    <w:rsid w:val="00B05DF1"/>
    <w:rsid w:val="00B05E08"/>
    <w:rsid w:val="00B05E91"/>
    <w:rsid w:val="00B05E92"/>
    <w:rsid w:val="00B0604C"/>
    <w:rsid w:val="00B06150"/>
    <w:rsid w:val="00B0616A"/>
    <w:rsid w:val="00B064D9"/>
    <w:rsid w:val="00B065C6"/>
    <w:rsid w:val="00B0666D"/>
    <w:rsid w:val="00B0683A"/>
    <w:rsid w:val="00B06908"/>
    <w:rsid w:val="00B069C8"/>
    <w:rsid w:val="00B06B01"/>
    <w:rsid w:val="00B06D0B"/>
    <w:rsid w:val="00B06D51"/>
    <w:rsid w:val="00B07004"/>
    <w:rsid w:val="00B07015"/>
    <w:rsid w:val="00B073A4"/>
    <w:rsid w:val="00B0741F"/>
    <w:rsid w:val="00B07468"/>
    <w:rsid w:val="00B077A7"/>
    <w:rsid w:val="00B07962"/>
    <w:rsid w:val="00B07A28"/>
    <w:rsid w:val="00B07A74"/>
    <w:rsid w:val="00B07CC2"/>
    <w:rsid w:val="00B07CD8"/>
    <w:rsid w:val="00B07CDD"/>
    <w:rsid w:val="00B07D17"/>
    <w:rsid w:val="00B07E7F"/>
    <w:rsid w:val="00B07EEC"/>
    <w:rsid w:val="00B100C9"/>
    <w:rsid w:val="00B100E2"/>
    <w:rsid w:val="00B10184"/>
    <w:rsid w:val="00B102BB"/>
    <w:rsid w:val="00B103AF"/>
    <w:rsid w:val="00B10480"/>
    <w:rsid w:val="00B104FD"/>
    <w:rsid w:val="00B1055B"/>
    <w:rsid w:val="00B108CA"/>
    <w:rsid w:val="00B108D8"/>
    <w:rsid w:val="00B10967"/>
    <w:rsid w:val="00B10A81"/>
    <w:rsid w:val="00B10B26"/>
    <w:rsid w:val="00B10B4B"/>
    <w:rsid w:val="00B10C30"/>
    <w:rsid w:val="00B10C61"/>
    <w:rsid w:val="00B10D1D"/>
    <w:rsid w:val="00B10FA9"/>
    <w:rsid w:val="00B11180"/>
    <w:rsid w:val="00B1119B"/>
    <w:rsid w:val="00B111D5"/>
    <w:rsid w:val="00B11335"/>
    <w:rsid w:val="00B11336"/>
    <w:rsid w:val="00B113F1"/>
    <w:rsid w:val="00B1149F"/>
    <w:rsid w:val="00B11566"/>
    <w:rsid w:val="00B11573"/>
    <w:rsid w:val="00B1174E"/>
    <w:rsid w:val="00B11765"/>
    <w:rsid w:val="00B11841"/>
    <w:rsid w:val="00B1192D"/>
    <w:rsid w:val="00B11969"/>
    <w:rsid w:val="00B1197C"/>
    <w:rsid w:val="00B11980"/>
    <w:rsid w:val="00B11A45"/>
    <w:rsid w:val="00B11A4C"/>
    <w:rsid w:val="00B11A7E"/>
    <w:rsid w:val="00B11AFD"/>
    <w:rsid w:val="00B11C2F"/>
    <w:rsid w:val="00B11C3B"/>
    <w:rsid w:val="00B11CF0"/>
    <w:rsid w:val="00B11DA3"/>
    <w:rsid w:val="00B11F32"/>
    <w:rsid w:val="00B11FF2"/>
    <w:rsid w:val="00B12188"/>
    <w:rsid w:val="00B1232C"/>
    <w:rsid w:val="00B12448"/>
    <w:rsid w:val="00B126F7"/>
    <w:rsid w:val="00B1281B"/>
    <w:rsid w:val="00B1282D"/>
    <w:rsid w:val="00B1298F"/>
    <w:rsid w:val="00B1299A"/>
    <w:rsid w:val="00B1299D"/>
    <w:rsid w:val="00B12A4A"/>
    <w:rsid w:val="00B12AD8"/>
    <w:rsid w:val="00B12C61"/>
    <w:rsid w:val="00B12CA5"/>
    <w:rsid w:val="00B12D67"/>
    <w:rsid w:val="00B12D92"/>
    <w:rsid w:val="00B12F6B"/>
    <w:rsid w:val="00B12F8C"/>
    <w:rsid w:val="00B13034"/>
    <w:rsid w:val="00B1303C"/>
    <w:rsid w:val="00B131E2"/>
    <w:rsid w:val="00B13228"/>
    <w:rsid w:val="00B132B6"/>
    <w:rsid w:val="00B133D6"/>
    <w:rsid w:val="00B13478"/>
    <w:rsid w:val="00B13510"/>
    <w:rsid w:val="00B135AE"/>
    <w:rsid w:val="00B13699"/>
    <w:rsid w:val="00B13726"/>
    <w:rsid w:val="00B13A32"/>
    <w:rsid w:val="00B13C61"/>
    <w:rsid w:val="00B13E79"/>
    <w:rsid w:val="00B13E7E"/>
    <w:rsid w:val="00B140B7"/>
    <w:rsid w:val="00B14120"/>
    <w:rsid w:val="00B141B6"/>
    <w:rsid w:val="00B141C0"/>
    <w:rsid w:val="00B141C9"/>
    <w:rsid w:val="00B14287"/>
    <w:rsid w:val="00B14301"/>
    <w:rsid w:val="00B14338"/>
    <w:rsid w:val="00B1433A"/>
    <w:rsid w:val="00B1434A"/>
    <w:rsid w:val="00B1440C"/>
    <w:rsid w:val="00B145AB"/>
    <w:rsid w:val="00B14683"/>
    <w:rsid w:val="00B1468B"/>
    <w:rsid w:val="00B146B6"/>
    <w:rsid w:val="00B146E7"/>
    <w:rsid w:val="00B146F0"/>
    <w:rsid w:val="00B14745"/>
    <w:rsid w:val="00B14803"/>
    <w:rsid w:val="00B148B6"/>
    <w:rsid w:val="00B1491C"/>
    <w:rsid w:val="00B149C9"/>
    <w:rsid w:val="00B14A33"/>
    <w:rsid w:val="00B14B3E"/>
    <w:rsid w:val="00B14BC2"/>
    <w:rsid w:val="00B14BCC"/>
    <w:rsid w:val="00B14BDB"/>
    <w:rsid w:val="00B14C2E"/>
    <w:rsid w:val="00B14D28"/>
    <w:rsid w:val="00B14DF3"/>
    <w:rsid w:val="00B14E8E"/>
    <w:rsid w:val="00B14FFA"/>
    <w:rsid w:val="00B150C1"/>
    <w:rsid w:val="00B15196"/>
    <w:rsid w:val="00B15252"/>
    <w:rsid w:val="00B15286"/>
    <w:rsid w:val="00B152CB"/>
    <w:rsid w:val="00B152EC"/>
    <w:rsid w:val="00B152ED"/>
    <w:rsid w:val="00B15344"/>
    <w:rsid w:val="00B1544C"/>
    <w:rsid w:val="00B155EB"/>
    <w:rsid w:val="00B155FA"/>
    <w:rsid w:val="00B15639"/>
    <w:rsid w:val="00B1569C"/>
    <w:rsid w:val="00B156B6"/>
    <w:rsid w:val="00B15718"/>
    <w:rsid w:val="00B157C8"/>
    <w:rsid w:val="00B158A3"/>
    <w:rsid w:val="00B159D1"/>
    <w:rsid w:val="00B15C78"/>
    <w:rsid w:val="00B15D0C"/>
    <w:rsid w:val="00B15DF9"/>
    <w:rsid w:val="00B15ED4"/>
    <w:rsid w:val="00B15F25"/>
    <w:rsid w:val="00B15FA8"/>
    <w:rsid w:val="00B15FFC"/>
    <w:rsid w:val="00B1608A"/>
    <w:rsid w:val="00B160B2"/>
    <w:rsid w:val="00B1629D"/>
    <w:rsid w:val="00B16333"/>
    <w:rsid w:val="00B16391"/>
    <w:rsid w:val="00B1648B"/>
    <w:rsid w:val="00B1649B"/>
    <w:rsid w:val="00B16515"/>
    <w:rsid w:val="00B16645"/>
    <w:rsid w:val="00B166F1"/>
    <w:rsid w:val="00B167F3"/>
    <w:rsid w:val="00B16818"/>
    <w:rsid w:val="00B169CD"/>
    <w:rsid w:val="00B16A3D"/>
    <w:rsid w:val="00B16B46"/>
    <w:rsid w:val="00B16BC9"/>
    <w:rsid w:val="00B16C5B"/>
    <w:rsid w:val="00B16C88"/>
    <w:rsid w:val="00B16CE1"/>
    <w:rsid w:val="00B16E84"/>
    <w:rsid w:val="00B16E96"/>
    <w:rsid w:val="00B16EA5"/>
    <w:rsid w:val="00B16F35"/>
    <w:rsid w:val="00B17096"/>
    <w:rsid w:val="00B171C7"/>
    <w:rsid w:val="00B1727D"/>
    <w:rsid w:val="00B17377"/>
    <w:rsid w:val="00B17400"/>
    <w:rsid w:val="00B1749C"/>
    <w:rsid w:val="00B174AB"/>
    <w:rsid w:val="00B174E9"/>
    <w:rsid w:val="00B174EF"/>
    <w:rsid w:val="00B17543"/>
    <w:rsid w:val="00B175EB"/>
    <w:rsid w:val="00B17635"/>
    <w:rsid w:val="00B1771B"/>
    <w:rsid w:val="00B17751"/>
    <w:rsid w:val="00B1779A"/>
    <w:rsid w:val="00B177E5"/>
    <w:rsid w:val="00B177FE"/>
    <w:rsid w:val="00B17906"/>
    <w:rsid w:val="00B17A07"/>
    <w:rsid w:val="00B17A63"/>
    <w:rsid w:val="00B17A87"/>
    <w:rsid w:val="00B17B30"/>
    <w:rsid w:val="00B17B71"/>
    <w:rsid w:val="00B17C73"/>
    <w:rsid w:val="00B17D09"/>
    <w:rsid w:val="00B17E13"/>
    <w:rsid w:val="00B17FA1"/>
    <w:rsid w:val="00B17FAA"/>
    <w:rsid w:val="00B17FE3"/>
    <w:rsid w:val="00B201E2"/>
    <w:rsid w:val="00B20399"/>
    <w:rsid w:val="00B2040F"/>
    <w:rsid w:val="00B2046C"/>
    <w:rsid w:val="00B2051E"/>
    <w:rsid w:val="00B2053C"/>
    <w:rsid w:val="00B2056E"/>
    <w:rsid w:val="00B20584"/>
    <w:rsid w:val="00B20772"/>
    <w:rsid w:val="00B207B1"/>
    <w:rsid w:val="00B20966"/>
    <w:rsid w:val="00B20A4D"/>
    <w:rsid w:val="00B20ABB"/>
    <w:rsid w:val="00B20B64"/>
    <w:rsid w:val="00B20B90"/>
    <w:rsid w:val="00B20BD4"/>
    <w:rsid w:val="00B20C02"/>
    <w:rsid w:val="00B20C2D"/>
    <w:rsid w:val="00B20E7E"/>
    <w:rsid w:val="00B20EC1"/>
    <w:rsid w:val="00B21226"/>
    <w:rsid w:val="00B21273"/>
    <w:rsid w:val="00B21548"/>
    <w:rsid w:val="00B21718"/>
    <w:rsid w:val="00B21733"/>
    <w:rsid w:val="00B2173E"/>
    <w:rsid w:val="00B21840"/>
    <w:rsid w:val="00B21881"/>
    <w:rsid w:val="00B218D0"/>
    <w:rsid w:val="00B21919"/>
    <w:rsid w:val="00B21A3C"/>
    <w:rsid w:val="00B21A58"/>
    <w:rsid w:val="00B21AA8"/>
    <w:rsid w:val="00B21ADD"/>
    <w:rsid w:val="00B21C3A"/>
    <w:rsid w:val="00B21E36"/>
    <w:rsid w:val="00B21EC4"/>
    <w:rsid w:val="00B21FD0"/>
    <w:rsid w:val="00B21FFE"/>
    <w:rsid w:val="00B22148"/>
    <w:rsid w:val="00B22368"/>
    <w:rsid w:val="00B22410"/>
    <w:rsid w:val="00B224A6"/>
    <w:rsid w:val="00B22511"/>
    <w:rsid w:val="00B2267F"/>
    <w:rsid w:val="00B226D3"/>
    <w:rsid w:val="00B226F2"/>
    <w:rsid w:val="00B22A0F"/>
    <w:rsid w:val="00B22B1D"/>
    <w:rsid w:val="00B22B47"/>
    <w:rsid w:val="00B22D70"/>
    <w:rsid w:val="00B22EE7"/>
    <w:rsid w:val="00B22FDC"/>
    <w:rsid w:val="00B22FDF"/>
    <w:rsid w:val="00B22FFA"/>
    <w:rsid w:val="00B23069"/>
    <w:rsid w:val="00B23073"/>
    <w:rsid w:val="00B23074"/>
    <w:rsid w:val="00B2308E"/>
    <w:rsid w:val="00B230D8"/>
    <w:rsid w:val="00B230F9"/>
    <w:rsid w:val="00B2329D"/>
    <w:rsid w:val="00B232DD"/>
    <w:rsid w:val="00B233A1"/>
    <w:rsid w:val="00B23567"/>
    <w:rsid w:val="00B236F7"/>
    <w:rsid w:val="00B237C8"/>
    <w:rsid w:val="00B2381D"/>
    <w:rsid w:val="00B238F9"/>
    <w:rsid w:val="00B239AD"/>
    <w:rsid w:val="00B239F8"/>
    <w:rsid w:val="00B23C2C"/>
    <w:rsid w:val="00B23C9F"/>
    <w:rsid w:val="00B23CFF"/>
    <w:rsid w:val="00B23D53"/>
    <w:rsid w:val="00B23FB6"/>
    <w:rsid w:val="00B24079"/>
    <w:rsid w:val="00B2408A"/>
    <w:rsid w:val="00B2415F"/>
    <w:rsid w:val="00B241B7"/>
    <w:rsid w:val="00B24241"/>
    <w:rsid w:val="00B2455D"/>
    <w:rsid w:val="00B2461B"/>
    <w:rsid w:val="00B247E5"/>
    <w:rsid w:val="00B24A35"/>
    <w:rsid w:val="00B24BA1"/>
    <w:rsid w:val="00B24BC2"/>
    <w:rsid w:val="00B24C26"/>
    <w:rsid w:val="00B24C7E"/>
    <w:rsid w:val="00B24D3A"/>
    <w:rsid w:val="00B24DDF"/>
    <w:rsid w:val="00B24F29"/>
    <w:rsid w:val="00B24F98"/>
    <w:rsid w:val="00B24F9C"/>
    <w:rsid w:val="00B25026"/>
    <w:rsid w:val="00B250D0"/>
    <w:rsid w:val="00B250E1"/>
    <w:rsid w:val="00B25239"/>
    <w:rsid w:val="00B25398"/>
    <w:rsid w:val="00B253EA"/>
    <w:rsid w:val="00B2561C"/>
    <w:rsid w:val="00B25721"/>
    <w:rsid w:val="00B25749"/>
    <w:rsid w:val="00B257D8"/>
    <w:rsid w:val="00B25820"/>
    <w:rsid w:val="00B25A98"/>
    <w:rsid w:val="00B25C76"/>
    <w:rsid w:val="00B25C95"/>
    <w:rsid w:val="00B25DD4"/>
    <w:rsid w:val="00B25DF1"/>
    <w:rsid w:val="00B25E07"/>
    <w:rsid w:val="00B2600C"/>
    <w:rsid w:val="00B260B9"/>
    <w:rsid w:val="00B26113"/>
    <w:rsid w:val="00B261A8"/>
    <w:rsid w:val="00B26261"/>
    <w:rsid w:val="00B2626B"/>
    <w:rsid w:val="00B26292"/>
    <w:rsid w:val="00B26294"/>
    <w:rsid w:val="00B26320"/>
    <w:rsid w:val="00B2633B"/>
    <w:rsid w:val="00B26593"/>
    <w:rsid w:val="00B265AC"/>
    <w:rsid w:val="00B2674C"/>
    <w:rsid w:val="00B267A2"/>
    <w:rsid w:val="00B2691D"/>
    <w:rsid w:val="00B2694C"/>
    <w:rsid w:val="00B269AE"/>
    <w:rsid w:val="00B26BE8"/>
    <w:rsid w:val="00B26E33"/>
    <w:rsid w:val="00B26E61"/>
    <w:rsid w:val="00B270D8"/>
    <w:rsid w:val="00B27117"/>
    <w:rsid w:val="00B27144"/>
    <w:rsid w:val="00B2719F"/>
    <w:rsid w:val="00B2720E"/>
    <w:rsid w:val="00B2731A"/>
    <w:rsid w:val="00B27340"/>
    <w:rsid w:val="00B27346"/>
    <w:rsid w:val="00B27472"/>
    <w:rsid w:val="00B274E1"/>
    <w:rsid w:val="00B27517"/>
    <w:rsid w:val="00B27523"/>
    <w:rsid w:val="00B275E1"/>
    <w:rsid w:val="00B276D5"/>
    <w:rsid w:val="00B2779B"/>
    <w:rsid w:val="00B27868"/>
    <w:rsid w:val="00B27961"/>
    <w:rsid w:val="00B279D5"/>
    <w:rsid w:val="00B27A13"/>
    <w:rsid w:val="00B27C35"/>
    <w:rsid w:val="00B27D32"/>
    <w:rsid w:val="00B27D4C"/>
    <w:rsid w:val="00B27DA4"/>
    <w:rsid w:val="00B27F03"/>
    <w:rsid w:val="00B27F74"/>
    <w:rsid w:val="00B27FA8"/>
    <w:rsid w:val="00B30074"/>
    <w:rsid w:val="00B300E4"/>
    <w:rsid w:val="00B30171"/>
    <w:rsid w:val="00B301F7"/>
    <w:rsid w:val="00B30298"/>
    <w:rsid w:val="00B303DE"/>
    <w:rsid w:val="00B3040B"/>
    <w:rsid w:val="00B3056D"/>
    <w:rsid w:val="00B305B3"/>
    <w:rsid w:val="00B305C0"/>
    <w:rsid w:val="00B3063F"/>
    <w:rsid w:val="00B3069D"/>
    <w:rsid w:val="00B307C4"/>
    <w:rsid w:val="00B3082D"/>
    <w:rsid w:val="00B30981"/>
    <w:rsid w:val="00B309E5"/>
    <w:rsid w:val="00B30A85"/>
    <w:rsid w:val="00B30BA2"/>
    <w:rsid w:val="00B30CF3"/>
    <w:rsid w:val="00B30D77"/>
    <w:rsid w:val="00B30F76"/>
    <w:rsid w:val="00B31028"/>
    <w:rsid w:val="00B310D0"/>
    <w:rsid w:val="00B310D6"/>
    <w:rsid w:val="00B310E2"/>
    <w:rsid w:val="00B312A6"/>
    <w:rsid w:val="00B31466"/>
    <w:rsid w:val="00B3159F"/>
    <w:rsid w:val="00B315F6"/>
    <w:rsid w:val="00B316BB"/>
    <w:rsid w:val="00B31A8B"/>
    <w:rsid w:val="00B31B50"/>
    <w:rsid w:val="00B31BBA"/>
    <w:rsid w:val="00B31C30"/>
    <w:rsid w:val="00B31E07"/>
    <w:rsid w:val="00B31FA0"/>
    <w:rsid w:val="00B31FD6"/>
    <w:rsid w:val="00B31FD9"/>
    <w:rsid w:val="00B32122"/>
    <w:rsid w:val="00B32191"/>
    <w:rsid w:val="00B3227C"/>
    <w:rsid w:val="00B32305"/>
    <w:rsid w:val="00B32350"/>
    <w:rsid w:val="00B32424"/>
    <w:rsid w:val="00B32426"/>
    <w:rsid w:val="00B3245C"/>
    <w:rsid w:val="00B325EC"/>
    <w:rsid w:val="00B3264F"/>
    <w:rsid w:val="00B32979"/>
    <w:rsid w:val="00B32D00"/>
    <w:rsid w:val="00B32E08"/>
    <w:rsid w:val="00B32EF1"/>
    <w:rsid w:val="00B32FF9"/>
    <w:rsid w:val="00B33073"/>
    <w:rsid w:val="00B3309B"/>
    <w:rsid w:val="00B33227"/>
    <w:rsid w:val="00B3327A"/>
    <w:rsid w:val="00B332BA"/>
    <w:rsid w:val="00B333C6"/>
    <w:rsid w:val="00B33405"/>
    <w:rsid w:val="00B33424"/>
    <w:rsid w:val="00B3345B"/>
    <w:rsid w:val="00B335AC"/>
    <w:rsid w:val="00B335D1"/>
    <w:rsid w:val="00B3372A"/>
    <w:rsid w:val="00B339F1"/>
    <w:rsid w:val="00B33A87"/>
    <w:rsid w:val="00B33B40"/>
    <w:rsid w:val="00B33B96"/>
    <w:rsid w:val="00B33BA3"/>
    <w:rsid w:val="00B33C34"/>
    <w:rsid w:val="00B33CCC"/>
    <w:rsid w:val="00B33D7A"/>
    <w:rsid w:val="00B33DDF"/>
    <w:rsid w:val="00B34016"/>
    <w:rsid w:val="00B3404C"/>
    <w:rsid w:val="00B34170"/>
    <w:rsid w:val="00B34379"/>
    <w:rsid w:val="00B343CE"/>
    <w:rsid w:val="00B34554"/>
    <w:rsid w:val="00B345E3"/>
    <w:rsid w:val="00B3485D"/>
    <w:rsid w:val="00B3488A"/>
    <w:rsid w:val="00B348FB"/>
    <w:rsid w:val="00B34B4C"/>
    <w:rsid w:val="00B34D64"/>
    <w:rsid w:val="00B34D67"/>
    <w:rsid w:val="00B34E44"/>
    <w:rsid w:val="00B34EFE"/>
    <w:rsid w:val="00B34F1B"/>
    <w:rsid w:val="00B34F2A"/>
    <w:rsid w:val="00B35049"/>
    <w:rsid w:val="00B350AA"/>
    <w:rsid w:val="00B35111"/>
    <w:rsid w:val="00B35181"/>
    <w:rsid w:val="00B351F6"/>
    <w:rsid w:val="00B35238"/>
    <w:rsid w:val="00B352D4"/>
    <w:rsid w:val="00B35410"/>
    <w:rsid w:val="00B3544A"/>
    <w:rsid w:val="00B3558B"/>
    <w:rsid w:val="00B355E4"/>
    <w:rsid w:val="00B35690"/>
    <w:rsid w:val="00B356D6"/>
    <w:rsid w:val="00B356DD"/>
    <w:rsid w:val="00B357C6"/>
    <w:rsid w:val="00B3592C"/>
    <w:rsid w:val="00B359AD"/>
    <w:rsid w:val="00B35AFD"/>
    <w:rsid w:val="00B35B0A"/>
    <w:rsid w:val="00B35C17"/>
    <w:rsid w:val="00B35C43"/>
    <w:rsid w:val="00B35C60"/>
    <w:rsid w:val="00B35C6C"/>
    <w:rsid w:val="00B35C8D"/>
    <w:rsid w:val="00B35CC6"/>
    <w:rsid w:val="00B35D8A"/>
    <w:rsid w:val="00B36131"/>
    <w:rsid w:val="00B36276"/>
    <w:rsid w:val="00B36343"/>
    <w:rsid w:val="00B3666F"/>
    <w:rsid w:val="00B36670"/>
    <w:rsid w:val="00B36686"/>
    <w:rsid w:val="00B366E3"/>
    <w:rsid w:val="00B36789"/>
    <w:rsid w:val="00B369E6"/>
    <w:rsid w:val="00B36CCF"/>
    <w:rsid w:val="00B36CD5"/>
    <w:rsid w:val="00B36CE6"/>
    <w:rsid w:val="00B36CFC"/>
    <w:rsid w:val="00B36D4C"/>
    <w:rsid w:val="00B36FE3"/>
    <w:rsid w:val="00B37015"/>
    <w:rsid w:val="00B37177"/>
    <w:rsid w:val="00B37233"/>
    <w:rsid w:val="00B3729E"/>
    <w:rsid w:val="00B37332"/>
    <w:rsid w:val="00B37348"/>
    <w:rsid w:val="00B37434"/>
    <w:rsid w:val="00B37450"/>
    <w:rsid w:val="00B37496"/>
    <w:rsid w:val="00B375BC"/>
    <w:rsid w:val="00B375C8"/>
    <w:rsid w:val="00B3761A"/>
    <w:rsid w:val="00B37886"/>
    <w:rsid w:val="00B378DA"/>
    <w:rsid w:val="00B37AB9"/>
    <w:rsid w:val="00B37B28"/>
    <w:rsid w:val="00B37B3C"/>
    <w:rsid w:val="00B37B69"/>
    <w:rsid w:val="00B37BBA"/>
    <w:rsid w:val="00B37C4A"/>
    <w:rsid w:val="00B37DB6"/>
    <w:rsid w:val="00B37DEB"/>
    <w:rsid w:val="00B401BC"/>
    <w:rsid w:val="00B40202"/>
    <w:rsid w:val="00B40207"/>
    <w:rsid w:val="00B4023B"/>
    <w:rsid w:val="00B403E1"/>
    <w:rsid w:val="00B4044B"/>
    <w:rsid w:val="00B405EB"/>
    <w:rsid w:val="00B4069E"/>
    <w:rsid w:val="00B406BE"/>
    <w:rsid w:val="00B4087A"/>
    <w:rsid w:val="00B408B7"/>
    <w:rsid w:val="00B40B14"/>
    <w:rsid w:val="00B40B18"/>
    <w:rsid w:val="00B40B31"/>
    <w:rsid w:val="00B40B94"/>
    <w:rsid w:val="00B40BF2"/>
    <w:rsid w:val="00B40C23"/>
    <w:rsid w:val="00B40F7D"/>
    <w:rsid w:val="00B4100A"/>
    <w:rsid w:val="00B41010"/>
    <w:rsid w:val="00B41022"/>
    <w:rsid w:val="00B41159"/>
    <w:rsid w:val="00B4115B"/>
    <w:rsid w:val="00B411AB"/>
    <w:rsid w:val="00B41433"/>
    <w:rsid w:val="00B415A7"/>
    <w:rsid w:val="00B415E9"/>
    <w:rsid w:val="00B41622"/>
    <w:rsid w:val="00B41737"/>
    <w:rsid w:val="00B41858"/>
    <w:rsid w:val="00B418A4"/>
    <w:rsid w:val="00B41A5C"/>
    <w:rsid w:val="00B41A95"/>
    <w:rsid w:val="00B41A9A"/>
    <w:rsid w:val="00B41AC6"/>
    <w:rsid w:val="00B41B45"/>
    <w:rsid w:val="00B41BC0"/>
    <w:rsid w:val="00B41C17"/>
    <w:rsid w:val="00B41CC1"/>
    <w:rsid w:val="00B41CF5"/>
    <w:rsid w:val="00B41FB8"/>
    <w:rsid w:val="00B41FF7"/>
    <w:rsid w:val="00B42049"/>
    <w:rsid w:val="00B420B8"/>
    <w:rsid w:val="00B421A7"/>
    <w:rsid w:val="00B421F7"/>
    <w:rsid w:val="00B42274"/>
    <w:rsid w:val="00B424CD"/>
    <w:rsid w:val="00B424D1"/>
    <w:rsid w:val="00B4252E"/>
    <w:rsid w:val="00B42728"/>
    <w:rsid w:val="00B4288D"/>
    <w:rsid w:val="00B429BC"/>
    <w:rsid w:val="00B429F2"/>
    <w:rsid w:val="00B42B0B"/>
    <w:rsid w:val="00B42B23"/>
    <w:rsid w:val="00B42DF9"/>
    <w:rsid w:val="00B42E5A"/>
    <w:rsid w:val="00B42E85"/>
    <w:rsid w:val="00B42EF2"/>
    <w:rsid w:val="00B42F83"/>
    <w:rsid w:val="00B43081"/>
    <w:rsid w:val="00B43206"/>
    <w:rsid w:val="00B43321"/>
    <w:rsid w:val="00B43389"/>
    <w:rsid w:val="00B433AD"/>
    <w:rsid w:val="00B4342B"/>
    <w:rsid w:val="00B435E0"/>
    <w:rsid w:val="00B43648"/>
    <w:rsid w:val="00B43942"/>
    <w:rsid w:val="00B43B31"/>
    <w:rsid w:val="00B43B5D"/>
    <w:rsid w:val="00B43C1B"/>
    <w:rsid w:val="00B43D00"/>
    <w:rsid w:val="00B43D76"/>
    <w:rsid w:val="00B43EAA"/>
    <w:rsid w:val="00B43F9A"/>
    <w:rsid w:val="00B44034"/>
    <w:rsid w:val="00B4404B"/>
    <w:rsid w:val="00B4407E"/>
    <w:rsid w:val="00B44118"/>
    <w:rsid w:val="00B44129"/>
    <w:rsid w:val="00B44270"/>
    <w:rsid w:val="00B44316"/>
    <w:rsid w:val="00B443C3"/>
    <w:rsid w:val="00B44475"/>
    <w:rsid w:val="00B44486"/>
    <w:rsid w:val="00B4454F"/>
    <w:rsid w:val="00B4467A"/>
    <w:rsid w:val="00B446A1"/>
    <w:rsid w:val="00B446BD"/>
    <w:rsid w:val="00B446E4"/>
    <w:rsid w:val="00B448D9"/>
    <w:rsid w:val="00B448F8"/>
    <w:rsid w:val="00B4498C"/>
    <w:rsid w:val="00B44A3E"/>
    <w:rsid w:val="00B44A8B"/>
    <w:rsid w:val="00B44CC3"/>
    <w:rsid w:val="00B44D5D"/>
    <w:rsid w:val="00B44E10"/>
    <w:rsid w:val="00B44E76"/>
    <w:rsid w:val="00B44E7A"/>
    <w:rsid w:val="00B44F27"/>
    <w:rsid w:val="00B44F73"/>
    <w:rsid w:val="00B44FF4"/>
    <w:rsid w:val="00B4501E"/>
    <w:rsid w:val="00B45051"/>
    <w:rsid w:val="00B45135"/>
    <w:rsid w:val="00B45185"/>
    <w:rsid w:val="00B451FC"/>
    <w:rsid w:val="00B45211"/>
    <w:rsid w:val="00B4528F"/>
    <w:rsid w:val="00B45298"/>
    <w:rsid w:val="00B45388"/>
    <w:rsid w:val="00B453AB"/>
    <w:rsid w:val="00B4546C"/>
    <w:rsid w:val="00B4560B"/>
    <w:rsid w:val="00B4579D"/>
    <w:rsid w:val="00B4598B"/>
    <w:rsid w:val="00B45A5B"/>
    <w:rsid w:val="00B45A94"/>
    <w:rsid w:val="00B45B2A"/>
    <w:rsid w:val="00B45BB1"/>
    <w:rsid w:val="00B45BFC"/>
    <w:rsid w:val="00B45CF7"/>
    <w:rsid w:val="00B45D31"/>
    <w:rsid w:val="00B45D85"/>
    <w:rsid w:val="00B45D88"/>
    <w:rsid w:val="00B45E7E"/>
    <w:rsid w:val="00B45F82"/>
    <w:rsid w:val="00B46055"/>
    <w:rsid w:val="00B4607A"/>
    <w:rsid w:val="00B46124"/>
    <w:rsid w:val="00B4628E"/>
    <w:rsid w:val="00B46290"/>
    <w:rsid w:val="00B463AD"/>
    <w:rsid w:val="00B4646E"/>
    <w:rsid w:val="00B464A5"/>
    <w:rsid w:val="00B466BE"/>
    <w:rsid w:val="00B46724"/>
    <w:rsid w:val="00B4678F"/>
    <w:rsid w:val="00B46852"/>
    <w:rsid w:val="00B468E5"/>
    <w:rsid w:val="00B468F1"/>
    <w:rsid w:val="00B46987"/>
    <w:rsid w:val="00B469B9"/>
    <w:rsid w:val="00B46A0E"/>
    <w:rsid w:val="00B46A29"/>
    <w:rsid w:val="00B46B12"/>
    <w:rsid w:val="00B46B39"/>
    <w:rsid w:val="00B46B5F"/>
    <w:rsid w:val="00B46BE3"/>
    <w:rsid w:val="00B46C7D"/>
    <w:rsid w:val="00B46D38"/>
    <w:rsid w:val="00B46E0E"/>
    <w:rsid w:val="00B46EF6"/>
    <w:rsid w:val="00B46F14"/>
    <w:rsid w:val="00B46F3B"/>
    <w:rsid w:val="00B46FBE"/>
    <w:rsid w:val="00B4701A"/>
    <w:rsid w:val="00B47101"/>
    <w:rsid w:val="00B471AD"/>
    <w:rsid w:val="00B47234"/>
    <w:rsid w:val="00B472F9"/>
    <w:rsid w:val="00B4734B"/>
    <w:rsid w:val="00B474B5"/>
    <w:rsid w:val="00B47508"/>
    <w:rsid w:val="00B47563"/>
    <w:rsid w:val="00B47599"/>
    <w:rsid w:val="00B47621"/>
    <w:rsid w:val="00B4790E"/>
    <w:rsid w:val="00B4797B"/>
    <w:rsid w:val="00B47A91"/>
    <w:rsid w:val="00B47C2C"/>
    <w:rsid w:val="00B47C96"/>
    <w:rsid w:val="00B47DE4"/>
    <w:rsid w:val="00B47F7E"/>
    <w:rsid w:val="00B500D7"/>
    <w:rsid w:val="00B50121"/>
    <w:rsid w:val="00B502D1"/>
    <w:rsid w:val="00B5035E"/>
    <w:rsid w:val="00B504CB"/>
    <w:rsid w:val="00B50518"/>
    <w:rsid w:val="00B5059F"/>
    <w:rsid w:val="00B505BC"/>
    <w:rsid w:val="00B50667"/>
    <w:rsid w:val="00B507CF"/>
    <w:rsid w:val="00B508C4"/>
    <w:rsid w:val="00B50A74"/>
    <w:rsid w:val="00B50ACE"/>
    <w:rsid w:val="00B50AF3"/>
    <w:rsid w:val="00B50B6C"/>
    <w:rsid w:val="00B50C3E"/>
    <w:rsid w:val="00B50CFF"/>
    <w:rsid w:val="00B50D23"/>
    <w:rsid w:val="00B50D7C"/>
    <w:rsid w:val="00B50D84"/>
    <w:rsid w:val="00B50E50"/>
    <w:rsid w:val="00B51012"/>
    <w:rsid w:val="00B51023"/>
    <w:rsid w:val="00B5104D"/>
    <w:rsid w:val="00B51071"/>
    <w:rsid w:val="00B51102"/>
    <w:rsid w:val="00B511C7"/>
    <w:rsid w:val="00B51247"/>
    <w:rsid w:val="00B513CC"/>
    <w:rsid w:val="00B5166A"/>
    <w:rsid w:val="00B5166C"/>
    <w:rsid w:val="00B51806"/>
    <w:rsid w:val="00B51821"/>
    <w:rsid w:val="00B5191E"/>
    <w:rsid w:val="00B51925"/>
    <w:rsid w:val="00B519D5"/>
    <w:rsid w:val="00B51A17"/>
    <w:rsid w:val="00B51BD1"/>
    <w:rsid w:val="00B51C5C"/>
    <w:rsid w:val="00B51D12"/>
    <w:rsid w:val="00B51ED1"/>
    <w:rsid w:val="00B51FF5"/>
    <w:rsid w:val="00B520C2"/>
    <w:rsid w:val="00B520D5"/>
    <w:rsid w:val="00B52109"/>
    <w:rsid w:val="00B52205"/>
    <w:rsid w:val="00B5222A"/>
    <w:rsid w:val="00B5229A"/>
    <w:rsid w:val="00B52306"/>
    <w:rsid w:val="00B5239D"/>
    <w:rsid w:val="00B5242A"/>
    <w:rsid w:val="00B524FF"/>
    <w:rsid w:val="00B52516"/>
    <w:rsid w:val="00B5257D"/>
    <w:rsid w:val="00B5267F"/>
    <w:rsid w:val="00B52817"/>
    <w:rsid w:val="00B52820"/>
    <w:rsid w:val="00B52AD3"/>
    <w:rsid w:val="00B52B7F"/>
    <w:rsid w:val="00B52B8F"/>
    <w:rsid w:val="00B52C4E"/>
    <w:rsid w:val="00B52C52"/>
    <w:rsid w:val="00B52C71"/>
    <w:rsid w:val="00B52CAC"/>
    <w:rsid w:val="00B52CCD"/>
    <w:rsid w:val="00B52D1C"/>
    <w:rsid w:val="00B52D3A"/>
    <w:rsid w:val="00B52DD3"/>
    <w:rsid w:val="00B52E98"/>
    <w:rsid w:val="00B52ECE"/>
    <w:rsid w:val="00B52EEA"/>
    <w:rsid w:val="00B53044"/>
    <w:rsid w:val="00B53059"/>
    <w:rsid w:val="00B5314D"/>
    <w:rsid w:val="00B53152"/>
    <w:rsid w:val="00B532D8"/>
    <w:rsid w:val="00B534E1"/>
    <w:rsid w:val="00B53665"/>
    <w:rsid w:val="00B5390B"/>
    <w:rsid w:val="00B5399D"/>
    <w:rsid w:val="00B53B0B"/>
    <w:rsid w:val="00B53D72"/>
    <w:rsid w:val="00B53DFF"/>
    <w:rsid w:val="00B53EEE"/>
    <w:rsid w:val="00B53FA6"/>
    <w:rsid w:val="00B53FFA"/>
    <w:rsid w:val="00B5405F"/>
    <w:rsid w:val="00B54311"/>
    <w:rsid w:val="00B54449"/>
    <w:rsid w:val="00B5445D"/>
    <w:rsid w:val="00B54524"/>
    <w:rsid w:val="00B5454C"/>
    <w:rsid w:val="00B545EF"/>
    <w:rsid w:val="00B54777"/>
    <w:rsid w:val="00B5494A"/>
    <w:rsid w:val="00B54A0A"/>
    <w:rsid w:val="00B54A25"/>
    <w:rsid w:val="00B54BCA"/>
    <w:rsid w:val="00B54CB8"/>
    <w:rsid w:val="00B54D87"/>
    <w:rsid w:val="00B54E13"/>
    <w:rsid w:val="00B54E4A"/>
    <w:rsid w:val="00B54EC7"/>
    <w:rsid w:val="00B54F02"/>
    <w:rsid w:val="00B54F87"/>
    <w:rsid w:val="00B54F8B"/>
    <w:rsid w:val="00B54FFF"/>
    <w:rsid w:val="00B55138"/>
    <w:rsid w:val="00B5514A"/>
    <w:rsid w:val="00B551E4"/>
    <w:rsid w:val="00B552F0"/>
    <w:rsid w:val="00B55350"/>
    <w:rsid w:val="00B55392"/>
    <w:rsid w:val="00B5539D"/>
    <w:rsid w:val="00B5542F"/>
    <w:rsid w:val="00B55430"/>
    <w:rsid w:val="00B5548C"/>
    <w:rsid w:val="00B55559"/>
    <w:rsid w:val="00B55726"/>
    <w:rsid w:val="00B55760"/>
    <w:rsid w:val="00B55817"/>
    <w:rsid w:val="00B55874"/>
    <w:rsid w:val="00B55903"/>
    <w:rsid w:val="00B559AF"/>
    <w:rsid w:val="00B55A51"/>
    <w:rsid w:val="00B55B32"/>
    <w:rsid w:val="00B55B34"/>
    <w:rsid w:val="00B55B91"/>
    <w:rsid w:val="00B55D9A"/>
    <w:rsid w:val="00B55DB8"/>
    <w:rsid w:val="00B55DCD"/>
    <w:rsid w:val="00B55F45"/>
    <w:rsid w:val="00B55F6B"/>
    <w:rsid w:val="00B5615F"/>
    <w:rsid w:val="00B56166"/>
    <w:rsid w:val="00B5621A"/>
    <w:rsid w:val="00B56288"/>
    <w:rsid w:val="00B563A2"/>
    <w:rsid w:val="00B56481"/>
    <w:rsid w:val="00B56496"/>
    <w:rsid w:val="00B56541"/>
    <w:rsid w:val="00B566E5"/>
    <w:rsid w:val="00B5679C"/>
    <w:rsid w:val="00B567CA"/>
    <w:rsid w:val="00B567F5"/>
    <w:rsid w:val="00B569FE"/>
    <w:rsid w:val="00B56A55"/>
    <w:rsid w:val="00B56AB3"/>
    <w:rsid w:val="00B56AF3"/>
    <w:rsid w:val="00B56B68"/>
    <w:rsid w:val="00B56C31"/>
    <w:rsid w:val="00B56C3E"/>
    <w:rsid w:val="00B56D74"/>
    <w:rsid w:val="00B56DD6"/>
    <w:rsid w:val="00B56DF1"/>
    <w:rsid w:val="00B56EE3"/>
    <w:rsid w:val="00B56F0A"/>
    <w:rsid w:val="00B56F5F"/>
    <w:rsid w:val="00B56F8B"/>
    <w:rsid w:val="00B56F9E"/>
    <w:rsid w:val="00B57008"/>
    <w:rsid w:val="00B570E9"/>
    <w:rsid w:val="00B57109"/>
    <w:rsid w:val="00B571D0"/>
    <w:rsid w:val="00B57232"/>
    <w:rsid w:val="00B57251"/>
    <w:rsid w:val="00B57390"/>
    <w:rsid w:val="00B57393"/>
    <w:rsid w:val="00B57494"/>
    <w:rsid w:val="00B574D9"/>
    <w:rsid w:val="00B57508"/>
    <w:rsid w:val="00B575A9"/>
    <w:rsid w:val="00B576A1"/>
    <w:rsid w:val="00B5774A"/>
    <w:rsid w:val="00B577D8"/>
    <w:rsid w:val="00B57870"/>
    <w:rsid w:val="00B57A01"/>
    <w:rsid w:val="00B57A49"/>
    <w:rsid w:val="00B57B4F"/>
    <w:rsid w:val="00B57B58"/>
    <w:rsid w:val="00B57BD6"/>
    <w:rsid w:val="00B57D35"/>
    <w:rsid w:val="00B6003F"/>
    <w:rsid w:val="00B600E6"/>
    <w:rsid w:val="00B601C5"/>
    <w:rsid w:val="00B60242"/>
    <w:rsid w:val="00B6025A"/>
    <w:rsid w:val="00B60287"/>
    <w:rsid w:val="00B602A7"/>
    <w:rsid w:val="00B603F7"/>
    <w:rsid w:val="00B6043E"/>
    <w:rsid w:val="00B605B6"/>
    <w:rsid w:val="00B605DC"/>
    <w:rsid w:val="00B605EE"/>
    <w:rsid w:val="00B6060A"/>
    <w:rsid w:val="00B60661"/>
    <w:rsid w:val="00B60677"/>
    <w:rsid w:val="00B6069F"/>
    <w:rsid w:val="00B6072B"/>
    <w:rsid w:val="00B60802"/>
    <w:rsid w:val="00B6098E"/>
    <w:rsid w:val="00B6099C"/>
    <w:rsid w:val="00B60A1B"/>
    <w:rsid w:val="00B60C38"/>
    <w:rsid w:val="00B60C64"/>
    <w:rsid w:val="00B60C96"/>
    <w:rsid w:val="00B60D86"/>
    <w:rsid w:val="00B60DE0"/>
    <w:rsid w:val="00B60E38"/>
    <w:rsid w:val="00B60EB0"/>
    <w:rsid w:val="00B60EB5"/>
    <w:rsid w:val="00B60F94"/>
    <w:rsid w:val="00B61216"/>
    <w:rsid w:val="00B613A6"/>
    <w:rsid w:val="00B61497"/>
    <w:rsid w:val="00B615FC"/>
    <w:rsid w:val="00B6161F"/>
    <w:rsid w:val="00B6178D"/>
    <w:rsid w:val="00B617B4"/>
    <w:rsid w:val="00B61999"/>
    <w:rsid w:val="00B619A5"/>
    <w:rsid w:val="00B61B02"/>
    <w:rsid w:val="00B61BC6"/>
    <w:rsid w:val="00B61BF1"/>
    <w:rsid w:val="00B61C03"/>
    <w:rsid w:val="00B61D4E"/>
    <w:rsid w:val="00B61D92"/>
    <w:rsid w:val="00B61DC3"/>
    <w:rsid w:val="00B61F1D"/>
    <w:rsid w:val="00B61FF4"/>
    <w:rsid w:val="00B6200E"/>
    <w:rsid w:val="00B62037"/>
    <w:rsid w:val="00B620FD"/>
    <w:rsid w:val="00B622F9"/>
    <w:rsid w:val="00B62408"/>
    <w:rsid w:val="00B6240D"/>
    <w:rsid w:val="00B62569"/>
    <w:rsid w:val="00B62665"/>
    <w:rsid w:val="00B62762"/>
    <w:rsid w:val="00B6293A"/>
    <w:rsid w:val="00B62948"/>
    <w:rsid w:val="00B62B17"/>
    <w:rsid w:val="00B62B47"/>
    <w:rsid w:val="00B62C29"/>
    <w:rsid w:val="00B62D2D"/>
    <w:rsid w:val="00B62F51"/>
    <w:rsid w:val="00B630A9"/>
    <w:rsid w:val="00B630D6"/>
    <w:rsid w:val="00B630F5"/>
    <w:rsid w:val="00B630F6"/>
    <w:rsid w:val="00B6312C"/>
    <w:rsid w:val="00B63178"/>
    <w:rsid w:val="00B631D0"/>
    <w:rsid w:val="00B6321B"/>
    <w:rsid w:val="00B63221"/>
    <w:rsid w:val="00B6322F"/>
    <w:rsid w:val="00B63325"/>
    <w:rsid w:val="00B63388"/>
    <w:rsid w:val="00B633CE"/>
    <w:rsid w:val="00B633FA"/>
    <w:rsid w:val="00B63574"/>
    <w:rsid w:val="00B635CF"/>
    <w:rsid w:val="00B6363E"/>
    <w:rsid w:val="00B63795"/>
    <w:rsid w:val="00B637C4"/>
    <w:rsid w:val="00B638B1"/>
    <w:rsid w:val="00B638C0"/>
    <w:rsid w:val="00B63930"/>
    <w:rsid w:val="00B639A5"/>
    <w:rsid w:val="00B639B4"/>
    <w:rsid w:val="00B639DE"/>
    <w:rsid w:val="00B63A9F"/>
    <w:rsid w:val="00B63CC8"/>
    <w:rsid w:val="00B63D26"/>
    <w:rsid w:val="00B63D89"/>
    <w:rsid w:val="00B63EB6"/>
    <w:rsid w:val="00B64026"/>
    <w:rsid w:val="00B6416B"/>
    <w:rsid w:val="00B64185"/>
    <w:rsid w:val="00B64470"/>
    <w:rsid w:val="00B6463C"/>
    <w:rsid w:val="00B646D2"/>
    <w:rsid w:val="00B64757"/>
    <w:rsid w:val="00B64879"/>
    <w:rsid w:val="00B6492D"/>
    <w:rsid w:val="00B64DB9"/>
    <w:rsid w:val="00B64DBF"/>
    <w:rsid w:val="00B64DC0"/>
    <w:rsid w:val="00B64DDD"/>
    <w:rsid w:val="00B64E00"/>
    <w:rsid w:val="00B64F6E"/>
    <w:rsid w:val="00B65014"/>
    <w:rsid w:val="00B650A9"/>
    <w:rsid w:val="00B65125"/>
    <w:rsid w:val="00B6513D"/>
    <w:rsid w:val="00B65336"/>
    <w:rsid w:val="00B65348"/>
    <w:rsid w:val="00B655BE"/>
    <w:rsid w:val="00B65636"/>
    <w:rsid w:val="00B65840"/>
    <w:rsid w:val="00B65AF6"/>
    <w:rsid w:val="00B65BEF"/>
    <w:rsid w:val="00B65CB9"/>
    <w:rsid w:val="00B65D88"/>
    <w:rsid w:val="00B65F07"/>
    <w:rsid w:val="00B66043"/>
    <w:rsid w:val="00B6605E"/>
    <w:rsid w:val="00B660EC"/>
    <w:rsid w:val="00B66376"/>
    <w:rsid w:val="00B66383"/>
    <w:rsid w:val="00B663D1"/>
    <w:rsid w:val="00B6640C"/>
    <w:rsid w:val="00B66471"/>
    <w:rsid w:val="00B66769"/>
    <w:rsid w:val="00B667A7"/>
    <w:rsid w:val="00B6686F"/>
    <w:rsid w:val="00B6691B"/>
    <w:rsid w:val="00B66929"/>
    <w:rsid w:val="00B66939"/>
    <w:rsid w:val="00B66A7D"/>
    <w:rsid w:val="00B66A83"/>
    <w:rsid w:val="00B66C7A"/>
    <w:rsid w:val="00B66D9B"/>
    <w:rsid w:val="00B66DFD"/>
    <w:rsid w:val="00B66E27"/>
    <w:rsid w:val="00B66F65"/>
    <w:rsid w:val="00B67051"/>
    <w:rsid w:val="00B67060"/>
    <w:rsid w:val="00B6711A"/>
    <w:rsid w:val="00B6714E"/>
    <w:rsid w:val="00B671BD"/>
    <w:rsid w:val="00B6723C"/>
    <w:rsid w:val="00B67319"/>
    <w:rsid w:val="00B67331"/>
    <w:rsid w:val="00B6733C"/>
    <w:rsid w:val="00B673C4"/>
    <w:rsid w:val="00B67479"/>
    <w:rsid w:val="00B674B3"/>
    <w:rsid w:val="00B674DD"/>
    <w:rsid w:val="00B67663"/>
    <w:rsid w:val="00B67683"/>
    <w:rsid w:val="00B676BF"/>
    <w:rsid w:val="00B6772C"/>
    <w:rsid w:val="00B6774C"/>
    <w:rsid w:val="00B677CC"/>
    <w:rsid w:val="00B67902"/>
    <w:rsid w:val="00B679EE"/>
    <w:rsid w:val="00B67A6E"/>
    <w:rsid w:val="00B67CA4"/>
    <w:rsid w:val="00B67CAD"/>
    <w:rsid w:val="00B67CE0"/>
    <w:rsid w:val="00B67E7B"/>
    <w:rsid w:val="00B67F97"/>
    <w:rsid w:val="00B67FAE"/>
    <w:rsid w:val="00B70005"/>
    <w:rsid w:val="00B70184"/>
    <w:rsid w:val="00B702C0"/>
    <w:rsid w:val="00B702CD"/>
    <w:rsid w:val="00B7037C"/>
    <w:rsid w:val="00B70397"/>
    <w:rsid w:val="00B7040D"/>
    <w:rsid w:val="00B70432"/>
    <w:rsid w:val="00B704B7"/>
    <w:rsid w:val="00B704BB"/>
    <w:rsid w:val="00B707DC"/>
    <w:rsid w:val="00B7087F"/>
    <w:rsid w:val="00B70990"/>
    <w:rsid w:val="00B70AC8"/>
    <w:rsid w:val="00B70B07"/>
    <w:rsid w:val="00B70B59"/>
    <w:rsid w:val="00B70B5F"/>
    <w:rsid w:val="00B70C8A"/>
    <w:rsid w:val="00B70CC5"/>
    <w:rsid w:val="00B70D52"/>
    <w:rsid w:val="00B70DAD"/>
    <w:rsid w:val="00B70F00"/>
    <w:rsid w:val="00B70F1F"/>
    <w:rsid w:val="00B70FBC"/>
    <w:rsid w:val="00B71024"/>
    <w:rsid w:val="00B7104F"/>
    <w:rsid w:val="00B71100"/>
    <w:rsid w:val="00B7115F"/>
    <w:rsid w:val="00B7128F"/>
    <w:rsid w:val="00B71370"/>
    <w:rsid w:val="00B714CA"/>
    <w:rsid w:val="00B71537"/>
    <w:rsid w:val="00B715F7"/>
    <w:rsid w:val="00B71864"/>
    <w:rsid w:val="00B718C4"/>
    <w:rsid w:val="00B718C8"/>
    <w:rsid w:val="00B719C9"/>
    <w:rsid w:val="00B71A36"/>
    <w:rsid w:val="00B71CF2"/>
    <w:rsid w:val="00B71D53"/>
    <w:rsid w:val="00B71ED4"/>
    <w:rsid w:val="00B71EED"/>
    <w:rsid w:val="00B72010"/>
    <w:rsid w:val="00B72164"/>
    <w:rsid w:val="00B721ED"/>
    <w:rsid w:val="00B7227D"/>
    <w:rsid w:val="00B72377"/>
    <w:rsid w:val="00B72403"/>
    <w:rsid w:val="00B72447"/>
    <w:rsid w:val="00B72503"/>
    <w:rsid w:val="00B7251E"/>
    <w:rsid w:val="00B7255E"/>
    <w:rsid w:val="00B7258A"/>
    <w:rsid w:val="00B725FA"/>
    <w:rsid w:val="00B72622"/>
    <w:rsid w:val="00B72742"/>
    <w:rsid w:val="00B7275D"/>
    <w:rsid w:val="00B72893"/>
    <w:rsid w:val="00B728EC"/>
    <w:rsid w:val="00B7291E"/>
    <w:rsid w:val="00B72CD9"/>
    <w:rsid w:val="00B72CFE"/>
    <w:rsid w:val="00B72D1A"/>
    <w:rsid w:val="00B72D51"/>
    <w:rsid w:val="00B72DBF"/>
    <w:rsid w:val="00B72F94"/>
    <w:rsid w:val="00B73161"/>
    <w:rsid w:val="00B732EF"/>
    <w:rsid w:val="00B732F0"/>
    <w:rsid w:val="00B73305"/>
    <w:rsid w:val="00B73350"/>
    <w:rsid w:val="00B73442"/>
    <w:rsid w:val="00B735CF"/>
    <w:rsid w:val="00B7368E"/>
    <w:rsid w:val="00B736BA"/>
    <w:rsid w:val="00B7393C"/>
    <w:rsid w:val="00B7398A"/>
    <w:rsid w:val="00B73A12"/>
    <w:rsid w:val="00B73A9C"/>
    <w:rsid w:val="00B73B5B"/>
    <w:rsid w:val="00B73BA9"/>
    <w:rsid w:val="00B73DBB"/>
    <w:rsid w:val="00B73DE2"/>
    <w:rsid w:val="00B73E29"/>
    <w:rsid w:val="00B73E97"/>
    <w:rsid w:val="00B73F97"/>
    <w:rsid w:val="00B7402C"/>
    <w:rsid w:val="00B74065"/>
    <w:rsid w:val="00B740AA"/>
    <w:rsid w:val="00B740E0"/>
    <w:rsid w:val="00B7427C"/>
    <w:rsid w:val="00B743E0"/>
    <w:rsid w:val="00B7440A"/>
    <w:rsid w:val="00B744B7"/>
    <w:rsid w:val="00B745D8"/>
    <w:rsid w:val="00B74679"/>
    <w:rsid w:val="00B74709"/>
    <w:rsid w:val="00B74771"/>
    <w:rsid w:val="00B74784"/>
    <w:rsid w:val="00B74953"/>
    <w:rsid w:val="00B74981"/>
    <w:rsid w:val="00B74AE3"/>
    <w:rsid w:val="00B74B0D"/>
    <w:rsid w:val="00B74B78"/>
    <w:rsid w:val="00B74B92"/>
    <w:rsid w:val="00B74BB5"/>
    <w:rsid w:val="00B74D47"/>
    <w:rsid w:val="00B74ECD"/>
    <w:rsid w:val="00B74F4D"/>
    <w:rsid w:val="00B74FD0"/>
    <w:rsid w:val="00B74FD4"/>
    <w:rsid w:val="00B750AE"/>
    <w:rsid w:val="00B750C2"/>
    <w:rsid w:val="00B75221"/>
    <w:rsid w:val="00B752A7"/>
    <w:rsid w:val="00B752FF"/>
    <w:rsid w:val="00B7532A"/>
    <w:rsid w:val="00B7539D"/>
    <w:rsid w:val="00B754CF"/>
    <w:rsid w:val="00B75635"/>
    <w:rsid w:val="00B75666"/>
    <w:rsid w:val="00B757F5"/>
    <w:rsid w:val="00B75A2C"/>
    <w:rsid w:val="00B75A9E"/>
    <w:rsid w:val="00B75AE7"/>
    <w:rsid w:val="00B75B5E"/>
    <w:rsid w:val="00B75BDC"/>
    <w:rsid w:val="00B75C10"/>
    <w:rsid w:val="00B75D25"/>
    <w:rsid w:val="00B75D49"/>
    <w:rsid w:val="00B75EEB"/>
    <w:rsid w:val="00B75EF3"/>
    <w:rsid w:val="00B75FE3"/>
    <w:rsid w:val="00B75FE6"/>
    <w:rsid w:val="00B75FF9"/>
    <w:rsid w:val="00B760B6"/>
    <w:rsid w:val="00B761E8"/>
    <w:rsid w:val="00B76269"/>
    <w:rsid w:val="00B7641D"/>
    <w:rsid w:val="00B7643F"/>
    <w:rsid w:val="00B76768"/>
    <w:rsid w:val="00B767E0"/>
    <w:rsid w:val="00B76803"/>
    <w:rsid w:val="00B76805"/>
    <w:rsid w:val="00B76890"/>
    <w:rsid w:val="00B768B9"/>
    <w:rsid w:val="00B76A84"/>
    <w:rsid w:val="00B76AC6"/>
    <w:rsid w:val="00B76B8F"/>
    <w:rsid w:val="00B76BF1"/>
    <w:rsid w:val="00B76C04"/>
    <w:rsid w:val="00B76C5A"/>
    <w:rsid w:val="00B76D07"/>
    <w:rsid w:val="00B76F3C"/>
    <w:rsid w:val="00B76F77"/>
    <w:rsid w:val="00B770EA"/>
    <w:rsid w:val="00B7715E"/>
    <w:rsid w:val="00B77187"/>
    <w:rsid w:val="00B772F7"/>
    <w:rsid w:val="00B7735E"/>
    <w:rsid w:val="00B773B8"/>
    <w:rsid w:val="00B7741E"/>
    <w:rsid w:val="00B77443"/>
    <w:rsid w:val="00B775EE"/>
    <w:rsid w:val="00B77640"/>
    <w:rsid w:val="00B77723"/>
    <w:rsid w:val="00B778CF"/>
    <w:rsid w:val="00B778E5"/>
    <w:rsid w:val="00B778FD"/>
    <w:rsid w:val="00B7793F"/>
    <w:rsid w:val="00B779EB"/>
    <w:rsid w:val="00B77BDF"/>
    <w:rsid w:val="00B77D20"/>
    <w:rsid w:val="00B77D8E"/>
    <w:rsid w:val="00B77DA2"/>
    <w:rsid w:val="00B77DB8"/>
    <w:rsid w:val="00B77E78"/>
    <w:rsid w:val="00B80060"/>
    <w:rsid w:val="00B80071"/>
    <w:rsid w:val="00B80104"/>
    <w:rsid w:val="00B801F3"/>
    <w:rsid w:val="00B80288"/>
    <w:rsid w:val="00B8049C"/>
    <w:rsid w:val="00B805CD"/>
    <w:rsid w:val="00B80797"/>
    <w:rsid w:val="00B808A7"/>
    <w:rsid w:val="00B808ED"/>
    <w:rsid w:val="00B80C54"/>
    <w:rsid w:val="00B80DD3"/>
    <w:rsid w:val="00B80E3A"/>
    <w:rsid w:val="00B80E5D"/>
    <w:rsid w:val="00B80FAD"/>
    <w:rsid w:val="00B80FF8"/>
    <w:rsid w:val="00B810A6"/>
    <w:rsid w:val="00B810CC"/>
    <w:rsid w:val="00B810E0"/>
    <w:rsid w:val="00B8116B"/>
    <w:rsid w:val="00B81192"/>
    <w:rsid w:val="00B813DB"/>
    <w:rsid w:val="00B81489"/>
    <w:rsid w:val="00B81693"/>
    <w:rsid w:val="00B8183E"/>
    <w:rsid w:val="00B818AC"/>
    <w:rsid w:val="00B819D9"/>
    <w:rsid w:val="00B81C5B"/>
    <w:rsid w:val="00B81CB5"/>
    <w:rsid w:val="00B81D05"/>
    <w:rsid w:val="00B81FB1"/>
    <w:rsid w:val="00B8211F"/>
    <w:rsid w:val="00B82120"/>
    <w:rsid w:val="00B82164"/>
    <w:rsid w:val="00B821A9"/>
    <w:rsid w:val="00B82282"/>
    <w:rsid w:val="00B823C5"/>
    <w:rsid w:val="00B823FF"/>
    <w:rsid w:val="00B82411"/>
    <w:rsid w:val="00B82482"/>
    <w:rsid w:val="00B8252E"/>
    <w:rsid w:val="00B82697"/>
    <w:rsid w:val="00B8284B"/>
    <w:rsid w:val="00B82852"/>
    <w:rsid w:val="00B82A49"/>
    <w:rsid w:val="00B82AD6"/>
    <w:rsid w:val="00B82B0D"/>
    <w:rsid w:val="00B82CA6"/>
    <w:rsid w:val="00B82DA1"/>
    <w:rsid w:val="00B83004"/>
    <w:rsid w:val="00B83105"/>
    <w:rsid w:val="00B83152"/>
    <w:rsid w:val="00B8316D"/>
    <w:rsid w:val="00B831EE"/>
    <w:rsid w:val="00B8324B"/>
    <w:rsid w:val="00B83266"/>
    <w:rsid w:val="00B83287"/>
    <w:rsid w:val="00B832E2"/>
    <w:rsid w:val="00B8333D"/>
    <w:rsid w:val="00B83388"/>
    <w:rsid w:val="00B8344A"/>
    <w:rsid w:val="00B834B7"/>
    <w:rsid w:val="00B83555"/>
    <w:rsid w:val="00B835A3"/>
    <w:rsid w:val="00B836F2"/>
    <w:rsid w:val="00B8370B"/>
    <w:rsid w:val="00B83810"/>
    <w:rsid w:val="00B83829"/>
    <w:rsid w:val="00B83995"/>
    <w:rsid w:val="00B839A1"/>
    <w:rsid w:val="00B839C3"/>
    <w:rsid w:val="00B83A0D"/>
    <w:rsid w:val="00B83A0F"/>
    <w:rsid w:val="00B83B21"/>
    <w:rsid w:val="00B83BA5"/>
    <w:rsid w:val="00B83C82"/>
    <w:rsid w:val="00B83D80"/>
    <w:rsid w:val="00B83DCC"/>
    <w:rsid w:val="00B83FBC"/>
    <w:rsid w:val="00B84006"/>
    <w:rsid w:val="00B84043"/>
    <w:rsid w:val="00B840F7"/>
    <w:rsid w:val="00B841C0"/>
    <w:rsid w:val="00B842D3"/>
    <w:rsid w:val="00B843DE"/>
    <w:rsid w:val="00B84478"/>
    <w:rsid w:val="00B84706"/>
    <w:rsid w:val="00B84822"/>
    <w:rsid w:val="00B84869"/>
    <w:rsid w:val="00B8488B"/>
    <w:rsid w:val="00B84893"/>
    <w:rsid w:val="00B848D6"/>
    <w:rsid w:val="00B84921"/>
    <w:rsid w:val="00B849E0"/>
    <w:rsid w:val="00B84A02"/>
    <w:rsid w:val="00B84AB6"/>
    <w:rsid w:val="00B84C48"/>
    <w:rsid w:val="00B84E5E"/>
    <w:rsid w:val="00B84E72"/>
    <w:rsid w:val="00B84FC4"/>
    <w:rsid w:val="00B8501B"/>
    <w:rsid w:val="00B85155"/>
    <w:rsid w:val="00B8523C"/>
    <w:rsid w:val="00B852D5"/>
    <w:rsid w:val="00B85499"/>
    <w:rsid w:val="00B85521"/>
    <w:rsid w:val="00B855A5"/>
    <w:rsid w:val="00B856F8"/>
    <w:rsid w:val="00B85730"/>
    <w:rsid w:val="00B8577E"/>
    <w:rsid w:val="00B857F5"/>
    <w:rsid w:val="00B85837"/>
    <w:rsid w:val="00B85845"/>
    <w:rsid w:val="00B858EF"/>
    <w:rsid w:val="00B8591A"/>
    <w:rsid w:val="00B8597C"/>
    <w:rsid w:val="00B85987"/>
    <w:rsid w:val="00B85992"/>
    <w:rsid w:val="00B85B41"/>
    <w:rsid w:val="00B85BE4"/>
    <w:rsid w:val="00B85C44"/>
    <w:rsid w:val="00B85C5C"/>
    <w:rsid w:val="00B85D4F"/>
    <w:rsid w:val="00B85E2A"/>
    <w:rsid w:val="00B85ECF"/>
    <w:rsid w:val="00B861B7"/>
    <w:rsid w:val="00B86209"/>
    <w:rsid w:val="00B86220"/>
    <w:rsid w:val="00B86222"/>
    <w:rsid w:val="00B8631A"/>
    <w:rsid w:val="00B8635E"/>
    <w:rsid w:val="00B863B3"/>
    <w:rsid w:val="00B86432"/>
    <w:rsid w:val="00B86553"/>
    <w:rsid w:val="00B86588"/>
    <w:rsid w:val="00B8663A"/>
    <w:rsid w:val="00B8664C"/>
    <w:rsid w:val="00B866FE"/>
    <w:rsid w:val="00B86791"/>
    <w:rsid w:val="00B86820"/>
    <w:rsid w:val="00B8683E"/>
    <w:rsid w:val="00B868DC"/>
    <w:rsid w:val="00B8690E"/>
    <w:rsid w:val="00B86953"/>
    <w:rsid w:val="00B8695D"/>
    <w:rsid w:val="00B869AC"/>
    <w:rsid w:val="00B86A11"/>
    <w:rsid w:val="00B86A3E"/>
    <w:rsid w:val="00B86ABE"/>
    <w:rsid w:val="00B86E66"/>
    <w:rsid w:val="00B86ECF"/>
    <w:rsid w:val="00B86FAF"/>
    <w:rsid w:val="00B86FB9"/>
    <w:rsid w:val="00B87014"/>
    <w:rsid w:val="00B87064"/>
    <w:rsid w:val="00B8708F"/>
    <w:rsid w:val="00B870CF"/>
    <w:rsid w:val="00B8713E"/>
    <w:rsid w:val="00B8714A"/>
    <w:rsid w:val="00B871C2"/>
    <w:rsid w:val="00B871CF"/>
    <w:rsid w:val="00B87253"/>
    <w:rsid w:val="00B873EF"/>
    <w:rsid w:val="00B87442"/>
    <w:rsid w:val="00B87531"/>
    <w:rsid w:val="00B87534"/>
    <w:rsid w:val="00B87C8E"/>
    <w:rsid w:val="00B87E69"/>
    <w:rsid w:val="00B9015C"/>
    <w:rsid w:val="00B9019A"/>
    <w:rsid w:val="00B903B5"/>
    <w:rsid w:val="00B90543"/>
    <w:rsid w:val="00B90559"/>
    <w:rsid w:val="00B9057D"/>
    <w:rsid w:val="00B90592"/>
    <w:rsid w:val="00B90807"/>
    <w:rsid w:val="00B908D2"/>
    <w:rsid w:val="00B9094B"/>
    <w:rsid w:val="00B90983"/>
    <w:rsid w:val="00B909AF"/>
    <w:rsid w:val="00B90AD1"/>
    <w:rsid w:val="00B90C55"/>
    <w:rsid w:val="00B90D05"/>
    <w:rsid w:val="00B90DD5"/>
    <w:rsid w:val="00B90E12"/>
    <w:rsid w:val="00B90E37"/>
    <w:rsid w:val="00B90F1E"/>
    <w:rsid w:val="00B90FC3"/>
    <w:rsid w:val="00B91062"/>
    <w:rsid w:val="00B911CF"/>
    <w:rsid w:val="00B911E1"/>
    <w:rsid w:val="00B91377"/>
    <w:rsid w:val="00B91517"/>
    <w:rsid w:val="00B9157B"/>
    <w:rsid w:val="00B915CB"/>
    <w:rsid w:val="00B915D2"/>
    <w:rsid w:val="00B9160E"/>
    <w:rsid w:val="00B9166D"/>
    <w:rsid w:val="00B917A2"/>
    <w:rsid w:val="00B918A1"/>
    <w:rsid w:val="00B91905"/>
    <w:rsid w:val="00B91959"/>
    <w:rsid w:val="00B919C4"/>
    <w:rsid w:val="00B91A43"/>
    <w:rsid w:val="00B91AB3"/>
    <w:rsid w:val="00B91C3A"/>
    <w:rsid w:val="00B91D1B"/>
    <w:rsid w:val="00B91DA9"/>
    <w:rsid w:val="00B91DF8"/>
    <w:rsid w:val="00B91E09"/>
    <w:rsid w:val="00B91FF9"/>
    <w:rsid w:val="00B92064"/>
    <w:rsid w:val="00B920FA"/>
    <w:rsid w:val="00B92122"/>
    <w:rsid w:val="00B9223D"/>
    <w:rsid w:val="00B9225E"/>
    <w:rsid w:val="00B9231C"/>
    <w:rsid w:val="00B9236A"/>
    <w:rsid w:val="00B92404"/>
    <w:rsid w:val="00B92411"/>
    <w:rsid w:val="00B92479"/>
    <w:rsid w:val="00B924E3"/>
    <w:rsid w:val="00B92547"/>
    <w:rsid w:val="00B92643"/>
    <w:rsid w:val="00B92652"/>
    <w:rsid w:val="00B9273E"/>
    <w:rsid w:val="00B92765"/>
    <w:rsid w:val="00B92770"/>
    <w:rsid w:val="00B9291E"/>
    <w:rsid w:val="00B92AE5"/>
    <w:rsid w:val="00B92AF9"/>
    <w:rsid w:val="00B92C9A"/>
    <w:rsid w:val="00B92E0D"/>
    <w:rsid w:val="00B9307A"/>
    <w:rsid w:val="00B930C1"/>
    <w:rsid w:val="00B93153"/>
    <w:rsid w:val="00B93353"/>
    <w:rsid w:val="00B933D3"/>
    <w:rsid w:val="00B934E3"/>
    <w:rsid w:val="00B93547"/>
    <w:rsid w:val="00B9355C"/>
    <w:rsid w:val="00B93664"/>
    <w:rsid w:val="00B936BE"/>
    <w:rsid w:val="00B93848"/>
    <w:rsid w:val="00B938D4"/>
    <w:rsid w:val="00B93926"/>
    <w:rsid w:val="00B9392B"/>
    <w:rsid w:val="00B93965"/>
    <w:rsid w:val="00B93993"/>
    <w:rsid w:val="00B939FF"/>
    <w:rsid w:val="00B93A3D"/>
    <w:rsid w:val="00B93AB5"/>
    <w:rsid w:val="00B93B38"/>
    <w:rsid w:val="00B93C38"/>
    <w:rsid w:val="00B93CBB"/>
    <w:rsid w:val="00B93CDA"/>
    <w:rsid w:val="00B93DE0"/>
    <w:rsid w:val="00B93EC2"/>
    <w:rsid w:val="00B93ED6"/>
    <w:rsid w:val="00B93FB1"/>
    <w:rsid w:val="00B93FBF"/>
    <w:rsid w:val="00B93FEC"/>
    <w:rsid w:val="00B94121"/>
    <w:rsid w:val="00B941B4"/>
    <w:rsid w:val="00B941E5"/>
    <w:rsid w:val="00B9420C"/>
    <w:rsid w:val="00B94236"/>
    <w:rsid w:val="00B9427F"/>
    <w:rsid w:val="00B94282"/>
    <w:rsid w:val="00B9429D"/>
    <w:rsid w:val="00B94382"/>
    <w:rsid w:val="00B94392"/>
    <w:rsid w:val="00B9450B"/>
    <w:rsid w:val="00B94654"/>
    <w:rsid w:val="00B9466C"/>
    <w:rsid w:val="00B9469D"/>
    <w:rsid w:val="00B946F9"/>
    <w:rsid w:val="00B9473F"/>
    <w:rsid w:val="00B948F8"/>
    <w:rsid w:val="00B9490C"/>
    <w:rsid w:val="00B94A17"/>
    <w:rsid w:val="00B94A5A"/>
    <w:rsid w:val="00B94C3F"/>
    <w:rsid w:val="00B94E2F"/>
    <w:rsid w:val="00B94ED1"/>
    <w:rsid w:val="00B94F21"/>
    <w:rsid w:val="00B94F8A"/>
    <w:rsid w:val="00B9506A"/>
    <w:rsid w:val="00B950F9"/>
    <w:rsid w:val="00B95188"/>
    <w:rsid w:val="00B951B4"/>
    <w:rsid w:val="00B951DC"/>
    <w:rsid w:val="00B95278"/>
    <w:rsid w:val="00B952F8"/>
    <w:rsid w:val="00B95561"/>
    <w:rsid w:val="00B9562A"/>
    <w:rsid w:val="00B9574E"/>
    <w:rsid w:val="00B9576A"/>
    <w:rsid w:val="00B95783"/>
    <w:rsid w:val="00B958C9"/>
    <w:rsid w:val="00B958E2"/>
    <w:rsid w:val="00B959F2"/>
    <w:rsid w:val="00B95A89"/>
    <w:rsid w:val="00B95AC9"/>
    <w:rsid w:val="00B95C9B"/>
    <w:rsid w:val="00B95D91"/>
    <w:rsid w:val="00B95E91"/>
    <w:rsid w:val="00B95F77"/>
    <w:rsid w:val="00B95FF8"/>
    <w:rsid w:val="00B96022"/>
    <w:rsid w:val="00B9620E"/>
    <w:rsid w:val="00B962FE"/>
    <w:rsid w:val="00B96465"/>
    <w:rsid w:val="00B96514"/>
    <w:rsid w:val="00B96834"/>
    <w:rsid w:val="00B9683F"/>
    <w:rsid w:val="00B968FD"/>
    <w:rsid w:val="00B96936"/>
    <w:rsid w:val="00B96994"/>
    <w:rsid w:val="00B96B43"/>
    <w:rsid w:val="00B96C15"/>
    <w:rsid w:val="00B96CE4"/>
    <w:rsid w:val="00B96D06"/>
    <w:rsid w:val="00B96D8E"/>
    <w:rsid w:val="00B9708A"/>
    <w:rsid w:val="00B970C2"/>
    <w:rsid w:val="00B970D0"/>
    <w:rsid w:val="00B970FC"/>
    <w:rsid w:val="00B9729F"/>
    <w:rsid w:val="00B9738D"/>
    <w:rsid w:val="00B973C0"/>
    <w:rsid w:val="00B973E0"/>
    <w:rsid w:val="00B97448"/>
    <w:rsid w:val="00B97568"/>
    <w:rsid w:val="00B97604"/>
    <w:rsid w:val="00B9792F"/>
    <w:rsid w:val="00B97B40"/>
    <w:rsid w:val="00B97B60"/>
    <w:rsid w:val="00B97B8F"/>
    <w:rsid w:val="00B97BA4"/>
    <w:rsid w:val="00B97C23"/>
    <w:rsid w:val="00B97C61"/>
    <w:rsid w:val="00B97C6E"/>
    <w:rsid w:val="00B97D98"/>
    <w:rsid w:val="00B97E04"/>
    <w:rsid w:val="00B97EC7"/>
    <w:rsid w:val="00B97EF5"/>
    <w:rsid w:val="00BA01A6"/>
    <w:rsid w:val="00BA0271"/>
    <w:rsid w:val="00BA027B"/>
    <w:rsid w:val="00BA02EF"/>
    <w:rsid w:val="00BA03AA"/>
    <w:rsid w:val="00BA049D"/>
    <w:rsid w:val="00BA0518"/>
    <w:rsid w:val="00BA06AB"/>
    <w:rsid w:val="00BA0909"/>
    <w:rsid w:val="00BA090A"/>
    <w:rsid w:val="00BA0987"/>
    <w:rsid w:val="00BA0A6D"/>
    <w:rsid w:val="00BA0AC2"/>
    <w:rsid w:val="00BA0B25"/>
    <w:rsid w:val="00BA0B8D"/>
    <w:rsid w:val="00BA0BA8"/>
    <w:rsid w:val="00BA0C46"/>
    <w:rsid w:val="00BA0C7C"/>
    <w:rsid w:val="00BA0C8F"/>
    <w:rsid w:val="00BA0C95"/>
    <w:rsid w:val="00BA0CEC"/>
    <w:rsid w:val="00BA0CFE"/>
    <w:rsid w:val="00BA0D0C"/>
    <w:rsid w:val="00BA0F0B"/>
    <w:rsid w:val="00BA0F1B"/>
    <w:rsid w:val="00BA0F51"/>
    <w:rsid w:val="00BA0F54"/>
    <w:rsid w:val="00BA0F74"/>
    <w:rsid w:val="00BA0FD1"/>
    <w:rsid w:val="00BA109E"/>
    <w:rsid w:val="00BA1154"/>
    <w:rsid w:val="00BA121E"/>
    <w:rsid w:val="00BA124C"/>
    <w:rsid w:val="00BA124D"/>
    <w:rsid w:val="00BA126D"/>
    <w:rsid w:val="00BA126E"/>
    <w:rsid w:val="00BA13BA"/>
    <w:rsid w:val="00BA13E1"/>
    <w:rsid w:val="00BA1441"/>
    <w:rsid w:val="00BA1459"/>
    <w:rsid w:val="00BA1656"/>
    <w:rsid w:val="00BA1695"/>
    <w:rsid w:val="00BA1783"/>
    <w:rsid w:val="00BA17BA"/>
    <w:rsid w:val="00BA17F7"/>
    <w:rsid w:val="00BA18BA"/>
    <w:rsid w:val="00BA19CB"/>
    <w:rsid w:val="00BA1ADB"/>
    <w:rsid w:val="00BA1B96"/>
    <w:rsid w:val="00BA1BB4"/>
    <w:rsid w:val="00BA1C64"/>
    <w:rsid w:val="00BA1C73"/>
    <w:rsid w:val="00BA1CE1"/>
    <w:rsid w:val="00BA1D66"/>
    <w:rsid w:val="00BA1DEB"/>
    <w:rsid w:val="00BA1F03"/>
    <w:rsid w:val="00BA1FEC"/>
    <w:rsid w:val="00BA2077"/>
    <w:rsid w:val="00BA20AD"/>
    <w:rsid w:val="00BA20D9"/>
    <w:rsid w:val="00BA23A9"/>
    <w:rsid w:val="00BA23BC"/>
    <w:rsid w:val="00BA2424"/>
    <w:rsid w:val="00BA2520"/>
    <w:rsid w:val="00BA2530"/>
    <w:rsid w:val="00BA254E"/>
    <w:rsid w:val="00BA27CF"/>
    <w:rsid w:val="00BA27D4"/>
    <w:rsid w:val="00BA27E5"/>
    <w:rsid w:val="00BA27FD"/>
    <w:rsid w:val="00BA284A"/>
    <w:rsid w:val="00BA2882"/>
    <w:rsid w:val="00BA28A4"/>
    <w:rsid w:val="00BA2914"/>
    <w:rsid w:val="00BA2A3E"/>
    <w:rsid w:val="00BA2AFB"/>
    <w:rsid w:val="00BA2BF2"/>
    <w:rsid w:val="00BA2CC7"/>
    <w:rsid w:val="00BA2CE2"/>
    <w:rsid w:val="00BA2D1F"/>
    <w:rsid w:val="00BA2DD4"/>
    <w:rsid w:val="00BA2E9B"/>
    <w:rsid w:val="00BA2F08"/>
    <w:rsid w:val="00BA2FA8"/>
    <w:rsid w:val="00BA30F5"/>
    <w:rsid w:val="00BA310A"/>
    <w:rsid w:val="00BA3185"/>
    <w:rsid w:val="00BA31BB"/>
    <w:rsid w:val="00BA31E7"/>
    <w:rsid w:val="00BA3288"/>
    <w:rsid w:val="00BA32DF"/>
    <w:rsid w:val="00BA359E"/>
    <w:rsid w:val="00BA362B"/>
    <w:rsid w:val="00BA36CA"/>
    <w:rsid w:val="00BA37BC"/>
    <w:rsid w:val="00BA3801"/>
    <w:rsid w:val="00BA38F2"/>
    <w:rsid w:val="00BA3AFC"/>
    <w:rsid w:val="00BA3C95"/>
    <w:rsid w:val="00BA3E69"/>
    <w:rsid w:val="00BA3EDB"/>
    <w:rsid w:val="00BA4089"/>
    <w:rsid w:val="00BA408F"/>
    <w:rsid w:val="00BA4202"/>
    <w:rsid w:val="00BA4341"/>
    <w:rsid w:val="00BA44DC"/>
    <w:rsid w:val="00BA44F6"/>
    <w:rsid w:val="00BA45A8"/>
    <w:rsid w:val="00BA462C"/>
    <w:rsid w:val="00BA46F0"/>
    <w:rsid w:val="00BA472A"/>
    <w:rsid w:val="00BA49AB"/>
    <w:rsid w:val="00BA4B49"/>
    <w:rsid w:val="00BA4CF6"/>
    <w:rsid w:val="00BA4D3F"/>
    <w:rsid w:val="00BA4D56"/>
    <w:rsid w:val="00BA504A"/>
    <w:rsid w:val="00BA5112"/>
    <w:rsid w:val="00BA5113"/>
    <w:rsid w:val="00BA513C"/>
    <w:rsid w:val="00BA5199"/>
    <w:rsid w:val="00BA52CB"/>
    <w:rsid w:val="00BA53FE"/>
    <w:rsid w:val="00BA5438"/>
    <w:rsid w:val="00BA5528"/>
    <w:rsid w:val="00BA55AA"/>
    <w:rsid w:val="00BA56E0"/>
    <w:rsid w:val="00BA5788"/>
    <w:rsid w:val="00BA57B2"/>
    <w:rsid w:val="00BA582B"/>
    <w:rsid w:val="00BA59DF"/>
    <w:rsid w:val="00BA5B54"/>
    <w:rsid w:val="00BA5CD2"/>
    <w:rsid w:val="00BA5CF4"/>
    <w:rsid w:val="00BA5E9D"/>
    <w:rsid w:val="00BA5EB1"/>
    <w:rsid w:val="00BA5F47"/>
    <w:rsid w:val="00BA5FF1"/>
    <w:rsid w:val="00BA6010"/>
    <w:rsid w:val="00BA6107"/>
    <w:rsid w:val="00BA61F7"/>
    <w:rsid w:val="00BA6263"/>
    <w:rsid w:val="00BA6282"/>
    <w:rsid w:val="00BA62A7"/>
    <w:rsid w:val="00BA64C6"/>
    <w:rsid w:val="00BA650F"/>
    <w:rsid w:val="00BA6652"/>
    <w:rsid w:val="00BA66DF"/>
    <w:rsid w:val="00BA6745"/>
    <w:rsid w:val="00BA6796"/>
    <w:rsid w:val="00BA689A"/>
    <w:rsid w:val="00BA6A9B"/>
    <w:rsid w:val="00BA6AA5"/>
    <w:rsid w:val="00BA6AE1"/>
    <w:rsid w:val="00BA6C74"/>
    <w:rsid w:val="00BA6CAA"/>
    <w:rsid w:val="00BA6F0F"/>
    <w:rsid w:val="00BA6F23"/>
    <w:rsid w:val="00BA6F8D"/>
    <w:rsid w:val="00BA6FE3"/>
    <w:rsid w:val="00BA704D"/>
    <w:rsid w:val="00BA70F4"/>
    <w:rsid w:val="00BA7116"/>
    <w:rsid w:val="00BA7135"/>
    <w:rsid w:val="00BA71F2"/>
    <w:rsid w:val="00BA7326"/>
    <w:rsid w:val="00BA75BF"/>
    <w:rsid w:val="00BA7765"/>
    <w:rsid w:val="00BA7A9B"/>
    <w:rsid w:val="00BA7AAF"/>
    <w:rsid w:val="00BA7B15"/>
    <w:rsid w:val="00BA7BED"/>
    <w:rsid w:val="00BA7C30"/>
    <w:rsid w:val="00BA7C4D"/>
    <w:rsid w:val="00BA7D92"/>
    <w:rsid w:val="00BA7EF4"/>
    <w:rsid w:val="00BA7F20"/>
    <w:rsid w:val="00BA7F46"/>
    <w:rsid w:val="00BA7F7C"/>
    <w:rsid w:val="00BB0008"/>
    <w:rsid w:val="00BB00AB"/>
    <w:rsid w:val="00BB0121"/>
    <w:rsid w:val="00BB0136"/>
    <w:rsid w:val="00BB019A"/>
    <w:rsid w:val="00BB01E7"/>
    <w:rsid w:val="00BB02D3"/>
    <w:rsid w:val="00BB048E"/>
    <w:rsid w:val="00BB0498"/>
    <w:rsid w:val="00BB05F8"/>
    <w:rsid w:val="00BB062B"/>
    <w:rsid w:val="00BB0663"/>
    <w:rsid w:val="00BB0752"/>
    <w:rsid w:val="00BB077E"/>
    <w:rsid w:val="00BB080E"/>
    <w:rsid w:val="00BB0A0B"/>
    <w:rsid w:val="00BB0AD7"/>
    <w:rsid w:val="00BB0B21"/>
    <w:rsid w:val="00BB0B60"/>
    <w:rsid w:val="00BB0B8A"/>
    <w:rsid w:val="00BB0CF0"/>
    <w:rsid w:val="00BB0DA5"/>
    <w:rsid w:val="00BB0E2A"/>
    <w:rsid w:val="00BB0E44"/>
    <w:rsid w:val="00BB10D7"/>
    <w:rsid w:val="00BB1194"/>
    <w:rsid w:val="00BB121B"/>
    <w:rsid w:val="00BB1296"/>
    <w:rsid w:val="00BB1336"/>
    <w:rsid w:val="00BB1355"/>
    <w:rsid w:val="00BB138A"/>
    <w:rsid w:val="00BB15AB"/>
    <w:rsid w:val="00BB1615"/>
    <w:rsid w:val="00BB1714"/>
    <w:rsid w:val="00BB1722"/>
    <w:rsid w:val="00BB179F"/>
    <w:rsid w:val="00BB17D2"/>
    <w:rsid w:val="00BB1886"/>
    <w:rsid w:val="00BB19E7"/>
    <w:rsid w:val="00BB1A33"/>
    <w:rsid w:val="00BB1A53"/>
    <w:rsid w:val="00BB1B24"/>
    <w:rsid w:val="00BB1D42"/>
    <w:rsid w:val="00BB1DC2"/>
    <w:rsid w:val="00BB1E02"/>
    <w:rsid w:val="00BB1EB0"/>
    <w:rsid w:val="00BB1F7A"/>
    <w:rsid w:val="00BB1FB9"/>
    <w:rsid w:val="00BB2355"/>
    <w:rsid w:val="00BB23BE"/>
    <w:rsid w:val="00BB23F6"/>
    <w:rsid w:val="00BB244C"/>
    <w:rsid w:val="00BB245C"/>
    <w:rsid w:val="00BB24D7"/>
    <w:rsid w:val="00BB24EB"/>
    <w:rsid w:val="00BB2526"/>
    <w:rsid w:val="00BB255C"/>
    <w:rsid w:val="00BB256B"/>
    <w:rsid w:val="00BB25AD"/>
    <w:rsid w:val="00BB25F8"/>
    <w:rsid w:val="00BB2674"/>
    <w:rsid w:val="00BB27C8"/>
    <w:rsid w:val="00BB2883"/>
    <w:rsid w:val="00BB28CA"/>
    <w:rsid w:val="00BB299D"/>
    <w:rsid w:val="00BB2A1B"/>
    <w:rsid w:val="00BB2A6E"/>
    <w:rsid w:val="00BB2B5C"/>
    <w:rsid w:val="00BB2BD4"/>
    <w:rsid w:val="00BB2C81"/>
    <w:rsid w:val="00BB2CF6"/>
    <w:rsid w:val="00BB2E90"/>
    <w:rsid w:val="00BB3038"/>
    <w:rsid w:val="00BB30B9"/>
    <w:rsid w:val="00BB31D6"/>
    <w:rsid w:val="00BB3251"/>
    <w:rsid w:val="00BB3408"/>
    <w:rsid w:val="00BB3631"/>
    <w:rsid w:val="00BB36CB"/>
    <w:rsid w:val="00BB371B"/>
    <w:rsid w:val="00BB371C"/>
    <w:rsid w:val="00BB3783"/>
    <w:rsid w:val="00BB393C"/>
    <w:rsid w:val="00BB3957"/>
    <w:rsid w:val="00BB397C"/>
    <w:rsid w:val="00BB3AFD"/>
    <w:rsid w:val="00BB3B5C"/>
    <w:rsid w:val="00BB3BF7"/>
    <w:rsid w:val="00BB3C0B"/>
    <w:rsid w:val="00BB3CC4"/>
    <w:rsid w:val="00BB3E2A"/>
    <w:rsid w:val="00BB3EC9"/>
    <w:rsid w:val="00BB3EDC"/>
    <w:rsid w:val="00BB3F16"/>
    <w:rsid w:val="00BB3F82"/>
    <w:rsid w:val="00BB4040"/>
    <w:rsid w:val="00BB40A9"/>
    <w:rsid w:val="00BB40E0"/>
    <w:rsid w:val="00BB40EA"/>
    <w:rsid w:val="00BB4193"/>
    <w:rsid w:val="00BB428B"/>
    <w:rsid w:val="00BB432A"/>
    <w:rsid w:val="00BB4411"/>
    <w:rsid w:val="00BB449E"/>
    <w:rsid w:val="00BB451B"/>
    <w:rsid w:val="00BB4527"/>
    <w:rsid w:val="00BB452B"/>
    <w:rsid w:val="00BB45CF"/>
    <w:rsid w:val="00BB460D"/>
    <w:rsid w:val="00BB463D"/>
    <w:rsid w:val="00BB4657"/>
    <w:rsid w:val="00BB483E"/>
    <w:rsid w:val="00BB4891"/>
    <w:rsid w:val="00BB48C8"/>
    <w:rsid w:val="00BB4947"/>
    <w:rsid w:val="00BB4975"/>
    <w:rsid w:val="00BB49CB"/>
    <w:rsid w:val="00BB49CD"/>
    <w:rsid w:val="00BB49F4"/>
    <w:rsid w:val="00BB4B07"/>
    <w:rsid w:val="00BB4C2A"/>
    <w:rsid w:val="00BB4C56"/>
    <w:rsid w:val="00BB4CA9"/>
    <w:rsid w:val="00BB4EEE"/>
    <w:rsid w:val="00BB4F50"/>
    <w:rsid w:val="00BB5073"/>
    <w:rsid w:val="00BB5115"/>
    <w:rsid w:val="00BB5370"/>
    <w:rsid w:val="00BB54B8"/>
    <w:rsid w:val="00BB595F"/>
    <w:rsid w:val="00BB5AD2"/>
    <w:rsid w:val="00BB5ADF"/>
    <w:rsid w:val="00BB5BDD"/>
    <w:rsid w:val="00BB5C2B"/>
    <w:rsid w:val="00BB5D45"/>
    <w:rsid w:val="00BB5E65"/>
    <w:rsid w:val="00BB5F32"/>
    <w:rsid w:val="00BB5F85"/>
    <w:rsid w:val="00BB603B"/>
    <w:rsid w:val="00BB60D4"/>
    <w:rsid w:val="00BB625D"/>
    <w:rsid w:val="00BB631D"/>
    <w:rsid w:val="00BB6405"/>
    <w:rsid w:val="00BB64D6"/>
    <w:rsid w:val="00BB660F"/>
    <w:rsid w:val="00BB665C"/>
    <w:rsid w:val="00BB6844"/>
    <w:rsid w:val="00BB6964"/>
    <w:rsid w:val="00BB6AD3"/>
    <w:rsid w:val="00BB6B3B"/>
    <w:rsid w:val="00BB6C73"/>
    <w:rsid w:val="00BB6F1A"/>
    <w:rsid w:val="00BB6F90"/>
    <w:rsid w:val="00BB6F99"/>
    <w:rsid w:val="00BB708B"/>
    <w:rsid w:val="00BB7158"/>
    <w:rsid w:val="00BB7192"/>
    <w:rsid w:val="00BB71ED"/>
    <w:rsid w:val="00BB7248"/>
    <w:rsid w:val="00BB7285"/>
    <w:rsid w:val="00BB7347"/>
    <w:rsid w:val="00BB734B"/>
    <w:rsid w:val="00BB73CB"/>
    <w:rsid w:val="00BB73D5"/>
    <w:rsid w:val="00BB7441"/>
    <w:rsid w:val="00BB7478"/>
    <w:rsid w:val="00BB74A3"/>
    <w:rsid w:val="00BB7586"/>
    <w:rsid w:val="00BB7632"/>
    <w:rsid w:val="00BB76A9"/>
    <w:rsid w:val="00BB787B"/>
    <w:rsid w:val="00BB7AFF"/>
    <w:rsid w:val="00BB7BC4"/>
    <w:rsid w:val="00BB7BCA"/>
    <w:rsid w:val="00BB7C11"/>
    <w:rsid w:val="00BB7CD0"/>
    <w:rsid w:val="00BB7D07"/>
    <w:rsid w:val="00BB7E06"/>
    <w:rsid w:val="00BB7EC6"/>
    <w:rsid w:val="00BB7F35"/>
    <w:rsid w:val="00BC0142"/>
    <w:rsid w:val="00BC0287"/>
    <w:rsid w:val="00BC02B7"/>
    <w:rsid w:val="00BC0362"/>
    <w:rsid w:val="00BC037B"/>
    <w:rsid w:val="00BC0388"/>
    <w:rsid w:val="00BC0435"/>
    <w:rsid w:val="00BC0455"/>
    <w:rsid w:val="00BC0457"/>
    <w:rsid w:val="00BC04A1"/>
    <w:rsid w:val="00BC059B"/>
    <w:rsid w:val="00BC05D9"/>
    <w:rsid w:val="00BC0704"/>
    <w:rsid w:val="00BC0729"/>
    <w:rsid w:val="00BC0946"/>
    <w:rsid w:val="00BC0A19"/>
    <w:rsid w:val="00BC0A33"/>
    <w:rsid w:val="00BC0A5E"/>
    <w:rsid w:val="00BC0B98"/>
    <w:rsid w:val="00BC0BA0"/>
    <w:rsid w:val="00BC0BD2"/>
    <w:rsid w:val="00BC0D08"/>
    <w:rsid w:val="00BC0D58"/>
    <w:rsid w:val="00BC0FE1"/>
    <w:rsid w:val="00BC1092"/>
    <w:rsid w:val="00BC116F"/>
    <w:rsid w:val="00BC12AE"/>
    <w:rsid w:val="00BC13B8"/>
    <w:rsid w:val="00BC1573"/>
    <w:rsid w:val="00BC1637"/>
    <w:rsid w:val="00BC1667"/>
    <w:rsid w:val="00BC172E"/>
    <w:rsid w:val="00BC1898"/>
    <w:rsid w:val="00BC189E"/>
    <w:rsid w:val="00BC18BD"/>
    <w:rsid w:val="00BC1901"/>
    <w:rsid w:val="00BC1A56"/>
    <w:rsid w:val="00BC1A58"/>
    <w:rsid w:val="00BC1AF7"/>
    <w:rsid w:val="00BC1B31"/>
    <w:rsid w:val="00BC1B43"/>
    <w:rsid w:val="00BC1B88"/>
    <w:rsid w:val="00BC1BE7"/>
    <w:rsid w:val="00BC1C20"/>
    <w:rsid w:val="00BC1C2C"/>
    <w:rsid w:val="00BC1D00"/>
    <w:rsid w:val="00BC1D94"/>
    <w:rsid w:val="00BC1DD1"/>
    <w:rsid w:val="00BC1E14"/>
    <w:rsid w:val="00BC1F8B"/>
    <w:rsid w:val="00BC1FBE"/>
    <w:rsid w:val="00BC20B2"/>
    <w:rsid w:val="00BC21FB"/>
    <w:rsid w:val="00BC2222"/>
    <w:rsid w:val="00BC2292"/>
    <w:rsid w:val="00BC22AD"/>
    <w:rsid w:val="00BC230F"/>
    <w:rsid w:val="00BC2327"/>
    <w:rsid w:val="00BC238A"/>
    <w:rsid w:val="00BC242C"/>
    <w:rsid w:val="00BC2461"/>
    <w:rsid w:val="00BC2625"/>
    <w:rsid w:val="00BC26F2"/>
    <w:rsid w:val="00BC2AA9"/>
    <w:rsid w:val="00BC2AFC"/>
    <w:rsid w:val="00BC2BB7"/>
    <w:rsid w:val="00BC2D93"/>
    <w:rsid w:val="00BC2E6E"/>
    <w:rsid w:val="00BC2E88"/>
    <w:rsid w:val="00BC2F4D"/>
    <w:rsid w:val="00BC3081"/>
    <w:rsid w:val="00BC30E4"/>
    <w:rsid w:val="00BC30ED"/>
    <w:rsid w:val="00BC3143"/>
    <w:rsid w:val="00BC31D0"/>
    <w:rsid w:val="00BC31FA"/>
    <w:rsid w:val="00BC31FF"/>
    <w:rsid w:val="00BC32B2"/>
    <w:rsid w:val="00BC32F0"/>
    <w:rsid w:val="00BC33A9"/>
    <w:rsid w:val="00BC351D"/>
    <w:rsid w:val="00BC3536"/>
    <w:rsid w:val="00BC3598"/>
    <w:rsid w:val="00BC35A5"/>
    <w:rsid w:val="00BC35A7"/>
    <w:rsid w:val="00BC36B2"/>
    <w:rsid w:val="00BC37A7"/>
    <w:rsid w:val="00BC382F"/>
    <w:rsid w:val="00BC390D"/>
    <w:rsid w:val="00BC39FF"/>
    <w:rsid w:val="00BC3BB7"/>
    <w:rsid w:val="00BC3BC4"/>
    <w:rsid w:val="00BC3C82"/>
    <w:rsid w:val="00BC3D64"/>
    <w:rsid w:val="00BC3E29"/>
    <w:rsid w:val="00BC3E9B"/>
    <w:rsid w:val="00BC3F32"/>
    <w:rsid w:val="00BC3F6E"/>
    <w:rsid w:val="00BC3FB9"/>
    <w:rsid w:val="00BC40B1"/>
    <w:rsid w:val="00BC417B"/>
    <w:rsid w:val="00BC42DE"/>
    <w:rsid w:val="00BC43FA"/>
    <w:rsid w:val="00BC4410"/>
    <w:rsid w:val="00BC4660"/>
    <w:rsid w:val="00BC47AF"/>
    <w:rsid w:val="00BC4868"/>
    <w:rsid w:val="00BC4A0A"/>
    <w:rsid w:val="00BC4ADC"/>
    <w:rsid w:val="00BC4AF9"/>
    <w:rsid w:val="00BC4AFD"/>
    <w:rsid w:val="00BC4B29"/>
    <w:rsid w:val="00BC4B7B"/>
    <w:rsid w:val="00BC4B9F"/>
    <w:rsid w:val="00BC4BD5"/>
    <w:rsid w:val="00BC4D89"/>
    <w:rsid w:val="00BC4E02"/>
    <w:rsid w:val="00BC5051"/>
    <w:rsid w:val="00BC50AC"/>
    <w:rsid w:val="00BC50F7"/>
    <w:rsid w:val="00BC5114"/>
    <w:rsid w:val="00BC520D"/>
    <w:rsid w:val="00BC5246"/>
    <w:rsid w:val="00BC533E"/>
    <w:rsid w:val="00BC53C3"/>
    <w:rsid w:val="00BC556B"/>
    <w:rsid w:val="00BC5575"/>
    <w:rsid w:val="00BC55D5"/>
    <w:rsid w:val="00BC55DC"/>
    <w:rsid w:val="00BC565E"/>
    <w:rsid w:val="00BC57C3"/>
    <w:rsid w:val="00BC599D"/>
    <w:rsid w:val="00BC5A7D"/>
    <w:rsid w:val="00BC5A9F"/>
    <w:rsid w:val="00BC5B44"/>
    <w:rsid w:val="00BC5C3B"/>
    <w:rsid w:val="00BC5D36"/>
    <w:rsid w:val="00BC5D82"/>
    <w:rsid w:val="00BC5DCA"/>
    <w:rsid w:val="00BC5F01"/>
    <w:rsid w:val="00BC5F0E"/>
    <w:rsid w:val="00BC5FDF"/>
    <w:rsid w:val="00BC61CD"/>
    <w:rsid w:val="00BC61CF"/>
    <w:rsid w:val="00BC6323"/>
    <w:rsid w:val="00BC655A"/>
    <w:rsid w:val="00BC6579"/>
    <w:rsid w:val="00BC66E4"/>
    <w:rsid w:val="00BC6836"/>
    <w:rsid w:val="00BC69C3"/>
    <w:rsid w:val="00BC6A3E"/>
    <w:rsid w:val="00BC6A67"/>
    <w:rsid w:val="00BC6AA1"/>
    <w:rsid w:val="00BC6B4B"/>
    <w:rsid w:val="00BC6BAA"/>
    <w:rsid w:val="00BC6C32"/>
    <w:rsid w:val="00BC6C63"/>
    <w:rsid w:val="00BC6CA6"/>
    <w:rsid w:val="00BC6D18"/>
    <w:rsid w:val="00BC6D1C"/>
    <w:rsid w:val="00BC6E8D"/>
    <w:rsid w:val="00BC6F40"/>
    <w:rsid w:val="00BC7078"/>
    <w:rsid w:val="00BC7087"/>
    <w:rsid w:val="00BC70AC"/>
    <w:rsid w:val="00BC718F"/>
    <w:rsid w:val="00BC72B3"/>
    <w:rsid w:val="00BC7433"/>
    <w:rsid w:val="00BC747C"/>
    <w:rsid w:val="00BC7485"/>
    <w:rsid w:val="00BC74A2"/>
    <w:rsid w:val="00BC7658"/>
    <w:rsid w:val="00BC76EC"/>
    <w:rsid w:val="00BC78D6"/>
    <w:rsid w:val="00BC7AD8"/>
    <w:rsid w:val="00BC7B01"/>
    <w:rsid w:val="00BC7CB7"/>
    <w:rsid w:val="00BC7CE2"/>
    <w:rsid w:val="00BC7D26"/>
    <w:rsid w:val="00BC7DB9"/>
    <w:rsid w:val="00BC7DE0"/>
    <w:rsid w:val="00BC7E04"/>
    <w:rsid w:val="00BC7E73"/>
    <w:rsid w:val="00BC7E7B"/>
    <w:rsid w:val="00BC7EC2"/>
    <w:rsid w:val="00BC7F2A"/>
    <w:rsid w:val="00BD0003"/>
    <w:rsid w:val="00BD026D"/>
    <w:rsid w:val="00BD02C9"/>
    <w:rsid w:val="00BD0490"/>
    <w:rsid w:val="00BD04AF"/>
    <w:rsid w:val="00BD04B7"/>
    <w:rsid w:val="00BD0578"/>
    <w:rsid w:val="00BD0786"/>
    <w:rsid w:val="00BD07DF"/>
    <w:rsid w:val="00BD082A"/>
    <w:rsid w:val="00BD085A"/>
    <w:rsid w:val="00BD0A53"/>
    <w:rsid w:val="00BD0A72"/>
    <w:rsid w:val="00BD0CCF"/>
    <w:rsid w:val="00BD0CF5"/>
    <w:rsid w:val="00BD0D50"/>
    <w:rsid w:val="00BD0DC5"/>
    <w:rsid w:val="00BD0FC9"/>
    <w:rsid w:val="00BD0FE8"/>
    <w:rsid w:val="00BD1112"/>
    <w:rsid w:val="00BD11B0"/>
    <w:rsid w:val="00BD11E9"/>
    <w:rsid w:val="00BD12DD"/>
    <w:rsid w:val="00BD1367"/>
    <w:rsid w:val="00BD1462"/>
    <w:rsid w:val="00BD1576"/>
    <w:rsid w:val="00BD1589"/>
    <w:rsid w:val="00BD159C"/>
    <w:rsid w:val="00BD1628"/>
    <w:rsid w:val="00BD1661"/>
    <w:rsid w:val="00BD198F"/>
    <w:rsid w:val="00BD1A4D"/>
    <w:rsid w:val="00BD1B2C"/>
    <w:rsid w:val="00BD1B4A"/>
    <w:rsid w:val="00BD1BC7"/>
    <w:rsid w:val="00BD1CE0"/>
    <w:rsid w:val="00BD1E7C"/>
    <w:rsid w:val="00BD1EFC"/>
    <w:rsid w:val="00BD2090"/>
    <w:rsid w:val="00BD2131"/>
    <w:rsid w:val="00BD2154"/>
    <w:rsid w:val="00BD22A9"/>
    <w:rsid w:val="00BD22E4"/>
    <w:rsid w:val="00BD2633"/>
    <w:rsid w:val="00BD26FF"/>
    <w:rsid w:val="00BD27E9"/>
    <w:rsid w:val="00BD2819"/>
    <w:rsid w:val="00BD28BF"/>
    <w:rsid w:val="00BD2972"/>
    <w:rsid w:val="00BD2978"/>
    <w:rsid w:val="00BD29C6"/>
    <w:rsid w:val="00BD2A2F"/>
    <w:rsid w:val="00BD2A76"/>
    <w:rsid w:val="00BD2AB0"/>
    <w:rsid w:val="00BD2AB1"/>
    <w:rsid w:val="00BD2C8C"/>
    <w:rsid w:val="00BD2C90"/>
    <w:rsid w:val="00BD2DB4"/>
    <w:rsid w:val="00BD2EC0"/>
    <w:rsid w:val="00BD3070"/>
    <w:rsid w:val="00BD31BE"/>
    <w:rsid w:val="00BD329E"/>
    <w:rsid w:val="00BD32D6"/>
    <w:rsid w:val="00BD32D7"/>
    <w:rsid w:val="00BD32FC"/>
    <w:rsid w:val="00BD33BC"/>
    <w:rsid w:val="00BD33C8"/>
    <w:rsid w:val="00BD34E3"/>
    <w:rsid w:val="00BD34E8"/>
    <w:rsid w:val="00BD34FE"/>
    <w:rsid w:val="00BD3502"/>
    <w:rsid w:val="00BD3538"/>
    <w:rsid w:val="00BD361B"/>
    <w:rsid w:val="00BD3742"/>
    <w:rsid w:val="00BD37AF"/>
    <w:rsid w:val="00BD3AF3"/>
    <w:rsid w:val="00BD3E97"/>
    <w:rsid w:val="00BD3EE5"/>
    <w:rsid w:val="00BD3F21"/>
    <w:rsid w:val="00BD3FA7"/>
    <w:rsid w:val="00BD4063"/>
    <w:rsid w:val="00BD40B8"/>
    <w:rsid w:val="00BD411A"/>
    <w:rsid w:val="00BD4197"/>
    <w:rsid w:val="00BD4355"/>
    <w:rsid w:val="00BD4379"/>
    <w:rsid w:val="00BD447D"/>
    <w:rsid w:val="00BD44D7"/>
    <w:rsid w:val="00BD44EC"/>
    <w:rsid w:val="00BD4708"/>
    <w:rsid w:val="00BD471B"/>
    <w:rsid w:val="00BD475A"/>
    <w:rsid w:val="00BD4835"/>
    <w:rsid w:val="00BD48BB"/>
    <w:rsid w:val="00BD4925"/>
    <w:rsid w:val="00BD4933"/>
    <w:rsid w:val="00BD49EF"/>
    <w:rsid w:val="00BD4A19"/>
    <w:rsid w:val="00BD4A65"/>
    <w:rsid w:val="00BD4BBE"/>
    <w:rsid w:val="00BD4F98"/>
    <w:rsid w:val="00BD4FFB"/>
    <w:rsid w:val="00BD514C"/>
    <w:rsid w:val="00BD5158"/>
    <w:rsid w:val="00BD51B7"/>
    <w:rsid w:val="00BD536C"/>
    <w:rsid w:val="00BD53D8"/>
    <w:rsid w:val="00BD53E4"/>
    <w:rsid w:val="00BD5767"/>
    <w:rsid w:val="00BD5777"/>
    <w:rsid w:val="00BD59CD"/>
    <w:rsid w:val="00BD59DD"/>
    <w:rsid w:val="00BD5C5B"/>
    <w:rsid w:val="00BD5CFB"/>
    <w:rsid w:val="00BD5D09"/>
    <w:rsid w:val="00BD5E1A"/>
    <w:rsid w:val="00BD5E9B"/>
    <w:rsid w:val="00BD5E9C"/>
    <w:rsid w:val="00BD5EE7"/>
    <w:rsid w:val="00BD5F82"/>
    <w:rsid w:val="00BD601F"/>
    <w:rsid w:val="00BD60C4"/>
    <w:rsid w:val="00BD61A7"/>
    <w:rsid w:val="00BD623D"/>
    <w:rsid w:val="00BD62E2"/>
    <w:rsid w:val="00BD63CC"/>
    <w:rsid w:val="00BD64A7"/>
    <w:rsid w:val="00BD6886"/>
    <w:rsid w:val="00BD6935"/>
    <w:rsid w:val="00BD69E1"/>
    <w:rsid w:val="00BD69E6"/>
    <w:rsid w:val="00BD6A2D"/>
    <w:rsid w:val="00BD6A89"/>
    <w:rsid w:val="00BD6B11"/>
    <w:rsid w:val="00BD6B33"/>
    <w:rsid w:val="00BD6CBC"/>
    <w:rsid w:val="00BD6E8A"/>
    <w:rsid w:val="00BD6E8B"/>
    <w:rsid w:val="00BD6E8F"/>
    <w:rsid w:val="00BD6F5E"/>
    <w:rsid w:val="00BD6F7B"/>
    <w:rsid w:val="00BD700A"/>
    <w:rsid w:val="00BD7010"/>
    <w:rsid w:val="00BD712C"/>
    <w:rsid w:val="00BD7150"/>
    <w:rsid w:val="00BD71FD"/>
    <w:rsid w:val="00BD7202"/>
    <w:rsid w:val="00BD72A0"/>
    <w:rsid w:val="00BD730C"/>
    <w:rsid w:val="00BD732D"/>
    <w:rsid w:val="00BD7448"/>
    <w:rsid w:val="00BD74D8"/>
    <w:rsid w:val="00BD75A5"/>
    <w:rsid w:val="00BD7653"/>
    <w:rsid w:val="00BD7755"/>
    <w:rsid w:val="00BD77F4"/>
    <w:rsid w:val="00BD783E"/>
    <w:rsid w:val="00BD7879"/>
    <w:rsid w:val="00BD7A3F"/>
    <w:rsid w:val="00BD7CF7"/>
    <w:rsid w:val="00BD7D0A"/>
    <w:rsid w:val="00BD7DA7"/>
    <w:rsid w:val="00BD7ECE"/>
    <w:rsid w:val="00BD7F5F"/>
    <w:rsid w:val="00BD7FB5"/>
    <w:rsid w:val="00BD7FD8"/>
    <w:rsid w:val="00BE0016"/>
    <w:rsid w:val="00BE0163"/>
    <w:rsid w:val="00BE017A"/>
    <w:rsid w:val="00BE01BB"/>
    <w:rsid w:val="00BE01C6"/>
    <w:rsid w:val="00BE020F"/>
    <w:rsid w:val="00BE02DE"/>
    <w:rsid w:val="00BE034B"/>
    <w:rsid w:val="00BE0374"/>
    <w:rsid w:val="00BE03AA"/>
    <w:rsid w:val="00BE05E7"/>
    <w:rsid w:val="00BE0647"/>
    <w:rsid w:val="00BE06BF"/>
    <w:rsid w:val="00BE0734"/>
    <w:rsid w:val="00BE0756"/>
    <w:rsid w:val="00BE07CF"/>
    <w:rsid w:val="00BE0850"/>
    <w:rsid w:val="00BE0A61"/>
    <w:rsid w:val="00BE0A97"/>
    <w:rsid w:val="00BE0AC6"/>
    <w:rsid w:val="00BE0B42"/>
    <w:rsid w:val="00BE0B8C"/>
    <w:rsid w:val="00BE0BAD"/>
    <w:rsid w:val="00BE0C57"/>
    <w:rsid w:val="00BE0DD5"/>
    <w:rsid w:val="00BE0F25"/>
    <w:rsid w:val="00BE0F28"/>
    <w:rsid w:val="00BE1161"/>
    <w:rsid w:val="00BE1194"/>
    <w:rsid w:val="00BE11BD"/>
    <w:rsid w:val="00BE129B"/>
    <w:rsid w:val="00BE131F"/>
    <w:rsid w:val="00BE1341"/>
    <w:rsid w:val="00BE148B"/>
    <w:rsid w:val="00BE1575"/>
    <w:rsid w:val="00BE15CE"/>
    <w:rsid w:val="00BE15D3"/>
    <w:rsid w:val="00BE1A78"/>
    <w:rsid w:val="00BE1B79"/>
    <w:rsid w:val="00BE1CA0"/>
    <w:rsid w:val="00BE1D5B"/>
    <w:rsid w:val="00BE1D5F"/>
    <w:rsid w:val="00BE1F26"/>
    <w:rsid w:val="00BE1FED"/>
    <w:rsid w:val="00BE21FF"/>
    <w:rsid w:val="00BE2269"/>
    <w:rsid w:val="00BE22A4"/>
    <w:rsid w:val="00BE24FD"/>
    <w:rsid w:val="00BE2510"/>
    <w:rsid w:val="00BE2520"/>
    <w:rsid w:val="00BE25EF"/>
    <w:rsid w:val="00BE2710"/>
    <w:rsid w:val="00BE27B4"/>
    <w:rsid w:val="00BE2925"/>
    <w:rsid w:val="00BE297A"/>
    <w:rsid w:val="00BE29AC"/>
    <w:rsid w:val="00BE2A36"/>
    <w:rsid w:val="00BE2B6F"/>
    <w:rsid w:val="00BE2C2A"/>
    <w:rsid w:val="00BE2CCC"/>
    <w:rsid w:val="00BE2D29"/>
    <w:rsid w:val="00BE2D6E"/>
    <w:rsid w:val="00BE2E2E"/>
    <w:rsid w:val="00BE2E55"/>
    <w:rsid w:val="00BE2E62"/>
    <w:rsid w:val="00BE2EEC"/>
    <w:rsid w:val="00BE2FAF"/>
    <w:rsid w:val="00BE30BC"/>
    <w:rsid w:val="00BE3239"/>
    <w:rsid w:val="00BE3265"/>
    <w:rsid w:val="00BE3405"/>
    <w:rsid w:val="00BE35BA"/>
    <w:rsid w:val="00BE36BC"/>
    <w:rsid w:val="00BE3956"/>
    <w:rsid w:val="00BE3BE7"/>
    <w:rsid w:val="00BE3C61"/>
    <w:rsid w:val="00BE3D5F"/>
    <w:rsid w:val="00BE3D67"/>
    <w:rsid w:val="00BE3D89"/>
    <w:rsid w:val="00BE3D9A"/>
    <w:rsid w:val="00BE3DF9"/>
    <w:rsid w:val="00BE3E81"/>
    <w:rsid w:val="00BE3E9B"/>
    <w:rsid w:val="00BE3F1C"/>
    <w:rsid w:val="00BE3F84"/>
    <w:rsid w:val="00BE3F99"/>
    <w:rsid w:val="00BE4060"/>
    <w:rsid w:val="00BE40DE"/>
    <w:rsid w:val="00BE40E4"/>
    <w:rsid w:val="00BE41B8"/>
    <w:rsid w:val="00BE41CF"/>
    <w:rsid w:val="00BE42F6"/>
    <w:rsid w:val="00BE4398"/>
    <w:rsid w:val="00BE448E"/>
    <w:rsid w:val="00BE44E4"/>
    <w:rsid w:val="00BE4538"/>
    <w:rsid w:val="00BE458B"/>
    <w:rsid w:val="00BE46C1"/>
    <w:rsid w:val="00BE470C"/>
    <w:rsid w:val="00BE47B2"/>
    <w:rsid w:val="00BE47BE"/>
    <w:rsid w:val="00BE47E4"/>
    <w:rsid w:val="00BE4982"/>
    <w:rsid w:val="00BE4BF9"/>
    <w:rsid w:val="00BE4C50"/>
    <w:rsid w:val="00BE4CB0"/>
    <w:rsid w:val="00BE4CC5"/>
    <w:rsid w:val="00BE4D61"/>
    <w:rsid w:val="00BE4F1B"/>
    <w:rsid w:val="00BE4F4F"/>
    <w:rsid w:val="00BE4F6F"/>
    <w:rsid w:val="00BE507E"/>
    <w:rsid w:val="00BE50E5"/>
    <w:rsid w:val="00BE5282"/>
    <w:rsid w:val="00BE5294"/>
    <w:rsid w:val="00BE5300"/>
    <w:rsid w:val="00BE5384"/>
    <w:rsid w:val="00BE54A0"/>
    <w:rsid w:val="00BE54B6"/>
    <w:rsid w:val="00BE55E3"/>
    <w:rsid w:val="00BE561C"/>
    <w:rsid w:val="00BE56C9"/>
    <w:rsid w:val="00BE590A"/>
    <w:rsid w:val="00BE593D"/>
    <w:rsid w:val="00BE5982"/>
    <w:rsid w:val="00BE5A72"/>
    <w:rsid w:val="00BE5B00"/>
    <w:rsid w:val="00BE5B49"/>
    <w:rsid w:val="00BE5B5E"/>
    <w:rsid w:val="00BE5D2A"/>
    <w:rsid w:val="00BE5D78"/>
    <w:rsid w:val="00BE5DD1"/>
    <w:rsid w:val="00BE5E9F"/>
    <w:rsid w:val="00BE5F10"/>
    <w:rsid w:val="00BE5F1C"/>
    <w:rsid w:val="00BE5F7E"/>
    <w:rsid w:val="00BE606B"/>
    <w:rsid w:val="00BE6287"/>
    <w:rsid w:val="00BE6333"/>
    <w:rsid w:val="00BE64D0"/>
    <w:rsid w:val="00BE6519"/>
    <w:rsid w:val="00BE668C"/>
    <w:rsid w:val="00BE6882"/>
    <w:rsid w:val="00BE6889"/>
    <w:rsid w:val="00BE6ADB"/>
    <w:rsid w:val="00BE6AFE"/>
    <w:rsid w:val="00BE6BB1"/>
    <w:rsid w:val="00BE6C6E"/>
    <w:rsid w:val="00BE6C91"/>
    <w:rsid w:val="00BE6CA3"/>
    <w:rsid w:val="00BE6CCD"/>
    <w:rsid w:val="00BE6D34"/>
    <w:rsid w:val="00BE6F19"/>
    <w:rsid w:val="00BE6FB2"/>
    <w:rsid w:val="00BE7014"/>
    <w:rsid w:val="00BE7024"/>
    <w:rsid w:val="00BE7060"/>
    <w:rsid w:val="00BE70D2"/>
    <w:rsid w:val="00BE71AB"/>
    <w:rsid w:val="00BE7325"/>
    <w:rsid w:val="00BE73D5"/>
    <w:rsid w:val="00BE74E0"/>
    <w:rsid w:val="00BE7534"/>
    <w:rsid w:val="00BE7711"/>
    <w:rsid w:val="00BE771B"/>
    <w:rsid w:val="00BE772D"/>
    <w:rsid w:val="00BE7796"/>
    <w:rsid w:val="00BE77F9"/>
    <w:rsid w:val="00BE7877"/>
    <w:rsid w:val="00BE78DD"/>
    <w:rsid w:val="00BE7900"/>
    <w:rsid w:val="00BE7913"/>
    <w:rsid w:val="00BE7ADD"/>
    <w:rsid w:val="00BE7AEA"/>
    <w:rsid w:val="00BE7B3B"/>
    <w:rsid w:val="00BE7BC8"/>
    <w:rsid w:val="00BE7CC0"/>
    <w:rsid w:val="00BE7E8B"/>
    <w:rsid w:val="00BE7F1E"/>
    <w:rsid w:val="00BE7F88"/>
    <w:rsid w:val="00BE7FCF"/>
    <w:rsid w:val="00BE7FDB"/>
    <w:rsid w:val="00BF0025"/>
    <w:rsid w:val="00BF014B"/>
    <w:rsid w:val="00BF0186"/>
    <w:rsid w:val="00BF01D8"/>
    <w:rsid w:val="00BF01EF"/>
    <w:rsid w:val="00BF026D"/>
    <w:rsid w:val="00BF0308"/>
    <w:rsid w:val="00BF034D"/>
    <w:rsid w:val="00BF0379"/>
    <w:rsid w:val="00BF0398"/>
    <w:rsid w:val="00BF03AD"/>
    <w:rsid w:val="00BF03B9"/>
    <w:rsid w:val="00BF04B4"/>
    <w:rsid w:val="00BF04E5"/>
    <w:rsid w:val="00BF04F4"/>
    <w:rsid w:val="00BF0546"/>
    <w:rsid w:val="00BF05A6"/>
    <w:rsid w:val="00BF05DD"/>
    <w:rsid w:val="00BF062B"/>
    <w:rsid w:val="00BF06C2"/>
    <w:rsid w:val="00BF0714"/>
    <w:rsid w:val="00BF0805"/>
    <w:rsid w:val="00BF0853"/>
    <w:rsid w:val="00BF08F4"/>
    <w:rsid w:val="00BF091B"/>
    <w:rsid w:val="00BF095A"/>
    <w:rsid w:val="00BF0AB4"/>
    <w:rsid w:val="00BF0C29"/>
    <w:rsid w:val="00BF0D8B"/>
    <w:rsid w:val="00BF0E4E"/>
    <w:rsid w:val="00BF0E64"/>
    <w:rsid w:val="00BF0E67"/>
    <w:rsid w:val="00BF0FA2"/>
    <w:rsid w:val="00BF0FF1"/>
    <w:rsid w:val="00BF1014"/>
    <w:rsid w:val="00BF1205"/>
    <w:rsid w:val="00BF1231"/>
    <w:rsid w:val="00BF1285"/>
    <w:rsid w:val="00BF13BD"/>
    <w:rsid w:val="00BF1498"/>
    <w:rsid w:val="00BF1661"/>
    <w:rsid w:val="00BF1A77"/>
    <w:rsid w:val="00BF1AEA"/>
    <w:rsid w:val="00BF1C3D"/>
    <w:rsid w:val="00BF1CDD"/>
    <w:rsid w:val="00BF1D05"/>
    <w:rsid w:val="00BF1DA4"/>
    <w:rsid w:val="00BF1ED8"/>
    <w:rsid w:val="00BF1EF2"/>
    <w:rsid w:val="00BF1F52"/>
    <w:rsid w:val="00BF1FA0"/>
    <w:rsid w:val="00BF20D5"/>
    <w:rsid w:val="00BF211E"/>
    <w:rsid w:val="00BF2147"/>
    <w:rsid w:val="00BF2230"/>
    <w:rsid w:val="00BF224D"/>
    <w:rsid w:val="00BF2265"/>
    <w:rsid w:val="00BF233A"/>
    <w:rsid w:val="00BF23B5"/>
    <w:rsid w:val="00BF2434"/>
    <w:rsid w:val="00BF2450"/>
    <w:rsid w:val="00BF26CD"/>
    <w:rsid w:val="00BF26DD"/>
    <w:rsid w:val="00BF271B"/>
    <w:rsid w:val="00BF27AA"/>
    <w:rsid w:val="00BF27B2"/>
    <w:rsid w:val="00BF28B7"/>
    <w:rsid w:val="00BF2A4E"/>
    <w:rsid w:val="00BF2A78"/>
    <w:rsid w:val="00BF2A98"/>
    <w:rsid w:val="00BF2BB0"/>
    <w:rsid w:val="00BF2C7D"/>
    <w:rsid w:val="00BF2E2E"/>
    <w:rsid w:val="00BF2F7C"/>
    <w:rsid w:val="00BF2F88"/>
    <w:rsid w:val="00BF3017"/>
    <w:rsid w:val="00BF322F"/>
    <w:rsid w:val="00BF3320"/>
    <w:rsid w:val="00BF3393"/>
    <w:rsid w:val="00BF33BA"/>
    <w:rsid w:val="00BF3416"/>
    <w:rsid w:val="00BF3480"/>
    <w:rsid w:val="00BF37F0"/>
    <w:rsid w:val="00BF382D"/>
    <w:rsid w:val="00BF389B"/>
    <w:rsid w:val="00BF398B"/>
    <w:rsid w:val="00BF3ACD"/>
    <w:rsid w:val="00BF3C65"/>
    <w:rsid w:val="00BF3C8E"/>
    <w:rsid w:val="00BF3D78"/>
    <w:rsid w:val="00BF3DCB"/>
    <w:rsid w:val="00BF3E3F"/>
    <w:rsid w:val="00BF3F44"/>
    <w:rsid w:val="00BF41D7"/>
    <w:rsid w:val="00BF4257"/>
    <w:rsid w:val="00BF42C9"/>
    <w:rsid w:val="00BF42DC"/>
    <w:rsid w:val="00BF43C7"/>
    <w:rsid w:val="00BF44AA"/>
    <w:rsid w:val="00BF4600"/>
    <w:rsid w:val="00BF4618"/>
    <w:rsid w:val="00BF4711"/>
    <w:rsid w:val="00BF473B"/>
    <w:rsid w:val="00BF4751"/>
    <w:rsid w:val="00BF4770"/>
    <w:rsid w:val="00BF47BD"/>
    <w:rsid w:val="00BF481B"/>
    <w:rsid w:val="00BF497C"/>
    <w:rsid w:val="00BF49C2"/>
    <w:rsid w:val="00BF4A0F"/>
    <w:rsid w:val="00BF4AE0"/>
    <w:rsid w:val="00BF4B7A"/>
    <w:rsid w:val="00BF4CE9"/>
    <w:rsid w:val="00BF4D51"/>
    <w:rsid w:val="00BF4DCD"/>
    <w:rsid w:val="00BF4E1D"/>
    <w:rsid w:val="00BF4E25"/>
    <w:rsid w:val="00BF4FFC"/>
    <w:rsid w:val="00BF5004"/>
    <w:rsid w:val="00BF5125"/>
    <w:rsid w:val="00BF5135"/>
    <w:rsid w:val="00BF5216"/>
    <w:rsid w:val="00BF522A"/>
    <w:rsid w:val="00BF52D9"/>
    <w:rsid w:val="00BF543C"/>
    <w:rsid w:val="00BF545F"/>
    <w:rsid w:val="00BF56F6"/>
    <w:rsid w:val="00BF570C"/>
    <w:rsid w:val="00BF584B"/>
    <w:rsid w:val="00BF5874"/>
    <w:rsid w:val="00BF589E"/>
    <w:rsid w:val="00BF5917"/>
    <w:rsid w:val="00BF5B49"/>
    <w:rsid w:val="00BF5B68"/>
    <w:rsid w:val="00BF5C62"/>
    <w:rsid w:val="00BF5CE7"/>
    <w:rsid w:val="00BF5CE8"/>
    <w:rsid w:val="00BF5D12"/>
    <w:rsid w:val="00BF5DF4"/>
    <w:rsid w:val="00BF5E96"/>
    <w:rsid w:val="00BF60D6"/>
    <w:rsid w:val="00BF6100"/>
    <w:rsid w:val="00BF6152"/>
    <w:rsid w:val="00BF6171"/>
    <w:rsid w:val="00BF61B4"/>
    <w:rsid w:val="00BF6361"/>
    <w:rsid w:val="00BF6506"/>
    <w:rsid w:val="00BF6568"/>
    <w:rsid w:val="00BF6656"/>
    <w:rsid w:val="00BF665C"/>
    <w:rsid w:val="00BF66C9"/>
    <w:rsid w:val="00BF6766"/>
    <w:rsid w:val="00BF684D"/>
    <w:rsid w:val="00BF685D"/>
    <w:rsid w:val="00BF689E"/>
    <w:rsid w:val="00BF68CB"/>
    <w:rsid w:val="00BF68F8"/>
    <w:rsid w:val="00BF6921"/>
    <w:rsid w:val="00BF6957"/>
    <w:rsid w:val="00BF696A"/>
    <w:rsid w:val="00BF6A8D"/>
    <w:rsid w:val="00BF6B8E"/>
    <w:rsid w:val="00BF6BEC"/>
    <w:rsid w:val="00BF6BF5"/>
    <w:rsid w:val="00BF6D32"/>
    <w:rsid w:val="00BF6D8C"/>
    <w:rsid w:val="00BF6E07"/>
    <w:rsid w:val="00BF6EBC"/>
    <w:rsid w:val="00BF6F88"/>
    <w:rsid w:val="00BF702A"/>
    <w:rsid w:val="00BF7166"/>
    <w:rsid w:val="00BF7367"/>
    <w:rsid w:val="00BF7382"/>
    <w:rsid w:val="00BF744A"/>
    <w:rsid w:val="00BF74D0"/>
    <w:rsid w:val="00BF7585"/>
    <w:rsid w:val="00BF75F2"/>
    <w:rsid w:val="00BF7757"/>
    <w:rsid w:val="00BF79EC"/>
    <w:rsid w:val="00BF7A1B"/>
    <w:rsid w:val="00BF7BB9"/>
    <w:rsid w:val="00BF7BDE"/>
    <w:rsid w:val="00BF7D60"/>
    <w:rsid w:val="00BF7E0D"/>
    <w:rsid w:val="00BF7EFB"/>
    <w:rsid w:val="00C00094"/>
    <w:rsid w:val="00C000A0"/>
    <w:rsid w:val="00C000B4"/>
    <w:rsid w:val="00C001FA"/>
    <w:rsid w:val="00C00269"/>
    <w:rsid w:val="00C002B0"/>
    <w:rsid w:val="00C002D4"/>
    <w:rsid w:val="00C0031F"/>
    <w:rsid w:val="00C005E2"/>
    <w:rsid w:val="00C0076B"/>
    <w:rsid w:val="00C007EB"/>
    <w:rsid w:val="00C008EA"/>
    <w:rsid w:val="00C00A2A"/>
    <w:rsid w:val="00C00A31"/>
    <w:rsid w:val="00C00B1D"/>
    <w:rsid w:val="00C00BA8"/>
    <w:rsid w:val="00C00BD6"/>
    <w:rsid w:val="00C00C08"/>
    <w:rsid w:val="00C00E91"/>
    <w:rsid w:val="00C00E9D"/>
    <w:rsid w:val="00C00F4A"/>
    <w:rsid w:val="00C01044"/>
    <w:rsid w:val="00C010BB"/>
    <w:rsid w:val="00C01130"/>
    <w:rsid w:val="00C011C3"/>
    <w:rsid w:val="00C011DC"/>
    <w:rsid w:val="00C012D5"/>
    <w:rsid w:val="00C014A9"/>
    <w:rsid w:val="00C014C1"/>
    <w:rsid w:val="00C01601"/>
    <w:rsid w:val="00C017FC"/>
    <w:rsid w:val="00C01832"/>
    <w:rsid w:val="00C01950"/>
    <w:rsid w:val="00C019E8"/>
    <w:rsid w:val="00C01A28"/>
    <w:rsid w:val="00C01A99"/>
    <w:rsid w:val="00C01ADB"/>
    <w:rsid w:val="00C01D87"/>
    <w:rsid w:val="00C01DBE"/>
    <w:rsid w:val="00C01E38"/>
    <w:rsid w:val="00C01E54"/>
    <w:rsid w:val="00C01E7A"/>
    <w:rsid w:val="00C01EAB"/>
    <w:rsid w:val="00C01FA4"/>
    <w:rsid w:val="00C02114"/>
    <w:rsid w:val="00C0217D"/>
    <w:rsid w:val="00C0217E"/>
    <w:rsid w:val="00C021EB"/>
    <w:rsid w:val="00C0248C"/>
    <w:rsid w:val="00C02580"/>
    <w:rsid w:val="00C025AB"/>
    <w:rsid w:val="00C02642"/>
    <w:rsid w:val="00C0278B"/>
    <w:rsid w:val="00C029C9"/>
    <w:rsid w:val="00C02A15"/>
    <w:rsid w:val="00C02A52"/>
    <w:rsid w:val="00C02C3F"/>
    <w:rsid w:val="00C02C52"/>
    <w:rsid w:val="00C02CAC"/>
    <w:rsid w:val="00C02E0C"/>
    <w:rsid w:val="00C02E51"/>
    <w:rsid w:val="00C02EC9"/>
    <w:rsid w:val="00C02ECF"/>
    <w:rsid w:val="00C02F08"/>
    <w:rsid w:val="00C0309D"/>
    <w:rsid w:val="00C030EE"/>
    <w:rsid w:val="00C03188"/>
    <w:rsid w:val="00C031B9"/>
    <w:rsid w:val="00C0324A"/>
    <w:rsid w:val="00C032CC"/>
    <w:rsid w:val="00C03396"/>
    <w:rsid w:val="00C0339D"/>
    <w:rsid w:val="00C034BB"/>
    <w:rsid w:val="00C0350A"/>
    <w:rsid w:val="00C03575"/>
    <w:rsid w:val="00C035A5"/>
    <w:rsid w:val="00C035C0"/>
    <w:rsid w:val="00C035F4"/>
    <w:rsid w:val="00C03785"/>
    <w:rsid w:val="00C03839"/>
    <w:rsid w:val="00C03898"/>
    <w:rsid w:val="00C039BA"/>
    <w:rsid w:val="00C03AA8"/>
    <w:rsid w:val="00C03AD1"/>
    <w:rsid w:val="00C03AEB"/>
    <w:rsid w:val="00C03B11"/>
    <w:rsid w:val="00C03B7F"/>
    <w:rsid w:val="00C03B96"/>
    <w:rsid w:val="00C03BA0"/>
    <w:rsid w:val="00C03C44"/>
    <w:rsid w:val="00C03DD1"/>
    <w:rsid w:val="00C03DF1"/>
    <w:rsid w:val="00C04109"/>
    <w:rsid w:val="00C0410A"/>
    <w:rsid w:val="00C0412B"/>
    <w:rsid w:val="00C041B1"/>
    <w:rsid w:val="00C0420C"/>
    <w:rsid w:val="00C04276"/>
    <w:rsid w:val="00C04345"/>
    <w:rsid w:val="00C0436F"/>
    <w:rsid w:val="00C044BC"/>
    <w:rsid w:val="00C0462E"/>
    <w:rsid w:val="00C0467A"/>
    <w:rsid w:val="00C04767"/>
    <w:rsid w:val="00C047EE"/>
    <w:rsid w:val="00C04937"/>
    <w:rsid w:val="00C04A4A"/>
    <w:rsid w:val="00C04AF9"/>
    <w:rsid w:val="00C04C67"/>
    <w:rsid w:val="00C04D7C"/>
    <w:rsid w:val="00C04FB3"/>
    <w:rsid w:val="00C05048"/>
    <w:rsid w:val="00C050D0"/>
    <w:rsid w:val="00C051DE"/>
    <w:rsid w:val="00C052C7"/>
    <w:rsid w:val="00C052F0"/>
    <w:rsid w:val="00C0536D"/>
    <w:rsid w:val="00C054D2"/>
    <w:rsid w:val="00C0550B"/>
    <w:rsid w:val="00C0553C"/>
    <w:rsid w:val="00C055C5"/>
    <w:rsid w:val="00C0568A"/>
    <w:rsid w:val="00C056C9"/>
    <w:rsid w:val="00C056FB"/>
    <w:rsid w:val="00C05794"/>
    <w:rsid w:val="00C05973"/>
    <w:rsid w:val="00C05991"/>
    <w:rsid w:val="00C0599F"/>
    <w:rsid w:val="00C05A53"/>
    <w:rsid w:val="00C05B50"/>
    <w:rsid w:val="00C05CB3"/>
    <w:rsid w:val="00C05CCD"/>
    <w:rsid w:val="00C05D42"/>
    <w:rsid w:val="00C05D77"/>
    <w:rsid w:val="00C05DA0"/>
    <w:rsid w:val="00C05E37"/>
    <w:rsid w:val="00C0601B"/>
    <w:rsid w:val="00C0602F"/>
    <w:rsid w:val="00C06087"/>
    <w:rsid w:val="00C061BE"/>
    <w:rsid w:val="00C0622A"/>
    <w:rsid w:val="00C062BA"/>
    <w:rsid w:val="00C0634E"/>
    <w:rsid w:val="00C06350"/>
    <w:rsid w:val="00C06402"/>
    <w:rsid w:val="00C0643F"/>
    <w:rsid w:val="00C06455"/>
    <w:rsid w:val="00C064FE"/>
    <w:rsid w:val="00C0657B"/>
    <w:rsid w:val="00C06587"/>
    <w:rsid w:val="00C065D0"/>
    <w:rsid w:val="00C066F3"/>
    <w:rsid w:val="00C0674B"/>
    <w:rsid w:val="00C06781"/>
    <w:rsid w:val="00C0680E"/>
    <w:rsid w:val="00C0681F"/>
    <w:rsid w:val="00C0687D"/>
    <w:rsid w:val="00C068F5"/>
    <w:rsid w:val="00C06942"/>
    <w:rsid w:val="00C069D5"/>
    <w:rsid w:val="00C069DB"/>
    <w:rsid w:val="00C06A81"/>
    <w:rsid w:val="00C06B7C"/>
    <w:rsid w:val="00C06B8F"/>
    <w:rsid w:val="00C06C11"/>
    <w:rsid w:val="00C06EA4"/>
    <w:rsid w:val="00C06EC1"/>
    <w:rsid w:val="00C06EC8"/>
    <w:rsid w:val="00C06ED1"/>
    <w:rsid w:val="00C06F16"/>
    <w:rsid w:val="00C06F25"/>
    <w:rsid w:val="00C06F83"/>
    <w:rsid w:val="00C06FD0"/>
    <w:rsid w:val="00C07173"/>
    <w:rsid w:val="00C07175"/>
    <w:rsid w:val="00C071D3"/>
    <w:rsid w:val="00C072E7"/>
    <w:rsid w:val="00C07368"/>
    <w:rsid w:val="00C073BF"/>
    <w:rsid w:val="00C0752D"/>
    <w:rsid w:val="00C07600"/>
    <w:rsid w:val="00C0761E"/>
    <w:rsid w:val="00C076B8"/>
    <w:rsid w:val="00C076F2"/>
    <w:rsid w:val="00C07774"/>
    <w:rsid w:val="00C077C2"/>
    <w:rsid w:val="00C078F5"/>
    <w:rsid w:val="00C0791F"/>
    <w:rsid w:val="00C079D3"/>
    <w:rsid w:val="00C07A2C"/>
    <w:rsid w:val="00C07A78"/>
    <w:rsid w:val="00C07B23"/>
    <w:rsid w:val="00C07B92"/>
    <w:rsid w:val="00C07C61"/>
    <w:rsid w:val="00C07CF6"/>
    <w:rsid w:val="00C07DCC"/>
    <w:rsid w:val="00C07DF0"/>
    <w:rsid w:val="00C07E1F"/>
    <w:rsid w:val="00C07EB5"/>
    <w:rsid w:val="00C07EB8"/>
    <w:rsid w:val="00C07EBC"/>
    <w:rsid w:val="00C07EF8"/>
    <w:rsid w:val="00C07FCE"/>
    <w:rsid w:val="00C07FD7"/>
    <w:rsid w:val="00C10049"/>
    <w:rsid w:val="00C100C7"/>
    <w:rsid w:val="00C101FE"/>
    <w:rsid w:val="00C10217"/>
    <w:rsid w:val="00C1028F"/>
    <w:rsid w:val="00C1045C"/>
    <w:rsid w:val="00C10483"/>
    <w:rsid w:val="00C104B5"/>
    <w:rsid w:val="00C10793"/>
    <w:rsid w:val="00C109F7"/>
    <w:rsid w:val="00C10BAD"/>
    <w:rsid w:val="00C10C5E"/>
    <w:rsid w:val="00C10D13"/>
    <w:rsid w:val="00C10D30"/>
    <w:rsid w:val="00C10DFF"/>
    <w:rsid w:val="00C1119E"/>
    <w:rsid w:val="00C11315"/>
    <w:rsid w:val="00C11459"/>
    <w:rsid w:val="00C114D5"/>
    <w:rsid w:val="00C1159A"/>
    <w:rsid w:val="00C116EC"/>
    <w:rsid w:val="00C11747"/>
    <w:rsid w:val="00C1181F"/>
    <w:rsid w:val="00C1190B"/>
    <w:rsid w:val="00C1199B"/>
    <w:rsid w:val="00C119AE"/>
    <w:rsid w:val="00C11A0B"/>
    <w:rsid w:val="00C11A27"/>
    <w:rsid w:val="00C11B69"/>
    <w:rsid w:val="00C11B99"/>
    <w:rsid w:val="00C11CB0"/>
    <w:rsid w:val="00C11D42"/>
    <w:rsid w:val="00C11FDB"/>
    <w:rsid w:val="00C121CD"/>
    <w:rsid w:val="00C12301"/>
    <w:rsid w:val="00C12350"/>
    <w:rsid w:val="00C1239E"/>
    <w:rsid w:val="00C123BD"/>
    <w:rsid w:val="00C12496"/>
    <w:rsid w:val="00C124CC"/>
    <w:rsid w:val="00C12512"/>
    <w:rsid w:val="00C125F6"/>
    <w:rsid w:val="00C125FF"/>
    <w:rsid w:val="00C1261F"/>
    <w:rsid w:val="00C126C2"/>
    <w:rsid w:val="00C129F7"/>
    <w:rsid w:val="00C12A11"/>
    <w:rsid w:val="00C12A46"/>
    <w:rsid w:val="00C12B45"/>
    <w:rsid w:val="00C12C1D"/>
    <w:rsid w:val="00C12F6F"/>
    <w:rsid w:val="00C12FE1"/>
    <w:rsid w:val="00C130E5"/>
    <w:rsid w:val="00C130EF"/>
    <w:rsid w:val="00C131E8"/>
    <w:rsid w:val="00C13337"/>
    <w:rsid w:val="00C133A1"/>
    <w:rsid w:val="00C13441"/>
    <w:rsid w:val="00C13571"/>
    <w:rsid w:val="00C135CA"/>
    <w:rsid w:val="00C13626"/>
    <w:rsid w:val="00C137ED"/>
    <w:rsid w:val="00C13962"/>
    <w:rsid w:val="00C13A03"/>
    <w:rsid w:val="00C13DDB"/>
    <w:rsid w:val="00C13DDE"/>
    <w:rsid w:val="00C14121"/>
    <w:rsid w:val="00C14137"/>
    <w:rsid w:val="00C14160"/>
    <w:rsid w:val="00C1434E"/>
    <w:rsid w:val="00C1442C"/>
    <w:rsid w:val="00C14487"/>
    <w:rsid w:val="00C1452A"/>
    <w:rsid w:val="00C14640"/>
    <w:rsid w:val="00C146F7"/>
    <w:rsid w:val="00C148BB"/>
    <w:rsid w:val="00C14C07"/>
    <w:rsid w:val="00C14CC7"/>
    <w:rsid w:val="00C14E71"/>
    <w:rsid w:val="00C14E7A"/>
    <w:rsid w:val="00C14E80"/>
    <w:rsid w:val="00C14F66"/>
    <w:rsid w:val="00C150A5"/>
    <w:rsid w:val="00C1529C"/>
    <w:rsid w:val="00C15311"/>
    <w:rsid w:val="00C15361"/>
    <w:rsid w:val="00C15473"/>
    <w:rsid w:val="00C1549A"/>
    <w:rsid w:val="00C154F1"/>
    <w:rsid w:val="00C155C9"/>
    <w:rsid w:val="00C15701"/>
    <w:rsid w:val="00C15752"/>
    <w:rsid w:val="00C1576F"/>
    <w:rsid w:val="00C15776"/>
    <w:rsid w:val="00C159A2"/>
    <w:rsid w:val="00C159C2"/>
    <w:rsid w:val="00C159D1"/>
    <w:rsid w:val="00C159DD"/>
    <w:rsid w:val="00C15AC5"/>
    <w:rsid w:val="00C15ACD"/>
    <w:rsid w:val="00C15B5F"/>
    <w:rsid w:val="00C15B79"/>
    <w:rsid w:val="00C15C1B"/>
    <w:rsid w:val="00C15C2D"/>
    <w:rsid w:val="00C15C38"/>
    <w:rsid w:val="00C15D7D"/>
    <w:rsid w:val="00C15E91"/>
    <w:rsid w:val="00C15EAB"/>
    <w:rsid w:val="00C15FBC"/>
    <w:rsid w:val="00C1608E"/>
    <w:rsid w:val="00C160CD"/>
    <w:rsid w:val="00C16199"/>
    <w:rsid w:val="00C161A3"/>
    <w:rsid w:val="00C161A7"/>
    <w:rsid w:val="00C161DE"/>
    <w:rsid w:val="00C161FD"/>
    <w:rsid w:val="00C16396"/>
    <w:rsid w:val="00C16475"/>
    <w:rsid w:val="00C16530"/>
    <w:rsid w:val="00C165A0"/>
    <w:rsid w:val="00C165AC"/>
    <w:rsid w:val="00C165B2"/>
    <w:rsid w:val="00C165C5"/>
    <w:rsid w:val="00C165E9"/>
    <w:rsid w:val="00C165FF"/>
    <w:rsid w:val="00C16646"/>
    <w:rsid w:val="00C166A2"/>
    <w:rsid w:val="00C166CA"/>
    <w:rsid w:val="00C16810"/>
    <w:rsid w:val="00C16887"/>
    <w:rsid w:val="00C16905"/>
    <w:rsid w:val="00C1690F"/>
    <w:rsid w:val="00C16928"/>
    <w:rsid w:val="00C16DA9"/>
    <w:rsid w:val="00C16FCD"/>
    <w:rsid w:val="00C1700B"/>
    <w:rsid w:val="00C17159"/>
    <w:rsid w:val="00C17171"/>
    <w:rsid w:val="00C171BE"/>
    <w:rsid w:val="00C17517"/>
    <w:rsid w:val="00C1751E"/>
    <w:rsid w:val="00C1760B"/>
    <w:rsid w:val="00C17714"/>
    <w:rsid w:val="00C1795A"/>
    <w:rsid w:val="00C179E2"/>
    <w:rsid w:val="00C17AB3"/>
    <w:rsid w:val="00C17B8C"/>
    <w:rsid w:val="00C17BEB"/>
    <w:rsid w:val="00C17D06"/>
    <w:rsid w:val="00C17EE7"/>
    <w:rsid w:val="00C17FCE"/>
    <w:rsid w:val="00C2004B"/>
    <w:rsid w:val="00C20215"/>
    <w:rsid w:val="00C2042F"/>
    <w:rsid w:val="00C2044B"/>
    <w:rsid w:val="00C2058B"/>
    <w:rsid w:val="00C205A0"/>
    <w:rsid w:val="00C2094E"/>
    <w:rsid w:val="00C20990"/>
    <w:rsid w:val="00C20992"/>
    <w:rsid w:val="00C209C5"/>
    <w:rsid w:val="00C20AE2"/>
    <w:rsid w:val="00C20B07"/>
    <w:rsid w:val="00C20B48"/>
    <w:rsid w:val="00C20C88"/>
    <w:rsid w:val="00C20F7E"/>
    <w:rsid w:val="00C210EF"/>
    <w:rsid w:val="00C210F7"/>
    <w:rsid w:val="00C21117"/>
    <w:rsid w:val="00C21244"/>
    <w:rsid w:val="00C2136F"/>
    <w:rsid w:val="00C213BD"/>
    <w:rsid w:val="00C21519"/>
    <w:rsid w:val="00C21944"/>
    <w:rsid w:val="00C219EF"/>
    <w:rsid w:val="00C21A95"/>
    <w:rsid w:val="00C21B3E"/>
    <w:rsid w:val="00C21B55"/>
    <w:rsid w:val="00C21BC9"/>
    <w:rsid w:val="00C21C58"/>
    <w:rsid w:val="00C21C6F"/>
    <w:rsid w:val="00C21D1C"/>
    <w:rsid w:val="00C21DBA"/>
    <w:rsid w:val="00C21E7C"/>
    <w:rsid w:val="00C21F51"/>
    <w:rsid w:val="00C21FB3"/>
    <w:rsid w:val="00C22044"/>
    <w:rsid w:val="00C2211F"/>
    <w:rsid w:val="00C2228C"/>
    <w:rsid w:val="00C222ED"/>
    <w:rsid w:val="00C222F1"/>
    <w:rsid w:val="00C2243D"/>
    <w:rsid w:val="00C22818"/>
    <w:rsid w:val="00C228F0"/>
    <w:rsid w:val="00C22958"/>
    <w:rsid w:val="00C22989"/>
    <w:rsid w:val="00C22992"/>
    <w:rsid w:val="00C22AC6"/>
    <w:rsid w:val="00C22C28"/>
    <w:rsid w:val="00C22C87"/>
    <w:rsid w:val="00C22D2C"/>
    <w:rsid w:val="00C22DBF"/>
    <w:rsid w:val="00C22E7E"/>
    <w:rsid w:val="00C22ECC"/>
    <w:rsid w:val="00C22ED0"/>
    <w:rsid w:val="00C22F04"/>
    <w:rsid w:val="00C22F60"/>
    <w:rsid w:val="00C23026"/>
    <w:rsid w:val="00C232DC"/>
    <w:rsid w:val="00C23357"/>
    <w:rsid w:val="00C23506"/>
    <w:rsid w:val="00C23589"/>
    <w:rsid w:val="00C235D4"/>
    <w:rsid w:val="00C2361D"/>
    <w:rsid w:val="00C2369D"/>
    <w:rsid w:val="00C236A0"/>
    <w:rsid w:val="00C236DC"/>
    <w:rsid w:val="00C237D2"/>
    <w:rsid w:val="00C2380E"/>
    <w:rsid w:val="00C2385E"/>
    <w:rsid w:val="00C238C8"/>
    <w:rsid w:val="00C2397A"/>
    <w:rsid w:val="00C23AA1"/>
    <w:rsid w:val="00C23AC8"/>
    <w:rsid w:val="00C23B39"/>
    <w:rsid w:val="00C23D90"/>
    <w:rsid w:val="00C23E3C"/>
    <w:rsid w:val="00C23E50"/>
    <w:rsid w:val="00C23EB9"/>
    <w:rsid w:val="00C23F22"/>
    <w:rsid w:val="00C240FE"/>
    <w:rsid w:val="00C2410B"/>
    <w:rsid w:val="00C241C0"/>
    <w:rsid w:val="00C242E1"/>
    <w:rsid w:val="00C243B7"/>
    <w:rsid w:val="00C24401"/>
    <w:rsid w:val="00C24733"/>
    <w:rsid w:val="00C2477A"/>
    <w:rsid w:val="00C249E7"/>
    <w:rsid w:val="00C249ED"/>
    <w:rsid w:val="00C24B53"/>
    <w:rsid w:val="00C24B7D"/>
    <w:rsid w:val="00C24C78"/>
    <w:rsid w:val="00C24D90"/>
    <w:rsid w:val="00C24EEB"/>
    <w:rsid w:val="00C24EFE"/>
    <w:rsid w:val="00C24FB1"/>
    <w:rsid w:val="00C25112"/>
    <w:rsid w:val="00C2525F"/>
    <w:rsid w:val="00C25276"/>
    <w:rsid w:val="00C25287"/>
    <w:rsid w:val="00C254D9"/>
    <w:rsid w:val="00C25522"/>
    <w:rsid w:val="00C2552B"/>
    <w:rsid w:val="00C25565"/>
    <w:rsid w:val="00C257D7"/>
    <w:rsid w:val="00C258FC"/>
    <w:rsid w:val="00C25A3D"/>
    <w:rsid w:val="00C25BA1"/>
    <w:rsid w:val="00C25CBA"/>
    <w:rsid w:val="00C25CC5"/>
    <w:rsid w:val="00C25D59"/>
    <w:rsid w:val="00C25DB1"/>
    <w:rsid w:val="00C25F7F"/>
    <w:rsid w:val="00C26055"/>
    <w:rsid w:val="00C26239"/>
    <w:rsid w:val="00C26319"/>
    <w:rsid w:val="00C26421"/>
    <w:rsid w:val="00C26469"/>
    <w:rsid w:val="00C26547"/>
    <w:rsid w:val="00C26592"/>
    <w:rsid w:val="00C2673A"/>
    <w:rsid w:val="00C26854"/>
    <w:rsid w:val="00C26862"/>
    <w:rsid w:val="00C26889"/>
    <w:rsid w:val="00C268E5"/>
    <w:rsid w:val="00C268FC"/>
    <w:rsid w:val="00C26957"/>
    <w:rsid w:val="00C269BC"/>
    <w:rsid w:val="00C26A18"/>
    <w:rsid w:val="00C26B23"/>
    <w:rsid w:val="00C26B9B"/>
    <w:rsid w:val="00C26BAC"/>
    <w:rsid w:val="00C26C67"/>
    <w:rsid w:val="00C26D3E"/>
    <w:rsid w:val="00C26ED0"/>
    <w:rsid w:val="00C26FB0"/>
    <w:rsid w:val="00C26FD5"/>
    <w:rsid w:val="00C27044"/>
    <w:rsid w:val="00C27113"/>
    <w:rsid w:val="00C27177"/>
    <w:rsid w:val="00C272BC"/>
    <w:rsid w:val="00C27316"/>
    <w:rsid w:val="00C27366"/>
    <w:rsid w:val="00C274E3"/>
    <w:rsid w:val="00C274EB"/>
    <w:rsid w:val="00C2759C"/>
    <w:rsid w:val="00C275A2"/>
    <w:rsid w:val="00C27701"/>
    <w:rsid w:val="00C27777"/>
    <w:rsid w:val="00C278A8"/>
    <w:rsid w:val="00C279ED"/>
    <w:rsid w:val="00C27A86"/>
    <w:rsid w:val="00C27B4F"/>
    <w:rsid w:val="00C27C33"/>
    <w:rsid w:val="00C27C45"/>
    <w:rsid w:val="00C27CFB"/>
    <w:rsid w:val="00C301C3"/>
    <w:rsid w:val="00C30276"/>
    <w:rsid w:val="00C30296"/>
    <w:rsid w:val="00C30426"/>
    <w:rsid w:val="00C30433"/>
    <w:rsid w:val="00C304BF"/>
    <w:rsid w:val="00C30501"/>
    <w:rsid w:val="00C30511"/>
    <w:rsid w:val="00C3070D"/>
    <w:rsid w:val="00C30711"/>
    <w:rsid w:val="00C30712"/>
    <w:rsid w:val="00C30867"/>
    <w:rsid w:val="00C3094A"/>
    <w:rsid w:val="00C30950"/>
    <w:rsid w:val="00C30B91"/>
    <w:rsid w:val="00C30C21"/>
    <w:rsid w:val="00C30CF1"/>
    <w:rsid w:val="00C30DE4"/>
    <w:rsid w:val="00C31050"/>
    <w:rsid w:val="00C31106"/>
    <w:rsid w:val="00C3114D"/>
    <w:rsid w:val="00C31197"/>
    <w:rsid w:val="00C311F7"/>
    <w:rsid w:val="00C313F5"/>
    <w:rsid w:val="00C3141E"/>
    <w:rsid w:val="00C31462"/>
    <w:rsid w:val="00C31482"/>
    <w:rsid w:val="00C314A7"/>
    <w:rsid w:val="00C31575"/>
    <w:rsid w:val="00C3159C"/>
    <w:rsid w:val="00C315A2"/>
    <w:rsid w:val="00C315C9"/>
    <w:rsid w:val="00C316BD"/>
    <w:rsid w:val="00C31861"/>
    <w:rsid w:val="00C31890"/>
    <w:rsid w:val="00C318C6"/>
    <w:rsid w:val="00C319CD"/>
    <w:rsid w:val="00C31AE6"/>
    <w:rsid w:val="00C31B39"/>
    <w:rsid w:val="00C31C51"/>
    <w:rsid w:val="00C31D14"/>
    <w:rsid w:val="00C31E9D"/>
    <w:rsid w:val="00C3200F"/>
    <w:rsid w:val="00C320BF"/>
    <w:rsid w:val="00C32136"/>
    <w:rsid w:val="00C321F2"/>
    <w:rsid w:val="00C32223"/>
    <w:rsid w:val="00C32387"/>
    <w:rsid w:val="00C325C2"/>
    <w:rsid w:val="00C32616"/>
    <w:rsid w:val="00C32691"/>
    <w:rsid w:val="00C327EF"/>
    <w:rsid w:val="00C32800"/>
    <w:rsid w:val="00C32857"/>
    <w:rsid w:val="00C32936"/>
    <w:rsid w:val="00C329D9"/>
    <w:rsid w:val="00C32A22"/>
    <w:rsid w:val="00C32A93"/>
    <w:rsid w:val="00C32B49"/>
    <w:rsid w:val="00C32CE2"/>
    <w:rsid w:val="00C32D4B"/>
    <w:rsid w:val="00C32E19"/>
    <w:rsid w:val="00C32E24"/>
    <w:rsid w:val="00C32F6F"/>
    <w:rsid w:val="00C32FC2"/>
    <w:rsid w:val="00C3307D"/>
    <w:rsid w:val="00C330D3"/>
    <w:rsid w:val="00C330EA"/>
    <w:rsid w:val="00C3323C"/>
    <w:rsid w:val="00C33504"/>
    <w:rsid w:val="00C3357A"/>
    <w:rsid w:val="00C335DE"/>
    <w:rsid w:val="00C336FB"/>
    <w:rsid w:val="00C33739"/>
    <w:rsid w:val="00C337B6"/>
    <w:rsid w:val="00C33937"/>
    <w:rsid w:val="00C33B9B"/>
    <w:rsid w:val="00C33BF3"/>
    <w:rsid w:val="00C33BF6"/>
    <w:rsid w:val="00C33CFF"/>
    <w:rsid w:val="00C33D6A"/>
    <w:rsid w:val="00C33DD8"/>
    <w:rsid w:val="00C33E0A"/>
    <w:rsid w:val="00C33E27"/>
    <w:rsid w:val="00C33E90"/>
    <w:rsid w:val="00C33EF7"/>
    <w:rsid w:val="00C34089"/>
    <w:rsid w:val="00C341B1"/>
    <w:rsid w:val="00C34221"/>
    <w:rsid w:val="00C34271"/>
    <w:rsid w:val="00C34395"/>
    <w:rsid w:val="00C343E5"/>
    <w:rsid w:val="00C34499"/>
    <w:rsid w:val="00C344BA"/>
    <w:rsid w:val="00C344F2"/>
    <w:rsid w:val="00C3450C"/>
    <w:rsid w:val="00C34625"/>
    <w:rsid w:val="00C34653"/>
    <w:rsid w:val="00C346CA"/>
    <w:rsid w:val="00C347CE"/>
    <w:rsid w:val="00C34803"/>
    <w:rsid w:val="00C3481B"/>
    <w:rsid w:val="00C3490C"/>
    <w:rsid w:val="00C34919"/>
    <w:rsid w:val="00C349EA"/>
    <w:rsid w:val="00C34AFC"/>
    <w:rsid w:val="00C34C14"/>
    <w:rsid w:val="00C34C53"/>
    <w:rsid w:val="00C34C75"/>
    <w:rsid w:val="00C34E06"/>
    <w:rsid w:val="00C350ED"/>
    <w:rsid w:val="00C35113"/>
    <w:rsid w:val="00C35288"/>
    <w:rsid w:val="00C35292"/>
    <w:rsid w:val="00C3529A"/>
    <w:rsid w:val="00C352A5"/>
    <w:rsid w:val="00C352C7"/>
    <w:rsid w:val="00C352F4"/>
    <w:rsid w:val="00C3549B"/>
    <w:rsid w:val="00C354C4"/>
    <w:rsid w:val="00C355B0"/>
    <w:rsid w:val="00C355BE"/>
    <w:rsid w:val="00C356A8"/>
    <w:rsid w:val="00C35993"/>
    <w:rsid w:val="00C35AE0"/>
    <w:rsid w:val="00C35B04"/>
    <w:rsid w:val="00C35B2B"/>
    <w:rsid w:val="00C35BAA"/>
    <w:rsid w:val="00C35BFA"/>
    <w:rsid w:val="00C35CA3"/>
    <w:rsid w:val="00C35FE2"/>
    <w:rsid w:val="00C36079"/>
    <w:rsid w:val="00C361CC"/>
    <w:rsid w:val="00C36448"/>
    <w:rsid w:val="00C36578"/>
    <w:rsid w:val="00C3666D"/>
    <w:rsid w:val="00C3667C"/>
    <w:rsid w:val="00C366E5"/>
    <w:rsid w:val="00C36749"/>
    <w:rsid w:val="00C367BC"/>
    <w:rsid w:val="00C36833"/>
    <w:rsid w:val="00C36B8D"/>
    <w:rsid w:val="00C36BC4"/>
    <w:rsid w:val="00C36C83"/>
    <w:rsid w:val="00C36CF4"/>
    <w:rsid w:val="00C36D2D"/>
    <w:rsid w:val="00C36DDD"/>
    <w:rsid w:val="00C36F26"/>
    <w:rsid w:val="00C3709A"/>
    <w:rsid w:val="00C3713C"/>
    <w:rsid w:val="00C371D6"/>
    <w:rsid w:val="00C37212"/>
    <w:rsid w:val="00C37217"/>
    <w:rsid w:val="00C37291"/>
    <w:rsid w:val="00C37343"/>
    <w:rsid w:val="00C37417"/>
    <w:rsid w:val="00C37452"/>
    <w:rsid w:val="00C375D7"/>
    <w:rsid w:val="00C377AA"/>
    <w:rsid w:val="00C37858"/>
    <w:rsid w:val="00C37A6D"/>
    <w:rsid w:val="00C37A9C"/>
    <w:rsid w:val="00C37AB5"/>
    <w:rsid w:val="00C37B4F"/>
    <w:rsid w:val="00C37B75"/>
    <w:rsid w:val="00C37E73"/>
    <w:rsid w:val="00C37FD2"/>
    <w:rsid w:val="00C4004E"/>
    <w:rsid w:val="00C401A3"/>
    <w:rsid w:val="00C40251"/>
    <w:rsid w:val="00C40299"/>
    <w:rsid w:val="00C4034F"/>
    <w:rsid w:val="00C4038A"/>
    <w:rsid w:val="00C4043E"/>
    <w:rsid w:val="00C404A2"/>
    <w:rsid w:val="00C40527"/>
    <w:rsid w:val="00C40692"/>
    <w:rsid w:val="00C407CE"/>
    <w:rsid w:val="00C408B1"/>
    <w:rsid w:val="00C408B7"/>
    <w:rsid w:val="00C40954"/>
    <w:rsid w:val="00C40A28"/>
    <w:rsid w:val="00C40AF0"/>
    <w:rsid w:val="00C40C1F"/>
    <w:rsid w:val="00C40C61"/>
    <w:rsid w:val="00C40CCC"/>
    <w:rsid w:val="00C40CCD"/>
    <w:rsid w:val="00C40E1D"/>
    <w:rsid w:val="00C40EAD"/>
    <w:rsid w:val="00C40EE5"/>
    <w:rsid w:val="00C40FBB"/>
    <w:rsid w:val="00C41127"/>
    <w:rsid w:val="00C411A3"/>
    <w:rsid w:val="00C4126D"/>
    <w:rsid w:val="00C41415"/>
    <w:rsid w:val="00C414C2"/>
    <w:rsid w:val="00C41508"/>
    <w:rsid w:val="00C41596"/>
    <w:rsid w:val="00C4159A"/>
    <w:rsid w:val="00C415C9"/>
    <w:rsid w:val="00C41ABF"/>
    <w:rsid w:val="00C41CBD"/>
    <w:rsid w:val="00C41DBD"/>
    <w:rsid w:val="00C41E46"/>
    <w:rsid w:val="00C41E52"/>
    <w:rsid w:val="00C41FEF"/>
    <w:rsid w:val="00C41FF3"/>
    <w:rsid w:val="00C420CB"/>
    <w:rsid w:val="00C420F9"/>
    <w:rsid w:val="00C42102"/>
    <w:rsid w:val="00C4215E"/>
    <w:rsid w:val="00C42241"/>
    <w:rsid w:val="00C42294"/>
    <w:rsid w:val="00C4269D"/>
    <w:rsid w:val="00C426E2"/>
    <w:rsid w:val="00C426E8"/>
    <w:rsid w:val="00C426ED"/>
    <w:rsid w:val="00C42958"/>
    <w:rsid w:val="00C429BE"/>
    <w:rsid w:val="00C42A49"/>
    <w:rsid w:val="00C42A90"/>
    <w:rsid w:val="00C42ADF"/>
    <w:rsid w:val="00C42AF8"/>
    <w:rsid w:val="00C42B5B"/>
    <w:rsid w:val="00C42C4A"/>
    <w:rsid w:val="00C42D65"/>
    <w:rsid w:val="00C42D69"/>
    <w:rsid w:val="00C42DEC"/>
    <w:rsid w:val="00C42E38"/>
    <w:rsid w:val="00C42E77"/>
    <w:rsid w:val="00C42E7B"/>
    <w:rsid w:val="00C43020"/>
    <w:rsid w:val="00C430C1"/>
    <w:rsid w:val="00C4311E"/>
    <w:rsid w:val="00C43192"/>
    <w:rsid w:val="00C432CC"/>
    <w:rsid w:val="00C4338F"/>
    <w:rsid w:val="00C4342E"/>
    <w:rsid w:val="00C4348D"/>
    <w:rsid w:val="00C435D8"/>
    <w:rsid w:val="00C43603"/>
    <w:rsid w:val="00C43631"/>
    <w:rsid w:val="00C436A7"/>
    <w:rsid w:val="00C437E0"/>
    <w:rsid w:val="00C43833"/>
    <w:rsid w:val="00C43896"/>
    <w:rsid w:val="00C439E5"/>
    <w:rsid w:val="00C439F3"/>
    <w:rsid w:val="00C43A38"/>
    <w:rsid w:val="00C43ACE"/>
    <w:rsid w:val="00C43B41"/>
    <w:rsid w:val="00C43B55"/>
    <w:rsid w:val="00C43BC7"/>
    <w:rsid w:val="00C43C69"/>
    <w:rsid w:val="00C43DB1"/>
    <w:rsid w:val="00C43DC8"/>
    <w:rsid w:val="00C43F36"/>
    <w:rsid w:val="00C43FE7"/>
    <w:rsid w:val="00C440C7"/>
    <w:rsid w:val="00C440EC"/>
    <w:rsid w:val="00C44301"/>
    <w:rsid w:val="00C44411"/>
    <w:rsid w:val="00C44582"/>
    <w:rsid w:val="00C445C0"/>
    <w:rsid w:val="00C44604"/>
    <w:rsid w:val="00C44692"/>
    <w:rsid w:val="00C448D9"/>
    <w:rsid w:val="00C448EB"/>
    <w:rsid w:val="00C4495F"/>
    <w:rsid w:val="00C44977"/>
    <w:rsid w:val="00C44AC2"/>
    <w:rsid w:val="00C44BAF"/>
    <w:rsid w:val="00C44BE2"/>
    <w:rsid w:val="00C44D30"/>
    <w:rsid w:val="00C44DA5"/>
    <w:rsid w:val="00C44E4B"/>
    <w:rsid w:val="00C44E60"/>
    <w:rsid w:val="00C45051"/>
    <w:rsid w:val="00C450E9"/>
    <w:rsid w:val="00C4519B"/>
    <w:rsid w:val="00C4529C"/>
    <w:rsid w:val="00C452C5"/>
    <w:rsid w:val="00C45367"/>
    <w:rsid w:val="00C45438"/>
    <w:rsid w:val="00C454C7"/>
    <w:rsid w:val="00C45523"/>
    <w:rsid w:val="00C4593B"/>
    <w:rsid w:val="00C45A07"/>
    <w:rsid w:val="00C45B89"/>
    <w:rsid w:val="00C45B93"/>
    <w:rsid w:val="00C45BD3"/>
    <w:rsid w:val="00C45C4F"/>
    <w:rsid w:val="00C45CED"/>
    <w:rsid w:val="00C45D53"/>
    <w:rsid w:val="00C45E1F"/>
    <w:rsid w:val="00C45E59"/>
    <w:rsid w:val="00C45EF1"/>
    <w:rsid w:val="00C45F2E"/>
    <w:rsid w:val="00C46007"/>
    <w:rsid w:val="00C46010"/>
    <w:rsid w:val="00C460A9"/>
    <w:rsid w:val="00C461DD"/>
    <w:rsid w:val="00C461F4"/>
    <w:rsid w:val="00C462A6"/>
    <w:rsid w:val="00C462EF"/>
    <w:rsid w:val="00C46499"/>
    <w:rsid w:val="00C464AB"/>
    <w:rsid w:val="00C4656F"/>
    <w:rsid w:val="00C46579"/>
    <w:rsid w:val="00C465E3"/>
    <w:rsid w:val="00C46680"/>
    <w:rsid w:val="00C467E9"/>
    <w:rsid w:val="00C468A1"/>
    <w:rsid w:val="00C46A20"/>
    <w:rsid w:val="00C46A83"/>
    <w:rsid w:val="00C46B68"/>
    <w:rsid w:val="00C46BEE"/>
    <w:rsid w:val="00C46C66"/>
    <w:rsid w:val="00C46D5A"/>
    <w:rsid w:val="00C46DE3"/>
    <w:rsid w:val="00C46EA9"/>
    <w:rsid w:val="00C46EBF"/>
    <w:rsid w:val="00C46ECC"/>
    <w:rsid w:val="00C46EE3"/>
    <w:rsid w:val="00C46F8C"/>
    <w:rsid w:val="00C47319"/>
    <w:rsid w:val="00C47352"/>
    <w:rsid w:val="00C47464"/>
    <w:rsid w:val="00C474E9"/>
    <w:rsid w:val="00C47626"/>
    <w:rsid w:val="00C4762C"/>
    <w:rsid w:val="00C47670"/>
    <w:rsid w:val="00C476AE"/>
    <w:rsid w:val="00C477B8"/>
    <w:rsid w:val="00C47802"/>
    <w:rsid w:val="00C478FC"/>
    <w:rsid w:val="00C47B0F"/>
    <w:rsid w:val="00C47B8B"/>
    <w:rsid w:val="00C47C6C"/>
    <w:rsid w:val="00C47CD8"/>
    <w:rsid w:val="00C47D10"/>
    <w:rsid w:val="00C47D59"/>
    <w:rsid w:val="00C47E27"/>
    <w:rsid w:val="00C50084"/>
    <w:rsid w:val="00C5009A"/>
    <w:rsid w:val="00C5010A"/>
    <w:rsid w:val="00C5021C"/>
    <w:rsid w:val="00C502B4"/>
    <w:rsid w:val="00C50366"/>
    <w:rsid w:val="00C50375"/>
    <w:rsid w:val="00C503AE"/>
    <w:rsid w:val="00C5050E"/>
    <w:rsid w:val="00C505D1"/>
    <w:rsid w:val="00C506E6"/>
    <w:rsid w:val="00C507C9"/>
    <w:rsid w:val="00C5093C"/>
    <w:rsid w:val="00C50ADD"/>
    <w:rsid w:val="00C50AF9"/>
    <w:rsid w:val="00C50D8E"/>
    <w:rsid w:val="00C50DD1"/>
    <w:rsid w:val="00C50DDA"/>
    <w:rsid w:val="00C50E9D"/>
    <w:rsid w:val="00C50EB1"/>
    <w:rsid w:val="00C50F70"/>
    <w:rsid w:val="00C50FD0"/>
    <w:rsid w:val="00C511D0"/>
    <w:rsid w:val="00C511EC"/>
    <w:rsid w:val="00C511F8"/>
    <w:rsid w:val="00C51247"/>
    <w:rsid w:val="00C512BA"/>
    <w:rsid w:val="00C512E6"/>
    <w:rsid w:val="00C51307"/>
    <w:rsid w:val="00C5133D"/>
    <w:rsid w:val="00C51340"/>
    <w:rsid w:val="00C513CB"/>
    <w:rsid w:val="00C51467"/>
    <w:rsid w:val="00C51526"/>
    <w:rsid w:val="00C51529"/>
    <w:rsid w:val="00C51765"/>
    <w:rsid w:val="00C51807"/>
    <w:rsid w:val="00C51815"/>
    <w:rsid w:val="00C518B7"/>
    <w:rsid w:val="00C518CF"/>
    <w:rsid w:val="00C51982"/>
    <w:rsid w:val="00C51A01"/>
    <w:rsid w:val="00C51A07"/>
    <w:rsid w:val="00C51A89"/>
    <w:rsid w:val="00C51C44"/>
    <w:rsid w:val="00C51C7D"/>
    <w:rsid w:val="00C51D17"/>
    <w:rsid w:val="00C51D1B"/>
    <w:rsid w:val="00C51D7F"/>
    <w:rsid w:val="00C51F8C"/>
    <w:rsid w:val="00C51FBB"/>
    <w:rsid w:val="00C520AC"/>
    <w:rsid w:val="00C520F1"/>
    <w:rsid w:val="00C52121"/>
    <w:rsid w:val="00C52191"/>
    <w:rsid w:val="00C5225D"/>
    <w:rsid w:val="00C523DD"/>
    <w:rsid w:val="00C52408"/>
    <w:rsid w:val="00C52476"/>
    <w:rsid w:val="00C52581"/>
    <w:rsid w:val="00C525F8"/>
    <w:rsid w:val="00C5271A"/>
    <w:rsid w:val="00C52724"/>
    <w:rsid w:val="00C52752"/>
    <w:rsid w:val="00C527A0"/>
    <w:rsid w:val="00C527FA"/>
    <w:rsid w:val="00C528D5"/>
    <w:rsid w:val="00C52921"/>
    <w:rsid w:val="00C5297F"/>
    <w:rsid w:val="00C52989"/>
    <w:rsid w:val="00C529E6"/>
    <w:rsid w:val="00C52A19"/>
    <w:rsid w:val="00C52ABF"/>
    <w:rsid w:val="00C52B46"/>
    <w:rsid w:val="00C52D9A"/>
    <w:rsid w:val="00C52DBD"/>
    <w:rsid w:val="00C52F74"/>
    <w:rsid w:val="00C52F9F"/>
    <w:rsid w:val="00C52FD0"/>
    <w:rsid w:val="00C5309D"/>
    <w:rsid w:val="00C530D1"/>
    <w:rsid w:val="00C5318C"/>
    <w:rsid w:val="00C532A8"/>
    <w:rsid w:val="00C53332"/>
    <w:rsid w:val="00C53411"/>
    <w:rsid w:val="00C53475"/>
    <w:rsid w:val="00C53510"/>
    <w:rsid w:val="00C53544"/>
    <w:rsid w:val="00C535B8"/>
    <w:rsid w:val="00C535F2"/>
    <w:rsid w:val="00C5379F"/>
    <w:rsid w:val="00C537E2"/>
    <w:rsid w:val="00C53806"/>
    <w:rsid w:val="00C538B2"/>
    <w:rsid w:val="00C538CD"/>
    <w:rsid w:val="00C539AB"/>
    <w:rsid w:val="00C53A5F"/>
    <w:rsid w:val="00C53B26"/>
    <w:rsid w:val="00C53B95"/>
    <w:rsid w:val="00C53CDD"/>
    <w:rsid w:val="00C53DA4"/>
    <w:rsid w:val="00C53E33"/>
    <w:rsid w:val="00C53FD1"/>
    <w:rsid w:val="00C54038"/>
    <w:rsid w:val="00C54071"/>
    <w:rsid w:val="00C54199"/>
    <w:rsid w:val="00C54215"/>
    <w:rsid w:val="00C543D2"/>
    <w:rsid w:val="00C54494"/>
    <w:rsid w:val="00C544E8"/>
    <w:rsid w:val="00C54575"/>
    <w:rsid w:val="00C545D9"/>
    <w:rsid w:val="00C545E5"/>
    <w:rsid w:val="00C545F3"/>
    <w:rsid w:val="00C5462F"/>
    <w:rsid w:val="00C54733"/>
    <w:rsid w:val="00C549A7"/>
    <w:rsid w:val="00C54A76"/>
    <w:rsid w:val="00C54BA8"/>
    <w:rsid w:val="00C54CC1"/>
    <w:rsid w:val="00C54D9B"/>
    <w:rsid w:val="00C54E40"/>
    <w:rsid w:val="00C54F29"/>
    <w:rsid w:val="00C54F45"/>
    <w:rsid w:val="00C54F5F"/>
    <w:rsid w:val="00C5519E"/>
    <w:rsid w:val="00C551DC"/>
    <w:rsid w:val="00C551F8"/>
    <w:rsid w:val="00C55320"/>
    <w:rsid w:val="00C554A8"/>
    <w:rsid w:val="00C554B4"/>
    <w:rsid w:val="00C555B8"/>
    <w:rsid w:val="00C55661"/>
    <w:rsid w:val="00C556AE"/>
    <w:rsid w:val="00C55731"/>
    <w:rsid w:val="00C55734"/>
    <w:rsid w:val="00C55859"/>
    <w:rsid w:val="00C55A24"/>
    <w:rsid w:val="00C55C2E"/>
    <w:rsid w:val="00C55C4A"/>
    <w:rsid w:val="00C55C57"/>
    <w:rsid w:val="00C55C5E"/>
    <w:rsid w:val="00C55D90"/>
    <w:rsid w:val="00C55D93"/>
    <w:rsid w:val="00C55E14"/>
    <w:rsid w:val="00C55EF5"/>
    <w:rsid w:val="00C55EF8"/>
    <w:rsid w:val="00C5602B"/>
    <w:rsid w:val="00C5619D"/>
    <w:rsid w:val="00C561D8"/>
    <w:rsid w:val="00C562EB"/>
    <w:rsid w:val="00C5642D"/>
    <w:rsid w:val="00C5653A"/>
    <w:rsid w:val="00C5664B"/>
    <w:rsid w:val="00C56710"/>
    <w:rsid w:val="00C56730"/>
    <w:rsid w:val="00C56747"/>
    <w:rsid w:val="00C568BD"/>
    <w:rsid w:val="00C5692D"/>
    <w:rsid w:val="00C56AE5"/>
    <w:rsid w:val="00C56B58"/>
    <w:rsid w:val="00C56D90"/>
    <w:rsid w:val="00C56E0D"/>
    <w:rsid w:val="00C56E2A"/>
    <w:rsid w:val="00C56EC1"/>
    <w:rsid w:val="00C57093"/>
    <w:rsid w:val="00C57200"/>
    <w:rsid w:val="00C57282"/>
    <w:rsid w:val="00C57296"/>
    <w:rsid w:val="00C572B3"/>
    <w:rsid w:val="00C57484"/>
    <w:rsid w:val="00C576E8"/>
    <w:rsid w:val="00C57708"/>
    <w:rsid w:val="00C57799"/>
    <w:rsid w:val="00C577D8"/>
    <w:rsid w:val="00C579D2"/>
    <w:rsid w:val="00C57B7D"/>
    <w:rsid w:val="00C57C00"/>
    <w:rsid w:val="00C57CE6"/>
    <w:rsid w:val="00C57D2B"/>
    <w:rsid w:val="00C57D5B"/>
    <w:rsid w:val="00C57DFD"/>
    <w:rsid w:val="00C57E72"/>
    <w:rsid w:val="00C600BB"/>
    <w:rsid w:val="00C60104"/>
    <w:rsid w:val="00C601D6"/>
    <w:rsid w:val="00C6024C"/>
    <w:rsid w:val="00C60264"/>
    <w:rsid w:val="00C602A4"/>
    <w:rsid w:val="00C60322"/>
    <w:rsid w:val="00C60356"/>
    <w:rsid w:val="00C6045F"/>
    <w:rsid w:val="00C604AC"/>
    <w:rsid w:val="00C604B1"/>
    <w:rsid w:val="00C60744"/>
    <w:rsid w:val="00C6081C"/>
    <w:rsid w:val="00C60A06"/>
    <w:rsid w:val="00C60B9F"/>
    <w:rsid w:val="00C60CA4"/>
    <w:rsid w:val="00C60D36"/>
    <w:rsid w:val="00C60DA0"/>
    <w:rsid w:val="00C60DC6"/>
    <w:rsid w:val="00C60DF4"/>
    <w:rsid w:val="00C60E3F"/>
    <w:rsid w:val="00C60E43"/>
    <w:rsid w:val="00C60F72"/>
    <w:rsid w:val="00C61080"/>
    <w:rsid w:val="00C610C8"/>
    <w:rsid w:val="00C6122D"/>
    <w:rsid w:val="00C61251"/>
    <w:rsid w:val="00C61329"/>
    <w:rsid w:val="00C614C9"/>
    <w:rsid w:val="00C61652"/>
    <w:rsid w:val="00C6190C"/>
    <w:rsid w:val="00C6195D"/>
    <w:rsid w:val="00C61A7A"/>
    <w:rsid w:val="00C61B1A"/>
    <w:rsid w:val="00C61B1C"/>
    <w:rsid w:val="00C61B33"/>
    <w:rsid w:val="00C61B45"/>
    <w:rsid w:val="00C61B4D"/>
    <w:rsid w:val="00C61C8D"/>
    <w:rsid w:val="00C61CC2"/>
    <w:rsid w:val="00C61EFA"/>
    <w:rsid w:val="00C61F2A"/>
    <w:rsid w:val="00C620AA"/>
    <w:rsid w:val="00C620BA"/>
    <w:rsid w:val="00C6221E"/>
    <w:rsid w:val="00C622B1"/>
    <w:rsid w:val="00C622B2"/>
    <w:rsid w:val="00C622BE"/>
    <w:rsid w:val="00C62326"/>
    <w:rsid w:val="00C62436"/>
    <w:rsid w:val="00C62466"/>
    <w:rsid w:val="00C624B0"/>
    <w:rsid w:val="00C625E1"/>
    <w:rsid w:val="00C62668"/>
    <w:rsid w:val="00C626C7"/>
    <w:rsid w:val="00C62815"/>
    <w:rsid w:val="00C62908"/>
    <w:rsid w:val="00C62A5A"/>
    <w:rsid w:val="00C62B62"/>
    <w:rsid w:val="00C62B95"/>
    <w:rsid w:val="00C62D2A"/>
    <w:rsid w:val="00C62DFF"/>
    <w:rsid w:val="00C62E6F"/>
    <w:rsid w:val="00C62F4D"/>
    <w:rsid w:val="00C62F7E"/>
    <w:rsid w:val="00C630B5"/>
    <w:rsid w:val="00C63472"/>
    <w:rsid w:val="00C63548"/>
    <w:rsid w:val="00C63574"/>
    <w:rsid w:val="00C63583"/>
    <w:rsid w:val="00C636A5"/>
    <w:rsid w:val="00C636AE"/>
    <w:rsid w:val="00C636D1"/>
    <w:rsid w:val="00C636F3"/>
    <w:rsid w:val="00C6376B"/>
    <w:rsid w:val="00C637CA"/>
    <w:rsid w:val="00C6381A"/>
    <w:rsid w:val="00C63A20"/>
    <w:rsid w:val="00C63AD2"/>
    <w:rsid w:val="00C63B01"/>
    <w:rsid w:val="00C63B47"/>
    <w:rsid w:val="00C63B83"/>
    <w:rsid w:val="00C63BA7"/>
    <w:rsid w:val="00C63BD7"/>
    <w:rsid w:val="00C63C3B"/>
    <w:rsid w:val="00C63D0B"/>
    <w:rsid w:val="00C63D5B"/>
    <w:rsid w:val="00C63E19"/>
    <w:rsid w:val="00C63E3C"/>
    <w:rsid w:val="00C63E52"/>
    <w:rsid w:val="00C63FBA"/>
    <w:rsid w:val="00C63FF9"/>
    <w:rsid w:val="00C640BE"/>
    <w:rsid w:val="00C640E6"/>
    <w:rsid w:val="00C6424D"/>
    <w:rsid w:val="00C64382"/>
    <w:rsid w:val="00C643CA"/>
    <w:rsid w:val="00C64447"/>
    <w:rsid w:val="00C644FE"/>
    <w:rsid w:val="00C6452D"/>
    <w:rsid w:val="00C645CC"/>
    <w:rsid w:val="00C6461A"/>
    <w:rsid w:val="00C6469A"/>
    <w:rsid w:val="00C6470D"/>
    <w:rsid w:val="00C6474C"/>
    <w:rsid w:val="00C64811"/>
    <w:rsid w:val="00C64889"/>
    <w:rsid w:val="00C648DA"/>
    <w:rsid w:val="00C648E1"/>
    <w:rsid w:val="00C6498A"/>
    <w:rsid w:val="00C64AC3"/>
    <w:rsid w:val="00C64ADA"/>
    <w:rsid w:val="00C64BB3"/>
    <w:rsid w:val="00C64C99"/>
    <w:rsid w:val="00C64CE5"/>
    <w:rsid w:val="00C64D07"/>
    <w:rsid w:val="00C64D99"/>
    <w:rsid w:val="00C64DD4"/>
    <w:rsid w:val="00C64E06"/>
    <w:rsid w:val="00C64FEE"/>
    <w:rsid w:val="00C6504A"/>
    <w:rsid w:val="00C65065"/>
    <w:rsid w:val="00C650E1"/>
    <w:rsid w:val="00C651D6"/>
    <w:rsid w:val="00C65204"/>
    <w:rsid w:val="00C65274"/>
    <w:rsid w:val="00C6533F"/>
    <w:rsid w:val="00C65373"/>
    <w:rsid w:val="00C65522"/>
    <w:rsid w:val="00C65525"/>
    <w:rsid w:val="00C6552D"/>
    <w:rsid w:val="00C655DE"/>
    <w:rsid w:val="00C657B2"/>
    <w:rsid w:val="00C657D3"/>
    <w:rsid w:val="00C658C4"/>
    <w:rsid w:val="00C659C4"/>
    <w:rsid w:val="00C65A47"/>
    <w:rsid w:val="00C65A4C"/>
    <w:rsid w:val="00C65BC6"/>
    <w:rsid w:val="00C65BFF"/>
    <w:rsid w:val="00C65CB1"/>
    <w:rsid w:val="00C65D59"/>
    <w:rsid w:val="00C65DCB"/>
    <w:rsid w:val="00C65EEF"/>
    <w:rsid w:val="00C65F08"/>
    <w:rsid w:val="00C65F5B"/>
    <w:rsid w:val="00C65FBF"/>
    <w:rsid w:val="00C66102"/>
    <w:rsid w:val="00C66241"/>
    <w:rsid w:val="00C66382"/>
    <w:rsid w:val="00C663AB"/>
    <w:rsid w:val="00C6641A"/>
    <w:rsid w:val="00C666D9"/>
    <w:rsid w:val="00C6673E"/>
    <w:rsid w:val="00C6676F"/>
    <w:rsid w:val="00C668B7"/>
    <w:rsid w:val="00C66ACC"/>
    <w:rsid w:val="00C66BD8"/>
    <w:rsid w:val="00C66CD9"/>
    <w:rsid w:val="00C66D80"/>
    <w:rsid w:val="00C66E35"/>
    <w:rsid w:val="00C66EB1"/>
    <w:rsid w:val="00C66EF8"/>
    <w:rsid w:val="00C66F94"/>
    <w:rsid w:val="00C67048"/>
    <w:rsid w:val="00C671FA"/>
    <w:rsid w:val="00C672A7"/>
    <w:rsid w:val="00C6747C"/>
    <w:rsid w:val="00C675E4"/>
    <w:rsid w:val="00C6767B"/>
    <w:rsid w:val="00C6774A"/>
    <w:rsid w:val="00C67783"/>
    <w:rsid w:val="00C6795C"/>
    <w:rsid w:val="00C679C1"/>
    <w:rsid w:val="00C67A4E"/>
    <w:rsid w:val="00C67D07"/>
    <w:rsid w:val="00C67E13"/>
    <w:rsid w:val="00C67EB6"/>
    <w:rsid w:val="00C70009"/>
    <w:rsid w:val="00C70066"/>
    <w:rsid w:val="00C701A5"/>
    <w:rsid w:val="00C701B6"/>
    <w:rsid w:val="00C701E0"/>
    <w:rsid w:val="00C702AA"/>
    <w:rsid w:val="00C702D9"/>
    <w:rsid w:val="00C7031F"/>
    <w:rsid w:val="00C70368"/>
    <w:rsid w:val="00C70427"/>
    <w:rsid w:val="00C70428"/>
    <w:rsid w:val="00C7044D"/>
    <w:rsid w:val="00C705CA"/>
    <w:rsid w:val="00C706B8"/>
    <w:rsid w:val="00C70866"/>
    <w:rsid w:val="00C7089D"/>
    <w:rsid w:val="00C708A6"/>
    <w:rsid w:val="00C708C0"/>
    <w:rsid w:val="00C708E5"/>
    <w:rsid w:val="00C7093C"/>
    <w:rsid w:val="00C70C71"/>
    <w:rsid w:val="00C70CD6"/>
    <w:rsid w:val="00C70E9D"/>
    <w:rsid w:val="00C70ED3"/>
    <w:rsid w:val="00C70ED4"/>
    <w:rsid w:val="00C70F0C"/>
    <w:rsid w:val="00C7105B"/>
    <w:rsid w:val="00C7105D"/>
    <w:rsid w:val="00C71188"/>
    <w:rsid w:val="00C713B6"/>
    <w:rsid w:val="00C713B7"/>
    <w:rsid w:val="00C7140F"/>
    <w:rsid w:val="00C7144D"/>
    <w:rsid w:val="00C71512"/>
    <w:rsid w:val="00C71558"/>
    <w:rsid w:val="00C7155A"/>
    <w:rsid w:val="00C7173E"/>
    <w:rsid w:val="00C718BD"/>
    <w:rsid w:val="00C718C8"/>
    <w:rsid w:val="00C7195D"/>
    <w:rsid w:val="00C71987"/>
    <w:rsid w:val="00C71D1B"/>
    <w:rsid w:val="00C71D90"/>
    <w:rsid w:val="00C71DB1"/>
    <w:rsid w:val="00C71F84"/>
    <w:rsid w:val="00C71FDD"/>
    <w:rsid w:val="00C72022"/>
    <w:rsid w:val="00C7207F"/>
    <w:rsid w:val="00C72099"/>
    <w:rsid w:val="00C72120"/>
    <w:rsid w:val="00C7228F"/>
    <w:rsid w:val="00C723CF"/>
    <w:rsid w:val="00C724CE"/>
    <w:rsid w:val="00C725C8"/>
    <w:rsid w:val="00C727B1"/>
    <w:rsid w:val="00C7288C"/>
    <w:rsid w:val="00C728E4"/>
    <w:rsid w:val="00C728F7"/>
    <w:rsid w:val="00C72987"/>
    <w:rsid w:val="00C72A20"/>
    <w:rsid w:val="00C72A4C"/>
    <w:rsid w:val="00C72A85"/>
    <w:rsid w:val="00C72AB0"/>
    <w:rsid w:val="00C72AF5"/>
    <w:rsid w:val="00C72BB0"/>
    <w:rsid w:val="00C72C1A"/>
    <w:rsid w:val="00C72C1B"/>
    <w:rsid w:val="00C72C95"/>
    <w:rsid w:val="00C72D31"/>
    <w:rsid w:val="00C72DA1"/>
    <w:rsid w:val="00C72EBF"/>
    <w:rsid w:val="00C72F92"/>
    <w:rsid w:val="00C730D5"/>
    <w:rsid w:val="00C73101"/>
    <w:rsid w:val="00C731CE"/>
    <w:rsid w:val="00C731E5"/>
    <w:rsid w:val="00C73211"/>
    <w:rsid w:val="00C732B8"/>
    <w:rsid w:val="00C732C1"/>
    <w:rsid w:val="00C73449"/>
    <w:rsid w:val="00C73464"/>
    <w:rsid w:val="00C734C9"/>
    <w:rsid w:val="00C734EE"/>
    <w:rsid w:val="00C7370F"/>
    <w:rsid w:val="00C73761"/>
    <w:rsid w:val="00C73861"/>
    <w:rsid w:val="00C738C8"/>
    <w:rsid w:val="00C7391B"/>
    <w:rsid w:val="00C73968"/>
    <w:rsid w:val="00C73AEB"/>
    <w:rsid w:val="00C73CED"/>
    <w:rsid w:val="00C73D12"/>
    <w:rsid w:val="00C73D1E"/>
    <w:rsid w:val="00C73E01"/>
    <w:rsid w:val="00C73ED5"/>
    <w:rsid w:val="00C73F0C"/>
    <w:rsid w:val="00C73F46"/>
    <w:rsid w:val="00C73F4D"/>
    <w:rsid w:val="00C74154"/>
    <w:rsid w:val="00C74336"/>
    <w:rsid w:val="00C74355"/>
    <w:rsid w:val="00C7442B"/>
    <w:rsid w:val="00C74498"/>
    <w:rsid w:val="00C74517"/>
    <w:rsid w:val="00C74603"/>
    <w:rsid w:val="00C7466A"/>
    <w:rsid w:val="00C74701"/>
    <w:rsid w:val="00C747AD"/>
    <w:rsid w:val="00C748B7"/>
    <w:rsid w:val="00C74983"/>
    <w:rsid w:val="00C74992"/>
    <w:rsid w:val="00C74B20"/>
    <w:rsid w:val="00C74B84"/>
    <w:rsid w:val="00C74C25"/>
    <w:rsid w:val="00C74C2B"/>
    <w:rsid w:val="00C74CA7"/>
    <w:rsid w:val="00C74D71"/>
    <w:rsid w:val="00C74D87"/>
    <w:rsid w:val="00C74F8C"/>
    <w:rsid w:val="00C74F8D"/>
    <w:rsid w:val="00C7504C"/>
    <w:rsid w:val="00C75073"/>
    <w:rsid w:val="00C750C9"/>
    <w:rsid w:val="00C75195"/>
    <w:rsid w:val="00C75285"/>
    <w:rsid w:val="00C75303"/>
    <w:rsid w:val="00C75371"/>
    <w:rsid w:val="00C755A9"/>
    <w:rsid w:val="00C755E0"/>
    <w:rsid w:val="00C756D9"/>
    <w:rsid w:val="00C75987"/>
    <w:rsid w:val="00C75A74"/>
    <w:rsid w:val="00C75B32"/>
    <w:rsid w:val="00C75B5D"/>
    <w:rsid w:val="00C75B7E"/>
    <w:rsid w:val="00C75C68"/>
    <w:rsid w:val="00C75CE8"/>
    <w:rsid w:val="00C75D0B"/>
    <w:rsid w:val="00C75DD5"/>
    <w:rsid w:val="00C75E5C"/>
    <w:rsid w:val="00C75EA7"/>
    <w:rsid w:val="00C75EAF"/>
    <w:rsid w:val="00C76017"/>
    <w:rsid w:val="00C760A4"/>
    <w:rsid w:val="00C761B6"/>
    <w:rsid w:val="00C763CC"/>
    <w:rsid w:val="00C763D8"/>
    <w:rsid w:val="00C7650A"/>
    <w:rsid w:val="00C76539"/>
    <w:rsid w:val="00C765A0"/>
    <w:rsid w:val="00C7671A"/>
    <w:rsid w:val="00C7672C"/>
    <w:rsid w:val="00C767E0"/>
    <w:rsid w:val="00C76A3A"/>
    <w:rsid w:val="00C76A82"/>
    <w:rsid w:val="00C76BA3"/>
    <w:rsid w:val="00C76D33"/>
    <w:rsid w:val="00C76D98"/>
    <w:rsid w:val="00C76E9D"/>
    <w:rsid w:val="00C76F19"/>
    <w:rsid w:val="00C76F7C"/>
    <w:rsid w:val="00C77040"/>
    <w:rsid w:val="00C77175"/>
    <w:rsid w:val="00C771D9"/>
    <w:rsid w:val="00C77234"/>
    <w:rsid w:val="00C7728C"/>
    <w:rsid w:val="00C77299"/>
    <w:rsid w:val="00C77328"/>
    <w:rsid w:val="00C775CA"/>
    <w:rsid w:val="00C775EF"/>
    <w:rsid w:val="00C77666"/>
    <w:rsid w:val="00C7774F"/>
    <w:rsid w:val="00C7785D"/>
    <w:rsid w:val="00C7798F"/>
    <w:rsid w:val="00C779D5"/>
    <w:rsid w:val="00C779DC"/>
    <w:rsid w:val="00C77BFC"/>
    <w:rsid w:val="00C77D14"/>
    <w:rsid w:val="00C77DB3"/>
    <w:rsid w:val="00C77E04"/>
    <w:rsid w:val="00C77E40"/>
    <w:rsid w:val="00C77ECA"/>
    <w:rsid w:val="00C800D4"/>
    <w:rsid w:val="00C801BC"/>
    <w:rsid w:val="00C801FB"/>
    <w:rsid w:val="00C80237"/>
    <w:rsid w:val="00C80378"/>
    <w:rsid w:val="00C803E2"/>
    <w:rsid w:val="00C8043D"/>
    <w:rsid w:val="00C80488"/>
    <w:rsid w:val="00C804B9"/>
    <w:rsid w:val="00C804CC"/>
    <w:rsid w:val="00C804E3"/>
    <w:rsid w:val="00C8080A"/>
    <w:rsid w:val="00C808D2"/>
    <w:rsid w:val="00C8090B"/>
    <w:rsid w:val="00C80A3C"/>
    <w:rsid w:val="00C80A56"/>
    <w:rsid w:val="00C80BB9"/>
    <w:rsid w:val="00C80BFB"/>
    <w:rsid w:val="00C80C31"/>
    <w:rsid w:val="00C80CB5"/>
    <w:rsid w:val="00C80E52"/>
    <w:rsid w:val="00C80E66"/>
    <w:rsid w:val="00C80F22"/>
    <w:rsid w:val="00C80F5E"/>
    <w:rsid w:val="00C81103"/>
    <w:rsid w:val="00C81110"/>
    <w:rsid w:val="00C8116D"/>
    <w:rsid w:val="00C81199"/>
    <w:rsid w:val="00C811BD"/>
    <w:rsid w:val="00C811C9"/>
    <w:rsid w:val="00C81218"/>
    <w:rsid w:val="00C812B5"/>
    <w:rsid w:val="00C81340"/>
    <w:rsid w:val="00C81361"/>
    <w:rsid w:val="00C8137C"/>
    <w:rsid w:val="00C813CE"/>
    <w:rsid w:val="00C81465"/>
    <w:rsid w:val="00C81539"/>
    <w:rsid w:val="00C81682"/>
    <w:rsid w:val="00C81878"/>
    <w:rsid w:val="00C818D1"/>
    <w:rsid w:val="00C81B38"/>
    <w:rsid w:val="00C81C54"/>
    <w:rsid w:val="00C81CAD"/>
    <w:rsid w:val="00C81E80"/>
    <w:rsid w:val="00C81E82"/>
    <w:rsid w:val="00C81EBA"/>
    <w:rsid w:val="00C81ED1"/>
    <w:rsid w:val="00C81FF9"/>
    <w:rsid w:val="00C8209B"/>
    <w:rsid w:val="00C820C8"/>
    <w:rsid w:val="00C822B6"/>
    <w:rsid w:val="00C822D0"/>
    <w:rsid w:val="00C822DA"/>
    <w:rsid w:val="00C822FE"/>
    <w:rsid w:val="00C823E4"/>
    <w:rsid w:val="00C823E8"/>
    <w:rsid w:val="00C8243A"/>
    <w:rsid w:val="00C824C7"/>
    <w:rsid w:val="00C82547"/>
    <w:rsid w:val="00C82622"/>
    <w:rsid w:val="00C82687"/>
    <w:rsid w:val="00C826C4"/>
    <w:rsid w:val="00C82739"/>
    <w:rsid w:val="00C82A19"/>
    <w:rsid w:val="00C82C0E"/>
    <w:rsid w:val="00C82CD1"/>
    <w:rsid w:val="00C82D61"/>
    <w:rsid w:val="00C82D88"/>
    <w:rsid w:val="00C82DA2"/>
    <w:rsid w:val="00C82FA9"/>
    <w:rsid w:val="00C83005"/>
    <w:rsid w:val="00C83058"/>
    <w:rsid w:val="00C832BB"/>
    <w:rsid w:val="00C833CC"/>
    <w:rsid w:val="00C833FC"/>
    <w:rsid w:val="00C8350B"/>
    <w:rsid w:val="00C83514"/>
    <w:rsid w:val="00C83554"/>
    <w:rsid w:val="00C83571"/>
    <w:rsid w:val="00C83711"/>
    <w:rsid w:val="00C8374A"/>
    <w:rsid w:val="00C83784"/>
    <w:rsid w:val="00C837B6"/>
    <w:rsid w:val="00C837EB"/>
    <w:rsid w:val="00C839B0"/>
    <w:rsid w:val="00C83A0E"/>
    <w:rsid w:val="00C83A7A"/>
    <w:rsid w:val="00C83ACC"/>
    <w:rsid w:val="00C83B1A"/>
    <w:rsid w:val="00C83C99"/>
    <w:rsid w:val="00C83DD7"/>
    <w:rsid w:val="00C83E23"/>
    <w:rsid w:val="00C83E40"/>
    <w:rsid w:val="00C83EC5"/>
    <w:rsid w:val="00C83F33"/>
    <w:rsid w:val="00C83F5E"/>
    <w:rsid w:val="00C83F95"/>
    <w:rsid w:val="00C84049"/>
    <w:rsid w:val="00C84128"/>
    <w:rsid w:val="00C8412A"/>
    <w:rsid w:val="00C84199"/>
    <w:rsid w:val="00C841C2"/>
    <w:rsid w:val="00C843B2"/>
    <w:rsid w:val="00C84478"/>
    <w:rsid w:val="00C8457E"/>
    <w:rsid w:val="00C8458D"/>
    <w:rsid w:val="00C846A7"/>
    <w:rsid w:val="00C846AB"/>
    <w:rsid w:val="00C846E3"/>
    <w:rsid w:val="00C8480F"/>
    <w:rsid w:val="00C84857"/>
    <w:rsid w:val="00C8489A"/>
    <w:rsid w:val="00C849C2"/>
    <w:rsid w:val="00C84A0B"/>
    <w:rsid w:val="00C84A86"/>
    <w:rsid w:val="00C84B0D"/>
    <w:rsid w:val="00C84C48"/>
    <w:rsid w:val="00C84C9E"/>
    <w:rsid w:val="00C84C9F"/>
    <w:rsid w:val="00C84D48"/>
    <w:rsid w:val="00C84E50"/>
    <w:rsid w:val="00C84F22"/>
    <w:rsid w:val="00C84FB2"/>
    <w:rsid w:val="00C85004"/>
    <w:rsid w:val="00C85014"/>
    <w:rsid w:val="00C851AB"/>
    <w:rsid w:val="00C851C3"/>
    <w:rsid w:val="00C852F7"/>
    <w:rsid w:val="00C8531A"/>
    <w:rsid w:val="00C8546C"/>
    <w:rsid w:val="00C855DB"/>
    <w:rsid w:val="00C857CF"/>
    <w:rsid w:val="00C858E2"/>
    <w:rsid w:val="00C85920"/>
    <w:rsid w:val="00C85A02"/>
    <w:rsid w:val="00C85AA4"/>
    <w:rsid w:val="00C85C02"/>
    <w:rsid w:val="00C85C23"/>
    <w:rsid w:val="00C85C30"/>
    <w:rsid w:val="00C85C86"/>
    <w:rsid w:val="00C85D0F"/>
    <w:rsid w:val="00C85D96"/>
    <w:rsid w:val="00C85DEE"/>
    <w:rsid w:val="00C85E77"/>
    <w:rsid w:val="00C85ED9"/>
    <w:rsid w:val="00C85F34"/>
    <w:rsid w:val="00C85FB5"/>
    <w:rsid w:val="00C86074"/>
    <w:rsid w:val="00C86078"/>
    <w:rsid w:val="00C860FD"/>
    <w:rsid w:val="00C86171"/>
    <w:rsid w:val="00C86208"/>
    <w:rsid w:val="00C863D4"/>
    <w:rsid w:val="00C8645A"/>
    <w:rsid w:val="00C864A2"/>
    <w:rsid w:val="00C86559"/>
    <w:rsid w:val="00C866E7"/>
    <w:rsid w:val="00C8676E"/>
    <w:rsid w:val="00C86814"/>
    <w:rsid w:val="00C86981"/>
    <w:rsid w:val="00C869B1"/>
    <w:rsid w:val="00C869F0"/>
    <w:rsid w:val="00C86A48"/>
    <w:rsid w:val="00C86A90"/>
    <w:rsid w:val="00C86B8F"/>
    <w:rsid w:val="00C86BC7"/>
    <w:rsid w:val="00C86BE4"/>
    <w:rsid w:val="00C86C94"/>
    <w:rsid w:val="00C86D06"/>
    <w:rsid w:val="00C86D91"/>
    <w:rsid w:val="00C86DB3"/>
    <w:rsid w:val="00C86E47"/>
    <w:rsid w:val="00C86E79"/>
    <w:rsid w:val="00C86F32"/>
    <w:rsid w:val="00C86FC5"/>
    <w:rsid w:val="00C8705D"/>
    <w:rsid w:val="00C870F2"/>
    <w:rsid w:val="00C871E7"/>
    <w:rsid w:val="00C87271"/>
    <w:rsid w:val="00C872C9"/>
    <w:rsid w:val="00C87312"/>
    <w:rsid w:val="00C873BC"/>
    <w:rsid w:val="00C875D2"/>
    <w:rsid w:val="00C875DB"/>
    <w:rsid w:val="00C87723"/>
    <w:rsid w:val="00C87728"/>
    <w:rsid w:val="00C87730"/>
    <w:rsid w:val="00C877DF"/>
    <w:rsid w:val="00C87886"/>
    <w:rsid w:val="00C878E2"/>
    <w:rsid w:val="00C87986"/>
    <w:rsid w:val="00C87B26"/>
    <w:rsid w:val="00C87C9E"/>
    <w:rsid w:val="00C87CCC"/>
    <w:rsid w:val="00C87DBA"/>
    <w:rsid w:val="00C87E1B"/>
    <w:rsid w:val="00C87F53"/>
    <w:rsid w:val="00C87F85"/>
    <w:rsid w:val="00C900DC"/>
    <w:rsid w:val="00C900FA"/>
    <w:rsid w:val="00C90104"/>
    <w:rsid w:val="00C90128"/>
    <w:rsid w:val="00C9016A"/>
    <w:rsid w:val="00C901A5"/>
    <w:rsid w:val="00C901AF"/>
    <w:rsid w:val="00C90206"/>
    <w:rsid w:val="00C90289"/>
    <w:rsid w:val="00C90313"/>
    <w:rsid w:val="00C9037A"/>
    <w:rsid w:val="00C9051D"/>
    <w:rsid w:val="00C90540"/>
    <w:rsid w:val="00C905F0"/>
    <w:rsid w:val="00C9092D"/>
    <w:rsid w:val="00C9098B"/>
    <w:rsid w:val="00C90B15"/>
    <w:rsid w:val="00C90C1D"/>
    <w:rsid w:val="00C90CAF"/>
    <w:rsid w:val="00C90DBD"/>
    <w:rsid w:val="00C90DC4"/>
    <w:rsid w:val="00C90E2B"/>
    <w:rsid w:val="00C90F14"/>
    <w:rsid w:val="00C90F22"/>
    <w:rsid w:val="00C90F28"/>
    <w:rsid w:val="00C90FDD"/>
    <w:rsid w:val="00C9100E"/>
    <w:rsid w:val="00C910FE"/>
    <w:rsid w:val="00C9115E"/>
    <w:rsid w:val="00C91216"/>
    <w:rsid w:val="00C91235"/>
    <w:rsid w:val="00C91274"/>
    <w:rsid w:val="00C9152C"/>
    <w:rsid w:val="00C916AB"/>
    <w:rsid w:val="00C9170C"/>
    <w:rsid w:val="00C91825"/>
    <w:rsid w:val="00C91866"/>
    <w:rsid w:val="00C918DB"/>
    <w:rsid w:val="00C918E1"/>
    <w:rsid w:val="00C91B19"/>
    <w:rsid w:val="00C91B26"/>
    <w:rsid w:val="00C91B80"/>
    <w:rsid w:val="00C91B84"/>
    <w:rsid w:val="00C91BD1"/>
    <w:rsid w:val="00C91D09"/>
    <w:rsid w:val="00C91D80"/>
    <w:rsid w:val="00C91DF2"/>
    <w:rsid w:val="00C91F92"/>
    <w:rsid w:val="00C91FB3"/>
    <w:rsid w:val="00C92000"/>
    <w:rsid w:val="00C92128"/>
    <w:rsid w:val="00C92129"/>
    <w:rsid w:val="00C921B7"/>
    <w:rsid w:val="00C923FA"/>
    <w:rsid w:val="00C924B9"/>
    <w:rsid w:val="00C9251A"/>
    <w:rsid w:val="00C92743"/>
    <w:rsid w:val="00C9277A"/>
    <w:rsid w:val="00C927AB"/>
    <w:rsid w:val="00C928F0"/>
    <w:rsid w:val="00C929BF"/>
    <w:rsid w:val="00C92A71"/>
    <w:rsid w:val="00C92C7D"/>
    <w:rsid w:val="00C92CDD"/>
    <w:rsid w:val="00C92D4F"/>
    <w:rsid w:val="00C92D55"/>
    <w:rsid w:val="00C92E5F"/>
    <w:rsid w:val="00C92FDF"/>
    <w:rsid w:val="00C92FE8"/>
    <w:rsid w:val="00C9312D"/>
    <w:rsid w:val="00C93136"/>
    <w:rsid w:val="00C9318C"/>
    <w:rsid w:val="00C9320D"/>
    <w:rsid w:val="00C93333"/>
    <w:rsid w:val="00C93485"/>
    <w:rsid w:val="00C934C3"/>
    <w:rsid w:val="00C93505"/>
    <w:rsid w:val="00C93550"/>
    <w:rsid w:val="00C93597"/>
    <w:rsid w:val="00C9377A"/>
    <w:rsid w:val="00C93784"/>
    <w:rsid w:val="00C938B3"/>
    <w:rsid w:val="00C93975"/>
    <w:rsid w:val="00C93A7C"/>
    <w:rsid w:val="00C93AA8"/>
    <w:rsid w:val="00C93AF6"/>
    <w:rsid w:val="00C93BBE"/>
    <w:rsid w:val="00C93D22"/>
    <w:rsid w:val="00C93D6E"/>
    <w:rsid w:val="00C93E75"/>
    <w:rsid w:val="00C9409F"/>
    <w:rsid w:val="00C940AC"/>
    <w:rsid w:val="00C94186"/>
    <w:rsid w:val="00C941A2"/>
    <w:rsid w:val="00C94239"/>
    <w:rsid w:val="00C94243"/>
    <w:rsid w:val="00C942D0"/>
    <w:rsid w:val="00C94398"/>
    <w:rsid w:val="00C943CE"/>
    <w:rsid w:val="00C943CF"/>
    <w:rsid w:val="00C94648"/>
    <w:rsid w:val="00C948A7"/>
    <w:rsid w:val="00C949DA"/>
    <w:rsid w:val="00C94BE6"/>
    <w:rsid w:val="00C94CD9"/>
    <w:rsid w:val="00C94F9A"/>
    <w:rsid w:val="00C95095"/>
    <w:rsid w:val="00C95122"/>
    <w:rsid w:val="00C951A5"/>
    <w:rsid w:val="00C951D3"/>
    <w:rsid w:val="00C95295"/>
    <w:rsid w:val="00C9546F"/>
    <w:rsid w:val="00C95522"/>
    <w:rsid w:val="00C9559C"/>
    <w:rsid w:val="00C9563F"/>
    <w:rsid w:val="00C9569F"/>
    <w:rsid w:val="00C956FC"/>
    <w:rsid w:val="00C9597C"/>
    <w:rsid w:val="00C95A0E"/>
    <w:rsid w:val="00C95A25"/>
    <w:rsid w:val="00C95A98"/>
    <w:rsid w:val="00C95B1C"/>
    <w:rsid w:val="00C95C00"/>
    <w:rsid w:val="00C95C6B"/>
    <w:rsid w:val="00C95D7B"/>
    <w:rsid w:val="00C95E28"/>
    <w:rsid w:val="00C95EA7"/>
    <w:rsid w:val="00C95F20"/>
    <w:rsid w:val="00C95F7B"/>
    <w:rsid w:val="00C95FDD"/>
    <w:rsid w:val="00C9614B"/>
    <w:rsid w:val="00C961E2"/>
    <w:rsid w:val="00C963B4"/>
    <w:rsid w:val="00C964A0"/>
    <w:rsid w:val="00C964FA"/>
    <w:rsid w:val="00C965AE"/>
    <w:rsid w:val="00C9660C"/>
    <w:rsid w:val="00C96639"/>
    <w:rsid w:val="00C96871"/>
    <w:rsid w:val="00C9699C"/>
    <w:rsid w:val="00C969C8"/>
    <w:rsid w:val="00C96C7A"/>
    <w:rsid w:val="00C96C7D"/>
    <w:rsid w:val="00C96D01"/>
    <w:rsid w:val="00C96D1C"/>
    <w:rsid w:val="00C96DB7"/>
    <w:rsid w:val="00C96E38"/>
    <w:rsid w:val="00C97004"/>
    <w:rsid w:val="00C97079"/>
    <w:rsid w:val="00C97080"/>
    <w:rsid w:val="00C970F7"/>
    <w:rsid w:val="00C9716D"/>
    <w:rsid w:val="00C97215"/>
    <w:rsid w:val="00C972ED"/>
    <w:rsid w:val="00C9734F"/>
    <w:rsid w:val="00C9736E"/>
    <w:rsid w:val="00C973D2"/>
    <w:rsid w:val="00C9747F"/>
    <w:rsid w:val="00C976CB"/>
    <w:rsid w:val="00C976D2"/>
    <w:rsid w:val="00C97766"/>
    <w:rsid w:val="00C97822"/>
    <w:rsid w:val="00C9783A"/>
    <w:rsid w:val="00C9789B"/>
    <w:rsid w:val="00C97995"/>
    <w:rsid w:val="00C97CEA"/>
    <w:rsid w:val="00C97DE6"/>
    <w:rsid w:val="00C97E90"/>
    <w:rsid w:val="00C97ECF"/>
    <w:rsid w:val="00C97FEF"/>
    <w:rsid w:val="00CA00A7"/>
    <w:rsid w:val="00CA01A2"/>
    <w:rsid w:val="00CA0259"/>
    <w:rsid w:val="00CA033A"/>
    <w:rsid w:val="00CA0383"/>
    <w:rsid w:val="00CA03FB"/>
    <w:rsid w:val="00CA0405"/>
    <w:rsid w:val="00CA042F"/>
    <w:rsid w:val="00CA0478"/>
    <w:rsid w:val="00CA05E3"/>
    <w:rsid w:val="00CA0806"/>
    <w:rsid w:val="00CA08F5"/>
    <w:rsid w:val="00CA0916"/>
    <w:rsid w:val="00CA092E"/>
    <w:rsid w:val="00CA0A45"/>
    <w:rsid w:val="00CA0AFA"/>
    <w:rsid w:val="00CA0CC6"/>
    <w:rsid w:val="00CA0CEC"/>
    <w:rsid w:val="00CA0D32"/>
    <w:rsid w:val="00CA0E8C"/>
    <w:rsid w:val="00CA0EA9"/>
    <w:rsid w:val="00CA0F5B"/>
    <w:rsid w:val="00CA0FE2"/>
    <w:rsid w:val="00CA105E"/>
    <w:rsid w:val="00CA10EB"/>
    <w:rsid w:val="00CA1167"/>
    <w:rsid w:val="00CA11A7"/>
    <w:rsid w:val="00CA12D7"/>
    <w:rsid w:val="00CA145E"/>
    <w:rsid w:val="00CA156A"/>
    <w:rsid w:val="00CA178C"/>
    <w:rsid w:val="00CA18B7"/>
    <w:rsid w:val="00CA18EA"/>
    <w:rsid w:val="00CA195F"/>
    <w:rsid w:val="00CA1B37"/>
    <w:rsid w:val="00CA1C2A"/>
    <w:rsid w:val="00CA1C41"/>
    <w:rsid w:val="00CA1DC2"/>
    <w:rsid w:val="00CA1E5C"/>
    <w:rsid w:val="00CA1ED5"/>
    <w:rsid w:val="00CA1F4E"/>
    <w:rsid w:val="00CA2074"/>
    <w:rsid w:val="00CA2087"/>
    <w:rsid w:val="00CA20F5"/>
    <w:rsid w:val="00CA2170"/>
    <w:rsid w:val="00CA21F4"/>
    <w:rsid w:val="00CA22A8"/>
    <w:rsid w:val="00CA22B7"/>
    <w:rsid w:val="00CA22CA"/>
    <w:rsid w:val="00CA234F"/>
    <w:rsid w:val="00CA2447"/>
    <w:rsid w:val="00CA24A4"/>
    <w:rsid w:val="00CA24E0"/>
    <w:rsid w:val="00CA259A"/>
    <w:rsid w:val="00CA25CC"/>
    <w:rsid w:val="00CA2613"/>
    <w:rsid w:val="00CA2633"/>
    <w:rsid w:val="00CA2638"/>
    <w:rsid w:val="00CA27B3"/>
    <w:rsid w:val="00CA27D6"/>
    <w:rsid w:val="00CA283D"/>
    <w:rsid w:val="00CA28D7"/>
    <w:rsid w:val="00CA2988"/>
    <w:rsid w:val="00CA2A8F"/>
    <w:rsid w:val="00CA2B3C"/>
    <w:rsid w:val="00CA2B73"/>
    <w:rsid w:val="00CA2C30"/>
    <w:rsid w:val="00CA2C34"/>
    <w:rsid w:val="00CA2C73"/>
    <w:rsid w:val="00CA2EFD"/>
    <w:rsid w:val="00CA2FC5"/>
    <w:rsid w:val="00CA306B"/>
    <w:rsid w:val="00CA306C"/>
    <w:rsid w:val="00CA30DE"/>
    <w:rsid w:val="00CA30E3"/>
    <w:rsid w:val="00CA3471"/>
    <w:rsid w:val="00CA34FD"/>
    <w:rsid w:val="00CA3838"/>
    <w:rsid w:val="00CA39D0"/>
    <w:rsid w:val="00CA3CD9"/>
    <w:rsid w:val="00CA3E3C"/>
    <w:rsid w:val="00CA3EFF"/>
    <w:rsid w:val="00CA3FC3"/>
    <w:rsid w:val="00CA4000"/>
    <w:rsid w:val="00CA40F3"/>
    <w:rsid w:val="00CA4128"/>
    <w:rsid w:val="00CA417A"/>
    <w:rsid w:val="00CA42AC"/>
    <w:rsid w:val="00CA4305"/>
    <w:rsid w:val="00CA4359"/>
    <w:rsid w:val="00CA43C5"/>
    <w:rsid w:val="00CA4689"/>
    <w:rsid w:val="00CA4739"/>
    <w:rsid w:val="00CA47A0"/>
    <w:rsid w:val="00CA47B1"/>
    <w:rsid w:val="00CA47C0"/>
    <w:rsid w:val="00CA4908"/>
    <w:rsid w:val="00CA4929"/>
    <w:rsid w:val="00CA495C"/>
    <w:rsid w:val="00CA4A05"/>
    <w:rsid w:val="00CA4BCF"/>
    <w:rsid w:val="00CA4CAC"/>
    <w:rsid w:val="00CA4CFC"/>
    <w:rsid w:val="00CA4E84"/>
    <w:rsid w:val="00CA4E9C"/>
    <w:rsid w:val="00CA4F24"/>
    <w:rsid w:val="00CA4F94"/>
    <w:rsid w:val="00CA5089"/>
    <w:rsid w:val="00CA5091"/>
    <w:rsid w:val="00CA5156"/>
    <w:rsid w:val="00CA5195"/>
    <w:rsid w:val="00CA5238"/>
    <w:rsid w:val="00CA5404"/>
    <w:rsid w:val="00CA5454"/>
    <w:rsid w:val="00CA5525"/>
    <w:rsid w:val="00CA5589"/>
    <w:rsid w:val="00CA562E"/>
    <w:rsid w:val="00CA5674"/>
    <w:rsid w:val="00CA582A"/>
    <w:rsid w:val="00CA585E"/>
    <w:rsid w:val="00CA5997"/>
    <w:rsid w:val="00CA59AD"/>
    <w:rsid w:val="00CA5A83"/>
    <w:rsid w:val="00CA5BEF"/>
    <w:rsid w:val="00CA5C43"/>
    <w:rsid w:val="00CA5D6C"/>
    <w:rsid w:val="00CA5D6D"/>
    <w:rsid w:val="00CA5ECD"/>
    <w:rsid w:val="00CA5F1E"/>
    <w:rsid w:val="00CA5F4C"/>
    <w:rsid w:val="00CA6048"/>
    <w:rsid w:val="00CA615F"/>
    <w:rsid w:val="00CA636F"/>
    <w:rsid w:val="00CA64A1"/>
    <w:rsid w:val="00CA64C3"/>
    <w:rsid w:val="00CA65B1"/>
    <w:rsid w:val="00CA65E0"/>
    <w:rsid w:val="00CA6640"/>
    <w:rsid w:val="00CA66A9"/>
    <w:rsid w:val="00CA6703"/>
    <w:rsid w:val="00CA6776"/>
    <w:rsid w:val="00CA67FA"/>
    <w:rsid w:val="00CA6974"/>
    <w:rsid w:val="00CA6A1D"/>
    <w:rsid w:val="00CA6C9C"/>
    <w:rsid w:val="00CA6DA1"/>
    <w:rsid w:val="00CA6DF1"/>
    <w:rsid w:val="00CA6F66"/>
    <w:rsid w:val="00CA6F70"/>
    <w:rsid w:val="00CA6FC4"/>
    <w:rsid w:val="00CA708D"/>
    <w:rsid w:val="00CA70FF"/>
    <w:rsid w:val="00CA7146"/>
    <w:rsid w:val="00CA7228"/>
    <w:rsid w:val="00CA7247"/>
    <w:rsid w:val="00CA72C7"/>
    <w:rsid w:val="00CA73B6"/>
    <w:rsid w:val="00CA74EE"/>
    <w:rsid w:val="00CA750E"/>
    <w:rsid w:val="00CA7750"/>
    <w:rsid w:val="00CA77C8"/>
    <w:rsid w:val="00CA77D3"/>
    <w:rsid w:val="00CA78D6"/>
    <w:rsid w:val="00CA7901"/>
    <w:rsid w:val="00CA7A7B"/>
    <w:rsid w:val="00CA7A9E"/>
    <w:rsid w:val="00CA7B22"/>
    <w:rsid w:val="00CA7B2B"/>
    <w:rsid w:val="00CA7C10"/>
    <w:rsid w:val="00CA7C45"/>
    <w:rsid w:val="00CA7CD0"/>
    <w:rsid w:val="00CA7DB3"/>
    <w:rsid w:val="00CA7F5B"/>
    <w:rsid w:val="00CB0017"/>
    <w:rsid w:val="00CB001D"/>
    <w:rsid w:val="00CB0212"/>
    <w:rsid w:val="00CB0250"/>
    <w:rsid w:val="00CB032E"/>
    <w:rsid w:val="00CB038B"/>
    <w:rsid w:val="00CB039F"/>
    <w:rsid w:val="00CB03B2"/>
    <w:rsid w:val="00CB04CD"/>
    <w:rsid w:val="00CB0554"/>
    <w:rsid w:val="00CB05D4"/>
    <w:rsid w:val="00CB064C"/>
    <w:rsid w:val="00CB069B"/>
    <w:rsid w:val="00CB0988"/>
    <w:rsid w:val="00CB09DB"/>
    <w:rsid w:val="00CB09F0"/>
    <w:rsid w:val="00CB0AE5"/>
    <w:rsid w:val="00CB0DA2"/>
    <w:rsid w:val="00CB0EB2"/>
    <w:rsid w:val="00CB0ECF"/>
    <w:rsid w:val="00CB0FA3"/>
    <w:rsid w:val="00CB1096"/>
    <w:rsid w:val="00CB10D4"/>
    <w:rsid w:val="00CB11EE"/>
    <w:rsid w:val="00CB1229"/>
    <w:rsid w:val="00CB129C"/>
    <w:rsid w:val="00CB12A6"/>
    <w:rsid w:val="00CB131E"/>
    <w:rsid w:val="00CB1336"/>
    <w:rsid w:val="00CB1379"/>
    <w:rsid w:val="00CB138B"/>
    <w:rsid w:val="00CB1449"/>
    <w:rsid w:val="00CB1535"/>
    <w:rsid w:val="00CB15B3"/>
    <w:rsid w:val="00CB15ED"/>
    <w:rsid w:val="00CB17B4"/>
    <w:rsid w:val="00CB1892"/>
    <w:rsid w:val="00CB1903"/>
    <w:rsid w:val="00CB1924"/>
    <w:rsid w:val="00CB1AA3"/>
    <w:rsid w:val="00CB1ABF"/>
    <w:rsid w:val="00CB1ADE"/>
    <w:rsid w:val="00CB1B39"/>
    <w:rsid w:val="00CB1BE9"/>
    <w:rsid w:val="00CB1C8E"/>
    <w:rsid w:val="00CB1CD3"/>
    <w:rsid w:val="00CB1E01"/>
    <w:rsid w:val="00CB1E2D"/>
    <w:rsid w:val="00CB1E45"/>
    <w:rsid w:val="00CB1E90"/>
    <w:rsid w:val="00CB1FD3"/>
    <w:rsid w:val="00CB1FF7"/>
    <w:rsid w:val="00CB20A1"/>
    <w:rsid w:val="00CB2255"/>
    <w:rsid w:val="00CB25DF"/>
    <w:rsid w:val="00CB2662"/>
    <w:rsid w:val="00CB2834"/>
    <w:rsid w:val="00CB2841"/>
    <w:rsid w:val="00CB28F3"/>
    <w:rsid w:val="00CB294E"/>
    <w:rsid w:val="00CB2B0E"/>
    <w:rsid w:val="00CB2B7F"/>
    <w:rsid w:val="00CB2D17"/>
    <w:rsid w:val="00CB2D1A"/>
    <w:rsid w:val="00CB2D1D"/>
    <w:rsid w:val="00CB2E0A"/>
    <w:rsid w:val="00CB3047"/>
    <w:rsid w:val="00CB3260"/>
    <w:rsid w:val="00CB32B0"/>
    <w:rsid w:val="00CB3350"/>
    <w:rsid w:val="00CB34BD"/>
    <w:rsid w:val="00CB3590"/>
    <w:rsid w:val="00CB3697"/>
    <w:rsid w:val="00CB3797"/>
    <w:rsid w:val="00CB3865"/>
    <w:rsid w:val="00CB3AF3"/>
    <w:rsid w:val="00CB3B17"/>
    <w:rsid w:val="00CB3BA5"/>
    <w:rsid w:val="00CB3BB7"/>
    <w:rsid w:val="00CB3BE7"/>
    <w:rsid w:val="00CB3C6D"/>
    <w:rsid w:val="00CB3CE4"/>
    <w:rsid w:val="00CB3D6C"/>
    <w:rsid w:val="00CB3EA5"/>
    <w:rsid w:val="00CB3EFE"/>
    <w:rsid w:val="00CB3FD3"/>
    <w:rsid w:val="00CB40B4"/>
    <w:rsid w:val="00CB4280"/>
    <w:rsid w:val="00CB4350"/>
    <w:rsid w:val="00CB4466"/>
    <w:rsid w:val="00CB4571"/>
    <w:rsid w:val="00CB4619"/>
    <w:rsid w:val="00CB4805"/>
    <w:rsid w:val="00CB49DA"/>
    <w:rsid w:val="00CB4A0E"/>
    <w:rsid w:val="00CB4A9E"/>
    <w:rsid w:val="00CB4B51"/>
    <w:rsid w:val="00CB4B98"/>
    <w:rsid w:val="00CB4C0F"/>
    <w:rsid w:val="00CB4E4C"/>
    <w:rsid w:val="00CB4E75"/>
    <w:rsid w:val="00CB4EA8"/>
    <w:rsid w:val="00CB5066"/>
    <w:rsid w:val="00CB509A"/>
    <w:rsid w:val="00CB50C8"/>
    <w:rsid w:val="00CB51C1"/>
    <w:rsid w:val="00CB53F2"/>
    <w:rsid w:val="00CB5630"/>
    <w:rsid w:val="00CB569C"/>
    <w:rsid w:val="00CB56D3"/>
    <w:rsid w:val="00CB5795"/>
    <w:rsid w:val="00CB57B6"/>
    <w:rsid w:val="00CB5891"/>
    <w:rsid w:val="00CB5A5B"/>
    <w:rsid w:val="00CB5CD5"/>
    <w:rsid w:val="00CB5E04"/>
    <w:rsid w:val="00CB5FB3"/>
    <w:rsid w:val="00CB618D"/>
    <w:rsid w:val="00CB6192"/>
    <w:rsid w:val="00CB6294"/>
    <w:rsid w:val="00CB6400"/>
    <w:rsid w:val="00CB6694"/>
    <w:rsid w:val="00CB678E"/>
    <w:rsid w:val="00CB684B"/>
    <w:rsid w:val="00CB6946"/>
    <w:rsid w:val="00CB6BD6"/>
    <w:rsid w:val="00CB6C7C"/>
    <w:rsid w:val="00CB6C7F"/>
    <w:rsid w:val="00CB6D4B"/>
    <w:rsid w:val="00CB6D6F"/>
    <w:rsid w:val="00CB6D74"/>
    <w:rsid w:val="00CB6E65"/>
    <w:rsid w:val="00CB6F52"/>
    <w:rsid w:val="00CB6F78"/>
    <w:rsid w:val="00CB7068"/>
    <w:rsid w:val="00CB71BC"/>
    <w:rsid w:val="00CB724F"/>
    <w:rsid w:val="00CB72CF"/>
    <w:rsid w:val="00CB7325"/>
    <w:rsid w:val="00CB738D"/>
    <w:rsid w:val="00CB73CE"/>
    <w:rsid w:val="00CB7426"/>
    <w:rsid w:val="00CB7547"/>
    <w:rsid w:val="00CB75D4"/>
    <w:rsid w:val="00CB778B"/>
    <w:rsid w:val="00CB77B3"/>
    <w:rsid w:val="00CB7810"/>
    <w:rsid w:val="00CB79AD"/>
    <w:rsid w:val="00CB7A82"/>
    <w:rsid w:val="00CB7D99"/>
    <w:rsid w:val="00CB7F34"/>
    <w:rsid w:val="00CC016F"/>
    <w:rsid w:val="00CC0289"/>
    <w:rsid w:val="00CC0328"/>
    <w:rsid w:val="00CC0442"/>
    <w:rsid w:val="00CC0455"/>
    <w:rsid w:val="00CC055B"/>
    <w:rsid w:val="00CC0586"/>
    <w:rsid w:val="00CC0609"/>
    <w:rsid w:val="00CC0628"/>
    <w:rsid w:val="00CC06A1"/>
    <w:rsid w:val="00CC06DB"/>
    <w:rsid w:val="00CC073D"/>
    <w:rsid w:val="00CC081D"/>
    <w:rsid w:val="00CC0913"/>
    <w:rsid w:val="00CC0922"/>
    <w:rsid w:val="00CC0A00"/>
    <w:rsid w:val="00CC0A75"/>
    <w:rsid w:val="00CC0A77"/>
    <w:rsid w:val="00CC0B4A"/>
    <w:rsid w:val="00CC0B87"/>
    <w:rsid w:val="00CC0C03"/>
    <w:rsid w:val="00CC0E7E"/>
    <w:rsid w:val="00CC0EE2"/>
    <w:rsid w:val="00CC0EF1"/>
    <w:rsid w:val="00CC0FDF"/>
    <w:rsid w:val="00CC117C"/>
    <w:rsid w:val="00CC1208"/>
    <w:rsid w:val="00CC1260"/>
    <w:rsid w:val="00CC12B8"/>
    <w:rsid w:val="00CC14F3"/>
    <w:rsid w:val="00CC1550"/>
    <w:rsid w:val="00CC159F"/>
    <w:rsid w:val="00CC15D0"/>
    <w:rsid w:val="00CC164A"/>
    <w:rsid w:val="00CC1679"/>
    <w:rsid w:val="00CC1732"/>
    <w:rsid w:val="00CC188D"/>
    <w:rsid w:val="00CC1B53"/>
    <w:rsid w:val="00CC1BA9"/>
    <w:rsid w:val="00CC1BE5"/>
    <w:rsid w:val="00CC1C63"/>
    <w:rsid w:val="00CC1CE4"/>
    <w:rsid w:val="00CC1DAC"/>
    <w:rsid w:val="00CC1F4A"/>
    <w:rsid w:val="00CC1FCA"/>
    <w:rsid w:val="00CC2131"/>
    <w:rsid w:val="00CC2244"/>
    <w:rsid w:val="00CC22A7"/>
    <w:rsid w:val="00CC23F1"/>
    <w:rsid w:val="00CC24B1"/>
    <w:rsid w:val="00CC2600"/>
    <w:rsid w:val="00CC2748"/>
    <w:rsid w:val="00CC27A3"/>
    <w:rsid w:val="00CC295F"/>
    <w:rsid w:val="00CC29BD"/>
    <w:rsid w:val="00CC2D23"/>
    <w:rsid w:val="00CC2EE9"/>
    <w:rsid w:val="00CC2F17"/>
    <w:rsid w:val="00CC30C3"/>
    <w:rsid w:val="00CC313C"/>
    <w:rsid w:val="00CC3202"/>
    <w:rsid w:val="00CC32A6"/>
    <w:rsid w:val="00CC32F4"/>
    <w:rsid w:val="00CC33CA"/>
    <w:rsid w:val="00CC33DC"/>
    <w:rsid w:val="00CC343A"/>
    <w:rsid w:val="00CC34AB"/>
    <w:rsid w:val="00CC34ED"/>
    <w:rsid w:val="00CC3507"/>
    <w:rsid w:val="00CC3526"/>
    <w:rsid w:val="00CC35C2"/>
    <w:rsid w:val="00CC35F8"/>
    <w:rsid w:val="00CC3607"/>
    <w:rsid w:val="00CC364C"/>
    <w:rsid w:val="00CC3801"/>
    <w:rsid w:val="00CC39C5"/>
    <w:rsid w:val="00CC3A30"/>
    <w:rsid w:val="00CC3A59"/>
    <w:rsid w:val="00CC3C58"/>
    <w:rsid w:val="00CC3CD1"/>
    <w:rsid w:val="00CC3D61"/>
    <w:rsid w:val="00CC3DD2"/>
    <w:rsid w:val="00CC3E3B"/>
    <w:rsid w:val="00CC3E85"/>
    <w:rsid w:val="00CC4052"/>
    <w:rsid w:val="00CC4060"/>
    <w:rsid w:val="00CC40C3"/>
    <w:rsid w:val="00CC40DB"/>
    <w:rsid w:val="00CC431E"/>
    <w:rsid w:val="00CC44FC"/>
    <w:rsid w:val="00CC494E"/>
    <w:rsid w:val="00CC4951"/>
    <w:rsid w:val="00CC4967"/>
    <w:rsid w:val="00CC4A43"/>
    <w:rsid w:val="00CC4A8A"/>
    <w:rsid w:val="00CC4BF5"/>
    <w:rsid w:val="00CC4BFB"/>
    <w:rsid w:val="00CC4C02"/>
    <w:rsid w:val="00CC4C1C"/>
    <w:rsid w:val="00CC4CAC"/>
    <w:rsid w:val="00CC50CE"/>
    <w:rsid w:val="00CC5116"/>
    <w:rsid w:val="00CC5353"/>
    <w:rsid w:val="00CC5514"/>
    <w:rsid w:val="00CC55CE"/>
    <w:rsid w:val="00CC570B"/>
    <w:rsid w:val="00CC572C"/>
    <w:rsid w:val="00CC586B"/>
    <w:rsid w:val="00CC5ACA"/>
    <w:rsid w:val="00CC5B4A"/>
    <w:rsid w:val="00CC5B7B"/>
    <w:rsid w:val="00CC5C3E"/>
    <w:rsid w:val="00CC5C4D"/>
    <w:rsid w:val="00CC5D7F"/>
    <w:rsid w:val="00CC5E6E"/>
    <w:rsid w:val="00CC5F1C"/>
    <w:rsid w:val="00CC5F21"/>
    <w:rsid w:val="00CC5FA4"/>
    <w:rsid w:val="00CC5FD6"/>
    <w:rsid w:val="00CC6061"/>
    <w:rsid w:val="00CC60B2"/>
    <w:rsid w:val="00CC6194"/>
    <w:rsid w:val="00CC61D1"/>
    <w:rsid w:val="00CC6266"/>
    <w:rsid w:val="00CC6267"/>
    <w:rsid w:val="00CC633A"/>
    <w:rsid w:val="00CC65DF"/>
    <w:rsid w:val="00CC65F4"/>
    <w:rsid w:val="00CC663A"/>
    <w:rsid w:val="00CC671F"/>
    <w:rsid w:val="00CC67CA"/>
    <w:rsid w:val="00CC686E"/>
    <w:rsid w:val="00CC68A2"/>
    <w:rsid w:val="00CC68DB"/>
    <w:rsid w:val="00CC6A5F"/>
    <w:rsid w:val="00CC6AF4"/>
    <w:rsid w:val="00CC6B53"/>
    <w:rsid w:val="00CC6B77"/>
    <w:rsid w:val="00CC6C95"/>
    <w:rsid w:val="00CC6E37"/>
    <w:rsid w:val="00CC6E99"/>
    <w:rsid w:val="00CC6F38"/>
    <w:rsid w:val="00CC6F57"/>
    <w:rsid w:val="00CC6F86"/>
    <w:rsid w:val="00CC6FB2"/>
    <w:rsid w:val="00CC705D"/>
    <w:rsid w:val="00CC719C"/>
    <w:rsid w:val="00CC723D"/>
    <w:rsid w:val="00CC72E7"/>
    <w:rsid w:val="00CC740E"/>
    <w:rsid w:val="00CC742C"/>
    <w:rsid w:val="00CC74E6"/>
    <w:rsid w:val="00CC7501"/>
    <w:rsid w:val="00CC7622"/>
    <w:rsid w:val="00CC7625"/>
    <w:rsid w:val="00CC7834"/>
    <w:rsid w:val="00CC7973"/>
    <w:rsid w:val="00CC79CA"/>
    <w:rsid w:val="00CC7A1D"/>
    <w:rsid w:val="00CC7A5B"/>
    <w:rsid w:val="00CC7C9C"/>
    <w:rsid w:val="00CC7CC8"/>
    <w:rsid w:val="00CC7D2C"/>
    <w:rsid w:val="00CC7E7E"/>
    <w:rsid w:val="00CC7EA8"/>
    <w:rsid w:val="00CC7EED"/>
    <w:rsid w:val="00CC7FDD"/>
    <w:rsid w:val="00CD0014"/>
    <w:rsid w:val="00CD00A3"/>
    <w:rsid w:val="00CD00B2"/>
    <w:rsid w:val="00CD00BE"/>
    <w:rsid w:val="00CD02A3"/>
    <w:rsid w:val="00CD02E7"/>
    <w:rsid w:val="00CD0332"/>
    <w:rsid w:val="00CD03B2"/>
    <w:rsid w:val="00CD03F9"/>
    <w:rsid w:val="00CD046D"/>
    <w:rsid w:val="00CD053A"/>
    <w:rsid w:val="00CD0546"/>
    <w:rsid w:val="00CD0640"/>
    <w:rsid w:val="00CD064E"/>
    <w:rsid w:val="00CD067F"/>
    <w:rsid w:val="00CD06CA"/>
    <w:rsid w:val="00CD06F2"/>
    <w:rsid w:val="00CD06F4"/>
    <w:rsid w:val="00CD0716"/>
    <w:rsid w:val="00CD0835"/>
    <w:rsid w:val="00CD0852"/>
    <w:rsid w:val="00CD088B"/>
    <w:rsid w:val="00CD0D46"/>
    <w:rsid w:val="00CD0DD6"/>
    <w:rsid w:val="00CD0E3C"/>
    <w:rsid w:val="00CD0F84"/>
    <w:rsid w:val="00CD109B"/>
    <w:rsid w:val="00CD10A5"/>
    <w:rsid w:val="00CD11C6"/>
    <w:rsid w:val="00CD11FB"/>
    <w:rsid w:val="00CD120C"/>
    <w:rsid w:val="00CD1257"/>
    <w:rsid w:val="00CD131E"/>
    <w:rsid w:val="00CD13DA"/>
    <w:rsid w:val="00CD150F"/>
    <w:rsid w:val="00CD15AF"/>
    <w:rsid w:val="00CD15B9"/>
    <w:rsid w:val="00CD16BC"/>
    <w:rsid w:val="00CD16F7"/>
    <w:rsid w:val="00CD1865"/>
    <w:rsid w:val="00CD1893"/>
    <w:rsid w:val="00CD19A4"/>
    <w:rsid w:val="00CD1A89"/>
    <w:rsid w:val="00CD1C5B"/>
    <w:rsid w:val="00CD1CFD"/>
    <w:rsid w:val="00CD1DB0"/>
    <w:rsid w:val="00CD1DB3"/>
    <w:rsid w:val="00CD1DDB"/>
    <w:rsid w:val="00CD1F03"/>
    <w:rsid w:val="00CD1F19"/>
    <w:rsid w:val="00CD1FA0"/>
    <w:rsid w:val="00CD2037"/>
    <w:rsid w:val="00CD210E"/>
    <w:rsid w:val="00CD2162"/>
    <w:rsid w:val="00CD21FC"/>
    <w:rsid w:val="00CD2243"/>
    <w:rsid w:val="00CD2294"/>
    <w:rsid w:val="00CD237F"/>
    <w:rsid w:val="00CD246B"/>
    <w:rsid w:val="00CD2470"/>
    <w:rsid w:val="00CD2590"/>
    <w:rsid w:val="00CD266C"/>
    <w:rsid w:val="00CD2670"/>
    <w:rsid w:val="00CD2720"/>
    <w:rsid w:val="00CD27C2"/>
    <w:rsid w:val="00CD2A41"/>
    <w:rsid w:val="00CD2AAC"/>
    <w:rsid w:val="00CD2AC4"/>
    <w:rsid w:val="00CD2B8C"/>
    <w:rsid w:val="00CD2BF4"/>
    <w:rsid w:val="00CD2C58"/>
    <w:rsid w:val="00CD2C93"/>
    <w:rsid w:val="00CD2CFB"/>
    <w:rsid w:val="00CD2D06"/>
    <w:rsid w:val="00CD2D51"/>
    <w:rsid w:val="00CD2DEC"/>
    <w:rsid w:val="00CD2E3F"/>
    <w:rsid w:val="00CD2E6A"/>
    <w:rsid w:val="00CD2EAB"/>
    <w:rsid w:val="00CD2EBC"/>
    <w:rsid w:val="00CD2FE0"/>
    <w:rsid w:val="00CD3347"/>
    <w:rsid w:val="00CD352E"/>
    <w:rsid w:val="00CD366B"/>
    <w:rsid w:val="00CD3730"/>
    <w:rsid w:val="00CD3787"/>
    <w:rsid w:val="00CD3793"/>
    <w:rsid w:val="00CD37FA"/>
    <w:rsid w:val="00CD3860"/>
    <w:rsid w:val="00CD3989"/>
    <w:rsid w:val="00CD39E8"/>
    <w:rsid w:val="00CD3A30"/>
    <w:rsid w:val="00CD3B89"/>
    <w:rsid w:val="00CD3C50"/>
    <w:rsid w:val="00CD3CFA"/>
    <w:rsid w:val="00CD3D02"/>
    <w:rsid w:val="00CD3D68"/>
    <w:rsid w:val="00CD3D9D"/>
    <w:rsid w:val="00CD3E28"/>
    <w:rsid w:val="00CD3EC9"/>
    <w:rsid w:val="00CD3EDD"/>
    <w:rsid w:val="00CD3EEB"/>
    <w:rsid w:val="00CD3F48"/>
    <w:rsid w:val="00CD3FFE"/>
    <w:rsid w:val="00CD4232"/>
    <w:rsid w:val="00CD4297"/>
    <w:rsid w:val="00CD439B"/>
    <w:rsid w:val="00CD43D4"/>
    <w:rsid w:val="00CD4408"/>
    <w:rsid w:val="00CD444E"/>
    <w:rsid w:val="00CD4610"/>
    <w:rsid w:val="00CD473D"/>
    <w:rsid w:val="00CD4774"/>
    <w:rsid w:val="00CD4849"/>
    <w:rsid w:val="00CD48AF"/>
    <w:rsid w:val="00CD48F5"/>
    <w:rsid w:val="00CD4906"/>
    <w:rsid w:val="00CD4925"/>
    <w:rsid w:val="00CD492D"/>
    <w:rsid w:val="00CD495C"/>
    <w:rsid w:val="00CD4A53"/>
    <w:rsid w:val="00CD4A9B"/>
    <w:rsid w:val="00CD4AAC"/>
    <w:rsid w:val="00CD4D89"/>
    <w:rsid w:val="00CD4D9C"/>
    <w:rsid w:val="00CD4E9A"/>
    <w:rsid w:val="00CD4F71"/>
    <w:rsid w:val="00CD4F82"/>
    <w:rsid w:val="00CD51AB"/>
    <w:rsid w:val="00CD5200"/>
    <w:rsid w:val="00CD5607"/>
    <w:rsid w:val="00CD562E"/>
    <w:rsid w:val="00CD579D"/>
    <w:rsid w:val="00CD580F"/>
    <w:rsid w:val="00CD5829"/>
    <w:rsid w:val="00CD5832"/>
    <w:rsid w:val="00CD595D"/>
    <w:rsid w:val="00CD59E5"/>
    <w:rsid w:val="00CD5C9D"/>
    <w:rsid w:val="00CD5DAF"/>
    <w:rsid w:val="00CD5FD8"/>
    <w:rsid w:val="00CD5FE9"/>
    <w:rsid w:val="00CD60D3"/>
    <w:rsid w:val="00CD6456"/>
    <w:rsid w:val="00CD648A"/>
    <w:rsid w:val="00CD6504"/>
    <w:rsid w:val="00CD6543"/>
    <w:rsid w:val="00CD6670"/>
    <w:rsid w:val="00CD6918"/>
    <w:rsid w:val="00CD69D4"/>
    <w:rsid w:val="00CD6A1D"/>
    <w:rsid w:val="00CD6A28"/>
    <w:rsid w:val="00CD6B55"/>
    <w:rsid w:val="00CD6B7F"/>
    <w:rsid w:val="00CD6CC0"/>
    <w:rsid w:val="00CD6D1F"/>
    <w:rsid w:val="00CD6DA9"/>
    <w:rsid w:val="00CD6E29"/>
    <w:rsid w:val="00CD6FB7"/>
    <w:rsid w:val="00CD7041"/>
    <w:rsid w:val="00CD70B4"/>
    <w:rsid w:val="00CD70B8"/>
    <w:rsid w:val="00CD7184"/>
    <w:rsid w:val="00CD729A"/>
    <w:rsid w:val="00CD7351"/>
    <w:rsid w:val="00CD74F7"/>
    <w:rsid w:val="00CD7564"/>
    <w:rsid w:val="00CD75CB"/>
    <w:rsid w:val="00CD75CD"/>
    <w:rsid w:val="00CD75E7"/>
    <w:rsid w:val="00CD7646"/>
    <w:rsid w:val="00CD765B"/>
    <w:rsid w:val="00CD765C"/>
    <w:rsid w:val="00CD765D"/>
    <w:rsid w:val="00CD7694"/>
    <w:rsid w:val="00CD7710"/>
    <w:rsid w:val="00CD774F"/>
    <w:rsid w:val="00CD778B"/>
    <w:rsid w:val="00CD77F8"/>
    <w:rsid w:val="00CD78AD"/>
    <w:rsid w:val="00CD78BC"/>
    <w:rsid w:val="00CD78C5"/>
    <w:rsid w:val="00CD79B3"/>
    <w:rsid w:val="00CD79D3"/>
    <w:rsid w:val="00CD7A01"/>
    <w:rsid w:val="00CD7A0E"/>
    <w:rsid w:val="00CD7AE8"/>
    <w:rsid w:val="00CD7E79"/>
    <w:rsid w:val="00CD7EE4"/>
    <w:rsid w:val="00CD7F16"/>
    <w:rsid w:val="00CD7F3E"/>
    <w:rsid w:val="00CD7F69"/>
    <w:rsid w:val="00CD7FA8"/>
    <w:rsid w:val="00CE008E"/>
    <w:rsid w:val="00CE00E8"/>
    <w:rsid w:val="00CE0138"/>
    <w:rsid w:val="00CE0185"/>
    <w:rsid w:val="00CE01AE"/>
    <w:rsid w:val="00CE0206"/>
    <w:rsid w:val="00CE02E4"/>
    <w:rsid w:val="00CE030C"/>
    <w:rsid w:val="00CE031E"/>
    <w:rsid w:val="00CE032C"/>
    <w:rsid w:val="00CE0468"/>
    <w:rsid w:val="00CE047B"/>
    <w:rsid w:val="00CE0519"/>
    <w:rsid w:val="00CE05FB"/>
    <w:rsid w:val="00CE069B"/>
    <w:rsid w:val="00CE06CE"/>
    <w:rsid w:val="00CE0852"/>
    <w:rsid w:val="00CE088C"/>
    <w:rsid w:val="00CE0981"/>
    <w:rsid w:val="00CE09F7"/>
    <w:rsid w:val="00CE0AA5"/>
    <w:rsid w:val="00CE0B23"/>
    <w:rsid w:val="00CE0C61"/>
    <w:rsid w:val="00CE0CA1"/>
    <w:rsid w:val="00CE0CD6"/>
    <w:rsid w:val="00CE0D3B"/>
    <w:rsid w:val="00CE0D40"/>
    <w:rsid w:val="00CE0F35"/>
    <w:rsid w:val="00CE0F79"/>
    <w:rsid w:val="00CE0FF1"/>
    <w:rsid w:val="00CE1029"/>
    <w:rsid w:val="00CE1062"/>
    <w:rsid w:val="00CE1174"/>
    <w:rsid w:val="00CE1207"/>
    <w:rsid w:val="00CE1252"/>
    <w:rsid w:val="00CE140D"/>
    <w:rsid w:val="00CE14DF"/>
    <w:rsid w:val="00CE151F"/>
    <w:rsid w:val="00CE15B7"/>
    <w:rsid w:val="00CE1641"/>
    <w:rsid w:val="00CE1665"/>
    <w:rsid w:val="00CE1753"/>
    <w:rsid w:val="00CE17D5"/>
    <w:rsid w:val="00CE1813"/>
    <w:rsid w:val="00CE18B7"/>
    <w:rsid w:val="00CE1C25"/>
    <w:rsid w:val="00CE1C2C"/>
    <w:rsid w:val="00CE1CC6"/>
    <w:rsid w:val="00CE1D4D"/>
    <w:rsid w:val="00CE1DA5"/>
    <w:rsid w:val="00CE1F84"/>
    <w:rsid w:val="00CE2020"/>
    <w:rsid w:val="00CE205C"/>
    <w:rsid w:val="00CE2358"/>
    <w:rsid w:val="00CE24A0"/>
    <w:rsid w:val="00CE259A"/>
    <w:rsid w:val="00CE26A3"/>
    <w:rsid w:val="00CE2AB3"/>
    <w:rsid w:val="00CE2AD7"/>
    <w:rsid w:val="00CE2B21"/>
    <w:rsid w:val="00CE2B39"/>
    <w:rsid w:val="00CE2C11"/>
    <w:rsid w:val="00CE2C43"/>
    <w:rsid w:val="00CE2C67"/>
    <w:rsid w:val="00CE2DD8"/>
    <w:rsid w:val="00CE2DF5"/>
    <w:rsid w:val="00CE324C"/>
    <w:rsid w:val="00CE32B5"/>
    <w:rsid w:val="00CE36BE"/>
    <w:rsid w:val="00CE3708"/>
    <w:rsid w:val="00CE383F"/>
    <w:rsid w:val="00CE397B"/>
    <w:rsid w:val="00CE3B89"/>
    <w:rsid w:val="00CE3C1F"/>
    <w:rsid w:val="00CE3CE2"/>
    <w:rsid w:val="00CE3D81"/>
    <w:rsid w:val="00CE3E20"/>
    <w:rsid w:val="00CE3F62"/>
    <w:rsid w:val="00CE4013"/>
    <w:rsid w:val="00CE41D9"/>
    <w:rsid w:val="00CE426F"/>
    <w:rsid w:val="00CE4301"/>
    <w:rsid w:val="00CE44F3"/>
    <w:rsid w:val="00CE4556"/>
    <w:rsid w:val="00CE4745"/>
    <w:rsid w:val="00CE47C5"/>
    <w:rsid w:val="00CE47EB"/>
    <w:rsid w:val="00CE48C3"/>
    <w:rsid w:val="00CE498A"/>
    <w:rsid w:val="00CE49F4"/>
    <w:rsid w:val="00CE4AB1"/>
    <w:rsid w:val="00CE4AB9"/>
    <w:rsid w:val="00CE4B07"/>
    <w:rsid w:val="00CE4C3D"/>
    <w:rsid w:val="00CE4D4D"/>
    <w:rsid w:val="00CE4E85"/>
    <w:rsid w:val="00CE4F49"/>
    <w:rsid w:val="00CE4F6D"/>
    <w:rsid w:val="00CE4FCB"/>
    <w:rsid w:val="00CE5105"/>
    <w:rsid w:val="00CE52A5"/>
    <w:rsid w:val="00CE56AE"/>
    <w:rsid w:val="00CE5A9F"/>
    <w:rsid w:val="00CE5BF8"/>
    <w:rsid w:val="00CE5C13"/>
    <w:rsid w:val="00CE5C59"/>
    <w:rsid w:val="00CE5D5B"/>
    <w:rsid w:val="00CE5EEB"/>
    <w:rsid w:val="00CE5F00"/>
    <w:rsid w:val="00CE60A2"/>
    <w:rsid w:val="00CE60AF"/>
    <w:rsid w:val="00CE60B8"/>
    <w:rsid w:val="00CE61AC"/>
    <w:rsid w:val="00CE62F0"/>
    <w:rsid w:val="00CE6402"/>
    <w:rsid w:val="00CE6459"/>
    <w:rsid w:val="00CE64BA"/>
    <w:rsid w:val="00CE64D8"/>
    <w:rsid w:val="00CE658E"/>
    <w:rsid w:val="00CE6680"/>
    <w:rsid w:val="00CE676B"/>
    <w:rsid w:val="00CE6801"/>
    <w:rsid w:val="00CE6835"/>
    <w:rsid w:val="00CE6897"/>
    <w:rsid w:val="00CE69F7"/>
    <w:rsid w:val="00CE6AAF"/>
    <w:rsid w:val="00CE6B5C"/>
    <w:rsid w:val="00CE6B6A"/>
    <w:rsid w:val="00CE6DDE"/>
    <w:rsid w:val="00CE6E71"/>
    <w:rsid w:val="00CE6EB5"/>
    <w:rsid w:val="00CE6EC9"/>
    <w:rsid w:val="00CE7082"/>
    <w:rsid w:val="00CE7183"/>
    <w:rsid w:val="00CE71B4"/>
    <w:rsid w:val="00CE71EB"/>
    <w:rsid w:val="00CE7277"/>
    <w:rsid w:val="00CE7296"/>
    <w:rsid w:val="00CE72A5"/>
    <w:rsid w:val="00CE7355"/>
    <w:rsid w:val="00CE7399"/>
    <w:rsid w:val="00CE73D0"/>
    <w:rsid w:val="00CE7662"/>
    <w:rsid w:val="00CE76BF"/>
    <w:rsid w:val="00CE770C"/>
    <w:rsid w:val="00CE7736"/>
    <w:rsid w:val="00CE7803"/>
    <w:rsid w:val="00CE7A1A"/>
    <w:rsid w:val="00CE7A4C"/>
    <w:rsid w:val="00CE7B25"/>
    <w:rsid w:val="00CE7C0A"/>
    <w:rsid w:val="00CE7C9C"/>
    <w:rsid w:val="00CE7D6E"/>
    <w:rsid w:val="00CE7EF7"/>
    <w:rsid w:val="00CE7FA2"/>
    <w:rsid w:val="00CF0322"/>
    <w:rsid w:val="00CF033B"/>
    <w:rsid w:val="00CF04AD"/>
    <w:rsid w:val="00CF050C"/>
    <w:rsid w:val="00CF0577"/>
    <w:rsid w:val="00CF058A"/>
    <w:rsid w:val="00CF069F"/>
    <w:rsid w:val="00CF088F"/>
    <w:rsid w:val="00CF08A8"/>
    <w:rsid w:val="00CF096F"/>
    <w:rsid w:val="00CF0C94"/>
    <w:rsid w:val="00CF0D09"/>
    <w:rsid w:val="00CF0EBC"/>
    <w:rsid w:val="00CF0F1F"/>
    <w:rsid w:val="00CF0FCE"/>
    <w:rsid w:val="00CF0FD6"/>
    <w:rsid w:val="00CF1034"/>
    <w:rsid w:val="00CF1111"/>
    <w:rsid w:val="00CF138C"/>
    <w:rsid w:val="00CF13AF"/>
    <w:rsid w:val="00CF14AB"/>
    <w:rsid w:val="00CF14FC"/>
    <w:rsid w:val="00CF16D2"/>
    <w:rsid w:val="00CF16F0"/>
    <w:rsid w:val="00CF17B2"/>
    <w:rsid w:val="00CF1859"/>
    <w:rsid w:val="00CF18BF"/>
    <w:rsid w:val="00CF18CF"/>
    <w:rsid w:val="00CF1A88"/>
    <w:rsid w:val="00CF1B27"/>
    <w:rsid w:val="00CF1B2C"/>
    <w:rsid w:val="00CF1B33"/>
    <w:rsid w:val="00CF1E6D"/>
    <w:rsid w:val="00CF1FD6"/>
    <w:rsid w:val="00CF20AB"/>
    <w:rsid w:val="00CF20CE"/>
    <w:rsid w:val="00CF20D7"/>
    <w:rsid w:val="00CF2174"/>
    <w:rsid w:val="00CF221E"/>
    <w:rsid w:val="00CF22DD"/>
    <w:rsid w:val="00CF232E"/>
    <w:rsid w:val="00CF25BB"/>
    <w:rsid w:val="00CF25D4"/>
    <w:rsid w:val="00CF2648"/>
    <w:rsid w:val="00CF26BE"/>
    <w:rsid w:val="00CF26E8"/>
    <w:rsid w:val="00CF2743"/>
    <w:rsid w:val="00CF27DB"/>
    <w:rsid w:val="00CF287D"/>
    <w:rsid w:val="00CF2889"/>
    <w:rsid w:val="00CF2988"/>
    <w:rsid w:val="00CF29AB"/>
    <w:rsid w:val="00CF29F6"/>
    <w:rsid w:val="00CF2B20"/>
    <w:rsid w:val="00CF2B74"/>
    <w:rsid w:val="00CF2C83"/>
    <w:rsid w:val="00CF2D31"/>
    <w:rsid w:val="00CF2ECF"/>
    <w:rsid w:val="00CF2EDF"/>
    <w:rsid w:val="00CF2F0B"/>
    <w:rsid w:val="00CF2FD2"/>
    <w:rsid w:val="00CF3068"/>
    <w:rsid w:val="00CF3121"/>
    <w:rsid w:val="00CF313B"/>
    <w:rsid w:val="00CF322D"/>
    <w:rsid w:val="00CF331B"/>
    <w:rsid w:val="00CF3399"/>
    <w:rsid w:val="00CF3511"/>
    <w:rsid w:val="00CF35C7"/>
    <w:rsid w:val="00CF37FC"/>
    <w:rsid w:val="00CF3844"/>
    <w:rsid w:val="00CF3934"/>
    <w:rsid w:val="00CF3B60"/>
    <w:rsid w:val="00CF3B86"/>
    <w:rsid w:val="00CF3BAA"/>
    <w:rsid w:val="00CF3BD3"/>
    <w:rsid w:val="00CF3BFE"/>
    <w:rsid w:val="00CF3C6A"/>
    <w:rsid w:val="00CF3DA9"/>
    <w:rsid w:val="00CF3E16"/>
    <w:rsid w:val="00CF3EA7"/>
    <w:rsid w:val="00CF3EFB"/>
    <w:rsid w:val="00CF403F"/>
    <w:rsid w:val="00CF419D"/>
    <w:rsid w:val="00CF4216"/>
    <w:rsid w:val="00CF4298"/>
    <w:rsid w:val="00CF4337"/>
    <w:rsid w:val="00CF4485"/>
    <w:rsid w:val="00CF462C"/>
    <w:rsid w:val="00CF4671"/>
    <w:rsid w:val="00CF4763"/>
    <w:rsid w:val="00CF47C9"/>
    <w:rsid w:val="00CF47FB"/>
    <w:rsid w:val="00CF4919"/>
    <w:rsid w:val="00CF49FD"/>
    <w:rsid w:val="00CF4A7C"/>
    <w:rsid w:val="00CF4AC1"/>
    <w:rsid w:val="00CF4AFF"/>
    <w:rsid w:val="00CF4B08"/>
    <w:rsid w:val="00CF4B23"/>
    <w:rsid w:val="00CF4B9C"/>
    <w:rsid w:val="00CF4BE8"/>
    <w:rsid w:val="00CF4C57"/>
    <w:rsid w:val="00CF4C78"/>
    <w:rsid w:val="00CF4CD3"/>
    <w:rsid w:val="00CF4D38"/>
    <w:rsid w:val="00CF4E6D"/>
    <w:rsid w:val="00CF4F1C"/>
    <w:rsid w:val="00CF4F8E"/>
    <w:rsid w:val="00CF502E"/>
    <w:rsid w:val="00CF51BD"/>
    <w:rsid w:val="00CF529B"/>
    <w:rsid w:val="00CF56DF"/>
    <w:rsid w:val="00CF57D8"/>
    <w:rsid w:val="00CF584B"/>
    <w:rsid w:val="00CF5991"/>
    <w:rsid w:val="00CF59D2"/>
    <w:rsid w:val="00CF5A81"/>
    <w:rsid w:val="00CF5A9C"/>
    <w:rsid w:val="00CF5AD2"/>
    <w:rsid w:val="00CF5B66"/>
    <w:rsid w:val="00CF5BA6"/>
    <w:rsid w:val="00CF5BC4"/>
    <w:rsid w:val="00CF5BF8"/>
    <w:rsid w:val="00CF5C43"/>
    <w:rsid w:val="00CF5C96"/>
    <w:rsid w:val="00CF5CF3"/>
    <w:rsid w:val="00CF5CF7"/>
    <w:rsid w:val="00CF5D57"/>
    <w:rsid w:val="00CF5DA7"/>
    <w:rsid w:val="00CF5DCF"/>
    <w:rsid w:val="00CF5DFB"/>
    <w:rsid w:val="00CF5EE4"/>
    <w:rsid w:val="00CF5EEF"/>
    <w:rsid w:val="00CF5FA2"/>
    <w:rsid w:val="00CF6179"/>
    <w:rsid w:val="00CF6362"/>
    <w:rsid w:val="00CF63AA"/>
    <w:rsid w:val="00CF6468"/>
    <w:rsid w:val="00CF6475"/>
    <w:rsid w:val="00CF64E9"/>
    <w:rsid w:val="00CF6546"/>
    <w:rsid w:val="00CF656E"/>
    <w:rsid w:val="00CF657B"/>
    <w:rsid w:val="00CF659D"/>
    <w:rsid w:val="00CF66C7"/>
    <w:rsid w:val="00CF6708"/>
    <w:rsid w:val="00CF67A4"/>
    <w:rsid w:val="00CF67DD"/>
    <w:rsid w:val="00CF6860"/>
    <w:rsid w:val="00CF688C"/>
    <w:rsid w:val="00CF692C"/>
    <w:rsid w:val="00CF6A9C"/>
    <w:rsid w:val="00CF6AE9"/>
    <w:rsid w:val="00CF6BD9"/>
    <w:rsid w:val="00CF6D6C"/>
    <w:rsid w:val="00CF6E77"/>
    <w:rsid w:val="00CF6ED2"/>
    <w:rsid w:val="00CF6F6F"/>
    <w:rsid w:val="00CF7001"/>
    <w:rsid w:val="00CF701A"/>
    <w:rsid w:val="00CF72A1"/>
    <w:rsid w:val="00CF72BD"/>
    <w:rsid w:val="00CF73AA"/>
    <w:rsid w:val="00CF7451"/>
    <w:rsid w:val="00CF7475"/>
    <w:rsid w:val="00CF74D2"/>
    <w:rsid w:val="00CF74D5"/>
    <w:rsid w:val="00CF7564"/>
    <w:rsid w:val="00CF7576"/>
    <w:rsid w:val="00CF765B"/>
    <w:rsid w:val="00CF7690"/>
    <w:rsid w:val="00CF7762"/>
    <w:rsid w:val="00CF78A8"/>
    <w:rsid w:val="00CF799C"/>
    <w:rsid w:val="00CF7A6C"/>
    <w:rsid w:val="00CF7B28"/>
    <w:rsid w:val="00CF7B37"/>
    <w:rsid w:val="00CF7D2B"/>
    <w:rsid w:val="00CF7D41"/>
    <w:rsid w:val="00CF7E58"/>
    <w:rsid w:val="00CF7EBB"/>
    <w:rsid w:val="00CF7EEB"/>
    <w:rsid w:val="00CF7F1D"/>
    <w:rsid w:val="00CF7F53"/>
    <w:rsid w:val="00CF7F86"/>
    <w:rsid w:val="00CF7FDD"/>
    <w:rsid w:val="00D00085"/>
    <w:rsid w:val="00D001F6"/>
    <w:rsid w:val="00D00318"/>
    <w:rsid w:val="00D00494"/>
    <w:rsid w:val="00D0060A"/>
    <w:rsid w:val="00D00665"/>
    <w:rsid w:val="00D006E8"/>
    <w:rsid w:val="00D006FB"/>
    <w:rsid w:val="00D0075E"/>
    <w:rsid w:val="00D007CE"/>
    <w:rsid w:val="00D0084D"/>
    <w:rsid w:val="00D008EA"/>
    <w:rsid w:val="00D00A1F"/>
    <w:rsid w:val="00D00A24"/>
    <w:rsid w:val="00D00A54"/>
    <w:rsid w:val="00D00CBC"/>
    <w:rsid w:val="00D00D2F"/>
    <w:rsid w:val="00D00D45"/>
    <w:rsid w:val="00D00FA7"/>
    <w:rsid w:val="00D010EC"/>
    <w:rsid w:val="00D0110B"/>
    <w:rsid w:val="00D011D4"/>
    <w:rsid w:val="00D011E4"/>
    <w:rsid w:val="00D01261"/>
    <w:rsid w:val="00D01311"/>
    <w:rsid w:val="00D0136B"/>
    <w:rsid w:val="00D014F6"/>
    <w:rsid w:val="00D01639"/>
    <w:rsid w:val="00D01657"/>
    <w:rsid w:val="00D01675"/>
    <w:rsid w:val="00D016F1"/>
    <w:rsid w:val="00D01796"/>
    <w:rsid w:val="00D0191E"/>
    <w:rsid w:val="00D019BB"/>
    <w:rsid w:val="00D019D0"/>
    <w:rsid w:val="00D01A38"/>
    <w:rsid w:val="00D01AF2"/>
    <w:rsid w:val="00D01B75"/>
    <w:rsid w:val="00D01C31"/>
    <w:rsid w:val="00D01C69"/>
    <w:rsid w:val="00D01DA4"/>
    <w:rsid w:val="00D01E51"/>
    <w:rsid w:val="00D02000"/>
    <w:rsid w:val="00D02067"/>
    <w:rsid w:val="00D020CA"/>
    <w:rsid w:val="00D02227"/>
    <w:rsid w:val="00D022F6"/>
    <w:rsid w:val="00D0248E"/>
    <w:rsid w:val="00D02577"/>
    <w:rsid w:val="00D025DA"/>
    <w:rsid w:val="00D025EA"/>
    <w:rsid w:val="00D02662"/>
    <w:rsid w:val="00D027E9"/>
    <w:rsid w:val="00D028F7"/>
    <w:rsid w:val="00D028FE"/>
    <w:rsid w:val="00D0291D"/>
    <w:rsid w:val="00D0293E"/>
    <w:rsid w:val="00D029C3"/>
    <w:rsid w:val="00D02B6B"/>
    <w:rsid w:val="00D02BA3"/>
    <w:rsid w:val="00D02BF6"/>
    <w:rsid w:val="00D02C86"/>
    <w:rsid w:val="00D02CFB"/>
    <w:rsid w:val="00D02D94"/>
    <w:rsid w:val="00D02E40"/>
    <w:rsid w:val="00D02E92"/>
    <w:rsid w:val="00D02F2C"/>
    <w:rsid w:val="00D03039"/>
    <w:rsid w:val="00D03080"/>
    <w:rsid w:val="00D030E7"/>
    <w:rsid w:val="00D03113"/>
    <w:rsid w:val="00D031AC"/>
    <w:rsid w:val="00D03208"/>
    <w:rsid w:val="00D033B1"/>
    <w:rsid w:val="00D034C2"/>
    <w:rsid w:val="00D034D2"/>
    <w:rsid w:val="00D0354E"/>
    <w:rsid w:val="00D03578"/>
    <w:rsid w:val="00D0358A"/>
    <w:rsid w:val="00D035AB"/>
    <w:rsid w:val="00D035D7"/>
    <w:rsid w:val="00D037EA"/>
    <w:rsid w:val="00D039C9"/>
    <w:rsid w:val="00D039F0"/>
    <w:rsid w:val="00D03A5C"/>
    <w:rsid w:val="00D03BA4"/>
    <w:rsid w:val="00D03C13"/>
    <w:rsid w:val="00D03C32"/>
    <w:rsid w:val="00D03C78"/>
    <w:rsid w:val="00D03D4F"/>
    <w:rsid w:val="00D03EE5"/>
    <w:rsid w:val="00D03F1D"/>
    <w:rsid w:val="00D03F4B"/>
    <w:rsid w:val="00D03F77"/>
    <w:rsid w:val="00D0409E"/>
    <w:rsid w:val="00D0416A"/>
    <w:rsid w:val="00D043A6"/>
    <w:rsid w:val="00D04519"/>
    <w:rsid w:val="00D0454B"/>
    <w:rsid w:val="00D045D1"/>
    <w:rsid w:val="00D04655"/>
    <w:rsid w:val="00D046A0"/>
    <w:rsid w:val="00D046BC"/>
    <w:rsid w:val="00D048A2"/>
    <w:rsid w:val="00D04951"/>
    <w:rsid w:val="00D049A2"/>
    <w:rsid w:val="00D049CF"/>
    <w:rsid w:val="00D04C53"/>
    <w:rsid w:val="00D04C54"/>
    <w:rsid w:val="00D04CFC"/>
    <w:rsid w:val="00D04D48"/>
    <w:rsid w:val="00D05039"/>
    <w:rsid w:val="00D05050"/>
    <w:rsid w:val="00D050DA"/>
    <w:rsid w:val="00D051AB"/>
    <w:rsid w:val="00D052AC"/>
    <w:rsid w:val="00D05336"/>
    <w:rsid w:val="00D0559D"/>
    <w:rsid w:val="00D055CE"/>
    <w:rsid w:val="00D0567D"/>
    <w:rsid w:val="00D0588C"/>
    <w:rsid w:val="00D05968"/>
    <w:rsid w:val="00D05ADB"/>
    <w:rsid w:val="00D05B43"/>
    <w:rsid w:val="00D05B9B"/>
    <w:rsid w:val="00D05BA7"/>
    <w:rsid w:val="00D05BB2"/>
    <w:rsid w:val="00D05BF9"/>
    <w:rsid w:val="00D05C60"/>
    <w:rsid w:val="00D05D86"/>
    <w:rsid w:val="00D05E93"/>
    <w:rsid w:val="00D060A2"/>
    <w:rsid w:val="00D0616C"/>
    <w:rsid w:val="00D062A2"/>
    <w:rsid w:val="00D06303"/>
    <w:rsid w:val="00D06334"/>
    <w:rsid w:val="00D0639A"/>
    <w:rsid w:val="00D06472"/>
    <w:rsid w:val="00D064C4"/>
    <w:rsid w:val="00D0652B"/>
    <w:rsid w:val="00D06730"/>
    <w:rsid w:val="00D06879"/>
    <w:rsid w:val="00D06A44"/>
    <w:rsid w:val="00D06AEF"/>
    <w:rsid w:val="00D06B9F"/>
    <w:rsid w:val="00D06BF6"/>
    <w:rsid w:val="00D06D97"/>
    <w:rsid w:val="00D06E79"/>
    <w:rsid w:val="00D06F07"/>
    <w:rsid w:val="00D06F4C"/>
    <w:rsid w:val="00D06F56"/>
    <w:rsid w:val="00D07023"/>
    <w:rsid w:val="00D07038"/>
    <w:rsid w:val="00D07064"/>
    <w:rsid w:val="00D071EE"/>
    <w:rsid w:val="00D072B9"/>
    <w:rsid w:val="00D073D6"/>
    <w:rsid w:val="00D073DB"/>
    <w:rsid w:val="00D073DF"/>
    <w:rsid w:val="00D073F4"/>
    <w:rsid w:val="00D074C4"/>
    <w:rsid w:val="00D07738"/>
    <w:rsid w:val="00D078AF"/>
    <w:rsid w:val="00D078C9"/>
    <w:rsid w:val="00D078E6"/>
    <w:rsid w:val="00D079F1"/>
    <w:rsid w:val="00D07B84"/>
    <w:rsid w:val="00D07C49"/>
    <w:rsid w:val="00D07DCD"/>
    <w:rsid w:val="00D07F7B"/>
    <w:rsid w:val="00D07FDB"/>
    <w:rsid w:val="00D10180"/>
    <w:rsid w:val="00D101B2"/>
    <w:rsid w:val="00D102EE"/>
    <w:rsid w:val="00D1030D"/>
    <w:rsid w:val="00D1030F"/>
    <w:rsid w:val="00D10312"/>
    <w:rsid w:val="00D103D6"/>
    <w:rsid w:val="00D1050E"/>
    <w:rsid w:val="00D1057F"/>
    <w:rsid w:val="00D10581"/>
    <w:rsid w:val="00D10686"/>
    <w:rsid w:val="00D106C5"/>
    <w:rsid w:val="00D10824"/>
    <w:rsid w:val="00D108A1"/>
    <w:rsid w:val="00D1093E"/>
    <w:rsid w:val="00D10A6D"/>
    <w:rsid w:val="00D10AD1"/>
    <w:rsid w:val="00D10BBF"/>
    <w:rsid w:val="00D10C6A"/>
    <w:rsid w:val="00D10D39"/>
    <w:rsid w:val="00D10D58"/>
    <w:rsid w:val="00D10D5D"/>
    <w:rsid w:val="00D10DAD"/>
    <w:rsid w:val="00D10F7D"/>
    <w:rsid w:val="00D11042"/>
    <w:rsid w:val="00D11090"/>
    <w:rsid w:val="00D11132"/>
    <w:rsid w:val="00D112C9"/>
    <w:rsid w:val="00D112F1"/>
    <w:rsid w:val="00D1132C"/>
    <w:rsid w:val="00D1138D"/>
    <w:rsid w:val="00D11420"/>
    <w:rsid w:val="00D11428"/>
    <w:rsid w:val="00D11489"/>
    <w:rsid w:val="00D114A7"/>
    <w:rsid w:val="00D1151D"/>
    <w:rsid w:val="00D11577"/>
    <w:rsid w:val="00D11579"/>
    <w:rsid w:val="00D115D6"/>
    <w:rsid w:val="00D1164A"/>
    <w:rsid w:val="00D116C0"/>
    <w:rsid w:val="00D1178B"/>
    <w:rsid w:val="00D11B69"/>
    <w:rsid w:val="00D11BE6"/>
    <w:rsid w:val="00D11D36"/>
    <w:rsid w:val="00D11E53"/>
    <w:rsid w:val="00D11F6B"/>
    <w:rsid w:val="00D12029"/>
    <w:rsid w:val="00D12064"/>
    <w:rsid w:val="00D12084"/>
    <w:rsid w:val="00D12091"/>
    <w:rsid w:val="00D12170"/>
    <w:rsid w:val="00D1240C"/>
    <w:rsid w:val="00D1252D"/>
    <w:rsid w:val="00D125FE"/>
    <w:rsid w:val="00D12661"/>
    <w:rsid w:val="00D12666"/>
    <w:rsid w:val="00D126BE"/>
    <w:rsid w:val="00D126C7"/>
    <w:rsid w:val="00D12707"/>
    <w:rsid w:val="00D12712"/>
    <w:rsid w:val="00D12808"/>
    <w:rsid w:val="00D12857"/>
    <w:rsid w:val="00D128B1"/>
    <w:rsid w:val="00D128B4"/>
    <w:rsid w:val="00D12959"/>
    <w:rsid w:val="00D1298E"/>
    <w:rsid w:val="00D129D0"/>
    <w:rsid w:val="00D129D2"/>
    <w:rsid w:val="00D12AB4"/>
    <w:rsid w:val="00D12B77"/>
    <w:rsid w:val="00D12DFA"/>
    <w:rsid w:val="00D12E31"/>
    <w:rsid w:val="00D12E4C"/>
    <w:rsid w:val="00D12EF1"/>
    <w:rsid w:val="00D12FAD"/>
    <w:rsid w:val="00D1302A"/>
    <w:rsid w:val="00D1309C"/>
    <w:rsid w:val="00D1310A"/>
    <w:rsid w:val="00D13181"/>
    <w:rsid w:val="00D133E4"/>
    <w:rsid w:val="00D133EE"/>
    <w:rsid w:val="00D13626"/>
    <w:rsid w:val="00D136EE"/>
    <w:rsid w:val="00D1375D"/>
    <w:rsid w:val="00D1399A"/>
    <w:rsid w:val="00D13A54"/>
    <w:rsid w:val="00D13A79"/>
    <w:rsid w:val="00D13AFF"/>
    <w:rsid w:val="00D13B2B"/>
    <w:rsid w:val="00D13BB8"/>
    <w:rsid w:val="00D13C05"/>
    <w:rsid w:val="00D13C7D"/>
    <w:rsid w:val="00D13D1B"/>
    <w:rsid w:val="00D13D4A"/>
    <w:rsid w:val="00D13DDF"/>
    <w:rsid w:val="00D1404E"/>
    <w:rsid w:val="00D14104"/>
    <w:rsid w:val="00D141EE"/>
    <w:rsid w:val="00D1421B"/>
    <w:rsid w:val="00D1423E"/>
    <w:rsid w:val="00D14256"/>
    <w:rsid w:val="00D143C7"/>
    <w:rsid w:val="00D143D9"/>
    <w:rsid w:val="00D1440F"/>
    <w:rsid w:val="00D14426"/>
    <w:rsid w:val="00D1450E"/>
    <w:rsid w:val="00D14512"/>
    <w:rsid w:val="00D14668"/>
    <w:rsid w:val="00D147EA"/>
    <w:rsid w:val="00D149BD"/>
    <w:rsid w:val="00D14AE0"/>
    <w:rsid w:val="00D14B10"/>
    <w:rsid w:val="00D14C8F"/>
    <w:rsid w:val="00D14CF2"/>
    <w:rsid w:val="00D14F59"/>
    <w:rsid w:val="00D14FE3"/>
    <w:rsid w:val="00D15054"/>
    <w:rsid w:val="00D1529C"/>
    <w:rsid w:val="00D152B5"/>
    <w:rsid w:val="00D15383"/>
    <w:rsid w:val="00D15422"/>
    <w:rsid w:val="00D154EE"/>
    <w:rsid w:val="00D155C3"/>
    <w:rsid w:val="00D156C7"/>
    <w:rsid w:val="00D156EE"/>
    <w:rsid w:val="00D15879"/>
    <w:rsid w:val="00D158CF"/>
    <w:rsid w:val="00D1594C"/>
    <w:rsid w:val="00D15A58"/>
    <w:rsid w:val="00D15A6D"/>
    <w:rsid w:val="00D15AA1"/>
    <w:rsid w:val="00D15B34"/>
    <w:rsid w:val="00D15B43"/>
    <w:rsid w:val="00D15BCE"/>
    <w:rsid w:val="00D15D97"/>
    <w:rsid w:val="00D15E54"/>
    <w:rsid w:val="00D15EB4"/>
    <w:rsid w:val="00D15EF6"/>
    <w:rsid w:val="00D15F37"/>
    <w:rsid w:val="00D15FBA"/>
    <w:rsid w:val="00D1623A"/>
    <w:rsid w:val="00D16253"/>
    <w:rsid w:val="00D16308"/>
    <w:rsid w:val="00D16347"/>
    <w:rsid w:val="00D16362"/>
    <w:rsid w:val="00D163AC"/>
    <w:rsid w:val="00D1646C"/>
    <w:rsid w:val="00D1667E"/>
    <w:rsid w:val="00D166F6"/>
    <w:rsid w:val="00D167C7"/>
    <w:rsid w:val="00D167DB"/>
    <w:rsid w:val="00D16879"/>
    <w:rsid w:val="00D168BC"/>
    <w:rsid w:val="00D1694A"/>
    <w:rsid w:val="00D16951"/>
    <w:rsid w:val="00D16998"/>
    <w:rsid w:val="00D169A1"/>
    <w:rsid w:val="00D169EB"/>
    <w:rsid w:val="00D16A28"/>
    <w:rsid w:val="00D16A61"/>
    <w:rsid w:val="00D16AFF"/>
    <w:rsid w:val="00D16B5B"/>
    <w:rsid w:val="00D16C19"/>
    <w:rsid w:val="00D16CB0"/>
    <w:rsid w:val="00D16CE1"/>
    <w:rsid w:val="00D16E26"/>
    <w:rsid w:val="00D16E37"/>
    <w:rsid w:val="00D16F70"/>
    <w:rsid w:val="00D1705D"/>
    <w:rsid w:val="00D170CE"/>
    <w:rsid w:val="00D170FE"/>
    <w:rsid w:val="00D17205"/>
    <w:rsid w:val="00D17244"/>
    <w:rsid w:val="00D1724F"/>
    <w:rsid w:val="00D1725D"/>
    <w:rsid w:val="00D172EF"/>
    <w:rsid w:val="00D17310"/>
    <w:rsid w:val="00D17395"/>
    <w:rsid w:val="00D173FD"/>
    <w:rsid w:val="00D17434"/>
    <w:rsid w:val="00D174B5"/>
    <w:rsid w:val="00D174B8"/>
    <w:rsid w:val="00D174D4"/>
    <w:rsid w:val="00D174E9"/>
    <w:rsid w:val="00D17551"/>
    <w:rsid w:val="00D177E4"/>
    <w:rsid w:val="00D17965"/>
    <w:rsid w:val="00D17A5D"/>
    <w:rsid w:val="00D17ABE"/>
    <w:rsid w:val="00D17AC3"/>
    <w:rsid w:val="00D17B18"/>
    <w:rsid w:val="00D17BF6"/>
    <w:rsid w:val="00D17CB9"/>
    <w:rsid w:val="00D17D08"/>
    <w:rsid w:val="00D17D3A"/>
    <w:rsid w:val="00D17D86"/>
    <w:rsid w:val="00D17DBC"/>
    <w:rsid w:val="00D17EFB"/>
    <w:rsid w:val="00D17F34"/>
    <w:rsid w:val="00D17F77"/>
    <w:rsid w:val="00D17FAC"/>
    <w:rsid w:val="00D2003F"/>
    <w:rsid w:val="00D20073"/>
    <w:rsid w:val="00D200A4"/>
    <w:rsid w:val="00D20188"/>
    <w:rsid w:val="00D2021E"/>
    <w:rsid w:val="00D20370"/>
    <w:rsid w:val="00D20381"/>
    <w:rsid w:val="00D20442"/>
    <w:rsid w:val="00D2051D"/>
    <w:rsid w:val="00D20593"/>
    <w:rsid w:val="00D20639"/>
    <w:rsid w:val="00D207D0"/>
    <w:rsid w:val="00D207F2"/>
    <w:rsid w:val="00D2084A"/>
    <w:rsid w:val="00D20928"/>
    <w:rsid w:val="00D2092E"/>
    <w:rsid w:val="00D20960"/>
    <w:rsid w:val="00D209AA"/>
    <w:rsid w:val="00D20A7C"/>
    <w:rsid w:val="00D20B2D"/>
    <w:rsid w:val="00D20BC6"/>
    <w:rsid w:val="00D20E38"/>
    <w:rsid w:val="00D20E45"/>
    <w:rsid w:val="00D20EF7"/>
    <w:rsid w:val="00D21000"/>
    <w:rsid w:val="00D21048"/>
    <w:rsid w:val="00D210FE"/>
    <w:rsid w:val="00D2111E"/>
    <w:rsid w:val="00D2126E"/>
    <w:rsid w:val="00D2130A"/>
    <w:rsid w:val="00D213B4"/>
    <w:rsid w:val="00D214A9"/>
    <w:rsid w:val="00D21523"/>
    <w:rsid w:val="00D215C9"/>
    <w:rsid w:val="00D21676"/>
    <w:rsid w:val="00D21697"/>
    <w:rsid w:val="00D217AB"/>
    <w:rsid w:val="00D217FF"/>
    <w:rsid w:val="00D218A6"/>
    <w:rsid w:val="00D21959"/>
    <w:rsid w:val="00D219D1"/>
    <w:rsid w:val="00D21CA0"/>
    <w:rsid w:val="00D21D1D"/>
    <w:rsid w:val="00D21E3C"/>
    <w:rsid w:val="00D21EBB"/>
    <w:rsid w:val="00D21F0D"/>
    <w:rsid w:val="00D21F5E"/>
    <w:rsid w:val="00D2207E"/>
    <w:rsid w:val="00D2208F"/>
    <w:rsid w:val="00D22122"/>
    <w:rsid w:val="00D2218C"/>
    <w:rsid w:val="00D22276"/>
    <w:rsid w:val="00D2227A"/>
    <w:rsid w:val="00D222DB"/>
    <w:rsid w:val="00D223A8"/>
    <w:rsid w:val="00D223FE"/>
    <w:rsid w:val="00D225FB"/>
    <w:rsid w:val="00D2260E"/>
    <w:rsid w:val="00D2266A"/>
    <w:rsid w:val="00D226DD"/>
    <w:rsid w:val="00D2272B"/>
    <w:rsid w:val="00D22828"/>
    <w:rsid w:val="00D228C5"/>
    <w:rsid w:val="00D228F8"/>
    <w:rsid w:val="00D229D3"/>
    <w:rsid w:val="00D229D9"/>
    <w:rsid w:val="00D22B6D"/>
    <w:rsid w:val="00D22B86"/>
    <w:rsid w:val="00D22C19"/>
    <w:rsid w:val="00D22DB9"/>
    <w:rsid w:val="00D22DEE"/>
    <w:rsid w:val="00D22E11"/>
    <w:rsid w:val="00D22F67"/>
    <w:rsid w:val="00D23046"/>
    <w:rsid w:val="00D23050"/>
    <w:rsid w:val="00D231DF"/>
    <w:rsid w:val="00D23312"/>
    <w:rsid w:val="00D23327"/>
    <w:rsid w:val="00D23360"/>
    <w:rsid w:val="00D235F8"/>
    <w:rsid w:val="00D2363F"/>
    <w:rsid w:val="00D23959"/>
    <w:rsid w:val="00D23AE4"/>
    <w:rsid w:val="00D23B5D"/>
    <w:rsid w:val="00D23B93"/>
    <w:rsid w:val="00D23C1C"/>
    <w:rsid w:val="00D23C86"/>
    <w:rsid w:val="00D23CEC"/>
    <w:rsid w:val="00D23D38"/>
    <w:rsid w:val="00D23D80"/>
    <w:rsid w:val="00D23E8E"/>
    <w:rsid w:val="00D241B2"/>
    <w:rsid w:val="00D2427B"/>
    <w:rsid w:val="00D242EE"/>
    <w:rsid w:val="00D24314"/>
    <w:rsid w:val="00D24456"/>
    <w:rsid w:val="00D244D5"/>
    <w:rsid w:val="00D245A2"/>
    <w:rsid w:val="00D245BA"/>
    <w:rsid w:val="00D24638"/>
    <w:rsid w:val="00D2474F"/>
    <w:rsid w:val="00D248AA"/>
    <w:rsid w:val="00D249B8"/>
    <w:rsid w:val="00D24B4E"/>
    <w:rsid w:val="00D24C63"/>
    <w:rsid w:val="00D24DFE"/>
    <w:rsid w:val="00D24E2E"/>
    <w:rsid w:val="00D24EA0"/>
    <w:rsid w:val="00D24F02"/>
    <w:rsid w:val="00D24F84"/>
    <w:rsid w:val="00D2505A"/>
    <w:rsid w:val="00D25076"/>
    <w:rsid w:val="00D253D9"/>
    <w:rsid w:val="00D25572"/>
    <w:rsid w:val="00D25582"/>
    <w:rsid w:val="00D255A3"/>
    <w:rsid w:val="00D255E1"/>
    <w:rsid w:val="00D25681"/>
    <w:rsid w:val="00D2575F"/>
    <w:rsid w:val="00D25788"/>
    <w:rsid w:val="00D2585D"/>
    <w:rsid w:val="00D2588B"/>
    <w:rsid w:val="00D259CD"/>
    <w:rsid w:val="00D25D5C"/>
    <w:rsid w:val="00D25DAD"/>
    <w:rsid w:val="00D25E3C"/>
    <w:rsid w:val="00D25E5D"/>
    <w:rsid w:val="00D25EA7"/>
    <w:rsid w:val="00D25F43"/>
    <w:rsid w:val="00D25F7D"/>
    <w:rsid w:val="00D25FC9"/>
    <w:rsid w:val="00D2607A"/>
    <w:rsid w:val="00D26111"/>
    <w:rsid w:val="00D26200"/>
    <w:rsid w:val="00D26318"/>
    <w:rsid w:val="00D26352"/>
    <w:rsid w:val="00D26356"/>
    <w:rsid w:val="00D26463"/>
    <w:rsid w:val="00D2646A"/>
    <w:rsid w:val="00D26538"/>
    <w:rsid w:val="00D265AC"/>
    <w:rsid w:val="00D265CC"/>
    <w:rsid w:val="00D265DE"/>
    <w:rsid w:val="00D2669D"/>
    <w:rsid w:val="00D266BE"/>
    <w:rsid w:val="00D267E7"/>
    <w:rsid w:val="00D269C3"/>
    <w:rsid w:val="00D26A21"/>
    <w:rsid w:val="00D26A82"/>
    <w:rsid w:val="00D26AED"/>
    <w:rsid w:val="00D26B57"/>
    <w:rsid w:val="00D26E41"/>
    <w:rsid w:val="00D26EB1"/>
    <w:rsid w:val="00D26FBB"/>
    <w:rsid w:val="00D270B8"/>
    <w:rsid w:val="00D270F6"/>
    <w:rsid w:val="00D27443"/>
    <w:rsid w:val="00D274A5"/>
    <w:rsid w:val="00D27557"/>
    <w:rsid w:val="00D276F5"/>
    <w:rsid w:val="00D277B4"/>
    <w:rsid w:val="00D277BF"/>
    <w:rsid w:val="00D277C0"/>
    <w:rsid w:val="00D2790D"/>
    <w:rsid w:val="00D279B0"/>
    <w:rsid w:val="00D279E1"/>
    <w:rsid w:val="00D279E6"/>
    <w:rsid w:val="00D27B5F"/>
    <w:rsid w:val="00D27B77"/>
    <w:rsid w:val="00D27C2F"/>
    <w:rsid w:val="00D27C7D"/>
    <w:rsid w:val="00D27CB1"/>
    <w:rsid w:val="00D27DFB"/>
    <w:rsid w:val="00D27EBF"/>
    <w:rsid w:val="00D27F42"/>
    <w:rsid w:val="00D27F62"/>
    <w:rsid w:val="00D27FF2"/>
    <w:rsid w:val="00D300B9"/>
    <w:rsid w:val="00D3011C"/>
    <w:rsid w:val="00D30230"/>
    <w:rsid w:val="00D3025F"/>
    <w:rsid w:val="00D30262"/>
    <w:rsid w:val="00D30343"/>
    <w:rsid w:val="00D303C0"/>
    <w:rsid w:val="00D30436"/>
    <w:rsid w:val="00D3050B"/>
    <w:rsid w:val="00D30518"/>
    <w:rsid w:val="00D305BF"/>
    <w:rsid w:val="00D30747"/>
    <w:rsid w:val="00D307BC"/>
    <w:rsid w:val="00D3089D"/>
    <w:rsid w:val="00D3097B"/>
    <w:rsid w:val="00D30A65"/>
    <w:rsid w:val="00D30BB8"/>
    <w:rsid w:val="00D30EF7"/>
    <w:rsid w:val="00D30F90"/>
    <w:rsid w:val="00D310BF"/>
    <w:rsid w:val="00D31142"/>
    <w:rsid w:val="00D31179"/>
    <w:rsid w:val="00D3133C"/>
    <w:rsid w:val="00D31383"/>
    <w:rsid w:val="00D3142B"/>
    <w:rsid w:val="00D31543"/>
    <w:rsid w:val="00D31661"/>
    <w:rsid w:val="00D316C7"/>
    <w:rsid w:val="00D316D8"/>
    <w:rsid w:val="00D31707"/>
    <w:rsid w:val="00D31782"/>
    <w:rsid w:val="00D31880"/>
    <w:rsid w:val="00D318C6"/>
    <w:rsid w:val="00D31940"/>
    <w:rsid w:val="00D319F7"/>
    <w:rsid w:val="00D31A70"/>
    <w:rsid w:val="00D31B6D"/>
    <w:rsid w:val="00D31CA0"/>
    <w:rsid w:val="00D31E1E"/>
    <w:rsid w:val="00D31E33"/>
    <w:rsid w:val="00D32023"/>
    <w:rsid w:val="00D3202B"/>
    <w:rsid w:val="00D3204C"/>
    <w:rsid w:val="00D32052"/>
    <w:rsid w:val="00D3205D"/>
    <w:rsid w:val="00D32269"/>
    <w:rsid w:val="00D322E0"/>
    <w:rsid w:val="00D32493"/>
    <w:rsid w:val="00D32664"/>
    <w:rsid w:val="00D326A3"/>
    <w:rsid w:val="00D32712"/>
    <w:rsid w:val="00D32753"/>
    <w:rsid w:val="00D32856"/>
    <w:rsid w:val="00D328C3"/>
    <w:rsid w:val="00D32973"/>
    <w:rsid w:val="00D32A99"/>
    <w:rsid w:val="00D32B8D"/>
    <w:rsid w:val="00D32BDE"/>
    <w:rsid w:val="00D32DAE"/>
    <w:rsid w:val="00D32DE9"/>
    <w:rsid w:val="00D33005"/>
    <w:rsid w:val="00D3315B"/>
    <w:rsid w:val="00D331CC"/>
    <w:rsid w:val="00D3320C"/>
    <w:rsid w:val="00D33430"/>
    <w:rsid w:val="00D33567"/>
    <w:rsid w:val="00D335A4"/>
    <w:rsid w:val="00D336E2"/>
    <w:rsid w:val="00D33708"/>
    <w:rsid w:val="00D3378A"/>
    <w:rsid w:val="00D33803"/>
    <w:rsid w:val="00D33847"/>
    <w:rsid w:val="00D3388A"/>
    <w:rsid w:val="00D338DA"/>
    <w:rsid w:val="00D3395F"/>
    <w:rsid w:val="00D33A38"/>
    <w:rsid w:val="00D33B11"/>
    <w:rsid w:val="00D33BD8"/>
    <w:rsid w:val="00D33BFB"/>
    <w:rsid w:val="00D33F8F"/>
    <w:rsid w:val="00D33F9A"/>
    <w:rsid w:val="00D33F9E"/>
    <w:rsid w:val="00D3402A"/>
    <w:rsid w:val="00D34080"/>
    <w:rsid w:val="00D34090"/>
    <w:rsid w:val="00D343CC"/>
    <w:rsid w:val="00D3442A"/>
    <w:rsid w:val="00D34433"/>
    <w:rsid w:val="00D34537"/>
    <w:rsid w:val="00D3454C"/>
    <w:rsid w:val="00D3475C"/>
    <w:rsid w:val="00D34780"/>
    <w:rsid w:val="00D347FA"/>
    <w:rsid w:val="00D34921"/>
    <w:rsid w:val="00D34965"/>
    <w:rsid w:val="00D349DB"/>
    <w:rsid w:val="00D349FD"/>
    <w:rsid w:val="00D34A14"/>
    <w:rsid w:val="00D34A80"/>
    <w:rsid w:val="00D34A81"/>
    <w:rsid w:val="00D34AD6"/>
    <w:rsid w:val="00D34CCD"/>
    <w:rsid w:val="00D34D26"/>
    <w:rsid w:val="00D34D9B"/>
    <w:rsid w:val="00D34FF3"/>
    <w:rsid w:val="00D35204"/>
    <w:rsid w:val="00D35259"/>
    <w:rsid w:val="00D352C6"/>
    <w:rsid w:val="00D3532E"/>
    <w:rsid w:val="00D35388"/>
    <w:rsid w:val="00D35390"/>
    <w:rsid w:val="00D35438"/>
    <w:rsid w:val="00D354DE"/>
    <w:rsid w:val="00D35515"/>
    <w:rsid w:val="00D355FA"/>
    <w:rsid w:val="00D356C5"/>
    <w:rsid w:val="00D357A2"/>
    <w:rsid w:val="00D35948"/>
    <w:rsid w:val="00D35957"/>
    <w:rsid w:val="00D35A61"/>
    <w:rsid w:val="00D35A8D"/>
    <w:rsid w:val="00D35D71"/>
    <w:rsid w:val="00D35F69"/>
    <w:rsid w:val="00D35F7D"/>
    <w:rsid w:val="00D35FB8"/>
    <w:rsid w:val="00D36138"/>
    <w:rsid w:val="00D36149"/>
    <w:rsid w:val="00D36273"/>
    <w:rsid w:val="00D362EE"/>
    <w:rsid w:val="00D3634F"/>
    <w:rsid w:val="00D36575"/>
    <w:rsid w:val="00D36724"/>
    <w:rsid w:val="00D367A3"/>
    <w:rsid w:val="00D3695C"/>
    <w:rsid w:val="00D36994"/>
    <w:rsid w:val="00D36A12"/>
    <w:rsid w:val="00D36AF7"/>
    <w:rsid w:val="00D36AFB"/>
    <w:rsid w:val="00D36B42"/>
    <w:rsid w:val="00D36BD5"/>
    <w:rsid w:val="00D36CF8"/>
    <w:rsid w:val="00D36D45"/>
    <w:rsid w:val="00D36D99"/>
    <w:rsid w:val="00D36FB0"/>
    <w:rsid w:val="00D36FC9"/>
    <w:rsid w:val="00D3706E"/>
    <w:rsid w:val="00D370B0"/>
    <w:rsid w:val="00D370B2"/>
    <w:rsid w:val="00D372A7"/>
    <w:rsid w:val="00D3735C"/>
    <w:rsid w:val="00D37421"/>
    <w:rsid w:val="00D375A7"/>
    <w:rsid w:val="00D37719"/>
    <w:rsid w:val="00D3773E"/>
    <w:rsid w:val="00D3776C"/>
    <w:rsid w:val="00D377C1"/>
    <w:rsid w:val="00D378C0"/>
    <w:rsid w:val="00D3791F"/>
    <w:rsid w:val="00D37A65"/>
    <w:rsid w:val="00D37AF1"/>
    <w:rsid w:val="00D37BF6"/>
    <w:rsid w:val="00D37C72"/>
    <w:rsid w:val="00D37CA6"/>
    <w:rsid w:val="00D37D6D"/>
    <w:rsid w:val="00D37DA4"/>
    <w:rsid w:val="00D37DA9"/>
    <w:rsid w:val="00D37F7C"/>
    <w:rsid w:val="00D4002E"/>
    <w:rsid w:val="00D400E7"/>
    <w:rsid w:val="00D40178"/>
    <w:rsid w:val="00D40270"/>
    <w:rsid w:val="00D402A2"/>
    <w:rsid w:val="00D402A7"/>
    <w:rsid w:val="00D402AD"/>
    <w:rsid w:val="00D402F0"/>
    <w:rsid w:val="00D402FA"/>
    <w:rsid w:val="00D40387"/>
    <w:rsid w:val="00D405C5"/>
    <w:rsid w:val="00D40609"/>
    <w:rsid w:val="00D40626"/>
    <w:rsid w:val="00D4062E"/>
    <w:rsid w:val="00D40854"/>
    <w:rsid w:val="00D408A9"/>
    <w:rsid w:val="00D408D4"/>
    <w:rsid w:val="00D40A5D"/>
    <w:rsid w:val="00D40AB5"/>
    <w:rsid w:val="00D40B81"/>
    <w:rsid w:val="00D40B92"/>
    <w:rsid w:val="00D40BAB"/>
    <w:rsid w:val="00D40C6B"/>
    <w:rsid w:val="00D40C9A"/>
    <w:rsid w:val="00D40D9E"/>
    <w:rsid w:val="00D40DFD"/>
    <w:rsid w:val="00D40E1D"/>
    <w:rsid w:val="00D40E86"/>
    <w:rsid w:val="00D40EAD"/>
    <w:rsid w:val="00D40F7F"/>
    <w:rsid w:val="00D4104E"/>
    <w:rsid w:val="00D410A9"/>
    <w:rsid w:val="00D410D3"/>
    <w:rsid w:val="00D410E9"/>
    <w:rsid w:val="00D412C5"/>
    <w:rsid w:val="00D4132C"/>
    <w:rsid w:val="00D413C2"/>
    <w:rsid w:val="00D41456"/>
    <w:rsid w:val="00D415D2"/>
    <w:rsid w:val="00D41706"/>
    <w:rsid w:val="00D4173F"/>
    <w:rsid w:val="00D4188B"/>
    <w:rsid w:val="00D418E0"/>
    <w:rsid w:val="00D41A78"/>
    <w:rsid w:val="00D41AAD"/>
    <w:rsid w:val="00D41B6C"/>
    <w:rsid w:val="00D41BC6"/>
    <w:rsid w:val="00D41BFF"/>
    <w:rsid w:val="00D41C60"/>
    <w:rsid w:val="00D41C96"/>
    <w:rsid w:val="00D41CD0"/>
    <w:rsid w:val="00D41D8C"/>
    <w:rsid w:val="00D41DBB"/>
    <w:rsid w:val="00D42072"/>
    <w:rsid w:val="00D42108"/>
    <w:rsid w:val="00D42130"/>
    <w:rsid w:val="00D42144"/>
    <w:rsid w:val="00D421BF"/>
    <w:rsid w:val="00D42299"/>
    <w:rsid w:val="00D4246A"/>
    <w:rsid w:val="00D42484"/>
    <w:rsid w:val="00D42522"/>
    <w:rsid w:val="00D425A0"/>
    <w:rsid w:val="00D42649"/>
    <w:rsid w:val="00D426BE"/>
    <w:rsid w:val="00D42795"/>
    <w:rsid w:val="00D428BA"/>
    <w:rsid w:val="00D4292F"/>
    <w:rsid w:val="00D42950"/>
    <w:rsid w:val="00D42B18"/>
    <w:rsid w:val="00D42B81"/>
    <w:rsid w:val="00D42BB5"/>
    <w:rsid w:val="00D42C43"/>
    <w:rsid w:val="00D42CE6"/>
    <w:rsid w:val="00D42D04"/>
    <w:rsid w:val="00D42D39"/>
    <w:rsid w:val="00D42D43"/>
    <w:rsid w:val="00D42D60"/>
    <w:rsid w:val="00D42D66"/>
    <w:rsid w:val="00D42F5C"/>
    <w:rsid w:val="00D4311D"/>
    <w:rsid w:val="00D43161"/>
    <w:rsid w:val="00D43188"/>
    <w:rsid w:val="00D431DE"/>
    <w:rsid w:val="00D43215"/>
    <w:rsid w:val="00D43305"/>
    <w:rsid w:val="00D4334B"/>
    <w:rsid w:val="00D43367"/>
    <w:rsid w:val="00D43540"/>
    <w:rsid w:val="00D435BB"/>
    <w:rsid w:val="00D43632"/>
    <w:rsid w:val="00D43656"/>
    <w:rsid w:val="00D43872"/>
    <w:rsid w:val="00D43899"/>
    <w:rsid w:val="00D43917"/>
    <w:rsid w:val="00D439C6"/>
    <w:rsid w:val="00D439C8"/>
    <w:rsid w:val="00D43B56"/>
    <w:rsid w:val="00D43DF7"/>
    <w:rsid w:val="00D43FC9"/>
    <w:rsid w:val="00D44064"/>
    <w:rsid w:val="00D44145"/>
    <w:rsid w:val="00D44164"/>
    <w:rsid w:val="00D4417B"/>
    <w:rsid w:val="00D441B7"/>
    <w:rsid w:val="00D4422A"/>
    <w:rsid w:val="00D442BB"/>
    <w:rsid w:val="00D4430B"/>
    <w:rsid w:val="00D443C9"/>
    <w:rsid w:val="00D444E8"/>
    <w:rsid w:val="00D4452F"/>
    <w:rsid w:val="00D44560"/>
    <w:rsid w:val="00D4456E"/>
    <w:rsid w:val="00D44608"/>
    <w:rsid w:val="00D4463A"/>
    <w:rsid w:val="00D446CF"/>
    <w:rsid w:val="00D44745"/>
    <w:rsid w:val="00D4492B"/>
    <w:rsid w:val="00D44B42"/>
    <w:rsid w:val="00D45027"/>
    <w:rsid w:val="00D4507A"/>
    <w:rsid w:val="00D4530B"/>
    <w:rsid w:val="00D453A3"/>
    <w:rsid w:val="00D454B8"/>
    <w:rsid w:val="00D45583"/>
    <w:rsid w:val="00D4559B"/>
    <w:rsid w:val="00D455BC"/>
    <w:rsid w:val="00D455FB"/>
    <w:rsid w:val="00D4566E"/>
    <w:rsid w:val="00D456D4"/>
    <w:rsid w:val="00D456E5"/>
    <w:rsid w:val="00D457A7"/>
    <w:rsid w:val="00D457D5"/>
    <w:rsid w:val="00D457DF"/>
    <w:rsid w:val="00D458B8"/>
    <w:rsid w:val="00D45992"/>
    <w:rsid w:val="00D45DA8"/>
    <w:rsid w:val="00D45EF1"/>
    <w:rsid w:val="00D45F73"/>
    <w:rsid w:val="00D46022"/>
    <w:rsid w:val="00D46098"/>
    <w:rsid w:val="00D460DD"/>
    <w:rsid w:val="00D46111"/>
    <w:rsid w:val="00D4613A"/>
    <w:rsid w:val="00D4617A"/>
    <w:rsid w:val="00D46252"/>
    <w:rsid w:val="00D46369"/>
    <w:rsid w:val="00D464E4"/>
    <w:rsid w:val="00D4651F"/>
    <w:rsid w:val="00D466AA"/>
    <w:rsid w:val="00D46721"/>
    <w:rsid w:val="00D467A1"/>
    <w:rsid w:val="00D469E2"/>
    <w:rsid w:val="00D46A59"/>
    <w:rsid w:val="00D46C04"/>
    <w:rsid w:val="00D46C22"/>
    <w:rsid w:val="00D46C62"/>
    <w:rsid w:val="00D46C9C"/>
    <w:rsid w:val="00D46D8A"/>
    <w:rsid w:val="00D46E9D"/>
    <w:rsid w:val="00D46FB6"/>
    <w:rsid w:val="00D46FBD"/>
    <w:rsid w:val="00D4701B"/>
    <w:rsid w:val="00D4706A"/>
    <w:rsid w:val="00D470A6"/>
    <w:rsid w:val="00D472E2"/>
    <w:rsid w:val="00D47319"/>
    <w:rsid w:val="00D47544"/>
    <w:rsid w:val="00D47556"/>
    <w:rsid w:val="00D475F0"/>
    <w:rsid w:val="00D4766C"/>
    <w:rsid w:val="00D476EA"/>
    <w:rsid w:val="00D4795C"/>
    <w:rsid w:val="00D479AD"/>
    <w:rsid w:val="00D479D8"/>
    <w:rsid w:val="00D479F2"/>
    <w:rsid w:val="00D47B2A"/>
    <w:rsid w:val="00D47B53"/>
    <w:rsid w:val="00D47B97"/>
    <w:rsid w:val="00D47C21"/>
    <w:rsid w:val="00D47C66"/>
    <w:rsid w:val="00D47E4D"/>
    <w:rsid w:val="00D47ECA"/>
    <w:rsid w:val="00D47FE9"/>
    <w:rsid w:val="00D5012B"/>
    <w:rsid w:val="00D50335"/>
    <w:rsid w:val="00D5039C"/>
    <w:rsid w:val="00D50430"/>
    <w:rsid w:val="00D50474"/>
    <w:rsid w:val="00D504A6"/>
    <w:rsid w:val="00D504AE"/>
    <w:rsid w:val="00D504B7"/>
    <w:rsid w:val="00D5076D"/>
    <w:rsid w:val="00D50A7A"/>
    <w:rsid w:val="00D50A82"/>
    <w:rsid w:val="00D50B3F"/>
    <w:rsid w:val="00D50B88"/>
    <w:rsid w:val="00D50BBA"/>
    <w:rsid w:val="00D50BF2"/>
    <w:rsid w:val="00D50CF4"/>
    <w:rsid w:val="00D50D50"/>
    <w:rsid w:val="00D50E42"/>
    <w:rsid w:val="00D5108F"/>
    <w:rsid w:val="00D5111F"/>
    <w:rsid w:val="00D51148"/>
    <w:rsid w:val="00D5115A"/>
    <w:rsid w:val="00D511B3"/>
    <w:rsid w:val="00D51209"/>
    <w:rsid w:val="00D51271"/>
    <w:rsid w:val="00D51291"/>
    <w:rsid w:val="00D513C0"/>
    <w:rsid w:val="00D5152D"/>
    <w:rsid w:val="00D51551"/>
    <w:rsid w:val="00D5162A"/>
    <w:rsid w:val="00D5166E"/>
    <w:rsid w:val="00D51676"/>
    <w:rsid w:val="00D516C9"/>
    <w:rsid w:val="00D51739"/>
    <w:rsid w:val="00D51988"/>
    <w:rsid w:val="00D51B39"/>
    <w:rsid w:val="00D51B98"/>
    <w:rsid w:val="00D51BF4"/>
    <w:rsid w:val="00D51D01"/>
    <w:rsid w:val="00D51D5D"/>
    <w:rsid w:val="00D51F32"/>
    <w:rsid w:val="00D51FEC"/>
    <w:rsid w:val="00D520D6"/>
    <w:rsid w:val="00D52190"/>
    <w:rsid w:val="00D522DD"/>
    <w:rsid w:val="00D52320"/>
    <w:rsid w:val="00D5240B"/>
    <w:rsid w:val="00D524C3"/>
    <w:rsid w:val="00D5256C"/>
    <w:rsid w:val="00D5260D"/>
    <w:rsid w:val="00D52689"/>
    <w:rsid w:val="00D526F1"/>
    <w:rsid w:val="00D526F9"/>
    <w:rsid w:val="00D52B12"/>
    <w:rsid w:val="00D52D52"/>
    <w:rsid w:val="00D52DBB"/>
    <w:rsid w:val="00D52DD4"/>
    <w:rsid w:val="00D52E34"/>
    <w:rsid w:val="00D52EF3"/>
    <w:rsid w:val="00D52F68"/>
    <w:rsid w:val="00D53107"/>
    <w:rsid w:val="00D53146"/>
    <w:rsid w:val="00D531B2"/>
    <w:rsid w:val="00D531B7"/>
    <w:rsid w:val="00D53207"/>
    <w:rsid w:val="00D532E1"/>
    <w:rsid w:val="00D5332D"/>
    <w:rsid w:val="00D5338C"/>
    <w:rsid w:val="00D534ED"/>
    <w:rsid w:val="00D5361D"/>
    <w:rsid w:val="00D5369A"/>
    <w:rsid w:val="00D536E5"/>
    <w:rsid w:val="00D537FD"/>
    <w:rsid w:val="00D53868"/>
    <w:rsid w:val="00D53926"/>
    <w:rsid w:val="00D53959"/>
    <w:rsid w:val="00D5398F"/>
    <w:rsid w:val="00D5399A"/>
    <w:rsid w:val="00D539AE"/>
    <w:rsid w:val="00D539DE"/>
    <w:rsid w:val="00D53A0F"/>
    <w:rsid w:val="00D53A5D"/>
    <w:rsid w:val="00D53BBD"/>
    <w:rsid w:val="00D53BE1"/>
    <w:rsid w:val="00D53C02"/>
    <w:rsid w:val="00D53C53"/>
    <w:rsid w:val="00D53C7F"/>
    <w:rsid w:val="00D53CA2"/>
    <w:rsid w:val="00D53D09"/>
    <w:rsid w:val="00D53D5E"/>
    <w:rsid w:val="00D53E1A"/>
    <w:rsid w:val="00D53E57"/>
    <w:rsid w:val="00D53F57"/>
    <w:rsid w:val="00D53FA9"/>
    <w:rsid w:val="00D5401D"/>
    <w:rsid w:val="00D54036"/>
    <w:rsid w:val="00D54072"/>
    <w:rsid w:val="00D5408D"/>
    <w:rsid w:val="00D540DE"/>
    <w:rsid w:val="00D540F8"/>
    <w:rsid w:val="00D54194"/>
    <w:rsid w:val="00D54344"/>
    <w:rsid w:val="00D54356"/>
    <w:rsid w:val="00D543D4"/>
    <w:rsid w:val="00D543EC"/>
    <w:rsid w:val="00D5478C"/>
    <w:rsid w:val="00D5485D"/>
    <w:rsid w:val="00D54881"/>
    <w:rsid w:val="00D54927"/>
    <w:rsid w:val="00D549B9"/>
    <w:rsid w:val="00D549F6"/>
    <w:rsid w:val="00D54ABC"/>
    <w:rsid w:val="00D54B31"/>
    <w:rsid w:val="00D54B87"/>
    <w:rsid w:val="00D54BE8"/>
    <w:rsid w:val="00D54C0F"/>
    <w:rsid w:val="00D54D8C"/>
    <w:rsid w:val="00D54E31"/>
    <w:rsid w:val="00D54E3D"/>
    <w:rsid w:val="00D54EBE"/>
    <w:rsid w:val="00D55055"/>
    <w:rsid w:val="00D550D4"/>
    <w:rsid w:val="00D551FF"/>
    <w:rsid w:val="00D55297"/>
    <w:rsid w:val="00D5535A"/>
    <w:rsid w:val="00D553D3"/>
    <w:rsid w:val="00D55473"/>
    <w:rsid w:val="00D55483"/>
    <w:rsid w:val="00D554B8"/>
    <w:rsid w:val="00D55545"/>
    <w:rsid w:val="00D55575"/>
    <w:rsid w:val="00D556FA"/>
    <w:rsid w:val="00D55714"/>
    <w:rsid w:val="00D55727"/>
    <w:rsid w:val="00D5573D"/>
    <w:rsid w:val="00D5583B"/>
    <w:rsid w:val="00D55861"/>
    <w:rsid w:val="00D55A01"/>
    <w:rsid w:val="00D55A4E"/>
    <w:rsid w:val="00D55A56"/>
    <w:rsid w:val="00D55A97"/>
    <w:rsid w:val="00D55B3A"/>
    <w:rsid w:val="00D55D58"/>
    <w:rsid w:val="00D55DED"/>
    <w:rsid w:val="00D55EC9"/>
    <w:rsid w:val="00D56013"/>
    <w:rsid w:val="00D5623E"/>
    <w:rsid w:val="00D562CB"/>
    <w:rsid w:val="00D562CF"/>
    <w:rsid w:val="00D562E0"/>
    <w:rsid w:val="00D5635F"/>
    <w:rsid w:val="00D564FF"/>
    <w:rsid w:val="00D56505"/>
    <w:rsid w:val="00D565F9"/>
    <w:rsid w:val="00D5666C"/>
    <w:rsid w:val="00D566B9"/>
    <w:rsid w:val="00D56803"/>
    <w:rsid w:val="00D568DF"/>
    <w:rsid w:val="00D56950"/>
    <w:rsid w:val="00D5696E"/>
    <w:rsid w:val="00D56975"/>
    <w:rsid w:val="00D56988"/>
    <w:rsid w:val="00D56CCC"/>
    <w:rsid w:val="00D56CD1"/>
    <w:rsid w:val="00D56DC3"/>
    <w:rsid w:val="00D56DC4"/>
    <w:rsid w:val="00D56EE3"/>
    <w:rsid w:val="00D5711C"/>
    <w:rsid w:val="00D57289"/>
    <w:rsid w:val="00D5730C"/>
    <w:rsid w:val="00D57325"/>
    <w:rsid w:val="00D575E1"/>
    <w:rsid w:val="00D57750"/>
    <w:rsid w:val="00D579D8"/>
    <w:rsid w:val="00D57A16"/>
    <w:rsid w:val="00D57A5D"/>
    <w:rsid w:val="00D57A5E"/>
    <w:rsid w:val="00D57BB9"/>
    <w:rsid w:val="00D57D37"/>
    <w:rsid w:val="00D57DAF"/>
    <w:rsid w:val="00D57DCA"/>
    <w:rsid w:val="00D57EF8"/>
    <w:rsid w:val="00D6004B"/>
    <w:rsid w:val="00D6006A"/>
    <w:rsid w:val="00D60199"/>
    <w:rsid w:val="00D6023F"/>
    <w:rsid w:val="00D603D4"/>
    <w:rsid w:val="00D60501"/>
    <w:rsid w:val="00D605A8"/>
    <w:rsid w:val="00D6060E"/>
    <w:rsid w:val="00D60614"/>
    <w:rsid w:val="00D60695"/>
    <w:rsid w:val="00D60791"/>
    <w:rsid w:val="00D607B9"/>
    <w:rsid w:val="00D60817"/>
    <w:rsid w:val="00D60831"/>
    <w:rsid w:val="00D60A32"/>
    <w:rsid w:val="00D60A79"/>
    <w:rsid w:val="00D60D1E"/>
    <w:rsid w:val="00D60D49"/>
    <w:rsid w:val="00D60D9A"/>
    <w:rsid w:val="00D60D9C"/>
    <w:rsid w:val="00D60DF6"/>
    <w:rsid w:val="00D60E44"/>
    <w:rsid w:val="00D60E89"/>
    <w:rsid w:val="00D60F27"/>
    <w:rsid w:val="00D60F56"/>
    <w:rsid w:val="00D60F94"/>
    <w:rsid w:val="00D61005"/>
    <w:rsid w:val="00D61102"/>
    <w:rsid w:val="00D613E5"/>
    <w:rsid w:val="00D61457"/>
    <w:rsid w:val="00D6147C"/>
    <w:rsid w:val="00D61587"/>
    <w:rsid w:val="00D615DA"/>
    <w:rsid w:val="00D615EB"/>
    <w:rsid w:val="00D6164A"/>
    <w:rsid w:val="00D616DD"/>
    <w:rsid w:val="00D61766"/>
    <w:rsid w:val="00D617C1"/>
    <w:rsid w:val="00D617DF"/>
    <w:rsid w:val="00D6184F"/>
    <w:rsid w:val="00D61892"/>
    <w:rsid w:val="00D61A2F"/>
    <w:rsid w:val="00D61B8F"/>
    <w:rsid w:val="00D61BD7"/>
    <w:rsid w:val="00D61C7F"/>
    <w:rsid w:val="00D61D31"/>
    <w:rsid w:val="00D61F9A"/>
    <w:rsid w:val="00D61FC5"/>
    <w:rsid w:val="00D61FFC"/>
    <w:rsid w:val="00D620BE"/>
    <w:rsid w:val="00D620CB"/>
    <w:rsid w:val="00D620EA"/>
    <w:rsid w:val="00D62174"/>
    <w:rsid w:val="00D621BD"/>
    <w:rsid w:val="00D62350"/>
    <w:rsid w:val="00D6240D"/>
    <w:rsid w:val="00D6250C"/>
    <w:rsid w:val="00D62550"/>
    <w:rsid w:val="00D6257E"/>
    <w:rsid w:val="00D625BC"/>
    <w:rsid w:val="00D62607"/>
    <w:rsid w:val="00D62699"/>
    <w:rsid w:val="00D6278B"/>
    <w:rsid w:val="00D628D3"/>
    <w:rsid w:val="00D62968"/>
    <w:rsid w:val="00D629E4"/>
    <w:rsid w:val="00D62A2A"/>
    <w:rsid w:val="00D62B68"/>
    <w:rsid w:val="00D62B84"/>
    <w:rsid w:val="00D62BD8"/>
    <w:rsid w:val="00D62BF1"/>
    <w:rsid w:val="00D62D64"/>
    <w:rsid w:val="00D62F7F"/>
    <w:rsid w:val="00D62F9C"/>
    <w:rsid w:val="00D63018"/>
    <w:rsid w:val="00D6301A"/>
    <w:rsid w:val="00D6303A"/>
    <w:rsid w:val="00D63081"/>
    <w:rsid w:val="00D63199"/>
    <w:rsid w:val="00D63329"/>
    <w:rsid w:val="00D63372"/>
    <w:rsid w:val="00D63435"/>
    <w:rsid w:val="00D6366D"/>
    <w:rsid w:val="00D636C9"/>
    <w:rsid w:val="00D6376B"/>
    <w:rsid w:val="00D637D5"/>
    <w:rsid w:val="00D63878"/>
    <w:rsid w:val="00D63A88"/>
    <w:rsid w:val="00D63A8E"/>
    <w:rsid w:val="00D63B64"/>
    <w:rsid w:val="00D63B85"/>
    <w:rsid w:val="00D63C00"/>
    <w:rsid w:val="00D63C01"/>
    <w:rsid w:val="00D63C33"/>
    <w:rsid w:val="00D63CA6"/>
    <w:rsid w:val="00D63CF6"/>
    <w:rsid w:val="00D63E2C"/>
    <w:rsid w:val="00D63E4D"/>
    <w:rsid w:val="00D63E9E"/>
    <w:rsid w:val="00D63EAE"/>
    <w:rsid w:val="00D64021"/>
    <w:rsid w:val="00D640CF"/>
    <w:rsid w:val="00D6424B"/>
    <w:rsid w:val="00D642E7"/>
    <w:rsid w:val="00D6437C"/>
    <w:rsid w:val="00D6438A"/>
    <w:rsid w:val="00D64459"/>
    <w:rsid w:val="00D6454C"/>
    <w:rsid w:val="00D646B4"/>
    <w:rsid w:val="00D64741"/>
    <w:rsid w:val="00D6474C"/>
    <w:rsid w:val="00D647AA"/>
    <w:rsid w:val="00D6486F"/>
    <w:rsid w:val="00D64BA9"/>
    <w:rsid w:val="00D64BB4"/>
    <w:rsid w:val="00D64BE5"/>
    <w:rsid w:val="00D64C31"/>
    <w:rsid w:val="00D64C4E"/>
    <w:rsid w:val="00D64CD1"/>
    <w:rsid w:val="00D64CE5"/>
    <w:rsid w:val="00D64D66"/>
    <w:rsid w:val="00D64D91"/>
    <w:rsid w:val="00D64DFD"/>
    <w:rsid w:val="00D64E02"/>
    <w:rsid w:val="00D64E38"/>
    <w:rsid w:val="00D64E74"/>
    <w:rsid w:val="00D64E9C"/>
    <w:rsid w:val="00D64EC2"/>
    <w:rsid w:val="00D64F55"/>
    <w:rsid w:val="00D651DF"/>
    <w:rsid w:val="00D6524C"/>
    <w:rsid w:val="00D6549F"/>
    <w:rsid w:val="00D654B8"/>
    <w:rsid w:val="00D654C8"/>
    <w:rsid w:val="00D655FC"/>
    <w:rsid w:val="00D65682"/>
    <w:rsid w:val="00D65702"/>
    <w:rsid w:val="00D65807"/>
    <w:rsid w:val="00D65873"/>
    <w:rsid w:val="00D6591B"/>
    <w:rsid w:val="00D65A35"/>
    <w:rsid w:val="00D65A58"/>
    <w:rsid w:val="00D65AB1"/>
    <w:rsid w:val="00D65B7E"/>
    <w:rsid w:val="00D65BD0"/>
    <w:rsid w:val="00D65C08"/>
    <w:rsid w:val="00D65C6B"/>
    <w:rsid w:val="00D65D80"/>
    <w:rsid w:val="00D65DF6"/>
    <w:rsid w:val="00D65E59"/>
    <w:rsid w:val="00D65EB7"/>
    <w:rsid w:val="00D65ED4"/>
    <w:rsid w:val="00D65FD9"/>
    <w:rsid w:val="00D65FFA"/>
    <w:rsid w:val="00D6609F"/>
    <w:rsid w:val="00D660C0"/>
    <w:rsid w:val="00D66250"/>
    <w:rsid w:val="00D6633A"/>
    <w:rsid w:val="00D664E4"/>
    <w:rsid w:val="00D66559"/>
    <w:rsid w:val="00D66655"/>
    <w:rsid w:val="00D666F4"/>
    <w:rsid w:val="00D66811"/>
    <w:rsid w:val="00D6694A"/>
    <w:rsid w:val="00D669AD"/>
    <w:rsid w:val="00D66B7F"/>
    <w:rsid w:val="00D66C69"/>
    <w:rsid w:val="00D66D6D"/>
    <w:rsid w:val="00D66D91"/>
    <w:rsid w:val="00D66E64"/>
    <w:rsid w:val="00D66E78"/>
    <w:rsid w:val="00D67028"/>
    <w:rsid w:val="00D67040"/>
    <w:rsid w:val="00D670DE"/>
    <w:rsid w:val="00D671B2"/>
    <w:rsid w:val="00D672B7"/>
    <w:rsid w:val="00D67787"/>
    <w:rsid w:val="00D6787D"/>
    <w:rsid w:val="00D67900"/>
    <w:rsid w:val="00D67980"/>
    <w:rsid w:val="00D67B38"/>
    <w:rsid w:val="00D67BB5"/>
    <w:rsid w:val="00D67D31"/>
    <w:rsid w:val="00D67EB0"/>
    <w:rsid w:val="00D67F56"/>
    <w:rsid w:val="00D7005E"/>
    <w:rsid w:val="00D70133"/>
    <w:rsid w:val="00D70260"/>
    <w:rsid w:val="00D7034E"/>
    <w:rsid w:val="00D7040F"/>
    <w:rsid w:val="00D7046C"/>
    <w:rsid w:val="00D704D9"/>
    <w:rsid w:val="00D705FE"/>
    <w:rsid w:val="00D706CA"/>
    <w:rsid w:val="00D70827"/>
    <w:rsid w:val="00D708D5"/>
    <w:rsid w:val="00D708DE"/>
    <w:rsid w:val="00D70928"/>
    <w:rsid w:val="00D70945"/>
    <w:rsid w:val="00D709E6"/>
    <w:rsid w:val="00D70A6D"/>
    <w:rsid w:val="00D70A7D"/>
    <w:rsid w:val="00D70AE2"/>
    <w:rsid w:val="00D70BBD"/>
    <w:rsid w:val="00D70BC6"/>
    <w:rsid w:val="00D70C69"/>
    <w:rsid w:val="00D70CE7"/>
    <w:rsid w:val="00D70D7F"/>
    <w:rsid w:val="00D70E07"/>
    <w:rsid w:val="00D70E0B"/>
    <w:rsid w:val="00D70E6A"/>
    <w:rsid w:val="00D710C9"/>
    <w:rsid w:val="00D71142"/>
    <w:rsid w:val="00D7119F"/>
    <w:rsid w:val="00D7120F"/>
    <w:rsid w:val="00D71215"/>
    <w:rsid w:val="00D712B4"/>
    <w:rsid w:val="00D712B6"/>
    <w:rsid w:val="00D713C2"/>
    <w:rsid w:val="00D713DF"/>
    <w:rsid w:val="00D714A7"/>
    <w:rsid w:val="00D71676"/>
    <w:rsid w:val="00D716AF"/>
    <w:rsid w:val="00D718A8"/>
    <w:rsid w:val="00D719DE"/>
    <w:rsid w:val="00D71AA5"/>
    <w:rsid w:val="00D71AF7"/>
    <w:rsid w:val="00D71B5C"/>
    <w:rsid w:val="00D71B70"/>
    <w:rsid w:val="00D71B7A"/>
    <w:rsid w:val="00D71C4C"/>
    <w:rsid w:val="00D71DA5"/>
    <w:rsid w:val="00D71DFB"/>
    <w:rsid w:val="00D71EC6"/>
    <w:rsid w:val="00D71EEB"/>
    <w:rsid w:val="00D71F20"/>
    <w:rsid w:val="00D71F31"/>
    <w:rsid w:val="00D72188"/>
    <w:rsid w:val="00D722FD"/>
    <w:rsid w:val="00D7235C"/>
    <w:rsid w:val="00D723BC"/>
    <w:rsid w:val="00D72598"/>
    <w:rsid w:val="00D7266F"/>
    <w:rsid w:val="00D72670"/>
    <w:rsid w:val="00D72761"/>
    <w:rsid w:val="00D72765"/>
    <w:rsid w:val="00D7278F"/>
    <w:rsid w:val="00D7286F"/>
    <w:rsid w:val="00D72930"/>
    <w:rsid w:val="00D72967"/>
    <w:rsid w:val="00D7297F"/>
    <w:rsid w:val="00D72A7C"/>
    <w:rsid w:val="00D72A9C"/>
    <w:rsid w:val="00D72B97"/>
    <w:rsid w:val="00D72CA3"/>
    <w:rsid w:val="00D72E1F"/>
    <w:rsid w:val="00D72E95"/>
    <w:rsid w:val="00D72ED8"/>
    <w:rsid w:val="00D72F0B"/>
    <w:rsid w:val="00D72F19"/>
    <w:rsid w:val="00D72F73"/>
    <w:rsid w:val="00D73049"/>
    <w:rsid w:val="00D730A2"/>
    <w:rsid w:val="00D730B1"/>
    <w:rsid w:val="00D73136"/>
    <w:rsid w:val="00D7324C"/>
    <w:rsid w:val="00D73388"/>
    <w:rsid w:val="00D733A0"/>
    <w:rsid w:val="00D733E0"/>
    <w:rsid w:val="00D733E2"/>
    <w:rsid w:val="00D733F5"/>
    <w:rsid w:val="00D73451"/>
    <w:rsid w:val="00D7375A"/>
    <w:rsid w:val="00D737ED"/>
    <w:rsid w:val="00D73819"/>
    <w:rsid w:val="00D738B6"/>
    <w:rsid w:val="00D73933"/>
    <w:rsid w:val="00D73944"/>
    <w:rsid w:val="00D739F0"/>
    <w:rsid w:val="00D73A2E"/>
    <w:rsid w:val="00D73A37"/>
    <w:rsid w:val="00D73ACF"/>
    <w:rsid w:val="00D73B7A"/>
    <w:rsid w:val="00D73CA2"/>
    <w:rsid w:val="00D73CB0"/>
    <w:rsid w:val="00D73D71"/>
    <w:rsid w:val="00D73EA1"/>
    <w:rsid w:val="00D73F6F"/>
    <w:rsid w:val="00D73FE0"/>
    <w:rsid w:val="00D74031"/>
    <w:rsid w:val="00D7403A"/>
    <w:rsid w:val="00D740DD"/>
    <w:rsid w:val="00D7410B"/>
    <w:rsid w:val="00D742A3"/>
    <w:rsid w:val="00D7430E"/>
    <w:rsid w:val="00D74530"/>
    <w:rsid w:val="00D74634"/>
    <w:rsid w:val="00D74722"/>
    <w:rsid w:val="00D747DA"/>
    <w:rsid w:val="00D7488F"/>
    <w:rsid w:val="00D748C0"/>
    <w:rsid w:val="00D7496F"/>
    <w:rsid w:val="00D74A4C"/>
    <w:rsid w:val="00D74B2D"/>
    <w:rsid w:val="00D74B67"/>
    <w:rsid w:val="00D74B80"/>
    <w:rsid w:val="00D74C08"/>
    <w:rsid w:val="00D74CE1"/>
    <w:rsid w:val="00D74CF3"/>
    <w:rsid w:val="00D74DA1"/>
    <w:rsid w:val="00D74E02"/>
    <w:rsid w:val="00D74E22"/>
    <w:rsid w:val="00D74E88"/>
    <w:rsid w:val="00D74F62"/>
    <w:rsid w:val="00D751D7"/>
    <w:rsid w:val="00D752A7"/>
    <w:rsid w:val="00D75400"/>
    <w:rsid w:val="00D7544C"/>
    <w:rsid w:val="00D75491"/>
    <w:rsid w:val="00D754A0"/>
    <w:rsid w:val="00D756F4"/>
    <w:rsid w:val="00D7589F"/>
    <w:rsid w:val="00D758A4"/>
    <w:rsid w:val="00D758EA"/>
    <w:rsid w:val="00D758F0"/>
    <w:rsid w:val="00D7593A"/>
    <w:rsid w:val="00D7594A"/>
    <w:rsid w:val="00D75979"/>
    <w:rsid w:val="00D759B4"/>
    <w:rsid w:val="00D75A4B"/>
    <w:rsid w:val="00D75A61"/>
    <w:rsid w:val="00D75A8A"/>
    <w:rsid w:val="00D75AA0"/>
    <w:rsid w:val="00D75C53"/>
    <w:rsid w:val="00D75D65"/>
    <w:rsid w:val="00D75D6A"/>
    <w:rsid w:val="00D75D79"/>
    <w:rsid w:val="00D761DA"/>
    <w:rsid w:val="00D7621F"/>
    <w:rsid w:val="00D7626C"/>
    <w:rsid w:val="00D7640E"/>
    <w:rsid w:val="00D76443"/>
    <w:rsid w:val="00D764D1"/>
    <w:rsid w:val="00D7659A"/>
    <w:rsid w:val="00D76638"/>
    <w:rsid w:val="00D76664"/>
    <w:rsid w:val="00D7667F"/>
    <w:rsid w:val="00D7686D"/>
    <w:rsid w:val="00D768BD"/>
    <w:rsid w:val="00D768C2"/>
    <w:rsid w:val="00D76AB2"/>
    <w:rsid w:val="00D76AD6"/>
    <w:rsid w:val="00D76B49"/>
    <w:rsid w:val="00D76C7F"/>
    <w:rsid w:val="00D76F09"/>
    <w:rsid w:val="00D76FCE"/>
    <w:rsid w:val="00D77005"/>
    <w:rsid w:val="00D77092"/>
    <w:rsid w:val="00D77241"/>
    <w:rsid w:val="00D77341"/>
    <w:rsid w:val="00D774FA"/>
    <w:rsid w:val="00D775AC"/>
    <w:rsid w:val="00D77643"/>
    <w:rsid w:val="00D776F0"/>
    <w:rsid w:val="00D77809"/>
    <w:rsid w:val="00D77893"/>
    <w:rsid w:val="00D778AD"/>
    <w:rsid w:val="00D77914"/>
    <w:rsid w:val="00D77929"/>
    <w:rsid w:val="00D7792E"/>
    <w:rsid w:val="00D7795E"/>
    <w:rsid w:val="00D77979"/>
    <w:rsid w:val="00D77B1D"/>
    <w:rsid w:val="00D77BB4"/>
    <w:rsid w:val="00D77BE7"/>
    <w:rsid w:val="00D77FAE"/>
    <w:rsid w:val="00D80161"/>
    <w:rsid w:val="00D801B5"/>
    <w:rsid w:val="00D803C1"/>
    <w:rsid w:val="00D80444"/>
    <w:rsid w:val="00D804EC"/>
    <w:rsid w:val="00D8053D"/>
    <w:rsid w:val="00D8053F"/>
    <w:rsid w:val="00D80670"/>
    <w:rsid w:val="00D80708"/>
    <w:rsid w:val="00D80866"/>
    <w:rsid w:val="00D80901"/>
    <w:rsid w:val="00D80904"/>
    <w:rsid w:val="00D809BB"/>
    <w:rsid w:val="00D809CA"/>
    <w:rsid w:val="00D809FD"/>
    <w:rsid w:val="00D80AB2"/>
    <w:rsid w:val="00D80AE1"/>
    <w:rsid w:val="00D80CBC"/>
    <w:rsid w:val="00D80D8C"/>
    <w:rsid w:val="00D80DCC"/>
    <w:rsid w:val="00D80E18"/>
    <w:rsid w:val="00D80EDC"/>
    <w:rsid w:val="00D80EE4"/>
    <w:rsid w:val="00D80F93"/>
    <w:rsid w:val="00D81175"/>
    <w:rsid w:val="00D811C2"/>
    <w:rsid w:val="00D81204"/>
    <w:rsid w:val="00D81329"/>
    <w:rsid w:val="00D8132C"/>
    <w:rsid w:val="00D813BB"/>
    <w:rsid w:val="00D81425"/>
    <w:rsid w:val="00D81568"/>
    <w:rsid w:val="00D81597"/>
    <w:rsid w:val="00D815D5"/>
    <w:rsid w:val="00D8161C"/>
    <w:rsid w:val="00D816FC"/>
    <w:rsid w:val="00D8170F"/>
    <w:rsid w:val="00D818F3"/>
    <w:rsid w:val="00D8191C"/>
    <w:rsid w:val="00D81AD4"/>
    <w:rsid w:val="00D81CA2"/>
    <w:rsid w:val="00D81CAC"/>
    <w:rsid w:val="00D81D30"/>
    <w:rsid w:val="00D81D93"/>
    <w:rsid w:val="00D81EC7"/>
    <w:rsid w:val="00D821D7"/>
    <w:rsid w:val="00D821E9"/>
    <w:rsid w:val="00D82250"/>
    <w:rsid w:val="00D8234A"/>
    <w:rsid w:val="00D82373"/>
    <w:rsid w:val="00D823EA"/>
    <w:rsid w:val="00D823FB"/>
    <w:rsid w:val="00D8249F"/>
    <w:rsid w:val="00D825E9"/>
    <w:rsid w:val="00D827F4"/>
    <w:rsid w:val="00D827FF"/>
    <w:rsid w:val="00D82813"/>
    <w:rsid w:val="00D828EF"/>
    <w:rsid w:val="00D8290A"/>
    <w:rsid w:val="00D82A10"/>
    <w:rsid w:val="00D82A32"/>
    <w:rsid w:val="00D82A5B"/>
    <w:rsid w:val="00D82AA8"/>
    <w:rsid w:val="00D82C1E"/>
    <w:rsid w:val="00D82CF9"/>
    <w:rsid w:val="00D82D0C"/>
    <w:rsid w:val="00D82D1C"/>
    <w:rsid w:val="00D82E44"/>
    <w:rsid w:val="00D831F3"/>
    <w:rsid w:val="00D8322E"/>
    <w:rsid w:val="00D832C3"/>
    <w:rsid w:val="00D8332F"/>
    <w:rsid w:val="00D83364"/>
    <w:rsid w:val="00D8337D"/>
    <w:rsid w:val="00D83474"/>
    <w:rsid w:val="00D8348D"/>
    <w:rsid w:val="00D834F2"/>
    <w:rsid w:val="00D835E7"/>
    <w:rsid w:val="00D835ED"/>
    <w:rsid w:val="00D836F8"/>
    <w:rsid w:val="00D83800"/>
    <w:rsid w:val="00D838D9"/>
    <w:rsid w:val="00D838EA"/>
    <w:rsid w:val="00D83900"/>
    <w:rsid w:val="00D83928"/>
    <w:rsid w:val="00D839CB"/>
    <w:rsid w:val="00D83A4D"/>
    <w:rsid w:val="00D83A97"/>
    <w:rsid w:val="00D83AAE"/>
    <w:rsid w:val="00D83B2D"/>
    <w:rsid w:val="00D83BC0"/>
    <w:rsid w:val="00D83C35"/>
    <w:rsid w:val="00D83CFA"/>
    <w:rsid w:val="00D83DA6"/>
    <w:rsid w:val="00D8401E"/>
    <w:rsid w:val="00D841A6"/>
    <w:rsid w:val="00D842CB"/>
    <w:rsid w:val="00D842D4"/>
    <w:rsid w:val="00D84353"/>
    <w:rsid w:val="00D84384"/>
    <w:rsid w:val="00D843BB"/>
    <w:rsid w:val="00D843E7"/>
    <w:rsid w:val="00D8457A"/>
    <w:rsid w:val="00D8467F"/>
    <w:rsid w:val="00D84742"/>
    <w:rsid w:val="00D84761"/>
    <w:rsid w:val="00D8488C"/>
    <w:rsid w:val="00D848DB"/>
    <w:rsid w:val="00D84944"/>
    <w:rsid w:val="00D849AC"/>
    <w:rsid w:val="00D84A0B"/>
    <w:rsid w:val="00D84A95"/>
    <w:rsid w:val="00D84AC3"/>
    <w:rsid w:val="00D84AFD"/>
    <w:rsid w:val="00D84B08"/>
    <w:rsid w:val="00D84B5E"/>
    <w:rsid w:val="00D84CC7"/>
    <w:rsid w:val="00D84D0A"/>
    <w:rsid w:val="00D85011"/>
    <w:rsid w:val="00D8508B"/>
    <w:rsid w:val="00D8512A"/>
    <w:rsid w:val="00D85134"/>
    <w:rsid w:val="00D851D0"/>
    <w:rsid w:val="00D8520C"/>
    <w:rsid w:val="00D85256"/>
    <w:rsid w:val="00D852AD"/>
    <w:rsid w:val="00D852B2"/>
    <w:rsid w:val="00D85331"/>
    <w:rsid w:val="00D854C3"/>
    <w:rsid w:val="00D8559A"/>
    <w:rsid w:val="00D8559F"/>
    <w:rsid w:val="00D855CA"/>
    <w:rsid w:val="00D855E8"/>
    <w:rsid w:val="00D855EB"/>
    <w:rsid w:val="00D855F6"/>
    <w:rsid w:val="00D85672"/>
    <w:rsid w:val="00D85760"/>
    <w:rsid w:val="00D858C0"/>
    <w:rsid w:val="00D85925"/>
    <w:rsid w:val="00D85963"/>
    <w:rsid w:val="00D8599F"/>
    <w:rsid w:val="00D859D9"/>
    <w:rsid w:val="00D85A51"/>
    <w:rsid w:val="00D85A57"/>
    <w:rsid w:val="00D85A85"/>
    <w:rsid w:val="00D85CF6"/>
    <w:rsid w:val="00D85CFD"/>
    <w:rsid w:val="00D85E0A"/>
    <w:rsid w:val="00D85E9B"/>
    <w:rsid w:val="00D85EB6"/>
    <w:rsid w:val="00D85EE4"/>
    <w:rsid w:val="00D85F92"/>
    <w:rsid w:val="00D860DA"/>
    <w:rsid w:val="00D861DE"/>
    <w:rsid w:val="00D862B8"/>
    <w:rsid w:val="00D8657B"/>
    <w:rsid w:val="00D8664C"/>
    <w:rsid w:val="00D8669C"/>
    <w:rsid w:val="00D8674F"/>
    <w:rsid w:val="00D867DE"/>
    <w:rsid w:val="00D86802"/>
    <w:rsid w:val="00D86A45"/>
    <w:rsid w:val="00D86A99"/>
    <w:rsid w:val="00D86AA7"/>
    <w:rsid w:val="00D86B4F"/>
    <w:rsid w:val="00D86BBD"/>
    <w:rsid w:val="00D86BCF"/>
    <w:rsid w:val="00D86C99"/>
    <w:rsid w:val="00D86DB2"/>
    <w:rsid w:val="00D86F2A"/>
    <w:rsid w:val="00D86F66"/>
    <w:rsid w:val="00D86FA3"/>
    <w:rsid w:val="00D86FB3"/>
    <w:rsid w:val="00D86FF8"/>
    <w:rsid w:val="00D871E5"/>
    <w:rsid w:val="00D87278"/>
    <w:rsid w:val="00D872D1"/>
    <w:rsid w:val="00D873BB"/>
    <w:rsid w:val="00D874EE"/>
    <w:rsid w:val="00D87722"/>
    <w:rsid w:val="00D8772E"/>
    <w:rsid w:val="00D87873"/>
    <w:rsid w:val="00D878D4"/>
    <w:rsid w:val="00D879AD"/>
    <w:rsid w:val="00D87ACA"/>
    <w:rsid w:val="00D87B46"/>
    <w:rsid w:val="00D87C5B"/>
    <w:rsid w:val="00D87CB5"/>
    <w:rsid w:val="00D87D85"/>
    <w:rsid w:val="00D87DE6"/>
    <w:rsid w:val="00D87E5B"/>
    <w:rsid w:val="00D87ECC"/>
    <w:rsid w:val="00D87F7D"/>
    <w:rsid w:val="00D87F8F"/>
    <w:rsid w:val="00D9005A"/>
    <w:rsid w:val="00D9012D"/>
    <w:rsid w:val="00D90179"/>
    <w:rsid w:val="00D9019A"/>
    <w:rsid w:val="00D901FF"/>
    <w:rsid w:val="00D902D3"/>
    <w:rsid w:val="00D9041B"/>
    <w:rsid w:val="00D904DB"/>
    <w:rsid w:val="00D90512"/>
    <w:rsid w:val="00D90538"/>
    <w:rsid w:val="00D9053D"/>
    <w:rsid w:val="00D906F5"/>
    <w:rsid w:val="00D90777"/>
    <w:rsid w:val="00D907D2"/>
    <w:rsid w:val="00D908F9"/>
    <w:rsid w:val="00D90A22"/>
    <w:rsid w:val="00D90B5B"/>
    <w:rsid w:val="00D90BB2"/>
    <w:rsid w:val="00D90C9D"/>
    <w:rsid w:val="00D90E7E"/>
    <w:rsid w:val="00D91027"/>
    <w:rsid w:val="00D910D1"/>
    <w:rsid w:val="00D910D8"/>
    <w:rsid w:val="00D911B4"/>
    <w:rsid w:val="00D911CD"/>
    <w:rsid w:val="00D9127F"/>
    <w:rsid w:val="00D913BC"/>
    <w:rsid w:val="00D91435"/>
    <w:rsid w:val="00D914B2"/>
    <w:rsid w:val="00D915F6"/>
    <w:rsid w:val="00D91709"/>
    <w:rsid w:val="00D91745"/>
    <w:rsid w:val="00D91752"/>
    <w:rsid w:val="00D9178B"/>
    <w:rsid w:val="00D91AA9"/>
    <w:rsid w:val="00D91ADD"/>
    <w:rsid w:val="00D91C17"/>
    <w:rsid w:val="00D91D3F"/>
    <w:rsid w:val="00D91DAA"/>
    <w:rsid w:val="00D91DB9"/>
    <w:rsid w:val="00D91DD2"/>
    <w:rsid w:val="00D91EE5"/>
    <w:rsid w:val="00D91EEE"/>
    <w:rsid w:val="00D92032"/>
    <w:rsid w:val="00D92075"/>
    <w:rsid w:val="00D92099"/>
    <w:rsid w:val="00D920CE"/>
    <w:rsid w:val="00D9215E"/>
    <w:rsid w:val="00D9223E"/>
    <w:rsid w:val="00D9230A"/>
    <w:rsid w:val="00D925AC"/>
    <w:rsid w:val="00D925BF"/>
    <w:rsid w:val="00D925D1"/>
    <w:rsid w:val="00D92618"/>
    <w:rsid w:val="00D92AA4"/>
    <w:rsid w:val="00D92B0F"/>
    <w:rsid w:val="00D92B53"/>
    <w:rsid w:val="00D92B67"/>
    <w:rsid w:val="00D92C4B"/>
    <w:rsid w:val="00D92C8A"/>
    <w:rsid w:val="00D92CD6"/>
    <w:rsid w:val="00D92E4E"/>
    <w:rsid w:val="00D92FB9"/>
    <w:rsid w:val="00D92FC3"/>
    <w:rsid w:val="00D92FD7"/>
    <w:rsid w:val="00D9306F"/>
    <w:rsid w:val="00D9313D"/>
    <w:rsid w:val="00D93290"/>
    <w:rsid w:val="00D93330"/>
    <w:rsid w:val="00D93423"/>
    <w:rsid w:val="00D93476"/>
    <w:rsid w:val="00D934E6"/>
    <w:rsid w:val="00D935ED"/>
    <w:rsid w:val="00D93662"/>
    <w:rsid w:val="00D93696"/>
    <w:rsid w:val="00D9373E"/>
    <w:rsid w:val="00D937B9"/>
    <w:rsid w:val="00D93839"/>
    <w:rsid w:val="00D9386F"/>
    <w:rsid w:val="00D9391F"/>
    <w:rsid w:val="00D93991"/>
    <w:rsid w:val="00D939AE"/>
    <w:rsid w:val="00D939BF"/>
    <w:rsid w:val="00D93C36"/>
    <w:rsid w:val="00D93C44"/>
    <w:rsid w:val="00D93C9B"/>
    <w:rsid w:val="00D93CDB"/>
    <w:rsid w:val="00D93D5E"/>
    <w:rsid w:val="00D93E1A"/>
    <w:rsid w:val="00D93E70"/>
    <w:rsid w:val="00D93F0C"/>
    <w:rsid w:val="00D940D2"/>
    <w:rsid w:val="00D94156"/>
    <w:rsid w:val="00D94190"/>
    <w:rsid w:val="00D941D6"/>
    <w:rsid w:val="00D94379"/>
    <w:rsid w:val="00D9439D"/>
    <w:rsid w:val="00D943D4"/>
    <w:rsid w:val="00D94566"/>
    <w:rsid w:val="00D946AD"/>
    <w:rsid w:val="00D9487B"/>
    <w:rsid w:val="00D94948"/>
    <w:rsid w:val="00D94A5E"/>
    <w:rsid w:val="00D94A66"/>
    <w:rsid w:val="00D94B7B"/>
    <w:rsid w:val="00D94BFE"/>
    <w:rsid w:val="00D94C72"/>
    <w:rsid w:val="00D94CDC"/>
    <w:rsid w:val="00D94D76"/>
    <w:rsid w:val="00D94D9B"/>
    <w:rsid w:val="00D94E9D"/>
    <w:rsid w:val="00D94FE1"/>
    <w:rsid w:val="00D950CE"/>
    <w:rsid w:val="00D951B5"/>
    <w:rsid w:val="00D951C4"/>
    <w:rsid w:val="00D95267"/>
    <w:rsid w:val="00D95406"/>
    <w:rsid w:val="00D954D9"/>
    <w:rsid w:val="00D954F1"/>
    <w:rsid w:val="00D9566C"/>
    <w:rsid w:val="00D9569F"/>
    <w:rsid w:val="00D95712"/>
    <w:rsid w:val="00D957E3"/>
    <w:rsid w:val="00D958BB"/>
    <w:rsid w:val="00D9597B"/>
    <w:rsid w:val="00D95986"/>
    <w:rsid w:val="00D95BC6"/>
    <w:rsid w:val="00D95C48"/>
    <w:rsid w:val="00D95E69"/>
    <w:rsid w:val="00D9608B"/>
    <w:rsid w:val="00D96505"/>
    <w:rsid w:val="00D965A2"/>
    <w:rsid w:val="00D967DD"/>
    <w:rsid w:val="00D96919"/>
    <w:rsid w:val="00D96965"/>
    <w:rsid w:val="00D96AB8"/>
    <w:rsid w:val="00D96CE4"/>
    <w:rsid w:val="00D96D37"/>
    <w:rsid w:val="00D96D7F"/>
    <w:rsid w:val="00D96E5A"/>
    <w:rsid w:val="00D96EFF"/>
    <w:rsid w:val="00D96F02"/>
    <w:rsid w:val="00D96FCF"/>
    <w:rsid w:val="00D971CF"/>
    <w:rsid w:val="00D972D3"/>
    <w:rsid w:val="00D97390"/>
    <w:rsid w:val="00D973A8"/>
    <w:rsid w:val="00D973E2"/>
    <w:rsid w:val="00D975A6"/>
    <w:rsid w:val="00D975AE"/>
    <w:rsid w:val="00D976B0"/>
    <w:rsid w:val="00D97754"/>
    <w:rsid w:val="00D97771"/>
    <w:rsid w:val="00D97775"/>
    <w:rsid w:val="00D97887"/>
    <w:rsid w:val="00D978CE"/>
    <w:rsid w:val="00D9795B"/>
    <w:rsid w:val="00D979A0"/>
    <w:rsid w:val="00D97A08"/>
    <w:rsid w:val="00D97A7C"/>
    <w:rsid w:val="00D97B31"/>
    <w:rsid w:val="00D97B49"/>
    <w:rsid w:val="00D97BA5"/>
    <w:rsid w:val="00D97BD6"/>
    <w:rsid w:val="00D97D53"/>
    <w:rsid w:val="00D97E07"/>
    <w:rsid w:val="00D97E3F"/>
    <w:rsid w:val="00D97E70"/>
    <w:rsid w:val="00DA0097"/>
    <w:rsid w:val="00DA00F7"/>
    <w:rsid w:val="00DA0119"/>
    <w:rsid w:val="00DA029A"/>
    <w:rsid w:val="00DA02A4"/>
    <w:rsid w:val="00DA02B7"/>
    <w:rsid w:val="00DA031A"/>
    <w:rsid w:val="00DA032C"/>
    <w:rsid w:val="00DA0355"/>
    <w:rsid w:val="00DA036A"/>
    <w:rsid w:val="00DA037B"/>
    <w:rsid w:val="00DA03A3"/>
    <w:rsid w:val="00DA03D2"/>
    <w:rsid w:val="00DA046F"/>
    <w:rsid w:val="00DA05A4"/>
    <w:rsid w:val="00DA062F"/>
    <w:rsid w:val="00DA066F"/>
    <w:rsid w:val="00DA0679"/>
    <w:rsid w:val="00DA07F8"/>
    <w:rsid w:val="00DA09A0"/>
    <w:rsid w:val="00DA09F8"/>
    <w:rsid w:val="00DA0A08"/>
    <w:rsid w:val="00DA0B76"/>
    <w:rsid w:val="00DA0B8D"/>
    <w:rsid w:val="00DA0BF4"/>
    <w:rsid w:val="00DA0C02"/>
    <w:rsid w:val="00DA0C69"/>
    <w:rsid w:val="00DA0CAB"/>
    <w:rsid w:val="00DA0D42"/>
    <w:rsid w:val="00DA0EA4"/>
    <w:rsid w:val="00DA0EB2"/>
    <w:rsid w:val="00DA0F41"/>
    <w:rsid w:val="00DA108F"/>
    <w:rsid w:val="00DA1148"/>
    <w:rsid w:val="00DA1232"/>
    <w:rsid w:val="00DA1439"/>
    <w:rsid w:val="00DA1456"/>
    <w:rsid w:val="00DA14A7"/>
    <w:rsid w:val="00DA14B0"/>
    <w:rsid w:val="00DA14B7"/>
    <w:rsid w:val="00DA1723"/>
    <w:rsid w:val="00DA17FB"/>
    <w:rsid w:val="00DA1855"/>
    <w:rsid w:val="00DA187F"/>
    <w:rsid w:val="00DA18BC"/>
    <w:rsid w:val="00DA18C9"/>
    <w:rsid w:val="00DA18FD"/>
    <w:rsid w:val="00DA1941"/>
    <w:rsid w:val="00DA1A3F"/>
    <w:rsid w:val="00DA1B60"/>
    <w:rsid w:val="00DA1DC2"/>
    <w:rsid w:val="00DA1DE4"/>
    <w:rsid w:val="00DA1DF9"/>
    <w:rsid w:val="00DA1EA6"/>
    <w:rsid w:val="00DA1EF3"/>
    <w:rsid w:val="00DA1F0A"/>
    <w:rsid w:val="00DA1F56"/>
    <w:rsid w:val="00DA1F6B"/>
    <w:rsid w:val="00DA1F71"/>
    <w:rsid w:val="00DA1F9D"/>
    <w:rsid w:val="00DA2169"/>
    <w:rsid w:val="00DA2295"/>
    <w:rsid w:val="00DA22C1"/>
    <w:rsid w:val="00DA2394"/>
    <w:rsid w:val="00DA23C4"/>
    <w:rsid w:val="00DA240A"/>
    <w:rsid w:val="00DA2592"/>
    <w:rsid w:val="00DA2678"/>
    <w:rsid w:val="00DA27BA"/>
    <w:rsid w:val="00DA28BF"/>
    <w:rsid w:val="00DA290E"/>
    <w:rsid w:val="00DA291C"/>
    <w:rsid w:val="00DA292E"/>
    <w:rsid w:val="00DA29FB"/>
    <w:rsid w:val="00DA2B75"/>
    <w:rsid w:val="00DA2C04"/>
    <w:rsid w:val="00DA2C98"/>
    <w:rsid w:val="00DA2D6E"/>
    <w:rsid w:val="00DA2D92"/>
    <w:rsid w:val="00DA2DC8"/>
    <w:rsid w:val="00DA2E1C"/>
    <w:rsid w:val="00DA3220"/>
    <w:rsid w:val="00DA3298"/>
    <w:rsid w:val="00DA3362"/>
    <w:rsid w:val="00DA34F1"/>
    <w:rsid w:val="00DA35E1"/>
    <w:rsid w:val="00DA3710"/>
    <w:rsid w:val="00DA3745"/>
    <w:rsid w:val="00DA374E"/>
    <w:rsid w:val="00DA386E"/>
    <w:rsid w:val="00DA3887"/>
    <w:rsid w:val="00DA38F6"/>
    <w:rsid w:val="00DA3962"/>
    <w:rsid w:val="00DA3A7A"/>
    <w:rsid w:val="00DA3D6E"/>
    <w:rsid w:val="00DA3DEA"/>
    <w:rsid w:val="00DA3E37"/>
    <w:rsid w:val="00DA3F0C"/>
    <w:rsid w:val="00DA4071"/>
    <w:rsid w:val="00DA413D"/>
    <w:rsid w:val="00DA4184"/>
    <w:rsid w:val="00DA4264"/>
    <w:rsid w:val="00DA4317"/>
    <w:rsid w:val="00DA4332"/>
    <w:rsid w:val="00DA4478"/>
    <w:rsid w:val="00DA4498"/>
    <w:rsid w:val="00DA44CF"/>
    <w:rsid w:val="00DA44E5"/>
    <w:rsid w:val="00DA453D"/>
    <w:rsid w:val="00DA4714"/>
    <w:rsid w:val="00DA47E4"/>
    <w:rsid w:val="00DA4830"/>
    <w:rsid w:val="00DA48BE"/>
    <w:rsid w:val="00DA491F"/>
    <w:rsid w:val="00DA4948"/>
    <w:rsid w:val="00DA4968"/>
    <w:rsid w:val="00DA497A"/>
    <w:rsid w:val="00DA49C2"/>
    <w:rsid w:val="00DA49EE"/>
    <w:rsid w:val="00DA4A2A"/>
    <w:rsid w:val="00DA4BF6"/>
    <w:rsid w:val="00DA4DC0"/>
    <w:rsid w:val="00DA4ECC"/>
    <w:rsid w:val="00DA5025"/>
    <w:rsid w:val="00DA513B"/>
    <w:rsid w:val="00DA51A2"/>
    <w:rsid w:val="00DA51A5"/>
    <w:rsid w:val="00DA51CF"/>
    <w:rsid w:val="00DA520D"/>
    <w:rsid w:val="00DA535E"/>
    <w:rsid w:val="00DA53DC"/>
    <w:rsid w:val="00DA54D2"/>
    <w:rsid w:val="00DA5687"/>
    <w:rsid w:val="00DA57D2"/>
    <w:rsid w:val="00DA5971"/>
    <w:rsid w:val="00DA5AA5"/>
    <w:rsid w:val="00DA5C57"/>
    <w:rsid w:val="00DA5D07"/>
    <w:rsid w:val="00DA5D8E"/>
    <w:rsid w:val="00DA5F0D"/>
    <w:rsid w:val="00DA605D"/>
    <w:rsid w:val="00DA609C"/>
    <w:rsid w:val="00DA61CA"/>
    <w:rsid w:val="00DA6229"/>
    <w:rsid w:val="00DA6232"/>
    <w:rsid w:val="00DA6246"/>
    <w:rsid w:val="00DA625E"/>
    <w:rsid w:val="00DA6267"/>
    <w:rsid w:val="00DA6269"/>
    <w:rsid w:val="00DA62F0"/>
    <w:rsid w:val="00DA6324"/>
    <w:rsid w:val="00DA6327"/>
    <w:rsid w:val="00DA635B"/>
    <w:rsid w:val="00DA645F"/>
    <w:rsid w:val="00DA648F"/>
    <w:rsid w:val="00DA66D4"/>
    <w:rsid w:val="00DA66FD"/>
    <w:rsid w:val="00DA671B"/>
    <w:rsid w:val="00DA676E"/>
    <w:rsid w:val="00DA6829"/>
    <w:rsid w:val="00DA687E"/>
    <w:rsid w:val="00DA6906"/>
    <w:rsid w:val="00DA6911"/>
    <w:rsid w:val="00DA692E"/>
    <w:rsid w:val="00DA6A29"/>
    <w:rsid w:val="00DA6B0F"/>
    <w:rsid w:val="00DA6BCD"/>
    <w:rsid w:val="00DA6BCE"/>
    <w:rsid w:val="00DA6BF7"/>
    <w:rsid w:val="00DA6BFC"/>
    <w:rsid w:val="00DA6CAF"/>
    <w:rsid w:val="00DA6D24"/>
    <w:rsid w:val="00DA6DF9"/>
    <w:rsid w:val="00DA6E1C"/>
    <w:rsid w:val="00DA6E80"/>
    <w:rsid w:val="00DA6E98"/>
    <w:rsid w:val="00DA7028"/>
    <w:rsid w:val="00DA70FB"/>
    <w:rsid w:val="00DA7161"/>
    <w:rsid w:val="00DA7170"/>
    <w:rsid w:val="00DA7197"/>
    <w:rsid w:val="00DA72AD"/>
    <w:rsid w:val="00DA7345"/>
    <w:rsid w:val="00DA7439"/>
    <w:rsid w:val="00DA74E3"/>
    <w:rsid w:val="00DA74F7"/>
    <w:rsid w:val="00DA753F"/>
    <w:rsid w:val="00DA7561"/>
    <w:rsid w:val="00DA779E"/>
    <w:rsid w:val="00DA7942"/>
    <w:rsid w:val="00DA79FA"/>
    <w:rsid w:val="00DA7B6A"/>
    <w:rsid w:val="00DA7D9D"/>
    <w:rsid w:val="00DA7E22"/>
    <w:rsid w:val="00DA7FEB"/>
    <w:rsid w:val="00DB0043"/>
    <w:rsid w:val="00DB009E"/>
    <w:rsid w:val="00DB0156"/>
    <w:rsid w:val="00DB03C5"/>
    <w:rsid w:val="00DB03CC"/>
    <w:rsid w:val="00DB05E9"/>
    <w:rsid w:val="00DB060B"/>
    <w:rsid w:val="00DB064F"/>
    <w:rsid w:val="00DB06D8"/>
    <w:rsid w:val="00DB080D"/>
    <w:rsid w:val="00DB0A43"/>
    <w:rsid w:val="00DB0A9F"/>
    <w:rsid w:val="00DB0AED"/>
    <w:rsid w:val="00DB0C40"/>
    <w:rsid w:val="00DB0DE9"/>
    <w:rsid w:val="00DB0EDC"/>
    <w:rsid w:val="00DB0F61"/>
    <w:rsid w:val="00DB10B6"/>
    <w:rsid w:val="00DB10EC"/>
    <w:rsid w:val="00DB110F"/>
    <w:rsid w:val="00DB1237"/>
    <w:rsid w:val="00DB1487"/>
    <w:rsid w:val="00DB15A3"/>
    <w:rsid w:val="00DB160A"/>
    <w:rsid w:val="00DB1692"/>
    <w:rsid w:val="00DB1702"/>
    <w:rsid w:val="00DB1828"/>
    <w:rsid w:val="00DB1834"/>
    <w:rsid w:val="00DB1987"/>
    <w:rsid w:val="00DB1A75"/>
    <w:rsid w:val="00DB1AD0"/>
    <w:rsid w:val="00DB1B4E"/>
    <w:rsid w:val="00DB1CE7"/>
    <w:rsid w:val="00DB1CFB"/>
    <w:rsid w:val="00DB1D2B"/>
    <w:rsid w:val="00DB1E1E"/>
    <w:rsid w:val="00DB1F03"/>
    <w:rsid w:val="00DB1F77"/>
    <w:rsid w:val="00DB2056"/>
    <w:rsid w:val="00DB2060"/>
    <w:rsid w:val="00DB22C4"/>
    <w:rsid w:val="00DB2362"/>
    <w:rsid w:val="00DB24DF"/>
    <w:rsid w:val="00DB2688"/>
    <w:rsid w:val="00DB2792"/>
    <w:rsid w:val="00DB292D"/>
    <w:rsid w:val="00DB292F"/>
    <w:rsid w:val="00DB29D9"/>
    <w:rsid w:val="00DB2CA1"/>
    <w:rsid w:val="00DB2CDA"/>
    <w:rsid w:val="00DB2D16"/>
    <w:rsid w:val="00DB2D63"/>
    <w:rsid w:val="00DB2F07"/>
    <w:rsid w:val="00DB300E"/>
    <w:rsid w:val="00DB31CE"/>
    <w:rsid w:val="00DB3223"/>
    <w:rsid w:val="00DB325B"/>
    <w:rsid w:val="00DB32AE"/>
    <w:rsid w:val="00DB32E9"/>
    <w:rsid w:val="00DB3361"/>
    <w:rsid w:val="00DB337F"/>
    <w:rsid w:val="00DB3421"/>
    <w:rsid w:val="00DB34DF"/>
    <w:rsid w:val="00DB3510"/>
    <w:rsid w:val="00DB35E6"/>
    <w:rsid w:val="00DB36DF"/>
    <w:rsid w:val="00DB3796"/>
    <w:rsid w:val="00DB37B1"/>
    <w:rsid w:val="00DB37C5"/>
    <w:rsid w:val="00DB37E1"/>
    <w:rsid w:val="00DB384D"/>
    <w:rsid w:val="00DB38FB"/>
    <w:rsid w:val="00DB395E"/>
    <w:rsid w:val="00DB3BA7"/>
    <w:rsid w:val="00DB3BD3"/>
    <w:rsid w:val="00DB3C25"/>
    <w:rsid w:val="00DB3C2D"/>
    <w:rsid w:val="00DB3DDD"/>
    <w:rsid w:val="00DB3EF6"/>
    <w:rsid w:val="00DB3FE1"/>
    <w:rsid w:val="00DB3FF7"/>
    <w:rsid w:val="00DB42DD"/>
    <w:rsid w:val="00DB4504"/>
    <w:rsid w:val="00DB45C7"/>
    <w:rsid w:val="00DB45D4"/>
    <w:rsid w:val="00DB46A6"/>
    <w:rsid w:val="00DB4771"/>
    <w:rsid w:val="00DB47DC"/>
    <w:rsid w:val="00DB4812"/>
    <w:rsid w:val="00DB48AD"/>
    <w:rsid w:val="00DB4917"/>
    <w:rsid w:val="00DB4A9C"/>
    <w:rsid w:val="00DB4ACC"/>
    <w:rsid w:val="00DB4BE0"/>
    <w:rsid w:val="00DB4C5C"/>
    <w:rsid w:val="00DB4CBA"/>
    <w:rsid w:val="00DB4D60"/>
    <w:rsid w:val="00DB4DA9"/>
    <w:rsid w:val="00DB4E5C"/>
    <w:rsid w:val="00DB4EC7"/>
    <w:rsid w:val="00DB4F91"/>
    <w:rsid w:val="00DB4FD4"/>
    <w:rsid w:val="00DB5351"/>
    <w:rsid w:val="00DB5361"/>
    <w:rsid w:val="00DB5397"/>
    <w:rsid w:val="00DB547E"/>
    <w:rsid w:val="00DB5485"/>
    <w:rsid w:val="00DB5562"/>
    <w:rsid w:val="00DB5587"/>
    <w:rsid w:val="00DB55ED"/>
    <w:rsid w:val="00DB571B"/>
    <w:rsid w:val="00DB574C"/>
    <w:rsid w:val="00DB57BE"/>
    <w:rsid w:val="00DB5889"/>
    <w:rsid w:val="00DB5ACB"/>
    <w:rsid w:val="00DB5B16"/>
    <w:rsid w:val="00DB5CCE"/>
    <w:rsid w:val="00DB5D83"/>
    <w:rsid w:val="00DB5F0E"/>
    <w:rsid w:val="00DB5FC1"/>
    <w:rsid w:val="00DB605F"/>
    <w:rsid w:val="00DB6068"/>
    <w:rsid w:val="00DB6151"/>
    <w:rsid w:val="00DB64A4"/>
    <w:rsid w:val="00DB658B"/>
    <w:rsid w:val="00DB6642"/>
    <w:rsid w:val="00DB666C"/>
    <w:rsid w:val="00DB66B2"/>
    <w:rsid w:val="00DB6738"/>
    <w:rsid w:val="00DB677E"/>
    <w:rsid w:val="00DB6895"/>
    <w:rsid w:val="00DB6955"/>
    <w:rsid w:val="00DB698A"/>
    <w:rsid w:val="00DB6A60"/>
    <w:rsid w:val="00DB6ACD"/>
    <w:rsid w:val="00DB6B98"/>
    <w:rsid w:val="00DB6D40"/>
    <w:rsid w:val="00DB6E31"/>
    <w:rsid w:val="00DB6E94"/>
    <w:rsid w:val="00DB71B4"/>
    <w:rsid w:val="00DB71BF"/>
    <w:rsid w:val="00DB720C"/>
    <w:rsid w:val="00DB7359"/>
    <w:rsid w:val="00DB74D1"/>
    <w:rsid w:val="00DB7778"/>
    <w:rsid w:val="00DB77AA"/>
    <w:rsid w:val="00DB77D1"/>
    <w:rsid w:val="00DB78CD"/>
    <w:rsid w:val="00DB79D3"/>
    <w:rsid w:val="00DB7A09"/>
    <w:rsid w:val="00DB7A66"/>
    <w:rsid w:val="00DB7B00"/>
    <w:rsid w:val="00DB7B59"/>
    <w:rsid w:val="00DB7BB2"/>
    <w:rsid w:val="00DB7BB7"/>
    <w:rsid w:val="00DB7C0E"/>
    <w:rsid w:val="00DB7C76"/>
    <w:rsid w:val="00DB7D07"/>
    <w:rsid w:val="00DB7D14"/>
    <w:rsid w:val="00DB7D8F"/>
    <w:rsid w:val="00DB7DB8"/>
    <w:rsid w:val="00DB7DEC"/>
    <w:rsid w:val="00DB7DF7"/>
    <w:rsid w:val="00DB7E99"/>
    <w:rsid w:val="00DB7F9E"/>
    <w:rsid w:val="00DB7FA6"/>
    <w:rsid w:val="00DC0084"/>
    <w:rsid w:val="00DC02C2"/>
    <w:rsid w:val="00DC03A6"/>
    <w:rsid w:val="00DC06DA"/>
    <w:rsid w:val="00DC076E"/>
    <w:rsid w:val="00DC07A5"/>
    <w:rsid w:val="00DC0933"/>
    <w:rsid w:val="00DC09BA"/>
    <w:rsid w:val="00DC0AA8"/>
    <w:rsid w:val="00DC0B99"/>
    <w:rsid w:val="00DC0D1A"/>
    <w:rsid w:val="00DC0E86"/>
    <w:rsid w:val="00DC0F4A"/>
    <w:rsid w:val="00DC0F4C"/>
    <w:rsid w:val="00DC0F9F"/>
    <w:rsid w:val="00DC105B"/>
    <w:rsid w:val="00DC10B0"/>
    <w:rsid w:val="00DC1124"/>
    <w:rsid w:val="00DC114D"/>
    <w:rsid w:val="00DC1287"/>
    <w:rsid w:val="00DC12C6"/>
    <w:rsid w:val="00DC13F7"/>
    <w:rsid w:val="00DC1417"/>
    <w:rsid w:val="00DC1483"/>
    <w:rsid w:val="00DC14CB"/>
    <w:rsid w:val="00DC14E9"/>
    <w:rsid w:val="00DC1599"/>
    <w:rsid w:val="00DC1633"/>
    <w:rsid w:val="00DC18A8"/>
    <w:rsid w:val="00DC18C8"/>
    <w:rsid w:val="00DC194A"/>
    <w:rsid w:val="00DC1980"/>
    <w:rsid w:val="00DC19EF"/>
    <w:rsid w:val="00DC1C8E"/>
    <w:rsid w:val="00DC1C8F"/>
    <w:rsid w:val="00DC1E5E"/>
    <w:rsid w:val="00DC1F3A"/>
    <w:rsid w:val="00DC1FA2"/>
    <w:rsid w:val="00DC203B"/>
    <w:rsid w:val="00DC220A"/>
    <w:rsid w:val="00DC2259"/>
    <w:rsid w:val="00DC2276"/>
    <w:rsid w:val="00DC2360"/>
    <w:rsid w:val="00DC236C"/>
    <w:rsid w:val="00DC236E"/>
    <w:rsid w:val="00DC238E"/>
    <w:rsid w:val="00DC23A2"/>
    <w:rsid w:val="00DC23CC"/>
    <w:rsid w:val="00DC2425"/>
    <w:rsid w:val="00DC2682"/>
    <w:rsid w:val="00DC26CF"/>
    <w:rsid w:val="00DC26E4"/>
    <w:rsid w:val="00DC26EF"/>
    <w:rsid w:val="00DC2A24"/>
    <w:rsid w:val="00DC2C69"/>
    <w:rsid w:val="00DC2CAA"/>
    <w:rsid w:val="00DC2E4C"/>
    <w:rsid w:val="00DC2EA7"/>
    <w:rsid w:val="00DC2EF9"/>
    <w:rsid w:val="00DC30B2"/>
    <w:rsid w:val="00DC30DE"/>
    <w:rsid w:val="00DC31C0"/>
    <w:rsid w:val="00DC3273"/>
    <w:rsid w:val="00DC32BF"/>
    <w:rsid w:val="00DC33CB"/>
    <w:rsid w:val="00DC33CF"/>
    <w:rsid w:val="00DC33D0"/>
    <w:rsid w:val="00DC3423"/>
    <w:rsid w:val="00DC3499"/>
    <w:rsid w:val="00DC355C"/>
    <w:rsid w:val="00DC37B6"/>
    <w:rsid w:val="00DC37FD"/>
    <w:rsid w:val="00DC383F"/>
    <w:rsid w:val="00DC3A34"/>
    <w:rsid w:val="00DC3B38"/>
    <w:rsid w:val="00DC3B6C"/>
    <w:rsid w:val="00DC3D69"/>
    <w:rsid w:val="00DC3F76"/>
    <w:rsid w:val="00DC3FD5"/>
    <w:rsid w:val="00DC4367"/>
    <w:rsid w:val="00DC43AE"/>
    <w:rsid w:val="00DC43BD"/>
    <w:rsid w:val="00DC43CC"/>
    <w:rsid w:val="00DC440C"/>
    <w:rsid w:val="00DC4433"/>
    <w:rsid w:val="00DC4483"/>
    <w:rsid w:val="00DC456B"/>
    <w:rsid w:val="00DC4723"/>
    <w:rsid w:val="00DC4728"/>
    <w:rsid w:val="00DC4878"/>
    <w:rsid w:val="00DC4905"/>
    <w:rsid w:val="00DC4B45"/>
    <w:rsid w:val="00DC4CCE"/>
    <w:rsid w:val="00DC4CF7"/>
    <w:rsid w:val="00DC4E01"/>
    <w:rsid w:val="00DC4EAF"/>
    <w:rsid w:val="00DC4F2C"/>
    <w:rsid w:val="00DC4FDD"/>
    <w:rsid w:val="00DC503D"/>
    <w:rsid w:val="00DC508C"/>
    <w:rsid w:val="00DC50DD"/>
    <w:rsid w:val="00DC5237"/>
    <w:rsid w:val="00DC5256"/>
    <w:rsid w:val="00DC526D"/>
    <w:rsid w:val="00DC533A"/>
    <w:rsid w:val="00DC5388"/>
    <w:rsid w:val="00DC5450"/>
    <w:rsid w:val="00DC5477"/>
    <w:rsid w:val="00DC54BB"/>
    <w:rsid w:val="00DC54C7"/>
    <w:rsid w:val="00DC5591"/>
    <w:rsid w:val="00DC55A7"/>
    <w:rsid w:val="00DC55B1"/>
    <w:rsid w:val="00DC5633"/>
    <w:rsid w:val="00DC57F4"/>
    <w:rsid w:val="00DC5808"/>
    <w:rsid w:val="00DC5814"/>
    <w:rsid w:val="00DC5907"/>
    <w:rsid w:val="00DC594F"/>
    <w:rsid w:val="00DC595D"/>
    <w:rsid w:val="00DC59BC"/>
    <w:rsid w:val="00DC5A78"/>
    <w:rsid w:val="00DC5B27"/>
    <w:rsid w:val="00DC5C03"/>
    <w:rsid w:val="00DC5CB2"/>
    <w:rsid w:val="00DC5D9F"/>
    <w:rsid w:val="00DC5E05"/>
    <w:rsid w:val="00DC5E5A"/>
    <w:rsid w:val="00DC5EA2"/>
    <w:rsid w:val="00DC5F01"/>
    <w:rsid w:val="00DC5F0C"/>
    <w:rsid w:val="00DC5FB1"/>
    <w:rsid w:val="00DC5FBE"/>
    <w:rsid w:val="00DC5FE5"/>
    <w:rsid w:val="00DC6064"/>
    <w:rsid w:val="00DC60CB"/>
    <w:rsid w:val="00DC6224"/>
    <w:rsid w:val="00DC632C"/>
    <w:rsid w:val="00DC6472"/>
    <w:rsid w:val="00DC6492"/>
    <w:rsid w:val="00DC65EC"/>
    <w:rsid w:val="00DC66D7"/>
    <w:rsid w:val="00DC673E"/>
    <w:rsid w:val="00DC6993"/>
    <w:rsid w:val="00DC6AB9"/>
    <w:rsid w:val="00DC6B3D"/>
    <w:rsid w:val="00DC6B51"/>
    <w:rsid w:val="00DC6BA1"/>
    <w:rsid w:val="00DC6BFA"/>
    <w:rsid w:val="00DC6C51"/>
    <w:rsid w:val="00DC706C"/>
    <w:rsid w:val="00DC72B7"/>
    <w:rsid w:val="00DC72CA"/>
    <w:rsid w:val="00DC72F7"/>
    <w:rsid w:val="00DC761D"/>
    <w:rsid w:val="00DC7639"/>
    <w:rsid w:val="00DC769C"/>
    <w:rsid w:val="00DC7730"/>
    <w:rsid w:val="00DC7772"/>
    <w:rsid w:val="00DC786F"/>
    <w:rsid w:val="00DC78C5"/>
    <w:rsid w:val="00DC795C"/>
    <w:rsid w:val="00DC79D3"/>
    <w:rsid w:val="00DC7AAF"/>
    <w:rsid w:val="00DC7B52"/>
    <w:rsid w:val="00DC7B85"/>
    <w:rsid w:val="00DC7BF0"/>
    <w:rsid w:val="00DC7F3E"/>
    <w:rsid w:val="00DC7FF1"/>
    <w:rsid w:val="00DD00AA"/>
    <w:rsid w:val="00DD0130"/>
    <w:rsid w:val="00DD0168"/>
    <w:rsid w:val="00DD01A5"/>
    <w:rsid w:val="00DD0238"/>
    <w:rsid w:val="00DD0282"/>
    <w:rsid w:val="00DD02CA"/>
    <w:rsid w:val="00DD033B"/>
    <w:rsid w:val="00DD04A6"/>
    <w:rsid w:val="00DD0669"/>
    <w:rsid w:val="00DD06C8"/>
    <w:rsid w:val="00DD0780"/>
    <w:rsid w:val="00DD078A"/>
    <w:rsid w:val="00DD07B0"/>
    <w:rsid w:val="00DD092E"/>
    <w:rsid w:val="00DD0958"/>
    <w:rsid w:val="00DD098A"/>
    <w:rsid w:val="00DD0A2B"/>
    <w:rsid w:val="00DD0A3F"/>
    <w:rsid w:val="00DD0BCA"/>
    <w:rsid w:val="00DD0D2F"/>
    <w:rsid w:val="00DD114E"/>
    <w:rsid w:val="00DD1179"/>
    <w:rsid w:val="00DD11F9"/>
    <w:rsid w:val="00DD11FB"/>
    <w:rsid w:val="00DD1216"/>
    <w:rsid w:val="00DD131B"/>
    <w:rsid w:val="00DD1342"/>
    <w:rsid w:val="00DD1381"/>
    <w:rsid w:val="00DD1482"/>
    <w:rsid w:val="00DD1490"/>
    <w:rsid w:val="00DD14A2"/>
    <w:rsid w:val="00DD1559"/>
    <w:rsid w:val="00DD161D"/>
    <w:rsid w:val="00DD16DC"/>
    <w:rsid w:val="00DD179D"/>
    <w:rsid w:val="00DD17B0"/>
    <w:rsid w:val="00DD1839"/>
    <w:rsid w:val="00DD1867"/>
    <w:rsid w:val="00DD18B6"/>
    <w:rsid w:val="00DD1A1E"/>
    <w:rsid w:val="00DD1AAE"/>
    <w:rsid w:val="00DD1B17"/>
    <w:rsid w:val="00DD1B20"/>
    <w:rsid w:val="00DD1D6B"/>
    <w:rsid w:val="00DD1EEF"/>
    <w:rsid w:val="00DD1F72"/>
    <w:rsid w:val="00DD1FC3"/>
    <w:rsid w:val="00DD20C6"/>
    <w:rsid w:val="00DD2106"/>
    <w:rsid w:val="00DD21E5"/>
    <w:rsid w:val="00DD22FA"/>
    <w:rsid w:val="00DD2345"/>
    <w:rsid w:val="00DD23CB"/>
    <w:rsid w:val="00DD2442"/>
    <w:rsid w:val="00DD24B7"/>
    <w:rsid w:val="00DD263E"/>
    <w:rsid w:val="00DD2816"/>
    <w:rsid w:val="00DD2864"/>
    <w:rsid w:val="00DD295F"/>
    <w:rsid w:val="00DD29AD"/>
    <w:rsid w:val="00DD2AC2"/>
    <w:rsid w:val="00DD2B17"/>
    <w:rsid w:val="00DD2B7D"/>
    <w:rsid w:val="00DD2E3B"/>
    <w:rsid w:val="00DD2E7C"/>
    <w:rsid w:val="00DD30AF"/>
    <w:rsid w:val="00DD3122"/>
    <w:rsid w:val="00DD3286"/>
    <w:rsid w:val="00DD329A"/>
    <w:rsid w:val="00DD329B"/>
    <w:rsid w:val="00DD32AF"/>
    <w:rsid w:val="00DD3330"/>
    <w:rsid w:val="00DD3452"/>
    <w:rsid w:val="00DD34A2"/>
    <w:rsid w:val="00DD3559"/>
    <w:rsid w:val="00DD37CD"/>
    <w:rsid w:val="00DD383D"/>
    <w:rsid w:val="00DD3B4B"/>
    <w:rsid w:val="00DD3B54"/>
    <w:rsid w:val="00DD3C5E"/>
    <w:rsid w:val="00DD3C78"/>
    <w:rsid w:val="00DD3D06"/>
    <w:rsid w:val="00DD3DB8"/>
    <w:rsid w:val="00DD3E76"/>
    <w:rsid w:val="00DD3EA1"/>
    <w:rsid w:val="00DD401E"/>
    <w:rsid w:val="00DD412A"/>
    <w:rsid w:val="00DD4195"/>
    <w:rsid w:val="00DD42D8"/>
    <w:rsid w:val="00DD4328"/>
    <w:rsid w:val="00DD43AD"/>
    <w:rsid w:val="00DD45AA"/>
    <w:rsid w:val="00DD45CB"/>
    <w:rsid w:val="00DD4643"/>
    <w:rsid w:val="00DD4670"/>
    <w:rsid w:val="00DD46B9"/>
    <w:rsid w:val="00DD4752"/>
    <w:rsid w:val="00DD4875"/>
    <w:rsid w:val="00DD48FA"/>
    <w:rsid w:val="00DD4914"/>
    <w:rsid w:val="00DD491B"/>
    <w:rsid w:val="00DD49A2"/>
    <w:rsid w:val="00DD4A1A"/>
    <w:rsid w:val="00DD4C90"/>
    <w:rsid w:val="00DD4CE2"/>
    <w:rsid w:val="00DD4E7B"/>
    <w:rsid w:val="00DD4F03"/>
    <w:rsid w:val="00DD4F34"/>
    <w:rsid w:val="00DD4FF1"/>
    <w:rsid w:val="00DD505D"/>
    <w:rsid w:val="00DD509A"/>
    <w:rsid w:val="00DD509E"/>
    <w:rsid w:val="00DD519F"/>
    <w:rsid w:val="00DD5220"/>
    <w:rsid w:val="00DD5239"/>
    <w:rsid w:val="00DD52B2"/>
    <w:rsid w:val="00DD52C0"/>
    <w:rsid w:val="00DD531F"/>
    <w:rsid w:val="00DD53B4"/>
    <w:rsid w:val="00DD5461"/>
    <w:rsid w:val="00DD5589"/>
    <w:rsid w:val="00DD55BB"/>
    <w:rsid w:val="00DD5611"/>
    <w:rsid w:val="00DD56C2"/>
    <w:rsid w:val="00DD578A"/>
    <w:rsid w:val="00DD5825"/>
    <w:rsid w:val="00DD599B"/>
    <w:rsid w:val="00DD59FC"/>
    <w:rsid w:val="00DD5A96"/>
    <w:rsid w:val="00DD5A98"/>
    <w:rsid w:val="00DD5AFA"/>
    <w:rsid w:val="00DD5B1D"/>
    <w:rsid w:val="00DD5BFA"/>
    <w:rsid w:val="00DD5CCE"/>
    <w:rsid w:val="00DD5D18"/>
    <w:rsid w:val="00DD5F20"/>
    <w:rsid w:val="00DD6028"/>
    <w:rsid w:val="00DD60A7"/>
    <w:rsid w:val="00DD610F"/>
    <w:rsid w:val="00DD6131"/>
    <w:rsid w:val="00DD62F6"/>
    <w:rsid w:val="00DD63AD"/>
    <w:rsid w:val="00DD6447"/>
    <w:rsid w:val="00DD64EF"/>
    <w:rsid w:val="00DD6567"/>
    <w:rsid w:val="00DD66F2"/>
    <w:rsid w:val="00DD6804"/>
    <w:rsid w:val="00DD6903"/>
    <w:rsid w:val="00DD6AF0"/>
    <w:rsid w:val="00DD6B60"/>
    <w:rsid w:val="00DD6C26"/>
    <w:rsid w:val="00DD6C7F"/>
    <w:rsid w:val="00DD6CA6"/>
    <w:rsid w:val="00DD6CC3"/>
    <w:rsid w:val="00DD6CCE"/>
    <w:rsid w:val="00DD7099"/>
    <w:rsid w:val="00DD71DA"/>
    <w:rsid w:val="00DD73C1"/>
    <w:rsid w:val="00DD73C3"/>
    <w:rsid w:val="00DD73F6"/>
    <w:rsid w:val="00DD73FE"/>
    <w:rsid w:val="00DD7446"/>
    <w:rsid w:val="00DD7545"/>
    <w:rsid w:val="00DD76B0"/>
    <w:rsid w:val="00DD76D0"/>
    <w:rsid w:val="00DD77EF"/>
    <w:rsid w:val="00DD785F"/>
    <w:rsid w:val="00DD78C7"/>
    <w:rsid w:val="00DD7932"/>
    <w:rsid w:val="00DD7982"/>
    <w:rsid w:val="00DD7AF4"/>
    <w:rsid w:val="00DD7CAD"/>
    <w:rsid w:val="00DD7CC4"/>
    <w:rsid w:val="00DD7E16"/>
    <w:rsid w:val="00DD7E23"/>
    <w:rsid w:val="00DD7F6C"/>
    <w:rsid w:val="00DD7FAA"/>
    <w:rsid w:val="00DE0164"/>
    <w:rsid w:val="00DE01DA"/>
    <w:rsid w:val="00DE01E3"/>
    <w:rsid w:val="00DE0225"/>
    <w:rsid w:val="00DE02F8"/>
    <w:rsid w:val="00DE030E"/>
    <w:rsid w:val="00DE035A"/>
    <w:rsid w:val="00DE0451"/>
    <w:rsid w:val="00DE048C"/>
    <w:rsid w:val="00DE0527"/>
    <w:rsid w:val="00DE0594"/>
    <w:rsid w:val="00DE0628"/>
    <w:rsid w:val="00DE06FA"/>
    <w:rsid w:val="00DE07BF"/>
    <w:rsid w:val="00DE0814"/>
    <w:rsid w:val="00DE0833"/>
    <w:rsid w:val="00DE0874"/>
    <w:rsid w:val="00DE08F2"/>
    <w:rsid w:val="00DE0915"/>
    <w:rsid w:val="00DE0AD0"/>
    <w:rsid w:val="00DE0CB0"/>
    <w:rsid w:val="00DE0CB6"/>
    <w:rsid w:val="00DE0D50"/>
    <w:rsid w:val="00DE0DAE"/>
    <w:rsid w:val="00DE0EED"/>
    <w:rsid w:val="00DE0F86"/>
    <w:rsid w:val="00DE0FE6"/>
    <w:rsid w:val="00DE1044"/>
    <w:rsid w:val="00DE12C1"/>
    <w:rsid w:val="00DE13EF"/>
    <w:rsid w:val="00DE143C"/>
    <w:rsid w:val="00DE1471"/>
    <w:rsid w:val="00DE1494"/>
    <w:rsid w:val="00DE149A"/>
    <w:rsid w:val="00DE159F"/>
    <w:rsid w:val="00DE15ED"/>
    <w:rsid w:val="00DE16CB"/>
    <w:rsid w:val="00DE16FB"/>
    <w:rsid w:val="00DE1767"/>
    <w:rsid w:val="00DE17A4"/>
    <w:rsid w:val="00DE189A"/>
    <w:rsid w:val="00DE189C"/>
    <w:rsid w:val="00DE1962"/>
    <w:rsid w:val="00DE197F"/>
    <w:rsid w:val="00DE1980"/>
    <w:rsid w:val="00DE19EB"/>
    <w:rsid w:val="00DE1AAE"/>
    <w:rsid w:val="00DE1B6C"/>
    <w:rsid w:val="00DE1BE3"/>
    <w:rsid w:val="00DE1CE4"/>
    <w:rsid w:val="00DE1E5C"/>
    <w:rsid w:val="00DE1E82"/>
    <w:rsid w:val="00DE1F4E"/>
    <w:rsid w:val="00DE20D3"/>
    <w:rsid w:val="00DE20D4"/>
    <w:rsid w:val="00DE2110"/>
    <w:rsid w:val="00DE211A"/>
    <w:rsid w:val="00DE217F"/>
    <w:rsid w:val="00DE23DC"/>
    <w:rsid w:val="00DE24B1"/>
    <w:rsid w:val="00DE2614"/>
    <w:rsid w:val="00DE2672"/>
    <w:rsid w:val="00DE26EF"/>
    <w:rsid w:val="00DE2775"/>
    <w:rsid w:val="00DE27C1"/>
    <w:rsid w:val="00DE27D0"/>
    <w:rsid w:val="00DE282B"/>
    <w:rsid w:val="00DE2856"/>
    <w:rsid w:val="00DE28E5"/>
    <w:rsid w:val="00DE2902"/>
    <w:rsid w:val="00DE2ADA"/>
    <w:rsid w:val="00DE2AED"/>
    <w:rsid w:val="00DE2BB7"/>
    <w:rsid w:val="00DE2BF3"/>
    <w:rsid w:val="00DE2C05"/>
    <w:rsid w:val="00DE2C27"/>
    <w:rsid w:val="00DE2C4D"/>
    <w:rsid w:val="00DE2D01"/>
    <w:rsid w:val="00DE2DC1"/>
    <w:rsid w:val="00DE2E46"/>
    <w:rsid w:val="00DE2E6D"/>
    <w:rsid w:val="00DE2EB0"/>
    <w:rsid w:val="00DE2F00"/>
    <w:rsid w:val="00DE2F09"/>
    <w:rsid w:val="00DE2F22"/>
    <w:rsid w:val="00DE2F61"/>
    <w:rsid w:val="00DE3049"/>
    <w:rsid w:val="00DE3215"/>
    <w:rsid w:val="00DE339C"/>
    <w:rsid w:val="00DE33A2"/>
    <w:rsid w:val="00DE3518"/>
    <w:rsid w:val="00DE3705"/>
    <w:rsid w:val="00DE37D9"/>
    <w:rsid w:val="00DE3984"/>
    <w:rsid w:val="00DE3A2B"/>
    <w:rsid w:val="00DE3A71"/>
    <w:rsid w:val="00DE3B23"/>
    <w:rsid w:val="00DE3C42"/>
    <w:rsid w:val="00DE3C56"/>
    <w:rsid w:val="00DE3C6B"/>
    <w:rsid w:val="00DE3C81"/>
    <w:rsid w:val="00DE3D39"/>
    <w:rsid w:val="00DE3ED0"/>
    <w:rsid w:val="00DE3F5C"/>
    <w:rsid w:val="00DE3F87"/>
    <w:rsid w:val="00DE411C"/>
    <w:rsid w:val="00DE416F"/>
    <w:rsid w:val="00DE41E2"/>
    <w:rsid w:val="00DE4232"/>
    <w:rsid w:val="00DE42BC"/>
    <w:rsid w:val="00DE447A"/>
    <w:rsid w:val="00DE4480"/>
    <w:rsid w:val="00DE448F"/>
    <w:rsid w:val="00DE4589"/>
    <w:rsid w:val="00DE45F0"/>
    <w:rsid w:val="00DE461A"/>
    <w:rsid w:val="00DE4758"/>
    <w:rsid w:val="00DE480F"/>
    <w:rsid w:val="00DE4840"/>
    <w:rsid w:val="00DE48ED"/>
    <w:rsid w:val="00DE4A95"/>
    <w:rsid w:val="00DE4ADE"/>
    <w:rsid w:val="00DE4B84"/>
    <w:rsid w:val="00DE4BEF"/>
    <w:rsid w:val="00DE4D06"/>
    <w:rsid w:val="00DE4D2F"/>
    <w:rsid w:val="00DE4F05"/>
    <w:rsid w:val="00DE4F93"/>
    <w:rsid w:val="00DE4FC1"/>
    <w:rsid w:val="00DE5024"/>
    <w:rsid w:val="00DE5110"/>
    <w:rsid w:val="00DE512C"/>
    <w:rsid w:val="00DE5132"/>
    <w:rsid w:val="00DE5253"/>
    <w:rsid w:val="00DE5282"/>
    <w:rsid w:val="00DE52AF"/>
    <w:rsid w:val="00DE5385"/>
    <w:rsid w:val="00DE543C"/>
    <w:rsid w:val="00DE545A"/>
    <w:rsid w:val="00DE5587"/>
    <w:rsid w:val="00DE55D5"/>
    <w:rsid w:val="00DE5642"/>
    <w:rsid w:val="00DE5678"/>
    <w:rsid w:val="00DE56B4"/>
    <w:rsid w:val="00DE57C9"/>
    <w:rsid w:val="00DE585B"/>
    <w:rsid w:val="00DE5887"/>
    <w:rsid w:val="00DE5949"/>
    <w:rsid w:val="00DE5B04"/>
    <w:rsid w:val="00DE5C4F"/>
    <w:rsid w:val="00DE5CE0"/>
    <w:rsid w:val="00DE5DE5"/>
    <w:rsid w:val="00DE5E0A"/>
    <w:rsid w:val="00DE5F44"/>
    <w:rsid w:val="00DE5F4A"/>
    <w:rsid w:val="00DE61D2"/>
    <w:rsid w:val="00DE6288"/>
    <w:rsid w:val="00DE6300"/>
    <w:rsid w:val="00DE6313"/>
    <w:rsid w:val="00DE6440"/>
    <w:rsid w:val="00DE646A"/>
    <w:rsid w:val="00DE6471"/>
    <w:rsid w:val="00DE658A"/>
    <w:rsid w:val="00DE667B"/>
    <w:rsid w:val="00DE67DD"/>
    <w:rsid w:val="00DE68DB"/>
    <w:rsid w:val="00DE6A55"/>
    <w:rsid w:val="00DE6E29"/>
    <w:rsid w:val="00DE6E69"/>
    <w:rsid w:val="00DE7020"/>
    <w:rsid w:val="00DE70E4"/>
    <w:rsid w:val="00DE721C"/>
    <w:rsid w:val="00DE7266"/>
    <w:rsid w:val="00DE72E6"/>
    <w:rsid w:val="00DE7301"/>
    <w:rsid w:val="00DE7324"/>
    <w:rsid w:val="00DE73AC"/>
    <w:rsid w:val="00DE786B"/>
    <w:rsid w:val="00DE789D"/>
    <w:rsid w:val="00DE7915"/>
    <w:rsid w:val="00DE793C"/>
    <w:rsid w:val="00DE79B5"/>
    <w:rsid w:val="00DE7AB1"/>
    <w:rsid w:val="00DE7B31"/>
    <w:rsid w:val="00DE7C5A"/>
    <w:rsid w:val="00DE7D0C"/>
    <w:rsid w:val="00DE7D28"/>
    <w:rsid w:val="00DE7DBC"/>
    <w:rsid w:val="00DE7DC8"/>
    <w:rsid w:val="00DE7E9D"/>
    <w:rsid w:val="00DE7F9A"/>
    <w:rsid w:val="00DF003B"/>
    <w:rsid w:val="00DF0094"/>
    <w:rsid w:val="00DF00A3"/>
    <w:rsid w:val="00DF016C"/>
    <w:rsid w:val="00DF01CC"/>
    <w:rsid w:val="00DF02B1"/>
    <w:rsid w:val="00DF0333"/>
    <w:rsid w:val="00DF034D"/>
    <w:rsid w:val="00DF0386"/>
    <w:rsid w:val="00DF0462"/>
    <w:rsid w:val="00DF0506"/>
    <w:rsid w:val="00DF0667"/>
    <w:rsid w:val="00DF082F"/>
    <w:rsid w:val="00DF09F7"/>
    <w:rsid w:val="00DF0A64"/>
    <w:rsid w:val="00DF0A9C"/>
    <w:rsid w:val="00DF0B40"/>
    <w:rsid w:val="00DF0BD7"/>
    <w:rsid w:val="00DF0DB0"/>
    <w:rsid w:val="00DF0E47"/>
    <w:rsid w:val="00DF0E4D"/>
    <w:rsid w:val="00DF10A1"/>
    <w:rsid w:val="00DF10C3"/>
    <w:rsid w:val="00DF1154"/>
    <w:rsid w:val="00DF123D"/>
    <w:rsid w:val="00DF1272"/>
    <w:rsid w:val="00DF1285"/>
    <w:rsid w:val="00DF134A"/>
    <w:rsid w:val="00DF13D3"/>
    <w:rsid w:val="00DF1423"/>
    <w:rsid w:val="00DF14D9"/>
    <w:rsid w:val="00DF1698"/>
    <w:rsid w:val="00DF16F7"/>
    <w:rsid w:val="00DF176B"/>
    <w:rsid w:val="00DF18FA"/>
    <w:rsid w:val="00DF1A1C"/>
    <w:rsid w:val="00DF1A38"/>
    <w:rsid w:val="00DF1AA3"/>
    <w:rsid w:val="00DF1CD1"/>
    <w:rsid w:val="00DF1D98"/>
    <w:rsid w:val="00DF1FA6"/>
    <w:rsid w:val="00DF1FDA"/>
    <w:rsid w:val="00DF2006"/>
    <w:rsid w:val="00DF20DD"/>
    <w:rsid w:val="00DF215B"/>
    <w:rsid w:val="00DF220F"/>
    <w:rsid w:val="00DF222D"/>
    <w:rsid w:val="00DF2254"/>
    <w:rsid w:val="00DF2306"/>
    <w:rsid w:val="00DF2371"/>
    <w:rsid w:val="00DF2390"/>
    <w:rsid w:val="00DF23EB"/>
    <w:rsid w:val="00DF27C3"/>
    <w:rsid w:val="00DF2880"/>
    <w:rsid w:val="00DF291C"/>
    <w:rsid w:val="00DF292E"/>
    <w:rsid w:val="00DF296C"/>
    <w:rsid w:val="00DF29BA"/>
    <w:rsid w:val="00DF2BFB"/>
    <w:rsid w:val="00DF2C89"/>
    <w:rsid w:val="00DF2CDE"/>
    <w:rsid w:val="00DF2DBF"/>
    <w:rsid w:val="00DF2E9B"/>
    <w:rsid w:val="00DF2F0A"/>
    <w:rsid w:val="00DF2F5A"/>
    <w:rsid w:val="00DF2FC1"/>
    <w:rsid w:val="00DF3000"/>
    <w:rsid w:val="00DF30E8"/>
    <w:rsid w:val="00DF313F"/>
    <w:rsid w:val="00DF316D"/>
    <w:rsid w:val="00DF31E6"/>
    <w:rsid w:val="00DF3278"/>
    <w:rsid w:val="00DF341F"/>
    <w:rsid w:val="00DF3458"/>
    <w:rsid w:val="00DF3656"/>
    <w:rsid w:val="00DF368D"/>
    <w:rsid w:val="00DF36B6"/>
    <w:rsid w:val="00DF3713"/>
    <w:rsid w:val="00DF37D8"/>
    <w:rsid w:val="00DF38AD"/>
    <w:rsid w:val="00DF395F"/>
    <w:rsid w:val="00DF3A10"/>
    <w:rsid w:val="00DF3A41"/>
    <w:rsid w:val="00DF3ABE"/>
    <w:rsid w:val="00DF3B05"/>
    <w:rsid w:val="00DF3D71"/>
    <w:rsid w:val="00DF3D7C"/>
    <w:rsid w:val="00DF3E1A"/>
    <w:rsid w:val="00DF3F43"/>
    <w:rsid w:val="00DF3FF8"/>
    <w:rsid w:val="00DF4184"/>
    <w:rsid w:val="00DF426D"/>
    <w:rsid w:val="00DF44AC"/>
    <w:rsid w:val="00DF44F7"/>
    <w:rsid w:val="00DF450D"/>
    <w:rsid w:val="00DF4546"/>
    <w:rsid w:val="00DF4563"/>
    <w:rsid w:val="00DF459B"/>
    <w:rsid w:val="00DF4634"/>
    <w:rsid w:val="00DF4751"/>
    <w:rsid w:val="00DF4793"/>
    <w:rsid w:val="00DF47A3"/>
    <w:rsid w:val="00DF4927"/>
    <w:rsid w:val="00DF4C1D"/>
    <w:rsid w:val="00DF4C29"/>
    <w:rsid w:val="00DF4CD2"/>
    <w:rsid w:val="00DF4D2D"/>
    <w:rsid w:val="00DF4D61"/>
    <w:rsid w:val="00DF4D71"/>
    <w:rsid w:val="00DF4D78"/>
    <w:rsid w:val="00DF4F3D"/>
    <w:rsid w:val="00DF4F61"/>
    <w:rsid w:val="00DF506D"/>
    <w:rsid w:val="00DF5142"/>
    <w:rsid w:val="00DF5162"/>
    <w:rsid w:val="00DF51B0"/>
    <w:rsid w:val="00DF5257"/>
    <w:rsid w:val="00DF5271"/>
    <w:rsid w:val="00DF5281"/>
    <w:rsid w:val="00DF5310"/>
    <w:rsid w:val="00DF5377"/>
    <w:rsid w:val="00DF541B"/>
    <w:rsid w:val="00DF557C"/>
    <w:rsid w:val="00DF56B1"/>
    <w:rsid w:val="00DF5727"/>
    <w:rsid w:val="00DF5847"/>
    <w:rsid w:val="00DF5858"/>
    <w:rsid w:val="00DF5872"/>
    <w:rsid w:val="00DF5928"/>
    <w:rsid w:val="00DF59C6"/>
    <w:rsid w:val="00DF5A73"/>
    <w:rsid w:val="00DF5B9B"/>
    <w:rsid w:val="00DF5CFF"/>
    <w:rsid w:val="00DF5D71"/>
    <w:rsid w:val="00DF5E62"/>
    <w:rsid w:val="00DF5EBB"/>
    <w:rsid w:val="00DF6022"/>
    <w:rsid w:val="00DF60A2"/>
    <w:rsid w:val="00DF61A9"/>
    <w:rsid w:val="00DF61AA"/>
    <w:rsid w:val="00DF6211"/>
    <w:rsid w:val="00DF6254"/>
    <w:rsid w:val="00DF6523"/>
    <w:rsid w:val="00DF6574"/>
    <w:rsid w:val="00DF6598"/>
    <w:rsid w:val="00DF669E"/>
    <w:rsid w:val="00DF6716"/>
    <w:rsid w:val="00DF67CA"/>
    <w:rsid w:val="00DF6A8E"/>
    <w:rsid w:val="00DF6AF4"/>
    <w:rsid w:val="00DF6B60"/>
    <w:rsid w:val="00DF6BEA"/>
    <w:rsid w:val="00DF6C78"/>
    <w:rsid w:val="00DF6CF9"/>
    <w:rsid w:val="00DF6D72"/>
    <w:rsid w:val="00DF6DF9"/>
    <w:rsid w:val="00DF6E4F"/>
    <w:rsid w:val="00DF6E9F"/>
    <w:rsid w:val="00DF6EF8"/>
    <w:rsid w:val="00DF6F26"/>
    <w:rsid w:val="00DF6FB9"/>
    <w:rsid w:val="00DF6FD3"/>
    <w:rsid w:val="00DF709D"/>
    <w:rsid w:val="00DF714A"/>
    <w:rsid w:val="00DF7182"/>
    <w:rsid w:val="00DF71BA"/>
    <w:rsid w:val="00DF726F"/>
    <w:rsid w:val="00DF73EC"/>
    <w:rsid w:val="00DF74A3"/>
    <w:rsid w:val="00DF74FC"/>
    <w:rsid w:val="00DF7547"/>
    <w:rsid w:val="00DF7671"/>
    <w:rsid w:val="00DF768E"/>
    <w:rsid w:val="00DF76A0"/>
    <w:rsid w:val="00DF7814"/>
    <w:rsid w:val="00DF7865"/>
    <w:rsid w:val="00DF79A9"/>
    <w:rsid w:val="00DF7A11"/>
    <w:rsid w:val="00DF7A6C"/>
    <w:rsid w:val="00DF7B92"/>
    <w:rsid w:val="00DF7BFA"/>
    <w:rsid w:val="00DF7D07"/>
    <w:rsid w:val="00DF7E8D"/>
    <w:rsid w:val="00DF7F82"/>
    <w:rsid w:val="00E00025"/>
    <w:rsid w:val="00E00189"/>
    <w:rsid w:val="00E00220"/>
    <w:rsid w:val="00E00231"/>
    <w:rsid w:val="00E00283"/>
    <w:rsid w:val="00E00288"/>
    <w:rsid w:val="00E002F7"/>
    <w:rsid w:val="00E00324"/>
    <w:rsid w:val="00E004ED"/>
    <w:rsid w:val="00E00771"/>
    <w:rsid w:val="00E00776"/>
    <w:rsid w:val="00E0077D"/>
    <w:rsid w:val="00E00807"/>
    <w:rsid w:val="00E00996"/>
    <w:rsid w:val="00E00B58"/>
    <w:rsid w:val="00E00B66"/>
    <w:rsid w:val="00E00B85"/>
    <w:rsid w:val="00E00C75"/>
    <w:rsid w:val="00E00CD4"/>
    <w:rsid w:val="00E00D82"/>
    <w:rsid w:val="00E00E70"/>
    <w:rsid w:val="00E00F68"/>
    <w:rsid w:val="00E01032"/>
    <w:rsid w:val="00E0104B"/>
    <w:rsid w:val="00E010D1"/>
    <w:rsid w:val="00E01251"/>
    <w:rsid w:val="00E01447"/>
    <w:rsid w:val="00E0151A"/>
    <w:rsid w:val="00E0159C"/>
    <w:rsid w:val="00E0163B"/>
    <w:rsid w:val="00E01679"/>
    <w:rsid w:val="00E016ED"/>
    <w:rsid w:val="00E01811"/>
    <w:rsid w:val="00E018B2"/>
    <w:rsid w:val="00E01A9B"/>
    <w:rsid w:val="00E01D72"/>
    <w:rsid w:val="00E01DE7"/>
    <w:rsid w:val="00E01E14"/>
    <w:rsid w:val="00E020EC"/>
    <w:rsid w:val="00E02191"/>
    <w:rsid w:val="00E022A4"/>
    <w:rsid w:val="00E02311"/>
    <w:rsid w:val="00E0238F"/>
    <w:rsid w:val="00E02453"/>
    <w:rsid w:val="00E024E2"/>
    <w:rsid w:val="00E025D2"/>
    <w:rsid w:val="00E0261D"/>
    <w:rsid w:val="00E02765"/>
    <w:rsid w:val="00E0276B"/>
    <w:rsid w:val="00E027C2"/>
    <w:rsid w:val="00E027C4"/>
    <w:rsid w:val="00E0284D"/>
    <w:rsid w:val="00E0284F"/>
    <w:rsid w:val="00E028C1"/>
    <w:rsid w:val="00E02B58"/>
    <w:rsid w:val="00E02BCA"/>
    <w:rsid w:val="00E02C7C"/>
    <w:rsid w:val="00E02D1B"/>
    <w:rsid w:val="00E02D90"/>
    <w:rsid w:val="00E02DB0"/>
    <w:rsid w:val="00E02EC6"/>
    <w:rsid w:val="00E03284"/>
    <w:rsid w:val="00E032AF"/>
    <w:rsid w:val="00E03337"/>
    <w:rsid w:val="00E0334C"/>
    <w:rsid w:val="00E033BD"/>
    <w:rsid w:val="00E0344D"/>
    <w:rsid w:val="00E0345A"/>
    <w:rsid w:val="00E03488"/>
    <w:rsid w:val="00E0358E"/>
    <w:rsid w:val="00E035A1"/>
    <w:rsid w:val="00E035E8"/>
    <w:rsid w:val="00E03688"/>
    <w:rsid w:val="00E03727"/>
    <w:rsid w:val="00E037DC"/>
    <w:rsid w:val="00E03821"/>
    <w:rsid w:val="00E0387C"/>
    <w:rsid w:val="00E038CF"/>
    <w:rsid w:val="00E03A75"/>
    <w:rsid w:val="00E03B6D"/>
    <w:rsid w:val="00E03BE8"/>
    <w:rsid w:val="00E03C74"/>
    <w:rsid w:val="00E03DC6"/>
    <w:rsid w:val="00E03DEB"/>
    <w:rsid w:val="00E03E89"/>
    <w:rsid w:val="00E04040"/>
    <w:rsid w:val="00E0407F"/>
    <w:rsid w:val="00E04188"/>
    <w:rsid w:val="00E042D0"/>
    <w:rsid w:val="00E043AB"/>
    <w:rsid w:val="00E0444F"/>
    <w:rsid w:val="00E045CA"/>
    <w:rsid w:val="00E04639"/>
    <w:rsid w:val="00E04773"/>
    <w:rsid w:val="00E047D3"/>
    <w:rsid w:val="00E04936"/>
    <w:rsid w:val="00E0495F"/>
    <w:rsid w:val="00E04A0C"/>
    <w:rsid w:val="00E04A1D"/>
    <w:rsid w:val="00E04AD4"/>
    <w:rsid w:val="00E04B30"/>
    <w:rsid w:val="00E04C67"/>
    <w:rsid w:val="00E04D25"/>
    <w:rsid w:val="00E04D90"/>
    <w:rsid w:val="00E04F56"/>
    <w:rsid w:val="00E04FEC"/>
    <w:rsid w:val="00E050D7"/>
    <w:rsid w:val="00E050EF"/>
    <w:rsid w:val="00E0519F"/>
    <w:rsid w:val="00E051D4"/>
    <w:rsid w:val="00E052F7"/>
    <w:rsid w:val="00E05448"/>
    <w:rsid w:val="00E05541"/>
    <w:rsid w:val="00E055EA"/>
    <w:rsid w:val="00E05667"/>
    <w:rsid w:val="00E0573B"/>
    <w:rsid w:val="00E05985"/>
    <w:rsid w:val="00E05A1A"/>
    <w:rsid w:val="00E05A6E"/>
    <w:rsid w:val="00E05AEB"/>
    <w:rsid w:val="00E05AEC"/>
    <w:rsid w:val="00E05C47"/>
    <w:rsid w:val="00E05D37"/>
    <w:rsid w:val="00E05D6D"/>
    <w:rsid w:val="00E05EC4"/>
    <w:rsid w:val="00E05F12"/>
    <w:rsid w:val="00E05F83"/>
    <w:rsid w:val="00E05FFA"/>
    <w:rsid w:val="00E060F6"/>
    <w:rsid w:val="00E0618A"/>
    <w:rsid w:val="00E0620E"/>
    <w:rsid w:val="00E06287"/>
    <w:rsid w:val="00E06337"/>
    <w:rsid w:val="00E064E9"/>
    <w:rsid w:val="00E0651E"/>
    <w:rsid w:val="00E065D8"/>
    <w:rsid w:val="00E065F8"/>
    <w:rsid w:val="00E066ED"/>
    <w:rsid w:val="00E066FB"/>
    <w:rsid w:val="00E06769"/>
    <w:rsid w:val="00E06792"/>
    <w:rsid w:val="00E0689F"/>
    <w:rsid w:val="00E06925"/>
    <w:rsid w:val="00E0692A"/>
    <w:rsid w:val="00E06948"/>
    <w:rsid w:val="00E069DA"/>
    <w:rsid w:val="00E069E2"/>
    <w:rsid w:val="00E06A4E"/>
    <w:rsid w:val="00E06B82"/>
    <w:rsid w:val="00E06C1E"/>
    <w:rsid w:val="00E06C78"/>
    <w:rsid w:val="00E06D91"/>
    <w:rsid w:val="00E06DE8"/>
    <w:rsid w:val="00E06E72"/>
    <w:rsid w:val="00E06ECA"/>
    <w:rsid w:val="00E06FA1"/>
    <w:rsid w:val="00E06FEF"/>
    <w:rsid w:val="00E07034"/>
    <w:rsid w:val="00E07307"/>
    <w:rsid w:val="00E0733E"/>
    <w:rsid w:val="00E073D7"/>
    <w:rsid w:val="00E073DC"/>
    <w:rsid w:val="00E07674"/>
    <w:rsid w:val="00E076AD"/>
    <w:rsid w:val="00E07731"/>
    <w:rsid w:val="00E07819"/>
    <w:rsid w:val="00E07931"/>
    <w:rsid w:val="00E07A69"/>
    <w:rsid w:val="00E07AE9"/>
    <w:rsid w:val="00E07B5A"/>
    <w:rsid w:val="00E07B68"/>
    <w:rsid w:val="00E07BB6"/>
    <w:rsid w:val="00E07BC7"/>
    <w:rsid w:val="00E07C99"/>
    <w:rsid w:val="00E07EC3"/>
    <w:rsid w:val="00E07F61"/>
    <w:rsid w:val="00E1017A"/>
    <w:rsid w:val="00E101AC"/>
    <w:rsid w:val="00E1024A"/>
    <w:rsid w:val="00E102FD"/>
    <w:rsid w:val="00E103B0"/>
    <w:rsid w:val="00E10408"/>
    <w:rsid w:val="00E1053E"/>
    <w:rsid w:val="00E1063D"/>
    <w:rsid w:val="00E10666"/>
    <w:rsid w:val="00E1069A"/>
    <w:rsid w:val="00E107B5"/>
    <w:rsid w:val="00E107CA"/>
    <w:rsid w:val="00E1082D"/>
    <w:rsid w:val="00E10849"/>
    <w:rsid w:val="00E10A3C"/>
    <w:rsid w:val="00E10A86"/>
    <w:rsid w:val="00E10A8A"/>
    <w:rsid w:val="00E10AAD"/>
    <w:rsid w:val="00E10BA9"/>
    <w:rsid w:val="00E10CFB"/>
    <w:rsid w:val="00E10DA8"/>
    <w:rsid w:val="00E10EDC"/>
    <w:rsid w:val="00E10F70"/>
    <w:rsid w:val="00E10FF4"/>
    <w:rsid w:val="00E1129D"/>
    <w:rsid w:val="00E112D9"/>
    <w:rsid w:val="00E112E8"/>
    <w:rsid w:val="00E1132B"/>
    <w:rsid w:val="00E11349"/>
    <w:rsid w:val="00E1134B"/>
    <w:rsid w:val="00E11382"/>
    <w:rsid w:val="00E11384"/>
    <w:rsid w:val="00E114DA"/>
    <w:rsid w:val="00E1165C"/>
    <w:rsid w:val="00E116F7"/>
    <w:rsid w:val="00E118F9"/>
    <w:rsid w:val="00E1197A"/>
    <w:rsid w:val="00E11A0C"/>
    <w:rsid w:val="00E11C9C"/>
    <w:rsid w:val="00E11CC2"/>
    <w:rsid w:val="00E11CFC"/>
    <w:rsid w:val="00E11DAD"/>
    <w:rsid w:val="00E11DE4"/>
    <w:rsid w:val="00E11EA1"/>
    <w:rsid w:val="00E11F26"/>
    <w:rsid w:val="00E11F68"/>
    <w:rsid w:val="00E11F7D"/>
    <w:rsid w:val="00E12014"/>
    <w:rsid w:val="00E120B8"/>
    <w:rsid w:val="00E120D6"/>
    <w:rsid w:val="00E121D8"/>
    <w:rsid w:val="00E1225C"/>
    <w:rsid w:val="00E12311"/>
    <w:rsid w:val="00E124CB"/>
    <w:rsid w:val="00E1250D"/>
    <w:rsid w:val="00E1254E"/>
    <w:rsid w:val="00E1257A"/>
    <w:rsid w:val="00E125FD"/>
    <w:rsid w:val="00E1261A"/>
    <w:rsid w:val="00E12762"/>
    <w:rsid w:val="00E1276E"/>
    <w:rsid w:val="00E1277E"/>
    <w:rsid w:val="00E127D8"/>
    <w:rsid w:val="00E12A5F"/>
    <w:rsid w:val="00E12C66"/>
    <w:rsid w:val="00E12CB5"/>
    <w:rsid w:val="00E12CC7"/>
    <w:rsid w:val="00E12E94"/>
    <w:rsid w:val="00E12E95"/>
    <w:rsid w:val="00E12EDD"/>
    <w:rsid w:val="00E13036"/>
    <w:rsid w:val="00E13074"/>
    <w:rsid w:val="00E13252"/>
    <w:rsid w:val="00E132CC"/>
    <w:rsid w:val="00E13381"/>
    <w:rsid w:val="00E13443"/>
    <w:rsid w:val="00E137F0"/>
    <w:rsid w:val="00E137FF"/>
    <w:rsid w:val="00E1380A"/>
    <w:rsid w:val="00E138B8"/>
    <w:rsid w:val="00E13936"/>
    <w:rsid w:val="00E13C59"/>
    <w:rsid w:val="00E13CB9"/>
    <w:rsid w:val="00E13D48"/>
    <w:rsid w:val="00E13F6B"/>
    <w:rsid w:val="00E13FBA"/>
    <w:rsid w:val="00E13FF0"/>
    <w:rsid w:val="00E14144"/>
    <w:rsid w:val="00E14177"/>
    <w:rsid w:val="00E14192"/>
    <w:rsid w:val="00E14213"/>
    <w:rsid w:val="00E143D3"/>
    <w:rsid w:val="00E14498"/>
    <w:rsid w:val="00E144DF"/>
    <w:rsid w:val="00E144F3"/>
    <w:rsid w:val="00E14523"/>
    <w:rsid w:val="00E145E3"/>
    <w:rsid w:val="00E146EB"/>
    <w:rsid w:val="00E14717"/>
    <w:rsid w:val="00E1484E"/>
    <w:rsid w:val="00E149A7"/>
    <w:rsid w:val="00E149FB"/>
    <w:rsid w:val="00E14B3F"/>
    <w:rsid w:val="00E14B66"/>
    <w:rsid w:val="00E14C54"/>
    <w:rsid w:val="00E14C9D"/>
    <w:rsid w:val="00E14DDE"/>
    <w:rsid w:val="00E14EA8"/>
    <w:rsid w:val="00E150AD"/>
    <w:rsid w:val="00E15139"/>
    <w:rsid w:val="00E1515C"/>
    <w:rsid w:val="00E15244"/>
    <w:rsid w:val="00E1531D"/>
    <w:rsid w:val="00E15396"/>
    <w:rsid w:val="00E15426"/>
    <w:rsid w:val="00E1543F"/>
    <w:rsid w:val="00E155B0"/>
    <w:rsid w:val="00E1564B"/>
    <w:rsid w:val="00E1564F"/>
    <w:rsid w:val="00E1570F"/>
    <w:rsid w:val="00E157BF"/>
    <w:rsid w:val="00E158AA"/>
    <w:rsid w:val="00E15901"/>
    <w:rsid w:val="00E15A8A"/>
    <w:rsid w:val="00E15BA1"/>
    <w:rsid w:val="00E15C60"/>
    <w:rsid w:val="00E15CD5"/>
    <w:rsid w:val="00E15DA9"/>
    <w:rsid w:val="00E15E72"/>
    <w:rsid w:val="00E15EC2"/>
    <w:rsid w:val="00E1639F"/>
    <w:rsid w:val="00E163E1"/>
    <w:rsid w:val="00E16413"/>
    <w:rsid w:val="00E164B7"/>
    <w:rsid w:val="00E164F8"/>
    <w:rsid w:val="00E16590"/>
    <w:rsid w:val="00E16650"/>
    <w:rsid w:val="00E166EE"/>
    <w:rsid w:val="00E166F5"/>
    <w:rsid w:val="00E16846"/>
    <w:rsid w:val="00E16A93"/>
    <w:rsid w:val="00E16AA4"/>
    <w:rsid w:val="00E16AEF"/>
    <w:rsid w:val="00E16BF5"/>
    <w:rsid w:val="00E16C13"/>
    <w:rsid w:val="00E16C79"/>
    <w:rsid w:val="00E16D67"/>
    <w:rsid w:val="00E16E16"/>
    <w:rsid w:val="00E16E30"/>
    <w:rsid w:val="00E1700D"/>
    <w:rsid w:val="00E17044"/>
    <w:rsid w:val="00E170B9"/>
    <w:rsid w:val="00E170D7"/>
    <w:rsid w:val="00E1710B"/>
    <w:rsid w:val="00E17229"/>
    <w:rsid w:val="00E1734B"/>
    <w:rsid w:val="00E17422"/>
    <w:rsid w:val="00E177A9"/>
    <w:rsid w:val="00E1785E"/>
    <w:rsid w:val="00E179DA"/>
    <w:rsid w:val="00E17CA1"/>
    <w:rsid w:val="00E17CF6"/>
    <w:rsid w:val="00E17D61"/>
    <w:rsid w:val="00E17F37"/>
    <w:rsid w:val="00E17F8A"/>
    <w:rsid w:val="00E2008A"/>
    <w:rsid w:val="00E200E8"/>
    <w:rsid w:val="00E20109"/>
    <w:rsid w:val="00E20179"/>
    <w:rsid w:val="00E201D8"/>
    <w:rsid w:val="00E2033A"/>
    <w:rsid w:val="00E20353"/>
    <w:rsid w:val="00E2036F"/>
    <w:rsid w:val="00E2037E"/>
    <w:rsid w:val="00E2051A"/>
    <w:rsid w:val="00E206BC"/>
    <w:rsid w:val="00E2077E"/>
    <w:rsid w:val="00E20845"/>
    <w:rsid w:val="00E208A5"/>
    <w:rsid w:val="00E208FD"/>
    <w:rsid w:val="00E20901"/>
    <w:rsid w:val="00E209FF"/>
    <w:rsid w:val="00E20A5F"/>
    <w:rsid w:val="00E20B9B"/>
    <w:rsid w:val="00E20C06"/>
    <w:rsid w:val="00E20C98"/>
    <w:rsid w:val="00E20CFE"/>
    <w:rsid w:val="00E20E20"/>
    <w:rsid w:val="00E20F27"/>
    <w:rsid w:val="00E210BF"/>
    <w:rsid w:val="00E2123F"/>
    <w:rsid w:val="00E21271"/>
    <w:rsid w:val="00E2146D"/>
    <w:rsid w:val="00E215C0"/>
    <w:rsid w:val="00E21614"/>
    <w:rsid w:val="00E2163E"/>
    <w:rsid w:val="00E217D3"/>
    <w:rsid w:val="00E217F6"/>
    <w:rsid w:val="00E218B5"/>
    <w:rsid w:val="00E2192F"/>
    <w:rsid w:val="00E219A2"/>
    <w:rsid w:val="00E21A2F"/>
    <w:rsid w:val="00E21A45"/>
    <w:rsid w:val="00E21A48"/>
    <w:rsid w:val="00E21A5A"/>
    <w:rsid w:val="00E21B2E"/>
    <w:rsid w:val="00E21B6C"/>
    <w:rsid w:val="00E21C60"/>
    <w:rsid w:val="00E21E6E"/>
    <w:rsid w:val="00E21EB8"/>
    <w:rsid w:val="00E21F22"/>
    <w:rsid w:val="00E21F93"/>
    <w:rsid w:val="00E22262"/>
    <w:rsid w:val="00E222AC"/>
    <w:rsid w:val="00E222D6"/>
    <w:rsid w:val="00E22387"/>
    <w:rsid w:val="00E2243A"/>
    <w:rsid w:val="00E22622"/>
    <w:rsid w:val="00E2270C"/>
    <w:rsid w:val="00E22724"/>
    <w:rsid w:val="00E22AFD"/>
    <w:rsid w:val="00E22B60"/>
    <w:rsid w:val="00E22B92"/>
    <w:rsid w:val="00E22BAD"/>
    <w:rsid w:val="00E22D14"/>
    <w:rsid w:val="00E22E40"/>
    <w:rsid w:val="00E22F96"/>
    <w:rsid w:val="00E2303B"/>
    <w:rsid w:val="00E2310C"/>
    <w:rsid w:val="00E23242"/>
    <w:rsid w:val="00E23266"/>
    <w:rsid w:val="00E233DC"/>
    <w:rsid w:val="00E234DA"/>
    <w:rsid w:val="00E234F0"/>
    <w:rsid w:val="00E235F9"/>
    <w:rsid w:val="00E23620"/>
    <w:rsid w:val="00E23B3D"/>
    <w:rsid w:val="00E23DF2"/>
    <w:rsid w:val="00E24323"/>
    <w:rsid w:val="00E243E0"/>
    <w:rsid w:val="00E245DC"/>
    <w:rsid w:val="00E24660"/>
    <w:rsid w:val="00E246D9"/>
    <w:rsid w:val="00E24B5B"/>
    <w:rsid w:val="00E24BAC"/>
    <w:rsid w:val="00E24BC4"/>
    <w:rsid w:val="00E24D02"/>
    <w:rsid w:val="00E24D2C"/>
    <w:rsid w:val="00E24D6A"/>
    <w:rsid w:val="00E24D8A"/>
    <w:rsid w:val="00E24DDE"/>
    <w:rsid w:val="00E24E05"/>
    <w:rsid w:val="00E24E4F"/>
    <w:rsid w:val="00E24ED3"/>
    <w:rsid w:val="00E25037"/>
    <w:rsid w:val="00E251E6"/>
    <w:rsid w:val="00E25203"/>
    <w:rsid w:val="00E2527A"/>
    <w:rsid w:val="00E2531A"/>
    <w:rsid w:val="00E254EF"/>
    <w:rsid w:val="00E2561B"/>
    <w:rsid w:val="00E2569C"/>
    <w:rsid w:val="00E25721"/>
    <w:rsid w:val="00E25AA3"/>
    <w:rsid w:val="00E25AC3"/>
    <w:rsid w:val="00E25C47"/>
    <w:rsid w:val="00E25E84"/>
    <w:rsid w:val="00E25EA6"/>
    <w:rsid w:val="00E25F04"/>
    <w:rsid w:val="00E26090"/>
    <w:rsid w:val="00E260ED"/>
    <w:rsid w:val="00E2622B"/>
    <w:rsid w:val="00E26267"/>
    <w:rsid w:val="00E26268"/>
    <w:rsid w:val="00E262AC"/>
    <w:rsid w:val="00E262E5"/>
    <w:rsid w:val="00E262F8"/>
    <w:rsid w:val="00E26457"/>
    <w:rsid w:val="00E264DB"/>
    <w:rsid w:val="00E2658E"/>
    <w:rsid w:val="00E26653"/>
    <w:rsid w:val="00E2671E"/>
    <w:rsid w:val="00E268A1"/>
    <w:rsid w:val="00E268FC"/>
    <w:rsid w:val="00E2693F"/>
    <w:rsid w:val="00E26950"/>
    <w:rsid w:val="00E26C2A"/>
    <w:rsid w:val="00E26D52"/>
    <w:rsid w:val="00E26E10"/>
    <w:rsid w:val="00E26F78"/>
    <w:rsid w:val="00E2706D"/>
    <w:rsid w:val="00E2709B"/>
    <w:rsid w:val="00E270D9"/>
    <w:rsid w:val="00E272A5"/>
    <w:rsid w:val="00E273FD"/>
    <w:rsid w:val="00E2751C"/>
    <w:rsid w:val="00E27520"/>
    <w:rsid w:val="00E275FD"/>
    <w:rsid w:val="00E2766A"/>
    <w:rsid w:val="00E27678"/>
    <w:rsid w:val="00E27711"/>
    <w:rsid w:val="00E278CF"/>
    <w:rsid w:val="00E27925"/>
    <w:rsid w:val="00E27960"/>
    <w:rsid w:val="00E2799B"/>
    <w:rsid w:val="00E27ADD"/>
    <w:rsid w:val="00E27B56"/>
    <w:rsid w:val="00E27C84"/>
    <w:rsid w:val="00E27CC7"/>
    <w:rsid w:val="00E27CCE"/>
    <w:rsid w:val="00E27D03"/>
    <w:rsid w:val="00E27D9A"/>
    <w:rsid w:val="00E27E69"/>
    <w:rsid w:val="00E27F6A"/>
    <w:rsid w:val="00E27F75"/>
    <w:rsid w:val="00E27FF2"/>
    <w:rsid w:val="00E30016"/>
    <w:rsid w:val="00E30063"/>
    <w:rsid w:val="00E30124"/>
    <w:rsid w:val="00E30145"/>
    <w:rsid w:val="00E3020F"/>
    <w:rsid w:val="00E303D1"/>
    <w:rsid w:val="00E305E1"/>
    <w:rsid w:val="00E305E4"/>
    <w:rsid w:val="00E30622"/>
    <w:rsid w:val="00E3072D"/>
    <w:rsid w:val="00E30762"/>
    <w:rsid w:val="00E30791"/>
    <w:rsid w:val="00E308A5"/>
    <w:rsid w:val="00E308EE"/>
    <w:rsid w:val="00E309B1"/>
    <w:rsid w:val="00E30A16"/>
    <w:rsid w:val="00E30A5F"/>
    <w:rsid w:val="00E30ACA"/>
    <w:rsid w:val="00E30B6F"/>
    <w:rsid w:val="00E30D2B"/>
    <w:rsid w:val="00E30E23"/>
    <w:rsid w:val="00E30E9A"/>
    <w:rsid w:val="00E30F2B"/>
    <w:rsid w:val="00E30FCD"/>
    <w:rsid w:val="00E31024"/>
    <w:rsid w:val="00E310B1"/>
    <w:rsid w:val="00E311CD"/>
    <w:rsid w:val="00E311D3"/>
    <w:rsid w:val="00E31264"/>
    <w:rsid w:val="00E3132F"/>
    <w:rsid w:val="00E31440"/>
    <w:rsid w:val="00E31655"/>
    <w:rsid w:val="00E31676"/>
    <w:rsid w:val="00E316BF"/>
    <w:rsid w:val="00E316E1"/>
    <w:rsid w:val="00E31838"/>
    <w:rsid w:val="00E31910"/>
    <w:rsid w:val="00E319F3"/>
    <w:rsid w:val="00E31AA9"/>
    <w:rsid w:val="00E31C03"/>
    <w:rsid w:val="00E320A6"/>
    <w:rsid w:val="00E32134"/>
    <w:rsid w:val="00E32190"/>
    <w:rsid w:val="00E32277"/>
    <w:rsid w:val="00E32376"/>
    <w:rsid w:val="00E323F0"/>
    <w:rsid w:val="00E325D8"/>
    <w:rsid w:val="00E3263D"/>
    <w:rsid w:val="00E3266F"/>
    <w:rsid w:val="00E32754"/>
    <w:rsid w:val="00E327A9"/>
    <w:rsid w:val="00E328B3"/>
    <w:rsid w:val="00E328F9"/>
    <w:rsid w:val="00E32973"/>
    <w:rsid w:val="00E32A68"/>
    <w:rsid w:val="00E32A96"/>
    <w:rsid w:val="00E32A9C"/>
    <w:rsid w:val="00E32A9E"/>
    <w:rsid w:val="00E32AE8"/>
    <w:rsid w:val="00E32BF3"/>
    <w:rsid w:val="00E32E24"/>
    <w:rsid w:val="00E33333"/>
    <w:rsid w:val="00E333F8"/>
    <w:rsid w:val="00E33400"/>
    <w:rsid w:val="00E33614"/>
    <w:rsid w:val="00E337BE"/>
    <w:rsid w:val="00E3384F"/>
    <w:rsid w:val="00E33853"/>
    <w:rsid w:val="00E338B9"/>
    <w:rsid w:val="00E33939"/>
    <w:rsid w:val="00E3393F"/>
    <w:rsid w:val="00E33943"/>
    <w:rsid w:val="00E33A68"/>
    <w:rsid w:val="00E33C9B"/>
    <w:rsid w:val="00E33D81"/>
    <w:rsid w:val="00E33E70"/>
    <w:rsid w:val="00E340A7"/>
    <w:rsid w:val="00E34105"/>
    <w:rsid w:val="00E341A6"/>
    <w:rsid w:val="00E342A3"/>
    <w:rsid w:val="00E343C2"/>
    <w:rsid w:val="00E3451C"/>
    <w:rsid w:val="00E3452A"/>
    <w:rsid w:val="00E345AD"/>
    <w:rsid w:val="00E345BF"/>
    <w:rsid w:val="00E345D4"/>
    <w:rsid w:val="00E345DC"/>
    <w:rsid w:val="00E3468E"/>
    <w:rsid w:val="00E347F1"/>
    <w:rsid w:val="00E34A47"/>
    <w:rsid w:val="00E34B84"/>
    <w:rsid w:val="00E34BE9"/>
    <w:rsid w:val="00E34D18"/>
    <w:rsid w:val="00E34D27"/>
    <w:rsid w:val="00E34D8E"/>
    <w:rsid w:val="00E34DB7"/>
    <w:rsid w:val="00E34E4C"/>
    <w:rsid w:val="00E35040"/>
    <w:rsid w:val="00E3507D"/>
    <w:rsid w:val="00E350F1"/>
    <w:rsid w:val="00E3512F"/>
    <w:rsid w:val="00E351F8"/>
    <w:rsid w:val="00E3526F"/>
    <w:rsid w:val="00E354F5"/>
    <w:rsid w:val="00E3555E"/>
    <w:rsid w:val="00E3557F"/>
    <w:rsid w:val="00E35667"/>
    <w:rsid w:val="00E356B6"/>
    <w:rsid w:val="00E3582F"/>
    <w:rsid w:val="00E35950"/>
    <w:rsid w:val="00E359D2"/>
    <w:rsid w:val="00E359FB"/>
    <w:rsid w:val="00E35A7F"/>
    <w:rsid w:val="00E35F47"/>
    <w:rsid w:val="00E35F67"/>
    <w:rsid w:val="00E35FA3"/>
    <w:rsid w:val="00E35FE2"/>
    <w:rsid w:val="00E36019"/>
    <w:rsid w:val="00E360D7"/>
    <w:rsid w:val="00E360FA"/>
    <w:rsid w:val="00E3619B"/>
    <w:rsid w:val="00E361B1"/>
    <w:rsid w:val="00E36357"/>
    <w:rsid w:val="00E3639A"/>
    <w:rsid w:val="00E363FB"/>
    <w:rsid w:val="00E36441"/>
    <w:rsid w:val="00E36482"/>
    <w:rsid w:val="00E366E0"/>
    <w:rsid w:val="00E36730"/>
    <w:rsid w:val="00E36A2E"/>
    <w:rsid w:val="00E36B35"/>
    <w:rsid w:val="00E36B64"/>
    <w:rsid w:val="00E36B8C"/>
    <w:rsid w:val="00E36C68"/>
    <w:rsid w:val="00E36CBD"/>
    <w:rsid w:val="00E36CCA"/>
    <w:rsid w:val="00E36EE9"/>
    <w:rsid w:val="00E36F28"/>
    <w:rsid w:val="00E36F96"/>
    <w:rsid w:val="00E371D6"/>
    <w:rsid w:val="00E371DA"/>
    <w:rsid w:val="00E37286"/>
    <w:rsid w:val="00E37287"/>
    <w:rsid w:val="00E37288"/>
    <w:rsid w:val="00E372A4"/>
    <w:rsid w:val="00E372AB"/>
    <w:rsid w:val="00E373CC"/>
    <w:rsid w:val="00E373EE"/>
    <w:rsid w:val="00E373F8"/>
    <w:rsid w:val="00E37456"/>
    <w:rsid w:val="00E374E0"/>
    <w:rsid w:val="00E37544"/>
    <w:rsid w:val="00E3755E"/>
    <w:rsid w:val="00E37588"/>
    <w:rsid w:val="00E378A5"/>
    <w:rsid w:val="00E37986"/>
    <w:rsid w:val="00E379E3"/>
    <w:rsid w:val="00E379F2"/>
    <w:rsid w:val="00E379FA"/>
    <w:rsid w:val="00E37A6C"/>
    <w:rsid w:val="00E37DBE"/>
    <w:rsid w:val="00E400B8"/>
    <w:rsid w:val="00E400E1"/>
    <w:rsid w:val="00E40200"/>
    <w:rsid w:val="00E40351"/>
    <w:rsid w:val="00E4038B"/>
    <w:rsid w:val="00E4038D"/>
    <w:rsid w:val="00E40409"/>
    <w:rsid w:val="00E405A1"/>
    <w:rsid w:val="00E4065F"/>
    <w:rsid w:val="00E40677"/>
    <w:rsid w:val="00E40864"/>
    <w:rsid w:val="00E40981"/>
    <w:rsid w:val="00E409B4"/>
    <w:rsid w:val="00E40A3F"/>
    <w:rsid w:val="00E40A6C"/>
    <w:rsid w:val="00E40AEE"/>
    <w:rsid w:val="00E40AFC"/>
    <w:rsid w:val="00E40B72"/>
    <w:rsid w:val="00E40B81"/>
    <w:rsid w:val="00E40E29"/>
    <w:rsid w:val="00E40FAC"/>
    <w:rsid w:val="00E40FD8"/>
    <w:rsid w:val="00E4112C"/>
    <w:rsid w:val="00E411F7"/>
    <w:rsid w:val="00E41271"/>
    <w:rsid w:val="00E41310"/>
    <w:rsid w:val="00E414C4"/>
    <w:rsid w:val="00E414D6"/>
    <w:rsid w:val="00E415E5"/>
    <w:rsid w:val="00E4161F"/>
    <w:rsid w:val="00E41683"/>
    <w:rsid w:val="00E418C1"/>
    <w:rsid w:val="00E41967"/>
    <w:rsid w:val="00E4197D"/>
    <w:rsid w:val="00E41A24"/>
    <w:rsid w:val="00E41AA6"/>
    <w:rsid w:val="00E41BB3"/>
    <w:rsid w:val="00E41BF8"/>
    <w:rsid w:val="00E41D05"/>
    <w:rsid w:val="00E41DC0"/>
    <w:rsid w:val="00E41E0B"/>
    <w:rsid w:val="00E41E4C"/>
    <w:rsid w:val="00E41E9C"/>
    <w:rsid w:val="00E41FCD"/>
    <w:rsid w:val="00E42016"/>
    <w:rsid w:val="00E420B5"/>
    <w:rsid w:val="00E420EA"/>
    <w:rsid w:val="00E42242"/>
    <w:rsid w:val="00E4226D"/>
    <w:rsid w:val="00E422DB"/>
    <w:rsid w:val="00E42366"/>
    <w:rsid w:val="00E425A3"/>
    <w:rsid w:val="00E4264E"/>
    <w:rsid w:val="00E4264F"/>
    <w:rsid w:val="00E426AF"/>
    <w:rsid w:val="00E426EB"/>
    <w:rsid w:val="00E426F0"/>
    <w:rsid w:val="00E4288C"/>
    <w:rsid w:val="00E428B0"/>
    <w:rsid w:val="00E428BB"/>
    <w:rsid w:val="00E428D7"/>
    <w:rsid w:val="00E42A98"/>
    <w:rsid w:val="00E42C69"/>
    <w:rsid w:val="00E42D01"/>
    <w:rsid w:val="00E42E3A"/>
    <w:rsid w:val="00E42ED5"/>
    <w:rsid w:val="00E42F00"/>
    <w:rsid w:val="00E42F2F"/>
    <w:rsid w:val="00E430FF"/>
    <w:rsid w:val="00E43246"/>
    <w:rsid w:val="00E4327B"/>
    <w:rsid w:val="00E432FD"/>
    <w:rsid w:val="00E433C6"/>
    <w:rsid w:val="00E433FC"/>
    <w:rsid w:val="00E43427"/>
    <w:rsid w:val="00E43556"/>
    <w:rsid w:val="00E435CF"/>
    <w:rsid w:val="00E43682"/>
    <w:rsid w:val="00E4384E"/>
    <w:rsid w:val="00E438FF"/>
    <w:rsid w:val="00E43917"/>
    <w:rsid w:val="00E439E2"/>
    <w:rsid w:val="00E43C17"/>
    <w:rsid w:val="00E43CDC"/>
    <w:rsid w:val="00E43CDD"/>
    <w:rsid w:val="00E43DB2"/>
    <w:rsid w:val="00E440B2"/>
    <w:rsid w:val="00E44134"/>
    <w:rsid w:val="00E44158"/>
    <w:rsid w:val="00E44381"/>
    <w:rsid w:val="00E44538"/>
    <w:rsid w:val="00E445B4"/>
    <w:rsid w:val="00E44960"/>
    <w:rsid w:val="00E44A32"/>
    <w:rsid w:val="00E44BC6"/>
    <w:rsid w:val="00E44C23"/>
    <w:rsid w:val="00E44CFE"/>
    <w:rsid w:val="00E44DF6"/>
    <w:rsid w:val="00E45090"/>
    <w:rsid w:val="00E45146"/>
    <w:rsid w:val="00E453F2"/>
    <w:rsid w:val="00E45481"/>
    <w:rsid w:val="00E455E1"/>
    <w:rsid w:val="00E45780"/>
    <w:rsid w:val="00E4578C"/>
    <w:rsid w:val="00E457AD"/>
    <w:rsid w:val="00E45816"/>
    <w:rsid w:val="00E45893"/>
    <w:rsid w:val="00E458BA"/>
    <w:rsid w:val="00E458E8"/>
    <w:rsid w:val="00E45979"/>
    <w:rsid w:val="00E45980"/>
    <w:rsid w:val="00E4598A"/>
    <w:rsid w:val="00E459EE"/>
    <w:rsid w:val="00E459FA"/>
    <w:rsid w:val="00E45B7E"/>
    <w:rsid w:val="00E45C73"/>
    <w:rsid w:val="00E45CA8"/>
    <w:rsid w:val="00E45D55"/>
    <w:rsid w:val="00E45DB6"/>
    <w:rsid w:val="00E45EC3"/>
    <w:rsid w:val="00E45F1D"/>
    <w:rsid w:val="00E45FC8"/>
    <w:rsid w:val="00E46007"/>
    <w:rsid w:val="00E46043"/>
    <w:rsid w:val="00E46068"/>
    <w:rsid w:val="00E460B2"/>
    <w:rsid w:val="00E4611D"/>
    <w:rsid w:val="00E46164"/>
    <w:rsid w:val="00E4624E"/>
    <w:rsid w:val="00E46265"/>
    <w:rsid w:val="00E4636B"/>
    <w:rsid w:val="00E46719"/>
    <w:rsid w:val="00E467B3"/>
    <w:rsid w:val="00E467D7"/>
    <w:rsid w:val="00E46A64"/>
    <w:rsid w:val="00E46AC4"/>
    <w:rsid w:val="00E46AC8"/>
    <w:rsid w:val="00E46B2E"/>
    <w:rsid w:val="00E46C1A"/>
    <w:rsid w:val="00E46C3F"/>
    <w:rsid w:val="00E46C9F"/>
    <w:rsid w:val="00E46CFA"/>
    <w:rsid w:val="00E46D83"/>
    <w:rsid w:val="00E46EC6"/>
    <w:rsid w:val="00E46F0F"/>
    <w:rsid w:val="00E46FC1"/>
    <w:rsid w:val="00E47227"/>
    <w:rsid w:val="00E47269"/>
    <w:rsid w:val="00E47281"/>
    <w:rsid w:val="00E4738E"/>
    <w:rsid w:val="00E47460"/>
    <w:rsid w:val="00E4756F"/>
    <w:rsid w:val="00E475D5"/>
    <w:rsid w:val="00E47620"/>
    <w:rsid w:val="00E476E7"/>
    <w:rsid w:val="00E47705"/>
    <w:rsid w:val="00E47827"/>
    <w:rsid w:val="00E47909"/>
    <w:rsid w:val="00E47A11"/>
    <w:rsid w:val="00E47B1B"/>
    <w:rsid w:val="00E47BF1"/>
    <w:rsid w:val="00E47D69"/>
    <w:rsid w:val="00E47DF9"/>
    <w:rsid w:val="00E47E12"/>
    <w:rsid w:val="00E47EC8"/>
    <w:rsid w:val="00E47F27"/>
    <w:rsid w:val="00E501B5"/>
    <w:rsid w:val="00E50244"/>
    <w:rsid w:val="00E5041D"/>
    <w:rsid w:val="00E5042F"/>
    <w:rsid w:val="00E50459"/>
    <w:rsid w:val="00E5046A"/>
    <w:rsid w:val="00E5059E"/>
    <w:rsid w:val="00E50659"/>
    <w:rsid w:val="00E5071B"/>
    <w:rsid w:val="00E508BB"/>
    <w:rsid w:val="00E508E0"/>
    <w:rsid w:val="00E509E6"/>
    <w:rsid w:val="00E50A5C"/>
    <w:rsid w:val="00E50B57"/>
    <w:rsid w:val="00E50BF8"/>
    <w:rsid w:val="00E50E67"/>
    <w:rsid w:val="00E50FDF"/>
    <w:rsid w:val="00E50FFA"/>
    <w:rsid w:val="00E51114"/>
    <w:rsid w:val="00E511DF"/>
    <w:rsid w:val="00E5130B"/>
    <w:rsid w:val="00E5138C"/>
    <w:rsid w:val="00E513A1"/>
    <w:rsid w:val="00E51538"/>
    <w:rsid w:val="00E51624"/>
    <w:rsid w:val="00E516E8"/>
    <w:rsid w:val="00E517AF"/>
    <w:rsid w:val="00E51803"/>
    <w:rsid w:val="00E51959"/>
    <w:rsid w:val="00E51A4B"/>
    <w:rsid w:val="00E51B44"/>
    <w:rsid w:val="00E51BE5"/>
    <w:rsid w:val="00E51BF1"/>
    <w:rsid w:val="00E51C0D"/>
    <w:rsid w:val="00E51C56"/>
    <w:rsid w:val="00E51DCA"/>
    <w:rsid w:val="00E51DE0"/>
    <w:rsid w:val="00E51E4B"/>
    <w:rsid w:val="00E51EB9"/>
    <w:rsid w:val="00E51ED1"/>
    <w:rsid w:val="00E51F1F"/>
    <w:rsid w:val="00E52138"/>
    <w:rsid w:val="00E52164"/>
    <w:rsid w:val="00E521A8"/>
    <w:rsid w:val="00E52287"/>
    <w:rsid w:val="00E523A4"/>
    <w:rsid w:val="00E52602"/>
    <w:rsid w:val="00E5261F"/>
    <w:rsid w:val="00E52848"/>
    <w:rsid w:val="00E52908"/>
    <w:rsid w:val="00E52A0C"/>
    <w:rsid w:val="00E52C39"/>
    <w:rsid w:val="00E52DD2"/>
    <w:rsid w:val="00E52E33"/>
    <w:rsid w:val="00E52E3D"/>
    <w:rsid w:val="00E52F39"/>
    <w:rsid w:val="00E52F50"/>
    <w:rsid w:val="00E530DE"/>
    <w:rsid w:val="00E53142"/>
    <w:rsid w:val="00E5324C"/>
    <w:rsid w:val="00E532CA"/>
    <w:rsid w:val="00E5360B"/>
    <w:rsid w:val="00E53692"/>
    <w:rsid w:val="00E536C0"/>
    <w:rsid w:val="00E53723"/>
    <w:rsid w:val="00E53754"/>
    <w:rsid w:val="00E538F8"/>
    <w:rsid w:val="00E539E7"/>
    <w:rsid w:val="00E53C0C"/>
    <w:rsid w:val="00E53C11"/>
    <w:rsid w:val="00E53D50"/>
    <w:rsid w:val="00E53D7A"/>
    <w:rsid w:val="00E53E9F"/>
    <w:rsid w:val="00E53F4E"/>
    <w:rsid w:val="00E5422C"/>
    <w:rsid w:val="00E54304"/>
    <w:rsid w:val="00E54364"/>
    <w:rsid w:val="00E54387"/>
    <w:rsid w:val="00E544DD"/>
    <w:rsid w:val="00E5473B"/>
    <w:rsid w:val="00E54A47"/>
    <w:rsid w:val="00E54B85"/>
    <w:rsid w:val="00E54B8E"/>
    <w:rsid w:val="00E54CED"/>
    <w:rsid w:val="00E54DA3"/>
    <w:rsid w:val="00E54E15"/>
    <w:rsid w:val="00E54E20"/>
    <w:rsid w:val="00E54F03"/>
    <w:rsid w:val="00E54F9A"/>
    <w:rsid w:val="00E5518D"/>
    <w:rsid w:val="00E551AE"/>
    <w:rsid w:val="00E55267"/>
    <w:rsid w:val="00E552A9"/>
    <w:rsid w:val="00E55301"/>
    <w:rsid w:val="00E55356"/>
    <w:rsid w:val="00E555F5"/>
    <w:rsid w:val="00E556B6"/>
    <w:rsid w:val="00E5576E"/>
    <w:rsid w:val="00E5584B"/>
    <w:rsid w:val="00E558A0"/>
    <w:rsid w:val="00E558A4"/>
    <w:rsid w:val="00E5596F"/>
    <w:rsid w:val="00E559C1"/>
    <w:rsid w:val="00E55B93"/>
    <w:rsid w:val="00E55BFC"/>
    <w:rsid w:val="00E55CBC"/>
    <w:rsid w:val="00E55CD5"/>
    <w:rsid w:val="00E55F18"/>
    <w:rsid w:val="00E56053"/>
    <w:rsid w:val="00E56168"/>
    <w:rsid w:val="00E56239"/>
    <w:rsid w:val="00E56256"/>
    <w:rsid w:val="00E5627D"/>
    <w:rsid w:val="00E56291"/>
    <w:rsid w:val="00E5636D"/>
    <w:rsid w:val="00E56394"/>
    <w:rsid w:val="00E563B9"/>
    <w:rsid w:val="00E5661E"/>
    <w:rsid w:val="00E56657"/>
    <w:rsid w:val="00E56675"/>
    <w:rsid w:val="00E566CF"/>
    <w:rsid w:val="00E567F6"/>
    <w:rsid w:val="00E568D0"/>
    <w:rsid w:val="00E56952"/>
    <w:rsid w:val="00E56A5D"/>
    <w:rsid w:val="00E56B70"/>
    <w:rsid w:val="00E56BB1"/>
    <w:rsid w:val="00E56C0A"/>
    <w:rsid w:val="00E56D50"/>
    <w:rsid w:val="00E56E69"/>
    <w:rsid w:val="00E56E76"/>
    <w:rsid w:val="00E56EEA"/>
    <w:rsid w:val="00E56F56"/>
    <w:rsid w:val="00E56FDA"/>
    <w:rsid w:val="00E57074"/>
    <w:rsid w:val="00E5707B"/>
    <w:rsid w:val="00E570E9"/>
    <w:rsid w:val="00E5710C"/>
    <w:rsid w:val="00E57156"/>
    <w:rsid w:val="00E5722B"/>
    <w:rsid w:val="00E57234"/>
    <w:rsid w:val="00E572CA"/>
    <w:rsid w:val="00E572D8"/>
    <w:rsid w:val="00E572EB"/>
    <w:rsid w:val="00E57317"/>
    <w:rsid w:val="00E5752E"/>
    <w:rsid w:val="00E5754D"/>
    <w:rsid w:val="00E5757F"/>
    <w:rsid w:val="00E57623"/>
    <w:rsid w:val="00E5770F"/>
    <w:rsid w:val="00E5774B"/>
    <w:rsid w:val="00E5779F"/>
    <w:rsid w:val="00E577AE"/>
    <w:rsid w:val="00E577B2"/>
    <w:rsid w:val="00E5794B"/>
    <w:rsid w:val="00E57BC0"/>
    <w:rsid w:val="00E57C10"/>
    <w:rsid w:val="00E57C69"/>
    <w:rsid w:val="00E57C99"/>
    <w:rsid w:val="00E57D6B"/>
    <w:rsid w:val="00E57DC7"/>
    <w:rsid w:val="00E57E22"/>
    <w:rsid w:val="00E57E69"/>
    <w:rsid w:val="00E57E84"/>
    <w:rsid w:val="00E60001"/>
    <w:rsid w:val="00E60028"/>
    <w:rsid w:val="00E60185"/>
    <w:rsid w:val="00E6023C"/>
    <w:rsid w:val="00E60249"/>
    <w:rsid w:val="00E60373"/>
    <w:rsid w:val="00E604F2"/>
    <w:rsid w:val="00E60767"/>
    <w:rsid w:val="00E607F7"/>
    <w:rsid w:val="00E60849"/>
    <w:rsid w:val="00E60957"/>
    <w:rsid w:val="00E6098E"/>
    <w:rsid w:val="00E609FA"/>
    <w:rsid w:val="00E60B4A"/>
    <w:rsid w:val="00E60CBF"/>
    <w:rsid w:val="00E60D68"/>
    <w:rsid w:val="00E60DDA"/>
    <w:rsid w:val="00E60F02"/>
    <w:rsid w:val="00E60FF2"/>
    <w:rsid w:val="00E60FFF"/>
    <w:rsid w:val="00E610D2"/>
    <w:rsid w:val="00E6111D"/>
    <w:rsid w:val="00E6114E"/>
    <w:rsid w:val="00E61222"/>
    <w:rsid w:val="00E6127D"/>
    <w:rsid w:val="00E612B2"/>
    <w:rsid w:val="00E6131A"/>
    <w:rsid w:val="00E613E0"/>
    <w:rsid w:val="00E61450"/>
    <w:rsid w:val="00E6148C"/>
    <w:rsid w:val="00E61493"/>
    <w:rsid w:val="00E61687"/>
    <w:rsid w:val="00E616A4"/>
    <w:rsid w:val="00E616F1"/>
    <w:rsid w:val="00E61778"/>
    <w:rsid w:val="00E617BE"/>
    <w:rsid w:val="00E61863"/>
    <w:rsid w:val="00E618CC"/>
    <w:rsid w:val="00E61A94"/>
    <w:rsid w:val="00E61AF0"/>
    <w:rsid w:val="00E61BDF"/>
    <w:rsid w:val="00E61DB8"/>
    <w:rsid w:val="00E61FF9"/>
    <w:rsid w:val="00E620F6"/>
    <w:rsid w:val="00E6211F"/>
    <w:rsid w:val="00E62151"/>
    <w:rsid w:val="00E6226C"/>
    <w:rsid w:val="00E6254B"/>
    <w:rsid w:val="00E62597"/>
    <w:rsid w:val="00E625F5"/>
    <w:rsid w:val="00E6269A"/>
    <w:rsid w:val="00E627C5"/>
    <w:rsid w:val="00E62879"/>
    <w:rsid w:val="00E62A3E"/>
    <w:rsid w:val="00E62BB2"/>
    <w:rsid w:val="00E62BE0"/>
    <w:rsid w:val="00E62C13"/>
    <w:rsid w:val="00E62D69"/>
    <w:rsid w:val="00E62DA4"/>
    <w:rsid w:val="00E62F4F"/>
    <w:rsid w:val="00E62F78"/>
    <w:rsid w:val="00E6303B"/>
    <w:rsid w:val="00E6307B"/>
    <w:rsid w:val="00E63227"/>
    <w:rsid w:val="00E6336E"/>
    <w:rsid w:val="00E63378"/>
    <w:rsid w:val="00E633F9"/>
    <w:rsid w:val="00E63417"/>
    <w:rsid w:val="00E634B3"/>
    <w:rsid w:val="00E63521"/>
    <w:rsid w:val="00E635A1"/>
    <w:rsid w:val="00E636E6"/>
    <w:rsid w:val="00E636F7"/>
    <w:rsid w:val="00E63739"/>
    <w:rsid w:val="00E6375E"/>
    <w:rsid w:val="00E6388F"/>
    <w:rsid w:val="00E63982"/>
    <w:rsid w:val="00E63A84"/>
    <w:rsid w:val="00E63B79"/>
    <w:rsid w:val="00E63B7D"/>
    <w:rsid w:val="00E63B92"/>
    <w:rsid w:val="00E63CDB"/>
    <w:rsid w:val="00E63EED"/>
    <w:rsid w:val="00E63F53"/>
    <w:rsid w:val="00E641ED"/>
    <w:rsid w:val="00E642AB"/>
    <w:rsid w:val="00E64335"/>
    <w:rsid w:val="00E64380"/>
    <w:rsid w:val="00E6456D"/>
    <w:rsid w:val="00E646F2"/>
    <w:rsid w:val="00E648B4"/>
    <w:rsid w:val="00E64A3F"/>
    <w:rsid w:val="00E64A43"/>
    <w:rsid w:val="00E64A6C"/>
    <w:rsid w:val="00E64AC8"/>
    <w:rsid w:val="00E64B71"/>
    <w:rsid w:val="00E64C20"/>
    <w:rsid w:val="00E64C48"/>
    <w:rsid w:val="00E64CA8"/>
    <w:rsid w:val="00E64DE4"/>
    <w:rsid w:val="00E64F36"/>
    <w:rsid w:val="00E64F5A"/>
    <w:rsid w:val="00E65053"/>
    <w:rsid w:val="00E65102"/>
    <w:rsid w:val="00E65139"/>
    <w:rsid w:val="00E652E6"/>
    <w:rsid w:val="00E653EF"/>
    <w:rsid w:val="00E653FA"/>
    <w:rsid w:val="00E65442"/>
    <w:rsid w:val="00E65546"/>
    <w:rsid w:val="00E65590"/>
    <w:rsid w:val="00E6561C"/>
    <w:rsid w:val="00E65672"/>
    <w:rsid w:val="00E657A1"/>
    <w:rsid w:val="00E658B3"/>
    <w:rsid w:val="00E65958"/>
    <w:rsid w:val="00E65C68"/>
    <w:rsid w:val="00E65C70"/>
    <w:rsid w:val="00E65CA5"/>
    <w:rsid w:val="00E65D9F"/>
    <w:rsid w:val="00E65DA8"/>
    <w:rsid w:val="00E65DFE"/>
    <w:rsid w:val="00E65F84"/>
    <w:rsid w:val="00E66043"/>
    <w:rsid w:val="00E660EF"/>
    <w:rsid w:val="00E66159"/>
    <w:rsid w:val="00E661A6"/>
    <w:rsid w:val="00E66211"/>
    <w:rsid w:val="00E66312"/>
    <w:rsid w:val="00E6637B"/>
    <w:rsid w:val="00E663AE"/>
    <w:rsid w:val="00E6640F"/>
    <w:rsid w:val="00E6642B"/>
    <w:rsid w:val="00E66472"/>
    <w:rsid w:val="00E66488"/>
    <w:rsid w:val="00E66597"/>
    <w:rsid w:val="00E665B7"/>
    <w:rsid w:val="00E665DD"/>
    <w:rsid w:val="00E6664E"/>
    <w:rsid w:val="00E6667A"/>
    <w:rsid w:val="00E667E3"/>
    <w:rsid w:val="00E6687B"/>
    <w:rsid w:val="00E668E8"/>
    <w:rsid w:val="00E66B3C"/>
    <w:rsid w:val="00E66CC3"/>
    <w:rsid w:val="00E66D22"/>
    <w:rsid w:val="00E66D47"/>
    <w:rsid w:val="00E66D68"/>
    <w:rsid w:val="00E66EB5"/>
    <w:rsid w:val="00E66F0E"/>
    <w:rsid w:val="00E66F6B"/>
    <w:rsid w:val="00E67036"/>
    <w:rsid w:val="00E67174"/>
    <w:rsid w:val="00E6721E"/>
    <w:rsid w:val="00E672C8"/>
    <w:rsid w:val="00E673DB"/>
    <w:rsid w:val="00E6743C"/>
    <w:rsid w:val="00E674B3"/>
    <w:rsid w:val="00E6759A"/>
    <w:rsid w:val="00E676A1"/>
    <w:rsid w:val="00E67720"/>
    <w:rsid w:val="00E67752"/>
    <w:rsid w:val="00E67850"/>
    <w:rsid w:val="00E67860"/>
    <w:rsid w:val="00E678E0"/>
    <w:rsid w:val="00E67917"/>
    <w:rsid w:val="00E67964"/>
    <w:rsid w:val="00E67B37"/>
    <w:rsid w:val="00E67BFB"/>
    <w:rsid w:val="00E67D4A"/>
    <w:rsid w:val="00E67D9E"/>
    <w:rsid w:val="00E67DB9"/>
    <w:rsid w:val="00E67E71"/>
    <w:rsid w:val="00E67FD8"/>
    <w:rsid w:val="00E7001E"/>
    <w:rsid w:val="00E701A9"/>
    <w:rsid w:val="00E7043F"/>
    <w:rsid w:val="00E704A9"/>
    <w:rsid w:val="00E7051C"/>
    <w:rsid w:val="00E706D0"/>
    <w:rsid w:val="00E706E4"/>
    <w:rsid w:val="00E7072A"/>
    <w:rsid w:val="00E70743"/>
    <w:rsid w:val="00E70757"/>
    <w:rsid w:val="00E707B8"/>
    <w:rsid w:val="00E70805"/>
    <w:rsid w:val="00E70897"/>
    <w:rsid w:val="00E7090C"/>
    <w:rsid w:val="00E70ADD"/>
    <w:rsid w:val="00E70B01"/>
    <w:rsid w:val="00E70C01"/>
    <w:rsid w:val="00E70CBA"/>
    <w:rsid w:val="00E70CBE"/>
    <w:rsid w:val="00E70CDE"/>
    <w:rsid w:val="00E70D11"/>
    <w:rsid w:val="00E70E1B"/>
    <w:rsid w:val="00E70FA7"/>
    <w:rsid w:val="00E71016"/>
    <w:rsid w:val="00E713A1"/>
    <w:rsid w:val="00E713FA"/>
    <w:rsid w:val="00E716BF"/>
    <w:rsid w:val="00E7178A"/>
    <w:rsid w:val="00E718B5"/>
    <w:rsid w:val="00E71988"/>
    <w:rsid w:val="00E71BD3"/>
    <w:rsid w:val="00E71CC2"/>
    <w:rsid w:val="00E71CF6"/>
    <w:rsid w:val="00E71ECE"/>
    <w:rsid w:val="00E71F1E"/>
    <w:rsid w:val="00E720A5"/>
    <w:rsid w:val="00E721C1"/>
    <w:rsid w:val="00E72339"/>
    <w:rsid w:val="00E726E4"/>
    <w:rsid w:val="00E72807"/>
    <w:rsid w:val="00E72906"/>
    <w:rsid w:val="00E72948"/>
    <w:rsid w:val="00E72985"/>
    <w:rsid w:val="00E729FA"/>
    <w:rsid w:val="00E72B41"/>
    <w:rsid w:val="00E72BD3"/>
    <w:rsid w:val="00E72BDF"/>
    <w:rsid w:val="00E72C16"/>
    <w:rsid w:val="00E72D5F"/>
    <w:rsid w:val="00E72D73"/>
    <w:rsid w:val="00E72DE9"/>
    <w:rsid w:val="00E72E2B"/>
    <w:rsid w:val="00E72EBD"/>
    <w:rsid w:val="00E72FF3"/>
    <w:rsid w:val="00E73011"/>
    <w:rsid w:val="00E730BB"/>
    <w:rsid w:val="00E731A3"/>
    <w:rsid w:val="00E73219"/>
    <w:rsid w:val="00E7327D"/>
    <w:rsid w:val="00E7334E"/>
    <w:rsid w:val="00E73471"/>
    <w:rsid w:val="00E7364A"/>
    <w:rsid w:val="00E736C9"/>
    <w:rsid w:val="00E7385E"/>
    <w:rsid w:val="00E738F1"/>
    <w:rsid w:val="00E739EE"/>
    <w:rsid w:val="00E73A23"/>
    <w:rsid w:val="00E73A24"/>
    <w:rsid w:val="00E73A58"/>
    <w:rsid w:val="00E73BF8"/>
    <w:rsid w:val="00E73C44"/>
    <w:rsid w:val="00E73D88"/>
    <w:rsid w:val="00E73E48"/>
    <w:rsid w:val="00E73F52"/>
    <w:rsid w:val="00E73FC9"/>
    <w:rsid w:val="00E7403A"/>
    <w:rsid w:val="00E74180"/>
    <w:rsid w:val="00E7429B"/>
    <w:rsid w:val="00E74324"/>
    <w:rsid w:val="00E74489"/>
    <w:rsid w:val="00E745EB"/>
    <w:rsid w:val="00E746D2"/>
    <w:rsid w:val="00E746FE"/>
    <w:rsid w:val="00E747C1"/>
    <w:rsid w:val="00E7482B"/>
    <w:rsid w:val="00E7482C"/>
    <w:rsid w:val="00E74846"/>
    <w:rsid w:val="00E748D9"/>
    <w:rsid w:val="00E74B8E"/>
    <w:rsid w:val="00E74E4F"/>
    <w:rsid w:val="00E74ED4"/>
    <w:rsid w:val="00E74F70"/>
    <w:rsid w:val="00E74FA7"/>
    <w:rsid w:val="00E74FCB"/>
    <w:rsid w:val="00E7509D"/>
    <w:rsid w:val="00E7510D"/>
    <w:rsid w:val="00E75110"/>
    <w:rsid w:val="00E75170"/>
    <w:rsid w:val="00E7522E"/>
    <w:rsid w:val="00E7531F"/>
    <w:rsid w:val="00E7533C"/>
    <w:rsid w:val="00E75347"/>
    <w:rsid w:val="00E7542A"/>
    <w:rsid w:val="00E754C6"/>
    <w:rsid w:val="00E7561B"/>
    <w:rsid w:val="00E756A5"/>
    <w:rsid w:val="00E756D6"/>
    <w:rsid w:val="00E756ED"/>
    <w:rsid w:val="00E75743"/>
    <w:rsid w:val="00E75849"/>
    <w:rsid w:val="00E75881"/>
    <w:rsid w:val="00E75956"/>
    <w:rsid w:val="00E75962"/>
    <w:rsid w:val="00E759CE"/>
    <w:rsid w:val="00E75A0E"/>
    <w:rsid w:val="00E75AC2"/>
    <w:rsid w:val="00E75B87"/>
    <w:rsid w:val="00E75BFE"/>
    <w:rsid w:val="00E75E89"/>
    <w:rsid w:val="00E75F59"/>
    <w:rsid w:val="00E75FEF"/>
    <w:rsid w:val="00E761ED"/>
    <w:rsid w:val="00E76224"/>
    <w:rsid w:val="00E7623D"/>
    <w:rsid w:val="00E76352"/>
    <w:rsid w:val="00E76398"/>
    <w:rsid w:val="00E763E4"/>
    <w:rsid w:val="00E7643A"/>
    <w:rsid w:val="00E76580"/>
    <w:rsid w:val="00E76591"/>
    <w:rsid w:val="00E76614"/>
    <w:rsid w:val="00E76627"/>
    <w:rsid w:val="00E7668B"/>
    <w:rsid w:val="00E766D4"/>
    <w:rsid w:val="00E766D6"/>
    <w:rsid w:val="00E766E9"/>
    <w:rsid w:val="00E7673E"/>
    <w:rsid w:val="00E76798"/>
    <w:rsid w:val="00E76831"/>
    <w:rsid w:val="00E76A0A"/>
    <w:rsid w:val="00E76AE5"/>
    <w:rsid w:val="00E76B7C"/>
    <w:rsid w:val="00E76B81"/>
    <w:rsid w:val="00E76CB8"/>
    <w:rsid w:val="00E76E43"/>
    <w:rsid w:val="00E76F29"/>
    <w:rsid w:val="00E76F66"/>
    <w:rsid w:val="00E76FD3"/>
    <w:rsid w:val="00E770C8"/>
    <w:rsid w:val="00E771C9"/>
    <w:rsid w:val="00E771E6"/>
    <w:rsid w:val="00E77241"/>
    <w:rsid w:val="00E7726E"/>
    <w:rsid w:val="00E772DD"/>
    <w:rsid w:val="00E773B0"/>
    <w:rsid w:val="00E774B8"/>
    <w:rsid w:val="00E775AC"/>
    <w:rsid w:val="00E7761C"/>
    <w:rsid w:val="00E776EA"/>
    <w:rsid w:val="00E776EC"/>
    <w:rsid w:val="00E779A3"/>
    <w:rsid w:val="00E77A2B"/>
    <w:rsid w:val="00E77A38"/>
    <w:rsid w:val="00E77B06"/>
    <w:rsid w:val="00E77B13"/>
    <w:rsid w:val="00E77BE2"/>
    <w:rsid w:val="00E77C44"/>
    <w:rsid w:val="00E77E39"/>
    <w:rsid w:val="00E77FA3"/>
    <w:rsid w:val="00E80028"/>
    <w:rsid w:val="00E80150"/>
    <w:rsid w:val="00E8026F"/>
    <w:rsid w:val="00E8037A"/>
    <w:rsid w:val="00E80484"/>
    <w:rsid w:val="00E80492"/>
    <w:rsid w:val="00E80662"/>
    <w:rsid w:val="00E80736"/>
    <w:rsid w:val="00E807D8"/>
    <w:rsid w:val="00E807DE"/>
    <w:rsid w:val="00E807FA"/>
    <w:rsid w:val="00E809E5"/>
    <w:rsid w:val="00E80B29"/>
    <w:rsid w:val="00E80B48"/>
    <w:rsid w:val="00E80B4B"/>
    <w:rsid w:val="00E80B6F"/>
    <w:rsid w:val="00E80D6A"/>
    <w:rsid w:val="00E80E0C"/>
    <w:rsid w:val="00E80F14"/>
    <w:rsid w:val="00E80F7C"/>
    <w:rsid w:val="00E80FEF"/>
    <w:rsid w:val="00E80FF4"/>
    <w:rsid w:val="00E8101C"/>
    <w:rsid w:val="00E81195"/>
    <w:rsid w:val="00E811DD"/>
    <w:rsid w:val="00E813D5"/>
    <w:rsid w:val="00E813E2"/>
    <w:rsid w:val="00E81404"/>
    <w:rsid w:val="00E8140B"/>
    <w:rsid w:val="00E81436"/>
    <w:rsid w:val="00E81440"/>
    <w:rsid w:val="00E81471"/>
    <w:rsid w:val="00E81479"/>
    <w:rsid w:val="00E8149A"/>
    <w:rsid w:val="00E81576"/>
    <w:rsid w:val="00E8167E"/>
    <w:rsid w:val="00E817CB"/>
    <w:rsid w:val="00E81882"/>
    <w:rsid w:val="00E819FE"/>
    <w:rsid w:val="00E81B81"/>
    <w:rsid w:val="00E81C53"/>
    <w:rsid w:val="00E81CC7"/>
    <w:rsid w:val="00E81DB9"/>
    <w:rsid w:val="00E81DDE"/>
    <w:rsid w:val="00E81EF4"/>
    <w:rsid w:val="00E81F1B"/>
    <w:rsid w:val="00E81F61"/>
    <w:rsid w:val="00E81F93"/>
    <w:rsid w:val="00E82001"/>
    <w:rsid w:val="00E8201C"/>
    <w:rsid w:val="00E82136"/>
    <w:rsid w:val="00E8214C"/>
    <w:rsid w:val="00E82400"/>
    <w:rsid w:val="00E82464"/>
    <w:rsid w:val="00E824BF"/>
    <w:rsid w:val="00E82746"/>
    <w:rsid w:val="00E827D1"/>
    <w:rsid w:val="00E828C2"/>
    <w:rsid w:val="00E8296A"/>
    <w:rsid w:val="00E829A8"/>
    <w:rsid w:val="00E82B38"/>
    <w:rsid w:val="00E82C0E"/>
    <w:rsid w:val="00E82C13"/>
    <w:rsid w:val="00E82D79"/>
    <w:rsid w:val="00E82E5C"/>
    <w:rsid w:val="00E82E97"/>
    <w:rsid w:val="00E82EA3"/>
    <w:rsid w:val="00E82EF4"/>
    <w:rsid w:val="00E82F94"/>
    <w:rsid w:val="00E83063"/>
    <w:rsid w:val="00E8308C"/>
    <w:rsid w:val="00E830F3"/>
    <w:rsid w:val="00E831C1"/>
    <w:rsid w:val="00E83209"/>
    <w:rsid w:val="00E832F1"/>
    <w:rsid w:val="00E833B2"/>
    <w:rsid w:val="00E8348C"/>
    <w:rsid w:val="00E83526"/>
    <w:rsid w:val="00E836BA"/>
    <w:rsid w:val="00E83951"/>
    <w:rsid w:val="00E83A21"/>
    <w:rsid w:val="00E83AC8"/>
    <w:rsid w:val="00E83AFB"/>
    <w:rsid w:val="00E83BFB"/>
    <w:rsid w:val="00E83C13"/>
    <w:rsid w:val="00E83D92"/>
    <w:rsid w:val="00E83E23"/>
    <w:rsid w:val="00E83E46"/>
    <w:rsid w:val="00E83F40"/>
    <w:rsid w:val="00E84030"/>
    <w:rsid w:val="00E84056"/>
    <w:rsid w:val="00E841CA"/>
    <w:rsid w:val="00E841E3"/>
    <w:rsid w:val="00E843FA"/>
    <w:rsid w:val="00E844B4"/>
    <w:rsid w:val="00E845E1"/>
    <w:rsid w:val="00E84774"/>
    <w:rsid w:val="00E84852"/>
    <w:rsid w:val="00E84904"/>
    <w:rsid w:val="00E84A74"/>
    <w:rsid w:val="00E84AA8"/>
    <w:rsid w:val="00E84AF9"/>
    <w:rsid w:val="00E84BA6"/>
    <w:rsid w:val="00E84C1C"/>
    <w:rsid w:val="00E84CA2"/>
    <w:rsid w:val="00E84EB7"/>
    <w:rsid w:val="00E84F43"/>
    <w:rsid w:val="00E84FAE"/>
    <w:rsid w:val="00E85050"/>
    <w:rsid w:val="00E85092"/>
    <w:rsid w:val="00E850A1"/>
    <w:rsid w:val="00E8514E"/>
    <w:rsid w:val="00E8525B"/>
    <w:rsid w:val="00E8555B"/>
    <w:rsid w:val="00E855C2"/>
    <w:rsid w:val="00E8580A"/>
    <w:rsid w:val="00E858DD"/>
    <w:rsid w:val="00E858F0"/>
    <w:rsid w:val="00E85919"/>
    <w:rsid w:val="00E85AE0"/>
    <w:rsid w:val="00E85AFE"/>
    <w:rsid w:val="00E85BDB"/>
    <w:rsid w:val="00E85D61"/>
    <w:rsid w:val="00E85E21"/>
    <w:rsid w:val="00E85E5A"/>
    <w:rsid w:val="00E85F06"/>
    <w:rsid w:val="00E86047"/>
    <w:rsid w:val="00E86057"/>
    <w:rsid w:val="00E86083"/>
    <w:rsid w:val="00E860EB"/>
    <w:rsid w:val="00E861D1"/>
    <w:rsid w:val="00E86229"/>
    <w:rsid w:val="00E862AF"/>
    <w:rsid w:val="00E863C5"/>
    <w:rsid w:val="00E863D6"/>
    <w:rsid w:val="00E8662E"/>
    <w:rsid w:val="00E8666A"/>
    <w:rsid w:val="00E866C7"/>
    <w:rsid w:val="00E8677D"/>
    <w:rsid w:val="00E86827"/>
    <w:rsid w:val="00E86A70"/>
    <w:rsid w:val="00E86AD8"/>
    <w:rsid w:val="00E86C40"/>
    <w:rsid w:val="00E86C66"/>
    <w:rsid w:val="00E86DAB"/>
    <w:rsid w:val="00E86F4C"/>
    <w:rsid w:val="00E87019"/>
    <w:rsid w:val="00E87037"/>
    <w:rsid w:val="00E87070"/>
    <w:rsid w:val="00E870B5"/>
    <w:rsid w:val="00E870D1"/>
    <w:rsid w:val="00E87104"/>
    <w:rsid w:val="00E8724B"/>
    <w:rsid w:val="00E872AB"/>
    <w:rsid w:val="00E873B1"/>
    <w:rsid w:val="00E873C9"/>
    <w:rsid w:val="00E873F9"/>
    <w:rsid w:val="00E8740F"/>
    <w:rsid w:val="00E87A31"/>
    <w:rsid w:val="00E87A3B"/>
    <w:rsid w:val="00E87B84"/>
    <w:rsid w:val="00E87CB7"/>
    <w:rsid w:val="00E87E75"/>
    <w:rsid w:val="00E87F15"/>
    <w:rsid w:val="00E87FCB"/>
    <w:rsid w:val="00E87FE8"/>
    <w:rsid w:val="00E9000F"/>
    <w:rsid w:val="00E90028"/>
    <w:rsid w:val="00E9030B"/>
    <w:rsid w:val="00E9054D"/>
    <w:rsid w:val="00E905D7"/>
    <w:rsid w:val="00E90968"/>
    <w:rsid w:val="00E9097F"/>
    <w:rsid w:val="00E90C59"/>
    <w:rsid w:val="00E90CFC"/>
    <w:rsid w:val="00E90DCC"/>
    <w:rsid w:val="00E91009"/>
    <w:rsid w:val="00E9107C"/>
    <w:rsid w:val="00E910BD"/>
    <w:rsid w:val="00E91135"/>
    <w:rsid w:val="00E91196"/>
    <w:rsid w:val="00E91298"/>
    <w:rsid w:val="00E912A2"/>
    <w:rsid w:val="00E91440"/>
    <w:rsid w:val="00E9174D"/>
    <w:rsid w:val="00E91760"/>
    <w:rsid w:val="00E91766"/>
    <w:rsid w:val="00E91921"/>
    <w:rsid w:val="00E9192E"/>
    <w:rsid w:val="00E919C4"/>
    <w:rsid w:val="00E91A26"/>
    <w:rsid w:val="00E91A6F"/>
    <w:rsid w:val="00E91AE1"/>
    <w:rsid w:val="00E91BBB"/>
    <w:rsid w:val="00E91BC8"/>
    <w:rsid w:val="00E91BE7"/>
    <w:rsid w:val="00E91CCB"/>
    <w:rsid w:val="00E91DB8"/>
    <w:rsid w:val="00E91EB3"/>
    <w:rsid w:val="00E91EFE"/>
    <w:rsid w:val="00E92043"/>
    <w:rsid w:val="00E9207C"/>
    <w:rsid w:val="00E9218E"/>
    <w:rsid w:val="00E921CF"/>
    <w:rsid w:val="00E92394"/>
    <w:rsid w:val="00E923F1"/>
    <w:rsid w:val="00E92550"/>
    <w:rsid w:val="00E92593"/>
    <w:rsid w:val="00E9269F"/>
    <w:rsid w:val="00E9271F"/>
    <w:rsid w:val="00E92953"/>
    <w:rsid w:val="00E92986"/>
    <w:rsid w:val="00E9298F"/>
    <w:rsid w:val="00E929B2"/>
    <w:rsid w:val="00E92A3C"/>
    <w:rsid w:val="00E92AED"/>
    <w:rsid w:val="00E92C35"/>
    <w:rsid w:val="00E92DBE"/>
    <w:rsid w:val="00E92F0E"/>
    <w:rsid w:val="00E92F20"/>
    <w:rsid w:val="00E92F9F"/>
    <w:rsid w:val="00E92FFD"/>
    <w:rsid w:val="00E9301C"/>
    <w:rsid w:val="00E930E9"/>
    <w:rsid w:val="00E932C8"/>
    <w:rsid w:val="00E932E1"/>
    <w:rsid w:val="00E93329"/>
    <w:rsid w:val="00E933E3"/>
    <w:rsid w:val="00E93697"/>
    <w:rsid w:val="00E93737"/>
    <w:rsid w:val="00E937D5"/>
    <w:rsid w:val="00E937EC"/>
    <w:rsid w:val="00E9389A"/>
    <w:rsid w:val="00E9398F"/>
    <w:rsid w:val="00E939FD"/>
    <w:rsid w:val="00E93AD8"/>
    <w:rsid w:val="00E93B72"/>
    <w:rsid w:val="00E93C3B"/>
    <w:rsid w:val="00E93C6C"/>
    <w:rsid w:val="00E93D14"/>
    <w:rsid w:val="00E93EF6"/>
    <w:rsid w:val="00E93F31"/>
    <w:rsid w:val="00E93F44"/>
    <w:rsid w:val="00E93F7D"/>
    <w:rsid w:val="00E940D7"/>
    <w:rsid w:val="00E941C9"/>
    <w:rsid w:val="00E941E5"/>
    <w:rsid w:val="00E942EE"/>
    <w:rsid w:val="00E9440C"/>
    <w:rsid w:val="00E94449"/>
    <w:rsid w:val="00E945C4"/>
    <w:rsid w:val="00E948C3"/>
    <w:rsid w:val="00E948DA"/>
    <w:rsid w:val="00E948FC"/>
    <w:rsid w:val="00E94A7B"/>
    <w:rsid w:val="00E94AA9"/>
    <w:rsid w:val="00E94AE1"/>
    <w:rsid w:val="00E94AFB"/>
    <w:rsid w:val="00E94B68"/>
    <w:rsid w:val="00E94B89"/>
    <w:rsid w:val="00E94C58"/>
    <w:rsid w:val="00E94EB9"/>
    <w:rsid w:val="00E94EF0"/>
    <w:rsid w:val="00E94F62"/>
    <w:rsid w:val="00E94FF5"/>
    <w:rsid w:val="00E9505A"/>
    <w:rsid w:val="00E9506B"/>
    <w:rsid w:val="00E95104"/>
    <w:rsid w:val="00E95114"/>
    <w:rsid w:val="00E95129"/>
    <w:rsid w:val="00E953D1"/>
    <w:rsid w:val="00E95417"/>
    <w:rsid w:val="00E95481"/>
    <w:rsid w:val="00E955D2"/>
    <w:rsid w:val="00E955EC"/>
    <w:rsid w:val="00E95689"/>
    <w:rsid w:val="00E956F4"/>
    <w:rsid w:val="00E9571A"/>
    <w:rsid w:val="00E95931"/>
    <w:rsid w:val="00E9596A"/>
    <w:rsid w:val="00E9597C"/>
    <w:rsid w:val="00E95996"/>
    <w:rsid w:val="00E95A1B"/>
    <w:rsid w:val="00E95A7B"/>
    <w:rsid w:val="00E95B27"/>
    <w:rsid w:val="00E95B74"/>
    <w:rsid w:val="00E95BCF"/>
    <w:rsid w:val="00E95C57"/>
    <w:rsid w:val="00E95CE7"/>
    <w:rsid w:val="00E95DB7"/>
    <w:rsid w:val="00E95F01"/>
    <w:rsid w:val="00E95FCA"/>
    <w:rsid w:val="00E962AE"/>
    <w:rsid w:val="00E96450"/>
    <w:rsid w:val="00E96494"/>
    <w:rsid w:val="00E9660E"/>
    <w:rsid w:val="00E96621"/>
    <w:rsid w:val="00E96646"/>
    <w:rsid w:val="00E96817"/>
    <w:rsid w:val="00E968E5"/>
    <w:rsid w:val="00E96901"/>
    <w:rsid w:val="00E9691F"/>
    <w:rsid w:val="00E96960"/>
    <w:rsid w:val="00E96967"/>
    <w:rsid w:val="00E96A37"/>
    <w:rsid w:val="00E96ACE"/>
    <w:rsid w:val="00E96BB6"/>
    <w:rsid w:val="00E96CF3"/>
    <w:rsid w:val="00E96D9F"/>
    <w:rsid w:val="00E96DFC"/>
    <w:rsid w:val="00E96ED8"/>
    <w:rsid w:val="00E97097"/>
    <w:rsid w:val="00E97139"/>
    <w:rsid w:val="00E97186"/>
    <w:rsid w:val="00E971D1"/>
    <w:rsid w:val="00E971E3"/>
    <w:rsid w:val="00E9720D"/>
    <w:rsid w:val="00E9722E"/>
    <w:rsid w:val="00E97372"/>
    <w:rsid w:val="00E974B0"/>
    <w:rsid w:val="00E97524"/>
    <w:rsid w:val="00E97544"/>
    <w:rsid w:val="00E97591"/>
    <w:rsid w:val="00E975A7"/>
    <w:rsid w:val="00E9774A"/>
    <w:rsid w:val="00E979CC"/>
    <w:rsid w:val="00E97B93"/>
    <w:rsid w:val="00E97B9C"/>
    <w:rsid w:val="00E97D79"/>
    <w:rsid w:val="00EA002F"/>
    <w:rsid w:val="00EA0074"/>
    <w:rsid w:val="00EA00B8"/>
    <w:rsid w:val="00EA0173"/>
    <w:rsid w:val="00EA026C"/>
    <w:rsid w:val="00EA0507"/>
    <w:rsid w:val="00EA0537"/>
    <w:rsid w:val="00EA05A6"/>
    <w:rsid w:val="00EA05E4"/>
    <w:rsid w:val="00EA065B"/>
    <w:rsid w:val="00EA0813"/>
    <w:rsid w:val="00EA0956"/>
    <w:rsid w:val="00EA0A7F"/>
    <w:rsid w:val="00EA0A8E"/>
    <w:rsid w:val="00EA0B28"/>
    <w:rsid w:val="00EA0BCB"/>
    <w:rsid w:val="00EA0C0F"/>
    <w:rsid w:val="00EA0C6D"/>
    <w:rsid w:val="00EA0E1F"/>
    <w:rsid w:val="00EA0EAE"/>
    <w:rsid w:val="00EA1078"/>
    <w:rsid w:val="00EA117C"/>
    <w:rsid w:val="00EA12B7"/>
    <w:rsid w:val="00EA1312"/>
    <w:rsid w:val="00EA13A3"/>
    <w:rsid w:val="00EA14AB"/>
    <w:rsid w:val="00EA14BC"/>
    <w:rsid w:val="00EA14EB"/>
    <w:rsid w:val="00EA1512"/>
    <w:rsid w:val="00EA151E"/>
    <w:rsid w:val="00EA15BE"/>
    <w:rsid w:val="00EA1747"/>
    <w:rsid w:val="00EA175D"/>
    <w:rsid w:val="00EA17C9"/>
    <w:rsid w:val="00EA193E"/>
    <w:rsid w:val="00EA195A"/>
    <w:rsid w:val="00EA1A55"/>
    <w:rsid w:val="00EA1F77"/>
    <w:rsid w:val="00EA1FC4"/>
    <w:rsid w:val="00EA2052"/>
    <w:rsid w:val="00EA21E6"/>
    <w:rsid w:val="00EA2234"/>
    <w:rsid w:val="00EA22B6"/>
    <w:rsid w:val="00EA2473"/>
    <w:rsid w:val="00EA2492"/>
    <w:rsid w:val="00EA2572"/>
    <w:rsid w:val="00EA2805"/>
    <w:rsid w:val="00EA2843"/>
    <w:rsid w:val="00EA2886"/>
    <w:rsid w:val="00EA2972"/>
    <w:rsid w:val="00EA29B0"/>
    <w:rsid w:val="00EA2A27"/>
    <w:rsid w:val="00EA2B13"/>
    <w:rsid w:val="00EA2BF6"/>
    <w:rsid w:val="00EA2BFE"/>
    <w:rsid w:val="00EA2C21"/>
    <w:rsid w:val="00EA2D36"/>
    <w:rsid w:val="00EA2F4D"/>
    <w:rsid w:val="00EA2FC2"/>
    <w:rsid w:val="00EA3037"/>
    <w:rsid w:val="00EA30D0"/>
    <w:rsid w:val="00EA31F9"/>
    <w:rsid w:val="00EA33C8"/>
    <w:rsid w:val="00EA3428"/>
    <w:rsid w:val="00EA3509"/>
    <w:rsid w:val="00EA35B1"/>
    <w:rsid w:val="00EA3604"/>
    <w:rsid w:val="00EA37B1"/>
    <w:rsid w:val="00EA38AD"/>
    <w:rsid w:val="00EA3916"/>
    <w:rsid w:val="00EA3A42"/>
    <w:rsid w:val="00EA3A55"/>
    <w:rsid w:val="00EA3A77"/>
    <w:rsid w:val="00EA3B3C"/>
    <w:rsid w:val="00EA3C3B"/>
    <w:rsid w:val="00EA3CCD"/>
    <w:rsid w:val="00EA3E87"/>
    <w:rsid w:val="00EA3F62"/>
    <w:rsid w:val="00EA3FB4"/>
    <w:rsid w:val="00EA40F2"/>
    <w:rsid w:val="00EA4113"/>
    <w:rsid w:val="00EA4135"/>
    <w:rsid w:val="00EA4251"/>
    <w:rsid w:val="00EA4295"/>
    <w:rsid w:val="00EA42A6"/>
    <w:rsid w:val="00EA46A7"/>
    <w:rsid w:val="00EA471B"/>
    <w:rsid w:val="00EA475D"/>
    <w:rsid w:val="00EA4847"/>
    <w:rsid w:val="00EA4902"/>
    <w:rsid w:val="00EA491E"/>
    <w:rsid w:val="00EA498C"/>
    <w:rsid w:val="00EA49A3"/>
    <w:rsid w:val="00EA4A7A"/>
    <w:rsid w:val="00EA4AB1"/>
    <w:rsid w:val="00EA4B09"/>
    <w:rsid w:val="00EA4B2A"/>
    <w:rsid w:val="00EA4C45"/>
    <w:rsid w:val="00EA4C90"/>
    <w:rsid w:val="00EA4D84"/>
    <w:rsid w:val="00EA4E11"/>
    <w:rsid w:val="00EA4F9A"/>
    <w:rsid w:val="00EA4FD6"/>
    <w:rsid w:val="00EA5001"/>
    <w:rsid w:val="00EA503B"/>
    <w:rsid w:val="00EA50B1"/>
    <w:rsid w:val="00EA523B"/>
    <w:rsid w:val="00EA5311"/>
    <w:rsid w:val="00EA545C"/>
    <w:rsid w:val="00EA54D9"/>
    <w:rsid w:val="00EA5582"/>
    <w:rsid w:val="00EA5594"/>
    <w:rsid w:val="00EA5679"/>
    <w:rsid w:val="00EA57DA"/>
    <w:rsid w:val="00EA5960"/>
    <w:rsid w:val="00EA5A07"/>
    <w:rsid w:val="00EA5B2A"/>
    <w:rsid w:val="00EA5B89"/>
    <w:rsid w:val="00EA5C16"/>
    <w:rsid w:val="00EA5D8A"/>
    <w:rsid w:val="00EA5F0B"/>
    <w:rsid w:val="00EA5F6B"/>
    <w:rsid w:val="00EA600E"/>
    <w:rsid w:val="00EA61A7"/>
    <w:rsid w:val="00EA6255"/>
    <w:rsid w:val="00EA62B1"/>
    <w:rsid w:val="00EA6355"/>
    <w:rsid w:val="00EA65CD"/>
    <w:rsid w:val="00EA6696"/>
    <w:rsid w:val="00EA67BF"/>
    <w:rsid w:val="00EA6827"/>
    <w:rsid w:val="00EA68A2"/>
    <w:rsid w:val="00EA6903"/>
    <w:rsid w:val="00EA6B0E"/>
    <w:rsid w:val="00EA6C09"/>
    <w:rsid w:val="00EA6C22"/>
    <w:rsid w:val="00EA6C94"/>
    <w:rsid w:val="00EA6D19"/>
    <w:rsid w:val="00EA6DF7"/>
    <w:rsid w:val="00EA6ED5"/>
    <w:rsid w:val="00EA6EDA"/>
    <w:rsid w:val="00EA6EE6"/>
    <w:rsid w:val="00EA710E"/>
    <w:rsid w:val="00EA7305"/>
    <w:rsid w:val="00EA73CC"/>
    <w:rsid w:val="00EA74E5"/>
    <w:rsid w:val="00EA7500"/>
    <w:rsid w:val="00EA7652"/>
    <w:rsid w:val="00EA7653"/>
    <w:rsid w:val="00EA778D"/>
    <w:rsid w:val="00EA78AC"/>
    <w:rsid w:val="00EA7C0E"/>
    <w:rsid w:val="00EA7C20"/>
    <w:rsid w:val="00EA7CB8"/>
    <w:rsid w:val="00EA7E08"/>
    <w:rsid w:val="00EA7F3F"/>
    <w:rsid w:val="00EB003A"/>
    <w:rsid w:val="00EB005F"/>
    <w:rsid w:val="00EB0200"/>
    <w:rsid w:val="00EB0263"/>
    <w:rsid w:val="00EB0283"/>
    <w:rsid w:val="00EB0299"/>
    <w:rsid w:val="00EB029F"/>
    <w:rsid w:val="00EB0324"/>
    <w:rsid w:val="00EB0355"/>
    <w:rsid w:val="00EB0394"/>
    <w:rsid w:val="00EB043C"/>
    <w:rsid w:val="00EB0457"/>
    <w:rsid w:val="00EB047D"/>
    <w:rsid w:val="00EB04BD"/>
    <w:rsid w:val="00EB057D"/>
    <w:rsid w:val="00EB05EE"/>
    <w:rsid w:val="00EB0687"/>
    <w:rsid w:val="00EB06B1"/>
    <w:rsid w:val="00EB07A7"/>
    <w:rsid w:val="00EB07B4"/>
    <w:rsid w:val="00EB08BA"/>
    <w:rsid w:val="00EB08C1"/>
    <w:rsid w:val="00EB0957"/>
    <w:rsid w:val="00EB0A7F"/>
    <w:rsid w:val="00EB0A91"/>
    <w:rsid w:val="00EB0B6F"/>
    <w:rsid w:val="00EB0D1E"/>
    <w:rsid w:val="00EB0E9F"/>
    <w:rsid w:val="00EB0FA5"/>
    <w:rsid w:val="00EB1039"/>
    <w:rsid w:val="00EB10DA"/>
    <w:rsid w:val="00EB10E9"/>
    <w:rsid w:val="00EB117C"/>
    <w:rsid w:val="00EB1199"/>
    <w:rsid w:val="00EB12C4"/>
    <w:rsid w:val="00EB12D4"/>
    <w:rsid w:val="00EB13B2"/>
    <w:rsid w:val="00EB1418"/>
    <w:rsid w:val="00EB14C0"/>
    <w:rsid w:val="00EB14E4"/>
    <w:rsid w:val="00EB159D"/>
    <w:rsid w:val="00EB162D"/>
    <w:rsid w:val="00EB16D8"/>
    <w:rsid w:val="00EB1770"/>
    <w:rsid w:val="00EB1776"/>
    <w:rsid w:val="00EB17BD"/>
    <w:rsid w:val="00EB1960"/>
    <w:rsid w:val="00EB1CEC"/>
    <w:rsid w:val="00EB1D12"/>
    <w:rsid w:val="00EB1D1C"/>
    <w:rsid w:val="00EB1D1D"/>
    <w:rsid w:val="00EB1D43"/>
    <w:rsid w:val="00EB1D5B"/>
    <w:rsid w:val="00EB1DA3"/>
    <w:rsid w:val="00EB1DC2"/>
    <w:rsid w:val="00EB1E04"/>
    <w:rsid w:val="00EB1F08"/>
    <w:rsid w:val="00EB2059"/>
    <w:rsid w:val="00EB20E2"/>
    <w:rsid w:val="00EB232E"/>
    <w:rsid w:val="00EB237D"/>
    <w:rsid w:val="00EB23E0"/>
    <w:rsid w:val="00EB24DF"/>
    <w:rsid w:val="00EB25E2"/>
    <w:rsid w:val="00EB2630"/>
    <w:rsid w:val="00EB280D"/>
    <w:rsid w:val="00EB281C"/>
    <w:rsid w:val="00EB285D"/>
    <w:rsid w:val="00EB28F8"/>
    <w:rsid w:val="00EB2929"/>
    <w:rsid w:val="00EB2994"/>
    <w:rsid w:val="00EB2A44"/>
    <w:rsid w:val="00EB2AB3"/>
    <w:rsid w:val="00EB2AB4"/>
    <w:rsid w:val="00EB2B2D"/>
    <w:rsid w:val="00EB2C73"/>
    <w:rsid w:val="00EB2D21"/>
    <w:rsid w:val="00EB2F5B"/>
    <w:rsid w:val="00EB3061"/>
    <w:rsid w:val="00EB30D9"/>
    <w:rsid w:val="00EB3168"/>
    <w:rsid w:val="00EB32AB"/>
    <w:rsid w:val="00EB34E2"/>
    <w:rsid w:val="00EB35AB"/>
    <w:rsid w:val="00EB35C5"/>
    <w:rsid w:val="00EB3632"/>
    <w:rsid w:val="00EB3646"/>
    <w:rsid w:val="00EB36A6"/>
    <w:rsid w:val="00EB36C2"/>
    <w:rsid w:val="00EB37FA"/>
    <w:rsid w:val="00EB3A1F"/>
    <w:rsid w:val="00EB3A6D"/>
    <w:rsid w:val="00EB3AC3"/>
    <w:rsid w:val="00EB3B10"/>
    <w:rsid w:val="00EB3C09"/>
    <w:rsid w:val="00EB3C89"/>
    <w:rsid w:val="00EB3CF4"/>
    <w:rsid w:val="00EB3D2F"/>
    <w:rsid w:val="00EB3DDE"/>
    <w:rsid w:val="00EB3E07"/>
    <w:rsid w:val="00EB3ECF"/>
    <w:rsid w:val="00EB3F14"/>
    <w:rsid w:val="00EB41D2"/>
    <w:rsid w:val="00EB41D4"/>
    <w:rsid w:val="00EB422E"/>
    <w:rsid w:val="00EB4291"/>
    <w:rsid w:val="00EB43D9"/>
    <w:rsid w:val="00EB4415"/>
    <w:rsid w:val="00EB4441"/>
    <w:rsid w:val="00EB45AE"/>
    <w:rsid w:val="00EB46C1"/>
    <w:rsid w:val="00EB4763"/>
    <w:rsid w:val="00EB48AB"/>
    <w:rsid w:val="00EB4936"/>
    <w:rsid w:val="00EB493E"/>
    <w:rsid w:val="00EB4990"/>
    <w:rsid w:val="00EB4A04"/>
    <w:rsid w:val="00EB4A3A"/>
    <w:rsid w:val="00EB4A4C"/>
    <w:rsid w:val="00EB4B5A"/>
    <w:rsid w:val="00EB4BC2"/>
    <w:rsid w:val="00EB4BEA"/>
    <w:rsid w:val="00EB4CE5"/>
    <w:rsid w:val="00EB4D1E"/>
    <w:rsid w:val="00EB4E21"/>
    <w:rsid w:val="00EB4EAB"/>
    <w:rsid w:val="00EB4EAE"/>
    <w:rsid w:val="00EB4EFA"/>
    <w:rsid w:val="00EB4F48"/>
    <w:rsid w:val="00EB4F55"/>
    <w:rsid w:val="00EB513B"/>
    <w:rsid w:val="00EB5165"/>
    <w:rsid w:val="00EB5197"/>
    <w:rsid w:val="00EB51D3"/>
    <w:rsid w:val="00EB531D"/>
    <w:rsid w:val="00EB545B"/>
    <w:rsid w:val="00EB5696"/>
    <w:rsid w:val="00EB56A5"/>
    <w:rsid w:val="00EB56A6"/>
    <w:rsid w:val="00EB56EC"/>
    <w:rsid w:val="00EB572F"/>
    <w:rsid w:val="00EB5740"/>
    <w:rsid w:val="00EB57CD"/>
    <w:rsid w:val="00EB57DD"/>
    <w:rsid w:val="00EB5971"/>
    <w:rsid w:val="00EB5A88"/>
    <w:rsid w:val="00EB5BBD"/>
    <w:rsid w:val="00EB5BD2"/>
    <w:rsid w:val="00EB5DDA"/>
    <w:rsid w:val="00EB5E01"/>
    <w:rsid w:val="00EB5E54"/>
    <w:rsid w:val="00EB5E72"/>
    <w:rsid w:val="00EB6088"/>
    <w:rsid w:val="00EB6099"/>
    <w:rsid w:val="00EB61A4"/>
    <w:rsid w:val="00EB61D0"/>
    <w:rsid w:val="00EB6248"/>
    <w:rsid w:val="00EB6320"/>
    <w:rsid w:val="00EB636A"/>
    <w:rsid w:val="00EB6386"/>
    <w:rsid w:val="00EB6465"/>
    <w:rsid w:val="00EB6482"/>
    <w:rsid w:val="00EB64FF"/>
    <w:rsid w:val="00EB65DE"/>
    <w:rsid w:val="00EB664D"/>
    <w:rsid w:val="00EB6701"/>
    <w:rsid w:val="00EB6853"/>
    <w:rsid w:val="00EB687B"/>
    <w:rsid w:val="00EB68BE"/>
    <w:rsid w:val="00EB68CE"/>
    <w:rsid w:val="00EB68E8"/>
    <w:rsid w:val="00EB69D4"/>
    <w:rsid w:val="00EB6A2F"/>
    <w:rsid w:val="00EB6B0A"/>
    <w:rsid w:val="00EB6B15"/>
    <w:rsid w:val="00EB6B25"/>
    <w:rsid w:val="00EB6D2D"/>
    <w:rsid w:val="00EB6D3E"/>
    <w:rsid w:val="00EB7132"/>
    <w:rsid w:val="00EB717A"/>
    <w:rsid w:val="00EB71AD"/>
    <w:rsid w:val="00EB7328"/>
    <w:rsid w:val="00EB740E"/>
    <w:rsid w:val="00EB742E"/>
    <w:rsid w:val="00EB7435"/>
    <w:rsid w:val="00EB754D"/>
    <w:rsid w:val="00EB7562"/>
    <w:rsid w:val="00EB756B"/>
    <w:rsid w:val="00EB7586"/>
    <w:rsid w:val="00EB75EA"/>
    <w:rsid w:val="00EB7778"/>
    <w:rsid w:val="00EB77A4"/>
    <w:rsid w:val="00EB780B"/>
    <w:rsid w:val="00EB78F7"/>
    <w:rsid w:val="00EB7906"/>
    <w:rsid w:val="00EB790B"/>
    <w:rsid w:val="00EB7B1B"/>
    <w:rsid w:val="00EB7C7A"/>
    <w:rsid w:val="00EB7F54"/>
    <w:rsid w:val="00EB7F70"/>
    <w:rsid w:val="00EC0025"/>
    <w:rsid w:val="00EC00B8"/>
    <w:rsid w:val="00EC00BE"/>
    <w:rsid w:val="00EC0170"/>
    <w:rsid w:val="00EC01C7"/>
    <w:rsid w:val="00EC0222"/>
    <w:rsid w:val="00EC022C"/>
    <w:rsid w:val="00EC02F4"/>
    <w:rsid w:val="00EC033C"/>
    <w:rsid w:val="00EC038A"/>
    <w:rsid w:val="00EC03B4"/>
    <w:rsid w:val="00EC040E"/>
    <w:rsid w:val="00EC042B"/>
    <w:rsid w:val="00EC042D"/>
    <w:rsid w:val="00EC0478"/>
    <w:rsid w:val="00EC04A9"/>
    <w:rsid w:val="00EC0718"/>
    <w:rsid w:val="00EC075A"/>
    <w:rsid w:val="00EC085F"/>
    <w:rsid w:val="00EC08E4"/>
    <w:rsid w:val="00EC0977"/>
    <w:rsid w:val="00EC0A60"/>
    <w:rsid w:val="00EC0EC1"/>
    <w:rsid w:val="00EC0F13"/>
    <w:rsid w:val="00EC10D1"/>
    <w:rsid w:val="00EC1256"/>
    <w:rsid w:val="00EC127D"/>
    <w:rsid w:val="00EC13D6"/>
    <w:rsid w:val="00EC142F"/>
    <w:rsid w:val="00EC14B4"/>
    <w:rsid w:val="00EC156C"/>
    <w:rsid w:val="00EC1596"/>
    <w:rsid w:val="00EC1865"/>
    <w:rsid w:val="00EC18DF"/>
    <w:rsid w:val="00EC198C"/>
    <w:rsid w:val="00EC1A6A"/>
    <w:rsid w:val="00EC1AAD"/>
    <w:rsid w:val="00EC1B84"/>
    <w:rsid w:val="00EC1BE5"/>
    <w:rsid w:val="00EC1C20"/>
    <w:rsid w:val="00EC1CAF"/>
    <w:rsid w:val="00EC1CF4"/>
    <w:rsid w:val="00EC1F2B"/>
    <w:rsid w:val="00EC20AB"/>
    <w:rsid w:val="00EC21B8"/>
    <w:rsid w:val="00EC2250"/>
    <w:rsid w:val="00EC232B"/>
    <w:rsid w:val="00EC23C5"/>
    <w:rsid w:val="00EC2437"/>
    <w:rsid w:val="00EC25E9"/>
    <w:rsid w:val="00EC28CF"/>
    <w:rsid w:val="00EC2921"/>
    <w:rsid w:val="00EC29AC"/>
    <w:rsid w:val="00EC2B3E"/>
    <w:rsid w:val="00EC2B5E"/>
    <w:rsid w:val="00EC2C2B"/>
    <w:rsid w:val="00EC2EB2"/>
    <w:rsid w:val="00EC2F78"/>
    <w:rsid w:val="00EC3198"/>
    <w:rsid w:val="00EC3218"/>
    <w:rsid w:val="00EC32AB"/>
    <w:rsid w:val="00EC3385"/>
    <w:rsid w:val="00EC33DF"/>
    <w:rsid w:val="00EC343E"/>
    <w:rsid w:val="00EC34B3"/>
    <w:rsid w:val="00EC34DD"/>
    <w:rsid w:val="00EC350C"/>
    <w:rsid w:val="00EC3545"/>
    <w:rsid w:val="00EC3573"/>
    <w:rsid w:val="00EC36C9"/>
    <w:rsid w:val="00EC38C9"/>
    <w:rsid w:val="00EC39DB"/>
    <w:rsid w:val="00EC3A41"/>
    <w:rsid w:val="00EC3A9F"/>
    <w:rsid w:val="00EC3C9D"/>
    <w:rsid w:val="00EC3CA2"/>
    <w:rsid w:val="00EC3D37"/>
    <w:rsid w:val="00EC3D43"/>
    <w:rsid w:val="00EC3D84"/>
    <w:rsid w:val="00EC3DE9"/>
    <w:rsid w:val="00EC3E53"/>
    <w:rsid w:val="00EC3FBA"/>
    <w:rsid w:val="00EC404E"/>
    <w:rsid w:val="00EC407F"/>
    <w:rsid w:val="00EC4121"/>
    <w:rsid w:val="00EC42C4"/>
    <w:rsid w:val="00EC45B1"/>
    <w:rsid w:val="00EC45B9"/>
    <w:rsid w:val="00EC45DD"/>
    <w:rsid w:val="00EC475A"/>
    <w:rsid w:val="00EC4796"/>
    <w:rsid w:val="00EC47C9"/>
    <w:rsid w:val="00EC4878"/>
    <w:rsid w:val="00EC490A"/>
    <w:rsid w:val="00EC498B"/>
    <w:rsid w:val="00EC49A1"/>
    <w:rsid w:val="00EC49E9"/>
    <w:rsid w:val="00EC4ABD"/>
    <w:rsid w:val="00EC4AC7"/>
    <w:rsid w:val="00EC4C12"/>
    <w:rsid w:val="00EC4C74"/>
    <w:rsid w:val="00EC4DAE"/>
    <w:rsid w:val="00EC4E05"/>
    <w:rsid w:val="00EC507E"/>
    <w:rsid w:val="00EC5084"/>
    <w:rsid w:val="00EC512D"/>
    <w:rsid w:val="00EC51F5"/>
    <w:rsid w:val="00EC52F1"/>
    <w:rsid w:val="00EC54A3"/>
    <w:rsid w:val="00EC569F"/>
    <w:rsid w:val="00EC56F1"/>
    <w:rsid w:val="00EC5830"/>
    <w:rsid w:val="00EC5911"/>
    <w:rsid w:val="00EC5955"/>
    <w:rsid w:val="00EC59BF"/>
    <w:rsid w:val="00EC59DD"/>
    <w:rsid w:val="00EC5A59"/>
    <w:rsid w:val="00EC5B38"/>
    <w:rsid w:val="00EC5CDC"/>
    <w:rsid w:val="00EC5D52"/>
    <w:rsid w:val="00EC5E5E"/>
    <w:rsid w:val="00EC5F66"/>
    <w:rsid w:val="00EC6027"/>
    <w:rsid w:val="00EC6046"/>
    <w:rsid w:val="00EC618C"/>
    <w:rsid w:val="00EC63FF"/>
    <w:rsid w:val="00EC6510"/>
    <w:rsid w:val="00EC657F"/>
    <w:rsid w:val="00EC6630"/>
    <w:rsid w:val="00EC664B"/>
    <w:rsid w:val="00EC6733"/>
    <w:rsid w:val="00EC67CA"/>
    <w:rsid w:val="00EC6810"/>
    <w:rsid w:val="00EC6837"/>
    <w:rsid w:val="00EC684B"/>
    <w:rsid w:val="00EC688A"/>
    <w:rsid w:val="00EC689E"/>
    <w:rsid w:val="00EC68DC"/>
    <w:rsid w:val="00EC698A"/>
    <w:rsid w:val="00EC69F1"/>
    <w:rsid w:val="00EC6A86"/>
    <w:rsid w:val="00EC6AC3"/>
    <w:rsid w:val="00EC6B4A"/>
    <w:rsid w:val="00EC7004"/>
    <w:rsid w:val="00EC7093"/>
    <w:rsid w:val="00EC70BE"/>
    <w:rsid w:val="00EC7175"/>
    <w:rsid w:val="00EC7182"/>
    <w:rsid w:val="00EC71CF"/>
    <w:rsid w:val="00EC71F2"/>
    <w:rsid w:val="00EC728B"/>
    <w:rsid w:val="00EC74B9"/>
    <w:rsid w:val="00EC7554"/>
    <w:rsid w:val="00EC75BA"/>
    <w:rsid w:val="00EC7650"/>
    <w:rsid w:val="00EC770C"/>
    <w:rsid w:val="00EC77F1"/>
    <w:rsid w:val="00EC77F7"/>
    <w:rsid w:val="00EC7812"/>
    <w:rsid w:val="00EC7822"/>
    <w:rsid w:val="00EC7843"/>
    <w:rsid w:val="00EC7868"/>
    <w:rsid w:val="00EC7880"/>
    <w:rsid w:val="00EC7907"/>
    <w:rsid w:val="00EC79E5"/>
    <w:rsid w:val="00EC7A18"/>
    <w:rsid w:val="00EC7AD6"/>
    <w:rsid w:val="00EC7ADB"/>
    <w:rsid w:val="00EC7BCA"/>
    <w:rsid w:val="00EC7BFD"/>
    <w:rsid w:val="00EC7C68"/>
    <w:rsid w:val="00EC7CB6"/>
    <w:rsid w:val="00EC7D54"/>
    <w:rsid w:val="00EC7DF6"/>
    <w:rsid w:val="00EC7ED2"/>
    <w:rsid w:val="00EC7F07"/>
    <w:rsid w:val="00EC7F6B"/>
    <w:rsid w:val="00ED0089"/>
    <w:rsid w:val="00ED00CD"/>
    <w:rsid w:val="00ED01E9"/>
    <w:rsid w:val="00ED0222"/>
    <w:rsid w:val="00ED023B"/>
    <w:rsid w:val="00ED0498"/>
    <w:rsid w:val="00ED05D7"/>
    <w:rsid w:val="00ED0743"/>
    <w:rsid w:val="00ED079C"/>
    <w:rsid w:val="00ED07AD"/>
    <w:rsid w:val="00ED07B1"/>
    <w:rsid w:val="00ED081C"/>
    <w:rsid w:val="00ED0A03"/>
    <w:rsid w:val="00ED0AED"/>
    <w:rsid w:val="00ED0B3B"/>
    <w:rsid w:val="00ED0BC5"/>
    <w:rsid w:val="00ED0C8C"/>
    <w:rsid w:val="00ED0F2E"/>
    <w:rsid w:val="00ED0FE4"/>
    <w:rsid w:val="00ED1156"/>
    <w:rsid w:val="00ED1161"/>
    <w:rsid w:val="00ED1234"/>
    <w:rsid w:val="00ED13BD"/>
    <w:rsid w:val="00ED1466"/>
    <w:rsid w:val="00ED14D7"/>
    <w:rsid w:val="00ED1565"/>
    <w:rsid w:val="00ED1685"/>
    <w:rsid w:val="00ED16EC"/>
    <w:rsid w:val="00ED175D"/>
    <w:rsid w:val="00ED17B0"/>
    <w:rsid w:val="00ED17D0"/>
    <w:rsid w:val="00ED1894"/>
    <w:rsid w:val="00ED1A4A"/>
    <w:rsid w:val="00ED1C0A"/>
    <w:rsid w:val="00ED1E26"/>
    <w:rsid w:val="00ED1E2D"/>
    <w:rsid w:val="00ED1E7B"/>
    <w:rsid w:val="00ED1EAF"/>
    <w:rsid w:val="00ED1F3A"/>
    <w:rsid w:val="00ED1F78"/>
    <w:rsid w:val="00ED1FAC"/>
    <w:rsid w:val="00ED2058"/>
    <w:rsid w:val="00ED205D"/>
    <w:rsid w:val="00ED206F"/>
    <w:rsid w:val="00ED207A"/>
    <w:rsid w:val="00ED20C9"/>
    <w:rsid w:val="00ED21FE"/>
    <w:rsid w:val="00ED22D8"/>
    <w:rsid w:val="00ED2306"/>
    <w:rsid w:val="00ED2360"/>
    <w:rsid w:val="00ED2411"/>
    <w:rsid w:val="00ED24DD"/>
    <w:rsid w:val="00ED259B"/>
    <w:rsid w:val="00ED25B1"/>
    <w:rsid w:val="00ED269E"/>
    <w:rsid w:val="00ED26A7"/>
    <w:rsid w:val="00ED27C4"/>
    <w:rsid w:val="00ED2899"/>
    <w:rsid w:val="00ED28DD"/>
    <w:rsid w:val="00ED2908"/>
    <w:rsid w:val="00ED2984"/>
    <w:rsid w:val="00ED2A50"/>
    <w:rsid w:val="00ED2AC0"/>
    <w:rsid w:val="00ED2B1F"/>
    <w:rsid w:val="00ED2B2C"/>
    <w:rsid w:val="00ED2B93"/>
    <w:rsid w:val="00ED2BDC"/>
    <w:rsid w:val="00ED2C9F"/>
    <w:rsid w:val="00ED2D3B"/>
    <w:rsid w:val="00ED2E98"/>
    <w:rsid w:val="00ED2FC9"/>
    <w:rsid w:val="00ED2FCE"/>
    <w:rsid w:val="00ED2FF0"/>
    <w:rsid w:val="00ED32C3"/>
    <w:rsid w:val="00ED36CE"/>
    <w:rsid w:val="00ED37CF"/>
    <w:rsid w:val="00ED3CD4"/>
    <w:rsid w:val="00ED3CE7"/>
    <w:rsid w:val="00ED3D0E"/>
    <w:rsid w:val="00ED3D5E"/>
    <w:rsid w:val="00ED3DF4"/>
    <w:rsid w:val="00ED3E05"/>
    <w:rsid w:val="00ED3E4F"/>
    <w:rsid w:val="00ED3EBB"/>
    <w:rsid w:val="00ED3EEB"/>
    <w:rsid w:val="00ED3FDB"/>
    <w:rsid w:val="00ED40C7"/>
    <w:rsid w:val="00ED40ED"/>
    <w:rsid w:val="00ED41BC"/>
    <w:rsid w:val="00ED41D3"/>
    <w:rsid w:val="00ED4306"/>
    <w:rsid w:val="00ED44CE"/>
    <w:rsid w:val="00ED4541"/>
    <w:rsid w:val="00ED45F0"/>
    <w:rsid w:val="00ED46AD"/>
    <w:rsid w:val="00ED46C7"/>
    <w:rsid w:val="00ED4779"/>
    <w:rsid w:val="00ED479F"/>
    <w:rsid w:val="00ED4864"/>
    <w:rsid w:val="00ED48DB"/>
    <w:rsid w:val="00ED48EF"/>
    <w:rsid w:val="00ED4912"/>
    <w:rsid w:val="00ED4A23"/>
    <w:rsid w:val="00ED4AE4"/>
    <w:rsid w:val="00ED4AF6"/>
    <w:rsid w:val="00ED4B8D"/>
    <w:rsid w:val="00ED4E69"/>
    <w:rsid w:val="00ED4F77"/>
    <w:rsid w:val="00ED4F8C"/>
    <w:rsid w:val="00ED4FB4"/>
    <w:rsid w:val="00ED5175"/>
    <w:rsid w:val="00ED51F6"/>
    <w:rsid w:val="00ED521F"/>
    <w:rsid w:val="00ED541F"/>
    <w:rsid w:val="00ED542C"/>
    <w:rsid w:val="00ED5490"/>
    <w:rsid w:val="00ED54BC"/>
    <w:rsid w:val="00ED54EF"/>
    <w:rsid w:val="00ED57CE"/>
    <w:rsid w:val="00ED5957"/>
    <w:rsid w:val="00ED5964"/>
    <w:rsid w:val="00ED59C1"/>
    <w:rsid w:val="00ED59CD"/>
    <w:rsid w:val="00ED5A22"/>
    <w:rsid w:val="00ED5A54"/>
    <w:rsid w:val="00ED5D70"/>
    <w:rsid w:val="00ED5DDA"/>
    <w:rsid w:val="00ED5EA7"/>
    <w:rsid w:val="00ED5FBB"/>
    <w:rsid w:val="00ED602E"/>
    <w:rsid w:val="00ED6074"/>
    <w:rsid w:val="00ED607B"/>
    <w:rsid w:val="00ED639A"/>
    <w:rsid w:val="00ED6594"/>
    <w:rsid w:val="00ED65C8"/>
    <w:rsid w:val="00ED65F8"/>
    <w:rsid w:val="00ED663B"/>
    <w:rsid w:val="00ED6784"/>
    <w:rsid w:val="00ED67E3"/>
    <w:rsid w:val="00ED6816"/>
    <w:rsid w:val="00ED68B9"/>
    <w:rsid w:val="00ED6B6E"/>
    <w:rsid w:val="00ED6C33"/>
    <w:rsid w:val="00ED6E38"/>
    <w:rsid w:val="00ED6F71"/>
    <w:rsid w:val="00ED6F8F"/>
    <w:rsid w:val="00ED7034"/>
    <w:rsid w:val="00ED71F0"/>
    <w:rsid w:val="00ED7209"/>
    <w:rsid w:val="00ED72DC"/>
    <w:rsid w:val="00ED732C"/>
    <w:rsid w:val="00ED75E0"/>
    <w:rsid w:val="00ED7623"/>
    <w:rsid w:val="00ED7735"/>
    <w:rsid w:val="00ED77FB"/>
    <w:rsid w:val="00ED7954"/>
    <w:rsid w:val="00ED79FA"/>
    <w:rsid w:val="00ED7A89"/>
    <w:rsid w:val="00ED7AD6"/>
    <w:rsid w:val="00ED7ADC"/>
    <w:rsid w:val="00ED7B30"/>
    <w:rsid w:val="00ED7BB3"/>
    <w:rsid w:val="00ED7BC8"/>
    <w:rsid w:val="00ED7C0E"/>
    <w:rsid w:val="00ED7C87"/>
    <w:rsid w:val="00ED7D82"/>
    <w:rsid w:val="00ED7ED0"/>
    <w:rsid w:val="00ED7FB3"/>
    <w:rsid w:val="00ED7FF0"/>
    <w:rsid w:val="00EE0043"/>
    <w:rsid w:val="00EE011F"/>
    <w:rsid w:val="00EE01BE"/>
    <w:rsid w:val="00EE02B2"/>
    <w:rsid w:val="00EE0302"/>
    <w:rsid w:val="00EE04E5"/>
    <w:rsid w:val="00EE04EB"/>
    <w:rsid w:val="00EE0727"/>
    <w:rsid w:val="00EE0851"/>
    <w:rsid w:val="00EE08D4"/>
    <w:rsid w:val="00EE0904"/>
    <w:rsid w:val="00EE094A"/>
    <w:rsid w:val="00EE0D5A"/>
    <w:rsid w:val="00EE0DBD"/>
    <w:rsid w:val="00EE0E27"/>
    <w:rsid w:val="00EE111B"/>
    <w:rsid w:val="00EE11B8"/>
    <w:rsid w:val="00EE132D"/>
    <w:rsid w:val="00EE1352"/>
    <w:rsid w:val="00EE14C5"/>
    <w:rsid w:val="00EE153D"/>
    <w:rsid w:val="00EE1595"/>
    <w:rsid w:val="00EE164B"/>
    <w:rsid w:val="00EE1729"/>
    <w:rsid w:val="00EE1783"/>
    <w:rsid w:val="00EE1864"/>
    <w:rsid w:val="00EE18D0"/>
    <w:rsid w:val="00EE1A43"/>
    <w:rsid w:val="00EE1C2D"/>
    <w:rsid w:val="00EE1CCB"/>
    <w:rsid w:val="00EE1DAD"/>
    <w:rsid w:val="00EE1DBD"/>
    <w:rsid w:val="00EE1DE2"/>
    <w:rsid w:val="00EE1ED7"/>
    <w:rsid w:val="00EE2004"/>
    <w:rsid w:val="00EE202D"/>
    <w:rsid w:val="00EE20C8"/>
    <w:rsid w:val="00EE21A6"/>
    <w:rsid w:val="00EE229D"/>
    <w:rsid w:val="00EE235A"/>
    <w:rsid w:val="00EE23BD"/>
    <w:rsid w:val="00EE2563"/>
    <w:rsid w:val="00EE2646"/>
    <w:rsid w:val="00EE26D0"/>
    <w:rsid w:val="00EE2777"/>
    <w:rsid w:val="00EE2881"/>
    <w:rsid w:val="00EE2883"/>
    <w:rsid w:val="00EE28F6"/>
    <w:rsid w:val="00EE29CE"/>
    <w:rsid w:val="00EE2A2A"/>
    <w:rsid w:val="00EE2A50"/>
    <w:rsid w:val="00EE2AB5"/>
    <w:rsid w:val="00EE2AD4"/>
    <w:rsid w:val="00EE2B55"/>
    <w:rsid w:val="00EE2B82"/>
    <w:rsid w:val="00EE2D6F"/>
    <w:rsid w:val="00EE3108"/>
    <w:rsid w:val="00EE31AA"/>
    <w:rsid w:val="00EE32E5"/>
    <w:rsid w:val="00EE32F0"/>
    <w:rsid w:val="00EE3337"/>
    <w:rsid w:val="00EE3380"/>
    <w:rsid w:val="00EE33EC"/>
    <w:rsid w:val="00EE3443"/>
    <w:rsid w:val="00EE3543"/>
    <w:rsid w:val="00EE3571"/>
    <w:rsid w:val="00EE3686"/>
    <w:rsid w:val="00EE3729"/>
    <w:rsid w:val="00EE37B7"/>
    <w:rsid w:val="00EE385C"/>
    <w:rsid w:val="00EE3A5A"/>
    <w:rsid w:val="00EE3D60"/>
    <w:rsid w:val="00EE3DFA"/>
    <w:rsid w:val="00EE3E60"/>
    <w:rsid w:val="00EE3EDD"/>
    <w:rsid w:val="00EE4020"/>
    <w:rsid w:val="00EE4107"/>
    <w:rsid w:val="00EE4238"/>
    <w:rsid w:val="00EE4269"/>
    <w:rsid w:val="00EE42C7"/>
    <w:rsid w:val="00EE432E"/>
    <w:rsid w:val="00EE43D7"/>
    <w:rsid w:val="00EE447E"/>
    <w:rsid w:val="00EE4513"/>
    <w:rsid w:val="00EE4616"/>
    <w:rsid w:val="00EE4627"/>
    <w:rsid w:val="00EE4651"/>
    <w:rsid w:val="00EE47C9"/>
    <w:rsid w:val="00EE47ED"/>
    <w:rsid w:val="00EE47FA"/>
    <w:rsid w:val="00EE4886"/>
    <w:rsid w:val="00EE49EB"/>
    <w:rsid w:val="00EE4A41"/>
    <w:rsid w:val="00EE4B24"/>
    <w:rsid w:val="00EE4B8D"/>
    <w:rsid w:val="00EE4BAB"/>
    <w:rsid w:val="00EE4BE9"/>
    <w:rsid w:val="00EE4C4B"/>
    <w:rsid w:val="00EE4D69"/>
    <w:rsid w:val="00EE4D6C"/>
    <w:rsid w:val="00EE4E6E"/>
    <w:rsid w:val="00EE4F2B"/>
    <w:rsid w:val="00EE4F3E"/>
    <w:rsid w:val="00EE5052"/>
    <w:rsid w:val="00EE50BB"/>
    <w:rsid w:val="00EE5125"/>
    <w:rsid w:val="00EE5183"/>
    <w:rsid w:val="00EE51E5"/>
    <w:rsid w:val="00EE5204"/>
    <w:rsid w:val="00EE5331"/>
    <w:rsid w:val="00EE53B4"/>
    <w:rsid w:val="00EE53F3"/>
    <w:rsid w:val="00EE54F0"/>
    <w:rsid w:val="00EE551E"/>
    <w:rsid w:val="00EE55BD"/>
    <w:rsid w:val="00EE5607"/>
    <w:rsid w:val="00EE57A3"/>
    <w:rsid w:val="00EE57B6"/>
    <w:rsid w:val="00EE582B"/>
    <w:rsid w:val="00EE58EE"/>
    <w:rsid w:val="00EE5936"/>
    <w:rsid w:val="00EE5A40"/>
    <w:rsid w:val="00EE5AC8"/>
    <w:rsid w:val="00EE5C06"/>
    <w:rsid w:val="00EE5D18"/>
    <w:rsid w:val="00EE5D90"/>
    <w:rsid w:val="00EE5EF5"/>
    <w:rsid w:val="00EE600D"/>
    <w:rsid w:val="00EE609E"/>
    <w:rsid w:val="00EE6178"/>
    <w:rsid w:val="00EE6292"/>
    <w:rsid w:val="00EE62A2"/>
    <w:rsid w:val="00EE631E"/>
    <w:rsid w:val="00EE639C"/>
    <w:rsid w:val="00EE63F5"/>
    <w:rsid w:val="00EE643B"/>
    <w:rsid w:val="00EE64B2"/>
    <w:rsid w:val="00EE65F1"/>
    <w:rsid w:val="00EE6604"/>
    <w:rsid w:val="00EE663B"/>
    <w:rsid w:val="00EE663E"/>
    <w:rsid w:val="00EE6692"/>
    <w:rsid w:val="00EE66BB"/>
    <w:rsid w:val="00EE67D7"/>
    <w:rsid w:val="00EE698C"/>
    <w:rsid w:val="00EE6B52"/>
    <w:rsid w:val="00EE6B70"/>
    <w:rsid w:val="00EE6CF4"/>
    <w:rsid w:val="00EE6D27"/>
    <w:rsid w:val="00EE7087"/>
    <w:rsid w:val="00EE732C"/>
    <w:rsid w:val="00EE73E6"/>
    <w:rsid w:val="00EE745F"/>
    <w:rsid w:val="00EE7519"/>
    <w:rsid w:val="00EE75AA"/>
    <w:rsid w:val="00EE75E6"/>
    <w:rsid w:val="00EE7689"/>
    <w:rsid w:val="00EE76EC"/>
    <w:rsid w:val="00EE79DB"/>
    <w:rsid w:val="00EE7A02"/>
    <w:rsid w:val="00EE7A18"/>
    <w:rsid w:val="00EE7A82"/>
    <w:rsid w:val="00EE7A97"/>
    <w:rsid w:val="00EE7AFB"/>
    <w:rsid w:val="00EE7B17"/>
    <w:rsid w:val="00EE7BBD"/>
    <w:rsid w:val="00EE7C0B"/>
    <w:rsid w:val="00EE7C9C"/>
    <w:rsid w:val="00EE7D4F"/>
    <w:rsid w:val="00EE7DFC"/>
    <w:rsid w:val="00EE7EB9"/>
    <w:rsid w:val="00EF013E"/>
    <w:rsid w:val="00EF016D"/>
    <w:rsid w:val="00EF017B"/>
    <w:rsid w:val="00EF01E3"/>
    <w:rsid w:val="00EF0208"/>
    <w:rsid w:val="00EF0216"/>
    <w:rsid w:val="00EF0259"/>
    <w:rsid w:val="00EF0287"/>
    <w:rsid w:val="00EF0463"/>
    <w:rsid w:val="00EF0489"/>
    <w:rsid w:val="00EF056C"/>
    <w:rsid w:val="00EF0572"/>
    <w:rsid w:val="00EF0589"/>
    <w:rsid w:val="00EF05CB"/>
    <w:rsid w:val="00EF05D2"/>
    <w:rsid w:val="00EF0780"/>
    <w:rsid w:val="00EF080C"/>
    <w:rsid w:val="00EF0850"/>
    <w:rsid w:val="00EF0851"/>
    <w:rsid w:val="00EF0869"/>
    <w:rsid w:val="00EF0956"/>
    <w:rsid w:val="00EF097F"/>
    <w:rsid w:val="00EF09B4"/>
    <w:rsid w:val="00EF0A37"/>
    <w:rsid w:val="00EF0A4E"/>
    <w:rsid w:val="00EF0C15"/>
    <w:rsid w:val="00EF0CFC"/>
    <w:rsid w:val="00EF0DAF"/>
    <w:rsid w:val="00EF0E21"/>
    <w:rsid w:val="00EF100A"/>
    <w:rsid w:val="00EF1233"/>
    <w:rsid w:val="00EF1297"/>
    <w:rsid w:val="00EF145E"/>
    <w:rsid w:val="00EF1547"/>
    <w:rsid w:val="00EF158A"/>
    <w:rsid w:val="00EF166D"/>
    <w:rsid w:val="00EF170D"/>
    <w:rsid w:val="00EF1761"/>
    <w:rsid w:val="00EF1AB8"/>
    <w:rsid w:val="00EF1D00"/>
    <w:rsid w:val="00EF1D7F"/>
    <w:rsid w:val="00EF1DF1"/>
    <w:rsid w:val="00EF1E8F"/>
    <w:rsid w:val="00EF1EC6"/>
    <w:rsid w:val="00EF1F79"/>
    <w:rsid w:val="00EF1F8C"/>
    <w:rsid w:val="00EF20E6"/>
    <w:rsid w:val="00EF215F"/>
    <w:rsid w:val="00EF21AB"/>
    <w:rsid w:val="00EF21C7"/>
    <w:rsid w:val="00EF2209"/>
    <w:rsid w:val="00EF22F2"/>
    <w:rsid w:val="00EF2402"/>
    <w:rsid w:val="00EF268A"/>
    <w:rsid w:val="00EF271C"/>
    <w:rsid w:val="00EF2731"/>
    <w:rsid w:val="00EF276D"/>
    <w:rsid w:val="00EF278E"/>
    <w:rsid w:val="00EF27E5"/>
    <w:rsid w:val="00EF28F2"/>
    <w:rsid w:val="00EF295C"/>
    <w:rsid w:val="00EF2982"/>
    <w:rsid w:val="00EF29DB"/>
    <w:rsid w:val="00EF2F29"/>
    <w:rsid w:val="00EF3063"/>
    <w:rsid w:val="00EF30C9"/>
    <w:rsid w:val="00EF30E9"/>
    <w:rsid w:val="00EF31B2"/>
    <w:rsid w:val="00EF33BF"/>
    <w:rsid w:val="00EF34C1"/>
    <w:rsid w:val="00EF3500"/>
    <w:rsid w:val="00EF3582"/>
    <w:rsid w:val="00EF3587"/>
    <w:rsid w:val="00EF35DA"/>
    <w:rsid w:val="00EF3707"/>
    <w:rsid w:val="00EF38EF"/>
    <w:rsid w:val="00EF3B88"/>
    <w:rsid w:val="00EF3BFC"/>
    <w:rsid w:val="00EF3CD3"/>
    <w:rsid w:val="00EF3D41"/>
    <w:rsid w:val="00EF3D8F"/>
    <w:rsid w:val="00EF3DC9"/>
    <w:rsid w:val="00EF3E02"/>
    <w:rsid w:val="00EF3E18"/>
    <w:rsid w:val="00EF3E70"/>
    <w:rsid w:val="00EF4099"/>
    <w:rsid w:val="00EF41BB"/>
    <w:rsid w:val="00EF41F0"/>
    <w:rsid w:val="00EF42D2"/>
    <w:rsid w:val="00EF42EA"/>
    <w:rsid w:val="00EF4310"/>
    <w:rsid w:val="00EF43FC"/>
    <w:rsid w:val="00EF44C0"/>
    <w:rsid w:val="00EF471C"/>
    <w:rsid w:val="00EF4739"/>
    <w:rsid w:val="00EF485A"/>
    <w:rsid w:val="00EF4896"/>
    <w:rsid w:val="00EF48AD"/>
    <w:rsid w:val="00EF48FE"/>
    <w:rsid w:val="00EF4918"/>
    <w:rsid w:val="00EF4923"/>
    <w:rsid w:val="00EF4A63"/>
    <w:rsid w:val="00EF4A73"/>
    <w:rsid w:val="00EF4AE5"/>
    <w:rsid w:val="00EF4B52"/>
    <w:rsid w:val="00EF4DE1"/>
    <w:rsid w:val="00EF4E6C"/>
    <w:rsid w:val="00EF4EBE"/>
    <w:rsid w:val="00EF4F2F"/>
    <w:rsid w:val="00EF4F35"/>
    <w:rsid w:val="00EF4FBE"/>
    <w:rsid w:val="00EF4FDA"/>
    <w:rsid w:val="00EF4FE1"/>
    <w:rsid w:val="00EF51C0"/>
    <w:rsid w:val="00EF5280"/>
    <w:rsid w:val="00EF529D"/>
    <w:rsid w:val="00EF52C3"/>
    <w:rsid w:val="00EF5352"/>
    <w:rsid w:val="00EF53ED"/>
    <w:rsid w:val="00EF542B"/>
    <w:rsid w:val="00EF54D4"/>
    <w:rsid w:val="00EF559F"/>
    <w:rsid w:val="00EF56BF"/>
    <w:rsid w:val="00EF5881"/>
    <w:rsid w:val="00EF5C57"/>
    <w:rsid w:val="00EF5C7C"/>
    <w:rsid w:val="00EF5D5B"/>
    <w:rsid w:val="00EF5D90"/>
    <w:rsid w:val="00EF5F5D"/>
    <w:rsid w:val="00EF6431"/>
    <w:rsid w:val="00EF6493"/>
    <w:rsid w:val="00EF64E0"/>
    <w:rsid w:val="00EF6892"/>
    <w:rsid w:val="00EF68E7"/>
    <w:rsid w:val="00EF68FB"/>
    <w:rsid w:val="00EF69D3"/>
    <w:rsid w:val="00EF69FE"/>
    <w:rsid w:val="00EF6B9E"/>
    <w:rsid w:val="00EF6C18"/>
    <w:rsid w:val="00EF6C44"/>
    <w:rsid w:val="00EF6CAD"/>
    <w:rsid w:val="00EF6DB7"/>
    <w:rsid w:val="00EF6F9E"/>
    <w:rsid w:val="00EF701E"/>
    <w:rsid w:val="00EF709F"/>
    <w:rsid w:val="00EF727C"/>
    <w:rsid w:val="00EF7322"/>
    <w:rsid w:val="00EF737F"/>
    <w:rsid w:val="00EF7455"/>
    <w:rsid w:val="00EF7493"/>
    <w:rsid w:val="00EF7551"/>
    <w:rsid w:val="00EF7574"/>
    <w:rsid w:val="00EF7582"/>
    <w:rsid w:val="00EF760C"/>
    <w:rsid w:val="00EF7742"/>
    <w:rsid w:val="00EF7763"/>
    <w:rsid w:val="00EF7770"/>
    <w:rsid w:val="00EF7797"/>
    <w:rsid w:val="00EF78D4"/>
    <w:rsid w:val="00EF78DF"/>
    <w:rsid w:val="00EF78F7"/>
    <w:rsid w:val="00EF798A"/>
    <w:rsid w:val="00EF79D9"/>
    <w:rsid w:val="00EF7B73"/>
    <w:rsid w:val="00EF7B76"/>
    <w:rsid w:val="00EF7BCC"/>
    <w:rsid w:val="00EF7CF6"/>
    <w:rsid w:val="00EF7D2F"/>
    <w:rsid w:val="00EF7D96"/>
    <w:rsid w:val="00EF7DFA"/>
    <w:rsid w:val="00EF7F6E"/>
    <w:rsid w:val="00EF7FE2"/>
    <w:rsid w:val="00F00055"/>
    <w:rsid w:val="00F000D4"/>
    <w:rsid w:val="00F00266"/>
    <w:rsid w:val="00F00268"/>
    <w:rsid w:val="00F00376"/>
    <w:rsid w:val="00F004A6"/>
    <w:rsid w:val="00F00589"/>
    <w:rsid w:val="00F005EC"/>
    <w:rsid w:val="00F0062C"/>
    <w:rsid w:val="00F006A0"/>
    <w:rsid w:val="00F006F3"/>
    <w:rsid w:val="00F00744"/>
    <w:rsid w:val="00F0090B"/>
    <w:rsid w:val="00F0091C"/>
    <w:rsid w:val="00F00922"/>
    <w:rsid w:val="00F00B9D"/>
    <w:rsid w:val="00F00BC7"/>
    <w:rsid w:val="00F00BE5"/>
    <w:rsid w:val="00F00E23"/>
    <w:rsid w:val="00F00F1E"/>
    <w:rsid w:val="00F00FE6"/>
    <w:rsid w:val="00F01127"/>
    <w:rsid w:val="00F01130"/>
    <w:rsid w:val="00F011CF"/>
    <w:rsid w:val="00F012EB"/>
    <w:rsid w:val="00F0130D"/>
    <w:rsid w:val="00F01416"/>
    <w:rsid w:val="00F0144A"/>
    <w:rsid w:val="00F0148D"/>
    <w:rsid w:val="00F01558"/>
    <w:rsid w:val="00F015BC"/>
    <w:rsid w:val="00F015C0"/>
    <w:rsid w:val="00F015C1"/>
    <w:rsid w:val="00F017AA"/>
    <w:rsid w:val="00F018EF"/>
    <w:rsid w:val="00F01993"/>
    <w:rsid w:val="00F01A4E"/>
    <w:rsid w:val="00F01A57"/>
    <w:rsid w:val="00F01A6F"/>
    <w:rsid w:val="00F01B84"/>
    <w:rsid w:val="00F01BB2"/>
    <w:rsid w:val="00F01E47"/>
    <w:rsid w:val="00F01E9E"/>
    <w:rsid w:val="00F01F04"/>
    <w:rsid w:val="00F01F24"/>
    <w:rsid w:val="00F02083"/>
    <w:rsid w:val="00F02160"/>
    <w:rsid w:val="00F021AD"/>
    <w:rsid w:val="00F02226"/>
    <w:rsid w:val="00F02232"/>
    <w:rsid w:val="00F025BC"/>
    <w:rsid w:val="00F025D1"/>
    <w:rsid w:val="00F02665"/>
    <w:rsid w:val="00F026B5"/>
    <w:rsid w:val="00F027A2"/>
    <w:rsid w:val="00F027F4"/>
    <w:rsid w:val="00F0286F"/>
    <w:rsid w:val="00F0288D"/>
    <w:rsid w:val="00F02919"/>
    <w:rsid w:val="00F029A0"/>
    <w:rsid w:val="00F02A9B"/>
    <w:rsid w:val="00F02AB3"/>
    <w:rsid w:val="00F02C89"/>
    <w:rsid w:val="00F02F33"/>
    <w:rsid w:val="00F03176"/>
    <w:rsid w:val="00F03183"/>
    <w:rsid w:val="00F031D4"/>
    <w:rsid w:val="00F0328E"/>
    <w:rsid w:val="00F032C9"/>
    <w:rsid w:val="00F032E3"/>
    <w:rsid w:val="00F0331D"/>
    <w:rsid w:val="00F0346C"/>
    <w:rsid w:val="00F0351C"/>
    <w:rsid w:val="00F0353C"/>
    <w:rsid w:val="00F0357B"/>
    <w:rsid w:val="00F036E6"/>
    <w:rsid w:val="00F03725"/>
    <w:rsid w:val="00F0383A"/>
    <w:rsid w:val="00F038A1"/>
    <w:rsid w:val="00F038E1"/>
    <w:rsid w:val="00F03963"/>
    <w:rsid w:val="00F03AA4"/>
    <w:rsid w:val="00F03B38"/>
    <w:rsid w:val="00F03B4A"/>
    <w:rsid w:val="00F03B9F"/>
    <w:rsid w:val="00F03C53"/>
    <w:rsid w:val="00F03CE1"/>
    <w:rsid w:val="00F03CED"/>
    <w:rsid w:val="00F03EAF"/>
    <w:rsid w:val="00F04043"/>
    <w:rsid w:val="00F0413D"/>
    <w:rsid w:val="00F0436D"/>
    <w:rsid w:val="00F04499"/>
    <w:rsid w:val="00F045C1"/>
    <w:rsid w:val="00F04792"/>
    <w:rsid w:val="00F047B7"/>
    <w:rsid w:val="00F047C5"/>
    <w:rsid w:val="00F04890"/>
    <w:rsid w:val="00F049B4"/>
    <w:rsid w:val="00F04ACA"/>
    <w:rsid w:val="00F04F4D"/>
    <w:rsid w:val="00F04F75"/>
    <w:rsid w:val="00F04FC5"/>
    <w:rsid w:val="00F04FCA"/>
    <w:rsid w:val="00F04FEA"/>
    <w:rsid w:val="00F050D5"/>
    <w:rsid w:val="00F051F0"/>
    <w:rsid w:val="00F0525C"/>
    <w:rsid w:val="00F053A4"/>
    <w:rsid w:val="00F054A4"/>
    <w:rsid w:val="00F054B3"/>
    <w:rsid w:val="00F05528"/>
    <w:rsid w:val="00F055EA"/>
    <w:rsid w:val="00F056FD"/>
    <w:rsid w:val="00F058DC"/>
    <w:rsid w:val="00F0592B"/>
    <w:rsid w:val="00F05962"/>
    <w:rsid w:val="00F05A6B"/>
    <w:rsid w:val="00F05B83"/>
    <w:rsid w:val="00F05BF3"/>
    <w:rsid w:val="00F05C77"/>
    <w:rsid w:val="00F05CE7"/>
    <w:rsid w:val="00F05EE4"/>
    <w:rsid w:val="00F05F5A"/>
    <w:rsid w:val="00F05FFC"/>
    <w:rsid w:val="00F0606C"/>
    <w:rsid w:val="00F06113"/>
    <w:rsid w:val="00F0611C"/>
    <w:rsid w:val="00F0612E"/>
    <w:rsid w:val="00F06232"/>
    <w:rsid w:val="00F06254"/>
    <w:rsid w:val="00F06458"/>
    <w:rsid w:val="00F0649F"/>
    <w:rsid w:val="00F0660D"/>
    <w:rsid w:val="00F0669E"/>
    <w:rsid w:val="00F066E4"/>
    <w:rsid w:val="00F0674A"/>
    <w:rsid w:val="00F06782"/>
    <w:rsid w:val="00F0683D"/>
    <w:rsid w:val="00F06855"/>
    <w:rsid w:val="00F068F4"/>
    <w:rsid w:val="00F068FD"/>
    <w:rsid w:val="00F069B6"/>
    <w:rsid w:val="00F06A70"/>
    <w:rsid w:val="00F06B70"/>
    <w:rsid w:val="00F06B72"/>
    <w:rsid w:val="00F06BA3"/>
    <w:rsid w:val="00F06C4C"/>
    <w:rsid w:val="00F06CB4"/>
    <w:rsid w:val="00F06CD2"/>
    <w:rsid w:val="00F06E4E"/>
    <w:rsid w:val="00F06ED7"/>
    <w:rsid w:val="00F06F5E"/>
    <w:rsid w:val="00F07082"/>
    <w:rsid w:val="00F07177"/>
    <w:rsid w:val="00F07198"/>
    <w:rsid w:val="00F071BB"/>
    <w:rsid w:val="00F0725B"/>
    <w:rsid w:val="00F0726D"/>
    <w:rsid w:val="00F0748F"/>
    <w:rsid w:val="00F0750B"/>
    <w:rsid w:val="00F0751A"/>
    <w:rsid w:val="00F0752F"/>
    <w:rsid w:val="00F0757C"/>
    <w:rsid w:val="00F07596"/>
    <w:rsid w:val="00F0776B"/>
    <w:rsid w:val="00F07783"/>
    <w:rsid w:val="00F07A86"/>
    <w:rsid w:val="00F07DDB"/>
    <w:rsid w:val="00F07E77"/>
    <w:rsid w:val="00F07F4E"/>
    <w:rsid w:val="00F1002D"/>
    <w:rsid w:val="00F10298"/>
    <w:rsid w:val="00F102A8"/>
    <w:rsid w:val="00F102DD"/>
    <w:rsid w:val="00F102F0"/>
    <w:rsid w:val="00F103C2"/>
    <w:rsid w:val="00F1040F"/>
    <w:rsid w:val="00F10413"/>
    <w:rsid w:val="00F1041C"/>
    <w:rsid w:val="00F10548"/>
    <w:rsid w:val="00F10666"/>
    <w:rsid w:val="00F10803"/>
    <w:rsid w:val="00F1081E"/>
    <w:rsid w:val="00F10902"/>
    <w:rsid w:val="00F109EE"/>
    <w:rsid w:val="00F10A6F"/>
    <w:rsid w:val="00F10AFC"/>
    <w:rsid w:val="00F10B1E"/>
    <w:rsid w:val="00F10D04"/>
    <w:rsid w:val="00F10DD4"/>
    <w:rsid w:val="00F10F51"/>
    <w:rsid w:val="00F11000"/>
    <w:rsid w:val="00F110B9"/>
    <w:rsid w:val="00F110C3"/>
    <w:rsid w:val="00F110F2"/>
    <w:rsid w:val="00F112D7"/>
    <w:rsid w:val="00F1141F"/>
    <w:rsid w:val="00F114A0"/>
    <w:rsid w:val="00F114EB"/>
    <w:rsid w:val="00F11538"/>
    <w:rsid w:val="00F115FC"/>
    <w:rsid w:val="00F11648"/>
    <w:rsid w:val="00F1175E"/>
    <w:rsid w:val="00F1188D"/>
    <w:rsid w:val="00F119C0"/>
    <w:rsid w:val="00F11A5C"/>
    <w:rsid w:val="00F11A66"/>
    <w:rsid w:val="00F11AFD"/>
    <w:rsid w:val="00F11C52"/>
    <w:rsid w:val="00F11D4D"/>
    <w:rsid w:val="00F11D8C"/>
    <w:rsid w:val="00F11EFB"/>
    <w:rsid w:val="00F12048"/>
    <w:rsid w:val="00F121B3"/>
    <w:rsid w:val="00F12239"/>
    <w:rsid w:val="00F123EA"/>
    <w:rsid w:val="00F12423"/>
    <w:rsid w:val="00F124CB"/>
    <w:rsid w:val="00F12524"/>
    <w:rsid w:val="00F12542"/>
    <w:rsid w:val="00F1258D"/>
    <w:rsid w:val="00F1265F"/>
    <w:rsid w:val="00F12706"/>
    <w:rsid w:val="00F127DD"/>
    <w:rsid w:val="00F129D8"/>
    <w:rsid w:val="00F12A83"/>
    <w:rsid w:val="00F12A89"/>
    <w:rsid w:val="00F12A98"/>
    <w:rsid w:val="00F12B37"/>
    <w:rsid w:val="00F12BF6"/>
    <w:rsid w:val="00F12D1F"/>
    <w:rsid w:val="00F12DA6"/>
    <w:rsid w:val="00F12DE9"/>
    <w:rsid w:val="00F12E2B"/>
    <w:rsid w:val="00F13038"/>
    <w:rsid w:val="00F132A3"/>
    <w:rsid w:val="00F132A5"/>
    <w:rsid w:val="00F13398"/>
    <w:rsid w:val="00F133E4"/>
    <w:rsid w:val="00F13541"/>
    <w:rsid w:val="00F139FC"/>
    <w:rsid w:val="00F13BFB"/>
    <w:rsid w:val="00F13C12"/>
    <w:rsid w:val="00F13C34"/>
    <w:rsid w:val="00F13E35"/>
    <w:rsid w:val="00F13EFF"/>
    <w:rsid w:val="00F1403B"/>
    <w:rsid w:val="00F140BA"/>
    <w:rsid w:val="00F1439B"/>
    <w:rsid w:val="00F14407"/>
    <w:rsid w:val="00F1483B"/>
    <w:rsid w:val="00F1486F"/>
    <w:rsid w:val="00F148C9"/>
    <w:rsid w:val="00F14914"/>
    <w:rsid w:val="00F14982"/>
    <w:rsid w:val="00F14B31"/>
    <w:rsid w:val="00F14B8F"/>
    <w:rsid w:val="00F14C4F"/>
    <w:rsid w:val="00F14D49"/>
    <w:rsid w:val="00F14DEC"/>
    <w:rsid w:val="00F14E9A"/>
    <w:rsid w:val="00F14EF6"/>
    <w:rsid w:val="00F15028"/>
    <w:rsid w:val="00F1505F"/>
    <w:rsid w:val="00F150BE"/>
    <w:rsid w:val="00F15159"/>
    <w:rsid w:val="00F1518C"/>
    <w:rsid w:val="00F15217"/>
    <w:rsid w:val="00F1529C"/>
    <w:rsid w:val="00F152D7"/>
    <w:rsid w:val="00F152EB"/>
    <w:rsid w:val="00F15522"/>
    <w:rsid w:val="00F15586"/>
    <w:rsid w:val="00F155FC"/>
    <w:rsid w:val="00F15663"/>
    <w:rsid w:val="00F15668"/>
    <w:rsid w:val="00F1573A"/>
    <w:rsid w:val="00F157FC"/>
    <w:rsid w:val="00F1581F"/>
    <w:rsid w:val="00F1585E"/>
    <w:rsid w:val="00F158D3"/>
    <w:rsid w:val="00F159DA"/>
    <w:rsid w:val="00F15ACC"/>
    <w:rsid w:val="00F15C5B"/>
    <w:rsid w:val="00F15CD2"/>
    <w:rsid w:val="00F15CD6"/>
    <w:rsid w:val="00F15D50"/>
    <w:rsid w:val="00F15D94"/>
    <w:rsid w:val="00F15DCA"/>
    <w:rsid w:val="00F15DFA"/>
    <w:rsid w:val="00F15E42"/>
    <w:rsid w:val="00F15EAC"/>
    <w:rsid w:val="00F15F2A"/>
    <w:rsid w:val="00F160B1"/>
    <w:rsid w:val="00F16150"/>
    <w:rsid w:val="00F1629F"/>
    <w:rsid w:val="00F163A3"/>
    <w:rsid w:val="00F16453"/>
    <w:rsid w:val="00F16656"/>
    <w:rsid w:val="00F166A3"/>
    <w:rsid w:val="00F1670E"/>
    <w:rsid w:val="00F1670F"/>
    <w:rsid w:val="00F167DD"/>
    <w:rsid w:val="00F167F3"/>
    <w:rsid w:val="00F1696D"/>
    <w:rsid w:val="00F169A6"/>
    <w:rsid w:val="00F169F3"/>
    <w:rsid w:val="00F16B03"/>
    <w:rsid w:val="00F16B85"/>
    <w:rsid w:val="00F16DC9"/>
    <w:rsid w:val="00F17114"/>
    <w:rsid w:val="00F1715B"/>
    <w:rsid w:val="00F17170"/>
    <w:rsid w:val="00F171BC"/>
    <w:rsid w:val="00F171E1"/>
    <w:rsid w:val="00F1722A"/>
    <w:rsid w:val="00F17394"/>
    <w:rsid w:val="00F173BA"/>
    <w:rsid w:val="00F173CD"/>
    <w:rsid w:val="00F174B3"/>
    <w:rsid w:val="00F174DE"/>
    <w:rsid w:val="00F17548"/>
    <w:rsid w:val="00F17A11"/>
    <w:rsid w:val="00F17B30"/>
    <w:rsid w:val="00F17BDA"/>
    <w:rsid w:val="00F17C1E"/>
    <w:rsid w:val="00F17D68"/>
    <w:rsid w:val="00F17E0F"/>
    <w:rsid w:val="00F17EB4"/>
    <w:rsid w:val="00F17FD9"/>
    <w:rsid w:val="00F20029"/>
    <w:rsid w:val="00F200A6"/>
    <w:rsid w:val="00F203C7"/>
    <w:rsid w:val="00F203DB"/>
    <w:rsid w:val="00F204A7"/>
    <w:rsid w:val="00F204A9"/>
    <w:rsid w:val="00F2058F"/>
    <w:rsid w:val="00F205D8"/>
    <w:rsid w:val="00F205DA"/>
    <w:rsid w:val="00F20604"/>
    <w:rsid w:val="00F20701"/>
    <w:rsid w:val="00F2074A"/>
    <w:rsid w:val="00F20761"/>
    <w:rsid w:val="00F20887"/>
    <w:rsid w:val="00F20893"/>
    <w:rsid w:val="00F208A6"/>
    <w:rsid w:val="00F20B3B"/>
    <w:rsid w:val="00F20CB1"/>
    <w:rsid w:val="00F20D00"/>
    <w:rsid w:val="00F20DA6"/>
    <w:rsid w:val="00F20ECD"/>
    <w:rsid w:val="00F2100F"/>
    <w:rsid w:val="00F21148"/>
    <w:rsid w:val="00F2116C"/>
    <w:rsid w:val="00F2139B"/>
    <w:rsid w:val="00F21958"/>
    <w:rsid w:val="00F219C8"/>
    <w:rsid w:val="00F21A1B"/>
    <w:rsid w:val="00F21A50"/>
    <w:rsid w:val="00F21A98"/>
    <w:rsid w:val="00F21AA2"/>
    <w:rsid w:val="00F21B8D"/>
    <w:rsid w:val="00F21BBF"/>
    <w:rsid w:val="00F21C0A"/>
    <w:rsid w:val="00F21C81"/>
    <w:rsid w:val="00F21D3C"/>
    <w:rsid w:val="00F21DE3"/>
    <w:rsid w:val="00F21EA8"/>
    <w:rsid w:val="00F21EEE"/>
    <w:rsid w:val="00F21F25"/>
    <w:rsid w:val="00F21F9F"/>
    <w:rsid w:val="00F2200F"/>
    <w:rsid w:val="00F22133"/>
    <w:rsid w:val="00F22257"/>
    <w:rsid w:val="00F2228C"/>
    <w:rsid w:val="00F22320"/>
    <w:rsid w:val="00F2248D"/>
    <w:rsid w:val="00F22626"/>
    <w:rsid w:val="00F2262B"/>
    <w:rsid w:val="00F22638"/>
    <w:rsid w:val="00F22674"/>
    <w:rsid w:val="00F2270E"/>
    <w:rsid w:val="00F22778"/>
    <w:rsid w:val="00F227E2"/>
    <w:rsid w:val="00F227EE"/>
    <w:rsid w:val="00F22A7B"/>
    <w:rsid w:val="00F22B0B"/>
    <w:rsid w:val="00F22B34"/>
    <w:rsid w:val="00F22B9E"/>
    <w:rsid w:val="00F22C85"/>
    <w:rsid w:val="00F22C96"/>
    <w:rsid w:val="00F22D05"/>
    <w:rsid w:val="00F22EE2"/>
    <w:rsid w:val="00F22F4A"/>
    <w:rsid w:val="00F230AA"/>
    <w:rsid w:val="00F230BC"/>
    <w:rsid w:val="00F2316F"/>
    <w:rsid w:val="00F23275"/>
    <w:rsid w:val="00F2344E"/>
    <w:rsid w:val="00F23490"/>
    <w:rsid w:val="00F2358E"/>
    <w:rsid w:val="00F236A0"/>
    <w:rsid w:val="00F236C2"/>
    <w:rsid w:val="00F2370E"/>
    <w:rsid w:val="00F23737"/>
    <w:rsid w:val="00F2389C"/>
    <w:rsid w:val="00F23BAC"/>
    <w:rsid w:val="00F23BCF"/>
    <w:rsid w:val="00F23BDE"/>
    <w:rsid w:val="00F23BFF"/>
    <w:rsid w:val="00F23CA2"/>
    <w:rsid w:val="00F23D6F"/>
    <w:rsid w:val="00F23D75"/>
    <w:rsid w:val="00F23D7F"/>
    <w:rsid w:val="00F2406E"/>
    <w:rsid w:val="00F240C6"/>
    <w:rsid w:val="00F24137"/>
    <w:rsid w:val="00F241E2"/>
    <w:rsid w:val="00F24472"/>
    <w:rsid w:val="00F244EE"/>
    <w:rsid w:val="00F24502"/>
    <w:rsid w:val="00F24778"/>
    <w:rsid w:val="00F24B1F"/>
    <w:rsid w:val="00F24B57"/>
    <w:rsid w:val="00F24B66"/>
    <w:rsid w:val="00F24BDD"/>
    <w:rsid w:val="00F24C88"/>
    <w:rsid w:val="00F24F79"/>
    <w:rsid w:val="00F24FC3"/>
    <w:rsid w:val="00F2504D"/>
    <w:rsid w:val="00F25199"/>
    <w:rsid w:val="00F251ED"/>
    <w:rsid w:val="00F252AB"/>
    <w:rsid w:val="00F25416"/>
    <w:rsid w:val="00F2546A"/>
    <w:rsid w:val="00F254BA"/>
    <w:rsid w:val="00F254D5"/>
    <w:rsid w:val="00F2553C"/>
    <w:rsid w:val="00F2577D"/>
    <w:rsid w:val="00F2585B"/>
    <w:rsid w:val="00F258A0"/>
    <w:rsid w:val="00F259E5"/>
    <w:rsid w:val="00F259F4"/>
    <w:rsid w:val="00F25A75"/>
    <w:rsid w:val="00F25A98"/>
    <w:rsid w:val="00F25AAB"/>
    <w:rsid w:val="00F25BB2"/>
    <w:rsid w:val="00F25CED"/>
    <w:rsid w:val="00F25D80"/>
    <w:rsid w:val="00F25EBB"/>
    <w:rsid w:val="00F25F30"/>
    <w:rsid w:val="00F2604C"/>
    <w:rsid w:val="00F2611B"/>
    <w:rsid w:val="00F26149"/>
    <w:rsid w:val="00F261E8"/>
    <w:rsid w:val="00F262E6"/>
    <w:rsid w:val="00F26304"/>
    <w:rsid w:val="00F263D0"/>
    <w:rsid w:val="00F264FF"/>
    <w:rsid w:val="00F26564"/>
    <w:rsid w:val="00F2658F"/>
    <w:rsid w:val="00F266CC"/>
    <w:rsid w:val="00F26811"/>
    <w:rsid w:val="00F2687D"/>
    <w:rsid w:val="00F268C5"/>
    <w:rsid w:val="00F2693A"/>
    <w:rsid w:val="00F26971"/>
    <w:rsid w:val="00F269EA"/>
    <w:rsid w:val="00F269EF"/>
    <w:rsid w:val="00F26A21"/>
    <w:rsid w:val="00F26A5D"/>
    <w:rsid w:val="00F26A88"/>
    <w:rsid w:val="00F26B0E"/>
    <w:rsid w:val="00F26BA1"/>
    <w:rsid w:val="00F26BB1"/>
    <w:rsid w:val="00F26BD6"/>
    <w:rsid w:val="00F26BF7"/>
    <w:rsid w:val="00F26D14"/>
    <w:rsid w:val="00F26D1C"/>
    <w:rsid w:val="00F26E03"/>
    <w:rsid w:val="00F26E8E"/>
    <w:rsid w:val="00F26FA6"/>
    <w:rsid w:val="00F26FEB"/>
    <w:rsid w:val="00F2702C"/>
    <w:rsid w:val="00F271FE"/>
    <w:rsid w:val="00F272E7"/>
    <w:rsid w:val="00F273BA"/>
    <w:rsid w:val="00F27553"/>
    <w:rsid w:val="00F276C2"/>
    <w:rsid w:val="00F278B2"/>
    <w:rsid w:val="00F2793A"/>
    <w:rsid w:val="00F2796D"/>
    <w:rsid w:val="00F27A47"/>
    <w:rsid w:val="00F27A54"/>
    <w:rsid w:val="00F27B21"/>
    <w:rsid w:val="00F27B29"/>
    <w:rsid w:val="00F27B34"/>
    <w:rsid w:val="00F27B60"/>
    <w:rsid w:val="00F27B88"/>
    <w:rsid w:val="00F27B8D"/>
    <w:rsid w:val="00F27CF3"/>
    <w:rsid w:val="00F27EA8"/>
    <w:rsid w:val="00F27F39"/>
    <w:rsid w:val="00F27F86"/>
    <w:rsid w:val="00F300CF"/>
    <w:rsid w:val="00F30169"/>
    <w:rsid w:val="00F3028B"/>
    <w:rsid w:val="00F303F4"/>
    <w:rsid w:val="00F304A1"/>
    <w:rsid w:val="00F3062F"/>
    <w:rsid w:val="00F306B4"/>
    <w:rsid w:val="00F306D0"/>
    <w:rsid w:val="00F30779"/>
    <w:rsid w:val="00F30855"/>
    <w:rsid w:val="00F308A7"/>
    <w:rsid w:val="00F309C1"/>
    <w:rsid w:val="00F309DE"/>
    <w:rsid w:val="00F309EE"/>
    <w:rsid w:val="00F30A72"/>
    <w:rsid w:val="00F30B51"/>
    <w:rsid w:val="00F30B74"/>
    <w:rsid w:val="00F30CD0"/>
    <w:rsid w:val="00F30CEB"/>
    <w:rsid w:val="00F30D0C"/>
    <w:rsid w:val="00F30D37"/>
    <w:rsid w:val="00F30DD8"/>
    <w:rsid w:val="00F30F51"/>
    <w:rsid w:val="00F31008"/>
    <w:rsid w:val="00F31018"/>
    <w:rsid w:val="00F31114"/>
    <w:rsid w:val="00F31129"/>
    <w:rsid w:val="00F31147"/>
    <w:rsid w:val="00F31189"/>
    <w:rsid w:val="00F313F7"/>
    <w:rsid w:val="00F31517"/>
    <w:rsid w:val="00F31644"/>
    <w:rsid w:val="00F316D0"/>
    <w:rsid w:val="00F3172C"/>
    <w:rsid w:val="00F317CD"/>
    <w:rsid w:val="00F31811"/>
    <w:rsid w:val="00F31825"/>
    <w:rsid w:val="00F31836"/>
    <w:rsid w:val="00F3185E"/>
    <w:rsid w:val="00F31A07"/>
    <w:rsid w:val="00F31A94"/>
    <w:rsid w:val="00F31BEC"/>
    <w:rsid w:val="00F31CB1"/>
    <w:rsid w:val="00F31CFE"/>
    <w:rsid w:val="00F320F5"/>
    <w:rsid w:val="00F3211A"/>
    <w:rsid w:val="00F322CC"/>
    <w:rsid w:val="00F3234C"/>
    <w:rsid w:val="00F3235F"/>
    <w:rsid w:val="00F324B1"/>
    <w:rsid w:val="00F32512"/>
    <w:rsid w:val="00F325AA"/>
    <w:rsid w:val="00F326EA"/>
    <w:rsid w:val="00F327FB"/>
    <w:rsid w:val="00F32831"/>
    <w:rsid w:val="00F32A3D"/>
    <w:rsid w:val="00F32A57"/>
    <w:rsid w:val="00F32A58"/>
    <w:rsid w:val="00F32AE2"/>
    <w:rsid w:val="00F32C3F"/>
    <w:rsid w:val="00F32C48"/>
    <w:rsid w:val="00F32C9C"/>
    <w:rsid w:val="00F32D5B"/>
    <w:rsid w:val="00F32DB7"/>
    <w:rsid w:val="00F32E2F"/>
    <w:rsid w:val="00F32F2D"/>
    <w:rsid w:val="00F32F82"/>
    <w:rsid w:val="00F33045"/>
    <w:rsid w:val="00F33051"/>
    <w:rsid w:val="00F330EA"/>
    <w:rsid w:val="00F33121"/>
    <w:rsid w:val="00F3312E"/>
    <w:rsid w:val="00F3314D"/>
    <w:rsid w:val="00F331D0"/>
    <w:rsid w:val="00F33394"/>
    <w:rsid w:val="00F33464"/>
    <w:rsid w:val="00F33675"/>
    <w:rsid w:val="00F33677"/>
    <w:rsid w:val="00F336D2"/>
    <w:rsid w:val="00F337B7"/>
    <w:rsid w:val="00F33970"/>
    <w:rsid w:val="00F339E9"/>
    <w:rsid w:val="00F33BD7"/>
    <w:rsid w:val="00F33C43"/>
    <w:rsid w:val="00F33CE2"/>
    <w:rsid w:val="00F33DAF"/>
    <w:rsid w:val="00F33F8C"/>
    <w:rsid w:val="00F3412D"/>
    <w:rsid w:val="00F34198"/>
    <w:rsid w:val="00F3426F"/>
    <w:rsid w:val="00F342E3"/>
    <w:rsid w:val="00F344BE"/>
    <w:rsid w:val="00F3481A"/>
    <w:rsid w:val="00F34865"/>
    <w:rsid w:val="00F34ABE"/>
    <w:rsid w:val="00F34B4E"/>
    <w:rsid w:val="00F34B5D"/>
    <w:rsid w:val="00F34B8B"/>
    <w:rsid w:val="00F34C99"/>
    <w:rsid w:val="00F34DFE"/>
    <w:rsid w:val="00F35016"/>
    <w:rsid w:val="00F350B5"/>
    <w:rsid w:val="00F350E0"/>
    <w:rsid w:val="00F350EE"/>
    <w:rsid w:val="00F3511F"/>
    <w:rsid w:val="00F35180"/>
    <w:rsid w:val="00F35185"/>
    <w:rsid w:val="00F352A4"/>
    <w:rsid w:val="00F352BC"/>
    <w:rsid w:val="00F35394"/>
    <w:rsid w:val="00F353AD"/>
    <w:rsid w:val="00F35442"/>
    <w:rsid w:val="00F35483"/>
    <w:rsid w:val="00F3549D"/>
    <w:rsid w:val="00F355ED"/>
    <w:rsid w:val="00F3569D"/>
    <w:rsid w:val="00F356B3"/>
    <w:rsid w:val="00F3577D"/>
    <w:rsid w:val="00F357D2"/>
    <w:rsid w:val="00F357D9"/>
    <w:rsid w:val="00F35929"/>
    <w:rsid w:val="00F35A10"/>
    <w:rsid w:val="00F35B19"/>
    <w:rsid w:val="00F35B34"/>
    <w:rsid w:val="00F35C2C"/>
    <w:rsid w:val="00F35C51"/>
    <w:rsid w:val="00F35C7F"/>
    <w:rsid w:val="00F35DE5"/>
    <w:rsid w:val="00F35E0A"/>
    <w:rsid w:val="00F35FBF"/>
    <w:rsid w:val="00F36038"/>
    <w:rsid w:val="00F36113"/>
    <w:rsid w:val="00F3611C"/>
    <w:rsid w:val="00F3621A"/>
    <w:rsid w:val="00F3628B"/>
    <w:rsid w:val="00F36390"/>
    <w:rsid w:val="00F363BF"/>
    <w:rsid w:val="00F36410"/>
    <w:rsid w:val="00F364C8"/>
    <w:rsid w:val="00F36583"/>
    <w:rsid w:val="00F365C8"/>
    <w:rsid w:val="00F365D7"/>
    <w:rsid w:val="00F366B0"/>
    <w:rsid w:val="00F366CF"/>
    <w:rsid w:val="00F366E5"/>
    <w:rsid w:val="00F3688A"/>
    <w:rsid w:val="00F3691F"/>
    <w:rsid w:val="00F36944"/>
    <w:rsid w:val="00F36A03"/>
    <w:rsid w:val="00F36A6F"/>
    <w:rsid w:val="00F36ACE"/>
    <w:rsid w:val="00F36AD5"/>
    <w:rsid w:val="00F36B69"/>
    <w:rsid w:val="00F36F4D"/>
    <w:rsid w:val="00F36F67"/>
    <w:rsid w:val="00F36FCE"/>
    <w:rsid w:val="00F36FF2"/>
    <w:rsid w:val="00F37019"/>
    <w:rsid w:val="00F37038"/>
    <w:rsid w:val="00F371AA"/>
    <w:rsid w:val="00F37279"/>
    <w:rsid w:val="00F3727D"/>
    <w:rsid w:val="00F374B9"/>
    <w:rsid w:val="00F3756D"/>
    <w:rsid w:val="00F37676"/>
    <w:rsid w:val="00F3794F"/>
    <w:rsid w:val="00F37999"/>
    <w:rsid w:val="00F37A4A"/>
    <w:rsid w:val="00F37AA8"/>
    <w:rsid w:val="00F37B15"/>
    <w:rsid w:val="00F37B7B"/>
    <w:rsid w:val="00F37BD9"/>
    <w:rsid w:val="00F37C61"/>
    <w:rsid w:val="00F37CDE"/>
    <w:rsid w:val="00F37ECC"/>
    <w:rsid w:val="00F37F4B"/>
    <w:rsid w:val="00F37FCF"/>
    <w:rsid w:val="00F4003F"/>
    <w:rsid w:val="00F401A2"/>
    <w:rsid w:val="00F401C4"/>
    <w:rsid w:val="00F404D1"/>
    <w:rsid w:val="00F40549"/>
    <w:rsid w:val="00F40599"/>
    <w:rsid w:val="00F405D3"/>
    <w:rsid w:val="00F407A5"/>
    <w:rsid w:val="00F408F2"/>
    <w:rsid w:val="00F409E0"/>
    <w:rsid w:val="00F40A07"/>
    <w:rsid w:val="00F40A58"/>
    <w:rsid w:val="00F40ABE"/>
    <w:rsid w:val="00F40AD1"/>
    <w:rsid w:val="00F40AE0"/>
    <w:rsid w:val="00F40C07"/>
    <w:rsid w:val="00F40C8D"/>
    <w:rsid w:val="00F40D25"/>
    <w:rsid w:val="00F40E2F"/>
    <w:rsid w:val="00F40E62"/>
    <w:rsid w:val="00F40EAA"/>
    <w:rsid w:val="00F40ED0"/>
    <w:rsid w:val="00F4100E"/>
    <w:rsid w:val="00F4111B"/>
    <w:rsid w:val="00F41222"/>
    <w:rsid w:val="00F414A7"/>
    <w:rsid w:val="00F414AC"/>
    <w:rsid w:val="00F4151A"/>
    <w:rsid w:val="00F4151C"/>
    <w:rsid w:val="00F41532"/>
    <w:rsid w:val="00F41693"/>
    <w:rsid w:val="00F416FC"/>
    <w:rsid w:val="00F416FE"/>
    <w:rsid w:val="00F4171A"/>
    <w:rsid w:val="00F41777"/>
    <w:rsid w:val="00F417B3"/>
    <w:rsid w:val="00F417BC"/>
    <w:rsid w:val="00F41A9B"/>
    <w:rsid w:val="00F41BFF"/>
    <w:rsid w:val="00F41DC4"/>
    <w:rsid w:val="00F41EA0"/>
    <w:rsid w:val="00F42213"/>
    <w:rsid w:val="00F42232"/>
    <w:rsid w:val="00F422D4"/>
    <w:rsid w:val="00F42316"/>
    <w:rsid w:val="00F423B6"/>
    <w:rsid w:val="00F423C3"/>
    <w:rsid w:val="00F4245E"/>
    <w:rsid w:val="00F425DF"/>
    <w:rsid w:val="00F4270E"/>
    <w:rsid w:val="00F4274B"/>
    <w:rsid w:val="00F4276A"/>
    <w:rsid w:val="00F427DD"/>
    <w:rsid w:val="00F42880"/>
    <w:rsid w:val="00F4290E"/>
    <w:rsid w:val="00F42A0E"/>
    <w:rsid w:val="00F42B54"/>
    <w:rsid w:val="00F42C52"/>
    <w:rsid w:val="00F42CE0"/>
    <w:rsid w:val="00F42D0F"/>
    <w:rsid w:val="00F42D8E"/>
    <w:rsid w:val="00F42E96"/>
    <w:rsid w:val="00F42EB4"/>
    <w:rsid w:val="00F43073"/>
    <w:rsid w:val="00F43372"/>
    <w:rsid w:val="00F4346D"/>
    <w:rsid w:val="00F43527"/>
    <w:rsid w:val="00F436E7"/>
    <w:rsid w:val="00F438A0"/>
    <w:rsid w:val="00F439BE"/>
    <w:rsid w:val="00F43A5A"/>
    <w:rsid w:val="00F43B11"/>
    <w:rsid w:val="00F43E27"/>
    <w:rsid w:val="00F43EE0"/>
    <w:rsid w:val="00F43EEC"/>
    <w:rsid w:val="00F43F5F"/>
    <w:rsid w:val="00F43FED"/>
    <w:rsid w:val="00F44223"/>
    <w:rsid w:val="00F4426B"/>
    <w:rsid w:val="00F442A7"/>
    <w:rsid w:val="00F442BE"/>
    <w:rsid w:val="00F443B2"/>
    <w:rsid w:val="00F44522"/>
    <w:rsid w:val="00F445CB"/>
    <w:rsid w:val="00F4460F"/>
    <w:rsid w:val="00F44656"/>
    <w:rsid w:val="00F446B3"/>
    <w:rsid w:val="00F4477A"/>
    <w:rsid w:val="00F449E0"/>
    <w:rsid w:val="00F44A88"/>
    <w:rsid w:val="00F44CAD"/>
    <w:rsid w:val="00F44CB1"/>
    <w:rsid w:val="00F44D46"/>
    <w:rsid w:val="00F44DCA"/>
    <w:rsid w:val="00F44DD5"/>
    <w:rsid w:val="00F44ECA"/>
    <w:rsid w:val="00F44F23"/>
    <w:rsid w:val="00F45000"/>
    <w:rsid w:val="00F45038"/>
    <w:rsid w:val="00F4509B"/>
    <w:rsid w:val="00F451BD"/>
    <w:rsid w:val="00F452D4"/>
    <w:rsid w:val="00F45320"/>
    <w:rsid w:val="00F453B3"/>
    <w:rsid w:val="00F4540E"/>
    <w:rsid w:val="00F45431"/>
    <w:rsid w:val="00F454F9"/>
    <w:rsid w:val="00F45529"/>
    <w:rsid w:val="00F4555F"/>
    <w:rsid w:val="00F45579"/>
    <w:rsid w:val="00F458D3"/>
    <w:rsid w:val="00F45982"/>
    <w:rsid w:val="00F45A9A"/>
    <w:rsid w:val="00F45AA5"/>
    <w:rsid w:val="00F45B1F"/>
    <w:rsid w:val="00F45C80"/>
    <w:rsid w:val="00F45D53"/>
    <w:rsid w:val="00F45E05"/>
    <w:rsid w:val="00F45E08"/>
    <w:rsid w:val="00F45E93"/>
    <w:rsid w:val="00F4601A"/>
    <w:rsid w:val="00F4606B"/>
    <w:rsid w:val="00F46087"/>
    <w:rsid w:val="00F460C2"/>
    <w:rsid w:val="00F460C7"/>
    <w:rsid w:val="00F46153"/>
    <w:rsid w:val="00F46240"/>
    <w:rsid w:val="00F4642A"/>
    <w:rsid w:val="00F46499"/>
    <w:rsid w:val="00F46530"/>
    <w:rsid w:val="00F465D4"/>
    <w:rsid w:val="00F46695"/>
    <w:rsid w:val="00F466FD"/>
    <w:rsid w:val="00F467F2"/>
    <w:rsid w:val="00F46897"/>
    <w:rsid w:val="00F4690C"/>
    <w:rsid w:val="00F469FC"/>
    <w:rsid w:val="00F46ACE"/>
    <w:rsid w:val="00F46B6B"/>
    <w:rsid w:val="00F46B7B"/>
    <w:rsid w:val="00F46CAB"/>
    <w:rsid w:val="00F46D87"/>
    <w:rsid w:val="00F46E6D"/>
    <w:rsid w:val="00F46F12"/>
    <w:rsid w:val="00F470AC"/>
    <w:rsid w:val="00F4716D"/>
    <w:rsid w:val="00F47313"/>
    <w:rsid w:val="00F4733D"/>
    <w:rsid w:val="00F4741F"/>
    <w:rsid w:val="00F474DA"/>
    <w:rsid w:val="00F475CB"/>
    <w:rsid w:val="00F475ED"/>
    <w:rsid w:val="00F47613"/>
    <w:rsid w:val="00F47754"/>
    <w:rsid w:val="00F47775"/>
    <w:rsid w:val="00F477BE"/>
    <w:rsid w:val="00F477FD"/>
    <w:rsid w:val="00F478C4"/>
    <w:rsid w:val="00F47920"/>
    <w:rsid w:val="00F47AD3"/>
    <w:rsid w:val="00F47AE5"/>
    <w:rsid w:val="00F47BCC"/>
    <w:rsid w:val="00F47C41"/>
    <w:rsid w:val="00F47D65"/>
    <w:rsid w:val="00F47D85"/>
    <w:rsid w:val="00F47D96"/>
    <w:rsid w:val="00F47DD0"/>
    <w:rsid w:val="00F47F6C"/>
    <w:rsid w:val="00F47FBC"/>
    <w:rsid w:val="00F47FCD"/>
    <w:rsid w:val="00F5006A"/>
    <w:rsid w:val="00F50098"/>
    <w:rsid w:val="00F500AE"/>
    <w:rsid w:val="00F50388"/>
    <w:rsid w:val="00F50426"/>
    <w:rsid w:val="00F5043C"/>
    <w:rsid w:val="00F50658"/>
    <w:rsid w:val="00F50838"/>
    <w:rsid w:val="00F50865"/>
    <w:rsid w:val="00F50881"/>
    <w:rsid w:val="00F508D4"/>
    <w:rsid w:val="00F508FD"/>
    <w:rsid w:val="00F50B25"/>
    <w:rsid w:val="00F50E17"/>
    <w:rsid w:val="00F50E9D"/>
    <w:rsid w:val="00F50F75"/>
    <w:rsid w:val="00F510A8"/>
    <w:rsid w:val="00F5111C"/>
    <w:rsid w:val="00F5116F"/>
    <w:rsid w:val="00F51200"/>
    <w:rsid w:val="00F512B1"/>
    <w:rsid w:val="00F5159B"/>
    <w:rsid w:val="00F515E6"/>
    <w:rsid w:val="00F51A23"/>
    <w:rsid w:val="00F51A24"/>
    <w:rsid w:val="00F51A43"/>
    <w:rsid w:val="00F51ACC"/>
    <w:rsid w:val="00F51B4D"/>
    <w:rsid w:val="00F51B7D"/>
    <w:rsid w:val="00F51E73"/>
    <w:rsid w:val="00F51F08"/>
    <w:rsid w:val="00F520C4"/>
    <w:rsid w:val="00F5225E"/>
    <w:rsid w:val="00F52265"/>
    <w:rsid w:val="00F522D8"/>
    <w:rsid w:val="00F52318"/>
    <w:rsid w:val="00F52437"/>
    <w:rsid w:val="00F52462"/>
    <w:rsid w:val="00F5254D"/>
    <w:rsid w:val="00F52560"/>
    <w:rsid w:val="00F52653"/>
    <w:rsid w:val="00F52682"/>
    <w:rsid w:val="00F52797"/>
    <w:rsid w:val="00F527D6"/>
    <w:rsid w:val="00F528D6"/>
    <w:rsid w:val="00F528E9"/>
    <w:rsid w:val="00F52979"/>
    <w:rsid w:val="00F529AF"/>
    <w:rsid w:val="00F529E3"/>
    <w:rsid w:val="00F52A62"/>
    <w:rsid w:val="00F52A75"/>
    <w:rsid w:val="00F52C9B"/>
    <w:rsid w:val="00F52DDA"/>
    <w:rsid w:val="00F52E13"/>
    <w:rsid w:val="00F52EBE"/>
    <w:rsid w:val="00F52F9C"/>
    <w:rsid w:val="00F53068"/>
    <w:rsid w:val="00F530C9"/>
    <w:rsid w:val="00F53368"/>
    <w:rsid w:val="00F534ED"/>
    <w:rsid w:val="00F536B2"/>
    <w:rsid w:val="00F5372E"/>
    <w:rsid w:val="00F5381F"/>
    <w:rsid w:val="00F53860"/>
    <w:rsid w:val="00F5398A"/>
    <w:rsid w:val="00F539ED"/>
    <w:rsid w:val="00F53A5F"/>
    <w:rsid w:val="00F53B9F"/>
    <w:rsid w:val="00F53EA8"/>
    <w:rsid w:val="00F53F01"/>
    <w:rsid w:val="00F53F57"/>
    <w:rsid w:val="00F53F66"/>
    <w:rsid w:val="00F53F78"/>
    <w:rsid w:val="00F540B3"/>
    <w:rsid w:val="00F540BE"/>
    <w:rsid w:val="00F5418C"/>
    <w:rsid w:val="00F54276"/>
    <w:rsid w:val="00F5430C"/>
    <w:rsid w:val="00F5430E"/>
    <w:rsid w:val="00F5438B"/>
    <w:rsid w:val="00F54467"/>
    <w:rsid w:val="00F5447C"/>
    <w:rsid w:val="00F54484"/>
    <w:rsid w:val="00F544CC"/>
    <w:rsid w:val="00F5457A"/>
    <w:rsid w:val="00F546AD"/>
    <w:rsid w:val="00F546E3"/>
    <w:rsid w:val="00F54721"/>
    <w:rsid w:val="00F5476C"/>
    <w:rsid w:val="00F54852"/>
    <w:rsid w:val="00F54856"/>
    <w:rsid w:val="00F54919"/>
    <w:rsid w:val="00F54928"/>
    <w:rsid w:val="00F549EE"/>
    <w:rsid w:val="00F54A1D"/>
    <w:rsid w:val="00F54B85"/>
    <w:rsid w:val="00F54BB7"/>
    <w:rsid w:val="00F54CBC"/>
    <w:rsid w:val="00F54E55"/>
    <w:rsid w:val="00F54ED3"/>
    <w:rsid w:val="00F55019"/>
    <w:rsid w:val="00F55122"/>
    <w:rsid w:val="00F5513B"/>
    <w:rsid w:val="00F5516A"/>
    <w:rsid w:val="00F55315"/>
    <w:rsid w:val="00F553A0"/>
    <w:rsid w:val="00F55484"/>
    <w:rsid w:val="00F55525"/>
    <w:rsid w:val="00F556AD"/>
    <w:rsid w:val="00F556CA"/>
    <w:rsid w:val="00F55737"/>
    <w:rsid w:val="00F557E6"/>
    <w:rsid w:val="00F55841"/>
    <w:rsid w:val="00F55B13"/>
    <w:rsid w:val="00F55B20"/>
    <w:rsid w:val="00F55B70"/>
    <w:rsid w:val="00F55B86"/>
    <w:rsid w:val="00F55C9D"/>
    <w:rsid w:val="00F55D4C"/>
    <w:rsid w:val="00F55D6E"/>
    <w:rsid w:val="00F55E8B"/>
    <w:rsid w:val="00F55EC3"/>
    <w:rsid w:val="00F55F1A"/>
    <w:rsid w:val="00F56038"/>
    <w:rsid w:val="00F5609C"/>
    <w:rsid w:val="00F560AB"/>
    <w:rsid w:val="00F561B6"/>
    <w:rsid w:val="00F564AD"/>
    <w:rsid w:val="00F56676"/>
    <w:rsid w:val="00F56694"/>
    <w:rsid w:val="00F567ED"/>
    <w:rsid w:val="00F56850"/>
    <w:rsid w:val="00F568C0"/>
    <w:rsid w:val="00F56940"/>
    <w:rsid w:val="00F56A45"/>
    <w:rsid w:val="00F56A81"/>
    <w:rsid w:val="00F56CB1"/>
    <w:rsid w:val="00F56F69"/>
    <w:rsid w:val="00F56FD1"/>
    <w:rsid w:val="00F57077"/>
    <w:rsid w:val="00F570EF"/>
    <w:rsid w:val="00F571C7"/>
    <w:rsid w:val="00F57257"/>
    <w:rsid w:val="00F572CB"/>
    <w:rsid w:val="00F572DD"/>
    <w:rsid w:val="00F572DE"/>
    <w:rsid w:val="00F573C8"/>
    <w:rsid w:val="00F57427"/>
    <w:rsid w:val="00F57497"/>
    <w:rsid w:val="00F5749A"/>
    <w:rsid w:val="00F574DE"/>
    <w:rsid w:val="00F57570"/>
    <w:rsid w:val="00F575A1"/>
    <w:rsid w:val="00F57615"/>
    <w:rsid w:val="00F5763E"/>
    <w:rsid w:val="00F57655"/>
    <w:rsid w:val="00F57697"/>
    <w:rsid w:val="00F576AC"/>
    <w:rsid w:val="00F5774C"/>
    <w:rsid w:val="00F57773"/>
    <w:rsid w:val="00F577C4"/>
    <w:rsid w:val="00F5785B"/>
    <w:rsid w:val="00F57886"/>
    <w:rsid w:val="00F578C6"/>
    <w:rsid w:val="00F578D3"/>
    <w:rsid w:val="00F57901"/>
    <w:rsid w:val="00F57975"/>
    <w:rsid w:val="00F57A0D"/>
    <w:rsid w:val="00F57A53"/>
    <w:rsid w:val="00F57A7A"/>
    <w:rsid w:val="00F57B75"/>
    <w:rsid w:val="00F57E3D"/>
    <w:rsid w:val="00F57F05"/>
    <w:rsid w:val="00F600A3"/>
    <w:rsid w:val="00F6010E"/>
    <w:rsid w:val="00F6014F"/>
    <w:rsid w:val="00F60222"/>
    <w:rsid w:val="00F60275"/>
    <w:rsid w:val="00F602F5"/>
    <w:rsid w:val="00F60326"/>
    <w:rsid w:val="00F6043F"/>
    <w:rsid w:val="00F60507"/>
    <w:rsid w:val="00F6073A"/>
    <w:rsid w:val="00F6080D"/>
    <w:rsid w:val="00F60888"/>
    <w:rsid w:val="00F60C83"/>
    <w:rsid w:val="00F60CA9"/>
    <w:rsid w:val="00F60CBE"/>
    <w:rsid w:val="00F60E04"/>
    <w:rsid w:val="00F60F86"/>
    <w:rsid w:val="00F61367"/>
    <w:rsid w:val="00F6136B"/>
    <w:rsid w:val="00F617CB"/>
    <w:rsid w:val="00F6189F"/>
    <w:rsid w:val="00F618CF"/>
    <w:rsid w:val="00F619F4"/>
    <w:rsid w:val="00F61A1F"/>
    <w:rsid w:val="00F61A94"/>
    <w:rsid w:val="00F61ABA"/>
    <w:rsid w:val="00F61C17"/>
    <w:rsid w:val="00F61C1A"/>
    <w:rsid w:val="00F61C94"/>
    <w:rsid w:val="00F61D39"/>
    <w:rsid w:val="00F61D40"/>
    <w:rsid w:val="00F61DD1"/>
    <w:rsid w:val="00F61DD9"/>
    <w:rsid w:val="00F61E31"/>
    <w:rsid w:val="00F61E4E"/>
    <w:rsid w:val="00F61EAD"/>
    <w:rsid w:val="00F61EEB"/>
    <w:rsid w:val="00F61FCA"/>
    <w:rsid w:val="00F61FEE"/>
    <w:rsid w:val="00F62013"/>
    <w:rsid w:val="00F621BA"/>
    <w:rsid w:val="00F62268"/>
    <w:rsid w:val="00F623F7"/>
    <w:rsid w:val="00F625C3"/>
    <w:rsid w:val="00F62641"/>
    <w:rsid w:val="00F6266D"/>
    <w:rsid w:val="00F62733"/>
    <w:rsid w:val="00F62759"/>
    <w:rsid w:val="00F629DB"/>
    <w:rsid w:val="00F62BB1"/>
    <w:rsid w:val="00F62BEC"/>
    <w:rsid w:val="00F62C0D"/>
    <w:rsid w:val="00F62C7D"/>
    <w:rsid w:val="00F62CA5"/>
    <w:rsid w:val="00F62D5A"/>
    <w:rsid w:val="00F62D70"/>
    <w:rsid w:val="00F62D91"/>
    <w:rsid w:val="00F62E6E"/>
    <w:rsid w:val="00F62EDE"/>
    <w:rsid w:val="00F62F2F"/>
    <w:rsid w:val="00F62F48"/>
    <w:rsid w:val="00F62F6B"/>
    <w:rsid w:val="00F63246"/>
    <w:rsid w:val="00F63272"/>
    <w:rsid w:val="00F632E4"/>
    <w:rsid w:val="00F6346C"/>
    <w:rsid w:val="00F63494"/>
    <w:rsid w:val="00F63553"/>
    <w:rsid w:val="00F63594"/>
    <w:rsid w:val="00F635A3"/>
    <w:rsid w:val="00F635CB"/>
    <w:rsid w:val="00F6362B"/>
    <w:rsid w:val="00F63651"/>
    <w:rsid w:val="00F6367D"/>
    <w:rsid w:val="00F6369D"/>
    <w:rsid w:val="00F63773"/>
    <w:rsid w:val="00F63794"/>
    <w:rsid w:val="00F637D7"/>
    <w:rsid w:val="00F637E9"/>
    <w:rsid w:val="00F637F3"/>
    <w:rsid w:val="00F639E2"/>
    <w:rsid w:val="00F639FD"/>
    <w:rsid w:val="00F63A47"/>
    <w:rsid w:val="00F63AD0"/>
    <w:rsid w:val="00F63CBC"/>
    <w:rsid w:val="00F63CE0"/>
    <w:rsid w:val="00F63F1E"/>
    <w:rsid w:val="00F63FF1"/>
    <w:rsid w:val="00F640F4"/>
    <w:rsid w:val="00F64105"/>
    <w:rsid w:val="00F641AC"/>
    <w:rsid w:val="00F641D5"/>
    <w:rsid w:val="00F6445F"/>
    <w:rsid w:val="00F644A5"/>
    <w:rsid w:val="00F6456F"/>
    <w:rsid w:val="00F645E4"/>
    <w:rsid w:val="00F645F7"/>
    <w:rsid w:val="00F646E4"/>
    <w:rsid w:val="00F646E5"/>
    <w:rsid w:val="00F646E9"/>
    <w:rsid w:val="00F64756"/>
    <w:rsid w:val="00F64810"/>
    <w:rsid w:val="00F64835"/>
    <w:rsid w:val="00F649DB"/>
    <w:rsid w:val="00F64A15"/>
    <w:rsid w:val="00F64A92"/>
    <w:rsid w:val="00F64B1D"/>
    <w:rsid w:val="00F64BA5"/>
    <w:rsid w:val="00F64BBA"/>
    <w:rsid w:val="00F64BDE"/>
    <w:rsid w:val="00F64DE0"/>
    <w:rsid w:val="00F64E64"/>
    <w:rsid w:val="00F64F29"/>
    <w:rsid w:val="00F64F3F"/>
    <w:rsid w:val="00F64FB2"/>
    <w:rsid w:val="00F6508D"/>
    <w:rsid w:val="00F650EA"/>
    <w:rsid w:val="00F65309"/>
    <w:rsid w:val="00F65530"/>
    <w:rsid w:val="00F65675"/>
    <w:rsid w:val="00F656B4"/>
    <w:rsid w:val="00F65756"/>
    <w:rsid w:val="00F658F2"/>
    <w:rsid w:val="00F65A98"/>
    <w:rsid w:val="00F65C5C"/>
    <w:rsid w:val="00F65D82"/>
    <w:rsid w:val="00F65ED6"/>
    <w:rsid w:val="00F65F06"/>
    <w:rsid w:val="00F65FA9"/>
    <w:rsid w:val="00F65FC5"/>
    <w:rsid w:val="00F66108"/>
    <w:rsid w:val="00F6616C"/>
    <w:rsid w:val="00F661A3"/>
    <w:rsid w:val="00F6627D"/>
    <w:rsid w:val="00F662B2"/>
    <w:rsid w:val="00F66317"/>
    <w:rsid w:val="00F66324"/>
    <w:rsid w:val="00F66342"/>
    <w:rsid w:val="00F663E4"/>
    <w:rsid w:val="00F66457"/>
    <w:rsid w:val="00F6659B"/>
    <w:rsid w:val="00F665A4"/>
    <w:rsid w:val="00F665E0"/>
    <w:rsid w:val="00F66628"/>
    <w:rsid w:val="00F6665D"/>
    <w:rsid w:val="00F66691"/>
    <w:rsid w:val="00F66713"/>
    <w:rsid w:val="00F66877"/>
    <w:rsid w:val="00F66A99"/>
    <w:rsid w:val="00F66ACF"/>
    <w:rsid w:val="00F66BD6"/>
    <w:rsid w:val="00F66BF1"/>
    <w:rsid w:val="00F66CB9"/>
    <w:rsid w:val="00F66D5E"/>
    <w:rsid w:val="00F66E1A"/>
    <w:rsid w:val="00F66EF0"/>
    <w:rsid w:val="00F66EFE"/>
    <w:rsid w:val="00F66F04"/>
    <w:rsid w:val="00F66F17"/>
    <w:rsid w:val="00F66FFB"/>
    <w:rsid w:val="00F670D2"/>
    <w:rsid w:val="00F67163"/>
    <w:rsid w:val="00F671ED"/>
    <w:rsid w:val="00F67208"/>
    <w:rsid w:val="00F6738C"/>
    <w:rsid w:val="00F676C0"/>
    <w:rsid w:val="00F67737"/>
    <w:rsid w:val="00F677DC"/>
    <w:rsid w:val="00F67845"/>
    <w:rsid w:val="00F678CD"/>
    <w:rsid w:val="00F67937"/>
    <w:rsid w:val="00F67BBF"/>
    <w:rsid w:val="00F67E0E"/>
    <w:rsid w:val="00F67E32"/>
    <w:rsid w:val="00F67F29"/>
    <w:rsid w:val="00F700EE"/>
    <w:rsid w:val="00F70326"/>
    <w:rsid w:val="00F70466"/>
    <w:rsid w:val="00F7060D"/>
    <w:rsid w:val="00F70621"/>
    <w:rsid w:val="00F70641"/>
    <w:rsid w:val="00F70674"/>
    <w:rsid w:val="00F7072E"/>
    <w:rsid w:val="00F707C0"/>
    <w:rsid w:val="00F7080D"/>
    <w:rsid w:val="00F708C1"/>
    <w:rsid w:val="00F708DA"/>
    <w:rsid w:val="00F708F9"/>
    <w:rsid w:val="00F70915"/>
    <w:rsid w:val="00F709A0"/>
    <w:rsid w:val="00F709B8"/>
    <w:rsid w:val="00F70A27"/>
    <w:rsid w:val="00F70B51"/>
    <w:rsid w:val="00F70B70"/>
    <w:rsid w:val="00F70BDD"/>
    <w:rsid w:val="00F70F27"/>
    <w:rsid w:val="00F70F31"/>
    <w:rsid w:val="00F71018"/>
    <w:rsid w:val="00F71040"/>
    <w:rsid w:val="00F71085"/>
    <w:rsid w:val="00F710F4"/>
    <w:rsid w:val="00F711B4"/>
    <w:rsid w:val="00F711C0"/>
    <w:rsid w:val="00F71229"/>
    <w:rsid w:val="00F7124D"/>
    <w:rsid w:val="00F712C6"/>
    <w:rsid w:val="00F713A1"/>
    <w:rsid w:val="00F71471"/>
    <w:rsid w:val="00F71495"/>
    <w:rsid w:val="00F7151F"/>
    <w:rsid w:val="00F7171E"/>
    <w:rsid w:val="00F71825"/>
    <w:rsid w:val="00F718E8"/>
    <w:rsid w:val="00F718F9"/>
    <w:rsid w:val="00F71909"/>
    <w:rsid w:val="00F71AB6"/>
    <w:rsid w:val="00F71AD7"/>
    <w:rsid w:val="00F71B48"/>
    <w:rsid w:val="00F71C6D"/>
    <w:rsid w:val="00F71CFC"/>
    <w:rsid w:val="00F71DD6"/>
    <w:rsid w:val="00F71F6D"/>
    <w:rsid w:val="00F71FD7"/>
    <w:rsid w:val="00F72097"/>
    <w:rsid w:val="00F72216"/>
    <w:rsid w:val="00F72248"/>
    <w:rsid w:val="00F72290"/>
    <w:rsid w:val="00F72367"/>
    <w:rsid w:val="00F723AA"/>
    <w:rsid w:val="00F723CE"/>
    <w:rsid w:val="00F723E1"/>
    <w:rsid w:val="00F72459"/>
    <w:rsid w:val="00F72556"/>
    <w:rsid w:val="00F7257F"/>
    <w:rsid w:val="00F725AF"/>
    <w:rsid w:val="00F72655"/>
    <w:rsid w:val="00F726F7"/>
    <w:rsid w:val="00F7275A"/>
    <w:rsid w:val="00F72822"/>
    <w:rsid w:val="00F728D8"/>
    <w:rsid w:val="00F728F2"/>
    <w:rsid w:val="00F729AB"/>
    <w:rsid w:val="00F72A1C"/>
    <w:rsid w:val="00F72A44"/>
    <w:rsid w:val="00F72A51"/>
    <w:rsid w:val="00F72A72"/>
    <w:rsid w:val="00F72B23"/>
    <w:rsid w:val="00F72BFF"/>
    <w:rsid w:val="00F72C21"/>
    <w:rsid w:val="00F72C40"/>
    <w:rsid w:val="00F72D05"/>
    <w:rsid w:val="00F72D50"/>
    <w:rsid w:val="00F72DB2"/>
    <w:rsid w:val="00F72DE5"/>
    <w:rsid w:val="00F72EA5"/>
    <w:rsid w:val="00F72F3B"/>
    <w:rsid w:val="00F72F5C"/>
    <w:rsid w:val="00F730DC"/>
    <w:rsid w:val="00F7335D"/>
    <w:rsid w:val="00F73386"/>
    <w:rsid w:val="00F7353C"/>
    <w:rsid w:val="00F736FC"/>
    <w:rsid w:val="00F73729"/>
    <w:rsid w:val="00F73777"/>
    <w:rsid w:val="00F73A8F"/>
    <w:rsid w:val="00F73B14"/>
    <w:rsid w:val="00F73B90"/>
    <w:rsid w:val="00F73BC9"/>
    <w:rsid w:val="00F73C57"/>
    <w:rsid w:val="00F73C8F"/>
    <w:rsid w:val="00F73CC5"/>
    <w:rsid w:val="00F73CF5"/>
    <w:rsid w:val="00F73D25"/>
    <w:rsid w:val="00F73E34"/>
    <w:rsid w:val="00F73EF8"/>
    <w:rsid w:val="00F73FB2"/>
    <w:rsid w:val="00F7407A"/>
    <w:rsid w:val="00F7408A"/>
    <w:rsid w:val="00F740A7"/>
    <w:rsid w:val="00F74184"/>
    <w:rsid w:val="00F741E2"/>
    <w:rsid w:val="00F741E4"/>
    <w:rsid w:val="00F74288"/>
    <w:rsid w:val="00F74425"/>
    <w:rsid w:val="00F7445B"/>
    <w:rsid w:val="00F74558"/>
    <w:rsid w:val="00F74563"/>
    <w:rsid w:val="00F7459E"/>
    <w:rsid w:val="00F74659"/>
    <w:rsid w:val="00F747A7"/>
    <w:rsid w:val="00F748F6"/>
    <w:rsid w:val="00F749A3"/>
    <w:rsid w:val="00F74B72"/>
    <w:rsid w:val="00F74D9B"/>
    <w:rsid w:val="00F74EA3"/>
    <w:rsid w:val="00F74F91"/>
    <w:rsid w:val="00F75065"/>
    <w:rsid w:val="00F750FB"/>
    <w:rsid w:val="00F75104"/>
    <w:rsid w:val="00F75151"/>
    <w:rsid w:val="00F7515B"/>
    <w:rsid w:val="00F75331"/>
    <w:rsid w:val="00F753BA"/>
    <w:rsid w:val="00F754F2"/>
    <w:rsid w:val="00F75537"/>
    <w:rsid w:val="00F756E6"/>
    <w:rsid w:val="00F75744"/>
    <w:rsid w:val="00F757B3"/>
    <w:rsid w:val="00F7587C"/>
    <w:rsid w:val="00F75A10"/>
    <w:rsid w:val="00F75B35"/>
    <w:rsid w:val="00F75CA7"/>
    <w:rsid w:val="00F75DCB"/>
    <w:rsid w:val="00F75DE3"/>
    <w:rsid w:val="00F75E11"/>
    <w:rsid w:val="00F75E15"/>
    <w:rsid w:val="00F75E86"/>
    <w:rsid w:val="00F75F75"/>
    <w:rsid w:val="00F76048"/>
    <w:rsid w:val="00F76065"/>
    <w:rsid w:val="00F76255"/>
    <w:rsid w:val="00F762AD"/>
    <w:rsid w:val="00F76331"/>
    <w:rsid w:val="00F76338"/>
    <w:rsid w:val="00F7643D"/>
    <w:rsid w:val="00F7649F"/>
    <w:rsid w:val="00F76536"/>
    <w:rsid w:val="00F76803"/>
    <w:rsid w:val="00F7689B"/>
    <w:rsid w:val="00F768C9"/>
    <w:rsid w:val="00F769F8"/>
    <w:rsid w:val="00F76AF5"/>
    <w:rsid w:val="00F76B21"/>
    <w:rsid w:val="00F76B40"/>
    <w:rsid w:val="00F76C12"/>
    <w:rsid w:val="00F76DAE"/>
    <w:rsid w:val="00F76EA1"/>
    <w:rsid w:val="00F76FEB"/>
    <w:rsid w:val="00F7718A"/>
    <w:rsid w:val="00F771CF"/>
    <w:rsid w:val="00F771F4"/>
    <w:rsid w:val="00F7730B"/>
    <w:rsid w:val="00F77382"/>
    <w:rsid w:val="00F774EC"/>
    <w:rsid w:val="00F7759B"/>
    <w:rsid w:val="00F7762B"/>
    <w:rsid w:val="00F7767F"/>
    <w:rsid w:val="00F777A2"/>
    <w:rsid w:val="00F77816"/>
    <w:rsid w:val="00F77819"/>
    <w:rsid w:val="00F77885"/>
    <w:rsid w:val="00F778B0"/>
    <w:rsid w:val="00F77931"/>
    <w:rsid w:val="00F779E5"/>
    <w:rsid w:val="00F77A23"/>
    <w:rsid w:val="00F77BBC"/>
    <w:rsid w:val="00F77D5B"/>
    <w:rsid w:val="00F77E28"/>
    <w:rsid w:val="00F77E54"/>
    <w:rsid w:val="00F77E69"/>
    <w:rsid w:val="00F77FC6"/>
    <w:rsid w:val="00F77FCB"/>
    <w:rsid w:val="00F77FF0"/>
    <w:rsid w:val="00F800B1"/>
    <w:rsid w:val="00F80100"/>
    <w:rsid w:val="00F80194"/>
    <w:rsid w:val="00F80317"/>
    <w:rsid w:val="00F80463"/>
    <w:rsid w:val="00F804B0"/>
    <w:rsid w:val="00F804BB"/>
    <w:rsid w:val="00F80577"/>
    <w:rsid w:val="00F80604"/>
    <w:rsid w:val="00F80735"/>
    <w:rsid w:val="00F80772"/>
    <w:rsid w:val="00F80944"/>
    <w:rsid w:val="00F80A11"/>
    <w:rsid w:val="00F80A5C"/>
    <w:rsid w:val="00F80A91"/>
    <w:rsid w:val="00F80AA9"/>
    <w:rsid w:val="00F80AAE"/>
    <w:rsid w:val="00F80B68"/>
    <w:rsid w:val="00F80BE9"/>
    <w:rsid w:val="00F80DB4"/>
    <w:rsid w:val="00F80DFB"/>
    <w:rsid w:val="00F80FF2"/>
    <w:rsid w:val="00F8111B"/>
    <w:rsid w:val="00F8112C"/>
    <w:rsid w:val="00F811CF"/>
    <w:rsid w:val="00F81295"/>
    <w:rsid w:val="00F812C2"/>
    <w:rsid w:val="00F81338"/>
    <w:rsid w:val="00F813EA"/>
    <w:rsid w:val="00F814F6"/>
    <w:rsid w:val="00F81557"/>
    <w:rsid w:val="00F8158A"/>
    <w:rsid w:val="00F815A2"/>
    <w:rsid w:val="00F81800"/>
    <w:rsid w:val="00F818DF"/>
    <w:rsid w:val="00F81954"/>
    <w:rsid w:val="00F81BC9"/>
    <w:rsid w:val="00F81D1E"/>
    <w:rsid w:val="00F81D66"/>
    <w:rsid w:val="00F81D92"/>
    <w:rsid w:val="00F81E05"/>
    <w:rsid w:val="00F81EB6"/>
    <w:rsid w:val="00F81F6D"/>
    <w:rsid w:val="00F82014"/>
    <w:rsid w:val="00F82042"/>
    <w:rsid w:val="00F82171"/>
    <w:rsid w:val="00F821A8"/>
    <w:rsid w:val="00F821EE"/>
    <w:rsid w:val="00F8222E"/>
    <w:rsid w:val="00F822BF"/>
    <w:rsid w:val="00F82BAD"/>
    <w:rsid w:val="00F82C4F"/>
    <w:rsid w:val="00F82E5D"/>
    <w:rsid w:val="00F82E9B"/>
    <w:rsid w:val="00F82EC8"/>
    <w:rsid w:val="00F82FE7"/>
    <w:rsid w:val="00F83002"/>
    <w:rsid w:val="00F83027"/>
    <w:rsid w:val="00F8306C"/>
    <w:rsid w:val="00F830E8"/>
    <w:rsid w:val="00F832B6"/>
    <w:rsid w:val="00F832C4"/>
    <w:rsid w:val="00F8330F"/>
    <w:rsid w:val="00F8336C"/>
    <w:rsid w:val="00F833C0"/>
    <w:rsid w:val="00F834C8"/>
    <w:rsid w:val="00F837E6"/>
    <w:rsid w:val="00F83873"/>
    <w:rsid w:val="00F83A74"/>
    <w:rsid w:val="00F83A84"/>
    <w:rsid w:val="00F83BD1"/>
    <w:rsid w:val="00F83C11"/>
    <w:rsid w:val="00F83C51"/>
    <w:rsid w:val="00F83C90"/>
    <w:rsid w:val="00F83C91"/>
    <w:rsid w:val="00F83D3F"/>
    <w:rsid w:val="00F83DA8"/>
    <w:rsid w:val="00F83E16"/>
    <w:rsid w:val="00F83E6F"/>
    <w:rsid w:val="00F83EC5"/>
    <w:rsid w:val="00F8401A"/>
    <w:rsid w:val="00F840CC"/>
    <w:rsid w:val="00F841D6"/>
    <w:rsid w:val="00F843CB"/>
    <w:rsid w:val="00F844C1"/>
    <w:rsid w:val="00F84592"/>
    <w:rsid w:val="00F84614"/>
    <w:rsid w:val="00F846FF"/>
    <w:rsid w:val="00F84719"/>
    <w:rsid w:val="00F848E3"/>
    <w:rsid w:val="00F84947"/>
    <w:rsid w:val="00F849BA"/>
    <w:rsid w:val="00F84C10"/>
    <w:rsid w:val="00F84C11"/>
    <w:rsid w:val="00F84CE7"/>
    <w:rsid w:val="00F84D10"/>
    <w:rsid w:val="00F84D81"/>
    <w:rsid w:val="00F84DEF"/>
    <w:rsid w:val="00F84E0F"/>
    <w:rsid w:val="00F84E91"/>
    <w:rsid w:val="00F84F93"/>
    <w:rsid w:val="00F85089"/>
    <w:rsid w:val="00F8512E"/>
    <w:rsid w:val="00F85138"/>
    <w:rsid w:val="00F8521C"/>
    <w:rsid w:val="00F85259"/>
    <w:rsid w:val="00F8533A"/>
    <w:rsid w:val="00F854DC"/>
    <w:rsid w:val="00F85553"/>
    <w:rsid w:val="00F85596"/>
    <w:rsid w:val="00F85604"/>
    <w:rsid w:val="00F8562E"/>
    <w:rsid w:val="00F858A8"/>
    <w:rsid w:val="00F85916"/>
    <w:rsid w:val="00F8591C"/>
    <w:rsid w:val="00F8591E"/>
    <w:rsid w:val="00F85A02"/>
    <w:rsid w:val="00F85A2A"/>
    <w:rsid w:val="00F85A40"/>
    <w:rsid w:val="00F85A94"/>
    <w:rsid w:val="00F85AA5"/>
    <w:rsid w:val="00F85AA9"/>
    <w:rsid w:val="00F85B4B"/>
    <w:rsid w:val="00F85C32"/>
    <w:rsid w:val="00F85DE4"/>
    <w:rsid w:val="00F85DF1"/>
    <w:rsid w:val="00F85E4A"/>
    <w:rsid w:val="00F85EB6"/>
    <w:rsid w:val="00F85EE1"/>
    <w:rsid w:val="00F85F11"/>
    <w:rsid w:val="00F85F7A"/>
    <w:rsid w:val="00F85FBD"/>
    <w:rsid w:val="00F8613D"/>
    <w:rsid w:val="00F861A4"/>
    <w:rsid w:val="00F86339"/>
    <w:rsid w:val="00F864B7"/>
    <w:rsid w:val="00F86519"/>
    <w:rsid w:val="00F867F2"/>
    <w:rsid w:val="00F868EF"/>
    <w:rsid w:val="00F8691A"/>
    <w:rsid w:val="00F86984"/>
    <w:rsid w:val="00F86989"/>
    <w:rsid w:val="00F86A66"/>
    <w:rsid w:val="00F86BC4"/>
    <w:rsid w:val="00F86E81"/>
    <w:rsid w:val="00F86EB6"/>
    <w:rsid w:val="00F86EF1"/>
    <w:rsid w:val="00F86F6C"/>
    <w:rsid w:val="00F8704E"/>
    <w:rsid w:val="00F8709F"/>
    <w:rsid w:val="00F87196"/>
    <w:rsid w:val="00F872D8"/>
    <w:rsid w:val="00F8742C"/>
    <w:rsid w:val="00F87455"/>
    <w:rsid w:val="00F876B1"/>
    <w:rsid w:val="00F8775E"/>
    <w:rsid w:val="00F877AD"/>
    <w:rsid w:val="00F877B1"/>
    <w:rsid w:val="00F878D7"/>
    <w:rsid w:val="00F87ABC"/>
    <w:rsid w:val="00F87C08"/>
    <w:rsid w:val="00F87D63"/>
    <w:rsid w:val="00F87D86"/>
    <w:rsid w:val="00F87DB4"/>
    <w:rsid w:val="00F87DDE"/>
    <w:rsid w:val="00F87DFD"/>
    <w:rsid w:val="00F87E5D"/>
    <w:rsid w:val="00F87E84"/>
    <w:rsid w:val="00F90004"/>
    <w:rsid w:val="00F90262"/>
    <w:rsid w:val="00F904C5"/>
    <w:rsid w:val="00F904D3"/>
    <w:rsid w:val="00F90591"/>
    <w:rsid w:val="00F905B5"/>
    <w:rsid w:val="00F905BB"/>
    <w:rsid w:val="00F906DE"/>
    <w:rsid w:val="00F90781"/>
    <w:rsid w:val="00F907B7"/>
    <w:rsid w:val="00F907CD"/>
    <w:rsid w:val="00F90863"/>
    <w:rsid w:val="00F9089F"/>
    <w:rsid w:val="00F90907"/>
    <w:rsid w:val="00F90AF2"/>
    <w:rsid w:val="00F90B84"/>
    <w:rsid w:val="00F90BED"/>
    <w:rsid w:val="00F90C05"/>
    <w:rsid w:val="00F90D90"/>
    <w:rsid w:val="00F90DFA"/>
    <w:rsid w:val="00F90E27"/>
    <w:rsid w:val="00F91159"/>
    <w:rsid w:val="00F911DA"/>
    <w:rsid w:val="00F91291"/>
    <w:rsid w:val="00F9131B"/>
    <w:rsid w:val="00F9141F"/>
    <w:rsid w:val="00F914A3"/>
    <w:rsid w:val="00F915C3"/>
    <w:rsid w:val="00F915D0"/>
    <w:rsid w:val="00F9187B"/>
    <w:rsid w:val="00F9188D"/>
    <w:rsid w:val="00F918E5"/>
    <w:rsid w:val="00F91964"/>
    <w:rsid w:val="00F919C4"/>
    <w:rsid w:val="00F919D0"/>
    <w:rsid w:val="00F919ED"/>
    <w:rsid w:val="00F91A54"/>
    <w:rsid w:val="00F91A60"/>
    <w:rsid w:val="00F91A9F"/>
    <w:rsid w:val="00F91AC5"/>
    <w:rsid w:val="00F91BFD"/>
    <w:rsid w:val="00F91CEE"/>
    <w:rsid w:val="00F91E5A"/>
    <w:rsid w:val="00F91E7A"/>
    <w:rsid w:val="00F91ECE"/>
    <w:rsid w:val="00F92249"/>
    <w:rsid w:val="00F9224C"/>
    <w:rsid w:val="00F92270"/>
    <w:rsid w:val="00F92280"/>
    <w:rsid w:val="00F92480"/>
    <w:rsid w:val="00F92602"/>
    <w:rsid w:val="00F9270C"/>
    <w:rsid w:val="00F928A6"/>
    <w:rsid w:val="00F928AF"/>
    <w:rsid w:val="00F9294E"/>
    <w:rsid w:val="00F92A1F"/>
    <w:rsid w:val="00F92A4E"/>
    <w:rsid w:val="00F92A8B"/>
    <w:rsid w:val="00F92B32"/>
    <w:rsid w:val="00F92BF4"/>
    <w:rsid w:val="00F92C1F"/>
    <w:rsid w:val="00F92C60"/>
    <w:rsid w:val="00F92C82"/>
    <w:rsid w:val="00F92DE4"/>
    <w:rsid w:val="00F92E4B"/>
    <w:rsid w:val="00F92E72"/>
    <w:rsid w:val="00F92E89"/>
    <w:rsid w:val="00F93054"/>
    <w:rsid w:val="00F931C4"/>
    <w:rsid w:val="00F9325C"/>
    <w:rsid w:val="00F932BD"/>
    <w:rsid w:val="00F9335E"/>
    <w:rsid w:val="00F93422"/>
    <w:rsid w:val="00F9348C"/>
    <w:rsid w:val="00F9356C"/>
    <w:rsid w:val="00F935D5"/>
    <w:rsid w:val="00F936B1"/>
    <w:rsid w:val="00F936C4"/>
    <w:rsid w:val="00F93762"/>
    <w:rsid w:val="00F937E7"/>
    <w:rsid w:val="00F937E8"/>
    <w:rsid w:val="00F93859"/>
    <w:rsid w:val="00F93897"/>
    <w:rsid w:val="00F93AD5"/>
    <w:rsid w:val="00F93E65"/>
    <w:rsid w:val="00F93E92"/>
    <w:rsid w:val="00F940C2"/>
    <w:rsid w:val="00F94146"/>
    <w:rsid w:val="00F94187"/>
    <w:rsid w:val="00F94198"/>
    <w:rsid w:val="00F941D3"/>
    <w:rsid w:val="00F941EB"/>
    <w:rsid w:val="00F94398"/>
    <w:rsid w:val="00F943B0"/>
    <w:rsid w:val="00F945A7"/>
    <w:rsid w:val="00F94640"/>
    <w:rsid w:val="00F94650"/>
    <w:rsid w:val="00F9493F"/>
    <w:rsid w:val="00F9496C"/>
    <w:rsid w:val="00F94B23"/>
    <w:rsid w:val="00F94B69"/>
    <w:rsid w:val="00F94BCD"/>
    <w:rsid w:val="00F94D74"/>
    <w:rsid w:val="00F94DE9"/>
    <w:rsid w:val="00F94E65"/>
    <w:rsid w:val="00F94F2C"/>
    <w:rsid w:val="00F94F36"/>
    <w:rsid w:val="00F94F50"/>
    <w:rsid w:val="00F95120"/>
    <w:rsid w:val="00F951E0"/>
    <w:rsid w:val="00F953CA"/>
    <w:rsid w:val="00F954F6"/>
    <w:rsid w:val="00F95539"/>
    <w:rsid w:val="00F95590"/>
    <w:rsid w:val="00F95769"/>
    <w:rsid w:val="00F957ED"/>
    <w:rsid w:val="00F95957"/>
    <w:rsid w:val="00F959C8"/>
    <w:rsid w:val="00F95A3B"/>
    <w:rsid w:val="00F95ACD"/>
    <w:rsid w:val="00F95BB7"/>
    <w:rsid w:val="00F95BD6"/>
    <w:rsid w:val="00F95D46"/>
    <w:rsid w:val="00F95FA0"/>
    <w:rsid w:val="00F96061"/>
    <w:rsid w:val="00F960D4"/>
    <w:rsid w:val="00F96124"/>
    <w:rsid w:val="00F9614E"/>
    <w:rsid w:val="00F9625E"/>
    <w:rsid w:val="00F9626E"/>
    <w:rsid w:val="00F96387"/>
    <w:rsid w:val="00F963B9"/>
    <w:rsid w:val="00F96428"/>
    <w:rsid w:val="00F96479"/>
    <w:rsid w:val="00F96499"/>
    <w:rsid w:val="00F96570"/>
    <w:rsid w:val="00F965C4"/>
    <w:rsid w:val="00F96622"/>
    <w:rsid w:val="00F96661"/>
    <w:rsid w:val="00F96664"/>
    <w:rsid w:val="00F966D8"/>
    <w:rsid w:val="00F96759"/>
    <w:rsid w:val="00F96770"/>
    <w:rsid w:val="00F967D5"/>
    <w:rsid w:val="00F96806"/>
    <w:rsid w:val="00F96907"/>
    <w:rsid w:val="00F96976"/>
    <w:rsid w:val="00F96AA4"/>
    <w:rsid w:val="00F96C8F"/>
    <w:rsid w:val="00F96CE3"/>
    <w:rsid w:val="00F96DC3"/>
    <w:rsid w:val="00F96E20"/>
    <w:rsid w:val="00F96E29"/>
    <w:rsid w:val="00F96F4E"/>
    <w:rsid w:val="00F96F8C"/>
    <w:rsid w:val="00F97015"/>
    <w:rsid w:val="00F970B6"/>
    <w:rsid w:val="00F9711B"/>
    <w:rsid w:val="00F973C8"/>
    <w:rsid w:val="00F97499"/>
    <w:rsid w:val="00F974D6"/>
    <w:rsid w:val="00F9755E"/>
    <w:rsid w:val="00F9766D"/>
    <w:rsid w:val="00F97740"/>
    <w:rsid w:val="00F97761"/>
    <w:rsid w:val="00F97770"/>
    <w:rsid w:val="00F977B1"/>
    <w:rsid w:val="00F97850"/>
    <w:rsid w:val="00F97ADA"/>
    <w:rsid w:val="00F97B3A"/>
    <w:rsid w:val="00F97BED"/>
    <w:rsid w:val="00F97C66"/>
    <w:rsid w:val="00FA000B"/>
    <w:rsid w:val="00FA0020"/>
    <w:rsid w:val="00FA0026"/>
    <w:rsid w:val="00FA01F6"/>
    <w:rsid w:val="00FA033F"/>
    <w:rsid w:val="00FA0414"/>
    <w:rsid w:val="00FA0472"/>
    <w:rsid w:val="00FA0537"/>
    <w:rsid w:val="00FA05D8"/>
    <w:rsid w:val="00FA06C0"/>
    <w:rsid w:val="00FA0718"/>
    <w:rsid w:val="00FA07B8"/>
    <w:rsid w:val="00FA0878"/>
    <w:rsid w:val="00FA0891"/>
    <w:rsid w:val="00FA09CC"/>
    <w:rsid w:val="00FA0B7F"/>
    <w:rsid w:val="00FA0B9D"/>
    <w:rsid w:val="00FA0C5D"/>
    <w:rsid w:val="00FA0CB6"/>
    <w:rsid w:val="00FA0CBD"/>
    <w:rsid w:val="00FA0D2D"/>
    <w:rsid w:val="00FA0E30"/>
    <w:rsid w:val="00FA0E92"/>
    <w:rsid w:val="00FA0ECF"/>
    <w:rsid w:val="00FA0F62"/>
    <w:rsid w:val="00FA1112"/>
    <w:rsid w:val="00FA1142"/>
    <w:rsid w:val="00FA137F"/>
    <w:rsid w:val="00FA13C2"/>
    <w:rsid w:val="00FA13D9"/>
    <w:rsid w:val="00FA1444"/>
    <w:rsid w:val="00FA146B"/>
    <w:rsid w:val="00FA1671"/>
    <w:rsid w:val="00FA1731"/>
    <w:rsid w:val="00FA18CC"/>
    <w:rsid w:val="00FA1991"/>
    <w:rsid w:val="00FA1B50"/>
    <w:rsid w:val="00FA1DD3"/>
    <w:rsid w:val="00FA1E90"/>
    <w:rsid w:val="00FA1F50"/>
    <w:rsid w:val="00FA206B"/>
    <w:rsid w:val="00FA20AB"/>
    <w:rsid w:val="00FA20F2"/>
    <w:rsid w:val="00FA213C"/>
    <w:rsid w:val="00FA21BC"/>
    <w:rsid w:val="00FA2215"/>
    <w:rsid w:val="00FA228F"/>
    <w:rsid w:val="00FA2430"/>
    <w:rsid w:val="00FA259B"/>
    <w:rsid w:val="00FA25AD"/>
    <w:rsid w:val="00FA260B"/>
    <w:rsid w:val="00FA26A0"/>
    <w:rsid w:val="00FA2724"/>
    <w:rsid w:val="00FA27AB"/>
    <w:rsid w:val="00FA27F9"/>
    <w:rsid w:val="00FA289B"/>
    <w:rsid w:val="00FA28AB"/>
    <w:rsid w:val="00FA28C9"/>
    <w:rsid w:val="00FA28DE"/>
    <w:rsid w:val="00FA2BF2"/>
    <w:rsid w:val="00FA2DCB"/>
    <w:rsid w:val="00FA2EE8"/>
    <w:rsid w:val="00FA2EE9"/>
    <w:rsid w:val="00FA2F1A"/>
    <w:rsid w:val="00FA2FFF"/>
    <w:rsid w:val="00FA32D9"/>
    <w:rsid w:val="00FA3468"/>
    <w:rsid w:val="00FA36BE"/>
    <w:rsid w:val="00FA373A"/>
    <w:rsid w:val="00FA3A94"/>
    <w:rsid w:val="00FA3B09"/>
    <w:rsid w:val="00FA3C7A"/>
    <w:rsid w:val="00FA3D7E"/>
    <w:rsid w:val="00FA3FDF"/>
    <w:rsid w:val="00FA4042"/>
    <w:rsid w:val="00FA41C6"/>
    <w:rsid w:val="00FA4254"/>
    <w:rsid w:val="00FA425C"/>
    <w:rsid w:val="00FA425E"/>
    <w:rsid w:val="00FA42E4"/>
    <w:rsid w:val="00FA43DD"/>
    <w:rsid w:val="00FA45ED"/>
    <w:rsid w:val="00FA478F"/>
    <w:rsid w:val="00FA48C4"/>
    <w:rsid w:val="00FA48C6"/>
    <w:rsid w:val="00FA48DE"/>
    <w:rsid w:val="00FA4911"/>
    <w:rsid w:val="00FA49C4"/>
    <w:rsid w:val="00FA4B70"/>
    <w:rsid w:val="00FA4CA2"/>
    <w:rsid w:val="00FA4D8C"/>
    <w:rsid w:val="00FA4DCB"/>
    <w:rsid w:val="00FA4E02"/>
    <w:rsid w:val="00FA4E29"/>
    <w:rsid w:val="00FA4E60"/>
    <w:rsid w:val="00FA4F6F"/>
    <w:rsid w:val="00FA4FFF"/>
    <w:rsid w:val="00FA506F"/>
    <w:rsid w:val="00FA51C6"/>
    <w:rsid w:val="00FA52EC"/>
    <w:rsid w:val="00FA5494"/>
    <w:rsid w:val="00FA56DC"/>
    <w:rsid w:val="00FA598D"/>
    <w:rsid w:val="00FA598E"/>
    <w:rsid w:val="00FA599D"/>
    <w:rsid w:val="00FA59C5"/>
    <w:rsid w:val="00FA5C57"/>
    <w:rsid w:val="00FA5C58"/>
    <w:rsid w:val="00FA5E28"/>
    <w:rsid w:val="00FA5EF8"/>
    <w:rsid w:val="00FA5F27"/>
    <w:rsid w:val="00FA5FA6"/>
    <w:rsid w:val="00FA5FCC"/>
    <w:rsid w:val="00FA61F7"/>
    <w:rsid w:val="00FA6355"/>
    <w:rsid w:val="00FA63CA"/>
    <w:rsid w:val="00FA6473"/>
    <w:rsid w:val="00FA64AF"/>
    <w:rsid w:val="00FA6596"/>
    <w:rsid w:val="00FA65C0"/>
    <w:rsid w:val="00FA6640"/>
    <w:rsid w:val="00FA6656"/>
    <w:rsid w:val="00FA6668"/>
    <w:rsid w:val="00FA6676"/>
    <w:rsid w:val="00FA66E0"/>
    <w:rsid w:val="00FA688B"/>
    <w:rsid w:val="00FA68AA"/>
    <w:rsid w:val="00FA68F3"/>
    <w:rsid w:val="00FA6A0D"/>
    <w:rsid w:val="00FA6C23"/>
    <w:rsid w:val="00FA6E91"/>
    <w:rsid w:val="00FA6F1E"/>
    <w:rsid w:val="00FA6FC6"/>
    <w:rsid w:val="00FA702D"/>
    <w:rsid w:val="00FA70A3"/>
    <w:rsid w:val="00FA70DE"/>
    <w:rsid w:val="00FA70F4"/>
    <w:rsid w:val="00FA7217"/>
    <w:rsid w:val="00FA72BA"/>
    <w:rsid w:val="00FA73AD"/>
    <w:rsid w:val="00FA7511"/>
    <w:rsid w:val="00FA75A5"/>
    <w:rsid w:val="00FA762D"/>
    <w:rsid w:val="00FA7685"/>
    <w:rsid w:val="00FA7780"/>
    <w:rsid w:val="00FA77F3"/>
    <w:rsid w:val="00FA7914"/>
    <w:rsid w:val="00FA7936"/>
    <w:rsid w:val="00FA7CB1"/>
    <w:rsid w:val="00FA7CF0"/>
    <w:rsid w:val="00FA7DD8"/>
    <w:rsid w:val="00FA7E9A"/>
    <w:rsid w:val="00FA7ED9"/>
    <w:rsid w:val="00FB0020"/>
    <w:rsid w:val="00FB0190"/>
    <w:rsid w:val="00FB0294"/>
    <w:rsid w:val="00FB029A"/>
    <w:rsid w:val="00FB030B"/>
    <w:rsid w:val="00FB03B7"/>
    <w:rsid w:val="00FB0423"/>
    <w:rsid w:val="00FB04D4"/>
    <w:rsid w:val="00FB05FB"/>
    <w:rsid w:val="00FB0836"/>
    <w:rsid w:val="00FB0858"/>
    <w:rsid w:val="00FB0952"/>
    <w:rsid w:val="00FB0D23"/>
    <w:rsid w:val="00FB0E86"/>
    <w:rsid w:val="00FB102D"/>
    <w:rsid w:val="00FB1564"/>
    <w:rsid w:val="00FB1695"/>
    <w:rsid w:val="00FB1716"/>
    <w:rsid w:val="00FB17B7"/>
    <w:rsid w:val="00FB17CD"/>
    <w:rsid w:val="00FB184A"/>
    <w:rsid w:val="00FB1863"/>
    <w:rsid w:val="00FB18A1"/>
    <w:rsid w:val="00FB1A08"/>
    <w:rsid w:val="00FB1B0C"/>
    <w:rsid w:val="00FB1C2B"/>
    <w:rsid w:val="00FB1C43"/>
    <w:rsid w:val="00FB1C77"/>
    <w:rsid w:val="00FB1C97"/>
    <w:rsid w:val="00FB1CA2"/>
    <w:rsid w:val="00FB1E52"/>
    <w:rsid w:val="00FB1FBF"/>
    <w:rsid w:val="00FB1FD5"/>
    <w:rsid w:val="00FB2087"/>
    <w:rsid w:val="00FB208C"/>
    <w:rsid w:val="00FB2130"/>
    <w:rsid w:val="00FB22C7"/>
    <w:rsid w:val="00FB22FA"/>
    <w:rsid w:val="00FB232B"/>
    <w:rsid w:val="00FB2358"/>
    <w:rsid w:val="00FB2464"/>
    <w:rsid w:val="00FB24F2"/>
    <w:rsid w:val="00FB262E"/>
    <w:rsid w:val="00FB2690"/>
    <w:rsid w:val="00FB26C7"/>
    <w:rsid w:val="00FB2A6B"/>
    <w:rsid w:val="00FB2A86"/>
    <w:rsid w:val="00FB2BD3"/>
    <w:rsid w:val="00FB2C84"/>
    <w:rsid w:val="00FB2E07"/>
    <w:rsid w:val="00FB2E10"/>
    <w:rsid w:val="00FB2E63"/>
    <w:rsid w:val="00FB2E71"/>
    <w:rsid w:val="00FB2F53"/>
    <w:rsid w:val="00FB31EB"/>
    <w:rsid w:val="00FB3326"/>
    <w:rsid w:val="00FB3580"/>
    <w:rsid w:val="00FB359F"/>
    <w:rsid w:val="00FB36E9"/>
    <w:rsid w:val="00FB36F0"/>
    <w:rsid w:val="00FB392C"/>
    <w:rsid w:val="00FB3A20"/>
    <w:rsid w:val="00FB3B12"/>
    <w:rsid w:val="00FB3B93"/>
    <w:rsid w:val="00FB3C40"/>
    <w:rsid w:val="00FB3CC3"/>
    <w:rsid w:val="00FB3D02"/>
    <w:rsid w:val="00FB3D69"/>
    <w:rsid w:val="00FB3F93"/>
    <w:rsid w:val="00FB41A5"/>
    <w:rsid w:val="00FB4207"/>
    <w:rsid w:val="00FB42F4"/>
    <w:rsid w:val="00FB438F"/>
    <w:rsid w:val="00FB43CA"/>
    <w:rsid w:val="00FB4408"/>
    <w:rsid w:val="00FB4467"/>
    <w:rsid w:val="00FB4561"/>
    <w:rsid w:val="00FB4676"/>
    <w:rsid w:val="00FB46BE"/>
    <w:rsid w:val="00FB46F3"/>
    <w:rsid w:val="00FB47C5"/>
    <w:rsid w:val="00FB4865"/>
    <w:rsid w:val="00FB4900"/>
    <w:rsid w:val="00FB495C"/>
    <w:rsid w:val="00FB498A"/>
    <w:rsid w:val="00FB4AC0"/>
    <w:rsid w:val="00FB4CE8"/>
    <w:rsid w:val="00FB4D0D"/>
    <w:rsid w:val="00FB4E48"/>
    <w:rsid w:val="00FB4E9E"/>
    <w:rsid w:val="00FB5029"/>
    <w:rsid w:val="00FB508D"/>
    <w:rsid w:val="00FB50F3"/>
    <w:rsid w:val="00FB516F"/>
    <w:rsid w:val="00FB5182"/>
    <w:rsid w:val="00FB51CD"/>
    <w:rsid w:val="00FB529F"/>
    <w:rsid w:val="00FB540A"/>
    <w:rsid w:val="00FB558A"/>
    <w:rsid w:val="00FB55E9"/>
    <w:rsid w:val="00FB560F"/>
    <w:rsid w:val="00FB5636"/>
    <w:rsid w:val="00FB5658"/>
    <w:rsid w:val="00FB5790"/>
    <w:rsid w:val="00FB5791"/>
    <w:rsid w:val="00FB5842"/>
    <w:rsid w:val="00FB5870"/>
    <w:rsid w:val="00FB592C"/>
    <w:rsid w:val="00FB59D8"/>
    <w:rsid w:val="00FB5ADD"/>
    <w:rsid w:val="00FB5B33"/>
    <w:rsid w:val="00FB5BF7"/>
    <w:rsid w:val="00FB5C0D"/>
    <w:rsid w:val="00FB5C30"/>
    <w:rsid w:val="00FB5CEC"/>
    <w:rsid w:val="00FB5E33"/>
    <w:rsid w:val="00FB5E4A"/>
    <w:rsid w:val="00FB5E99"/>
    <w:rsid w:val="00FB5FB4"/>
    <w:rsid w:val="00FB609C"/>
    <w:rsid w:val="00FB61FE"/>
    <w:rsid w:val="00FB636D"/>
    <w:rsid w:val="00FB651E"/>
    <w:rsid w:val="00FB6567"/>
    <w:rsid w:val="00FB657C"/>
    <w:rsid w:val="00FB659D"/>
    <w:rsid w:val="00FB65AA"/>
    <w:rsid w:val="00FB6766"/>
    <w:rsid w:val="00FB6801"/>
    <w:rsid w:val="00FB68A9"/>
    <w:rsid w:val="00FB68C2"/>
    <w:rsid w:val="00FB6C3C"/>
    <w:rsid w:val="00FB6CDC"/>
    <w:rsid w:val="00FB6DA4"/>
    <w:rsid w:val="00FB6DC2"/>
    <w:rsid w:val="00FB6E50"/>
    <w:rsid w:val="00FB6ECA"/>
    <w:rsid w:val="00FB6F50"/>
    <w:rsid w:val="00FB6F84"/>
    <w:rsid w:val="00FB711B"/>
    <w:rsid w:val="00FB726A"/>
    <w:rsid w:val="00FB72C8"/>
    <w:rsid w:val="00FB72E0"/>
    <w:rsid w:val="00FB7612"/>
    <w:rsid w:val="00FB761E"/>
    <w:rsid w:val="00FB7662"/>
    <w:rsid w:val="00FB7682"/>
    <w:rsid w:val="00FB772A"/>
    <w:rsid w:val="00FB77B9"/>
    <w:rsid w:val="00FB7829"/>
    <w:rsid w:val="00FB7830"/>
    <w:rsid w:val="00FB79E2"/>
    <w:rsid w:val="00FB7A7A"/>
    <w:rsid w:val="00FB7BE0"/>
    <w:rsid w:val="00FB7D0E"/>
    <w:rsid w:val="00FB7D94"/>
    <w:rsid w:val="00FB7EAC"/>
    <w:rsid w:val="00FB7FB2"/>
    <w:rsid w:val="00FC001E"/>
    <w:rsid w:val="00FC00FA"/>
    <w:rsid w:val="00FC015B"/>
    <w:rsid w:val="00FC0174"/>
    <w:rsid w:val="00FC01DD"/>
    <w:rsid w:val="00FC0262"/>
    <w:rsid w:val="00FC03F2"/>
    <w:rsid w:val="00FC04AE"/>
    <w:rsid w:val="00FC04E0"/>
    <w:rsid w:val="00FC0573"/>
    <w:rsid w:val="00FC058A"/>
    <w:rsid w:val="00FC0594"/>
    <w:rsid w:val="00FC069F"/>
    <w:rsid w:val="00FC06C9"/>
    <w:rsid w:val="00FC071A"/>
    <w:rsid w:val="00FC0731"/>
    <w:rsid w:val="00FC07DD"/>
    <w:rsid w:val="00FC0803"/>
    <w:rsid w:val="00FC0A88"/>
    <w:rsid w:val="00FC0A8C"/>
    <w:rsid w:val="00FC0AA2"/>
    <w:rsid w:val="00FC0AAD"/>
    <w:rsid w:val="00FC0B59"/>
    <w:rsid w:val="00FC0BF2"/>
    <w:rsid w:val="00FC0C12"/>
    <w:rsid w:val="00FC0F1E"/>
    <w:rsid w:val="00FC1075"/>
    <w:rsid w:val="00FC10C2"/>
    <w:rsid w:val="00FC1176"/>
    <w:rsid w:val="00FC12FC"/>
    <w:rsid w:val="00FC131C"/>
    <w:rsid w:val="00FC1326"/>
    <w:rsid w:val="00FC1366"/>
    <w:rsid w:val="00FC1368"/>
    <w:rsid w:val="00FC144F"/>
    <w:rsid w:val="00FC155E"/>
    <w:rsid w:val="00FC15EE"/>
    <w:rsid w:val="00FC17CC"/>
    <w:rsid w:val="00FC1800"/>
    <w:rsid w:val="00FC18EF"/>
    <w:rsid w:val="00FC19E6"/>
    <w:rsid w:val="00FC19F2"/>
    <w:rsid w:val="00FC1A26"/>
    <w:rsid w:val="00FC1B68"/>
    <w:rsid w:val="00FC1BA5"/>
    <w:rsid w:val="00FC1C5D"/>
    <w:rsid w:val="00FC1C87"/>
    <w:rsid w:val="00FC1D62"/>
    <w:rsid w:val="00FC1E36"/>
    <w:rsid w:val="00FC1EA3"/>
    <w:rsid w:val="00FC1EC7"/>
    <w:rsid w:val="00FC1F40"/>
    <w:rsid w:val="00FC1F89"/>
    <w:rsid w:val="00FC1F96"/>
    <w:rsid w:val="00FC2426"/>
    <w:rsid w:val="00FC276A"/>
    <w:rsid w:val="00FC2968"/>
    <w:rsid w:val="00FC2979"/>
    <w:rsid w:val="00FC2A33"/>
    <w:rsid w:val="00FC2AC6"/>
    <w:rsid w:val="00FC2AD9"/>
    <w:rsid w:val="00FC2B04"/>
    <w:rsid w:val="00FC2B0B"/>
    <w:rsid w:val="00FC2C58"/>
    <w:rsid w:val="00FC2CC5"/>
    <w:rsid w:val="00FC2D64"/>
    <w:rsid w:val="00FC2E49"/>
    <w:rsid w:val="00FC2F74"/>
    <w:rsid w:val="00FC3035"/>
    <w:rsid w:val="00FC30C1"/>
    <w:rsid w:val="00FC31AC"/>
    <w:rsid w:val="00FC31EC"/>
    <w:rsid w:val="00FC3250"/>
    <w:rsid w:val="00FC3308"/>
    <w:rsid w:val="00FC3431"/>
    <w:rsid w:val="00FC34BB"/>
    <w:rsid w:val="00FC371A"/>
    <w:rsid w:val="00FC3805"/>
    <w:rsid w:val="00FC3845"/>
    <w:rsid w:val="00FC3888"/>
    <w:rsid w:val="00FC3891"/>
    <w:rsid w:val="00FC3894"/>
    <w:rsid w:val="00FC38F8"/>
    <w:rsid w:val="00FC38FA"/>
    <w:rsid w:val="00FC3943"/>
    <w:rsid w:val="00FC39E1"/>
    <w:rsid w:val="00FC3A00"/>
    <w:rsid w:val="00FC3AA5"/>
    <w:rsid w:val="00FC3B29"/>
    <w:rsid w:val="00FC3B72"/>
    <w:rsid w:val="00FC3C46"/>
    <w:rsid w:val="00FC3D81"/>
    <w:rsid w:val="00FC3F18"/>
    <w:rsid w:val="00FC3F69"/>
    <w:rsid w:val="00FC3F96"/>
    <w:rsid w:val="00FC3F99"/>
    <w:rsid w:val="00FC40E0"/>
    <w:rsid w:val="00FC40E6"/>
    <w:rsid w:val="00FC41A4"/>
    <w:rsid w:val="00FC41AA"/>
    <w:rsid w:val="00FC422D"/>
    <w:rsid w:val="00FC43C6"/>
    <w:rsid w:val="00FC44C8"/>
    <w:rsid w:val="00FC4510"/>
    <w:rsid w:val="00FC4520"/>
    <w:rsid w:val="00FC4529"/>
    <w:rsid w:val="00FC4599"/>
    <w:rsid w:val="00FC4605"/>
    <w:rsid w:val="00FC4638"/>
    <w:rsid w:val="00FC464B"/>
    <w:rsid w:val="00FC46A1"/>
    <w:rsid w:val="00FC46DA"/>
    <w:rsid w:val="00FC47E8"/>
    <w:rsid w:val="00FC47F6"/>
    <w:rsid w:val="00FC48A1"/>
    <w:rsid w:val="00FC48FE"/>
    <w:rsid w:val="00FC4A71"/>
    <w:rsid w:val="00FC4B55"/>
    <w:rsid w:val="00FC4C13"/>
    <w:rsid w:val="00FC4EC3"/>
    <w:rsid w:val="00FC4EE6"/>
    <w:rsid w:val="00FC4EFF"/>
    <w:rsid w:val="00FC4F5C"/>
    <w:rsid w:val="00FC5112"/>
    <w:rsid w:val="00FC51AE"/>
    <w:rsid w:val="00FC53ED"/>
    <w:rsid w:val="00FC5590"/>
    <w:rsid w:val="00FC5633"/>
    <w:rsid w:val="00FC56D0"/>
    <w:rsid w:val="00FC5771"/>
    <w:rsid w:val="00FC5909"/>
    <w:rsid w:val="00FC5B01"/>
    <w:rsid w:val="00FC5B60"/>
    <w:rsid w:val="00FC5BD4"/>
    <w:rsid w:val="00FC5C53"/>
    <w:rsid w:val="00FC5CDD"/>
    <w:rsid w:val="00FC5CF0"/>
    <w:rsid w:val="00FC5D66"/>
    <w:rsid w:val="00FC5D8D"/>
    <w:rsid w:val="00FC5FB3"/>
    <w:rsid w:val="00FC6023"/>
    <w:rsid w:val="00FC607A"/>
    <w:rsid w:val="00FC612E"/>
    <w:rsid w:val="00FC616C"/>
    <w:rsid w:val="00FC620B"/>
    <w:rsid w:val="00FC632C"/>
    <w:rsid w:val="00FC6333"/>
    <w:rsid w:val="00FC63BE"/>
    <w:rsid w:val="00FC65A4"/>
    <w:rsid w:val="00FC65FE"/>
    <w:rsid w:val="00FC66AE"/>
    <w:rsid w:val="00FC66D3"/>
    <w:rsid w:val="00FC66E0"/>
    <w:rsid w:val="00FC676B"/>
    <w:rsid w:val="00FC6770"/>
    <w:rsid w:val="00FC677A"/>
    <w:rsid w:val="00FC67BD"/>
    <w:rsid w:val="00FC67E0"/>
    <w:rsid w:val="00FC67EB"/>
    <w:rsid w:val="00FC6AAC"/>
    <w:rsid w:val="00FC6AEC"/>
    <w:rsid w:val="00FC6B3E"/>
    <w:rsid w:val="00FC6CA9"/>
    <w:rsid w:val="00FC6CC3"/>
    <w:rsid w:val="00FC6CD0"/>
    <w:rsid w:val="00FC6E23"/>
    <w:rsid w:val="00FC6E98"/>
    <w:rsid w:val="00FC6FC2"/>
    <w:rsid w:val="00FC70F4"/>
    <w:rsid w:val="00FC712A"/>
    <w:rsid w:val="00FC71D1"/>
    <w:rsid w:val="00FC745D"/>
    <w:rsid w:val="00FC7528"/>
    <w:rsid w:val="00FC7631"/>
    <w:rsid w:val="00FC772C"/>
    <w:rsid w:val="00FC7877"/>
    <w:rsid w:val="00FC78A9"/>
    <w:rsid w:val="00FC7928"/>
    <w:rsid w:val="00FC7C22"/>
    <w:rsid w:val="00FC7D92"/>
    <w:rsid w:val="00FC7DB9"/>
    <w:rsid w:val="00FC7E0F"/>
    <w:rsid w:val="00FC7E56"/>
    <w:rsid w:val="00FC7E7A"/>
    <w:rsid w:val="00FC7EA0"/>
    <w:rsid w:val="00FD007A"/>
    <w:rsid w:val="00FD012D"/>
    <w:rsid w:val="00FD01A2"/>
    <w:rsid w:val="00FD01F8"/>
    <w:rsid w:val="00FD02D8"/>
    <w:rsid w:val="00FD02DA"/>
    <w:rsid w:val="00FD0471"/>
    <w:rsid w:val="00FD051D"/>
    <w:rsid w:val="00FD0553"/>
    <w:rsid w:val="00FD057E"/>
    <w:rsid w:val="00FD06C6"/>
    <w:rsid w:val="00FD06F0"/>
    <w:rsid w:val="00FD078D"/>
    <w:rsid w:val="00FD084F"/>
    <w:rsid w:val="00FD08FD"/>
    <w:rsid w:val="00FD0925"/>
    <w:rsid w:val="00FD094F"/>
    <w:rsid w:val="00FD0A0A"/>
    <w:rsid w:val="00FD0B33"/>
    <w:rsid w:val="00FD0C04"/>
    <w:rsid w:val="00FD0C97"/>
    <w:rsid w:val="00FD0D05"/>
    <w:rsid w:val="00FD0DB2"/>
    <w:rsid w:val="00FD0E34"/>
    <w:rsid w:val="00FD0EB8"/>
    <w:rsid w:val="00FD0ED8"/>
    <w:rsid w:val="00FD1017"/>
    <w:rsid w:val="00FD10AC"/>
    <w:rsid w:val="00FD113C"/>
    <w:rsid w:val="00FD116C"/>
    <w:rsid w:val="00FD11C5"/>
    <w:rsid w:val="00FD1416"/>
    <w:rsid w:val="00FD145A"/>
    <w:rsid w:val="00FD14FB"/>
    <w:rsid w:val="00FD1689"/>
    <w:rsid w:val="00FD1D90"/>
    <w:rsid w:val="00FD1E07"/>
    <w:rsid w:val="00FD1E51"/>
    <w:rsid w:val="00FD1E83"/>
    <w:rsid w:val="00FD1EC1"/>
    <w:rsid w:val="00FD21F1"/>
    <w:rsid w:val="00FD2200"/>
    <w:rsid w:val="00FD2279"/>
    <w:rsid w:val="00FD2363"/>
    <w:rsid w:val="00FD23A8"/>
    <w:rsid w:val="00FD251B"/>
    <w:rsid w:val="00FD2566"/>
    <w:rsid w:val="00FD2728"/>
    <w:rsid w:val="00FD272E"/>
    <w:rsid w:val="00FD274C"/>
    <w:rsid w:val="00FD276A"/>
    <w:rsid w:val="00FD28B2"/>
    <w:rsid w:val="00FD2ABE"/>
    <w:rsid w:val="00FD2AC1"/>
    <w:rsid w:val="00FD2C41"/>
    <w:rsid w:val="00FD2EB1"/>
    <w:rsid w:val="00FD2EB9"/>
    <w:rsid w:val="00FD2EE7"/>
    <w:rsid w:val="00FD2F58"/>
    <w:rsid w:val="00FD2FEC"/>
    <w:rsid w:val="00FD30BF"/>
    <w:rsid w:val="00FD3146"/>
    <w:rsid w:val="00FD323A"/>
    <w:rsid w:val="00FD3244"/>
    <w:rsid w:val="00FD3290"/>
    <w:rsid w:val="00FD344B"/>
    <w:rsid w:val="00FD3606"/>
    <w:rsid w:val="00FD361A"/>
    <w:rsid w:val="00FD3689"/>
    <w:rsid w:val="00FD369B"/>
    <w:rsid w:val="00FD379D"/>
    <w:rsid w:val="00FD37AB"/>
    <w:rsid w:val="00FD37C3"/>
    <w:rsid w:val="00FD383B"/>
    <w:rsid w:val="00FD39D7"/>
    <w:rsid w:val="00FD39DD"/>
    <w:rsid w:val="00FD3A0C"/>
    <w:rsid w:val="00FD3B84"/>
    <w:rsid w:val="00FD3BCA"/>
    <w:rsid w:val="00FD3BD2"/>
    <w:rsid w:val="00FD3C06"/>
    <w:rsid w:val="00FD3C94"/>
    <w:rsid w:val="00FD3CBF"/>
    <w:rsid w:val="00FD3E13"/>
    <w:rsid w:val="00FD3E48"/>
    <w:rsid w:val="00FD3F3F"/>
    <w:rsid w:val="00FD40ED"/>
    <w:rsid w:val="00FD415B"/>
    <w:rsid w:val="00FD426A"/>
    <w:rsid w:val="00FD4308"/>
    <w:rsid w:val="00FD4352"/>
    <w:rsid w:val="00FD4369"/>
    <w:rsid w:val="00FD43FF"/>
    <w:rsid w:val="00FD4446"/>
    <w:rsid w:val="00FD445B"/>
    <w:rsid w:val="00FD44BC"/>
    <w:rsid w:val="00FD4512"/>
    <w:rsid w:val="00FD461F"/>
    <w:rsid w:val="00FD46A8"/>
    <w:rsid w:val="00FD46C6"/>
    <w:rsid w:val="00FD479C"/>
    <w:rsid w:val="00FD488B"/>
    <w:rsid w:val="00FD490E"/>
    <w:rsid w:val="00FD494E"/>
    <w:rsid w:val="00FD495C"/>
    <w:rsid w:val="00FD49B0"/>
    <w:rsid w:val="00FD4BBA"/>
    <w:rsid w:val="00FD4BE2"/>
    <w:rsid w:val="00FD4BF2"/>
    <w:rsid w:val="00FD4D61"/>
    <w:rsid w:val="00FD4E95"/>
    <w:rsid w:val="00FD5148"/>
    <w:rsid w:val="00FD5250"/>
    <w:rsid w:val="00FD5276"/>
    <w:rsid w:val="00FD52D0"/>
    <w:rsid w:val="00FD5361"/>
    <w:rsid w:val="00FD546E"/>
    <w:rsid w:val="00FD5508"/>
    <w:rsid w:val="00FD5541"/>
    <w:rsid w:val="00FD5939"/>
    <w:rsid w:val="00FD598F"/>
    <w:rsid w:val="00FD5A83"/>
    <w:rsid w:val="00FD5AA0"/>
    <w:rsid w:val="00FD5AB9"/>
    <w:rsid w:val="00FD5C96"/>
    <w:rsid w:val="00FD5CE4"/>
    <w:rsid w:val="00FD5CFF"/>
    <w:rsid w:val="00FD5DBF"/>
    <w:rsid w:val="00FD5E41"/>
    <w:rsid w:val="00FD5E57"/>
    <w:rsid w:val="00FD5EC3"/>
    <w:rsid w:val="00FD6000"/>
    <w:rsid w:val="00FD6068"/>
    <w:rsid w:val="00FD612A"/>
    <w:rsid w:val="00FD61BA"/>
    <w:rsid w:val="00FD636C"/>
    <w:rsid w:val="00FD63A3"/>
    <w:rsid w:val="00FD64F7"/>
    <w:rsid w:val="00FD6551"/>
    <w:rsid w:val="00FD65E3"/>
    <w:rsid w:val="00FD67B5"/>
    <w:rsid w:val="00FD68FE"/>
    <w:rsid w:val="00FD690F"/>
    <w:rsid w:val="00FD6942"/>
    <w:rsid w:val="00FD6A28"/>
    <w:rsid w:val="00FD6A4B"/>
    <w:rsid w:val="00FD6BA3"/>
    <w:rsid w:val="00FD6BFF"/>
    <w:rsid w:val="00FD6C61"/>
    <w:rsid w:val="00FD6D67"/>
    <w:rsid w:val="00FD6D96"/>
    <w:rsid w:val="00FD6E3D"/>
    <w:rsid w:val="00FD6F2D"/>
    <w:rsid w:val="00FD6FB0"/>
    <w:rsid w:val="00FD6FF0"/>
    <w:rsid w:val="00FD7142"/>
    <w:rsid w:val="00FD7207"/>
    <w:rsid w:val="00FD7214"/>
    <w:rsid w:val="00FD724C"/>
    <w:rsid w:val="00FD73BF"/>
    <w:rsid w:val="00FD7494"/>
    <w:rsid w:val="00FD7555"/>
    <w:rsid w:val="00FD7616"/>
    <w:rsid w:val="00FD7754"/>
    <w:rsid w:val="00FD779D"/>
    <w:rsid w:val="00FD78D9"/>
    <w:rsid w:val="00FD7A64"/>
    <w:rsid w:val="00FD7BD0"/>
    <w:rsid w:val="00FD7DC8"/>
    <w:rsid w:val="00FD7E7D"/>
    <w:rsid w:val="00FD7F0D"/>
    <w:rsid w:val="00FE00A4"/>
    <w:rsid w:val="00FE013E"/>
    <w:rsid w:val="00FE01BD"/>
    <w:rsid w:val="00FE0213"/>
    <w:rsid w:val="00FE031C"/>
    <w:rsid w:val="00FE03A9"/>
    <w:rsid w:val="00FE0416"/>
    <w:rsid w:val="00FE047D"/>
    <w:rsid w:val="00FE0554"/>
    <w:rsid w:val="00FE05B3"/>
    <w:rsid w:val="00FE05E2"/>
    <w:rsid w:val="00FE0653"/>
    <w:rsid w:val="00FE0A15"/>
    <w:rsid w:val="00FE0D9A"/>
    <w:rsid w:val="00FE0F16"/>
    <w:rsid w:val="00FE0F42"/>
    <w:rsid w:val="00FE0F56"/>
    <w:rsid w:val="00FE0FF1"/>
    <w:rsid w:val="00FE1184"/>
    <w:rsid w:val="00FE11EB"/>
    <w:rsid w:val="00FE11F9"/>
    <w:rsid w:val="00FE1253"/>
    <w:rsid w:val="00FE12F4"/>
    <w:rsid w:val="00FE139A"/>
    <w:rsid w:val="00FE1682"/>
    <w:rsid w:val="00FE1729"/>
    <w:rsid w:val="00FE17F0"/>
    <w:rsid w:val="00FE18D3"/>
    <w:rsid w:val="00FE1A8D"/>
    <w:rsid w:val="00FE1A93"/>
    <w:rsid w:val="00FE1AD9"/>
    <w:rsid w:val="00FE1ADF"/>
    <w:rsid w:val="00FE1AE6"/>
    <w:rsid w:val="00FE1B84"/>
    <w:rsid w:val="00FE1BDE"/>
    <w:rsid w:val="00FE1DD8"/>
    <w:rsid w:val="00FE1E45"/>
    <w:rsid w:val="00FE1EF6"/>
    <w:rsid w:val="00FE1F65"/>
    <w:rsid w:val="00FE201F"/>
    <w:rsid w:val="00FE20A1"/>
    <w:rsid w:val="00FE20E4"/>
    <w:rsid w:val="00FE21B7"/>
    <w:rsid w:val="00FE2355"/>
    <w:rsid w:val="00FE2443"/>
    <w:rsid w:val="00FE26B0"/>
    <w:rsid w:val="00FE2878"/>
    <w:rsid w:val="00FE287F"/>
    <w:rsid w:val="00FE2990"/>
    <w:rsid w:val="00FE2994"/>
    <w:rsid w:val="00FE2997"/>
    <w:rsid w:val="00FE29F5"/>
    <w:rsid w:val="00FE2BDE"/>
    <w:rsid w:val="00FE2BE0"/>
    <w:rsid w:val="00FE2C5E"/>
    <w:rsid w:val="00FE2CEF"/>
    <w:rsid w:val="00FE2D2A"/>
    <w:rsid w:val="00FE2D3B"/>
    <w:rsid w:val="00FE2F6C"/>
    <w:rsid w:val="00FE2FE6"/>
    <w:rsid w:val="00FE2FFF"/>
    <w:rsid w:val="00FE31FC"/>
    <w:rsid w:val="00FE3408"/>
    <w:rsid w:val="00FE34D6"/>
    <w:rsid w:val="00FE37C6"/>
    <w:rsid w:val="00FE37EF"/>
    <w:rsid w:val="00FE3A37"/>
    <w:rsid w:val="00FE3AAC"/>
    <w:rsid w:val="00FE3B11"/>
    <w:rsid w:val="00FE3B95"/>
    <w:rsid w:val="00FE42E6"/>
    <w:rsid w:val="00FE43C0"/>
    <w:rsid w:val="00FE451A"/>
    <w:rsid w:val="00FE4556"/>
    <w:rsid w:val="00FE45B0"/>
    <w:rsid w:val="00FE46A1"/>
    <w:rsid w:val="00FE46C4"/>
    <w:rsid w:val="00FE4808"/>
    <w:rsid w:val="00FE48B8"/>
    <w:rsid w:val="00FE498B"/>
    <w:rsid w:val="00FE49CA"/>
    <w:rsid w:val="00FE4A99"/>
    <w:rsid w:val="00FE4AEC"/>
    <w:rsid w:val="00FE4D4A"/>
    <w:rsid w:val="00FE4E2A"/>
    <w:rsid w:val="00FE4F39"/>
    <w:rsid w:val="00FE5014"/>
    <w:rsid w:val="00FE5027"/>
    <w:rsid w:val="00FE544F"/>
    <w:rsid w:val="00FE5700"/>
    <w:rsid w:val="00FE572E"/>
    <w:rsid w:val="00FE58CD"/>
    <w:rsid w:val="00FE593E"/>
    <w:rsid w:val="00FE5AE7"/>
    <w:rsid w:val="00FE5B7C"/>
    <w:rsid w:val="00FE5D0F"/>
    <w:rsid w:val="00FE5D4E"/>
    <w:rsid w:val="00FE5D4F"/>
    <w:rsid w:val="00FE5DBB"/>
    <w:rsid w:val="00FE5F00"/>
    <w:rsid w:val="00FE5F72"/>
    <w:rsid w:val="00FE5FAC"/>
    <w:rsid w:val="00FE601A"/>
    <w:rsid w:val="00FE6168"/>
    <w:rsid w:val="00FE61E0"/>
    <w:rsid w:val="00FE6228"/>
    <w:rsid w:val="00FE6232"/>
    <w:rsid w:val="00FE635C"/>
    <w:rsid w:val="00FE636D"/>
    <w:rsid w:val="00FE641A"/>
    <w:rsid w:val="00FE6426"/>
    <w:rsid w:val="00FE659D"/>
    <w:rsid w:val="00FE66F6"/>
    <w:rsid w:val="00FE6742"/>
    <w:rsid w:val="00FE678B"/>
    <w:rsid w:val="00FE6807"/>
    <w:rsid w:val="00FE68EC"/>
    <w:rsid w:val="00FE69C6"/>
    <w:rsid w:val="00FE6A08"/>
    <w:rsid w:val="00FE6A12"/>
    <w:rsid w:val="00FE6A27"/>
    <w:rsid w:val="00FE6A2A"/>
    <w:rsid w:val="00FE6A57"/>
    <w:rsid w:val="00FE6ACE"/>
    <w:rsid w:val="00FE6C7F"/>
    <w:rsid w:val="00FE6E7D"/>
    <w:rsid w:val="00FE6FAA"/>
    <w:rsid w:val="00FE701E"/>
    <w:rsid w:val="00FE7025"/>
    <w:rsid w:val="00FE71EB"/>
    <w:rsid w:val="00FE72D7"/>
    <w:rsid w:val="00FE735B"/>
    <w:rsid w:val="00FE741D"/>
    <w:rsid w:val="00FE744D"/>
    <w:rsid w:val="00FE7464"/>
    <w:rsid w:val="00FE74D2"/>
    <w:rsid w:val="00FE755A"/>
    <w:rsid w:val="00FE75D8"/>
    <w:rsid w:val="00FE772E"/>
    <w:rsid w:val="00FE7783"/>
    <w:rsid w:val="00FE781F"/>
    <w:rsid w:val="00FE7866"/>
    <w:rsid w:val="00FE795D"/>
    <w:rsid w:val="00FE7A04"/>
    <w:rsid w:val="00FE7C46"/>
    <w:rsid w:val="00FE7C79"/>
    <w:rsid w:val="00FE7C90"/>
    <w:rsid w:val="00FE7CC8"/>
    <w:rsid w:val="00FE7DE7"/>
    <w:rsid w:val="00FE7E80"/>
    <w:rsid w:val="00FE7F6A"/>
    <w:rsid w:val="00FF0030"/>
    <w:rsid w:val="00FF01FE"/>
    <w:rsid w:val="00FF0204"/>
    <w:rsid w:val="00FF030D"/>
    <w:rsid w:val="00FF0456"/>
    <w:rsid w:val="00FF04EE"/>
    <w:rsid w:val="00FF0663"/>
    <w:rsid w:val="00FF06B8"/>
    <w:rsid w:val="00FF07C0"/>
    <w:rsid w:val="00FF08AF"/>
    <w:rsid w:val="00FF097B"/>
    <w:rsid w:val="00FF09A3"/>
    <w:rsid w:val="00FF0B0C"/>
    <w:rsid w:val="00FF0BB2"/>
    <w:rsid w:val="00FF0CB1"/>
    <w:rsid w:val="00FF0CF5"/>
    <w:rsid w:val="00FF0CFE"/>
    <w:rsid w:val="00FF0D04"/>
    <w:rsid w:val="00FF0DAE"/>
    <w:rsid w:val="00FF0E66"/>
    <w:rsid w:val="00FF0E75"/>
    <w:rsid w:val="00FF0F61"/>
    <w:rsid w:val="00FF100C"/>
    <w:rsid w:val="00FF104A"/>
    <w:rsid w:val="00FF1346"/>
    <w:rsid w:val="00FF1472"/>
    <w:rsid w:val="00FF1528"/>
    <w:rsid w:val="00FF1689"/>
    <w:rsid w:val="00FF17CC"/>
    <w:rsid w:val="00FF1888"/>
    <w:rsid w:val="00FF18F0"/>
    <w:rsid w:val="00FF193E"/>
    <w:rsid w:val="00FF1A64"/>
    <w:rsid w:val="00FF1A77"/>
    <w:rsid w:val="00FF1B53"/>
    <w:rsid w:val="00FF1BF7"/>
    <w:rsid w:val="00FF1D0B"/>
    <w:rsid w:val="00FF1D55"/>
    <w:rsid w:val="00FF1DC7"/>
    <w:rsid w:val="00FF1E09"/>
    <w:rsid w:val="00FF1E2A"/>
    <w:rsid w:val="00FF1E8D"/>
    <w:rsid w:val="00FF1F44"/>
    <w:rsid w:val="00FF1FCF"/>
    <w:rsid w:val="00FF2020"/>
    <w:rsid w:val="00FF2075"/>
    <w:rsid w:val="00FF20B1"/>
    <w:rsid w:val="00FF21C6"/>
    <w:rsid w:val="00FF2229"/>
    <w:rsid w:val="00FF22E5"/>
    <w:rsid w:val="00FF23B8"/>
    <w:rsid w:val="00FF240B"/>
    <w:rsid w:val="00FF2428"/>
    <w:rsid w:val="00FF2436"/>
    <w:rsid w:val="00FF24A9"/>
    <w:rsid w:val="00FF2693"/>
    <w:rsid w:val="00FF26DA"/>
    <w:rsid w:val="00FF273B"/>
    <w:rsid w:val="00FF2774"/>
    <w:rsid w:val="00FF28CC"/>
    <w:rsid w:val="00FF2C20"/>
    <w:rsid w:val="00FF2D23"/>
    <w:rsid w:val="00FF2D36"/>
    <w:rsid w:val="00FF2D4E"/>
    <w:rsid w:val="00FF2DC6"/>
    <w:rsid w:val="00FF2E38"/>
    <w:rsid w:val="00FF3039"/>
    <w:rsid w:val="00FF31AB"/>
    <w:rsid w:val="00FF329D"/>
    <w:rsid w:val="00FF3393"/>
    <w:rsid w:val="00FF3522"/>
    <w:rsid w:val="00FF35BF"/>
    <w:rsid w:val="00FF3609"/>
    <w:rsid w:val="00FF3708"/>
    <w:rsid w:val="00FF37E6"/>
    <w:rsid w:val="00FF3890"/>
    <w:rsid w:val="00FF3A40"/>
    <w:rsid w:val="00FF3BDE"/>
    <w:rsid w:val="00FF3DCD"/>
    <w:rsid w:val="00FF3DD2"/>
    <w:rsid w:val="00FF3F00"/>
    <w:rsid w:val="00FF3F5A"/>
    <w:rsid w:val="00FF3FE0"/>
    <w:rsid w:val="00FF4060"/>
    <w:rsid w:val="00FF4066"/>
    <w:rsid w:val="00FF410C"/>
    <w:rsid w:val="00FF4172"/>
    <w:rsid w:val="00FF41F2"/>
    <w:rsid w:val="00FF421C"/>
    <w:rsid w:val="00FF43A2"/>
    <w:rsid w:val="00FF43B3"/>
    <w:rsid w:val="00FF4452"/>
    <w:rsid w:val="00FF44EE"/>
    <w:rsid w:val="00FF464B"/>
    <w:rsid w:val="00FF465D"/>
    <w:rsid w:val="00FF473E"/>
    <w:rsid w:val="00FF47BA"/>
    <w:rsid w:val="00FF47EE"/>
    <w:rsid w:val="00FF485D"/>
    <w:rsid w:val="00FF4899"/>
    <w:rsid w:val="00FF48A9"/>
    <w:rsid w:val="00FF491A"/>
    <w:rsid w:val="00FF4A88"/>
    <w:rsid w:val="00FF4BE0"/>
    <w:rsid w:val="00FF4DB7"/>
    <w:rsid w:val="00FF4DF1"/>
    <w:rsid w:val="00FF4DF7"/>
    <w:rsid w:val="00FF4E6B"/>
    <w:rsid w:val="00FF504D"/>
    <w:rsid w:val="00FF50B2"/>
    <w:rsid w:val="00FF5242"/>
    <w:rsid w:val="00FF52A8"/>
    <w:rsid w:val="00FF52B7"/>
    <w:rsid w:val="00FF53B5"/>
    <w:rsid w:val="00FF54B5"/>
    <w:rsid w:val="00FF54EA"/>
    <w:rsid w:val="00FF5519"/>
    <w:rsid w:val="00FF55BF"/>
    <w:rsid w:val="00FF5602"/>
    <w:rsid w:val="00FF5752"/>
    <w:rsid w:val="00FF59C0"/>
    <w:rsid w:val="00FF5A3B"/>
    <w:rsid w:val="00FF5A70"/>
    <w:rsid w:val="00FF5B24"/>
    <w:rsid w:val="00FF5B5C"/>
    <w:rsid w:val="00FF5B73"/>
    <w:rsid w:val="00FF5BAF"/>
    <w:rsid w:val="00FF5BE2"/>
    <w:rsid w:val="00FF5CEE"/>
    <w:rsid w:val="00FF5D9F"/>
    <w:rsid w:val="00FF5EE2"/>
    <w:rsid w:val="00FF5F19"/>
    <w:rsid w:val="00FF5F23"/>
    <w:rsid w:val="00FF6130"/>
    <w:rsid w:val="00FF6178"/>
    <w:rsid w:val="00FF623A"/>
    <w:rsid w:val="00FF635B"/>
    <w:rsid w:val="00FF6394"/>
    <w:rsid w:val="00FF63DB"/>
    <w:rsid w:val="00FF6605"/>
    <w:rsid w:val="00FF665B"/>
    <w:rsid w:val="00FF677D"/>
    <w:rsid w:val="00FF6791"/>
    <w:rsid w:val="00FF67D1"/>
    <w:rsid w:val="00FF67D7"/>
    <w:rsid w:val="00FF6821"/>
    <w:rsid w:val="00FF6885"/>
    <w:rsid w:val="00FF698D"/>
    <w:rsid w:val="00FF69B2"/>
    <w:rsid w:val="00FF6A1D"/>
    <w:rsid w:val="00FF6BC9"/>
    <w:rsid w:val="00FF6C3C"/>
    <w:rsid w:val="00FF6C58"/>
    <w:rsid w:val="00FF6D08"/>
    <w:rsid w:val="00FF6DA7"/>
    <w:rsid w:val="00FF6FCE"/>
    <w:rsid w:val="00FF7029"/>
    <w:rsid w:val="00FF711B"/>
    <w:rsid w:val="00FF71CE"/>
    <w:rsid w:val="00FF7286"/>
    <w:rsid w:val="00FF72B7"/>
    <w:rsid w:val="00FF743E"/>
    <w:rsid w:val="00FF7676"/>
    <w:rsid w:val="00FF76D2"/>
    <w:rsid w:val="00FF774E"/>
    <w:rsid w:val="00FF77A8"/>
    <w:rsid w:val="00FF78EE"/>
    <w:rsid w:val="00FF790D"/>
    <w:rsid w:val="00FF7983"/>
    <w:rsid w:val="00FF7AA8"/>
    <w:rsid w:val="00FF7B6E"/>
    <w:rsid w:val="00FF7D0D"/>
    <w:rsid w:val="00FF7D20"/>
    <w:rsid w:val="00FF7D2D"/>
    <w:rsid w:val="00FF7D56"/>
    <w:rsid w:val="01027DFD"/>
    <w:rsid w:val="0118F50D"/>
    <w:rsid w:val="012BFE99"/>
    <w:rsid w:val="013A3732"/>
    <w:rsid w:val="0161F05E"/>
    <w:rsid w:val="016B8A72"/>
    <w:rsid w:val="01842484"/>
    <w:rsid w:val="01863F68"/>
    <w:rsid w:val="01967DA6"/>
    <w:rsid w:val="01A551D1"/>
    <w:rsid w:val="01BDD6C4"/>
    <w:rsid w:val="02018B7D"/>
    <w:rsid w:val="0205941D"/>
    <w:rsid w:val="022FD87A"/>
    <w:rsid w:val="024F136C"/>
    <w:rsid w:val="0250A309"/>
    <w:rsid w:val="02534DDB"/>
    <w:rsid w:val="025D7106"/>
    <w:rsid w:val="0265BE34"/>
    <w:rsid w:val="0289F5E1"/>
    <w:rsid w:val="02932F04"/>
    <w:rsid w:val="02A80BE9"/>
    <w:rsid w:val="02EBE7D8"/>
    <w:rsid w:val="03063E06"/>
    <w:rsid w:val="030BC18A"/>
    <w:rsid w:val="031F9B20"/>
    <w:rsid w:val="03406D57"/>
    <w:rsid w:val="034A9D3E"/>
    <w:rsid w:val="03772BE8"/>
    <w:rsid w:val="038686B7"/>
    <w:rsid w:val="03B2C95D"/>
    <w:rsid w:val="03B4646A"/>
    <w:rsid w:val="03BCFDF0"/>
    <w:rsid w:val="03DC287C"/>
    <w:rsid w:val="03E55411"/>
    <w:rsid w:val="0417E7D7"/>
    <w:rsid w:val="04258F35"/>
    <w:rsid w:val="044137DB"/>
    <w:rsid w:val="0446AAF8"/>
    <w:rsid w:val="0446DEB8"/>
    <w:rsid w:val="04730F4E"/>
    <w:rsid w:val="0479A7C9"/>
    <w:rsid w:val="04843226"/>
    <w:rsid w:val="0484CC1C"/>
    <w:rsid w:val="04A40F1C"/>
    <w:rsid w:val="04B0D1A9"/>
    <w:rsid w:val="04B97419"/>
    <w:rsid w:val="04E345B3"/>
    <w:rsid w:val="0504FEB3"/>
    <w:rsid w:val="0530D928"/>
    <w:rsid w:val="0546027B"/>
    <w:rsid w:val="0569937B"/>
    <w:rsid w:val="05B6672A"/>
    <w:rsid w:val="05BDE79F"/>
    <w:rsid w:val="05C24EE6"/>
    <w:rsid w:val="05D3850C"/>
    <w:rsid w:val="05EE87A5"/>
    <w:rsid w:val="05F2A14A"/>
    <w:rsid w:val="0624B76B"/>
    <w:rsid w:val="062FD989"/>
    <w:rsid w:val="065C3995"/>
    <w:rsid w:val="06633CDA"/>
    <w:rsid w:val="0683B989"/>
    <w:rsid w:val="06897623"/>
    <w:rsid w:val="069D9A72"/>
    <w:rsid w:val="06C9D4CA"/>
    <w:rsid w:val="06D8C383"/>
    <w:rsid w:val="06DD2A90"/>
    <w:rsid w:val="06F1601D"/>
    <w:rsid w:val="06F2E938"/>
    <w:rsid w:val="06FAEA9F"/>
    <w:rsid w:val="0708EA94"/>
    <w:rsid w:val="07204C50"/>
    <w:rsid w:val="07242807"/>
    <w:rsid w:val="072DC39C"/>
    <w:rsid w:val="07448336"/>
    <w:rsid w:val="075A6F12"/>
    <w:rsid w:val="075ED902"/>
    <w:rsid w:val="07703DDD"/>
    <w:rsid w:val="07954EF9"/>
    <w:rsid w:val="07A1E153"/>
    <w:rsid w:val="07A57EC7"/>
    <w:rsid w:val="07AFBCD7"/>
    <w:rsid w:val="07B10150"/>
    <w:rsid w:val="07CBAEA8"/>
    <w:rsid w:val="07D85683"/>
    <w:rsid w:val="07DC7BA7"/>
    <w:rsid w:val="07DCF36B"/>
    <w:rsid w:val="07F2D208"/>
    <w:rsid w:val="0815AFCC"/>
    <w:rsid w:val="081732BE"/>
    <w:rsid w:val="08379DE7"/>
    <w:rsid w:val="084C78CB"/>
    <w:rsid w:val="0862AF4E"/>
    <w:rsid w:val="08729BA3"/>
    <w:rsid w:val="0891BDE2"/>
    <w:rsid w:val="089763EB"/>
    <w:rsid w:val="08982E24"/>
    <w:rsid w:val="08A39F91"/>
    <w:rsid w:val="08AB5FC3"/>
    <w:rsid w:val="08AD8185"/>
    <w:rsid w:val="08ADC27E"/>
    <w:rsid w:val="08AF1BD8"/>
    <w:rsid w:val="08B00F6B"/>
    <w:rsid w:val="08CB4FCF"/>
    <w:rsid w:val="08D62A4B"/>
    <w:rsid w:val="08DD88DE"/>
    <w:rsid w:val="08E3AE76"/>
    <w:rsid w:val="08E5C4C4"/>
    <w:rsid w:val="08EF53A1"/>
    <w:rsid w:val="08FF451B"/>
    <w:rsid w:val="09017ED4"/>
    <w:rsid w:val="0906219D"/>
    <w:rsid w:val="09064B36"/>
    <w:rsid w:val="09276650"/>
    <w:rsid w:val="093B8ED7"/>
    <w:rsid w:val="095EFF12"/>
    <w:rsid w:val="096653C5"/>
    <w:rsid w:val="098B6DD0"/>
    <w:rsid w:val="099194AE"/>
    <w:rsid w:val="09AEC8FA"/>
    <w:rsid w:val="09BEA363"/>
    <w:rsid w:val="09E3E401"/>
    <w:rsid w:val="09E69FE8"/>
    <w:rsid w:val="09F77E42"/>
    <w:rsid w:val="09FCC714"/>
    <w:rsid w:val="0A0501E1"/>
    <w:rsid w:val="0A147144"/>
    <w:rsid w:val="0A2CF4B4"/>
    <w:rsid w:val="0A4B70E5"/>
    <w:rsid w:val="0A559E0F"/>
    <w:rsid w:val="0A89872E"/>
    <w:rsid w:val="0A95BEE1"/>
    <w:rsid w:val="0AB59E79"/>
    <w:rsid w:val="0AB6D1AB"/>
    <w:rsid w:val="0AB82F6B"/>
    <w:rsid w:val="0AB915E8"/>
    <w:rsid w:val="0AE919B7"/>
    <w:rsid w:val="0AFADF69"/>
    <w:rsid w:val="0B17F885"/>
    <w:rsid w:val="0B25BE9F"/>
    <w:rsid w:val="0B42A931"/>
    <w:rsid w:val="0B52CEA2"/>
    <w:rsid w:val="0B6C747D"/>
    <w:rsid w:val="0B94E39F"/>
    <w:rsid w:val="0B9F507D"/>
    <w:rsid w:val="0BAB0A48"/>
    <w:rsid w:val="0BADFE51"/>
    <w:rsid w:val="0BCE01E5"/>
    <w:rsid w:val="0BDA2105"/>
    <w:rsid w:val="0BDEAF8B"/>
    <w:rsid w:val="0BEA0B81"/>
    <w:rsid w:val="0C4D2D06"/>
    <w:rsid w:val="0C5BD856"/>
    <w:rsid w:val="0C889048"/>
    <w:rsid w:val="0C961B29"/>
    <w:rsid w:val="0C9E6A66"/>
    <w:rsid w:val="0CE48262"/>
    <w:rsid w:val="0D0053D7"/>
    <w:rsid w:val="0D24D153"/>
    <w:rsid w:val="0D3D218E"/>
    <w:rsid w:val="0D431958"/>
    <w:rsid w:val="0D50FD41"/>
    <w:rsid w:val="0D9467C1"/>
    <w:rsid w:val="0D949DF7"/>
    <w:rsid w:val="0E0A6C3B"/>
    <w:rsid w:val="0E1ACAC7"/>
    <w:rsid w:val="0E4748B0"/>
    <w:rsid w:val="0E62B031"/>
    <w:rsid w:val="0EA6BC44"/>
    <w:rsid w:val="0EB15327"/>
    <w:rsid w:val="0EC290F3"/>
    <w:rsid w:val="0EC6219F"/>
    <w:rsid w:val="0EC67F7C"/>
    <w:rsid w:val="0EC81E32"/>
    <w:rsid w:val="0EE3ADD0"/>
    <w:rsid w:val="0EF44CD3"/>
    <w:rsid w:val="0EF86722"/>
    <w:rsid w:val="0F0D9D4A"/>
    <w:rsid w:val="0F2EED3F"/>
    <w:rsid w:val="0F38A244"/>
    <w:rsid w:val="0F601BD9"/>
    <w:rsid w:val="0F73BA6B"/>
    <w:rsid w:val="0F76E4B4"/>
    <w:rsid w:val="0F9A9D20"/>
    <w:rsid w:val="0FB71C2F"/>
    <w:rsid w:val="0FBBDB57"/>
    <w:rsid w:val="0FF4A93B"/>
    <w:rsid w:val="101476BC"/>
    <w:rsid w:val="1031ABF7"/>
    <w:rsid w:val="103F80A2"/>
    <w:rsid w:val="1059FD7A"/>
    <w:rsid w:val="10773D7D"/>
    <w:rsid w:val="10927133"/>
    <w:rsid w:val="1096CE16"/>
    <w:rsid w:val="1098D852"/>
    <w:rsid w:val="10995ED9"/>
    <w:rsid w:val="10A5D30C"/>
    <w:rsid w:val="10AE459C"/>
    <w:rsid w:val="10C33174"/>
    <w:rsid w:val="10C64AC4"/>
    <w:rsid w:val="1103B9F5"/>
    <w:rsid w:val="1112EAA5"/>
    <w:rsid w:val="1121BA8B"/>
    <w:rsid w:val="1130442D"/>
    <w:rsid w:val="113356D1"/>
    <w:rsid w:val="11484069"/>
    <w:rsid w:val="11634322"/>
    <w:rsid w:val="116FEB7B"/>
    <w:rsid w:val="1176A2C6"/>
    <w:rsid w:val="118506C0"/>
    <w:rsid w:val="11A02119"/>
    <w:rsid w:val="11E10ACB"/>
    <w:rsid w:val="11F38CC9"/>
    <w:rsid w:val="1236E06B"/>
    <w:rsid w:val="123AD838"/>
    <w:rsid w:val="1287F42C"/>
    <w:rsid w:val="12CDB72C"/>
    <w:rsid w:val="12CF1224"/>
    <w:rsid w:val="12D27852"/>
    <w:rsid w:val="12D94299"/>
    <w:rsid w:val="12E46074"/>
    <w:rsid w:val="12E4680B"/>
    <w:rsid w:val="12E71202"/>
    <w:rsid w:val="12F15FDD"/>
    <w:rsid w:val="12F92715"/>
    <w:rsid w:val="12FCB329"/>
    <w:rsid w:val="12FCBE7D"/>
    <w:rsid w:val="1303DF50"/>
    <w:rsid w:val="1318CD37"/>
    <w:rsid w:val="132A9540"/>
    <w:rsid w:val="13443B9A"/>
    <w:rsid w:val="135601F1"/>
    <w:rsid w:val="138AD3DA"/>
    <w:rsid w:val="13B6D1CD"/>
    <w:rsid w:val="13BF1354"/>
    <w:rsid w:val="13C29B99"/>
    <w:rsid w:val="13D7E7A6"/>
    <w:rsid w:val="13E8044D"/>
    <w:rsid w:val="1406BBBF"/>
    <w:rsid w:val="1426F627"/>
    <w:rsid w:val="14282132"/>
    <w:rsid w:val="1432C1C2"/>
    <w:rsid w:val="1456AF4F"/>
    <w:rsid w:val="1457854E"/>
    <w:rsid w:val="146A02C1"/>
    <w:rsid w:val="14707A3F"/>
    <w:rsid w:val="14743941"/>
    <w:rsid w:val="1485AE5E"/>
    <w:rsid w:val="1486D5DF"/>
    <w:rsid w:val="149C331F"/>
    <w:rsid w:val="14A3F92F"/>
    <w:rsid w:val="1529BD8F"/>
    <w:rsid w:val="1529CBFD"/>
    <w:rsid w:val="154300C9"/>
    <w:rsid w:val="158B470E"/>
    <w:rsid w:val="159DF8F9"/>
    <w:rsid w:val="15E6DCEC"/>
    <w:rsid w:val="15F3956B"/>
    <w:rsid w:val="15F5FC6C"/>
    <w:rsid w:val="1605120F"/>
    <w:rsid w:val="163B9C0C"/>
    <w:rsid w:val="163DC03A"/>
    <w:rsid w:val="16410828"/>
    <w:rsid w:val="166155D0"/>
    <w:rsid w:val="166E91E2"/>
    <w:rsid w:val="16911B49"/>
    <w:rsid w:val="16B68414"/>
    <w:rsid w:val="16C07091"/>
    <w:rsid w:val="16D1646A"/>
    <w:rsid w:val="16D8EE2D"/>
    <w:rsid w:val="16E6631B"/>
    <w:rsid w:val="16F3FFAE"/>
    <w:rsid w:val="171C2471"/>
    <w:rsid w:val="1738A24C"/>
    <w:rsid w:val="1763722D"/>
    <w:rsid w:val="176E9FB4"/>
    <w:rsid w:val="17717F17"/>
    <w:rsid w:val="178492C5"/>
    <w:rsid w:val="178ACB55"/>
    <w:rsid w:val="17B567B4"/>
    <w:rsid w:val="17C06871"/>
    <w:rsid w:val="17C5A357"/>
    <w:rsid w:val="17C64984"/>
    <w:rsid w:val="17D75003"/>
    <w:rsid w:val="17DD124F"/>
    <w:rsid w:val="180E0986"/>
    <w:rsid w:val="181046FB"/>
    <w:rsid w:val="18355CE0"/>
    <w:rsid w:val="1850ADC5"/>
    <w:rsid w:val="1874C1FE"/>
    <w:rsid w:val="187B9E86"/>
    <w:rsid w:val="187F15BF"/>
    <w:rsid w:val="187F3E82"/>
    <w:rsid w:val="188FD34E"/>
    <w:rsid w:val="18BF78AB"/>
    <w:rsid w:val="18C80F22"/>
    <w:rsid w:val="18C89932"/>
    <w:rsid w:val="18F275F7"/>
    <w:rsid w:val="18FEEDE1"/>
    <w:rsid w:val="19108415"/>
    <w:rsid w:val="19224F12"/>
    <w:rsid w:val="19252EE1"/>
    <w:rsid w:val="19272E8E"/>
    <w:rsid w:val="193C9DF0"/>
    <w:rsid w:val="195B61D7"/>
    <w:rsid w:val="19705F5B"/>
    <w:rsid w:val="1973CFB2"/>
    <w:rsid w:val="197E43C6"/>
    <w:rsid w:val="19ADAE3F"/>
    <w:rsid w:val="19B04424"/>
    <w:rsid w:val="19B08AA4"/>
    <w:rsid w:val="19B1B136"/>
    <w:rsid w:val="19B31F65"/>
    <w:rsid w:val="19D5A906"/>
    <w:rsid w:val="19D73822"/>
    <w:rsid w:val="19D79382"/>
    <w:rsid w:val="19DD34CA"/>
    <w:rsid w:val="1A040CCC"/>
    <w:rsid w:val="1A0BA42A"/>
    <w:rsid w:val="1A1914CE"/>
    <w:rsid w:val="1A1957F3"/>
    <w:rsid w:val="1A229FB4"/>
    <w:rsid w:val="1A3A99FA"/>
    <w:rsid w:val="1A3EB398"/>
    <w:rsid w:val="1A49D821"/>
    <w:rsid w:val="1AC5ADAA"/>
    <w:rsid w:val="1B03A2F9"/>
    <w:rsid w:val="1B1BE9BE"/>
    <w:rsid w:val="1B1D073E"/>
    <w:rsid w:val="1B204210"/>
    <w:rsid w:val="1B57055D"/>
    <w:rsid w:val="1B608F5F"/>
    <w:rsid w:val="1B9C814B"/>
    <w:rsid w:val="1BCA4B95"/>
    <w:rsid w:val="1BD7C788"/>
    <w:rsid w:val="1BE2ED7E"/>
    <w:rsid w:val="1BE42A39"/>
    <w:rsid w:val="1C362078"/>
    <w:rsid w:val="1C565FD8"/>
    <w:rsid w:val="1C78C601"/>
    <w:rsid w:val="1CA6F86F"/>
    <w:rsid w:val="1CE24F03"/>
    <w:rsid w:val="1CF76BAC"/>
    <w:rsid w:val="1D0E60CE"/>
    <w:rsid w:val="1D229778"/>
    <w:rsid w:val="1D3C73E4"/>
    <w:rsid w:val="1D47814F"/>
    <w:rsid w:val="1D500BD5"/>
    <w:rsid w:val="1D6320C8"/>
    <w:rsid w:val="1D69642C"/>
    <w:rsid w:val="1D6D7C02"/>
    <w:rsid w:val="1D7424B5"/>
    <w:rsid w:val="1D7CD02A"/>
    <w:rsid w:val="1D8F6C46"/>
    <w:rsid w:val="1D90E034"/>
    <w:rsid w:val="1DB4ED97"/>
    <w:rsid w:val="1DE306F9"/>
    <w:rsid w:val="1DEE04DB"/>
    <w:rsid w:val="1DFF906E"/>
    <w:rsid w:val="1E055A0A"/>
    <w:rsid w:val="1E39E705"/>
    <w:rsid w:val="1E408468"/>
    <w:rsid w:val="1E6C0ADD"/>
    <w:rsid w:val="1E6C692D"/>
    <w:rsid w:val="1E87270E"/>
    <w:rsid w:val="1E9ECC9C"/>
    <w:rsid w:val="1EC7168B"/>
    <w:rsid w:val="1EF14CCD"/>
    <w:rsid w:val="1EF8AB47"/>
    <w:rsid w:val="1EFC0095"/>
    <w:rsid w:val="1F3316E4"/>
    <w:rsid w:val="1F33AF7C"/>
    <w:rsid w:val="1F39D2C1"/>
    <w:rsid w:val="1F3FADDA"/>
    <w:rsid w:val="1F588B06"/>
    <w:rsid w:val="1F80F7FB"/>
    <w:rsid w:val="1FA23F89"/>
    <w:rsid w:val="1FB79F7C"/>
    <w:rsid w:val="1FB93B4B"/>
    <w:rsid w:val="1FCECDD0"/>
    <w:rsid w:val="1FE42069"/>
    <w:rsid w:val="1FF791FF"/>
    <w:rsid w:val="1FFF87D5"/>
    <w:rsid w:val="200B2AD6"/>
    <w:rsid w:val="201AC1C5"/>
    <w:rsid w:val="2031C8CC"/>
    <w:rsid w:val="2038CC13"/>
    <w:rsid w:val="204C0994"/>
    <w:rsid w:val="207F60D7"/>
    <w:rsid w:val="208B998B"/>
    <w:rsid w:val="20984B4A"/>
    <w:rsid w:val="20A1F4D4"/>
    <w:rsid w:val="20B96FC3"/>
    <w:rsid w:val="20D66597"/>
    <w:rsid w:val="210224B0"/>
    <w:rsid w:val="2104E298"/>
    <w:rsid w:val="2105A219"/>
    <w:rsid w:val="21061E1B"/>
    <w:rsid w:val="21203030"/>
    <w:rsid w:val="2124D0D2"/>
    <w:rsid w:val="2128F2EF"/>
    <w:rsid w:val="212F00CD"/>
    <w:rsid w:val="21380ABC"/>
    <w:rsid w:val="21548271"/>
    <w:rsid w:val="21689660"/>
    <w:rsid w:val="216B64C2"/>
    <w:rsid w:val="219B7282"/>
    <w:rsid w:val="21B51E54"/>
    <w:rsid w:val="21C5E030"/>
    <w:rsid w:val="21CA5470"/>
    <w:rsid w:val="21D19FF7"/>
    <w:rsid w:val="21FC237A"/>
    <w:rsid w:val="221A7467"/>
    <w:rsid w:val="2231D6D6"/>
    <w:rsid w:val="22362062"/>
    <w:rsid w:val="224AF3D2"/>
    <w:rsid w:val="2274CF3A"/>
    <w:rsid w:val="22857D1F"/>
    <w:rsid w:val="228F82E2"/>
    <w:rsid w:val="22B9D7FE"/>
    <w:rsid w:val="22C07EA0"/>
    <w:rsid w:val="22CF1DC9"/>
    <w:rsid w:val="2309B921"/>
    <w:rsid w:val="2315490A"/>
    <w:rsid w:val="235835AA"/>
    <w:rsid w:val="235F37FA"/>
    <w:rsid w:val="23710592"/>
    <w:rsid w:val="2381D108"/>
    <w:rsid w:val="23892463"/>
    <w:rsid w:val="238AFD71"/>
    <w:rsid w:val="23925C03"/>
    <w:rsid w:val="2398744D"/>
    <w:rsid w:val="23F9B343"/>
    <w:rsid w:val="24341676"/>
    <w:rsid w:val="244B5A3E"/>
    <w:rsid w:val="247FF88C"/>
    <w:rsid w:val="2482A194"/>
    <w:rsid w:val="248EAC82"/>
    <w:rsid w:val="24952922"/>
    <w:rsid w:val="249D28D6"/>
    <w:rsid w:val="24CE75B9"/>
    <w:rsid w:val="24D35824"/>
    <w:rsid w:val="24F47C48"/>
    <w:rsid w:val="25187CE6"/>
    <w:rsid w:val="25216A11"/>
    <w:rsid w:val="252CAB6F"/>
    <w:rsid w:val="25330BAF"/>
    <w:rsid w:val="25438F0A"/>
    <w:rsid w:val="255D044F"/>
    <w:rsid w:val="257792FE"/>
    <w:rsid w:val="259094B1"/>
    <w:rsid w:val="25977DAC"/>
    <w:rsid w:val="2597B021"/>
    <w:rsid w:val="259BBE5E"/>
    <w:rsid w:val="25BE8F85"/>
    <w:rsid w:val="25D013B5"/>
    <w:rsid w:val="25F2BB45"/>
    <w:rsid w:val="25F5BAAE"/>
    <w:rsid w:val="25F66B3E"/>
    <w:rsid w:val="262821AE"/>
    <w:rsid w:val="262C4F5D"/>
    <w:rsid w:val="2630A055"/>
    <w:rsid w:val="2639620A"/>
    <w:rsid w:val="2644F074"/>
    <w:rsid w:val="264CD1EB"/>
    <w:rsid w:val="265182EC"/>
    <w:rsid w:val="2691AB9B"/>
    <w:rsid w:val="26A698A5"/>
    <w:rsid w:val="26AB7F45"/>
    <w:rsid w:val="26AE6A5B"/>
    <w:rsid w:val="26AF278B"/>
    <w:rsid w:val="26B5A555"/>
    <w:rsid w:val="26CA4D31"/>
    <w:rsid w:val="26D40301"/>
    <w:rsid w:val="26D668E6"/>
    <w:rsid w:val="26F44224"/>
    <w:rsid w:val="270070E1"/>
    <w:rsid w:val="27133236"/>
    <w:rsid w:val="274172ED"/>
    <w:rsid w:val="2743825F"/>
    <w:rsid w:val="2754D5A2"/>
    <w:rsid w:val="27665592"/>
    <w:rsid w:val="279273E2"/>
    <w:rsid w:val="2795A8BF"/>
    <w:rsid w:val="279789E7"/>
    <w:rsid w:val="27ABF942"/>
    <w:rsid w:val="27CE45F5"/>
    <w:rsid w:val="27E79563"/>
    <w:rsid w:val="27FBCEC2"/>
    <w:rsid w:val="2801FDA4"/>
    <w:rsid w:val="281A5951"/>
    <w:rsid w:val="2853D192"/>
    <w:rsid w:val="2885705D"/>
    <w:rsid w:val="2885DC7E"/>
    <w:rsid w:val="28AB4978"/>
    <w:rsid w:val="28E9CD81"/>
    <w:rsid w:val="2900EF84"/>
    <w:rsid w:val="2904904F"/>
    <w:rsid w:val="290B9CDD"/>
    <w:rsid w:val="290C8E7D"/>
    <w:rsid w:val="2912F17C"/>
    <w:rsid w:val="29331CFF"/>
    <w:rsid w:val="2941D91A"/>
    <w:rsid w:val="2947C36E"/>
    <w:rsid w:val="2949E7D0"/>
    <w:rsid w:val="294D057A"/>
    <w:rsid w:val="2954F73B"/>
    <w:rsid w:val="29577670"/>
    <w:rsid w:val="295E8142"/>
    <w:rsid w:val="295EEE02"/>
    <w:rsid w:val="296F1338"/>
    <w:rsid w:val="29926C5C"/>
    <w:rsid w:val="29A3474D"/>
    <w:rsid w:val="29AD26FA"/>
    <w:rsid w:val="29B612EC"/>
    <w:rsid w:val="29B62FA1"/>
    <w:rsid w:val="29BE8887"/>
    <w:rsid w:val="29D43D76"/>
    <w:rsid w:val="29F729C7"/>
    <w:rsid w:val="29F7F3C7"/>
    <w:rsid w:val="2A16EE49"/>
    <w:rsid w:val="2A5350E8"/>
    <w:rsid w:val="2A613583"/>
    <w:rsid w:val="2A6A352A"/>
    <w:rsid w:val="2A7AA677"/>
    <w:rsid w:val="2A902D91"/>
    <w:rsid w:val="2A9D824B"/>
    <w:rsid w:val="2AACD96C"/>
    <w:rsid w:val="2AE7660A"/>
    <w:rsid w:val="2B06D932"/>
    <w:rsid w:val="2B0DF127"/>
    <w:rsid w:val="2B0F8B69"/>
    <w:rsid w:val="2B333E43"/>
    <w:rsid w:val="2B352D7D"/>
    <w:rsid w:val="2B400B31"/>
    <w:rsid w:val="2B4943DA"/>
    <w:rsid w:val="2B4C4B15"/>
    <w:rsid w:val="2B51165D"/>
    <w:rsid w:val="2B61DD1E"/>
    <w:rsid w:val="2B79220F"/>
    <w:rsid w:val="2B8303D2"/>
    <w:rsid w:val="2B841CEB"/>
    <w:rsid w:val="2B8EF691"/>
    <w:rsid w:val="2B9EEC05"/>
    <w:rsid w:val="2BB0FE67"/>
    <w:rsid w:val="2BC156A4"/>
    <w:rsid w:val="2BF0DAE0"/>
    <w:rsid w:val="2BF54DC9"/>
    <w:rsid w:val="2C19EF7E"/>
    <w:rsid w:val="2C3A2885"/>
    <w:rsid w:val="2C6D5AB6"/>
    <w:rsid w:val="2C73AF45"/>
    <w:rsid w:val="2C9F5882"/>
    <w:rsid w:val="2CA9E39F"/>
    <w:rsid w:val="2CAB8DE8"/>
    <w:rsid w:val="2CADFFA1"/>
    <w:rsid w:val="2CF0F451"/>
    <w:rsid w:val="2D159CBC"/>
    <w:rsid w:val="2D1847BE"/>
    <w:rsid w:val="2D1BD772"/>
    <w:rsid w:val="2D27EABB"/>
    <w:rsid w:val="2D3C6F5E"/>
    <w:rsid w:val="2D61928E"/>
    <w:rsid w:val="2D7DA729"/>
    <w:rsid w:val="2D945C68"/>
    <w:rsid w:val="2DC1DB22"/>
    <w:rsid w:val="2DCF7BBA"/>
    <w:rsid w:val="2DFDFFCB"/>
    <w:rsid w:val="2E0B28E6"/>
    <w:rsid w:val="2E3AA354"/>
    <w:rsid w:val="2E433D33"/>
    <w:rsid w:val="2E78E16F"/>
    <w:rsid w:val="2E89CEDF"/>
    <w:rsid w:val="2E9F3837"/>
    <w:rsid w:val="2EB54505"/>
    <w:rsid w:val="2EBC877D"/>
    <w:rsid w:val="2EC3D7A5"/>
    <w:rsid w:val="2EC70DA5"/>
    <w:rsid w:val="2ECF7C84"/>
    <w:rsid w:val="2ED41ED9"/>
    <w:rsid w:val="2ED57B28"/>
    <w:rsid w:val="2EE8AAA5"/>
    <w:rsid w:val="2F2D622D"/>
    <w:rsid w:val="2F33AA6B"/>
    <w:rsid w:val="2F438A8F"/>
    <w:rsid w:val="2F5F65C2"/>
    <w:rsid w:val="2F66E7D8"/>
    <w:rsid w:val="2F696797"/>
    <w:rsid w:val="2F6CBAC4"/>
    <w:rsid w:val="2F75E2DB"/>
    <w:rsid w:val="2FC35625"/>
    <w:rsid w:val="2FDAAA2A"/>
    <w:rsid w:val="2FED5CC6"/>
    <w:rsid w:val="2FF023B9"/>
    <w:rsid w:val="2FFDA180"/>
    <w:rsid w:val="30134A75"/>
    <w:rsid w:val="301E827F"/>
    <w:rsid w:val="3031EC40"/>
    <w:rsid w:val="303F2329"/>
    <w:rsid w:val="306EB896"/>
    <w:rsid w:val="309E67DB"/>
    <w:rsid w:val="30AA074B"/>
    <w:rsid w:val="30D28073"/>
    <w:rsid w:val="30F0E373"/>
    <w:rsid w:val="30FF5213"/>
    <w:rsid w:val="310E3D04"/>
    <w:rsid w:val="3120C2FD"/>
    <w:rsid w:val="31210156"/>
    <w:rsid w:val="3122D399"/>
    <w:rsid w:val="314FB1E8"/>
    <w:rsid w:val="3160F25B"/>
    <w:rsid w:val="317C1D51"/>
    <w:rsid w:val="31A53C2D"/>
    <w:rsid w:val="31C81DC9"/>
    <w:rsid w:val="31CB946B"/>
    <w:rsid w:val="31CEAFA0"/>
    <w:rsid w:val="31E2A88B"/>
    <w:rsid w:val="31E7C086"/>
    <w:rsid w:val="31F4A69E"/>
    <w:rsid w:val="322B9986"/>
    <w:rsid w:val="3249FD77"/>
    <w:rsid w:val="324CEFFC"/>
    <w:rsid w:val="3254C342"/>
    <w:rsid w:val="325688B9"/>
    <w:rsid w:val="327AD0FB"/>
    <w:rsid w:val="328B1005"/>
    <w:rsid w:val="32A60997"/>
    <w:rsid w:val="331F0AEB"/>
    <w:rsid w:val="33481F2B"/>
    <w:rsid w:val="335A6CEB"/>
    <w:rsid w:val="33666EAE"/>
    <w:rsid w:val="336E7DDD"/>
    <w:rsid w:val="336F4192"/>
    <w:rsid w:val="339855A7"/>
    <w:rsid w:val="33E90838"/>
    <w:rsid w:val="33F7D390"/>
    <w:rsid w:val="33F7F13B"/>
    <w:rsid w:val="34067727"/>
    <w:rsid w:val="341151D4"/>
    <w:rsid w:val="3431F34A"/>
    <w:rsid w:val="343A4348"/>
    <w:rsid w:val="343AEB8B"/>
    <w:rsid w:val="343E6CAB"/>
    <w:rsid w:val="3451B4F1"/>
    <w:rsid w:val="346D6D64"/>
    <w:rsid w:val="3499ADD4"/>
    <w:rsid w:val="34A1D8FF"/>
    <w:rsid w:val="34BCD729"/>
    <w:rsid w:val="34C2F634"/>
    <w:rsid w:val="34CA19B6"/>
    <w:rsid w:val="34D1530B"/>
    <w:rsid w:val="34D30FB6"/>
    <w:rsid w:val="34D8C4C6"/>
    <w:rsid w:val="34DA0AE9"/>
    <w:rsid w:val="34DB72BD"/>
    <w:rsid w:val="34DC6208"/>
    <w:rsid w:val="350C28EC"/>
    <w:rsid w:val="351B231D"/>
    <w:rsid w:val="35212963"/>
    <w:rsid w:val="3522D286"/>
    <w:rsid w:val="352A6099"/>
    <w:rsid w:val="353BA659"/>
    <w:rsid w:val="354579E7"/>
    <w:rsid w:val="35514CFD"/>
    <w:rsid w:val="3557BE1A"/>
    <w:rsid w:val="3559C450"/>
    <w:rsid w:val="3560CFFD"/>
    <w:rsid w:val="3589DD06"/>
    <w:rsid w:val="358A3AF9"/>
    <w:rsid w:val="35AF7930"/>
    <w:rsid w:val="35D969DF"/>
    <w:rsid w:val="35E003E0"/>
    <w:rsid w:val="35E741C2"/>
    <w:rsid w:val="35E849A0"/>
    <w:rsid w:val="36217031"/>
    <w:rsid w:val="36301B6B"/>
    <w:rsid w:val="36380513"/>
    <w:rsid w:val="36475F5D"/>
    <w:rsid w:val="366CEE81"/>
    <w:rsid w:val="36835723"/>
    <w:rsid w:val="3696812D"/>
    <w:rsid w:val="36983B7C"/>
    <w:rsid w:val="36E6F318"/>
    <w:rsid w:val="36EC51BB"/>
    <w:rsid w:val="36F66288"/>
    <w:rsid w:val="36FCEC1B"/>
    <w:rsid w:val="370C47E3"/>
    <w:rsid w:val="372CCE83"/>
    <w:rsid w:val="374A1DF8"/>
    <w:rsid w:val="3759AD57"/>
    <w:rsid w:val="376F999E"/>
    <w:rsid w:val="37816B5C"/>
    <w:rsid w:val="378D564E"/>
    <w:rsid w:val="3790658A"/>
    <w:rsid w:val="379A8178"/>
    <w:rsid w:val="379B59F7"/>
    <w:rsid w:val="379DF76F"/>
    <w:rsid w:val="37B5481A"/>
    <w:rsid w:val="37BAE0F6"/>
    <w:rsid w:val="37C2936E"/>
    <w:rsid w:val="37CC0B0F"/>
    <w:rsid w:val="37DC9D0F"/>
    <w:rsid w:val="37E9C56E"/>
    <w:rsid w:val="3802A4AD"/>
    <w:rsid w:val="38033FDA"/>
    <w:rsid w:val="3805A5D0"/>
    <w:rsid w:val="3819BB2D"/>
    <w:rsid w:val="381FD9A5"/>
    <w:rsid w:val="38203C75"/>
    <w:rsid w:val="382B1ADC"/>
    <w:rsid w:val="38375DE5"/>
    <w:rsid w:val="38446A33"/>
    <w:rsid w:val="38612BEA"/>
    <w:rsid w:val="38667481"/>
    <w:rsid w:val="386D2859"/>
    <w:rsid w:val="38A3702E"/>
    <w:rsid w:val="38AA52E7"/>
    <w:rsid w:val="38AF68C1"/>
    <w:rsid w:val="38C2A1BB"/>
    <w:rsid w:val="38C52E1F"/>
    <w:rsid w:val="38D34BF1"/>
    <w:rsid w:val="38E37699"/>
    <w:rsid w:val="38FB4A8A"/>
    <w:rsid w:val="3906BFCF"/>
    <w:rsid w:val="391FEC6F"/>
    <w:rsid w:val="392D0FAF"/>
    <w:rsid w:val="3940F032"/>
    <w:rsid w:val="3942D9EC"/>
    <w:rsid w:val="39493498"/>
    <w:rsid w:val="3972379B"/>
    <w:rsid w:val="398ADB2D"/>
    <w:rsid w:val="399A8F57"/>
    <w:rsid w:val="39BBC99A"/>
    <w:rsid w:val="39E824D7"/>
    <w:rsid w:val="39EAD885"/>
    <w:rsid w:val="39EF33AD"/>
    <w:rsid w:val="39F21D50"/>
    <w:rsid w:val="39F95803"/>
    <w:rsid w:val="39FE3934"/>
    <w:rsid w:val="3A11C78B"/>
    <w:rsid w:val="3A24460E"/>
    <w:rsid w:val="3A329CD6"/>
    <w:rsid w:val="3A35255B"/>
    <w:rsid w:val="3A5FF140"/>
    <w:rsid w:val="3ABB44FB"/>
    <w:rsid w:val="3AD3638C"/>
    <w:rsid w:val="3AEA1153"/>
    <w:rsid w:val="3AED16CE"/>
    <w:rsid w:val="3AFABEF9"/>
    <w:rsid w:val="3B19D6C2"/>
    <w:rsid w:val="3B247CC3"/>
    <w:rsid w:val="3B306358"/>
    <w:rsid w:val="3B40EB84"/>
    <w:rsid w:val="3B7993FC"/>
    <w:rsid w:val="3B8BFEE8"/>
    <w:rsid w:val="3B8C5238"/>
    <w:rsid w:val="3BA0FF51"/>
    <w:rsid w:val="3BB61242"/>
    <w:rsid w:val="3BB82079"/>
    <w:rsid w:val="3BE6DDCA"/>
    <w:rsid w:val="3BF0EBC8"/>
    <w:rsid w:val="3C04F77F"/>
    <w:rsid w:val="3C2640F3"/>
    <w:rsid w:val="3C2AD8AD"/>
    <w:rsid w:val="3C377DE0"/>
    <w:rsid w:val="3C41FF3C"/>
    <w:rsid w:val="3C69C2F9"/>
    <w:rsid w:val="3CA0A948"/>
    <w:rsid w:val="3CE491F6"/>
    <w:rsid w:val="3CEC4F54"/>
    <w:rsid w:val="3CF2D069"/>
    <w:rsid w:val="3D0AEDCE"/>
    <w:rsid w:val="3D114AB4"/>
    <w:rsid w:val="3D3974A1"/>
    <w:rsid w:val="3D7AA44B"/>
    <w:rsid w:val="3D90B90D"/>
    <w:rsid w:val="3DAB05A2"/>
    <w:rsid w:val="3DCA830C"/>
    <w:rsid w:val="3DCDA2C1"/>
    <w:rsid w:val="3DDE3380"/>
    <w:rsid w:val="3DEB0FC0"/>
    <w:rsid w:val="3DF8CDBD"/>
    <w:rsid w:val="3E06D924"/>
    <w:rsid w:val="3E08617A"/>
    <w:rsid w:val="3E0882CF"/>
    <w:rsid w:val="3E44B031"/>
    <w:rsid w:val="3E477872"/>
    <w:rsid w:val="3E7E2CF9"/>
    <w:rsid w:val="3E940DCC"/>
    <w:rsid w:val="3EBC0EDD"/>
    <w:rsid w:val="3EBCAB09"/>
    <w:rsid w:val="3ECDEC7D"/>
    <w:rsid w:val="3ED1D096"/>
    <w:rsid w:val="3EEA0F6F"/>
    <w:rsid w:val="3EED195C"/>
    <w:rsid w:val="3F108B67"/>
    <w:rsid w:val="3F1CCACD"/>
    <w:rsid w:val="3F43475B"/>
    <w:rsid w:val="3F461F47"/>
    <w:rsid w:val="3F636703"/>
    <w:rsid w:val="3FA5046A"/>
    <w:rsid w:val="3FAFBDE1"/>
    <w:rsid w:val="3FC0AD8E"/>
    <w:rsid w:val="3FD1F3E7"/>
    <w:rsid w:val="3FDB79E9"/>
    <w:rsid w:val="3FDC9562"/>
    <w:rsid w:val="3FDF046E"/>
    <w:rsid w:val="3FE405E4"/>
    <w:rsid w:val="3FEA753D"/>
    <w:rsid w:val="3FEE5DFC"/>
    <w:rsid w:val="3FF66935"/>
    <w:rsid w:val="400274DB"/>
    <w:rsid w:val="400B6704"/>
    <w:rsid w:val="400B8A1D"/>
    <w:rsid w:val="401453CC"/>
    <w:rsid w:val="40168F55"/>
    <w:rsid w:val="402245FC"/>
    <w:rsid w:val="4024C5DF"/>
    <w:rsid w:val="4035F038"/>
    <w:rsid w:val="4038E547"/>
    <w:rsid w:val="4039350C"/>
    <w:rsid w:val="40549CD8"/>
    <w:rsid w:val="40599494"/>
    <w:rsid w:val="4063F310"/>
    <w:rsid w:val="4064606A"/>
    <w:rsid w:val="408CC0F4"/>
    <w:rsid w:val="40928AB4"/>
    <w:rsid w:val="40A5F050"/>
    <w:rsid w:val="40ED916C"/>
    <w:rsid w:val="40F9F3AB"/>
    <w:rsid w:val="412A5427"/>
    <w:rsid w:val="41487FFA"/>
    <w:rsid w:val="4157866D"/>
    <w:rsid w:val="41580085"/>
    <w:rsid w:val="41580D30"/>
    <w:rsid w:val="415973B7"/>
    <w:rsid w:val="4193ED0B"/>
    <w:rsid w:val="419E2033"/>
    <w:rsid w:val="419F1766"/>
    <w:rsid w:val="41DB839E"/>
    <w:rsid w:val="41E2410A"/>
    <w:rsid w:val="41EF0A90"/>
    <w:rsid w:val="420C5E23"/>
    <w:rsid w:val="4237CD63"/>
    <w:rsid w:val="42387E27"/>
    <w:rsid w:val="424BB72D"/>
    <w:rsid w:val="42570F5A"/>
    <w:rsid w:val="426BDC14"/>
    <w:rsid w:val="42789AC2"/>
    <w:rsid w:val="427C27B9"/>
    <w:rsid w:val="427CC195"/>
    <w:rsid w:val="4281A3E3"/>
    <w:rsid w:val="428645D7"/>
    <w:rsid w:val="428BCCB0"/>
    <w:rsid w:val="42B95154"/>
    <w:rsid w:val="42CE5E4A"/>
    <w:rsid w:val="42D735D6"/>
    <w:rsid w:val="42DB872A"/>
    <w:rsid w:val="4319526E"/>
    <w:rsid w:val="4323F583"/>
    <w:rsid w:val="432E0834"/>
    <w:rsid w:val="435C3F71"/>
    <w:rsid w:val="436A8528"/>
    <w:rsid w:val="4388BB89"/>
    <w:rsid w:val="438AA813"/>
    <w:rsid w:val="438C6743"/>
    <w:rsid w:val="43C2E724"/>
    <w:rsid w:val="43DCF43A"/>
    <w:rsid w:val="43E1EE03"/>
    <w:rsid w:val="43E887C8"/>
    <w:rsid w:val="43F1EEF1"/>
    <w:rsid w:val="442B5DED"/>
    <w:rsid w:val="442E73F5"/>
    <w:rsid w:val="442F8F29"/>
    <w:rsid w:val="4460DFA2"/>
    <w:rsid w:val="446BA041"/>
    <w:rsid w:val="44850A6A"/>
    <w:rsid w:val="44ADA646"/>
    <w:rsid w:val="44B3CD52"/>
    <w:rsid w:val="44BFE4E6"/>
    <w:rsid w:val="44C5630A"/>
    <w:rsid w:val="450EB5EE"/>
    <w:rsid w:val="4517AB63"/>
    <w:rsid w:val="45680D5B"/>
    <w:rsid w:val="457DE8C3"/>
    <w:rsid w:val="458FA32C"/>
    <w:rsid w:val="45908B2B"/>
    <w:rsid w:val="459E905F"/>
    <w:rsid w:val="45A398D3"/>
    <w:rsid w:val="45ADAD04"/>
    <w:rsid w:val="45C34AD5"/>
    <w:rsid w:val="45DA6663"/>
    <w:rsid w:val="45E5943A"/>
    <w:rsid w:val="461A121E"/>
    <w:rsid w:val="46538D3A"/>
    <w:rsid w:val="4667ECA0"/>
    <w:rsid w:val="467910EB"/>
    <w:rsid w:val="467DA6F7"/>
    <w:rsid w:val="46845BE3"/>
    <w:rsid w:val="469B5A72"/>
    <w:rsid w:val="46ABF315"/>
    <w:rsid w:val="46AD2540"/>
    <w:rsid w:val="46B4BD8C"/>
    <w:rsid w:val="46CA5887"/>
    <w:rsid w:val="46DE90B3"/>
    <w:rsid w:val="46E9445A"/>
    <w:rsid w:val="46FED012"/>
    <w:rsid w:val="470812FC"/>
    <w:rsid w:val="47299C77"/>
    <w:rsid w:val="4742B957"/>
    <w:rsid w:val="477D08B6"/>
    <w:rsid w:val="477DF2AE"/>
    <w:rsid w:val="4788E953"/>
    <w:rsid w:val="478E932C"/>
    <w:rsid w:val="47A202D3"/>
    <w:rsid w:val="47C13FDF"/>
    <w:rsid w:val="47C74F6E"/>
    <w:rsid w:val="47CAEE08"/>
    <w:rsid w:val="47F993FF"/>
    <w:rsid w:val="480C3C3F"/>
    <w:rsid w:val="48298DC0"/>
    <w:rsid w:val="48307276"/>
    <w:rsid w:val="486FFA14"/>
    <w:rsid w:val="48AA7503"/>
    <w:rsid w:val="48C77C17"/>
    <w:rsid w:val="48C81855"/>
    <w:rsid w:val="48CE4DE6"/>
    <w:rsid w:val="48D0FE69"/>
    <w:rsid w:val="48EB072C"/>
    <w:rsid w:val="48FFE792"/>
    <w:rsid w:val="4934DD1D"/>
    <w:rsid w:val="494393A8"/>
    <w:rsid w:val="4946C369"/>
    <w:rsid w:val="4952AB2D"/>
    <w:rsid w:val="4954AAF6"/>
    <w:rsid w:val="4960BFBB"/>
    <w:rsid w:val="496A6953"/>
    <w:rsid w:val="497D43AD"/>
    <w:rsid w:val="4981E5FD"/>
    <w:rsid w:val="499C6D4C"/>
    <w:rsid w:val="49A99046"/>
    <w:rsid w:val="49BAC76E"/>
    <w:rsid w:val="49C55E90"/>
    <w:rsid w:val="49DA3109"/>
    <w:rsid w:val="49F6C4F9"/>
    <w:rsid w:val="49F75051"/>
    <w:rsid w:val="4A5E2A0E"/>
    <w:rsid w:val="4A787260"/>
    <w:rsid w:val="4A867185"/>
    <w:rsid w:val="4A886070"/>
    <w:rsid w:val="4A9BC782"/>
    <w:rsid w:val="4AF71A60"/>
    <w:rsid w:val="4B09AC58"/>
    <w:rsid w:val="4B26E44E"/>
    <w:rsid w:val="4B285919"/>
    <w:rsid w:val="4B5A1DDA"/>
    <w:rsid w:val="4B9DFD37"/>
    <w:rsid w:val="4BB67A0C"/>
    <w:rsid w:val="4BBF6E41"/>
    <w:rsid w:val="4BC9E887"/>
    <w:rsid w:val="4BDC866C"/>
    <w:rsid w:val="4BE0C904"/>
    <w:rsid w:val="4BE253EB"/>
    <w:rsid w:val="4C013E26"/>
    <w:rsid w:val="4C0CC3CC"/>
    <w:rsid w:val="4C1F267C"/>
    <w:rsid w:val="4C2D5AAA"/>
    <w:rsid w:val="4C6A2335"/>
    <w:rsid w:val="4C6DC7F3"/>
    <w:rsid w:val="4C70532A"/>
    <w:rsid w:val="4C75D72D"/>
    <w:rsid w:val="4CA2B6EF"/>
    <w:rsid w:val="4CA6D82B"/>
    <w:rsid w:val="4CDCA560"/>
    <w:rsid w:val="4CE3F5D6"/>
    <w:rsid w:val="4CFC543C"/>
    <w:rsid w:val="4D13B5B0"/>
    <w:rsid w:val="4D3A2DCD"/>
    <w:rsid w:val="4D734DE3"/>
    <w:rsid w:val="4D8E4E0C"/>
    <w:rsid w:val="4DA47D1B"/>
    <w:rsid w:val="4DCAB483"/>
    <w:rsid w:val="4DCC41DC"/>
    <w:rsid w:val="4DD7345C"/>
    <w:rsid w:val="4DE99B65"/>
    <w:rsid w:val="4DFAE6F0"/>
    <w:rsid w:val="4DFC2515"/>
    <w:rsid w:val="4DFEC2F6"/>
    <w:rsid w:val="4E007EB5"/>
    <w:rsid w:val="4E15A7AD"/>
    <w:rsid w:val="4E1E326F"/>
    <w:rsid w:val="4E77E756"/>
    <w:rsid w:val="4E91D0A7"/>
    <w:rsid w:val="4E9F3E04"/>
    <w:rsid w:val="4EACA971"/>
    <w:rsid w:val="4EB8AAD6"/>
    <w:rsid w:val="4EC29910"/>
    <w:rsid w:val="4EC7DC96"/>
    <w:rsid w:val="4EEAF817"/>
    <w:rsid w:val="4F0D9506"/>
    <w:rsid w:val="4F0F8C66"/>
    <w:rsid w:val="4F257E59"/>
    <w:rsid w:val="4F4A71BF"/>
    <w:rsid w:val="4F5ADF5C"/>
    <w:rsid w:val="4F5FAEDA"/>
    <w:rsid w:val="4F6EE16D"/>
    <w:rsid w:val="4F868FA7"/>
    <w:rsid w:val="4F8F7544"/>
    <w:rsid w:val="4F98CB32"/>
    <w:rsid w:val="4FDAACB6"/>
    <w:rsid w:val="4FE46E22"/>
    <w:rsid w:val="50297134"/>
    <w:rsid w:val="502B9170"/>
    <w:rsid w:val="509CB551"/>
    <w:rsid w:val="509D6507"/>
    <w:rsid w:val="50AB474A"/>
    <w:rsid w:val="50AE8AA3"/>
    <w:rsid w:val="50B0DFDC"/>
    <w:rsid w:val="50B2A81B"/>
    <w:rsid w:val="50B75895"/>
    <w:rsid w:val="50C7898F"/>
    <w:rsid w:val="510FBE12"/>
    <w:rsid w:val="511897ED"/>
    <w:rsid w:val="5137E419"/>
    <w:rsid w:val="5167CF18"/>
    <w:rsid w:val="518198C9"/>
    <w:rsid w:val="5190A4BB"/>
    <w:rsid w:val="51943948"/>
    <w:rsid w:val="51A3D0FE"/>
    <w:rsid w:val="51A5441F"/>
    <w:rsid w:val="51CB794F"/>
    <w:rsid w:val="51D6E944"/>
    <w:rsid w:val="524F8677"/>
    <w:rsid w:val="5256C0B3"/>
    <w:rsid w:val="5256E4FD"/>
    <w:rsid w:val="52A7E9E8"/>
    <w:rsid w:val="52C179DC"/>
    <w:rsid w:val="52CCA2B4"/>
    <w:rsid w:val="52CFB4A5"/>
    <w:rsid w:val="52FB1EB3"/>
    <w:rsid w:val="52FB6385"/>
    <w:rsid w:val="53175C01"/>
    <w:rsid w:val="53287FD6"/>
    <w:rsid w:val="534A0E9C"/>
    <w:rsid w:val="5371CC76"/>
    <w:rsid w:val="53787F7A"/>
    <w:rsid w:val="5394AB1B"/>
    <w:rsid w:val="53B87EC6"/>
    <w:rsid w:val="53BE00DF"/>
    <w:rsid w:val="53BEF513"/>
    <w:rsid w:val="53C9DC1D"/>
    <w:rsid w:val="53E30529"/>
    <w:rsid w:val="540304E5"/>
    <w:rsid w:val="541E551D"/>
    <w:rsid w:val="54201FF9"/>
    <w:rsid w:val="543999DF"/>
    <w:rsid w:val="54436396"/>
    <w:rsid w:val="5478FFE7"/>
    <w:rsid w:val="548609EA"/>
    <w:rsid w:val="54A2CDA0"/>
    <w:rsid w:val="54AA5C66"/>
    <w:rsid w:val="54CC2E8B"/>
    <w:rsid w:val="54D84DBD"/>
    <w:rsid w:val="54DF6295"/>
    <w:rsid w:val="5504A4A6"/>
    <w:rsid w:val="5505E45A"/>
    <w:rsid w:val="550B3260"/>
    <w:rsid w:val="551967DC"/>
    <w:rsid w:val="5535DC3B"/>
    <w:rsid w:val="553D39BB"/>
    <w:rsid w:val="55484208"/>
    <w:rsid w:val="555D2CC8"/>
    <w:rsid w:val="55734428"/>
    <w:rsid w:val="55B351A2"/>
    <w:rsid w:val="55B72BBC"/>
    <w:rsid w:val="55EEA044"/>
    <w:rsid w:val="55FCB364"/>
    <w:rsid w:val="560300BB"/>
    <w:rsid w:val="560A8FD8"/>
    <w:rsid w:val="5620A70D"/>
    <w:rsid w:val="562B8FD9"/>
    <w:rsid w:val="562F3B78"/>
    <w:rsid w:val="565B0940"/>
    <w:rsid w:val="565D2E1A"/>
    <w:rsid w:val="566E95C2"/>
    <w:rsid w:val="5682DCB9"/>
    <w:rsid w:val="56958F7E"/>
    <w:rsid w:val="56A50915"/>
    <w:rsid w:val="56A785B9"/>
    <w:rsid w:val="56AC4687"/>
    <w:rsid w:val="56C08C1F"/>
    <w:rsid w:val="56CB6772"/>
    <w:rsid w:val="56EFFC21"/>
    <w:rsid w:val="57176C12"/>
    <w:rsid w:val="5724EB80"/>
    <w:rsid w:val="574D9850"/>
    <w:rsid w:val="5751CF63"/>
    <w:rsid w:val="579C26CF"/>
    <w:rsid w:val="57A1E0C2"/>
    <w:rsid w:val="57ACB6CE"/>
    <w:rsid w:val="57B23A88"/>
    <w:rsid w:val="57B659D0"/>
    <w:rsid w:val="57C92FE1"/>
    <w:rsid w:val="57D9D1FD"/>
    <w:rsid w:val="57DDFE75"/>
    <w:rsid w:val="57E660BD"/>
    <w:rsid w:val="57EC47F9"/>
    <w:rsid w:val="58039EBB"/>
    <w:rsid w:val="5810A155"/>
    <w:rsid w:val="58228AAD"/>
    <w:rsid w:val="5831C453"/>
    <w:rsid w:val="584D1CDB"/>
    <w:rsid w:val="58573DC4"/>
    <w:rsid w:val="58632377"/>
    <w:rsid w:val="587C3B9C"/>
    <w:rsid w:val="58B3EAD7"/>
    <w:rsid w:val="58D646E8"/>
    <w:rsid w:val="58E3CC8B"/>
    <w:rsid w:val="58ED0139"/>
    <w:rsid w:val="591CD3CF"/>
    <w:rsid w:val="5936DA8E"/>
    <w:rsid w:val="59453161"/>
    <w:rsid w:val="5972E0CF"/>
    <w:rsid w:val="598B9028"/>
    <w:rsid w:val="5997080E"/>
    <w:rsid w:val="599D956C"/>
    <w:rsid w:val="59B8250A"/>
    <w:rsid w:val="59CD01CC"/>
    <w:rsid w:val="59CD43F1"/>
    <w:rsid w:val="59D89270"/>
    <w:rsid w:val="59E5EE01"/>
    <w:rsid w:val="59FA962E"/>
    <w:rsid w:val="5A02AE83"/>
    <w:rsid w:val="5A1E2279"/>
    <w:rsid w:val="5A552A76"/>
    <w:rsid w:val="5A57F1F5"/>
    <w:rsid w:val="5A6B9704"/>
    <w:rsid w:val="5A6C59A3"/>
    <w:rsid w:val="5A800F08"/>
    <w:rsid w:val="5A83F4A0"/>
    <w:rsid w:val="5AB2DF85"/>
    <w:rsid w:val="5AC43933"/>
    <w:rsid w:val="5ACE4B2F"/>
    <w:rsid w:val="5AFA2886"/>
    <w:rsid w:val="5B0894A3"/>
    <w:rsid w:val="5B08F64A"/>
    <w:rsid w:val="5B14106D"/>
    <w:rsid w:val="5B42427C"/>
    <w:rsid w:val="5B4EF1C0"/>
    <w:rsid w:val="5B50ED09"/>
    <w:rsid w:val="5B52440D"/>
    <w:rsid w:val="5B5658F2"/>
    <w:rsid w:val="5B7DB255"/>
    <w:rsid w:val="5B8B98D2"/>
    <w:rsid w:val="5BAD2D04"/>
    <w:rsid w:val="5BB54122"/>
    <w:rsid w:val="5BBFCB56"/>
    <w:rsid w:val="5BC2A62D"/>
    <w:rsid w:val="5BC3EBD2"/>
    <w:rsid w:val="5BD87C6E"/>
    <w:rsid w:val="5C3200FD"/>
    <w:rsid w:val="5C470D98"/>
    <w:rsid w:val="5C677327"/>
    <w:rsid w:val="5C6BCC38"/>
    <w:rsid w:val="5CBC0E30"/>
    <w:rsid w:val="5CC47880"/>
    <w:rsid w:val="5CF27F90"/>
    <w:rsid w:val="5CF85F56"/>
    <w:rsid w:val="5CFE7714"/>
    <w:rsid w:val="5D2D7501"/>
    <w:rsid w:val="5D2D9410"/>
    <w:rsid w:val="5D3459CD"/>
    <w:rsid w:val="5D625035"/>
    <w:rsid w:val="5D64002D"/>
    <w:rsid w:val="5D75203D"/>
    <w:rsid w:val="5D77A3E8"/>
    <w:rsid w:val="5D9811E9"/>
    <w:rsid w:val="5DA6B4D3"/>
    <w:rsid w:val="5DBC2249"/>
    <w:rsid w:val="5DD1084A"/>
    <w:rsid w:val="5DDAF912"/>
    <w:rsid w:val="5E097E7B"/>
    <w:rsid w:val="5E3BA2F3"/>
    <w:rsid w:val="5E43089D"/>
    <w:rsid w:val="5E448A42"/>
    <w:rsid w:val="5E5B634C"/>
    <w:rsid w:val="5E86B547"/>
    <w:rsid w:val="5EA7DC6D"/>
    <w:rsid w:val="5EBE6452"/>
    <w:rsid w:val="5ECBD083"/>
    <w:rsid w:val="5EDAE87F"/>
    <w:rsid w:val="5F01E8AA"/>
    <w:rsid w:val="5F0DDC1A"/>
    <w:rsid w:val="5F0F3E5D"/>
    <w:rsid w:val="5F122013"/>
    <w:rsid w:val="5F340231"/>
    <w:rsid w:val="5F353579"/>
    <w:rsid w:val="5F428785"/>
    <w:rsid w:val="5F6E1068"/>
    <w:rsid w:val="5F746CBB"/>
    <w:rsid w:val="5F7AE551"/>
    <w:rsid w:val="5F8B2113"/>
    <w:rsid w:val="5F8FB574"/>
    <w:rsid w:val="5FA699EA"/>
    <w:rsid w:val="5FBF1020"/>
    <w:rsid w:val="5FCE4CBF"/>
    <w:rsid w:val="5FD5B061"/>
    <w:rsid w:val="5FD82DAD"/>
    <w:rsid w:val="600055C8"/>
    <w:rsid w:val="6001C02D"/>
    <w:rsid w:val="600AA41C"/>
    <w:rsid w:val="603872E9"/>
    <w:rsid w:val="605D2991"/>
    <w:rsid w:val="605D44E5"/>
    <w:rsid w:val="606017C4"/>
    <w:rsid w:val="60762D65"/>
    <w:rsid w:val="609EF1C6"/>
    <w:rsid w:val="60A76CEA"/>
    <w:rsid w:val="60F00149"/>
    <w:rsid w:val="60F577A4"/>
    <w:rsid w:val="60FBCF02"/>
    <w:rsid w:val="61074AAB"/>
    <w:rsid w:val="612E5950"/>
    <w:rsid w:val="616360F1"/>
    <w:rsid w:val="617BC573"/>
    <w:rsid w:val="617BF0F8"/>
    <w:rsid w:val="61A72FC0"/>
    <w:rsid w:val="61B2BB9F"/>
    <w:rsid w:val="61E54BE0"/>
    <w:rsid w:val="61FD792C"/>
    <w:rsid w:val="61FF5B8C"/>
    <w:rsid w:val="620B17BC"/>
    <w:rsid w:val="62164156"/>
    <w:rsid w:val="62290B1E"/>
    <w:rsid w:val="62550123"/>
    <w:rsid w:val="62655772"/>
    <w:rsid w:val="629577AA"/>
    <w:rsid w:val="629A9A47"/>
    <w:rsid w:val="62CCD81B"/>
    <w:rsid w:val="62FD1A51"/>
    <w:rsid w:val="630A489C"/>
    <w:rsid w:val="63101AE0"/>
    <w:rsid w:val="63156228"/>
    <w:rsid w:val="6334DE6A"/>
    <w:rsid w:val="63503BF9"/>
    <w:rsid w:val="63634314"/>
    <w:rsid w:val="6372E37C"/>
    <w:rsid w:val="6373D90B"/>
    <w:rsid w:val="639C8C40"/>
    <w:rsid w:val="63B36F08"/>
    <w:rsid w:val="63BB6D1C"/>
    <w:rsid w:val="63E69CCE"/>
    <w:rsid w:val="64026E42"/>
    <w:rsid w:val="64092488"/>
    <w:rsid w:val="640D513A"/>
    <w:rsid w:val="6426F3BE"/>
    <w:rsid w:val="642FAC8E"/>
    <w:rsid w:val="643978B1"/>
    <w:rsid w:val="643A40D1"/>
    <w:rsid w:val="643DE0C5"/>
    <w:rsid w:val="6471AC81"/>
    <w:rsid w:val="64B30D97"/>
    <w:rsid w:val="64C68CAF"/>
    <w:rsid w:val="64CDBABD"/>
    <w:rsid w:val="64D0724D"/>
    <w:rsid w:val="650400F8"/>
    <w:rsid w:val="650403A0"/>
    <w:rsid w:val="6520134F"/>
    <w:rsid w:val="6528D271"/>
    <w:rsid w:val="652A17D3"/>
    <w:rsid w:val="6532C8F3"/>
    <w:rsid w:val="656A9B1F"/>
    <w:rsid w:val="656E06D5"/>
    <w:rsid w:val="65727454"/>
    <w:rsid w:val="65787256"/>
    <w:rsid w:val="657C97E7"/>
    <w:rsid w:val="657E671F"/>
    <w:rsid w:val="65AEC381"/>
    <w:rsid w:val="65B862BE"/>
    <w:rsid w:val="65BAE392"/>
    <w:rsid w:val="663E0A4F"/>
    <w:rsid w:val="6653147D"/>
    <w:rsid w:val="6653156E"/>
    <w:rsid w:val="66696284"/>
    <w:rsid w:val="667517B5"/>
    <w:rsid w:val="667CC951"/>
    <w:rsid w:val="66A0C21F"/>
    <w:rsid w:val="66CC9797"/>
    <w:rsid w:val="66D2CFF0"/>
    <w:rsid w:val="66E42998"/>
    <w:rsid w:val="66E9A81C"/>
    <w:rsid w:val="66FBCE81"/>
    <w:rsid w:val="66FF4189"/>
    <w:rsid w:val="6737AA51"/>
    <w:rsid w:val="674B1103"/>
    <w:rsid w:val="674CEA67"/>
    <w:rsid w:val="674DAC0C"/>
    <w:rsid w:val="6771BD62"/>
    <w:rsid w:val="67C36406"/>
    <w:rsid w:val="67CE74A8"/>
    <w:rsid w:val="67DE6E06"/>
    <w:rsid w:val="67E350CC"/>
    <w:rsid w:val="67F374A8"/>
    <w:rsid w:val="67FEAB71"/>
    <w:rsid w:val="6813022A"/>
    <w:rsid w:val="6823B921"/>
    <w:rsid w:val="6839EA13"/>
    <w:rsid w:val="683A4F1A"/>
    <w:rsid w:val="683B4DA1"/>
    <w:rsid w:val="686D37B7"/>
    <w:rsid w:val="68820C1A"/>
    <w:rsid w:val="6882D94E"/>
    <w:rsid w:val="688B8621"/>
    <w:rsid w:val="68C22C4A"/>
    <w:rsid w:val="68D45096"/>
    <w:rsid w:val="68D8F563"/>
    <w:rsid w:val="68D9E6FE"/>
    <w:rsid w:val="68DA33AD"/>
    <w:rsid w:val="68DF71A3"/>
    <w:rsid w:val="690E945B"/>
    <w:rsid w:val="6937B0BE"/>
    <w:rsid w:val="694E85C7"/>
    <w:rsid w:val="695A050F"/>
    <w:rsid w:val="695BC2B5"/>
    <w:rsid w:val="6972ADE8"/>
    <w:rsid w:val="6974A40D"/>
    <w:rsid w:val="698D30CB"/>
    <w:rsid w:val="69A6E433"/>
    <w:rsid w:val="69AA3DCA"/>
    <w:rsid w:val="69AF00DE"/>
    <w:rsid w:val="69B43753"/>
    <w:rsid w:val="6A23B8D4"/>
    <w:rsid w:val="6A3042C4"/>
    <w:rsid w:val="6A3672A4"/>
    <w:rsid w:val="6A38894A"/>
    <w:rsid w:val="6A95A998"/>
    <w:rsid w:val="6A994B1A"/>
    <w:rsid w:val="6AA2E765"/>
    <w:rsid w:val="6AD48FD5"/>
    <w:rsid w:val="6ADBDA88"/>
    <w:rsid w:val="6AE5CE79"/>
    <w:rsid w:val="6AF77FC8"/>
    <w:rsid w:val="6AFE59AC"/>
    <w:rsid w:val="6B0161A3"/>
    <w:rsid w:val="6B244CA6"/>
    <w:rsid w:val="6B3A763A"/>
    <w:rsid w:val="6B4E918E"/>
    <w:rsid w:val="6B523D6F"/>
    <w:rsid w:val="6B574F02"/>
    <w:rsid w:val="6B7DBCEB"/>
    <w:rsid w:val="6BDAA025"/>
    <w:rsid w:val="6BEA24D9"/>
    <w:rsid w:val="6C0386D5"/>
    <w:rsid w:val="6C0FCE22"/>
    <w:rsid w:val="6C214A7E"/>
    <w:rsid w:val="6C2D6B8E"/>
    <w:rsid w:val="6C346CD8"/>
    <w:rsid w:val="6C3DBD9E"/>
    <w:rsid w:val="6C6C56F5"/>
    <w:rsid w:val="6C6EC52E"/>
    <w:rsid w:val="6C7B057D"/>
    <w:rsid w:val="6C89CE29"/>
    <w:rsid w:val="6CA76AD5"/>
    <w:rsid w:val="6CAD97E8"/>
    <w:rsid w:val="6CC65610"/>
    <w:rsid w:val="6CDECD9B"/>
    <w:rsid w:val="6CFB8C37"/>
    <w:rsid w:val="6D29C5EF"/>
    <w:rsid w:val="6D30AEFD"/>
    <w:rsid w:val="6D371580"/>
    <w:rsid w:val="6D4645F8"/>
    <w:rsid w:val="6D564414"/>
    <w:rsid w:val="6D758EEE"/>
    <w:rsid w:val="6D8982DA"/>
    <w:rsid w:val="6DAD28ED"/>
    <w:rsid w:val="6DAF810A"/>
    <w:rsid w:val="6DC95011"/>
    <w:rsid w:val="6DD199B6"/>
    <w:rsid w:val="6DD347BD"/>
    <w:rsid w:val="6E1D3ADB"/>
    <w:rsid w:val="6E3D019B"/>
    <w:rsid w:val="6E594F9F"/>
    <w:rsid w:val="6E5DA6E2"/>
    <w:rsid w:val="6E72C681"/>
    <w:rsid w:val="6EBBBC10"/>
    <w:rsid w:val="6ED4C531"/>
    <w:rsid w:val="6EDEB729"/>
    <w:rsid w:val="6EDECBE8"/>
    <w:rsid w:val="6F0288CD"/>
    <w:rsid w:val="6F0F0004"/>
    <w:rsid w:val="6F1DA1F5"/>
    <w:rsid w:val="6F521656"/>
    <w:rsid w:val="6F6F6862"/>
    <w:rsid w:val="6F7B7A0C"/>
    <w:rsid w:val="6F87DE02"/>
    <w:rsid w:val="6FC0DFE2"/>
    <w:rsid w:val="6FC5F6C8"/>
    <w:rsid w:val="6FCCECC1"/>
    <w:rsid w:val="6FCD47AD"/>
    <w:rsid w:val="6FD825BA"/>
    <w:rsid w:val="6FE88588"/>
    <w:rsid w:val="701BD1C4"/>
    <w:rsid w:val="7021AAAF"/>
    <w:rsid w:val="7030DE1A"/>
    <w:rsid w:val="70347820"/>
    <w:rsid w:val="70476027"/>
    <w:rsid w:val="7079231F"/>
    <w:rsid w:val="709BEC52"/>
    <w:rsid w:val="70B1EA49"/>
    <w:rsid w:val="70B75350"/>
    <w:rsid w:val="70BB3DF1"/>
    <w:rsid w:val="70D15CA2"/>
    <w:rsid w:val="70D30FC0"/>
    <w:rsid w:val="70D87613"/>
    <w:rsid w:val="70F74863"/>
    <w:rsid w:val="710793C7"/>
    <w:rsid w:val="713B7DC2"/>
    <w:rsid w:val="7161EBDF"/>
    <w:rsid w:val="719261EC"/>
    <w:rsid w:val="71934FC0"/>
    <w:rsid w:val="719D47A2"/>
    <w:rsid w:val="71AD98B5"/>
    <w:rsid w:val="71D9749A"/>
    <w:rsid w:val="71E7D63C"/>
    <w:rsid w:val="71E9E538"/>
    <w:rsid w:val="71EC0903"/>
    <w:rsid w:val="71F63CA9"/>
    <w:rsid w:val="72155B75"/>
    <w:rsid w:val="72214AE4"/>
    <w:rsid w:val="722CA453"/>
    <w:rsid w:val="72362827"/>
    <w:rsid w:val="72636A9B"/>
    <w:rsid w:val="726BC1CE"/>
    <w:rsid w:val="7273E4B9"/>
    <w:rsid w:val="727C6164"/>
    <w:rsid w:val="728385BA"/>
    <w:rsid w:val="7290865C"/>
    <w:rsid w:val="72944098"/>
    <w:rsid w:val="72B2EFE1"/>
    <w:rsid w:val="72B9BA26"/>
    <w:rsid w:val="72CA4E31"/>
    <w:rsid w:val="72D580E0"/>
    <w:rsid w:val="72E514F8"/>
    <w:rsid w:val="72E8773C"/>
    <w:rsid w:val="734B31E8"/>
    <w:rsid w:val="734CA7AD"/>
    <w:rsid w:val="7357F39B"/>
    <w:rsid w:val="735B16AC"/>
    <w:rsid w:val="736BB4B1"/>
    <w:rsid w:val="738CFC65"/>
    <w:rsid w:val="739DC2F4"/>
    <w:rsid w:val="73D373FF"/>
    <w:rsid w:val="73F23E8D"/>
    <w:rsid w:val="73FED88F"/>
    <w:rsid w:val="7406AD5A"/>
    <w:rsid w:val="74099C63"/>
    <w:rsid w:val="742AD983"/>
    <w:rsid w:val="74489F00"/>
    <w:rsid w:val="746CBA49"/>
    <w:rsid w:val="747404A0"/>
    <w:rsid w:val="74A287FB"/>
    <w:rsid w:val="74A36D50"/>
    <w:rsid w:val="74AE2931"/>
    <w:rsid w:val="74B79C50"/>
    <w:rsid w:val="74E8469F"/>
    <w:rsid w:val="74EEF860"/>
    <w:rsid w:val="74FF4B44"/>
    <w:rsid w:val="7519A134"/>
    <w:rsid w:val="7520C2CA"/>
    <w:rsid w:val="752515BF"/>
    <w:rsid w:val="7534816E"/>
    <w:rsid w:val="753B66B8"/>
    <w:rsid w:val="756AA34F"/>
    <w:rsid w:val="75789275"/>
    <w:rsid w:val="75A246D6"/>
    <w:rsid w:val="75A9D20E"/>
    <w:rsid w:val="75B13D28"/>
    <w:rsid w:val="75B8F49E"/>
    <w:rsid w:val="75F27589"/>
    <w:rsid w:val="75FD7658"/>
    <w:rsid w:val="76012E93"/>
    <w:rsid w:val="762B70E6"/>
    <w:rsid w:val="7641B908"/>
    <w:rsid w:val="765EF8F9"/>
    <w:rsid w:val="7677581C"/>
    <w:rsid w:val="76A55A9C"/>
    <w:rsid w:val="76A55F2B"/>
    <w:rsid w:val="76B970D7"/>
    <w:rsid w:val="76BA5E14"/>
    <w:rsid w:val="76C4056B"/>
    <w:rsid w:val="76CDA08A"/>
    <w:rsid w:val="76CDA763"/>
    <w:rsid w:val="76CE6D2B"/>
    <w:rsid w:val="76D33952"/>
    <w:rsid w:val="76D756BD"/>
    <w:rsid w:val="76FE1362"/>
    <w:rsid w:val="77092AA7"/>
    <w:rsid w:val="774248BA"/>
    <w:rsid w:val="7744C498"/>
    <w:rsid w:val="7749E3B4"/>
    <w:rsid w:val="77841830"/>
    <w:rsid w:val="7797A857"/>
    <w:rsid w:val="77D186B8"/>
    <w:rsid w:val="77DB8AA1"/>
    <w:rsid w:val="77F75751"/>
    <w:rsid w:val="782F70E1"/>
    <w:rsid w:val="7834DB2D"/>
    <w:rsid w:val="78440581"/>
    <w:rsid w:val="78560777"/>
    <w:rsid w:val="7858A718"/>
    <w:rsid w:val="78676447"/>
    <w:rsid w:val="788B3F31"/>
    <w:rsid w:val="789100AC"/>
    <w:rsid w:val="789F7855"/>
    <w:rsid w:val="78A50AF5"/>
    <w:rsid w:val="78E3BF39"/>
    <w:rsid w:val="78F55FE0"/>
    <w:rsid w:val="790AD021"/>
    <w:rsid w:val="790B1237"/>
    <w:rsid w:val="79109F5F"/>
    <w:rsid w:val="791A92F8"/>
    <w:rsid w:val="793DD286"/>
    <w:rsid w:val="79469B93"/>
    <w:rsid w:val="794DB1A5"/>
    <w:rsid w:val="7967A7C7"/>
    <w:rsid w:val="796F1A6A"/>
    <w:rsid w:val="79830CA8"/>
    <w:rsid w:val="7988C690"/>
    <w:rsid w:val="798B782E"/>
    <w:rsid w:val="7996CDFD"/>
    <w:rsid w:val="79A67D61"/>
    <w:rsid w:val="79C214F1"/>
    <w:rsid w:val="79C22213"/>
    <w:rsid w:val="79CAB293"/>
    <w:rsid w:val="79CDE171"/>
    <w:rsid w:val="79FC46F4"/>
    <w:rsid w:val="7A0A6C33"/>
    <w:rsid w:val="7A206E48"/>
    <w:rsid w:val="7A48EA69"/>
    <w:rsid w:val="7A619684"/>
    <w:rsid w:val="7A674FC5"/>
    <w:rsid w:val="7A67E8CF"/>
    <w:rsid w:val="7A6DB58C"/>
    <w:rsid w:val="7A78D16C"/>
    <w:rsid w:val="7A85EA64"/>
    <w:rsid w:val="7A88D82A"/>
    <w:rsid w:val="7A8E50C4"/>
    <w:rsid w:val="7A91F02D"/>
    <w:rsid w:val="7A937194"/>
    <w:rsid w:val="7AAB627A"/>
    <w:rsid w:val="7ABE4E63"/>
    <w:rsid w:val="7ABEEDFF"/>
    <w:rsid w:val="7AD41D43"/>
    <w:rsid w:val="7AD55BC8"/>
    <w:rsid w:val="7AF7FAB2"/>
    <w:rsid w:val="7B105F42"/>
    <w:rsid w:val="7B41B31B"/>
    <w:rsid w:val="7B731762"/>
    <w:rsid w:val="7B7C23B1"/>
    <w:rsid w:val="7B858494"/>
    <w:rsid w:val="7B85B3D4"/>
    <w:rsid w:val="7B928FE0"/>
    <w:rsid w:val="7B963132"/>
    <w:rsid w:val="7BF074CB"/>
    <w:rsid w:val="7C0CDA2D"/>
    <w:rsid w:val="7C161234"/>
    <w:rsid w:val="7C24F868"/>
    <w:rsid w:val="7C57E967"/>
    <w:rsid w:val="7C9D98F7"/>
    <w:rsid w:val="7CB439B7"/>
    <w:rsid w:val="7CB850F9"/>
    <w:rsid w:val="7CBD1A8E"/>
    <w:rsid w:val="7CC6F577"/>
    <w:rsid w:val="7D13B4A9"/>
    <w:rsid w:val="7D1461A7"/>
    <w:rsid w:val="7D3AC684"/>
    <w:rsid w:val="7D48004B"/>
    <w:rsid w:val="7D800CA3"/>
    <w:rsid w:val="7D85E36B"/>
    <w:rsid w:val="7D97796D"/>
    <w:rsid w:val="7DA52344"/>
    <w:rsid w:val="7DD3CCA6"/>
    <w:rsid w:val="7DE96D8B"/>
    <w:rsid w:val="7E0F9C26"/>
    <w:rsid w:val="7E127031"/>
    <w:rsid w:val="7E2A3D9C"/>
    <w:rsid w:val="7E30BF34"/>
    <w:rsid w:val="7E354EE7"/>
    <w:rsid w:val="7E466588"/>
    <w:rsid w:val="7E4E9088"/>
    <w:rsid w:val="7E68F0D3"/>
    <w:rsid w:val="7E706E9C"/>
    <w:rsid w:val="7E9C0A0B"/>
    <w:rsid w:val="7E9E6AF4"/>
    <w:rsid w:val="7EABB3C6"/>
    <w:rsid w:val="7EBA5A6B"/>
    <w:rsid w:val="7EBE2EE5"/>
    <w:rsid w:val="7EC1BF20"/>
    <w:rsid w:val="7ED9E14B"/>
    <w:rsid w:val="7EEBD711"/>
    <w:rsid w:val="7F014A96"/>
    <w:rsid w:val="7F1E89B5"/>
    <w:rsid w:val="7F284752"/>
    <w:rsid w:val="7F3E47F2"/>
    <w:rsid w:val="7F406858"/>
    <w:rsid w:val="7F4CC41A"/>
    <w:rsid w:val="7F4E420F"/>
    <w:rsid w:val="7F54FC5C"/>
    <w:rsid w:val="7F798736"/>
    <w:rsid w:val="7F83ED7A"/>
    <w:rsid w:val="7F944FB9"/>
    <w:rsid w:val="7FB9B00F"/>
    <w:rsid w:val="7FF1651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C38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1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186A9E"/>
    <w:pPr>
      <w:numPr>
        <w:numId w:val="2"/>
      </w:numPr>
      <w:tabs>
        <w:tab w:val="num" w:pos="360"/>
      </w:tabs>
      <w:ind w:left="0" w:firstLine="0"/>
    </w:pPr>
    <w:rPr>
      <w:rFonts w:eastAsia="Times New Roman"/>
      <w:lang w:eastAsia="de-DE"/>
    </w:rPr>
  </w:style>
  <w:style w:type="paragraph" w:styleId="ListNumber">
    <w:name w:val="List Number"/>
    <w:basedOn w:val="Normal"/>
    <w:rsid w:val="00186A9E"/>
    <w:pPr>
      <w:numPr>
        <w:numId w:val="6"/>
      </w:numPr>
    </w:pPr>
    <w:rPr>
      <w:rFonts w:eastAsia="Times New Roman"/>
      <w:lang w:eastAsia="de-DE"/>
    </w:rPr>
  </w:style>
  <w:style w:type="paragraph" w:customStyle="1" w:styleId="ListBullet1">
    <w:name w:val="List Bullet 1"/>
    <w:basedOn w:val="Normal"/>
    <w:rsid w:val="00186A9E"/>
    <w:pPr>
      <w:numPr>
        <w:numId w:val="1"/>
      </w:numPr>
    </w:pPr>
    <w:rPr>
      <w:rFonts w:eastAsia="Times New Roman"/>
      <w:lang w:eastAsia="de-DE"/>
    </w:rPr>
  </w:style>
  <w:style w:type="paragraph" w:customStyle="1" w:styleId="ListDash">
    <w:name w:val="List Dash"/>
    <w:basedOn w:val="Normal"/>
    <w:rsid w:val="00186A9E"/>
    <w:pPr>
      <w:numPr>
        <w:numId w:val="3"/>
      </w:numPr>
    </w:pPr>
    <w:rPr>
      <w:rFonts w:eastAsia="Times New Roman"/>
      <w:lang w:eastAsia="de-DE"/>
    </w:rPr>
  </w:style>
  <w:style w:type="paragraph" w:customStyle="1" w:styleId="ListDash1">
    <w:name w:val="List Dash 1"/>
    <w:basedOn w:val="Normal"/>
    <w:rsid w:val="00186A9E"/>
    <w:pPr>
      <w:numPr>
        <w:numId w:val="4"/>
      </w:numPr>
    </w:pPr>
    <w:rPr>
      <w:rFonts w:eastAsia="Times New Roman"/>
      <w:lang w:eastAsia="de-DE"/>
    </w:rPr>
  </w:style>
  <w:style w:type="paragraph" w:customStyle="1" w:styleId="ListDash2">
    <w:name w:val="List Dash 2"/>
    <w:basedOn w:val="Normal"/>
    <w:rsid w:val="00186A9E"/>
    <w:pPr>
      <w:numPr>
        <w:numId w:val="5"/>
      </w:numPr>
    </w:pPr>
    <w:rPr>
      <w:rFonts w:eastAsia="Times New Roman"/>
      <w:lang w:eastAsia="de-DE"/>
    </w:rPr>
  </w:style>
  <w:style w:type="paragraph" w:customStyle="1" w:styleId="ListNumberLevel2">
    <w:name w:val="List Number (Level 2)"/>
    <w:basedOn w:val="Normal"/>
    <w:rsid w:val="00186A9E"/>
    <w:pPr>
      <w:numPr>
        <w:ilvl w:val="1"/>
        <w:numId w:val="6"/>
      </w:numPr>
    </w:pPr>
    <w:rPr>
      <w:rFonts w:eastAsia="Times New Roman"/>
      <w:lang w:eastAsia="de-DE"/>
    </w:rPr>
  </w:style>
  <w:style w:type="paragraph" w:customStyle="1" w:styleId="ListNumberLevel3">
    <w:name w:val="List Number (Level 3)"/>
    <w:basedOn w:val="Normal"/>
    <w:rsid w:val="00186A9E"/>
    <w:pPr>
      <w:numPr>
        <w:ilvl w:val="2"/>
        <w:numId w:val="6"/>
      </w:numPr>
    </w:pPr>
    <w:rPr>
      <w:rFonts w:eastAsia="Times New Roman"/>
      <w:lang w:eastAsia="de-DE"/>
    </w:rPr>
  </w:style>
  <w:style w:type="paragraph" w:customStyle="1" w:styleId="ListNumberLevel4">
    <w:name w:val="List Number (Level 4)"/>
    <w:basedOn w:val="Normal"/>
    <w:rsid w:val="00186A9E"/>
    <w:pPr>
      <w:numPr>
        <w:ilvl w:val="3"/>
        <w:numId w:val="6"/>
      </w:numPr>
    </w:pPr>
    <w:rPr>
      <w:rFonts w:eastAsia="Times New Roman"/>
      <w:lang w:eastAsia="de-DE"/>
    </w:rPr>
  </w:style>
  <w:style w:type="table" w:styleId="TableGrid">
    <w:name w:val="Table Grid"/>
    <w:basedOn w:val="TableNormal"/>
    <w:rsid w:val="00186A9E"/>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86A9E"/>
    <w:rPr>
      <w:color w:val="0000FF"/>
      <w:u w:val="single"/>
    </w:rPr>
  </w:style>
  <w:style w:type="paragraph" w:styleId="ListBullet">
    <w:name w:val="List Bullet"/>
    <w:basedOn w:val="Normal"/>
    <w:rsid w:val="00186A9E"/>
    <w:pPr>
      <w:numPr>
        <w:numId w:val="7"/>
      </w:numPr>
    </w:pPr>
    <w:rPr>
      <w:rFonts w:eastAsia="Times New Roman"/>
      <w:lang w:eastAsia="en-GB"/>
    </w:rPr>
  </w:style>
  <w:style w:type="paragraph" w:styleId="ListBullet2">
    <w:name w:val="List Bullet 2"/>
    <w:basedOn w:val="Normal"/>
    <w:rsid w:val="00186A9E"/>
    <w:pPr>
      <w:numPr>
        <w:numId w:val="8"/>
      </w:numPr>
    </w:pPr>
    <w:rPr>
      <w:rFonts w:eastAsia="Times New Roman"/>
      <w:lang w:eastAsia="en-GB"/>
    </w:rPr>
  </w:style>
  <w:style w:type="paragraph" w:styleId="ListBullet3">
    <w:name w:val="List Bullet 3"/>
    <w:basedOn w:val="Normal"/>
    <w:rsid w:val="00186A9E"/>
    <w:pPr>
      <w:numPr>
        <w:numId w:val="9"/>
      </w:numPr>
    </w:pPr>
    <w:rPr>
      <w:rFonts w:eastAsia="Times New Roman"/>
      <w:lang w:eastAsia="en-GB"/>
    </w:rPr>
  </w:style>
  <w:style w:type="paragraph" w:styleId="ListNumber2">
    <w:name w:val="List Number 2"/>
    <w:basedOn w:val="Normal"/>
    <w:rsid w:val="00186A9E"/>
    <w:pPr>
      <w:tabs>
        <w:tab w:val="num" w:pos="643"/>
      </w:tabs>
      <w:ind w:left="643" w:hanging="360"/>
    </w:pPr>
    <w:rPr>
      <w:rFonts w:eastAsia="Times New Roman"/>
      <w:lang w:eastAsia="en-GB"/>
    </w:rPr>
  </w:style>
  <w:style w:type="paragraph" w:styleId="ListNumber3">
    <w:name w:val="List Number 3"/>
    <w:basedOn w:val="Normal"/>
    <w:rsid w:val="00186A9E"/>
    <w:pPr>
      <w:numPr>
        <w:numId w:val="14"/>
      </w:numPr>
    </w:pPr>
    <w:rPr>
      <w:rFonts w:eastAsia="Times New Roman"/>
      <w:lang w:eastAsia="en-GB"/>
    </w:rPr>
  </w:style>
  <w:style w:type="paragraph" w:styleId="ListNumber4">
    <w:name w:val="List Number 4"/>
    <w:basedOn w:val="Normal"/>
    <w:rsid w:val="00186A9E"/>
    <w:pPr>
      <w:numPr>
        <w:numId w:val="15"/>
      </w:numPr>
    </w:pPr>
    <w:rPr>
      <w:rFonts w:eastAsia="Times New Roman"/>
      <w:lang w:eastAsia="en-GB"/>
    </w:rPr>
  </w:style>
  <w:style w:type="paragraph" w:customStyle="1" w:styleId="ListDash3">
    <w:name w:val="List Dash 3"/>
    <w:basedOn w:val="Normal"/>
    <w:rsid w:val="00186A9E"/>
    <w:pPr>
      <w:numPr>
        <w:numId w:val="10"/>
      </w:numPr>
    </w:pPr>
    <w:rPr>
      <w:rFonts w:eastAsia="Times New Roman"/>
      <w:lang w:eastAsia="en-GB"/>
    </w:rPr>
  </w:style>
  <w:style w:type="paragraph" w:customStyle="1" w:styleId="ListDash4">
    <w:name w:val="List Dash 4"/>
    <w:basedOn w:val="Normal"/>
    <w:rsid w:val="00186A9E"/>
    <w:pPr>
      <w:numPr>
        <w:numId w:val="11"/>
      </w:numPr>
    </w:pPr>
    <w:rPr>
      <w:rFonts w:eastAsia="Times New Roman"/>
      <w:lang w:eastAsia="en-GB"/>
    </w:rPr>
  </w:style>
  <w:style w:type="paragraph" w:customStyle="1" w:styleId="ListNumber1">
    <w:name w:val="List Number 1"/>
    <w:basedOn w:val="Text1"/>
    <w:rsid w:val="00186A9E"/>
    <w:pPr>
      <w:numPr>
        <w:numId w:val="12"/>
      </w:numPr>
    </w:pPr>
    <w:rPr>
      <w:rFonts w:eastAsia="Times New Roman"/>
      <w:lang w:eastAsia="en-GB"/>
    </w:rPr>
  </w:style>
  <w:style w:type="paragraph" w:customStyle="1" w:styleId="ListNumber1Level2">
    <w:name w:val="List Number 1 (Level 2)"/>
    <w:basedOn w:val="Text1"/>
    <w:rsid w:val="00186A9E"/>
    <w:pPr>
      <w:numPr>
        <w:ilvl w:val="1"/>
        <w:numId w:val="12"/>
      </w:numPr>
    </w:pPr>
    <w:rPr>
      <w:rFonts w:eastAsia="Times New Roman"/>
      <w:lang w:eastAsia="en-GB"/>
    </w:rPr>
  </w:style>
  <w:style w:type="paragraph" w:customStyle="1" w:styleId="ListNumber2Level2">
    <w:name w:val="List Number 2 (Level 2)"/>
    <w:basedOn w:val="Text2"/>
    <w:rsid w:val="00186A9E"/>
    <w:pPr>
      <w:numPr>
        <w:ilvl w:val="1"/>
        <w:numId w:val="13"/>
      </w:numPr>
    </w:pPr>
    <w:rPr>
      <w:rFonts w:eastAsia="Times New Roman"/>
      <w:lang w:eastAsia="en-GB"/>
    </w:rPr>
  </w:style>
  <w:style w:type="paragraph" w:customStyle="1" w:styleId="ListNumber3Level2">
    <w:name w:val="List Number 3 (Level 2)"/>
    <w:basedOn w:val="Text3"/>
    <w:rsid w:val="00186A9E"/>
    <w:pPr>
      <w:numPr>
        <w:ilvl w:val="1"/>
        <w:numId w:val="14"/>
      </w:numPr>
    </w:pPr>
    <w:rPr>
      <w:rFonts w:eastAsia="Times New Roman"/>
      <w:lang w:eastAsia="en-GB"/>
    </w:rPr>
  </w:style>
  <w:style w:type="paragraph" w:customStyle="1" w:styleId="ListNumber4Level2">
    <w:name w:val="List Number 4 (Level 2)"/>
    <w:basedOn w:val="Text4"/>
    <w:rsid w:val="00186A9E"/>
    <w:pPr>
      <w:numPr>
        <w:ilvl w:val="1"/>
        <w:numId w:val="15"/>
      </w:numPr>
    </w:pPr>
    <w:rPr>
      <w:rFonts w:eastAsia="Times New Roman"/>
      <w:lang w:eastAsia="en-GB"/>
    </w:rPr>
  </w:style>
  <w:style w:type="paragraph" w:customStyle="1" w:styleId="ListNumber1Level3">
    <w:name w:val="List Number 1 (Level 3)"/>
    <w:basedOn w:val="Text1"/>
    <w:rsid w:val="00186A9E"/>
    <w:pPr>
      <w:numPr>
        <w:ilvl w:val="2"/>
        <w:numId w:val="12"/>
      </w:numPr>
    </w:pPr>
    <w:rPr>
      <w:rFonts w:eastAsia="Times New Roman"/>
      <w:lang w:eastAsia="en-GB"/>
    </w:rPr>
  </w:style>
  <w:style w:type="paragraph" w:customStyle="1" w:styleId="ListNumber2Level3">
    <w:name w:val="List Number 2 (Level 3)"/>
    <w:basedOn w:val="Text2"/>
    <w:rsid w:val="00186A9E"/>
    <w:pPr>
      <w:numPr>
        <w:ilvl w:val="2"/>
        <w:numId w:val="13"/>
      </w:numPr>
    </w:pPr>
    <w:rPr>
      <w:rFonts w:eastAsia="Times New Roman"/>
      <w:lang w:eastAsia="en-GB"/>
    </w:rPr>
  </w:style>
  <w:style w:type="paragraph" w:customStyle="1" w:styleId="ListNumber3Level3">
    <w:name w:val="List Number 3 (Level 3)"/>
    <w:basedOn w:val="Text3"/>
    <w:rsid w:val="00186A9E"/>
    <w:pPr>
      <w:numPr>
        <w:ilvl w:val="2"/>
        <w:numId w:val="14"/>
      </w:numPr>
    </w:pPr>
    <w:rPr>
      <w:rFonts w:eastAsia="Times New Roman"/>
      <w:lang w:eastAsia="en-GB"/>
    </w:rPr>
  </w:style>
  <w:style w:type="paragraph" w:customStyle="1" w:styleId="ListNumber4Level3">
    <w:name w:val="List Number 4 (Level 3)"/>
    <w:basedOn w:val="Text4"/>
    <w:rsid w:val="00186A9E"/>
    <w:pPr>
      <w:numPr>
        <w:ilvl w:val="2"/>
        <w:numId w:val="15"/>
      </w:numPr>
    </w:pPr>
    <w:rPr>
      <w:rFonts w:eastAsia="Times New Roman"/>
      <w:lang w:eastAsia="en-GB"/>
    </w:rPr>
  </w:style>
  <w:style w:type="paragraph" w:customStyle="1" w:styleId="ListNumber1Level4">
    <w:name w:val="List Number 1 (Level 4)"/>
    <w:basedOn w:val="Text1"/>
    <w:rsid w:val="00186A9E"/>
    <w:pPr>
      <w:numPr>
        <w:ilvl w:val="3"/>
        <w:numId w:val="12"/>
      </w:numPr>
    </w:pPr>
    <w:rPr>
      <w:rFonts w:eastAsia="Times New Roman"/>
      <w:lang w:eastAsia="en-GB"/>
    </w:rPr>
  </w:style>
  <w:style w:type="paragraph" w:customStyle="1" w:styleId="ListNumber2Level4">
    <w:name w:val="List Number 2 (Level 4)"/>
    <w:basedOn w:val="Text2"/>
    <w:rsid w:val="00186A9E"/>
    <w:pPr>
      <w:numPr>
        <w:ilvl w:val="3"/>
        <w:numId w:val="13"/>
      </w:numPr>
    </w:pPr>
    <w:rPr>
      <w:rFonts w:eastAsia="Times New Roman"/>
      <w:lang w:eastAsia="en-GB"/>
    </w:rPr>
  </w:style>
  <w:style w:type="paragraph" w:customStyle="1" w:styleId="ListNumber3Level4">
    <w:name w:val="List Number 3 (Level 4)"/>
    <w:basedOn w:val="Text3"/>
    <w:rsid w:val="00186A9E"/>
    <w:pPr>
      <w:numPr>
        <w:ilvl w:val="3"/>
        <w:numId w:val="14"/>
      </w:numPr>
    </w:pPr>
    <w:rPr>
      <w:rFonts w:eastAsia="Times New Roman"/>
      <w:lang w:eastAsia="en-GB"/>
    </w:rPr>
  </w:style>
  <w:style w:type="paragraph" w:customStyle="1" w:styleId="ListNumber4Level4">
    <w:name w:val="List Number 4 (Level 4)"/>
    <w:basedOn w:val="Text4"/>
    <w:rsid w:val="00186A9E"/>
    <w:pPr>
      <w:numPr>
        <w:ilvl w:val="3"/>
        <w:numId w:val="15"/>
      </w:numPr>
    </w:pPr>
    <w:rPr>
      <w:rFonts w:eastAsia="Times New Roman"/>
      <w:lang w:eastAsia="en-GB"/>
    </w:rPr>
  </w:style>
  <w:style w:type="paragraph" w:customStyle="1" w:styleId="Annexetitreacte">
    <w:name w:val="Annexe titre (acte)"/>
    <w:basedOn w:val="Normal"/>
    <w:next w:val="Normal"/>
    <w:rsid w:val="00186A9E"/>
    <w:pPr>
      <w:jc w:val="center"/>
    </w:pPr>
    <w:rPr>
      <w:rFonts w:eastAsia="Times New Roman"/>
      <w:b/>
      <w:u w:val="single"/>
      <w:lang w:eastAsia="en-GB"/>
    </w:rPr>
  </w:style>
  <w:style w:type="paragraph" w:customStyle="1" w:styleId="Annexetitreexposglobal">
    <w:name w:val="Annexe titre (exposé global)"/>
    <w:basedOn w:val="Normal"/>
    <w:next w:val="Normal"/>
    <w:rsid w:val="00186A9E"/>
    <w:pPr>
      <w:jc w:val="center"/>
    </w:pPr>
    <w:rPr>
      <w:rFonts w:eastAsia="Times New Roman"/>
      <w:b/>
      <w:u w:val="single"/>
      <w:lang w:eastAsia="en-GB"/>
    </w:rPr>
  </w:style>
  <w:style w:type="paragraph" w:customStyle="1" w:styleId="Annexetitrefichefinacte">
    <w:name w:val="Annexe titre (fiche fin. acte)"/>
    <w:basedOn w:val="Normal"/>
    <w:next w:val="Normal"/>
    <w:rsid w:val="00186A9E"/>
    <w:pPr>
      <w:jc w:val="center"/>
    </w:pPr>
    <w:rPr>
      <w:rFonts w:eastAsia="Times New Roman"/>
      <w:b/>
      <w:u w:val="single"/>
      <w:lang w:eastAsia="en-GB"/>
    </w:rPr>
  </w:style>
  <w:style w:type="paragraph" w:customStyle="1" w:styleId="Annexetitrefichefinglobale">
    <w:name w:val="Annexe titre (fiche fin. globale)"/>
    <w:basedOn w:val="Normal"/>
    <w:next w:val="Normal"/>
    <w:rsid w:val="00186A9E"/>
    <w:pPr>
      <w:jc w:val="center"/>
    </w:pPr>
    <w:rPr>
      <w:rFonts w:eastAsia="Times New Roman"/>
      <w:b/>
      <w:u w:val="single"/>
      <w:lang w:eastAsia="en-GB"/>
    </w:rPr>
  </w:style>
  <w:style w:type="paragraph" w:customStyle="1" w:styleId="Annexetitreglobale">
    <w:name w:val="Annexe titre (globale)"/>
    <w:basedOn w:val="Normal"/>
    <w:next w:val="Normal"/>
    <w:rsid w:val="00186A9E"/>
    <w:pPr>
      <w:jc w:val="center"/>
    </w:pPr>
    <w:rPr>
      <w:rFonts w:eastAsia="Times New Roman"/>
      <w:b/>
      <w:u w:val="single"/>
      <w:lang w:eastAsia="en-GB"/>
    </w:rPr>
  </w:style>
  <w:style w:type="paragraph" w:customStyle="1" w:styleId="Exposdesmotifstitreglobal">
    <w:name w:val="Exposé des motifs titre (global)"/>
    <w:basedOn w:val="Normal"/>
    <w:next w:val="Normal"/>
    <w:rsid w:val="00186A9E"/>
    <w:pPr>
      <w:jc w:val="center"/>
    </w:pPr>
    <w:rPr>
      <w:rFonts w:eastAsia="Times New Roman"/>
      <w:b/>
      <w:u w:val="single"/>
      <w:lang w:eastAsia="en-GB"/>
    </w:rPr>
  </w:style>
  <w:style w:type="paragraph" w:customStyle="1" w:styleId="Langueoriginale">
    <w:name w:val="Langue originale"/>
    <w:basedOn w:val="Normal"/>
    <w:rsid w:val="00186A9E"/>
    <w:pPr>
      <w:spacing w:before="360"/>
      <w:jc w:val="center"/>
    </w:pPr>
    <w:rPr>
      <w:rFonts w:eastAsia="Times New Roman"/>
      <w:caps/>
      <w:lang w:eastAsia="en-GB"/>
    </w:rPr>
  </w:style>
  <w:style w:type="paragraph" w:customStyle="1" w:styleId="Phrasefinale">
    <w:name w:val="Phrase finale"/>
    <w:basedOn w:val="Normal"/>
    <w:next w:val="Normal"/>
    <w:rsid w:val="00186A9E"/>
    <w:pPr>
      <w:spacing w:before="360" w:after="0"/>
      <w:jc w:val="center"/>
    </w:pPr>
    <w:rPr>
      <w:rFonts w:eastAsia="Times New Roman"/>
      <w:lang w:eastAsia="en-GB"/>
    </w:rPr>
  </w:style>
  <w:style w:type="paragraph" w:customStyle="1" w:styleId="Prliminairetitre">
    <w:name w:val="Préliminaire titre"/>
    <w:basedOn w:val="Normal"/>
    <w:next w:val="Normal"/>
    <w:rsid w:val="00186A9E"/>
    <w:pPr>
      <w:spacing w:before="360" w:after="360"/>
      <w:jc w:val="center"/>
    </w:pPr>
    <w:rPr>
      <w:rFonts w:eastAsia="Times New Roman"/>
      <w:b/>
      <w:lang w:eastAsia="en-GB"/>
    </w:rPr>
  </w:style>
  <w:style w:type="paragraph" w:customStyle="1" w:styleId="Prliminairetype">
    <w:name w:val="Préliminaire type"/>
    <w:basedOn w:val="Normal"/>
    <w:next w:val="Normal"/>
    <w:rsid w:val="00186A9E"/>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186A9E"/>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186A9E"/>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186A9E"/>
    <w:pPr>
      <w:spacing w:before="0" w:after="0"/>
      <w:ind w:left="5103"/>
      <w:jc w:val="left"/>
    </w:pPr>
    <w:rPr>
      <w:rFonts w:eastAsia="Times New Roman"/>
      <w:lang w:eastAsia="en-GB"/>
    </w:rPr>
  </w:style>
  <w:style w:type="paragraph" w:customStyle="1" w:styleId="Sous-titreobjetprliminaire">
    <w:name w:val="Sous-titre objet (préliminaire)"/>
    <w:basedOn w:val="Normal"/>
    <w:rsid w:val="00186A9E"/>
    <w:pPr>
      <w:spacing w:before="0" w:after="0"/>
      <w:jc w:val="center"/>
    </w:pPr>
    <w:rPr>
      <w:rFonts w:eastAsia="Times New Roman"/>
      <w:b/>
      <w:lang w:eastAsia="en-GB"/>
    </w:rPr>
  </w:style>
  <w:style w:type="paragraph" w:customStyle="1" w:styleId="Statutprliminaire">
    <w:name w:val="Statut (préliminaire)"/>
    <w:basedOn w:val="Normal"/>
    <w:next w:val="Normal"/>
    <w:rsid w:val="00186A9E"/>
    <w:pPr>
      <w:spacing w:before="360" w:after="0"/>
      <w:jc w:val="center"/>
    </w:pPr>
    <w:rPr>
      <w:rFonts w:eastAsia="Times New Roman"/>
      <w:lang w:eastAsia="en-GB"/>
    </w:rPr>
  </w:style>
  <w:style w:type="paragraph" w:customStyle="1" w:styleId="Titreobjetprliminaire">
    <w:name w:val="Titre objet (préliminaire)"/>
    <w:basedOn w:val="Normal"/>
    <w:next w:val="Normal"/>
    <w:rsid w:val="00186A9E"/>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186A9E"/>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186A9E"/>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186A9E"/>
    <w:pPr>
      <w:jc w:val="center"/>
    </w:pPr>
    <w:rPr>
      <w:rFonts w:eastAsia="Times New Roman"/>
      <w:b/>
      <w:u w:val="single"/>
      <w:lang w:eastAsia="en-GB"/>
    </w:rPr>
  </w:style>
  <w:style w:type="paragraph" w:customStyle="1" w:styleId="Fichefinanciretravailtitre">
    <w:name w:val="Fiche financière (travail) titre"/>
    <w:basedOn w:val="Normal"/>
    <w:next w:val="Normal"/>
    <w:rsid w:val="00186A9E"/>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186A9E"/>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186A9E"/>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186A9E"/>
    <w:pPr>
      <w:jc w:val="center"/>
    </w:pPr>
    <w:rPr>
      <w:rFonts w:eastAsia="Times New Roman"/>
      <w:b/>
      <w:u w:val="single"/>
      <w:lang w:eastAsia="en-GB"/>
    </w:rPr>
  </w:style>
  <w:style w:type="character" w:styleId="CommentReference">
    <w:name w:val="annotation reference"/>
    <w:uiPriority w:val="99"/>
    <w:rsid w:val="00186A9E"/>
    <w:rPr>
      <w:rFonts w:cs="Times New Roman"/>
      <w:sz w:val="16"/>
      <w:szCs w:val="16"/>
    </w:rPr>
  </w:style>
  <w:style w:type="paragraph" w:styleId="CommentText">
    <w:name w:val="annotation text"/>
    <w:basedOn w:val="Normal"/>
    <w:link w:val="CommentTextChar"/>
    <w:uiPriority w:val="99"/>
    <w:rsid w:val="00186A9E"/>
    <w:rPr>
      <w:rFonts w:eastAsia="Times New Roman"/>
      <w:sz w:val="20"/>
      <w:szCs w:val="20"/>
      <w:lang w:eastAsia="en-GB"/>
    </w:rPr>
  </w:style>
  <w:style w:type="character" w:customStyle="1" w:styleId="CommentTextChar">
    <w:name w:val="Comment Text Char"/>
    <w:basedOn w:val="DefaultParagraphFont"/>
    <w:link w:val="CommentText"/>
    <w:uiPriority w:val="99"/>
    <w:rsid w:val="00186A9E"/>
    <w:rPr>
      <w:rFonts w:ascii="Times New Roman" w:eastAsia="Times New Roman" w:hAnsi="Times New Roman" w:cs="Times New Roman"/>
      <w:sz w:val="20"/>
      <w:szCs w:val="20"/>
      <w:lang w:val="pl-PL" w:eastAsia="en-GB"/>
    </w:rPr>
  </w:style>
  <w:style w:type="paragraph" w:styleId="CommentSubject">
    <w:name w:val="annotation subject"/>
    <w:basedOn w:val="CommentText"/>
    <w:next w:val="CommentText"/>
    <w:link w:val="CommentSubjectChar"/>
    <w:rsid w:val="00186A9E"/>
    <w:rPr>
      <w:b/>
      <w:bCs/>
    </w:rPr>
  </w:style>
  <w:style w:type="character" w:customStyle="1" w:styleId="CommentSubjectChar">
    <w:name w:val="Comment Subject Char"/>
    <w:basedOn w:val="CommentTextChar"/>
    <w:link w:val="CommentSubject"/>
    <w:rsid w:val="00186A9E"/>
    <w:rPr>
      <w:rFonts w:ascii="Times New Roman" w:eastAsia="Times New Roman" w:hAnsi="Times New Roman" w:cs="Times New Roman"/>
      <w:b/>
      <w:bCs/>
      <w:sz w:val="20"/>
      <w:szCs w:val="20"/>
      <w:lang w:val="pl-PL" w:eastAsia="en-GB"/>
    </w:rPr>
  </w:style>
  <w:style w:type="paragraph" w:styleId="BalloonText">
    <w:name w:val="Balloon Text"/>
    <w:basedOn w:val="Normal"/>
    <w:link w:val="BalloonTextChar"/>
    <w:rsid w:val="00186A9E"/>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186A9E"/>
    <w:rPr>
      <w:rFonts w:ascii="Tahoma" w:eastAsia="Times New Roman" w:hAnsi="Tahoma" w:cs="Tahoma"/>
      <w:sz w:val="16"/>
      <w:szCs w:val="16"/>
      <w:lang w:val="pl-PL" w:eastAsia="en-GB"/>
    </w:rPr>
  </w:style>
  <w:style w:type="paragraph" w:styleId="Caption">
    <w:name w:val="caption"/>
    <w:basedOn w:val="Normal"/>
    <w:next w:val="Normal"/>
    <w:qFormat/>
    <w:rsid w:val="00186A9E"/>
    <w:rPr>
      <w:rFonts w:eastAsia="Times New Roman"/>
      <w:b/>
      <w:bCs/>
      <w:sz w:val="20"/>
      <w:szCs w:val="20"/>
      <w:lang w:eastAsia="en-GB"/>
    </w:rPr>
  </w:style>
  <w:style w:type="paragraph" w:styleId="TableofFigures">
    <w:name w:val="table of figures"/>
    <w:basedOn w:val="Normal"/>
    <w:next w:val="Normal"/>
    <w:rsid w:val="00186A9E"/>
    <w:rPr>
      <w:rFonts w:eastAsia="Times New Roman"/>
      <w:lang w:eastAsia="en-GB"/>
    </w:rPr>
  </w:style>
  <w:style w:type="character" w:styleId="PageNumber">
    <w:name w:val="page number"/>
    <w:rsid w:val="00186A9E"/>
  </w:style>
  <w:style w:type="character" w:customStyle="1" w:styleId="tw4winMark">
    <w:name w:val="tw4winMark"/>
    <w:rsid w:val="00186A9E"/>
    <w:rPr>
      <w:vanish/>
      <w:color w:val="800080"/>
      <w:vertAlign w:val="subscript"/>
    </w:rPr>
  </w:style>
  <w:style w:type="character" w:styleId="FollowedHyperlink">
    <w:name w:val="FollowedHyperlink"/>
    <w:rsid w:val="00186A9E"/>
    <w:rPr>
      <w:color w:val="800080"/>
      <w:u w:val="single"/>
    </w:rPr>
  </w:style>
  <w:style w:type="paragraph" w:customStyle="1" w:styleId="Sous-titreobjet">
    <w:name w:val="Sous-titre objet"/>
    <w:basedOn w:val="Normal"/>
    <w:rsid w:val="00186A9E"/>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186A9E"/>
  </w:style>
  <w:style w:type="paragraph" w:styleId="Revision">
    <w:name w:val="Revision"/>
    <w:hidden/>
    <w:uiPriority w:val="99"/>
    <w:semiHidden/>
    <w:rsid w:val="00186A9E"/>
    <w:rPr>
      <w:rFonts w:ascii="Calibri" w:eastAsia="Calibri" w:hAnsi="Calibri" w:cs="Times New Roman"/>
      <w:sz w:val="24"/>
      <w:lang w:eastAsia="en-GB"/>
    </w:rPr>
  </w:style>
  <w:style w:type="paragraph" w:customStyle="1" w:styleId="FooterCoverPage">
    <w:name w:val="Footer Cover Page"/>
    <w:basedOn w:val="Normal"/>
    <w:link w:val="FooterCoverPageChar"/>
    <w:rsid w:val="00186A9E"/>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186A9E"/>
    <w:rPr>
      <w:rFonts w:ascii="Times New Roman" w:hAnsi="Times New Roman" w:cs="Times New Roman"/>
      <w:b/>
      <w:sz w:val="28"/>
      <w:lang w:val="pl-PL"/>
    </w:rPr>
  </w:style>
  <w:style w:type="character" w:customStyle="1" w:styleId="FooterCoverPageChar">
    <w:name w:val="Footer Cover Page Char"/>
    <w:link w:val="FooterCoverPage"/>
    <w:rsid w:val="00186A9E"/>
    <w:rPr>
      <w:rFonts w:ascii="Times New Roman" w:eastAsia="Calibri" w:hAnsi="Times New Roman" w:cs="Times New Roman"/>
      <w:sz w:val="24"/>
      <w:lang w:val="pl-PL" w:eastAsia="en-GB"/>
    </w:rPr>
  </w:style>
  <w:style w:type="paragraph" w:customStyle="1" w:styleId="HeaderCoverPage">
    <w:name w:val="Header Cover Page"/>
    <w:basedOn w:val="Normal"/>
    <w:link w:val="HeaderCoverPageChar"/>
    <w:rsid w:val="00186A9E"/>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186A9E"/>
    <w:rPr>
      <w:rFonts w:ascii="Times New Roman" w:eastAsia="Calibri" w:hAnsi="Times New Roman" w:cs="Times New Roman"/>
      <w:sz w:val="24"/>
      <w:lang w:val="pl-PL" w:eastAsia="en-GB"/>
    </w:rPr>
  </w:style>
  <w:style w:type="character" w:customStyle="1" w:styleId="FooterSensitivityChar">
    <w:name w:val="Footer Sensitivity Char"/>
    <w:rsid w:val="00186A9E"/>
    <w:rPr>
      <w:rFonts w:ascii="Times New Roman" w:hAnsi="Times New Roman" w:cs="Times New Roman"/>
      <w:b/>
      <w:sz w:val="32"/>
      <w:lang w:val="pl-PL"/>
    </w:rPr>
  </w:style>
  <w:style w:type="character" w:customStyle="1" w:styleId="HeaderSensitivityChar">
    <w:name w:val="Header Sensitivity Char"/>
    <w:rsid w:val="00186A9E"/>
    <w:rPr>
      <w:rFonts w:ascii="Times New Roman" w:hAnsi="Times New Roman" w:cs="Times New Roman"/>
      <w:b/>
      <w:sz w:val="32"/>
      <w:lang w:val="pl-PL"/>
    </w:rPr>
  </w:style>
  <w:style w:type="character" w:customStyle="1" w:styleId="HeaderSensitivityRightChar">
    <w:name w:val="Header Sensitivity Right Char"/>
    <w:rsid w:val="00186A9E"/>
    <w:rPr>
      <w:rFonts w:ascii="Times New Roman" w:hAnsi="Times New Roman" w:cs="Times New Roman"/>
      <w:sz w:val="28"/>
      <w:lang w:val="pl-PL"/>
    </w:rPr>
  </w:style>
  <w:style w:type="paragraph" w:customStyle="1" w:styleId="LegalNumPar">
    <w:name w:val="LegalNumPar"/>
    <w:basedOn w:val="Normal"/>
    <w:rsid w:val="00186A9E"/>
    <w:pPr>
      <w:numPr>
        <w:numId w:val="16"/>
      </w:numPr>
      <w:spacing w:line="360" w:lineRule="auto"/>
    </w:pPr>
    <w:rPr>
      <w:rFonts w:eastAsia="Times New Roman"/>
      <w:lang w:eastAsia="en-GB"/>
    </w:rPr>
  </w:style>
  <w:style w:type="paragraph" w:customStyle="1" w:styleId="LegalNumPar2">
    <w:name w:val="LegalNumPar2"/>
    <w:basedOn w:val="Normal"/>
    <w:rsid w:val="00186A9E"/>
    <w:pPr>
      <w:numPr>
        <w:ilvl w:val="1"/>
        <w:numId w:val="16"/>
      </w:numPr>
      <w:spacing w:line="360" w:lineRule="auto"/>
    </w:pPr>
    <w:rPr>
      <w:rFonts w:eastAsia="Times New Roman"/>
      <w:lang w:eastAsia="en-GB"/>
    </w:rPr>
  </w:style>
  <w:style w:type="paragraph" w:customStyle="1" w:styleId="LegalNumPar3">
    <w:name w:val="LegalNumPar3"/>
    <w:basedOn w:val="Normal"/>
    <w:rsid w:val="00186A9E"/>
    <w:pPr>
      <w:numPr>
        <w:ilvl w:val="2"/>
        <w:numId w:val="16"/>
      </w:numPr>
      <w:spacing w:line="360" w:lineRule="auto"/>
    </w:pPr>
    <w:rPr>
      <w:rFonts w:eastAsia="Times New Roman"/>
      <w:lang w:eastAsia="en-GB"/>
    </w:rPr>
  </w:style>
  <w:style w:type="paragraph" w:styleId="ListParagraph">
    <w:name w:val="List Paragraph"/>
    <w:aliases w:val="GSA List,Dot pt,F5 List Paragraph,List Paragraph Char Char Char,Indicator Text,Numbered Para 1,Bullet Points,List Paragraph2,MAIN CONTENT,Normal numbered,List Paragraph1,Issue Action POC,3,POCG Table Text,No Spacing1,Bullet list,EC,Bullet"/>
    <w:basedOn w:val="Normal"/>
    <w:link w:val="ListParagraphChar"/>
    <w:uiPriority w:val="34"/>
    <w:qFormat/>
    <w:rsid w:val="00186A9E"/>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186A9E"/>
    <w:rPr>
      <w:color w:val="605E5C"/>
      <w:shd w:val="clear" w:color="auto" w:fill="E1DFDD"/>
    </w:rPr>
  </w:style>
  <w:style w:type="character" w:styleId="Strong">
    <w:name w:val="Strong"/>
    <w:basedOn w:val="DefaultParagraphFont"/>
    <w:qFormat/>
    <w:rsid w:val="00186A9E"/>
    <w:rPr>
      <w:b/>
      <w:bCs/>
    </w:rPr>
  </w:style>
  <w:style w:type="character" w:styleId="Emphasis">
    <w:name w:val="Emphasis"/>
    <w:basedOn w:val="DefaultParagraphFont"/>
    <w:qFormat/>
    <w:rsid w:val="00186A9E"/>
    <w:rPr>
      <w:i/>
      <w:iCs/>
    </w:rPr>
  </w:style>
  <w:style w:type="character" w:customStyle="1" w:styleId="Mention1">
    <w:name w:val="Mention1"/>
    <w:basedOn w:val="DefaultParagraphFont"/>
    <w:uiPriority w:val="99"/>
    <w:unhideWhenUsed/>
    <w:rsid w:val="00186A9E"/>
    <w:rPr>
      <w:color w:val="2B579A"/>
      <w:shd w:val="clear" w:color="auto" w:fill="E1DFDD"/>
    </w:rPr>
  </w:style>
  <w:style w:type="character" w:customStyle="1" w:styleId="normaltextrun">
    <w:name w:val="normaltextrun"/>
    <w:basedOn w:val="DefaultParagraphFont"/>
    <w:rsid w:val="00186A9E"/>
  </w:style>
  <w:style w:type="character" w:customStyle="1" w:styleId="eop">
    <w:name w:val="eop"/>
    <w:basedOn w:val="DefaultParagraphFont"/>
    <w:rsid w:val="00186A9E"/>
  </w:style>
  <w:style w:type="paragraph" w:styleId="Title">
    <w:name w:val="Title"/>
    <w:basedOn w:val="Normal"/>
    <w:next w:val="Normal"/>
    <w:link w:val="TitleChar"/>
    <w:uiPriority w:val="10"/>
    <w:qFormat/>
    <w:rsid w:val="00EA62B1"/>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2B1"/>
    <w:rPr>
      <w:rFonts w:asciiTheme="majorHAnsi" w:eastAsiaTheme="majorEastAsia" w:hAnsiTheme="majorHAnsi" w:cstheme="majorBidi"/>
      <w:spacing w:val="-10"/>
      <w:kern w:val="28"/>
      <w:sz w:val="56"/>
      <w:szCs w:val="56"/>
      <w:lang w:val="pl-PL"/>
    </w:rPr>
  </w:style>
  <w:style w:type="character" w:customStyle="1" w:styleId="ListParagraphChar">
    <w:name w:val="List Paragraph Char"/>
    <w:aliases w:val="GSA List Char,Dot pt Char,F5 List Paragraph Char,List Paragraph Char Char Char Char,Indicator Text Char,Numbered Para 1 Char,Bullet Points Char,List Paragraph2 Char,MAIN CONTENT Char,Normal numbered Char,List Paragraph1 Char,3 Char"/>
    <w:basedOn w:val="DefaultParagraphFont"/>
    <w:link w:val="ListParagraph"/>
    <w:uiPriority w:val="1"/>
    <w:qFormat/>
    <w:locked/>
    <w:rsid w:val="008C7509"/>
    <w:rPr>
      <w:rFonts w:ascii="Times New Roman" w:eastAsia="Times New Roman" w:hAnsi="Times New Roman" w:cs="Times New Roman"/>
      <w:sz w:val="24"/>
      <w:lang w:val="pl-PL" w:eastAsia="en-GB"/>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8C7509"/>
    <w:pPr>
      <w:spacing w:before="0" w:after="160" w:line="240" w:lineRule="exact"/>
    </w:pPr>
    <w:rPr>
      <w:rFonts w:asciiTheme="minorHAnsi" w:hAnsiTheme="minorHAnsi" w:cstheme="minorBidi"/>
      <w:sz w:val="22"/>
      <w:vertAlign w:val="superscript"/>
    </w:rPr>
  </w:style>
  <w:style w:type="paragraph" w:customStyle="1" w:styleId="Letter0number">
    <w:name w:val="Letter 0 (number)"/>
    <w:basedOn w:val="Normal"/>
    <w:rsid w:val="00F8562E"/>
    <w:pPr>
      <w:numPr>
        <w:numId w:val="17"/>
      </w:numPr>
      <w:spacing w:line="360" w:lineRule="auto"/>
      <w:ind w:left="0" w:firstLine="0"/>
    </w:pPr>
  </w:style>
  <w:style w:type="paragraph" w:customStyle="1" w:styleId="Text">
    <w:name w:val="Text #"/>
    <w:basedOn w:val="Normal"/>
    <w:rsid w:val="00FD0B33"/>
    <w:pPr>
      <w:spacing w:line="360" w:lineRule="auto"/>
    </w:pPr>
    <w:rPr>
      <w:rFonts w:eastAsia="Times New Roman"/>
      <w:color w:val="000000" w:themeColor="text1"/>
    </w:rPr>
  </w:style>
  <w:style w:type="paragraph" w:customStyle="1" w:styleId="Text10">
    <w:name w:val="Text1"/>
    <w:basedOn w:val="Normal"/>
    <w:rsid w:val="00333BA9"/>
    <w:pPr>
      <w:spacing w:line="276" w:lineRule="auto"/>
    </w:pPr>
    <w:rPr>
      <w:rFonts w:eastAsia="Times New Roman"/>
      <w:color w:val="000000" w:themeColor="text1"/>
    </w:rPr>
  </w:style>
  <w:style w:type="paragraph" w:customStyle="1" w:styleId="paragraph">
    <w:name w:val="paragraph"/>
    <w:basedOn w:val="Normal"/>
    <w:rsid w:val="00FB0190"/>
    <w:pPr>
      <w:spacing w:before="100" w:beforeAutospacing="1" w:after="100" w:afterAutospacing="1"/>
      <w:jc w:val="left"/>
    </w:pPr>
    <w:rPr>
      <w:rFonts w:eastAsia="Times New Roman"/>
      <w:szCs w:val="24"/>
      <w:lang w:eastAsia="en-IE"/>
    </w:rPr>
  </w:style>
  <w:style w:type="paragraph" w:customStyle="1" w:styleId="Titlearticle">
    <w:name w:val="Title article"/>
    <w:basedOn w:val="Titrearticle"/>
    <w:rsid w:val="00B100E2"/>
  </w:style>
  <w:style w:type="paragraph" w:customStyle="1" w:styleId="Chaptertitle">
    <w:name w:val="Chapter title"/>
    <w:basedOn w:val="Titlearticle"/>
    <w:rsid w:val="00232111"/>
  </w:style>
  <w:style w:type="paragraph" w:customStyle="1" w:styleId="Ponit1letter">
    <w:name w:val="Ponit 1 (letter)"/>
    <w:basedOn w:val="Normal"/>
    <w:rsid w:val="004E08A3"/>
    <w:pPr>
      <w:numPr>
        <w:numId w:val="18"/>
      </w:numPr>
      <w:spacing w:line="276" w:lineRule="auto"/>
      <w:ind w:left="993"/>
    </w:pPr>
  </w:style>
  <w:style w:type="paragraph" w:customStyle="1" w:styleId="Ponit2number">
    <w:name w:val="Ponit 2 (number)"/>
    <w:basedOn w:val="Normal"/>
    <w:rsid w:val="003F25BD"/>
    <w:pPr>
      <w:ind w:left="720"/>
    </w:pPr>
    <w:rPr>
      <w:rFonts w:eastAsia="Times New Roman"/>
    </w:rPr>
  </w:style>
  <w:style w:type="paragraph" w:customStyle="1" w:styleId="Point2n">
    <w:name w:val="Point 2 (n"/>
    <w:basedOn w:val="ListParagraph"/>
    <w:rsid w:val="00A53485"/>
    <w:pPr>
      <w:numPr>
        <w:numId w:val="117"/>
      </w:numPr>
      <w:spacing w:line="259" w:lineRule="auto"/>
      <w:contextualSpacing w:val="0"/>
      <w:jc w:val="left"/>
    </w:pPr>
  </w:style>
  <w:style w:type="paragraph" w:customStyle="1" w:styleId="NumPara1">
    <w:name w:val="NumPara 1"/>
    <w:basedOn w:val="Normal"/>
    <w:rsid w:val="00C6195D"/>
  </w:style>
  <w:style w:type="paragraph" w:customStyle="1" w:styleId="NumPar10">
    <w:name w:val="NumPar 10"/>
    <w:basedOn w:val="Normal"/>
    <w:next w:val="Text1"/>
    <w:pPr>
      <w:tabs>
        <w:tab w:val="num" w:pos="850"/>
      </w:tabs>
      <w:ind w:left="850" w:hanging="850"/>
    </w:pPr>
  </w:style>
  <w:style w:type="paragraph" w:customStyle="1" w:styleId="ChapterTitle0">
    <w:name w:val="ChapterTitle"/>
    <w:basedOn w:val="Normal"/>
    <w:next w:val="Normal"/>
    <w:pPr>
      <w:keepNext/>
      <w:spacing w:after="360"/>
      <w:jc w:val="center"/>
    </w:pPr>
    <w:rPr>
      <w:b/>
      <w:sz w:val="32"/>
    </w:rPr>
  </w:style>
  <w:style w:type="paragraph" w:customStyle="1" w:styleId="NumPar100">
    <w:name w:val="NumPar 100"/>
    <w:basedOn w:val="Normal"/>
    <w:next w:val="Text1"/>
    <w:rsid w:val="001C50F9"/>
    <w:pPr>
      <w:tabs>
        <w:tab w:val="num" w:pos="850"/>
      </w:tabs>
      <w:ind w:left="850" w:hanging="850"/>
    </w:pPr>
  </w:style>
  <w:style w:type="paragraph" w:customStyle="1" w:styleId="NumPar1000">
    <w:name w:val="NumPar 1000"/>
    <w:basedOn w:val="Normal"/>
    <w:next w:val="Text1"/>
    <w:rsid w:val="00C16887"/>
    <w:pPr>
      <w:tabs>
        <w:tab w:val="num" w:pos="850"/>
      </w:tabs>
      <w:ind w:left="850" w:hanging="850"/>
    </w:pPr>
  </w:style>
  <w:style w:type="paragraph" w:customStyle="1" w:styleId="Numpar11">
    <w:name w:val="Num par 1"/>
    <w:basedOn w:val="NumPar10000"/>
    <w:rsid w:val="005F3D4A"/>
  </w:style>
  <w:style w:type="paragraph" w:customStyle="1" w:styleId="NumPar10000">
    <w:name w:val="NumPar 10000"/>
    <w:basedOn w:val="Normal"/>
    <w:next w:val="Text1"/>
    <w:rsid w:val="00C16887"/>
    <w:pPr>
      <w:tabs>
        <w:tab w:val="num" w:pos="850"/>
      </w:tabs>
      <w:ind w:left="850" w:hanging="850"/>
    </w:pPr>
  </w:style>
  <w:style w:type="paragraph" w:customStyle="1" w:styleId="Articletitle">
    <w:name w:val="Articletitle"/>
    <w:basedOn w:val="NumPar100000"/>
    <w:rsid w:val="004E3138"/>
    <w:pPr>
      <w:jc w:val="left"/>
    </w:pPr>
  </w:style>
  <w:style w:type="paragraph" w:customStyle="1" w:styleId="NumPar10001">
    <w:name w:val="NumPar1000"/>
    <w:basedOn w:val="Normal"/>
    <w:rsid w:val="00C10D30"/>
    <w:pPr>
      <w:jc w:val="left"/>
    </w:pPr>
  </w:style>
  <w:style w:type="paragraph" w:customStyle="1" w:styleId="NumPar100000">
    <w:name w:val="NumPar 100000"/>
    <w:basedOn w:val="Normal"/>
    <w:next w:val="Text1"/>
    <w:rsid w:val="002C13C4"/>
    <w:pPr>
      <w:tabs>
        <w:tab w:val="num" w:pos="850"/>
      </w:tabs>
      <w:ind w:left="850" w:hanging="850"/>
    </w:pPr>
  </w:style>
  <w:style w:type="paragraph" w:customStyle="1" w:styleId="NumPar1000000">
    <w:name w:val="NumPar 1000000"/>
    <w:basedOn w:val="Normal"/>
    <w:next w:val="Text1"/>
    <w:rsid w:val="002C5A28"/>
    <w:pPr>
      <w:tabs>
        <w:tab w:val="num" w:pos="850"/>
      </w:tabs>
      <w:ind w:left="850" w:hanging="850"/>
    </w:pPr>
  </w:style>
  <w:style w:type="paragraph" w:customStyle="1" w:styleId="NumPar10000000">
    <w:name w:val="NumPar 10000000"/>
    <w:basedOn w:val="Normal"/>
    <w:next w:val="Text1"/>
    <w:rsid w:val="00791F90"/>
    <w:pPr>
      <w:tabs>
        <w:tab w:val="num" w:pos="850"/>
      </w:tabs>
      <w:ind w:left="850" w:hanging="850"/>
    </w:pPr>
  </w:style>
  <w:style w:type="paragraph" w:customStyle="1" w:styleId="Numpar100000000">
    <w:name w:val="Num par 100000000"/>
    <w:basedOn w:val="Numpar11"/>
    <w:rsid w:val="00D24C63"/>
  </w:style>
  <w:style w:type="paragraph" w:customStyle="1" w:styleId="Texte">
    <w:name w:val="Texte"/>
    <w:basedOn w:val="Point1letter"/>
    <w:rsid w:val="005A40EE"/>
    <w:pPr>
      <w:numPr>
        <w:ilvl w:val="0"/>
        <w:numId w:val="0"/>
      </w:numPr>
      <w:ind w:left="850"/>
    </w:pPr>
    <w:rPr>
      <w:rFonts w:eastAsiaTheme="majorEastAsia"/>
      <w:sz w:val="22"/>
    </w:rPr>
  </w:style>
  <w:style w:type="paragraph" w:customStyle="1" w:styleId="Numpar1000000000">
    <w:name w:val="Numpar 100000000"/>
    <w:basedOn w:val="Numpar100000000"/>
    <w:rsid w:val="00BB49F4"/>
  </w:style>
  <w:style w:type="paragraph" w:customStyle="1" w:styleId="NumPar10000001">
    <w:name w:val="NumPar1000000"/>
    <w:basedOn w:val="Text1"/>
    <w:rsid w:val="00270035"/>
  </w:style>
  <w:style w:type="paragraph" w:customStyle="1" w:styleId="NumPar1000000001">
    <w:name w:val="NumPar100000000"/>
    <w:basedOn w:val="Text1"/>
    <w:rsid w:val="0041797B"/>
  </w:style>
  <w:style w:type="paragraph" w:customStyle="1" w:styleId="NumPar1000000002">
    <w:name w:val="NumPar  100000000"/>
    <w:basedOn w:val="NumPar1000000001"/>
    <w:rsid w:val="0041797B"/>
  </w:style>
  <w:style w:type="character" w:customStyle="1" w:styleId="font311">
    <w:name w:val="font311"/>
    <w:basedOn w:val="DefaultParagraphFont"/>
    <w:rsid w:val="00B31E07"/>
    <w:rPr>
      <w:rFonts w:ascii="Times New Roman" w:hAnsi="Times New Roman" w:cs="Times New Roman" w:hint="default"/>
      <w:b/>
      <w:bCs/>
      <w:i w:val="0"/>
      <w:iCs w:val="0"/>
      <w:strike w:val="0"/>
      <w:dstrike w:val="0"/>
      <w:color w:val="000000"/>
      <w:sz w:val="16"/>
      <w:szCs w:val="16"/>
      <w:u w:val="none"/>
      <w:effect w:val="none"/>
    </w:rPr>
  </w:style>
  <w:style w:type="character" w:customStyle="1" w:styleId="font351">
    <w:name w:val="font351"/>
    <w:basedOn w:val="DefaultParagraphFont"/>
    <w:rsid w:val="00B31E07"/>
    <w:rPr>
      <w:rFonts w:ascii="Arial Narrow" w:hAnsi="Arial Narrow" w:hint="default"/>
      <w:b w:val="0"/>
      <w:bCs w:val="0"/>
      <w:i w:val="0"/>
      <w:iCs w:val="0"/>
      <w:strike w:val="0"/>
      <w:dstrike w:val="0"/>
      <w:color w:val="000000"/>
      <w:sz w:val="20"/>
      <w:szCs w:val="20"/>
      <w:u w:val="none"/>
      <w:effect w:val="none"/>
    </w:rPr>
  </w:style>
  <w:style w:type="character" w:customStyle="1" w:styleId="font81">
    <w:name w:val="font81"/>
    <w:basedOn w:val="DefaultParagraphFont"/>
    <w:rsid w:val="00B31E07"/>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font361">
    <w:name w:val="font361"/>
    <w:basedOn w:val="DefaultParagraphFont"/>
    <w:rsid w:val="00B31E07"/>
    <w:rPr>
      <w:rFonts w:ascii="Calibri" w:hAnsi="Calibri" w:cs="Calibri" w:hint="default"/>
      <w:b/>
      <w:bCs/>
      <w:i w:val="0"/>
      <w:iCs w:val="0"/>
      <w:strike w:val="0"/>
      <w:dstrike w:val="0"/>
      <w:color w:val="000000"/>
      <w:sz w:val="16"/>
      <w:szCs w:val="16"/>
      <w:u w:val="none"/>
      <w:effect w:val="none"/>
    </w:rPr>
  </w:style>
  <w:style w:type="character" w:customStyle="1" w:styleId="scxw183855405">
    <w:name w:val="scxw183855405"/>
    <w:basedOn w:val="DefaultParagraphFont"/>
    <w:rsid w:val="00080E00"/>
  </w:style>
  <w:style w:type="character" w:customStyle="1" w:styleId="font231">
    <w:name w:val="font231"/>
    <w:basedOn w:val="DefaultParagraphFont"/>
    <w:rsid w:val="004A489F"/>
    <w:rPr>
      <w:rFonts w:ascii="Times New Roman" w:hAnsi="Times New Roman" w:cs="Times New Roman" w:hint="default"/>
      <w:b/>
      <w:bCs/>
      <w:i w:val="0"/>
      <w:iCs w:val="0"/>
      <w:strike w:val="0"/>
      <w:dstrike w:val="0"/>
      <w:color w:val="000000"/>
      <w:sz w:val="22"/>
      <w:szCs w:val="22"/>
      <w:u w:val="none"/>
      <w:effect w:val="none"/>
    </w:rPr>
  </w:style>
  <w:style w:type="paragraph" w:customStyle="1" w:styleId="Pa">
    <w:name w:val="Pa"/>
    <w:basedOn w:val="Text1"/>
    <w:rsid w:val="007A2212"/>
    <w:pPr>
      <w:ind w:left="0"/>
    </w:pPr>
  </w:style>
  <w:style w:type="paragraph" w:customStyle="1" w:styleId="ChapterTitle1">
    <w:name w:val="ChapterTitle"/>
    <w:basedOn w:val="Normal"/>
    <w:next w:val="Normal"/>
    <w:pPr>
      <w:keepNext/>
      <w:spacing w:after="360"/>
      <w:jc w:val="center"/>
    </w:pPr>
    <w:rPr>
      <w:b/>
      <w:sz w:val="32"/>
    </w:rPr>
  </w:style>
  <w:style w:type="paragraph" w:customStyle="1" w:styleId="ChapterTitle2">
    <w:name w:val="ChapterTitle"/>
    <w:basedOn w:val="Normal"/>
    <w:next w:val="Normal"/>
    <w:pPr>
      <w:keepNext/>
      <w:spacing w:after="360"/>
      <w:jc w:val="center"/>
    </w:pPr>
    <w:rPr>
      <w:b/>
      <w:sz w:val="32"/>
    </w:rPr>
  </w:style>
  <w:style w:type="paragraph" w:customStyle="1" w:styleId="ChapterTitle3">
    <w:name w:val="ChapterTitle"/>
    <w:basedOn w:val="Normal"/>
    <w:next w:val="Normal"/>
    <w:pPr>
      <w:keepNext/>
      <w:spacing w:after="360"/>
      <w:jc w:val="center"/>
    </w:pPr>
    <w:rPr>
      <w:b/>
      <w:sz w:val="32"/>
    </w:rPr>
  </w:style>
  <w:style w:type="paragraph" w:customStyle="1" w:styleId="ChapterTitle4">
    <w:name w:val="ChapterTitle"/>
    <w:basedOn w:val="Normal"/>
    <w:next w:val="Normal"/>
    <w:pPr>
      <w:keepNext/>
      <w:spacing w:after="360"/>
      <w:jc w:val="center"/>
    </w:pPr>
    <w:rPr>
      <w:b/>
      <w:sz w:val="32"/>
    </w:rPr>
  </w:style>
  <w:style w:type="paragraph" w:customStyle="1" w:styleId="ChapterTitle5">
    <w:name w:val="ChapterTitle"/>
    <w:basedOn w:val="Normal"/>
    <w:next w:val="Normal"/>
    <w:pPr>
      <w:keepNext/>
      <w:spacing w:after="360"/>
      <w:jc w:val="center"/>
    </w:pPr>
    <w:rPr>
      <w:b/>
      <w:sz w:val="32"/>
    </w:rPr>
  </w:style>
  <w:style w:type="paragraph" w:customStyle="1" w:styleId="ChapterTitle6">
    <w:name w:val="ChapterTitle"/>
    <w:basedOn w:val="Normal"/>
    <w:next w:val="Normal"/>
    <w:pPr>
      <w:keepNext/>
      <w:spacing w:after="360"/>
      <w:jc w:val="center"/>
    </w:pPr>
    <w:rPr>
      <w:b/>
      <w:sz w:val="32"/>
    </w:rPr>
  </w:style>
  <w:style w:type="character" w:customStyle="1" w:styleId="UnresolvedMention">
    <w:name w:val="Unresolved Mention"/>
    <w:basedOn w:val="DefaultParagraphFont"/>
    <w:uiPriority w:val="99"/>
    <w:semiHidden/>
    <w:unhideWhenUsed/>
    <w:rsid w:val="00ED20C9"/>
    <w:rPr>
      <w:color w:val="605E5C"/>
      <w:shd w:val="clear" w:color="auto" w:fill="E1DFDD"/>
    </w:rPr>
  </w:style>
  <w:style w:type="paragraph" w:customStyle="1" w:styleId="ChapterTitle7">
    <w:name w:val="ChapterTitle"/>
    <w:basedOn w:val="Normal"/>
    <w:next w:val="Normal"/>
    <w:pPr>
      <w:keepNext/>
      <w:spacing w:after="360"/>
      <w:jc w:val="center"/>
    </w:pPr>
    <w:rPr>
      <w:b/>
      <w:sz w:val="32"/>
    </w:rPr>
  </w:style>
  <w:style w:type="paragraph" w:customStyle="1" w:styleId="ChapterTitle8">
    <w:name w:val="ChapterTitle"/>
    <w:basedOn w:val="Normal"/>
    <w:next w:val="Normal"/>
    <w:pPr>
      <w:keepNext/>
      <w:spacing w:after="360"/>
      <w:jc w:val="center"/>
    </w:pPr>
    <w:rPr>
      <w:b/>
      <w:sz w:val="32"/>
    </w:rPr>
  </w:style>
  <w:style w:type="paragraph" w:customStyle="1" w:styleId="ChapterTitle9">
    <w:name w:val="ChapterTitle"/>
    <w:basedOn w:val="Normal"/>
    <w:next w:val="Normal"/>
    <w:pPr>
      <w:keepNext/>
      <w:spacing w:after="360"/>
      <w:jc w:val="center"/>
    </w:pPr>
    <w:rPr>
      <w:b/>
      <w:sz w:val="32"/>
    </w:rPr>
  </w:style>
  <w:style w:type="paragraph" w:customStyle="1" w:styleId="Point1">
    <w:name w:val="Point 1"/>
    <w:basedOn w:val="Normal"/>
    <w:pPr>
      <w:ind w:left="1417" w:hanging="567"/>
    </w:pPr>
  </w:style>
  <w:style w:type="paragraph" w:customStyle="1" w:styleId="ChapterTitlea">
    <w:name w:val="ChapterTitle"/>
    <w:basedOn w:val="Normal"/>
    <w:next w:val="Normal"/>
    <w:pPr>
      <w:keepNext/>
      <w:spacing w:after="360"/>
      <w:jc w:val="center"/>
    </w:pPr>
    <w:rPr>
      <w:b/>
      <w:sz w:val="32"/>
    </w:rPr>
  </w:style>
  <w:style w:type="character" w:customStyle="1" w:styleId="HeaderChar">
    <w:name w:val="Header Char"/>
    <w:basedOn w:val="DefaultParagraphFont"/>
    <w:link w:val="Header"/>
    <w:uiPriority w:val="99"/>
    <w:rsid w:val="009C4ADF"/>
    <w:rPr>
      <w:rFonts w:ascii="Times New Roman" w:hAnsi="Times New Roman" w:cs="Times New Roman"/>
      <w:sz w:val="24"/>
      <w:lang w:val="pl-PL"/>
    </w:rPr>
  </w:style>
  <w:style w:type="character" w:customStyle="1" w:styleId="FooterChar">
    <w:name w:val="Footer Char"/>
    <w:basedOn w:val="DefaultParagraphFont"/>
    <w:link w:val="Footer"/>
    <w:uiPriority w:val="99"/>
    <w:rsid w:val="009C4ADF"/>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9C4AD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C4ADF"/>
    <w:pPr>
      <w:spacing w:before="0"/>
      <w:jc w:val="right"/>
    </w:pPr>
    <w:rPr>
      <w:sz w:val="28"/>
    </w:rPr>
  </w:style>
  <w:style w:type="paragraph" w:customStyle="1" w:styleId="FooterSensitivity">
    <w:name w:val="Footer Sensitivity"/>
    <w:basedOn w:val="Normal"/>
    <w:rsid w:val="009C4AD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0">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4"/>
      </w:numPr>
    </w:pPr>
  </w:style>
  <w:style w:type="paragraph" w:customStyle="1" w:styleId="Tiret1">
    <w:name w:val="Tiret 1"/>
    <w:basedOn w:val="Point10"/>
    <w:pPr>
      <w:numPr>
        <w:numId w:val="135"/>
      </w:numPr>
    </w:pPr>
  </w:style>
  <w:style w:type="paragraph" w:customStyle="1" w:styleId="Tiret2">
    <w:name w:val="Tiret 2"/>
    <w:basedOn w:val="Point2"/>
    <w:pPr>
      <w:numPr>
        <w:numId w:val="136"/>
      </w:numPr>
    </w:pPr>
  </w:style>
  <w:style w:type="paragraph" w:customStyle="1" w:styleId="Tiret3">
    <w:name w:val="Tiret 3"/>
    <w:basedOn w:val="Point3"/>
    <w:pPr>
      <w:numPr>
        <w:numId w:val="137"/>
      </w:numPr>
    </w:pPr>
  </w:style>
  <w:style w:type="paragraph" w:customStyle="1" w:styleId="Tiret4">
    <w:name w:val="Tiret 4"/>
    <w:basedOn w:val="Point4"/>
    <w:pPr>
      <w:numPr>
        <w:numId w:val="138"/>
      </w:numPr>
    </w:pPr>
  </w:style>
  <w:style w:type="paragraph" w:customStyle="1" w:styleId="Tiret5">
    <w:name w:val="Tiret 5"/>
    <w:basedOn w:val="Point5"/>
    <w:pPr>
      <w:numPr>
        <w:numId w:val="1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0"/>
      </w:numPr>
    </w:pPr>
  </w:style>
  <w:style w:type="paragraph" w:customStyle="1" w:styleId="NumPar2">
    <w:name w:val="NumPar 2"/>
    <w:basedOn w:val="Normal"/>
    <w:next w:val="Text1"/>
    <w:pPr>
      <w:numPr>
        <w:ilvl w:val="1"/>
        <w:numId w:val="140"/>
      </w:numPr>
    </w:pPr>
  </w:style>
  <w:style w:type="paragraph" w:customStyle="1" w:styleId="NumPar3">
    <w:name w:val="NumPar 3"/>
    <w:basedOn w:val="Normal"/>
    <w:next w:val="Text1"/>
    <w:pPr>
      <w:numPr>
        <w:ilvl w:val="2"/>
        <w:numId w:val="140"/>
      </w:numPr>
    </w:pPr>
  </w:style>
  <w:style w:type="paragraph" w:customStyle="1" w:styleId="NumPar4">
    <w:name w:val="NumPar 4"/>
    <w:basedOn w:val="Normal"/>
    <w:next w:val="Text1"/>
    <w:pPr>
      <w:numPr>
        <w:ilvl w:val="3"/>
        <w:numId w:val="140"/>
      </w:numPr>
    </w:pPr>
  </w:style>
  <w:style w:type="paragraph" w:customStyle="1" w:styleId="NumPar5">
    <w:name w:val="NumPar 5"/>
    <w:basedOn w:val="Normal"/>
    <w:next w:val="Text2"/>
    <w:pPr>
      <w:numPr>
        <w:ilvl w:val="4"/>
        <w:numId w:val="140"/>
      </w:numPr>
    </w:pPr>
  </w:style>
  <w:style w:type="paragraph" w:customStyle="1" w:styleId="NumPar6">
    <w:name w:val="NumPar 6"/>
    <w:basedOn w:val="Normal"/>
    <w:next w:val="Text2"/>
    <w:pPr>
      <w:numPr>
        <w:ilvl w:val="5"/>
        <w:numId w:val="140"/>
      </w:numPr>
    </w:pPr>
  </w:style>
  <w:style w:type="paragraph" w:customStyle="1" w:styleId="NumPar7">
    <w:name w:val="NumPar 7"/>
    <w:basedOn w:val="Normal"/>
    <w:next w:val="Text2"/>
    <w:pPr>
      <w:numPr>
        <w:ilvl w:val="6"/>
        <w:numId w:val="1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b">
    <w:name w:val="ChapterTitle"/>
    <w:basedOn w:val="Normal"/>
    <w:next w:val="Normal"/>
    <w:pPr>
      <w:keepNext/>
      <w:spacing w:after="360"/>
      <w:jc w:val="center"/>
    </w:pPr>
    <w:rPr>
      <w:b/>
      <w:sz w:val="32"/>
    </w:rPr>
  </w:style>
  <w:style w:type="paragraph" w:customStyle="1" w:styleId="PartTitle">
    <w:name w:val="PartTitle"/>
    <w:basedOn w:val="Normal"/>
    <w:next w:val="ChapterTitleb"/>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2"/>
      </w:numPr>
    </w:pPr>
  </w:style>
  <w:style w:type="paragraph" w:customStyle="1" w:styleId="Point1number">
    <w:name w:val="Point 1 (number)"/>
    <w:basedOn w:val="Normal"/>
    <w:pPr>
      <w:numPr>
        <w:ilvl w:val="2"/>
        <w:numId w:val="142"/>
      </w:numPr>
    </w:pPr>
  </w:style>
  <w:style w:type="paragraph" w:customStyle="1" w:styleId="Point2number">
    <w:name w:val="Point 2 (number)"/>
    <w:basedOn w:val="Normal"/>
    <w:pPr>
      <w:numPr>
        <w:ilvl w:val="4"/>
        <w:numId w:val="142"/>
      </w:numPr>
    </w:pPr>
  </w:style>
  <w:style w:type="paragraph" w:customStyle="1" w:styleId="Point3number">
    <w:name w:val="Point 3 (number)"/>
    <w:basedOn w:val="Normal"/>
    <w:pPr>
      <w:numPr>
        <w:ilvl w:val="6"/>
        <w:numId w:val="142"/>
      </w:numPr>
    </w:pPr>
  </w:style>
  <w:style w:type="paragraph" w:customStyle="1" w:styleId="Point0letter">
    <w:name w:val="Point 0 (letter)"/>
    <w:basedOn w:val="Normal"/>
    <w:pPr>
      <w:numPr>
        <w:ilvl w:val="1"/>
        <w:numId w:val="142"/>
      </w:numPr>
    </w:pPr>
  </w:style>
  <w:style w:type="paragraph" w:customStyle="1" w:styleId="Point1letter">
    <w:name w:val="Point 1 (letter)"/>
    <w:basedOn w:val="Normal"/>
    <w:pPr>
      <w:numPr>
        <w:ilvl w:val="3"/>
        <w:numId w:val="142"/>
      </w:numPr>
    </w:pPr>
  </w:style>
  <w:style w:type="paragraph" w:customStyle="1" w:styleId="Point2letter">
    <w:name w:val="Point 2 (letter)"/>
    <w:basedOn w:val="Normal"/>
    <w:pPr>
      <w:numPr>
        <w:ilvl w:val="5"/>
        <w:numId w:val="142"/>
      </w:numPr>
    </w:pPr>
  </w:style>
  <w:style w:type="paragraph" w:customStyle="1" w:styleId="Point3letter">
    <w:name w:val="Point 3 (letter)"/>
    <w:basedOn w:val="Normal"/>
    <w:pPr>
      <w:numPr>
        <w:ilvl w:val="7"/>
        <w:numId w:val="142"/>
      </w:numPr>
    </w:pPr>
  </w:style>
  <w:style w:type="paragraph" w:customStyle="1" w:styleId="Point4letter">
    <w:name w:val="Point 4 (letter)"/>
    <w:basedOn w:val="Normal"/>
    <w:pPr>
      <w:numPr>
        <w:ilvl w:val="8"/>
        <w:numId w:val="142"/>
      </w:numPr>
    </w:pPr>
  </w:style>
  <w:style w:type="paragraph" w:customStyle="1" w:styleId="Bullet0">
    <w:name w:val="Bullet 0"/>
    <w:basedOn w:val="Normal"/>
    <w:pPr>
      <w:numPr>
        <w:numId w:val="143"/>
      </w:numPr>
    </w:pPr>
  </w:style>
  <w:style w:type="paragraph" w:customStyle="1" w:styleId="Bullet1">
    <w:name w:val="Bullet 1"/>
    <w:basedOn w:val="Normal"/>
    <w:pPr>
      <w:numPr>
        <w:numId w:val="144"/>
      </w:numPr>
    </w:pPr>
  </w:style>
  <w:style w:type="paragraph" w:customStyle="1" w:styleId="Bullet2">
    <w:name w:val="Bullet 2"/>
    <w:basedOn w:val="Normal"/>
    <w:pPr>
      <w:numPr>
        <w:numId w:val="145"/>
      </w:numPr>
    </w:pPr>
  </w:style>
  <w:style w:type="paragraph" w:customStyle="1" w:styleId="Bullet3">
    <w:name w:val="Bullet 3"/>
    <w:basedOn w:val="Normal"/>
    <w:pPr>
      <w:numPr>
        <w:numId w:val="146"/>
      </w:numPr>
    </w:pPr>
  </w:style>
  <w:style w:type="paragraph" w:customStyle="1" w:styleId="Bullet4">
    <w:name w:val="Bullet 4"/>
    <w:basedOn w:val="Normal"/>
    <w:pPr>
      <w:numPr>
        <w:numId w:val="1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9C4ADF"/>
    <w:pPr>
      <w:tabs>
        <w:tab w:val="center" w:pos="4535"/>
        <w:tab w:val="right" w:pos="9071"/>
      </w:tabs>
      <w:spacing w:before="0"/>
    </w:pPr>
  </w:style>
  <w:style w:type="paragraph" w:customStyle="1" w:styleId="HeaderLandscape">
    <w:name w:val="HeaderLandscape"/>
    <w:basedOn w:val="Normal"/>
    <w:rsid w:val="009C4ADF"/>
    <w:pPr>
      <w:tabs>
        <w:tab w:val="center" w:pos="7285"/>
        <w:tab w:val="right" w:pos="14003"/>
      </w:tabs>
      <w:spacing w:before="0"/>
    </w:pPr>
  </w:style>
  <w:style w:type="paragraph" w:styleId="Footer">
    <w:name w:val="footer"/>
    <w:basedOn w:val="Normal"/>
    <w:link w:val="FooterChar"/>
    <w:uiPriority w:val="99"/>
    <w:unhideWhenUsed/>
    <w:rsid w:val="009C4ADF"/>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C4ADF"/>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033">
      <w:bodyDiv w:val="1"/>
      <w:marLeft w:val="0"/>
      <w:marRight w:val="0"/>
      <w:marTop w:val="0"/>
      <w:marBottom w:val="0"/>
      <w:divBdr>
        <w:top w:val="none" w:sz="0" w:space="0" w:color="auto"/>
        <w:left w:val="none" w:sz="0" w:space="0" w:color="auto"/>
        <w:bottom w:val="none" w:sz="0" w:space="0" w:color="auto"/>
        <w:right w:val="none" w:sz="0" w:space="0" w:color="auto"/>
      </w:divBdr>
    </w:div>
    <w:div w:id="79954144">
      <w:bodyDiv w:val="1"/>
      <w:marLeft w:val="0"/>
      <w:marRight w:val="0"/>
      <w:marTop w:val="0"/>
      <w:marBottom w:val="0"/>
      <w:divBdr>
        <w:top w:val="none" w:sz="0" w:space="0" w:color="auto"/>
        <w:left w:val="none" w:sz="0" w:space="0" w:color="auto"/>
        <w:bottom w:val="none" w:sz="0" w:space="0" w:color="auto"/>
        <w:right w:val="none" w:sz="0" w:space="0" w:color="auto"/>
      </w:divBdr>
      <w:divsChild>
        <w:div w:id="536432997">
          <w:marLeft w:val="0"/>
          <w:marRight w:val="0"/>
          <w:marTop w:val="0"/>
          <w:marBottom w:val="0"/>
          <w:divBdr>
            <w:top w:val="none" w:sz="0" w:space="0" w:color="auto"/>
            <w:left w:val="none" w:sz="0" w:space="0" w:color="auto"/>
            <w:bottom w:val="none" w:sz="0" w:space="0" w:color="auto"/>
            <w:right w:val="none" w:sz="0" w:space="0" w:color="auto"/>
          </w:divBdr>
        </w:div>
        <w:div w:id="887180187">
          <w:marLeft w:val="0"/>
          <w:marRight w:val="0"/>
          <w:marTop w:val="0"/>
          <w:marBottom w:val="0"/>
          <w:divBdr>
            <w:top w:val="none" w:sz="0" w:space="0" w:color="auto"/>
            <w:left w:val="none" w:sz="0" w:space="0" w:color="auto"/>
            <w:bottom w:val="none" w:sz="0" w:space="0" w:color="auto"/>
            <w:right w:val="none" w:sz="0" w:space="0" w:color="auto"/>
          </w:divBdr>
        </w:div>
      </w:divsChild>
    </w:div>
    <w:div w:id="107555719">
      <w:bodyDiv w:val="1"/>
      <w:marLeft w:val="0"/>
      <w:marRight w:val="0"/>
      <w:marTop w:val="0"/>
      <w:marBottom w:val="0"/>
      <w:divBdr>
        <w:top w:val="none" w:sz="0" w:space="0" w:color="auto"/>
        <w:left w:val="none" w:sz="0" w:space="0" w:color="auto"/>
        <w:bottom w:val="none" w:sz="0" w:space="0" w:color="auto"/>
        <w:right w:val="none" w:sz="0" w:space="0" w:color="auto"/>
      </w:divBdr>
    </w:div>
    <w:div w:id="110172442">
      <w:bodyDiv w:val="1"/>
      <w:marLeft w:val="0"/>
      <w:marRight w:val="0"/>
      <w:marTop w:val="0"/>
      <w:marBottom w:val="0"/>
      <w:divBdr>
        <w:top w:val="none" w:sz="0" w:space="0" w:color="auto"/>
        <w:left w:val="none" w:sz="0" w:space="0" w:color="auto"/>
        <w:bottom w:val="none" w:sz="0" w:space="0" w:color="auto"/>
        <w:right w:val="none" w:sz="0" w:space="0" w:color="auto"/>
      </w:divBdr>
    </w:div>
    <w:div w:id="163512968">
      <w:bodyDiv w:val="1"/>
      <w:marLeft w:val="0"/>
      <w:marRight w:val="0"/>
      <w:marTop w:val="0"/>
      <w:marBottom w:val="0"/>
      <w:divBdr>
        <w:top w:val="none" w:sz="0" w:space="0" w:color="auto"/>
        <w:left w:val="none" w:sz="0" w:space="0" w:color="auto"/>
        <w:bottom w:val="none" w:sz="0" w:space="0" w:color="auto"/>
        <w:right w:val="none" w:sz="0" w:space="0" w:color="auto"/>
      </w:divBdr>
    </w:div>
    <w:div w:id="167672101">
      <w:bodyDiv w:val="1"/>
      <w:marLeft w:val="0"/>
      <w:marRight w:val="0"/>
      <w:marTop w:val="0"/>
      <w:marBottom w:val="0"/>
      <w:divBdr>
        <w:top w:val="none" w:sz="0" w:space="0" w:color="auto"/>
        <w:left w:val="none" w:sz="0" w:space="0" w:color="auto"/>
        <w:bottom w:val="none" w:sz="0" w:space="0" w:color="auto"/>
        <w:right w:val="none" w:sz="0" w:space="0" w:color="auto"/>
      </w:divBdr>
    </w:div>
    <w:div w:id="197280196">
      <w:bodyDiv w:val="1"/>
      <w:marLeft w:val="0"/>
      <w:marRight w:val="0"/>
      <w:marTop w:val="0"/>
      <w:marBottom w:val="0"/>
      <w:divBdr>
        <w:top w:val="none" w:sz="0" w:space="0" w:color="auto"/>
        <w:left w:val="none" w:sz="0" w:space="0" w:color="auto"/>
        <w:bottom w:val="none" w:sz="0" w:space="0" w:color="auto"/>
        <w:right w:val="none" w:sz="0" w:space="0" w:color="auto"/>
      </w:divBdr>
    </w:div>
    <w:div w:id="243105551">
      <w:bodyDiv w:val="1"/>
      <w:marLeft w:val="0"/>
      <w:marRight w:val="0"/>
      <w:marTop w:val="0"/>
      <w:marBottom w:val="0"/>
      <w:divBdr>
        <w:top w:val="none" w:sz="0" w:space="0" w:color="auto"/>
        <w:left w:val="none" w:sz="0" w:space="0" w:color="auto"/>
        <w:bottom w:val="none" w:sz="0" w:space="0" w:color="auto"/>
        <w:right w:val="none" w:sz="0" w:space="0" w:color="auto"/>
      </w:divBdr>
    </w:div>
    <w:div w:id="256794051">
      <w:bodyDiv w:val="1"/>
      <w:marLeft w:val="0"/>
      <w:marRight w:val="0"/>
      <w:marTop w:val="0"/>
      <w:marBottom w:val="0"/>
      <w:divBdr>
        <w:top w:val="none" w:sz="0" w:space="0" w:color="auto"/>
        <w:left w:val="none" w:sz="0" w:space="0" w:color="auto"/>
        <w:bottom w:val="none" w:sz="0" w:space="0" w:color="auto"/>
        <w:right w:val="none" w:sz="0" w:space="0" w:color="auto"/>
      </w:divBdr>
    </w:div>
    <w:div w:id="262616586">
      <w:bodyDiv w:val="1"/>
      <w:marLeft w:val="0"/>
      <w:marRight w:val="0"/>
      <w:marTop w:val="0"/>
      <w:marBottom w:val="0"/>
      <w:divBdr>
        <w:top w:val="none" w:sz="0" w:space="0" w:color="auto"/>
        <w:left w:val="none" w:sz="0" w:space="0" w:color="auto"/>
        <w:bottom w:val="none" w:sz="0" w:space="0" w:color="auto"/>
        <w:right w:val="none" w:sz="0" w:space="0" w:color="auto"/>
      </w:divBdr>
    </w:div>
    <w:div w:id="291643035">
      <w:bodyDiv w:val="1"/>
      <w:marLeft w:val="0"/>
      <w:marRight w:val="0"/>
      <w:marTop w:val="0"/>
      <w:marBottom w:val="0"/>
      <w:divBdr>
        <w:top w:val="none" w:sz="0" w:space="0" w:color="auto"/>
        <w:left w:val="none" w:sz="0" w:space="0" w:color="auto"/>
        <w:bottom w:val="none" w:sz="0" w:space="0" w:color="auto"/>
        <w:right w:val="none" w:sz="0" w:space="0" w:color="auto"/>
      </w:divBdr>
    </w:div>
    <w:div w:id="299504866">
      <w:bodyDiv w:val="1"/>
      <w:marLeft w:val="0"/>
      <w:marRight w:val="0"/>
      <w:marTop w:val="0"/>
      <w:marBottom w:val="0"/>
      <w:divBdr>
        <w:top w:val="none" w:sz="0" w:space="0" w:color="auto"/>
        <w:left w:val="none" w:sz="0" w:space="0" w:color="auto"/>
        <w:bottom w:val="none" w:sz="0" w:space="0" w:color="auto"/>
        <w:right w:val="none" w:sz="0" w:space="0" w:color="auto"/>
      </w:divBdr>
    </w:div>
    <w:div w:id="317810598">
      <w:bodyDiv w:val="1"/>
      <w:marLeft w:val="0"/>
      <w:marRight w:val="0"/>
      <w:marTop w:val="0"/>
      <w:marBottom w:val="0"/>
      <w:divBdr>
        <w:top w:val="none" w:sz="0" w:space="0" w:color="auto"/>
        <w:left w:val="none" w:sz="0" w:space="0" w:color="auto"/>
        <w:bottom w:val="none" w:sz="0" w:space="0" w:color="auto"/>
        <w:right w:val="none" w:sz="0" w:space="0" w:color="auto"/>
      </w:divBdr>
    </w:div>
    <w:div w:id="357269421">
      <w:bodyDiv w:val="1"/>
      <w:marLeft w:val="0"/>
      <w:marRight w:val="0"/>
      <w:marTop w:val="0"/>
      <w:marBottom w:val="0"/>
      <w:divBdr>
        <w:top w:val="none" w:sz="0" w:space="0" w:color="auto"/>
        <w:left w:val="none" w:sz="0" w:space="0" w:color="auto"/>
        <w:bottom w:val="none" w:sz="0" w:space="0" w:color="auto"/>
        <w:right w:val="none" w:sz="0" w:space="0" w:color="auto"/>
      </w:divBdr>
      <w:divsChild>
        <w:div w:id="857474098">
          <w:marLeft w:val="0"/>
          <w:marRight w:val="0"/>
          <w:marTop w:val="0"/>
          <w:marBottom w:val="0"/>
          <w:divBdr>
            <w:top w:val="none" w:sz="0" w:space="0" w:color="auto"/>
            <w:left w:val="none" w:sz="0" w:space="0" w:color="auto"/>
            <w:bottom w:val="none" w:sz="0" w:space="0" w:color="auto"/>
            <w:right w:val="none" w:sz="0" w:space="0" w:color="auto"/>
          </w:divBdr>
        </w:div>
        <w:div w:id="2075421891">
          <w:marLeft w:val="0"/>
          <w:marRight w:val="0"/>
          <w:marTop w:val="0"/>
          <w:marBottom w:val="0"/>
          <w:divBdr>
            <w:top w:val="none" w:sz="0" w:space="0" w:color="auto"/>
            <w:left w:val="none" w:sz="0" w:space="0" w:color="auto"/>
            <w:bottom w:val="none" w:sz="0" w:space="0" w:color="auto"/>
            <w:right w:val="none" w:sz="0" w:space="0" w:color="auto"/>
          </w:divBdr>
        </w:div>
      </w:divsChild>
    </w:div>
    <w:div w:id="393092359">
      <w:bodyDiv w:val="1"/>
      <w:marLeft w:val="0"/>
      <w:marRight w:val="0"/>
      <w:marTop w:val="0"/>
      <w:marBottom w:val="0"/>
      <w:divBdr>
        <w:top w:val="none" w:sz="0" w:space="0" w:color="auto"/>
        <w:left w:val="none" w:sz="0" w:space="0" w:color="auto"/>
        <w:bottom w:val="none" w:sz="0" w:space="0" w:color="auto"/>
        <w:right w:val="none" w:sz="0" w:space="0" w:color="auto"/>
      </w:divBdr>
      <w:divsChild>
        <w:div w:id="277833366">
          <w:marLeft w:val="0"/>
          <w:marRight w:val="0"/>
          <w:marTop w:val="0"/>
          <w:marBottom w:val="0"/>
          <w:divBdr>
            <w:top w:val="none" w:sz="0" w:space="0" w:color="auto"/>
            <w:left w:val="none" w:sz="0" w:space="0" w:color="auto"/>
            <w:bottom w:val="none" w:sz="0" w:space="0" w:color="auto"/>
            <w:right w:val="none" w:sz="0" w:space="0" w:color="auto"/>
          </w:divBdr>
          <w:divsChild>
            <w:div w:id="582298648">
              <w:marLeft w:val="0"/>
              <w:marRight w:val="0"/>
              <w:marTop w:val="0"/>
              <w:marBottom w:val="0"/>
              <w:divBdr>
                <w:top w:val="none" w:sz="0" w:space="0" w:color="auto"/>
                <w:left w:val="none" w:sz="0" w:space="0" w:color="auto"/>
                <w:bottom w:val="none" w:sz="0" w:space="0" w:color="auto"/>
                <w:right w:val="none" w:sz="0" w:space="0" w:color="auto"/>
              </w:divBdr>
            </w:div>
            <w:div w:id="1450320939">
              <w:marLeft w:val="0"/>
              <w:marRight w:val="0"/>
              <w:marTop w:val="0"/>
              <w:marBottom w:val="0"/>
              <w:divBdr>
                <w:top w:val="none" w:sz="0" w:space="0" w:color="auto"/>
                <w:left w:val="none" w:sz="0" w:space="0" w:color="auto"/>
                <w:bottom w:val="none" w:sz="0" w:space="0" w:color="auto"/>
                <w:right w:val="none" w:sz="0" w:space="0" w:color="auto"/>
              </w:divBdr>
            </w:div>
            <w:div w:id="1580751262">
              <w:marLeft w:val="0"/>
              <w:marRight w:val="0"/>
              <w:marTop w:val="0"/>
              <w:marBottom w:val="0"/>
              <w:divBdr>
                <w:top w:val="none" w:sz="0" w:space="0" w:color="auto"/>
                <w:left w:val="none" w:sz="0" w:space="0" w:color="auto"/>
                <w:bottom w:val="none" w:sz="0" w:space="0" w:color="auto"/>
                <w:right w:val="none" w:sz="0" w:space="0" w:color="auto"/>
              </w:divBdr>
            </w:div>
          </w:divsChild>
        </w:div>
        <w:div w:id="1657369972">
          <w:marLeft w:val="0"/>
          <w:marRight w:val="0"/>
          <w:marTop w:val="0"/>
          <w:marBottom w:val="0"/>
          <w:divBdr>
            <w:top w:val="none" w:sz="0" w:space="0" w:color="auto"/>
            <w:left w:val="none" w:sz="0" w:space="0" w:color="auto"/>
            <w:bottom w:val="none" w:sz="0" w:space="0" w:color="auto"/>
            <w:right w:val="none" w:sz="0" w:space="0" w:color="auto"/>
          </w:divBdr>
          <w:divsChild>
            <w:div w:id="37511019">
              <w:marLeft w:val="0"/>
              <w:marRight w:val="0"/>
              <w:marTop w:val="0"/>
              <w:marBottom w:val="0"/>
              <w:divBdr>
                <w:top w:val="none" w:sz="0" w:space="0" w:color="auto"/>
                <w:left w:val="none" w:sz="0" w:space="0" w:color="auto"/>
                <w:bottom w:val="none" w:sz="0" w:space="0" w:color="auto"/>
                <w:right w:val="none" w:sz="0" w:space="0" w:color="auto"/>
              </w:divBdr>
            </w:div>
            <w:div w:id="774713777">
              <w:marLeft w:val="0"/>
              <w:marRight w:val="0"/>
              <w:marTop w:val="0"/>
              <w:marBottom w:val="0"/>
              <w:divBdr>
                <w:top w:val="none" w:sz="0" w:space="0" w:color="auto"/>
                <w:left w:val="none" w:sz="0" w:space="0" w:color="auto"/>
                <w:bottom w:val="none" w:sz="0" w:space="0" w:color="auto"/>
                <w:right w:val="none" w:sz="0" w:space="0" w:color="auto"/>
              </w:divBdr>
            </w:div>
            <w:div w:id="935362361">
              <w:marLeft w:val="0"/>
              <w:marRight w:val="0"/>
              <w:marTop w:val="0"/>
              <w:marBottom w:val="0"/>
              <w:divBdr>
                <w:top w:val="none" w:sz="0" w:space="0" w:color="auto"/>
                <w:left w:val="none" w:sz="0" w:space="0" w:color="auto"/>
                <w:bottom w:val="none" w:sz="0" w:space="0" w:color="auto"/>
                <w:right w:val="none" w:sz="0" w:space="0" w:color="auto"/>
              </w:divBdr>
            </w:div>
            <w:div w:id="1158960694">
              <w:marLeft w:val="0"/>
              <w:marRight w:val="0"/>
              <w:marTop w:val="0"/>
              <w:marBottom w:val="0"/>
              <w:divBdr>
                <w:top w:val="none" w:sz="0" w:space="0" w:color="auto"/>
                <w:left w:val="none" w:sz="0" w:space="0" w:color="auto"/>
                <w:bottom w:val="none" w:sz="0" w:space="0" w:color="auto"/>
                <w:right w:val="none" w:sz="0" w:space="0" w:color="auto"/>
              </w:divBdr>
            </w:div>
            <w:div w:id="1185292276">
              <w:marLeft w:val="0"/>
              <w:marRight w:val="0"/>
              <w:marTop w:val="0"/>
              <w:marBottom w:val="0"/>
              <w:divBdr>
                <w:top w:val="none" w:sz="0" w:space="0" w:color="auto"/>
                <w:left w:val="none" w:sz="0" w:space="0" w:color="auto"/>
                <w:bottom w:val="none" w:sz="0" w:space="0" w:color="auto"/>
                <w:right w:val="none" w:sz="0" w:space="0" w:color="auto"/>
              </w:divBdr>
            </w:div>
            <w:div w:id="1701473581">
              <w:marLeft w:val="0"/>
              <w:marRight w:val="0"/>
              <w:marTop w:val="0"/>
              <w:marBottom w:val="0"/>
              <w:divBdr>
                <w:top w:val="none" w:sz="0" w:space="0" w:color="auto"/>
                <w:left w:val="none" w:sz="0" w:space="0" w:color="auto"/>
                <w:bottom w:val="none" w:sz="0" w:space="0" w:color="auto"/>
                <w:right w:val="none" w:sz="0" w:space="0" w:color="auto"/>
              </w:divBdr>
            </w:div>
            <w:div w:id="1748770157">
              <w:marLeft w:val="0"/>
              <w:marRight w:val="0"/>
              <w:marTop w:val="0"/>
              <w:marBottom w:val="0"/>
              <w:divBdr>
                <w:top w:val="none" w:sz="0" w:space="0" w:color="auto"/>
                <w:left w:val="none" w:sz="0" w:space="0" w:color="auto"/>
                <w:bottom w:val="none" w:sz="0" w:space="0" w:color="auto"/>
                <w:right w:val="none" w:sz="0" w:space="0" w:color="auto"/>
              </w:divBdr>
            </w:div>
            <w:div w:id="18094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1774">
      <w:bodyDiv w:val="1"/>
      <w:marLeft w:val="0"/>
      <w:marRight w:val="0"/>
      <w:marTop w:val="0"/>
      <w:marBottom w:val="0"/>
      <w:divBdr>
        <w:top w:val="none" w:sz="0" w:space="0" w:color="auto"/>
        <w:left w:val="none" w:sz="0" w:space="0" w:color="auto"/>
        <w:bottom w:val="none" w:sz="0" w:space="0" w:color="auto"/>
        <w:right w:val="none" w:sz="0" w:space="0" w:color="auto"/>
      </w:divBdr>
      <w:divsChild>
        <w:div w:id="803430593">
          <w:marLeft w:val="0"/>
          <w:marRight w:val="0"/>
          <w:marTop w:val="0"/>
          <w:marBottom w:val="0"/>
          <w:divBdr>
            <w:top w:val="none" w:sz="0" w:space="0" w:color="auto"/>
            <w:left w:val="none" w:sz="0" w:space="0" w:color="auto"/>
            <w:bottom w:val="none" w:sz="0" w:space="0" w:color="auto"/>
            <w:right w:val="none" w:sz="0" w:space="0" w:color="auto"/>
          </w:divBdr>
        </w:div>
        <w:div w:id="1169833799">
          <w:marLeft w:val="0"/>
          <w:marRight w:val="0"/>
          <w:marTop w:val="0"/>
          <w:marBottom w:val="0"/>
          <w:divBdr>
            <w:top w:val="none" w:sz="0" w:space="0" w:color="auto"/>
            <w:left w:val="none" w:sz="0" w:space="0" w:color="auto"/>
            <w:bottom w:val="none" w:sz="0" w:space="0" w:color="auto"/>
            <w:right w:val="none" w:sz="0" w:space="0" w:color="auto"/>
          </w:divBdr>
        </w:div>
        <w:div w:id="1181504262">
          <w:marLeft w:val="0"/>
          <w:marRight w:val="0"/>
          <w:marTop w:val="0"/>
          <w:marBottom w:val="0"/>
          <w:divBdr>
            <w:top w:val="none" w:sz="0" w:space="0" w:color="auto"/>
            <w:left w:val="none" w:sz="0" w:space="0" w:color="auto"/>
            <w:bottom w:val="none" w:sz="0" w:space="0" w:color="auto"/>
            <w:right w:val="none" w:sz="0" w:space="0" w:color="auto"/>
          </w:divBdr>
        </w:div>
        <w:div w:id="1783375526">
          <w:marLeft w:val="0"/>
          <w:marRight w:val="0"/>
          <w:marTop w:val="0"/>
          <w:marBottom w:val="0"/>
          <w:divBdr>
            <w:top w:val="none" w:sz="0" w:space="0" w:color="auto"/>
            <w:left w:val="none" w:sz="0" w:space="0" w:color="auto"/>
            <w:bottom w:val="none" w:sz="0" w:space="0" w:color="auto"/>
            <w:right w:val="none" w:sz="0" w:space="0" w:color="auto"/>
          </w:divBdr>
        </w:div>
      </w:divsChild>
    </w:div>
    <w:div w:id="403991246">
      <w:bodyDiv w:val="1"/>
      <w:marLeft w:val="0"/>
      <w:marRight w:val="0"/>
      <w:marTop w:val="0"/>
      <w:marBottom w:val="0"/>
      <w:divBdr>
        <w:top w:val="none" w:sz="0" w:space="0" w:color="auto"/>
        <w:left w:val="none" w:sz="0" w:space="0" w:color="auto"/>
        <w:bottom w:val="none" w:sz="0" w:space="0" w:color="auto"/>
        <w:right w:val="none" w:sz="0" w:space="0" w:color="auto"/>
      </w:divBdr>
      <w:divsChild>
        <w:div w:id="566453477">
          <w:marLeft w:val="0"/>
          <w:marRight w:val="0"/>
          <w:marTop w:val="0"/>
          <w:marBottom w:val="0"/>
          <w:divBdr>
            <w:top w:val="none" w:sz="0" w:space="0" w:color="auto"/>
            <w:left w:val="none" w:sz="0" w:space="0" w:color="auto"/>
            <w:bottom w:val="none" w:sz="0" w:space="0" w:color="auto"/>
            <w:right w:val="none" w:sz="0" w:space="0" w:color="auto"/>
          </w:divBdr>
        </w:div>
        <w:div w:id="1026558452">
          <w:marLeft w:val="0"/>
          <w:marRight w:val="0"/>
          <w:marTop w:val="0"/>
          <w:marBottom w:val="0"/>
          <w:divBdr>
            <w:top w:val="none" w:sz="0" w:space="0" w:color="auto"/>
            <w:left w:val="none" w:sz="0" w:space="0" w:color="auto"/>
            <w:bottom w:val="none" w:sz="0" w:space="0" w:color="auto"/>
            <w:right w:val="none" w:sz="0" w:space="0" w:color="auto"/>
          </w:divBdr>
        </w:div>
        <w:div w:id="1106970763">
          <w:marLeft w:val="0"/>
          <w:marRight w:val="0"/>
          <w:marTop w:val="0"/>
          <w:marBottom w:val="0"/>
          <w:divBdr>
            <w:top w:val="none" w:sz="0" w:space="0" w:color="auto"/>
            <w:left w:val="none" w:sz="0" w:space="0" w:color="auto"/>
            <w:bottom w:val="none" w:sz="0" w:space="0" w:color="auto"/>
            <w:right w:val="none" w:sz="0" w:space="0" w:color="auto"/>
          </w:divBdr>
        </w:div>
        <w:div w:id="1460104027">
          <w:marLeft w:val="0"/>
          <w:marRight w:val="0"/>
          <w:marTop w:val="0"/>
          <w:marBottom w:val="0"/>
          <w:divBdr>
            <w:top w:val="none" w:sz="0" w:space="0" w:color="auto"/>
            <w:left w:val="none" w:sz="0" w:space="0" w:color="auto"/>
            <w:bottom w:val="none" w:sz="0" w:space="0" w:color="auto"/>
            <w:right w:val="none" w:sz="0" w:space="0" w:color="auto"/>
          </w:divBdr>
        </w:div>
        <w:div w:id="1934900192">
          <w:marLeft w:val="0"/>
          <w:marRight w:val="0"/>
          <w:marTop w:val="0"/>
          <w:marBottom w:val="0"/>
          <w:divBdr>
            <w:top w:val="none" w:sz="0" w:space="0" w:color="auto"/>
            <w:left w:val="none" w:sz="0" w:space="0" w:color="auto"/>
            <w:bottom w:val="none" w:sz="0" w:space="0" w:color="auto"/>
            <w:right w:val="none" w:sz="0" w:space="0" w:color="auto"/>
          </w:divBdr>
        </w:div>
      </w:divsChild>
    </w:div>
    <w:div w:id="469131935">
      <w:bodyDiv w:val="1"/>
      <w:marLeft w:val="0"/>
      <w:marRight w:val="0"/>
      <w:marTop w:val="0"/>
      <w:marBottom w:val="0"/>
      <w:divBdr>
        <w:top w:val="none" w:sz="0" w:space="0" w:color="auto"/>
        <w:left w:val="none" w:sz="0" w:space="0" w:color="auto"/>
        <w:bottom w:val="none" w:sz="0" w:space="0" w:color="auto"/>
        <w:right w:val="none" w:sz="0" w:space="0" w:color="auto"/>
      </w:divBdr>
      <w:divsChild>
        <w:div w:id="291176775">
          <w:marLeft w:val="0"/>
          <w:marRight w:val="0"/>
          <w:marTop w:val="0"/>
          <w:marBottom w:val="0"/>
          <w:divBdr>
            <w:top w:val="none" w:sz="0" w:space="0" w:color="auto"/>
            <w:left w:val="none" w:sz="0" w:space="0" w:color="auto"/>
            <w:bottom w:val="none" w:sz="0" w:space="0" w:color="auto"/>
            <w:right w:val="none" w:sz="0" w:space="0" w:color="auto"/>
          </w:divBdr>
          <w:divsChild>
            <w:div w:id="58794324">
              <w:marLeft w:val="0"/>
              <w:marRight w:val="0"/>
              <w:marTop w:val="0"/>
              <w:marBottom w:val="0"/>
              <w:divBdr>
                <w:top w:val="none" w:sz="0" w:space="0" w:color="auto"/>
                <w:left w:val="none" w:sz="0" w:space="0" w:color="auto"/>
                <w:bottom w:val="none" w:sz="0" w:space="0" w:color="auto"/>
                <w:right w:val="none" w:sz="0" w:space="0" w:color="auto"/>
              </w:divBdr>
            </w:div>
            <w:div w:id="222181917">
              <w:marLeft w:val="0"/>
              <w:marRight w:val="0"/>
              <w:marTop w:val="0"/>
              <w:marBottom w:val="0"/>
              <w:divBdr>
                <w:top w:val="none" w:sz="0" w:space="0" w:color="auto"/>
                <w:left w:val="none" w:sz="0" w:space="0" w:color="auto"/>
                <w:bottom w:val="none" w:sz="0" w:space="0" w:color="auto"/>
                <w:right w:val="none" w:sz="0" w:space="0" w:color="auto"/>
              </w:divBdr>
            </w:div>
            <w:div w:id="242957558">
              <w:marLeft w:val="0"/>
              <w:marRight w:val="0"/>
              <w:marTop w:val="0"/>
              <w:marBottom w:val="0"/>
              <w:divBdr>
                <w:top w:val="none" w:sz="0" w:space="0" w:color="auto"/>
                <w:left w:val="none" w:sz="0" w:space="0" w:color="auto"/>
                <w:bottom w:val="none" w:sz="0" w:space="0" w:color="auto"/>
                <w:right w:val="none" w:sz="0" w:space="0" w:color="auto"/>
              </w:divBdr>
            </w:div>
            <w:div w:id="1386223638">
              <w:marLeft w:val="0"/>
              <w:marRight w:val="0"/>
              <w:marTop w:val="0"/>
              <w:marBottom w:val="0"/>
              <w:divBdr>
                <w:top w:val="none" w:sz="0" w:space="0" w:color="auto"/>
                <w:left w:val="none" w:sz="0" w:space="0" w:color="auto"/>
                <w:bottom w:val="none" w:sz="0" w:space="0" w:color="auto"/>
                <w:right w:val="none" w:sz="0" w:space="0" w:color="auto"/>
              </w:divBdr>
            </w:div>
            <w:div w:id="1516849794">
              <w:marLeft w:val="0"/>
              <w:marRight w:val="0"/>
              <w:marTop w:val="0"/>
              <w:marBottom w:val="0"/>
              <w:divBdr>
                <w:top w:val="none" w:sz="0" w:space="0" w:color="auto"/>
                <w:left w:val="none" w:sz="0" w:space="0" w:color="auto"/>
                <w:bottom w:val="none" w:sz="0" w:space="0" w:color="auto"/>
                <w:right w:val="none" w:sz="0" w:space="0" w:color="auto"/>
              </w:divBdr>
            </w:div>
            <w:div w:id="1741555385">
              <w:marLeft w:val="0"/>
              <w:marRight w:val="0"/>
              <w:marTop w:val="0"/>
              <w:marBottom w:val="0"/>
              <w:divBdr>
                <w:top w:val="none" w:sz="0" w:space="0" w:color="auto"/>
                <w:left w:val="none" w:sz="0" w:space="0" w:color="auto"/>
                <w:bottom w:val="none" w:sz="0" w:space="0" w:color="auto"/>
                <w:right w:val="none" w:sz="0" w:space="0" w:color="auto"/>
              </w:divBdr>
            </w:div>
            <w:div w:id="1849170019">
              <w:marLeft w:val="0"/>
              <w:marRight w:val="0"/>
              <w:marTop w:val="0"/>
              <w:marBottom w:val="0"/>
              <w:divBdr>
                <w:top w:val="none" w:sz="0" w:space="0" w:color="auto"/>
                <w:left w:val="none" w:sz="0" w:space="0" w:color="auto"/>
                <w:bottom w:val="none" w:sz="0" w:space="0" w:color="auto"/>
                <w:right w:val="none" w:sz="0" w:space="0" w:color="auto"/>
              </w:divBdr>
            </w:div>
            <w:div w:id="2028435669">
              <w:marLeft w:val="0"/>
              <w:marRight w:val="0"/>
              <w:marTop w:val="0"/>
              <w:marBottom w:val="0"/>
              <w:divBdr>
                <w:top w:val="none" w:sz="0" w:space="0" w:color="auto"/>
                <w:left w:val="none" w:sz="0" w:space="0" w:color="auto"/>
                <w:bottom w:val="none" w:sz="0" w:space="0" w:color="auto"/>
                <w:right w:val="none" w:sz="0" w:space="0" w:color="auto"/>
              </w:divBdr>
            </w:div>
          </w:divsChild>
        </w:div>
        <w:div w:id="1665549294">
          <w:marLeft w:val="0"/>
          <w:marRight w:val="0"/>
          <w:marTop w:val="0"/>
          <w:marBottom w:val="0"/>
          <w:divBdr>
            <w:top w:val="none" w:sz="0" w:space="0" w:color="auto"/>
            <w:left w:val="none" w:sz="0" w:space="0" w:color="auto"/>
            <w:bottom w:val="none" w:sz="0" w:space="0" w:color="auto"/>
            <w:right w:val="none" w:sz="0" w:space="0" w:color="auto"/>
          </w:divBdr>
          <w:divsChild>
            <w:div w:id="502743637">
              <w:marLeft w:val="0"/>
              <w:marRight w:val="0"/>
              <w:marTop w:val="0"/>
              <w:marBottom w:val="0"/>
              <w:divBdr>
                <w:top w:val="none" w:sz="0" w:space="0" w:color="auto"/>
                <w:left w:val="none" w:sz="0" w:space="0" w:color="auto"/>
                <w:bottom w:val="none" w:sz="0" w:space="0" w:color="auto"/>
                <w:right w:val="none" w:sz="0" w:space="0" w:color="auto"/>
              </w:divBdr>
            </w:div>
            <w:div w:id="1010722135">
              <w:marLeft w:val="0"/>
              <w:marRight w:val="0"/>
              <w:marTop w:val="0"/>
              <w:marBottom w:val="0"/>
              <w:divBdr>
                <w:top w:val="none" w:sz="0" w:space="0" w:color="auto"/>
                <w:left w:val="none" w:sz="0" w:space="0" w:color="auto"/>
                <w:bottom w:val="none" w:sz="0" w:space="0" w:color="auto"/>
                <w:right w:val="none" w:sz="0" w:space="0" w:color="auto"/>
              </w:divBdr>
            </w:div>
            <w:div w:id="15398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3127">
      <w:bodyDiv w:val="1"/>
      <w:marLeft w:val="0"/>
      <w:marRight w:val="0"/>
      <w:marTop w:val="0"/>
      <w:marBottom w:val="0"/>
      <w:divBdr>
        <w:top w:val="none" w:sz="0" w:space="0" w:color="auto"/>
        <w:left w:val="none" w:sz="0" w:space="0" w:color="auto"/>
        <w:bottom w:val="none" w:sz="0" w:space="0" w:color="auto"/>
        <w:right w:val="none" w:sz="0" w:space="0" w:color="auto"/>
      </w:divBdr>
    </w:div>
    <w:div w:id="473256905">
      <w:bodyDiv w:val="1"/>
      <w:marLeft w:val="0"/>
      <w:marRight w:val="0"/>
      <w:marTop w:val="0"/>
      <w:marBottom w:val="0"/>
      <w:divBdr>
        <w:top w:val="none" w:sz="0" w:space="0" w:color="auto"/>
        <w:left w:val="none" w:sz="0" w:space="0" w:color="auto"/>
        <w:bottom w:val="none" w:sz="0" w:space="0" w:color="auto"/>
        <w:right w:val="none" w:sz="0" w:space="0" w:color="auto"/>
      </w:divBdr>
      <w:divsChild>
        <w:div w:id="613750900">
          <w:marLeft w:val="0"/>
          <w:marRight w:val="0"/>
          <w:marTop w:val="0"/>
          <w:marBottom w:val="0"/>
          <w:divBdr>
            <w:top w:val="none" w:sz="0" w:space="0" w:color="auto"/>
            <w:left w:val="none" w:sz="0" w:space="0" w:color="auto"/>
            <w:bottom w:val="none" w:sz="0" w:space="0" w:color="auto"/>
            <w:right w:val="none" w:sz="0" w:space="0" w:color="auto"/>
          </w:divBdr>
          <w:divsChild>
            <w:div w:id="387921374">
              <w:marLeft w:val="0"/>
              <w:marRight w:val="0"/>
              <w:marTop w:val="0"/>
              <w:marBottom w:val="0"/>
              <w:divBdr>
                <w:top w:val="none" w:sz="0" w:space="0" w:color="auto"/>
                <w:left w:val="none" w:sz="0" w:space="0" w:color="auto"/>
                <w:bottom w:val="none" w:sz="0" w:space="0" w:color="auto"/>
                <w:right w:val="none" w:sz="0" w:space="0" w:color="auto"/>
              </w:divBdr>
            </w:div>
            <w:div w:id="918176591">
              <w:marLeft w:val="0"/>
              <w:marRight w:val="0"/>
              <w:marTop w:val="0"/>
              <w:marBottom w:val="0"/>
              <w:divBdr>
                <w:top w:val="none" w:sz="0" w:space="0" w:color="auto"/>
                <w:left w:val="none" w:sz="0" w:space="0" w:color="auto"/>
                <w:bottom w:val="none" w:sz="0" w:space="0" w:color="auto"/>
                <w:right w:val="none" w:sz="0" w:space="0" w:color="auto"/>
              </w:divBdr>
            </w:div>
            <w:div w:id="1089544674">
              <w:marLeft w:val="0"/>
              <w:marRight w:val="0"/>
              <w:marTop w:val="0"/>
              <w:marBottom w:val="0"/>
              <w:divBdr>
                <w:top w:val="none" w:sz="0" w:space="0" w:color="auto"/>
                <w:left w:val="none" w:sz="0" w:space="0" w:color="auto"/>
                <w:bottom w:val="none" w:sz="0" w:space="0" w:color="auto"/>
                <w:right w:val="none" w:sz="0" w:space="0" w:color="auto"/>
              </w:divBdr>
            </w:div>
            <w:div w:id="1099519096">
              <w:marLeft w:val="0"/>
              <w:marRight w:val="0"/>
              <w:marTop w:val="0"/>
              <w:marBottom w:val="0"/>
              <w:divBdr>
                <w:top w:val="none" w:sz="0" w:space="0" w:color="auto"/>
                <w:left w:val="none" w:sz="0" w:space="0" w:color="auto"/>
                <w:bottom w:val="none" w:sz="0" w:space="0" w:color="auto"/>
                <w:right w:val="none" w:sz="0" w:space="0" w:color="auto"/>
              </w:divBdr>
            </w:div>
            <w:div w:id="1356888205">
              <w:marLeft w:val="0"/>
              <w:marRight w:val="0"/>
              <w:marTop w:val="0"/>
              <w:marBottom w:val="0"/>
              <w:divBdr>
                <w:top w:val="none" w:sz="0" w:space="0" w:color="auto"/>
                <w:left w:val="none" w:sz="0" w:space="0" w:color="auto"/>
                <w:bottom w:val="none" w:sz="0" w:space="0" w:color="auto"/>
                <w:right w:val="none" w:sz="0" w:space="0" w:color="auto"/>
              </w:divBdr>
            </w:div>
            <w:div w:id="1839810476">
              <w:marLeft w:val="0"/>
              <w:marRight w:val="0"/>
              <w:marTop w:val="0"/>
              <w:marBottom w:val="0"/>
              <w:divBdr>
                <w:top w:val="none" w:sz="0" w:space="0" w:color="auto"/>
                <w:left w:val="none" w:sz="0" w:space="0" w:color="auto"/>
                <w:bottom w:val="none" w:sz="0" w:space="0" w:color="auto"/>
                <w:right w:val="none" w:sz="0" w:space="0" w:color="auto"/>
              </w:divBdr>
            </w:div>
            <w:div w:id="1855531649">
              <w:marLeft w:val="0"/>
              <w:marRight w:val="0"/>
              <w:marTop w:val="0"/>
              <w:marBottom w:val="0"/>
              <w:divBdr>
                <w:top w:val="none" w:sz="0" w:space="0" w:color="auto"/>
                <w:left w:val="none" w:sz="0" w:space="0" w:color="auto"/>
                <w:bottom w:val="none" w:sz="0" w:space="0" w:color="auto"/>
                <w:right w:val="none" w:sz="0" w:space="0" w:color="auto"/>
              </w:divBdr>
            </w:div>
            <w:div w:id="1904368010">
              <w:marLeft w:val="0"/>
              <w:marRight w:val="0"/>
              <w:marTop w:val="0"/>
              <w:marBottom w:val="0"/>
              <w:divBdr>
                <w:top w:val="none" w:sz="0" w:space="0" w:color="auto"/>
                <w:left w:val="none" w:sz="0" w:space="0" w:color="auto"/>
                <w:bottom w:val="none" w:sz="0" w:space="0" w:color="auto"/>
                <w:right w:val="none" w:sz="0" w:space="0" w:color="auto"/>
              </w:divBdr>
            </w:div>
          </w:divsChild>
        </w:div>
        <w:div w:id="705637896">
          <w:marLeft w:val="0"/>
          <w:marRight w:val="0"/>
          <w:marTop w:val="0"/>
          <w:marBottom w:val="0"/>
          <w:divBdr>
            <w:top w:val="none" w:sz="0" w:space="0" w:color="auto"/>
            <w:left w:val="none" w:sz="0" w:space="0" w:color="auto"/>
            <w:bottom w:val="none" w:sz="0" w:space="0" w:color="auto"/>
            <w:right w:val="none" w:sz="0" w:space="0" w:color="auto"/>
          </w:divBdr>
          <w:divsChild>
            <w:div w:id="68158922">
              <w:marLeft w:val="0"/>
              <w:marRight w:val="0"/>
              <w:marTop w:val="0"/>
              <w:marBottom w:val="0"/>
              <w:divBdr>
                <w:top w:val="none" w:sz="0" w:space="0" w:color="auto"/>
                <w:left w:val="none" w:sz="0" w:space="0" w:color="auto"/>
                <w:bottom w:val="none" w:sz="0" w:space="0" w:color="auto"/>
                <w:right w:val="none" w:sz="0" w:space="0" w:color="auto"/>
              </w:divBdr>
            </w:div>
            <w:div w:id="997221811">
              <w:marLeft w:val="0"/>
              <w:marRight w:val="0"/>
              <w:marTop w:val="0"/>
              <w:marBottom w:val="0"/>
              <w:divBdr>
                <w:top w:val="none" w:sz="0" w:space="0" w:color="auto"/>
                <w:left w:val="none" w:sz="0" w:space="0" w:color="auto"/>
                <w:bottom w:val="none" w:sz="0" w:space="0" w:color="auto"/>
                <w:right w:val="none" w:sz="0" w:space="0" w:color="auto"/>
              </w:divBdr>
            </w:div>
            <w:div w:id="14025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19609">
      <w:bodyDiv w:val="1"/>
      <w:marLeft w:val="0"/>
      <w:marRight w:val="0"/>
      <w:marTop w:val="0"/>
      <w:marBottom w:val="0"/>
      <w:divBdr>
        <w:top w:val="none" w:sz="0" w:space="0" w:color="auto"/>
        <w:left w:val="none" w:sz="0" w:space="0" w:color="auto"/>
        <w:bottom w:val="none" w:sz="0" w:space="0" w:color="auto"/>
        <w:right w:val="none" w:sz="0" w:space="0" w:color="auto"/>
      </w:divBdr>
    </w:div>
    <w:div w:id="532305403">
      <w:bodyDiv w:val="1"/>
      <w:marLeft w:val="0"/>
      <w:marRight w:val="0"/>
      <w:marTop w:val="0"/>
      <w:marBottom w:val="0"/>
      <w:divBdr>
        <w:top w:val="none" w:sz="0" w:space="0" w:color="auto"/>
        <w:left w:val="none" w:sz="0" w:space="0" w:color="auto"/>
        <w:bottom w:val="none" w:sz="0" w:space="0" w:color="auto"/>
        <w:right w:val="none" w:sz="0" w:space="0" w:color="auto"/>
      </w:divBdr>
    </w:div>
    <w:div w:id="550580870">
      <w:bodyDiv w:val="1"/>
      <w:marLeft w:val="0"/>
      <w:marRight w:val="0"/>
      <w:marTop w:val="0"/>
      <w:marBottom w:val="0"/>
      <w:divBdr>
        <w:top w:val="none" w:sz="0" w:space="0" w:color="auto"/>
        <w:left w:val="none" w:sz="0" w:space="0" w:color="auto"/>
        <w:bottom w:val="none" w:sz="0" w:space="0" w:color="auto"/>
        <w:right w:val="none" w:sz="0" w:space="0" w:color="auto"/>
      </w:divBdr>
    </w:div>
    <w:div w:id="565847233">
      <w:bodyDiv w:val="1"/>
      <w:marLeft w:val="0"/>
      <w:marRight w:val="0"/>
      <w:marTop w:val="0"/>
      <w:marBottom w:val="0"/>
      <w:divBdr>
        <w:top w:val="none" w:sz="0" w:space="0" w:color="auto"/>
        <w:left w:val="none" w:sz="0" w:space="0" w:color="auto"/>
        <w:bottom w:val="none" w:sz="0" w:space="0" w:color="auto"/>
        <w:right w:val="none" w:sz="0" w:space="0" w:color="auto"/>
      </w:divBdr>
    </w:div>
    <w:div w:id="567569649">
      <w:bodyDiv w:val="1"/>
      <w:marLeft w:val="0"/>
      <w:marRight w:val="0"/>
      <w:marTop w:val="0"/>
      <w:marBottom w:val="0"/>
      <w:divBdr>
        <w:top w:val="none" w:sz="0" w:space="0" w:color="auto"/>
        <w:left w:val="none" w:sz="0" w:space="0" w:color="auto"/>
        <w:bottom w:val="none" w:sz="0" w:space="0" w:color="auto"/>
        <w:right w:val="none" w:sz="0" w:space="0" w:color="auto"/>
      </w:divBdr>
    </w:div>
    <w:div w:id="596642321">
      <w:bodyDiv w:val="1"/>
      <w:marLeft w:val="0"/>
      <w:marRight w:val="0"/>
      <w:marTop w:val="0"/>
      <w:marBottom w:val="0"/>
      <w:divBdr>
        <w:top w:val="none" w:sz="0" w:space="0" w:color="auto"/>
        <w:left w:val="none" w:sz="0" w:space="0" w:color="auto"/>
        <w:bottom w:val="none" w:sz="0" w:space="0" w:color="auto"/>
        <w:right w:val="none" w:sz="0" w:space="0" w:color="auto"/>
      </w:divBdr>
    </w:div>
    <w:div w:id="601382663">
      <w:bodyDiv w:val="1"/>
      <w:marLeft w:val="0"/>
      <w:marRight w:val="0"/>
      <w:marTop w:val="0"/>
      <w:marBottom w:val="0"/>
      <w:divBdr>
        <w:top w:val="none" w:sz="0" w:space="0" w:color="auto"/>
        <w:left w:val="none" w:sz="0" w:space="0" w:color="auto"/>
        <w:bottom w:val="none" w:sz="0" w:space="0" w:color="auto"/>
        <w:right w:val="none" w:sz="0" w:space="0" w:color="auto"/>
      </w:divBdr>
    </w:div>
    <w:div w:id="620917794">
      <w:bodyDiv w:val="1"/>
      <w:marLeft w:val="0"/>
      <w:marRight w:val="0"/>
      <w:marTop w:val="0"/>
      <w:marBottom w:val="0"/>
      <w:divBdr>
        <w:top w:val="none" w:sz="0" w:space="0" w:color="auto"/>
        <w:left w:val="none" w:sz="0" w:space="0" w:color="auto"/>
        <w:bottom w:val="none" w:sz="0" w:space="0" w:color="auto"/>
        <w:right w:val="none" w:sz="0" w:space="0" w:color="auto"/>
      </w:divBdr>
    </w:div>
    <w:div w:id="627588769">
      <w:bodyDiv w:val="1"/>
      <w:marLeft w:val="0"/>
      <w:marRight w:val="0"/>
      <w:marTop w:val="0"/>
      <w:marBottom w:val="0"/>
      <w:divBdr>
        <w:top w:val="none" w:sz="0" w:space="0" w:color="auto"/>
        <w:left w:val="none" w:sz="0" w:space="0" w:color="auto"/>
        <w:bottom w:val="none" w:sz="0" w:space="0" w:color="auto"/>
        <w:right w:val="none" w:sz="0" w:space="0" w:color="auto"/>
      </w:divBdr>
    </w:div>
    <w:div w:id="634019167">
      <w:bodyDiv w:val="1"/>
      <w:marLeft w:val="0"/>
      <w:marRight w:val="0"/>
      <w:marTop w:val="0"/>
      <w:marBottom w:val="0"/>
      <w:divBdr>
        <w:top w:val="none" w:sz="0" w:space="0" w:color="auto"/>
        <w:left w:val="none" w:sz="0" w:space="0" w:color="auto"/>
        <w:bottom w:val="none" w:sz="0" w:space="0" w:color="auto"/>
        <w:right w:val="none" w:sz="0" w:space="0" w:color="auto"/>
      </w:divBdr>
    </w:div>
    <w:div w:id="645012621">
      <w:bodyDiv w:val="1"/>
      <w:marLeft w:val="0"/>
      <w:marRight w:val="0"/>
      <w:marTop w:val="0"/>
      <w:marBottom w:val="0"/>
      <w:divBdr>
        <w:top w:val="none" w:sz="0" w:space="0" w:color="auto"/>
        <w:left w:val="none" w:sz="0" w:space="0" w:color="auto"/>
        <w:bottom w:val="none" w:sz="0" w:space="0" w:color="auto"/>
        <w:right w:val="none" w:sz="0" w:space="0" w:color="auto"/>
      </w:divBdr>
    </w:div>
    <w:div w:id="656886398">
      <w:bodyDiv w:val="1"/>
      <w:marLeft w:val="0"/>
      <w:marRight w:val="0"/>
      <w:marTop w:val="0"/>
      <w:marBottom w:val="0"/>
      <w:divBdr>
        <w:top w:val="none" w:sz="0" w:space="0" w:color="auto"/>
        <w:left w:val="none" w:sz="0" w:space="0" w:color="auto"/>
        <w:bottom w:val="none" w:sz="0" w:space="0" w:color="auto"/>
        <w:right w:val="none" w:sz="0" w:space="0" w:color="auto"/>
      </w:divBdr>
    </w:div>
    <w:div w:id="660428338">
      <w:bodyDiv w:val="1"/>
      <w:marLeft w:val="0"/>
      <w:marRight w:val="0"/>
      <w:marTop w:val="0"/>
      <w:marBottom w:val="0"/>
      <w:divBdr>
        <w:top w:val="none" w:sz="0" w:space="0" w:color="auto"/>
        <w:left w:val="none" w:sz="0" w:space="0" w:color="auto"/>
        <w:bottom w:val="none" w:sz="0" w:space="0" w:color="auto"/>
        <w:right w:val="none" w:sz="0" w:space="0" w:color="auto"/>
      </w:divBdr>
    </w:div>
    <w:div w:id="687831040">
      <w:bodyDiv w:val="1"/>
      <w:marLeft w:val="0"/>
      <w:marRight w:val="0"/>
      <w:marTop w:val="0"/>
      <w:marBottom w:val="0"/>
      <w:divBdr>
        <w:top w:val="none" w:sz="0" w:space="0" w:color="auto"/>
        <w:left w:val="none" w:sz="0" w:space="0" w:color="auto"/>
        <w:bottom w:val="none" w:sz="0" w:space="0" w:color="auto"/>
        <w:right w:val="none" w:sz="0" w:space="0" w:color="auto"/>
      </w:divBdr>
    </w:div>
    <w:div w:id="687831547">
      <w:bodyDiv w:val="1"/>
      <w:marLeft w:val="0"/>
      <w:marRight w:val="0"/>
      <w:marTop w:val="0"/>
      <w:marBottom w:val="0"/>
      <w:divBdr>
        <w:top w:val="none" w:sz="0" w:space="0" w:color="auto"/>
        <w:left w:val="none" w:sz="0" w:space="0" w:color="auto"/>
        <w:bottom w:val="none" w:sz="0" w:space="0" w:color="auto"/>
        <w:right w:val="none" w:sz="0" w:space="0" w:color="auto"/>
      </w:divBdr>
      <w:divsChild>
        <w:div w:id="1481848944">
          <w:marLeft w:val="0"/>
          <w:marRight w:val="0"/>
          <w:marTop w:val="0"/>
          <w:marBottom w:val="0"/>
          <w:divBdr>
            <w:top w:val="none" w:sz="0" w:space="0" w:color="auto"/>
            <w:left w:val="none" w:sz="0" w:space="0" w:color="auto"/>
            <w:bottom w:val="none" w:sz="0" w:space="0" w:color="auto"/>
            <w:right w:val="none" w:sz="0" w:space="0" w:color="auto"/>
          </w:divBdr>
        </w:div>
        <w:div w:id="1558324539">
          <w:marLeft w:val="0"/>
          <w:marRight w:val="0"/>
          <w:marTop w:val="0"/>
          <w:marBottom w:val="0"/>
          <w:divBdr>
            <w:top w:val="none" w:sz="0" w:space="0" w:color="auto"/>
            <w:left w:val="none" w:sz="0" w:space="0" w:color="auto"/>
            <w:bottom w:val="none" w:sz="0" w:space="0" w:color="auto"/>
            <w:right w:val="none" w:sz="0" w:space="0" w:color="auto"/>
          </w:divBdr>
        </w:div>
      </w:divsChild>
    </w:div>
    <w:div w:id="696078491">
      <w:bodyDiv w:val="1"/>
      <w:marLeft w:val="0"/>
      <w:marRight w:val="0"/>
      <w:marTop w:val="0"/>
      <w:marBottom w:val="0"/>
      <w:divBdr>
        <w:top w:val="none" w:sz="0" w:space="0" w:color="auto"/>
        <w:left w:val="none" w:sz="0" w:space="0" w:color="auto"/>
        <w:bottom w:val="none" w:sz="0" w:space="0" w:color="auto"/>
        <w:right w:val="none" w:sz="0" w:space="0" w:color="auto"/>
      </w:divBdr>
    </w:div>
    <w:div w:id="717705801">
      <w:bodyDiv w:val="1"/>
      <w:marLeft w:val="0"/>
      <w:marRight w:val="0"/>
      <w:marTop w:val="0"/>
      <w:marBottom w:val="0"/>
      <w:divBdr>
        <w:top w:val="none" w:sz="0" w:space="0" w:color="auto"/>
        <w:left w:val="none" w:sz="0" w:space="0" w:color="auto"/>
        <w:bottom w:val="none" w:sz="0" w:space="0" w:color="auto"/>
        <w:right w:val="none" w:sz="0" w:space="0" w:color="auto"/>
      </w:divBdr>
    </w:div>
    <w:div w:id="747919983">
      <w:bodyDiv w:val="1"/>
      <w:marLeft w:val="0"/>
      <w:marRight w:val="0"/>
      <w:marTop w:val="0"/>
      <w:marBottom w:val="0"/>
      <w:divBdr>
        <w:top w:val="none" w:sz="0" w:space="0" w:color="auto"/>
        <w:left w:val="none" w:sz="0" w:space="0" w:color="auto"/>
        <w:bottom w:val="none" w:sz="0" w:space="0" w:color="auto"/>
        <w:right w:val="none" w:sz="0" w:space="0" w:color="auto"/>
      </w:divBdr>
    </w:div>
    <w:div w:id="779180731">
      <w:bodyDiv w:val="1"/>
      <w:marLeft w:val="0"/>
      <w:marRight w:val="0"/>
      <w:marTop w:val="0"/>
      <w:marBottom w:val="0"/>
      <w:divBdr>
        <w:top w:val="none" w:sz="0" w:space="0" w:color="auto"/>
        <w:left w:val="none" w:sz="0" w:space="0" w:color="auto"/>
        <w:bottom w:val="none" w:sz="0" w:space="0" w:color="auto"/>
        <w:right w:val="none" w:sz="0" w:space="0" w:color="auto"/>
      </w:divBdr>
    </w:div>
    <w:div w:id="790831178">
      <w:bodyDiv w:val="1"/>
      <w:marLeft w:val="0"/>
      <w:marRight w:val="0"/>
      <w:marTop w:val="0"/>
      <w:marBottom w:val="0"/>
      <w:divBdr>
        <w:top w:val="none" w:sz="0" w:space="0" w:color="auto"/>
        <w:left w:val="none" w:sz="0" w:space="0" w:color="auto"/>
        <w:bottom w:val="none" w:sz="0" w:space="0" w:color="auto"/>
        <w:right w:val="none" w:sz="0" w:space="0" w:color="auto"/>
      </w:divBdr>
    </w:div>
    <w:div w:id="808283342">
      <w:bodyDiv w:val="1"/>
      <w:marLeft w:val="0"/>
      <w:marRight w:val="0"/>
      <w:marTop w:val="0"/>
      <w:marBottom w:val="0"/>
      <w:divBdr>
        <w:top w:val="none" w:sz="0" w:space="0" w:color="auto"/>
        <w:left w:val="none" w:sz="0" w:space="0" w:color="auto"/>
        <w:bottom w:val="none" w:sz="0" w:space="0" w:color="auto"/>
        <w:right w:val="none" w:sz="0" w:space="0" w:color="auto"/>
      </w:divBdr>
      <w:divsChild>
        <w:div w:id="372195132">
          <w:marLeft w:val="0"/>
          <w:marRight w:val="0"/>
          <w:marTop w:val="0"/>
          <w:marBottom w:val="0"/>
          <w:divBdr>
            <w:top w:val="none" w:sz="0" w:space="0" w:color="auto"/>
            <w:left w:val="none" w:sz="0" w:space="0" w:color="auto"/>
            <w:bottom w:val="none" w:sz="0" w:space="0" w:color="auto"/>
            <w:right w:val="none" w:sz="0" w:space="0" w:color="auto"/>
          </w:divBdr>
        </w:div>
        <w:div w:id="822544826">
          <w:marLeft w:val="0"/>
          <w:marRight w:val="0"/>
          <w:marTop w:val="0"/>
          <w:marBottom w:val="0"/>
          <w:divBdr>
            <w:top w:val="none" w:sz="0" w:space="0" w:color="auto"/>
            <w:left w:val="none" w:sz="0" w:space="0" w:color="auto"/>
            <w:bottom w:val="none" w:sz="0" w:space="0" w:color="auto"/>
            <w:right w:val="none" w:sz="0" w:space="0" w:color="auto"/>
          </w:divBdr>
        </w:div>
        <w:div w:id="913468565">
          <w:marLeft w:val="0"/>
          <w:marRight w:val="0"/>
          <w:marTop w:val="0"/>
          <w:marBottom w:val="0"/>
          <w:divBdr>
            <w:top w:val="none" w:sz="0" w:space="0" w:color="auto"/>
            <w:left w:val="none" w:sz="0" w:space="0" w:color="auto"/>
            <w:bottom w:val="none" w:sz="0" w:space="0" w:color="auto"/>
            <w:right w:val="none" w:sz="0" w:space="0" w:color="auto"/>
          </w:divBdr>
        </w:div>
        <w:div w:id="1957248519">
          <w:marLeft w:val="0"/>
          <w:marRight w:val="0"/>
          <w:marTop w:val="0"/>
          <w:marBottom w:val="0"/>
          <w:divBdr>
            <w:top w:val="none" w:sz="0" w:space="0" w:color="auto"/>
            <w:left w:val="none" w:sz="0" w:space="0" w:color="auto"/>
            <w:bottom w:val="none" w:sz="0" w:space="0" w:color="auto"/>
            <w:right w:val="none" w:sz="0" w:space="0" w:color="auto"/>
          </w:divBdr>
        </w:div>
        <w:div w:id="2102098795">
          <w:marLeft w:val="0"/>
          <w:marRight w:val="0"/>
          <w:marTop w:val="0"/>
          <w:marBottom w:val="0"/>
          <w:divBdr>
            <w:top w:val="none" w:sz="0" w:space="0" w:color="auto"/>
            <w:left w:val="none" w:sz="0" w:space="0" w:color="auto"/>
            <w:bottom w:val="none" w:sz="0" w:space="0" w:color="auto"/>
            <w:right w:val="none" w:sz="0" w:space="0" w:color="auto"/>
          </w:divBdr>
        </w:div>
      </w:divsChild>
    </w:div>
    <w:div w:id="823552272">
      <w:bodyDiv w:val="1"/>
      <w:marLeft w:val="0"/>
      <w:marRight w:val="0"/>
      <w:marTop w:val="0"/>
      <w:marBottom w:val="0"/>
      <w:divBdr>
        <w:top w:val="none" w:sz="0" w:space="0" w:color="auto"/>
        <w:left w:val="none" w:sz="0" w:space="0" w:color="auto"/>
        <w:bottom w:val="none" w:sz="0" w:space="0" w:color="auto"/>
        <w:right w:val="none" w:sz="0" w:space="0" w:color="auto"/>
      </w:divBdr>
      <w:divsChild>
        <w:div w:id="907114056">
          <w:marLeft w:val="0"/>
          <w:marRight w:val="0"/>
          <w:marTop w:val="0"/>
          <w:marBottom w:val="0"/>
          <w:divBdr>
            <w:top w:val="none" w:sz="0" w:space="0" w:color="auto"/>
            <w:left w:val="none" w:sz="0" w:space="0" w:color="auto"/>
            <w:bottom w:val="none" w:sz="0" w:space="0" w:color="auto"/>
            <w:right w:val="none" w:sz="0" w:space="0" w:color="auto"/>
          </w:divBdr>
        </w:div>
        <w:div w:id="1411081841">
          <w:marLeft w:val="0"/>
          <w:marRight w:val="0"/>
          <w:marTop w:val="0"/>
          <w:marBottom w:val="0"/>
          <w:divBdr>
            <w:top w:val="none" w:sz="0" w:space="0" w:color="auto"/>
            <w:left w:val="none" w:sz="0" w:space="0" w:color="auto"/>
            <w:bottom w:val="none" w:sz="0" w:space="0" w:color="auto"/>
            <w:right w:val="none" w:sz="0" w:space="0" w:color="auto"/>
          </w:divBdr>
        </w:div>
      </w:divsChild>
    </w:div>
    <w:div w:id="853152389">
      <w:bodyDiv w:val="1"/>
      <w:marLeft w:val="0"/>
      <w:marRight w:val="0"/>
      <w:marTop w:val="0"/>
      <w:marBottom w:val="0"/>
      <w:divBdr>
        <w:top w:val="none" w:sz="0" w:space="0" w:color="auto"/>
        <w:left w:val="none" w:sz="0" w:space="0" w:color="auto"/>
        <w:bottom w:val="none" w:sz="0" w:space="0" w:color="auto"/>
        <w:right w:val="none" w:sz="0" w:space="0" w:color="auto"/>
      </w:divBdr>
    </w:div>
    <w:div w:id="856583429">
      <w:bodyDiv w:val="1"/>
      <w:marLeft w:val="0"/>
      <w:marRight w:val="0"/>
      <w:marTop w:val="0"/>
      <w:marBottom w:val="0"/>
      <w:divBdr>
        <w:top w:val="none" w:sz="0" w:space="0" w:color="auto"/>
        <w:left w:val="none" w:sz="0" w:space="0" w:color="auto"/>
        <w:bottom w:val="none" w:sz="0" w:space="0" w:color="auto"/>
        <w:right w:val="none" w:sz="0" w:space="0" w:color="auto"/>
      </w:divBdr>
      <w:divsChild>
        <w:div w:id="165100592">
          <w:marLeft w:val="0"/>
          <w:marRight w:val="0"/>
          <w:marTop w:val="0"/>
          <w:marBottom w:val="0"/>
          <w:divBdr>
            <w:top w:val="none" w:sz="0" w:space="0" w:color="auto"/>
            <w:left w:val="none" w:sz="0" w:space="0" w:color="auto"/>
            <w:bottom w:val="none" w:sz="0" w:space="0" w:color="auto"/>
            <w:right w:val="none" w:sz="0" w:space="0" w:color="auto"/>
          </w:divBdr>
        </w:div>
        <w:div w:id="413473879">
          <w:marLeft w:val="0"/>
          <w:marRight w:val="0"/>
          <w:marTop w:val="0"/>
          <w:marBottom w:val="0"/>
          <w:divBdr>
            <w:top w:val="none" w:sz="0" w:space="0" w:color="auto"/>
            <w:left w:val="none" w:sz="0" w:space="0" w:color="auto"/>
            <w:bottom w:val="none" w:sz="0" w:space="0" w:color="auto"/>
            <w:right w:val="none" w:sz="0" w:space="0" w:color="auto"/>
          </w:divBdr>
        </w:div>
        <w:div w:id="501702349">
          <w:marLeft w:val="0"/>
          <w:marRight w:val="0"/>
          <w:marTop w:val="0"/>
          <w:marBottom w:val="0"/>
          <w:divBdr>
            <w:top w:val="none" w:sz="0" w:space="0" w:color="auto"/>
            <w:left w:val="none" w:sz="0" w:space="0" w:color="auto"/>
            <w:bottom w:val="none" w:sz="0" w:space="0" w:color="auto"/>
            <w:right w:val="none" w:sz="0" w:space="0" w:color="auto"/>
          </w:divBdr>
        </w:div>
        <w:div w:id="801576945">
          <w:marLeft w:val="0"/>
          <w:marRight w:val="0"/>
          <w:marTop w:val="0"/>
          <w:marBottom w:val="0"/>
          <w:divBdr>
            <w:top w:val="none" w:sz="0" w:space="0" w:color="auto"/>
            <w:left w:val="none" w:sz="0" w:space="0" w:color="auto"/>
            <w:bottom w:val="none" w:sz="0" w:space="0" w:color="auto"/>
            <w:right w:val="none" w:sz="0" w:space="0" w:color="auto"/>
          </w:divBdr>
        </w:div>
        <w:div w:id="955797918">
          <w:marLeft w:val="0"/>
          <w:marRight w:val="0"/>
          <w:marTop w:val="0"/>
          <w:marBottom w:val="0"/>
          <w:divBdr>
            <w:top w:val="none" w:sz="0" w:space="0" w:color="auto"/>
            <w:left w:val="none" w:sz="0" w:space="0" w:color="auto"/>
            <w:bottom w:val="none" w:sz="0" w:space="0" w:color="auto"/>
            <w:right w:val="none" w:sz="0" w:space="0" w:color="auto"/>
          </w:divBdr>
        </w:div>
        <w:div w:id="1946376706">
          <w:marLeft w:val="0"/>
          <w:marRight w:val="0"/>
          <w:marTop w:val="0"/>
          <w:marBottom w:val="0"/>
          <w:divBdr>
            <w:top w:val="none" w:sz="0" w:space="0" w:color="auto"/>
            <w:left w:val="none" w:sz="0" w:space="0" w:color="auto"/>
            <w:bottom w:val="none" w:sz="0" w:space="0" w:color="auto"/>
            <w:right w:val="none" w:sz="0" w:space="0" w:color="auto"/>
          </w:divBdr>
        </w:div>
      </w:divsChild>
    </w:div>
    <w:div w:id="906107373">
      <w:bodyDiv w:val="1"/>
      <w:marLeft w:val="0"/>
      <w:marRight w:val="0"/>
      <w:marTop w:val="0"/>
      <w:marBottom w:val="0"/>
      <w:divBdr>
        <w:top w:val="none" w:sz="0" w:space="0" w:color="auto"/>
        <w:left w:val="none" w:sz="0" w:space="0" w:color="auto"/>
        <w:bottom w:val="none" w:sz="0" w:space="0" w:color="auto"/>
        <w:right w:val="none" w:sz="0" w:space="0" w:color="auto"/>
      </w:divBdr>
      <w:divsChild>
        <w:div w:id="644429546">
          <w:marLeft w:val="0"/>
          <w:marRight w:val="0"/>
          <w:marTop w:val="0"/>
          <w:marBottom w:val="0"/>
          <w:divBdr>
            <w:top w:val="none" w:sz="0" w:space="0" w:color="auto"/>
            <w:left w:val="none" w:sz="0" w:space="0" w:color="auto"/>
            <w:bottom w:val="none" w:sz="0" w:space="0" w:color="auto"/>
            <w:right w:val="none" w:sz="0" w:space="0" w:color="auto"/>
          </w:divBdr>
        </w:div>
        <w:div w:id="703945853">
          <w:marLeft w:val="0"/>
          <w:marRight w:val="0"/>
          <w:marTop w:val="0"/>
          <w:marBottom w:val="0"/>
          <w:divBdr>
            <w:top w:val="none" w:sz="0" w:space="0" w:color="auto"/>
            <w:left w:val="none" w:sz="0" w:space="0" w:color="auto"/>
            <w:bottom w:val="none" w:sz="0" w:space="0" w:color="auto"/>
            <w:right w:val="none" w:sz="0" w:space="0" w:color="auto"/>
          </w:divBdr>
        </w:div>
        <w:div w:id="705451762">
          <w:marLeft w:val="0"/>
          <w:marRight w:val="0"/>
          <w:marTop w:val="0"/>
          <w:marBottom w:val="0"/>
          <w:divBdr>
            <w:top w:val="none" w:sz="0" w:space="0" w:color="auto"/>
            <w:left w:val="none" w:sz="0" w:space="0" w:color="auto"/>
            <w:bottom w:val="none" w:sz="0" w:space="0" w:color="auto"/>
            <w:right w:val="none" w:sz="0" w:space="0" w:color="auto"/>
          </w:divBdr>
        </w:div>
        <w:div w:id="1287590490">
          <w:marLeft w:val="0"/>
          <w:marRight w:val="0"/>
          <w:marTop w:val="0"/>
          <w:marBottom w:val="0"/>
          <w:divBdr>
            <w:top w:val="none" w:sz="0" w:space="0" w:color="auto"/>
            <w:left w:val="none" w:sz="0" w:space="0" w:color="auto"/>
            <w:bottom w:val="none" w:sz="0" w:space="0" w:color="auto"/>
            <w:right w:val="none" w:sz="0" w:space="0" w:color="auto"/>
          </w:divBdr>
        </w:div>
      </w:divsChild>
    </w:div>
    <w:div w:id="981353573">
      <w:bodyDiv w:val="1"/>
      <w:marLeft w:val="0"/>
      <w:marRight w:val="0"/>
      <w:marTop w:val="0"/>
      <w:marBottom w:val="0"/>
      <w:divBdr>
        <w:top w:val="none" w:sz="0" w:space="0" w:color="auto"/>
        <w:left w:val="none" w:sz="0" w:space="0" w:color="auto"/>
        <w:bottom w:val="none" w:sz="0" w:space="0" w:color="auto"/>
        <w:right w:val="none" w:sz="0" w:space="0" w:color="auto"/>
      </w:divBdr>
      <w:divsChild>
        <w:div w:id="549922588">
          <w:marLeft w:val="0"/>
          <w:marRight w:val="0"/>
          <w:marTop w:val="0"/>
          <w:marBottom w:val="0"/>
          <w:divBdr>
            <w:top w:val="none" w:sz="0" w:space="0" w:color="auto"/>
            <w:left w:val="none" w:sz="0" w:space="0" w:color="auto"/>
            <w:bottom w:val="none" w:sz="0" w:space="0" w:color="auto"/>
            <w:right w:val="none" w:sz="0" w:space="0" w:color="auto"/>
          </w:divBdr>
        </w:div>
        <w:div w:id="2008048859">
          <w:marLeft w:val="0"/>
          <w:marRight w:val="0"/>
          <w:marTop w:val="0"/>
          <w:marBottom w:val="0"/>
          <w:divBdr>
            <w:top w:val="none" w:sz="0" w:space="0" w:color="auto"/>
            <w:left w:val="none" w:sz="0" w:space="0" w:color="auto"/>
            <w:bottom w:val="none" w:sz="0" w:space="0" w:color="auto"/>
            <w:right w:val="none" w:sz="0" w:space="0" w:color="auto"/>
          </w:divBdr>
        </w:div>
      </w:divsChild>
    </w:div>
    <w:div w:id="993142662">
      <w:bodyDiv w:val="1"/>
      <w:marLeft w:val="0"/>
      <w:marRight w:val="0"/>
      <w:marTop w:val="0"/>
      <w:marBottom w:val="0"/>
      <w:divBdr>
        <w:top w:val="none" w:sz="0" w:space="0" w:color="auto"/>
        <w:left w:val="none" w:sz="0" w:space="0" w:color="auto"/>
        <w:bottom w:val="none" w:sz="0" w:space="0" w:color="auto"/>
        <w:right w:val="none" w:sz="0" w:space="0" w:color="auto"/>
      </w:divBdr>
    </w:div>
    <w:div w:id="1001155683">
      <w:bodyDiv w:val="1"/>
      <w:marLeft w:val="0"/>
      <w:marRight w:val="0"/>
      <w:marTop w:val="0"/>
      <w:marBottom w:val="0"/>
      <w:divBdr>
        <w:top w:val="none" w:sz="0" w:space="0" w:color="auto"/>
        <w:left w:val="none" w:sz="0" w:space="0" w:color="auto"/>
        <w:bottom w:val="none" w:sz="0" w:space="0" w:color="auto"/>
        <w:right w:val="none" w:sz="0" w:space="0" w:color="auto"/>
      </w:divBdr>
    </w:div>
    <w:div w:id="1088187901">
      <w:bodyDiv w:val="1"/>
      <w:marLeft w:val="0"/>
      <w:marRight w:val="0"/>
      <w:marTop w:val="0"/>
      <w:marBottom w:val="0"/>
      <w:divBdr>
        <w:top w:val="none" w:sz="0" w:space="0" w:color="auto"/>
        <w:left w:val="none" w:sz="0" w:space="0" w:color="auto"/>
        <w:bottom w:val="none" w:sz="0" w:space="0" w:color="auto"/>
        <w:right w:val="none" w:sz="0" w:space="0" w:color="auto"/>
      </w:divBdr>
    </w:div>
    <w:div w:id="1091703630">
      <w:bodyDiv w:val="1"/>
      <w:marLeft w:val="0"/>
      <w:marRight w:val="0"/>
      <w:marTop w:val="0"/>
      <w:marBottom w:val="0"/>
      <w:divBdr>
        <w:top w:val="none" w:sz="0" w:space="0" w:color="auto"/>
        <w:left w:val="none" w:sz="0" w:space="0" w:color="auto"/>
        <w:bottom w:val="none" w:sz="0" w:space="0" w:color="auto"/>
        <w:right w:val="none" w:sz="0" w:space="0" w:color="auto"/>
      </w:divBdr>
    </w:div>
    <w:div w:id="1111434669">
      <w:bodyDiv w:val="1"/>
      <w:marLeft w:val="0"/>
      <w:marRight w:val="0"/>
      <w:marTop w:val="0"/>
      <w:marBottom w:val="0"/>
      <w:divBdr>
        <w:top w:val="none" w:sz="0" w:space="0" w:color="auto"/>
        <w:left w:val="none" w:sz="0" w:space="0" w:color="auto"/>
        <w:bottom w:val="none" w:sz="0" w:space="0" w:color="auto"/>
        <w:right w:val="none" w:sz="0" w:space="0" w:color="auto"/>
      </w:divBdr>
    </w:div>
    <w:div w:id="1187519541">
      <w:bodyDiv w:val="1"/>
      <w:marLeft w:val="0"/>
      <w:marRight w:val="0"/>
      <w:marTop w:val="0"/>
      <w:marBottom w:val="0"/>
      <w:divBdr>
        <w:top w:val="none" w:sz="0" w:space="0" w:color="auto"/>
        <w:left w:val="none" w:sz="0" w:space="0" w:color="auto"/>
        <w:bottom w:val="none" w:sz="0" w:space="0" w:color="auto"/>
        <w:right w:val="none" w:sz="0" w:space="0" w:color="auto"/>
      </w:divBdr>
    </w:div>
    <w:div w:id="1207792397">
      <w:bodyDiv w:val="1"/>
      <w:marLeft w:val="0"/>
      <w:marRight w:val="0"/>
      <w:marTop w:val="0"/>
      <w:marBottom w:val="0"/>
      <w:divBdr>
        <w:top w:val="none" w:sz="0" w:space="0" w:color="auto"/>
        <w:left w:val="none" w:sz="0" w:space="0" w:color="auto"/>
        <w:bottom w:val="none" w:sz="0" w:space="0" w:color="auto"/>
        <w:right w:val="none" w:sz="0" w:space="0" w:color="auto"/>
      </w:divBdr>
    </w:div>
    <w:div w:id="1220363836">
      <w:bodyDiv w:val="1"/>
      <w:marLeft w:val="0"/>
      <w:marRight w:val="0"/>
      <w:marTop w:val="0"/>
      <w:marBottom w:val="0"/>
      <w:divBdr>
        <w:top w:val="none" w:sz="0" w:space="0" w:color="auto"/>
        <w:left w:val="none" w:sz="0" w:space="0" w:color="auto"/>
        <w:bottom w:val="none" w:sz="0" w:space="0" w:color="auto"/>
        <w:right w:val="none" w:sz="0" w:space="0" w:color="auto"/>
      </w:divBdr>
    </w:div>
    <w:div w:id="1254968865">
      <w:bodyDiv w:val="1"/>
      <w:marLeft w:val="0"/>
      <w:marRight w:val="0"/>
      <w:marTop w:val="0"/>
      <w:marBottom w:val="0"/>
      <w:divBdr>
        <w:top w:val="none" w:sz="0" w:space="0" w:color="auto"/>
        <w:left w:val="none" w:sz="0" w:space="0" w:color="auto"/>
        <w:bottom w:val="none" w:sz="0" w:space="0" w:color="auto"/>
        <w:right w:val="none" w:sz="0" w:space="0" w:color="auto"/>
      </w:divBdr>
    </w:div>
    <w:div w:id="1262183322">
      <w:bodyDiv w:val="1"/>
      <w:marLeft w:val="0"/>
      <w:marRight w:val="0"/>
      <w:marTop w:val="0"/>
      <w:marBottom w:val="0"/>
      <w:divBdr>
        <w:top w:val="none" w:sz="0" w:space="0" w:color="auto"/>
        <w:left w:val="none" w:sz="0" w:space="0" w:color="auto"/>
        <w:bottom w:val="none" w:sz="0" w:space="0" w:color="auto"/>
        <w:right w:val="none" w:sz="0" w:space="0" w:color="auto"/>
      </w:divBdr>
    </w:div>
    <w:div w:id="1262421359">
      <w:bodyDiv w:val="1"/>
      <w:marLeft w:val="0"/>
      <w:marRight w:val="0"/>
      <w:marTop w:val="0"/>
      <w:marBottom w:val="0"/>
      <w:divBdr>
        <w:top w:val="none" w:sz="0" w:space="0" w:color="auto"/>
        <w:left w:val="none" w:sz="0" w:space="0" w:color="auto"/>
        <w:bottom w:val="none" w:sz="0" w:space="0" w:color="auto"/>
        <w:right w:val="none" w:sz="0" w:space="0" w:color="auto"/>
      </w:divBdr>
    </w:div>
    <w:div w:id="1262878941">
      <w:bodyDiv w:val="1"/>
      <w:marLeft w:val="0"/>
      <w:marRight w:val="0"/>
      <w:marTop w:val="0"/>
      <w:marBottom w:val="0"/>
      <w:divBdr>
        <w:top w:val="none" w:sz="0" w:space="0" w:color="auto"/>
        <w:left w:val="none" w:sz="0" w:space="0" w:color="auto"/>
        <w:bottom w:val="none" w:sz="0" w:space="0" w:color="auto"/>
        <w:right w:val="none" w:sz="0" w:space="0" w:color="auto"/>
      </w:divBdr>
    </w:div>
    <w:div w:id="1267613333">
      <w:bodyDiv w:val="1"/>
      <w:marLeft w:val="0"/>
      <w:marRight w:val="0"/>
      <w:marTop w:val="0"/>
      <w:marBottom w:val="0"/>
      <w:divBdr>
        <w:top w:val="none" w:sz="0" w:space="0" w:color="auto"/>
        <w:left w:val="none" w:sz="0" w:space="0" w:color="auto"/>
        <w:bottom w:val="none" w:sz="0" w:space="0" w:color="auto"/>
        <w:right w:val="none" w:sz="0" w:space="0" w:color="auto"/>
      </w:divBdr>
    </w:div>
    <w:div w:id="1308973046">
      <w:bodyDiv w:val="1"/>
      <w:marLeft w:val="0"/>
      <w:marRight w:val="0"/>
      <w:marTop w:val="0"/>
      <w:marBottom w:val="0"/>
      <w:divBdr>
        <w:top w:val="none" w:sz="0" w:space="0" w:color="auto"/>
        <w:left w:val="none" w:sz="0" w:space="0" w:color="auto"/>
        <w:bottom w:val="none" w:sz="0" w:space="0" w:color="auto"/>
        <w:right w:val="none" w:sz="0" w:space="0" w:color="auto"/>
      </w:divBdr>
    </w:div>
    <w:div w:id="1315570521">
      <w:bodyDiv w:val="1"/>
      <w:marLeft w:val="0"/>
      <w:marRight w:val="0"/>
      <w:marTop w:val="0"/>
      <w:marBottom w:val="0"/>
      <w:divBdr>
        <w:top w:val="none" w:sz="0" w:space="0" w:color="auto"/>
        <w:left w:val="none" w:sz="0" w:space="0" w:color="auto"/>
        <w:bottom w:val="none" w:sz="0" w:space="0" w:color="auto"/>
        <w:right w:val="none" w:sz="0" w:space="0" w:color="auto"/>
      </w:divBdr>
      <w:divsChild>
        <w:div w:id="725953203">
          <w:marLeft w:val="0"/>
          <w:marRight w:val="0"/>
          <w:marTop w:val="0"/>
          <w:marBottom w:val="0"/>
          <w:divBdr>
            <w:top w:val="none" w:sz="0" w:space="0" w:color="auto"/>
            <w:left w:val="none" w:sz="0" w:space="0" w:color="auto"/>
            <w:bottom w:val="none" w:sz="0" w:space="0" w:color="auto"/>
            <w:right w:val="none" w:sz="0" w:space="0" w:color="auto"/>
          </w:divBdr>
        </w:div>
        <w:div w:id="791899836">
          <w:marLeft w:val="0"/>
          <w:marRight w:val="0"/>
          <w:marTop w:val="0"/>
          <w:marBottom w:val="0"/>
          <w:divBdr>
            <w:top w:val="none" w:sz="0" w:space="0" w:color="auto"/>
            <w:left w:val="none" w:sz="0" w:space="0" w:color="auto"/>
            <w:bottom w:val="none" w:sz="0" w:space="0" w:color="auto"/>
            <w:right w:val="none" w:sz="0" w:space="0" w:color="auto"/>
          </w:divBdr>
        </w:div>
      </w:divsChild>
    </w:div>
    <w:div w:id="1381202175">
      <w:bodyDiv w:val="1"/>
      <w:marLeft w:val="0"/>
      <w:marRight w:val="0"/>
      <w:marTop w:val="0"/>
      <w:marBottom w:val="0"/>
      <w:divBdr>
        <w:top w:val="none" w:sz="0" w:space="0" w:color="auto"/>
        <w:left w:val="none" w:sz="0" w:space="0" w:color="auto"/>
        <w:bottom w:val="none" w:sz="0" w:space="0" w:color="auto"/>
        <w:right w:val="none" w:sz="0" w:space="0" w:color="auto"/>
      </w:divBdr>
    </w:div>
    <w:div w:id="1507286668">
      <w:bodyDiv w:val="1"/>
      <w:marLeft w:val="0"/>
      <w:marRight w:val="0"/>
      <w:marTop w:val="0"/>
      <w:marBottom w:val="0"/>
      <w:divBdr>
        <w:top w:val="none" w:sz="0" w:space="0" w:color="auto"/>
        <w:left w:val="none" w:sz="0" w:space="0" w:color="auto"/>
        <w:bottom w:val="none" w:sz="0" w:space="0" w:color="auto"/>
        <w:right w:val="none" w:sz="0" w:space="0" w:color="auto"/>
      </w:divBdr>
    </w:div>
    <w:div w:id="1514682451">
      <w:bodyDiv w:val="1"/>
      <w:marLeft w:val="0"/>
      <w:marRight w:val="0"/>
      <w:marTop w:val="0"/>
      <w:marBottom w:val="0"/>
      <w:divBdr>
        <w:top w:val="none" w:sz="0" w:space="0" w:color="auto"/>
        <w:left w:val="none" w:sz="0" w:space="0" w:color="auto"/>
        <w:bottom w:val="none" w:sz="0" w:space="0" w:color="auto"/>
        <w:right w:val="none" w:sz="0" w:space="0" w:color="auto"/>
      </w:divBdr>
      <w:divsChild>
        <w:div w:id="380402285">
          <w:marLeft w:val="0"/>
          <w:marRight w:val="0"/>
          <w:marTop w:val="0"/>
          <w:marBottom w:val="0"/>
          <w:divBdr>
            <w:top w:val="none" w:sz="0" w:space="0" w:color="auto"/>
            <w:left w:val="none" w:sz="0" w:space="0" w:color="auto"/>
            <w:bottom w:val="none" w:sz="0" w:space="0" w:color="auto"/>
            <w:right w:val="none" w:sz="0" w:space="0" w:color="auto"/>
          </w:divBdr>
        </w:div>
        <w:div w:id="381056184">
          <w:marLeft w:val="0"/>
          <w:marRight w:val="0"/>
          <w:marTop w:val="0"/>
          <w:marBottom w:val="0"/>
          <w:divBdr>
            <w:top w:val="none" w:sz="0" w:space="0" w:color="auto"/>
            <w:left w:val="none" w:sz="0" w:space="0" w:color="auto"/>
            <w:bottom w:val="none" w:sz="0" w:space="0" w:color="auto"/>
            <w:right w:val="none" w:sz="0" w:space="0" w:color="auto"/>
          </w:divBdr>
        </w:div>
        <w:div w:id="837354990">
          <w:marLeft w:val="0"/>
          <w:marRight w:val="0"/>
          <w:marTop w:val="0"/>
          <w:marBottom w:val="0"/>
          <w:divBdr>
            <w:top w:val="none" w:sz="0" w:space="0" w:color="auto"/>
            <w:left w:val="none" w:sz="0" w:space="0" w:color="auto"/>
            <w:bottom w:val="none" w:sz="0" w:space="0" w:color="auto"/>
            <w:right w:val="none" w:sz="0" w:space="0" w:color="auto"/>
          </w:divBdr>
        </w:div>
        <w:div w:id="1339380214">
          <w:marLeft w:val="0"/>
          <w:marRight w:val="0"/>
          <w:marTop w:val="0"/>
          <w:marBottom w:val="0"/>
          <w:divBdr>
            <w:top w:val="none" w:sz="0" w:space="0" w:color="auto"/>
            <w:left w:val="none" w:sz="0" w:space="0" w:color="auto"/>
            <w:bottom w:val="none" w:sz="0" w:space="0" w:color="auto"/>
            <w:right w:val="none" w:sz="0" w:space="0" w:color="auto"/>
          </w:divBdr>
        </w:div>
        <w:div w:id="1447771081">
          <w:marLeft w:val="0"/>
          <w:marRight w:val="0"/>
          <w:marTop w:val="0"/>
          <w:marBottom w:val="0"/>
          <w:divBdr>
            <w:top w:val="none" w:sz="0" w:space="0" w:color="auto"/>
            <w:left w:val="none" w:sz="0" w:space="0" w:color="auto"/>
            <w:bottom w:val="none" w:sz="0" w:space="0" w:color="auto"/>
            <w:right w:val="none" w:sz="0" w:space="0" w:color="auto"/>
          </w:divBdr>
        </w:div>
      </w:divsChild>
    </w:div>
    <w:div w:id="1565531905">
      <w:bodyDiv w:val="1"/>
      <w:marLeft w:val="0"/>
      <w:marRight w:val="0"/>
      <w:marTop w:val="0"/>
      <w:marBottom w:val="0"/>
      <w:divBdr>
        <w:top w:val="none" w:sz="0" w:space="0" w:color="auto"/>
        <w:left w:val="none" w:sz="0" w:space="0" w:color="auto"/>
        <w:bottom w:val="none" w:sz="0" w:space="0" w:color="auto"/>
        <w:right w:val="none" w:sz="0" w:space="0" w:color="auto"/>
      </w:divBdr>
    </w:div>
    <w:div w:id="1580362488">
      <w:bodyDiv w:val="1"/>
      <w:marLeft w:val="0"/>
      <w:marRight w:val="0"/>
      <w:marTop w:val="0"/>
      <w:marBottom w:val="0"/>
      <w:divBdr>
        <w:top w:val="none" w:sz="0" w:space="0" w:color="auto"/>
        <w:left w:val="none" w:sz="0" w:space="0" w:color="auto"/>
        <w:bottom w:val="none" w:sz="0" w:space="0" w:color="auto"/>
        <w:right w:val="none" w:sz="0" w:space="0" w:color="auto"/>
      </w:divBdr>
    </w:div>
    <w:div w:id="1589072416">
      <w:bodyDiv w:val="1"/>
      <w:marLeft w:val="0"/>
      <w:marRight w:val="0"/>
      <w:marTop w:val="0"/>
      <w:marBottom w:val="0"/>
      <w:divBdr>
        <w:top w:val="none" w:sz="0" w:space="0" w:color="auto"/>
        <w:left w:val="none" w:sz="0" w:space="0" w:color="auto"/>
        <w:bottom w:val="none" w:sz="0" w:space="0" w:color="auto"/>
        <w:right w:val="none" w:sz="0" w:space="0" w:color="auto"/>
      </w:divBdr>
      <w:divsChild>
        <w:div w:id="428165603">
          <w:marLeft w:val="0"/>
          <w:marRight w:val="0"/>
          <w:marTop w:val="0"/>
          <w:marBottom w:val="0"/>
          <w:divBdr>
            <w:top w:val="none" w:sz="0" w:space="0" w:color="auto"/>
            <w:left w:val="none" w:sz="0" w:space="0" w:color="auto"/>
            <w:bottom w:val="none" w:sz="0" w:space="0" w:color="auto"/>
            <w:right w:val="none" w:sz="0" w:space="0" w:color="auto"/>
          </w:divBdr>
        </w:div>
        <w:div w:id="699282071">
          <w:marLeft w:val="0"/>
          <w:marRight w:val="0"/>
          <w:marTop w:val="0"/>
          <w:marBottom w:val="0"/>
          <w:divBdr>
            <w:top w:val="none" w:sz="0" w:space="0" w:color="auto"/>
            <w:left w:val="none" w:sz="0" w:space="0" w:color="auto"/>
            <w:bottom w:val="none" w:sz="0" w:space="0" w:color="auto"/>
            <w:right w:val="none" w:sz="0" w:space="0" w:color="auto"/>
          </w:divBdr>
        </w:div>
      </w:divsChild>
    </w:div>
    <w:div w:id="1631322637">
      <w:bodyDiv w:val="1"/>
      <w:marLeft w:val="0"/>
      <w:marRight w:val="0"/>
      <w:marTop w:val="0"/>
      <w:marBottom w:val="0"/>
      <w:divBdr>
        <w:top w:val="none" w:sz="0" w:space="0" w:color="auto"/>
        <w:left w:val="none" w:sz="0" w:space="0" w:color="auto"/>
        <w:bottom w:val="none" w:sz="0" w:space="0" w:color="auto"/>
        <w:right w:val="none" w:sz="0" w:space="0" w:color="auto"/>
      </w:divBdr>
      <w:divsChild>
        <w:div w:id="365446852">
          <w:marLeft w:val="0"/>
          <w:marRight w:val="0"/>
          <w:marTop w:val="0"/>
          <w:marBottom w:val="0"/>
          <w:divBdr>
            <w:top w:val="none" w:sz="0" w:space="0" w:color="auto"/>
            <w:left w:val="none" w:sz="0" w:space="0" w:color="auto"/>
            <w:bottom w:val="none" w:sz="0" w:space="0" w:color="auto"/>
            <w:right w:val="none" w:sz="0" w:space="0" w:color="auto"/>
          </w:divBdr>
        </w:div>
        <w:div w:id="1191452082">
          <w:marLeft w:val="0"/>
          <w:marRight w:val="0"/>
          <w:marTop w:val="0"/>
          <w:marBottom w:val="0"/>
          <w:divBdr>
            <w:top w:val="none" w:sz="0" w:space="0" w:color="auto"/>
            <w:left w:val="none" w:sz="0" w:space="0" w:color="auto"/>
            <w:bottom w:val="none" w:sz="0" w:space="0" w:color="auto"/>
            <w:right w:val="none" w:sz="0" w:space="0" w:color="auto"/>
          </w:divBdr>
        </w:div>
        <w:div w:id="1200894653">
          <w:marLeft w:val="0"/>
          <w:marRight w:val="0"/>
          <w:marTop w:val="0"/>
          <w:marBottom w:val="0"/>
          <w:divBdr>
            <w:top w:val="none" w:sz="0" w:space="0" w:color="auto"/>
            <w:left w:val="none" w:sz="0" w:space="0" w:color="auto"/>
            <w:bottom w:val="none" w:sz="0" w:space="0" w:color="auto"/>
            <w:right w:val="none" w:sz="0" w:space="0" w:color="auto"/>
          </w:divBdr>
        </w:div>
        <w:div w:id="1376389990">
          <w:marLeft w:val="0"/>
          <w:marRight w:val="0"/>
          <w:marTop w:val="0"/>
          <w:marBottom w:val="0"/>
          <w:divBdr>
            <w:top w:val="none" w:sz="0" w:space="0" w:color="auto"/>
            <w:left w:val="none" w:sz="0" w:space="0" w:color="auto"/>
            <w:bottom w:val="none" w:sz="0" w:space="0" w:color="auto"/>
            <w:right w:val="none" w:sz="0" w:space="0" w:color="auto"/>
          </w:divBdr>
        </w:div>
      </w:divsChild>
    </w:div>
    <w:div w:id="1631858258">
      <w:bodyDiv w:val="1"/>
      <w:marLeft w:val="0"/>
      <w:marRight w:val="0"/>
      <w:marTop w:val="0"/>
      <w:marBottom w:val="0"/>
      <w:divBdr>
        <w:top w:val="none" w:sz="0" w:space="0" w:color="auto"/>
        <w:left w:val="none" w:sz="0" w:space="0" w:color="auto"/>
        <w:bottom w:val="none" w:sz="0" w:space="0" w:color="auto"/>
        <w:right w:val="none" w:sz="0" w:space="0" w:color="auto"/>
      </w:divBdr>
    </w:div>
    <w:div w:id="1637446804">
      <w:bodyDiv w:val="1"/>
      <w:marLeft w:val="0"/>
      <w:marRight w:val="0"/>
      <w:marTop w:val="0"/>
      <w:marBottom w:val="0"/>
      <w:divBdr>
        <w:top w:val="none" w:sz="0" w:space="0" w:color="auto"/>
        <w:left w:val="none" w:sz="0" w:space="0" w:color="auto"/>
        <w:bottom w:val="none" w:sz="0" w:space="0" w:color="auto"/>
        <w:right w:val="none" w:sz="0" w:space="0" w:color="auto"/>
      </w:divBdr>
    </w:div>
    <w:div w:id="1681086115">
      <w:bodyDiv w:val="1"/>
      <w:marLeft w:val="0"/>
      <w:marRight w:val="0"/>
      <w:marTop w:val="0"/>
      <w:marBottom w:val="0"/>
      <w:divBdr>
        <w:top w:val="none" w:sz="0" w:space="0" w:color="auto"/>
        <w:left w:val="none" w:sz="0" w:space="0" w:color="auto"/>
        <w:bottom w:val="none" w:sz="0" w:space="0" w:color="auto"/>
        <w:right w:val="none" w:sz="0" w:space="0" w:color="auto"/>
      </w:divBdr>
      <w:divsChild>
        <w:div w:id="126514107">
          <w:marLeft w:val="0"/>
          <w:marRight w:val="0"/>
          <w:marTop w:val="0"/>
          <w:marBottom w:val="0"/>
          <w:divBdr>
            <w:top w:val="none" w:sz="0" w:space="0" w:color="auto"/>
            <w:left w:val="none" w:sz="0" w:space="0" w:color="auto"/>
            <w:bottom w:val="none" w:sz="0" w:space="0" w:color="auto"/>
            <w:right w:val="none" w:sz="0" w:space="0" w:color="auto"/>
          </w:divBdr>
          <w:divsChild>
            <w:div w:id="497042333">
              <w:marLeft w:val="0"/>
              <w:marRight w:val="0"/>
              <w:marTop w:val="0"/>
              <w:marBottom w:val="0"/>
              <w:divBdr>
                <w:top w:val="none" w:sz="0" w:space="0" w:color="auto"/>
                <w:left w:val="none" w:sz="0" w:space="0" w:color="auto"/>
                <w:bottom w:val="none" w:sz="0" w:space="0" w:color="auto"/>
                <w:right w:val="none" w:sz="0" w:space="0" w:color="auto"/>
              </w:divBdr>
            </w:div>
            <w:div w:id="1758399445">
              <w:marLeft w:val="0"/>
              <w:marRight w:val="0"/>
              <w:marTop w:val="0"/>
              <w:marBottom w:val="0"/>
              <w:divBdr>
                <w:top w:val="none" w:sz="0" w:space="0" w:color="auto"/>
                <w:left w:val="none" w:sz="0" w:space="0" w:color="auto"/>
                <w:bottom w:val="none" w:sz="0" w:space="0" w:color="auto"/>
                <w:right w:val="none" w:sz="0" w:space="0" w:color="auto"/>
              </w:divBdr>
            </w:div>
            <w:div w:id="1845898814">
              <w:marLeft w:val="0"/>
              <w:marRight w:val="0"/>
              <w:marTop w:val="0"/>
              <w:marBottom w:val="0"/>
              <w:divBdr>
                <w:top w:val="none" w:sz="0" w:space="0" w:color="auto"/>
                <w:left w:val="none" w:sz="0" w:space="0" w:color="auto"/>
                <w:bottom w:val="none" w:sz="0" w:space="0" w:color="auto"/>
                <w:right w:val="none" w:sz="0" w:space="0" w:color="auto"/>
              </w:divBdr>
            </w:div>
          </w:divsChild>
        </w:div>
        <w:div w:id="1837963885">
          <w:marLeft w:val="0"/>
          <w:marRight w:val="0"/>
          <w:marTop w:val="0"/>
          <w:marBottom w:val="0"/>
          <w:divBdr>
            <w:top w:val="none" w:sz="0" w:space="0" w:color="auto"/>
            <w:left w:val="none" w:sz="0" w:space="0" w:color="auto"/>
            <w:bottom w:val="none" w:sz="0" w:space="0" w:color="auto"/>
            <w:right w:val="none" w:sz="0" w:space="0" w:color="auto"/>
          </w:divBdr>
          <w:divsChild>
            <w:div w:id="115802487">
              <w:marLeft w:val="0"/>
              <w:marRight w:val="0"/>
              <w:marTop w:val="0"/>
              <w:marBottom w:val="0"/>
              <w:divBdr>
                <w:top w:val="none" w:sz="0" w:space="0" w:color="auto"/>
                <w:left w:val="none" w:sz="0" w:space="0" w:color="auto"/>
                <w:bottom w:val="none" w:sz="0" w:space="0" w:color="auto"/>
                <w:right w:val="none" w:sz="0" w:space="0" w:color="auto"/>
              </w:divBdr>
            </w:div>
            <w:div w:id="177155775">
              <w:marLeft w:val="0"/>
              <w:marRight w:val="0"/>
              <w:marTop w:val="0"/>
              <w:marBottom w:val="0"/>
              <w:divBdr>
                <w:top w:val="none" w:sz="0" w:space="0" w:color="auto"/>
                <w:left w:val="none" w:sz="0" w:space="0" w:color="auto"/>
                <w:bottom w:val="none" w:sz="0" w:space="0" w:color="auto"/>
                <w:right w:val="none" w:sz="0" w:space="0" w:color="auto"/>
              </w:divBdr>
            </w:div>
            <w:div w:id="767310468">
              <w:marLeft w:val="0"/>
              <w:marRight w:val="0"/>
              <w:marTop w:val="0"/>
              <w:marBottom w:val="0"/>
              <w:divBdr>
                <w:top w:val="none" w:sz="0" w:space="0" w:color="auto"/>
                <w:left w:val="none" w:sz="0" w:space="0" w:color="auto"/>
                <w:bottom w:val="none" w:sz="0" w:space="0" w:color="auto"/>
                <w:right w:val="none" w:sz="0" w:space="0" w:color="auto"/>
              </w:divBdr>
            </w:div>
            <w:div w:id="854344375">
              <w:marLeft w:val="0"/>
              <w:marRight w:val="0"/>
              <w:marTop w:val="0"/>
              <w:marBottom w:val="0"/>
              <w:divBdr>
                <w:top w:val="none" w:sz="0" w:space="0" w:color="auto"/>
                <w:left w:val="none" w:sz="0" w:space="0" w:color="auto"/>
                <w:bottom w:val="none" w:sz="0" w:space="0" w:color="auto"/>
                <w:right w:val="none" w:sz="0" w:space="0" w:color="auto"/>
              </w:divBdr>
            </w:div>
            <w:div w:id="1222330989">
              <w:marLeft w:val="0"/>
              <w:marRight w:val="0"/>
              <w:marTop w:val="0"/>
              <w:marBottom w:val="0"/>
              <w:divBdr>
                <w:top w:val="none" w:sz="0" w:space="0" w:color="auto"/>
                <w:left w:val="none" w:sz="0" w:space="0" w:color="auto"/>
                <w:bottom w:val="none" w:sz="0" w:space="0" w:color="auto"/>
                <w:right w:val="none" w:sz="0" w:space="0" w:color="auto"/>
              </w:divBdr>
            </w:div>
            <w:div w:id="1421565882">
              <w:marLeft w:val="0"/>
              <w:marRight w:val="0"/>
              <w:marTop w:val="0"/>
              <w:marBottom w:val="0"/>
              <w:divBdr>
                <w:top w:val="none" w:sz="0" w:space="0" w:color="auto"/>
                <w:left w:val="none" w:sz="0" w:space="0" w:color="auto"/>
                <w:bottom w:val="none" w:sz="0" w:space="0" w:color="auto"/>
                <w:right w:val="none" w:sz="0" w:space="0" w:color="auto"/>
              </w:divBdr>
            </w:div>
            <w:div w:id="1539271124">
              <w:marLeft w:val="0"/>
              <w:marRight w:val="0"/>
              <w:marTop w:val="0"/>
              <w:marBottom w:val="0"/>
              <w:divBdr>
                <w:top w:val="none" w:sz="0" w:space="0" w:color="auto"/>
                <w:left w:val="none" w:sz="0" w:space="0" w:color="auto"/>
                <w:bottom w:val="none" w:sz="0" w:space="0" w:color="auto"/>
                <w:right w:val="none" w:sz="0" w:space="0" w:color="auto"/>
              </w:divBdr>
            </w:div>
            <w:div w:id="169765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0451">
      <w:bodyDiv w:val="1"/>
      <w:marLeft w:val="0"/>
      <w:marRight w:val="0"/>
      <w:marTop w:val="0"/>
      <w:marBottom w:val="0"/>
      <w:divBdr>
        <w:top w:val="none" w:sz="0" w:space="0" w:color="auto"/>
        <w:left w:val="none" w:sz="0" w:space="0" w:color="auto"/>
        <w:bottom w:val="none" w:sz="0" w:space="0" w:color="auto"/>
        <w:right w:val="none" w:sz="0" w:space="0" w:color="auto"/>
      </w:divBdr>
      <w:divsChild>
        <w:div w:id="219560586">
          <w:marLeft w:val="0"/>
          <w:marRight w:val="0"/>
          <w:marTop w:val="0"/>
          <w:marBottom w:val="0"/>
          <w:divBdr>
            <w:top w:val="none" w:sz="0" w:space="0" w:color="auto"/>
            <w:left w:val="none" w:sz="0" w:space="0" w:color="auto"/>
            <w:bottom w:val="none" w:sz="0" w:space="0" w:color="auto"/>
            <w:right w:val="none" w:sz="0" w:space="0" w:color="auto"/>
          </w:divBdr>
        </w:div>
        <w:div w:id="603656593">
          <w:marLeft w:val="0"/>
          <w:marRight w:val="0"/>
          <w:marTop w:val="0"/>
          <w:marBottom w:val="0"/>
          <w:divBdr>
            <w:top w:val="none" w:sz="0" w:space="0" w:color="auto"/>
            <w:left w:val="none" w:sz="0" w:space="0" w:color="auto"/>
            <w:bottom w:val="none" w:sz="0" w:space="0" w:color="auto"/>
            <w:right w:val="none" w:sz="0" w:space="0" w:color="auto"/>
          </w:divBdr>
        </w:div>
        <w:div w:id="1409494507">
          <w:marLeft w:val="0"/>
          <w:marRight w:val="0"/>
          <w:marTop w:val="0"/>
          <w:marBottom w:val="0"/>
          <w:divBdr>
            <w:top w:val="none" w:sz="0" w:space="0" w:color="auto"/>
            <w:left w:val="none" w:sz="0" w:space="0" w:color="auto"/>
            <w:bottom w:val="none" w:sz="0" w:space="0" w:color="auto"/>
            <w:right w:val="none" w:sz="0" w:space="0" w:color="auto"/>
          </w:divBdr>
        </w:div>
        <w:div w:id="1562062898">
          <w:marLeft w:val="0"/>
          <w:marRight w:val="0"/>
          <w:marTop w:val="0"/>
          <w:marBottom w:val="0"/>
          <w:divBdr>
            <w:top w:val="none" w:sz="0" w:space="0" w:color="auto"/>
            <w:left w:val="none" w:sz="0" w:space="0" w:color="auto"/>
            <w:bottom w:val="none" w:sz="0" w:space="0" w:color="auto"/>
            <w:right w:val="none" w:sz="0" w:space="0" w:color="auto"/>
          </w:divBdr>
        </w:div>
        <w:div w:id="1919943240">
          <w:marLeft w:val="0"/>
          <w:marRight w:val="0"/>
          <w:marTop w:val="0"/>
          <w:marBottom w:val="0"/>
          <w:divBdr>
            <w:top w:val="none" w:sz="0" w:space="0" w:color="auto"/>
            <w:left w:val="none" w:sz="0" w:space="0" w:color="auto"/>
            <w:bottom w:val="none" w:sz="0" w:space="0" w:color="auto"/>
            <w:right w:val="none" w:sz="0" w:space="0" w:color="auto"/>
          </w:divBdr>
        </w:div>
      </w:divsChild>
    </w:div>
    <w:div w:id="1703171940">
      <w:bodyDiv w:val="1"/>
      <w:marLeft w:val="0"/>
      <w:marRight w:val="0"/>
      <w:marTop w:val="0"/>
      <w:marBottom w:val="0"/>
      <w:divBdr>
        <w:top w:val="none" w:sz="0" w:space="0" w:color="auto"/>
        <w:left w:val="none" w:sz="0" w:space="0" w:color="auto"/>
        <w:bottom w:val="none" w:sz="0" w:space="0" w:color="auto"/>
        <w:right w:val="none" w:sz="0" w:space="0" w:color="auto"/>
      </w:divBdr>
      <w:divsChild>
        <w:div w:id="830944689">
          <w:marLeft w:val="0"/>
          <w:marRight w:val="0"/>
          <w:marTop w:val="0"/>
          <w:marBottom w:val="0"/>
          <w:divBdr>
            <w:top w:val="none" w:sz="0" w:space="0" w:color="auto"/>
            <w:left w:val="none" w:sz="0" w:space="0" w:color="auto"/>
            <w:bottom w:val="none" w:sz="0" w:space="0" w:color="auto"/>
            <w:right w:val="none" w:sz="0" w:space="0" w:color="auto"/>
          </w:divBdr>
        </w:div>
        <w:div w:id="992879411">
          <w:marLeft w:val="0"/>
          <w:marRight w:val="0"/>
          <w:marTop w:val="0"/>
          <w:marBottom w:val="0"/>
          <w:divBdr>
            <w:top w:val="none" w:sz="0" w:space="0" w:color="auto"/>
            <w:left w:val="none" w:sz="0" w:space="0" w:color="auto"/>
            <w:bottom w:val="none" w:sz="0" w:space="0" w:color="auto"/>
            <w:right w:val="none" w:sz="0" w:space="0" w:color="auto"/>
          </w:divBdr>
        </w:div>
        <w:div w:id="1639260090">
          <w:marLeft w:val="0"/>
          <w:marRight w:val="0"/>
          <w:marTop w:val="0"/>
          <w:marBottom w:val="0"/>
          <w:divBdr>
            <w:top w:val="none" w:sz="0" w:space="0" w:color="auto"/>
            <w:left w:val="none" w:sz="0" w:space="0" w:color="auto"/>
            <w:bottom w:val="none" w:sz="0" w:space="0" w:color="auto"/>
            <w:right w:val="none" w:sz="0" w:space="0" w:color="auto"/>
          </w:divBdr>
        </w:div>
      </w:divsChild>
    </w:div>
    <w:div w:id="1723404291">
      <w:bodyDiv w:val="1"/>
      <w:marLeft w:val="0"/>
      <w:marRight w:val="0"/>
      <w:marTop w:val="0"/>
      <w:marBottom w:val="0"/>
      <w:divBdr>
        <w:top w:val="none" w:sz="0" w:space="0" w:color="auto"/>
        <w:left w:val="none" w:sz="0" w:space="0" w:color="auto"/>
        <w:bottom w:val="none" w:sz="0" w:space="0" w:color="auto"/>
        <w:right w:val="none" w:sz="0" w:space="0" w:color="auto"/>
      </w:divBdr>
    </w:div>
    <w:div w:id="1734572896">
      <w:bodyDiv w:val="1"/>
      <w:marLeft w:val="0"/>
      <w:marRight w:val="0"/>
      <w:marTop w:val="0"/>
      <w:marBottom w:val="0"/>
      <w:divBdr>
        <w:top w:val="none" w:sz="0" w:space="0" w:color="auto"/>
        <w:left w:val="none" w:sz="0" w:space="0" w:color="auto"/>
        <w:bottom w:val="none" w:sz="0" w:space="0" w:color="auto"/>
        <w:right w:val="none" w:sz="0" w:space="0" w:color="auto"/>
      </w:divBdr>
    </w:div>
    <w:div w:id="1795099570">
      <w:bodyDiv w:val="1"/>
      <w:marLeft w:val="0"/>
      <w:marRight w:val="0"/>
      <w:marTop w:val="0"/>
      <w:marBottom w:val="0"/>
      <w:divBdr>
        <w:top w:val="none" w:sz="0" w:space="0" w:color="auto"/>
        <w:left w:val="none" w:sz="0" w:space="0" w:color="auto"/>
        <w:bottom w:val="none" w:sz="0" w:space="0" w:color="auto"/>
        <w:right w:val="none" w:sz="0" w:space="0" w:color="auto"/>
      </w:divBdr>
    </w:div>
    <w:div w:id="1810585780">
      <w:bodyDiv w:val="1"/>
      <w:marLeft w:val="0"/>
      <w:marRight w:val="0"/>
      <w:marTop w:val="0"/>
      <w:marBottom w:val="0"/>
      <w:divBdr>
        <w:top w:val="none" w:sz="0" w:space="0" w:color="auto"/>
        <w:left w:val="none" w:sz="0" w:space="0" w:color="auto"/>
        <w:bottom w:val="none" w:sz="0" w:space="0" w:color="auto"/>
        <w:right w:val="none" w:sz="0" w:space="0" w:color="auto"/>
      </w:divBdr>
    </w:div>
    <w:div w:id="1858617245">
      <w:bodyDiv w:val="1"/>
      <w:marLeft w:val="0"/>
      <w:marRight w:val="0"/>
      <w:marTop w:val="0"/>
      <w:marBottom w:val="0"/>
      <w:divBdr>
        <w:top w:val="none" w:sz="0" w:space="0" w:color="auto"/>
        <w:left w:val="none" w:sz="0" w:space="0" w:color="auto"/>
        <w:bottom w:val="none" w:sz="0" w:space="0" w:color="auto"/>
        <w:right w:val="none" w:sz="0" w:space="0" w:color="auto"/>
      </w:divBdr>
      <w:divsChild>
        <w:div w:id="157769265">
          <w:marLeft w:val="0"/>
          <w:marRight w:val="0"/>
          <w:marTop w:val="0"/>
          <w:marBottom w:val="0"/>
          <w:divBdr>
            <w:top w:val="none" w:sz="0" w:space="0" w:color="auto"/>
            <w:left w:val="none" w:sz="0" w:space="0" w:color="auto"/>
            <w:bottom w:val="none" w:sz="0" w:space="0" w:color="auto"/>
            <w:right w:val="none" w:sz="0" w:space="0" w:color="auto"/>
          </w:divBdr>
        </w:div>
        <w:div w:id="382219614">
          <w:marLeft w:val="0"/>
          <w:marRight w:val="0"/>
          <w:marTop w:val="0"/>
          <w:marBottom w:val="0"/>
          <w:divBdr>
            <w:top w:val="none" w:sz="0" w:space="0" w:color="auto"/>
            <w:left w:val="none" w:sz="0" w:space="0" w:color="auto"/>
            <w:bottom w:val="none" w:sz="0" w:space="0" w:color="auto"/>
            <w:right w:val="none" w:sz="0" w:space="0" w:color="auto"/>
          </w:divBdr>
        </w:div>
      </w:divsChild>
    </w:div>
    <w:div w:id="1889219336">
      <w:bodyDiv w:val="1"/>
      <w:marLeft w:val="0"/>
      <w:marRight w:val="0"/>
      <w:marTop w:val="0"/>
      <w:marBottom w:val="0"/>
      <w:divBdr>
        <w:top w:val="none" w:sz="0" w:space="0" w:color="auto"/>
        <w:left w:val="none" w:sz="0" w:space="0" w:color="auto"/>
        <w:bottom w:val="none" w:sz="0" w:space="0" w:color="auto"/>
        <w:right w:val="none" w:sz="0" w:space="0" w:color="auto"/>
      </w:divBdr>
      <w:divsChild>
        <w:div w:id="408039755">
          <w:marLeft w:val="0"/>
          <w:marRight w:val="0"/>
          <w:marTop w:val="0"/>
          <w:marBottom w:val="0"/>
          <w:divBdr>
            <w:top w:val="none" w:sz="0" w:space="0" w:color="auto"/>
            <w:left w:val="none" w:sz="0" w:space="0" w:color="auto"/>
            <w:bottom w:val="none" w:sz="0" w:space="0" w:color="auto"/>
            <w:right w:val="none" w:sz="0" w:space="0" w:color="auto"/>
          </w:divBdr>
        </w:div>
        <w:div w:id="494614902">
          <w:marLeft w:val="0"/>
          <w:marRight w:val="0"/>
          <w:marTop w:val="0"/>
          <w:marBottom w:val="0"/>
          <w:divBdr>
            <w:top w:val="none" w:sz="0" w:space="0" w:color="auto"/>
            <w:left w:val="none" w:sz="0" w:space="0" w:color="auto"/>
            <w:bottom w:val="none" w:sz="0" w:space="0" w:color="auto"/>
            <w:right w:val="none" w:sz="0" w:space="0" w:color="auto"/>
          </w:divBdr>
        </w:div>
        <w:div w:id="582640798">
          <w:marLeft w:val="0"/>
          <w:marRight w:val="0"/>
          <w:marTop w:val="0"/>
          <w:marBottom w:val="0"/>
          <w:divBdr>
            <w:top w:val="none" w:sz="0" w:space="0" w:color="auto"/>
            <w:left w:val="none" w:sz="0" w:space="0" w:color="auto"/>
            <w:bottom w:val="none" w:sz="0" w:space="0" w:color="auto"/>
            <w:right w:val="none" w:sz="0" w:space="0" w:color="auto"/>
          </w:divBdr>
        </w:div>
        <w:div w:id="604927682">
          <w:marLeft w:val="0"/>
          <w:marRight w:val="0"/>
          <w:marTop w:val="0"/>
          <w:marBottom w:val="0"/>
          <w:divBdr>
            <w:top w:val="none" w:sz="0" w:space="0" w:color="auto"/>
            <w:left w:val="none" w:sz="0" w:space="0" w:color="auto"/>
            <w:bottom w:val="none" w:sz="0" w:space="0" w:color="auto"/>
            <w:right w:val="none" w:sz="0" w:space="0" w:color="auto"/>
          </w:divBdr>
        </w:div>
        <w:div w:id="620845520">
          <w:marLeft w:val="0"/>
          <w:marRight w:val="0"/>
          <w:marTop w:val="0"/>
          <w:marBottom w:val="0"/>
          <w:divBdr>
            <w:top w:val="none" w:sz="0" w:space="0" w:color="auto"/>
            <w:left w:val="none" w:sz="0" w:space="0" w:color="auto"/>
            <w:bottom w:val="none" w:sz="0" w:space="0" w:color="auto"/>
            <w:right w:val="none" w:sz="0" w:space="0" w:color="auto"/>
          </w:divBdr>
        </w:div>
        <w:div w:id="646982810">
          <w:marLeft w:val="0"/>
          <w:marRight w:val="0"/>
          <w:marTop w:val="0"/>
          <w:marBottom w:val="0"/>
          <w:divBdr>
            <w:top w:val="none" w:sz="0" w:space="0" w:color="auto"/>
            <w:left w:val="none" w:sz="0" w:space="0" w:color="auto"/>
            <w:bottom w:val="none" w:sz="0" w:space="0" w:color="auto"/>
            <w:right w:val="none" w:sz="0" w:space="0" w:color="auto"/>
          </w:divBdr>
        </w:div>
        <w:div w:id="1741367463">
          <w:marLeft w:val="0"/>
          <w:marRight w:val="0"/>
          <w:marTop w:val="0"/>
          <w:marBottom w:val="0"/>
          <w:divBdr>
            <w:top w:val="none" w:sz="0" w:space="0" w:color="auto"/>
            <w:left w:val="none" w:sz="0" w:space="0" w:color="auto"/>
            <w:bottom w:val="none" w:sz="0" w:space="0" w:color="auto"/>
            <w:right w:val="none" w:sz="0" w:space="0" w:color="auto"/>
          </w:divBdr>
        </w:div>
        <w:div w:id="1929345606">
          <w:marLeft w:val="0"/>
          <w:marRight w:val="0"/>
          <w:marTop w:val="0"/>
          <w:marBottom w:val="0"/>
          <w:divBdr>
            <w:top w:val="none" w:sz="0" w:space="0" w:color="auto"/>
            <w:left w:val="none" w:sz="0" w:space="0" w:color="auto"/>
            <w:bottom w:val="none" w:sz="0" w:space="0" w:color="auto"/>
            <w:right w:val="none" w:sz="0" w:space="0" w:color="auto"/>
          </w:divBdr>
        </w:div>
      </w:divsChild>
    </w:div>
    <w:div w:id="1904103773">
      <w:bodyDiv w:val="1"/>
      <w:marLeft w:val="0"/>
      <w:marRight w:val="0"/>
      <w:marTop w:val="0"/>
      <w:marBottom w:val="0"/>
      <w:divBdr>
        <w:top w:val="none" w:sz="0" w:space="0" w:color="auto"/>
        <w:left w:val="none" w:sz="0" w:space="0" w:color="auto"/>
        <w:bottom w:val="none" w:sz="0" w:space="0" w:color="auto"/>
        <w:right w:val="none" w:sz="0" w:space="0" w:color="auto"/>
      </w:divBdr>
    </w:div>
    <w:div w:id="1912540921">
      <w:bodyDiv w:val="1"/>
      <w:marLeft w:val="0"/>
      <w:marRight w:val="0"/>
      <w:marTop w:val="0"/>
      <w:marBottom w:val="0"/>
      <w:divBdr>
        <w:top w:val="none" w:sz="0" w:space="0" w:color="auto"/>
        <w:left w:val="none" w:sz="0" w:space="0" w:color="auto"/>
        <w:bottom w:val="none" w:sz="0" w:space="0" w:color="auto"/>
        <w:right w:val="none" w:sz="0" w:space="0" w:color="auto"/>
      </w:divBdr>
      <w:divsChild>
        <w:div w:id="10956475">
          <w:marLeft w:val="0"/>
          <w:marRight w:val="0"/>
          <w:marTop w:val="0"/>
          <w:marBottom w:val="0"/>
          <w:divBdr>
            <w:top w:val="none" w:sz="0" w:space="0" w:color="auto"/>
            <w:left w:val="none" w:sz="0" w:space="0" w:color="auto"/>
            <w:bottom w:val="none" w:sz="0" w:space="0" w:color="auto"/>
            <w:right w:val="none" w:sz="0" w:space="0" w:color="auto"/>
          </w:divBdr>
        </w:div>
        <w:div w:id="212082486">
          <w:marLeft w:val="0"/>
          <w:marRight w:val="0"/>
          <w:marTop w:val="0"/>
          <w:marBottom w:val="0"/>
          <w:divBdr>
            <w:top w:val="none" w:sz="0" w:space="0" w:color="auto"/>
            <w:left w:val="none" w:sz="0" w:space="0" w:color="auto"/>
            <w:bottom w:val="none" w:sz="0" w:space="0" w:color="auto"/>
            <w:right w:val="none" w:sz="0" w:space="0" w:color="auto"/>
          </w:divBdr>
        </w:div>
        <w:div w:id="274604334">
          <w:marLeft w:val="0"/>
          <w:marRight w:val="0"/>
          <w:marTop w:val="0"/>
          <w:marBottom w:val="0"/>
          <w:divBdr>
            <w:top w:val="none" w:sz="0" w:space="0" w:color="auto"/>
            <w:left w:val="none" w:sz="0" w:space="0" w:color="auto"/>
            <w:bottom w:val="none" w:sz="0" w:space="0" w:color="auto"/>
            <w:right w:val="none" w:sz="0" w:space="0" w:color="auto"/>
          </w:divBdr>
        </w:div>
        <w:div w:id="1171720443">
          <w:marLeft w:val="0"/>
          <w:marRight w:val="0"/>
          <w:marTop w:val="0"/>
          <w:marBottom w:val="0"/>
          <w:divBdr>
            <w:top w:val="none" w:sz="0" w:space="0" w:color="auto"/>
            <w:left w:val="none" w:sz="0" w:space="0" w:color="auto"/>
            <w:bottom w:val="none" w:sz="0" w:space="0" w:color="auto"/>
            <w:right w:val="none" w:sz="0" w:space="0" w:color="auto"/>
          </w:divBdr>
        </w:div>
        <w:div w:id="1257327139">
          <w:marLeft w:val="0"/>
          <w:marRight w:val="0"/>
          <w:marTop w:val="0"/>
          <w:marBottom w:val="0"/>
          <w:divBdr>
            <w:top w:val="none" w:sz="0" w:space="0" w:color="auto"/>
            <w:left w:val="none" w:sz="0" w:space="0" w:color="auto"/>
            <w:bottom w:val="none" w:sz="0" w:space="0" w:color="auto"/>
            <w:right w:val="none" w:sz="0" w:space="0" w:color="auto"/>
          </w:divBdr>
        </w:div>
        <w:div w:id="2125536595">
          <w:marLeft w:val="0"/>
          <w:marRight w:val="0"/>
          <w:marTop w:val="0"/>
          <w:marBottom w:val="0"/>
          <w:divBdr>
            <w:top w:val="none" w:sz="0" w:space="0" w:color="auto"/>
            <w:left w:val="none" w:sz="0" w:space="0" w:color="auto"/>
            <w:bottom w:val="none" w:sz="0" w:space="0" w:color="auto"/>
            <w:right w:val="none" w:sz="0" w:space="0" w:color="auto"/>
          </w:divBdr>
        </w:div>
      </w:divsChild>
    </w:div>
    <w:div w:id="1929850210">
      <w:bodyDiv w:val="1"/>
      <w:marLeft w:val="0"/>
      <w:marRight w:val="0"/>
      <w:marTop w:val="0"/>
      <w:marBottom w:val="0"/>
      <w:divBdr>
        <w:top w:val="none" w:sz="0" w:space="0" w:color="auto"/>
        <w:left w:val="none" w:sz="0" w:space="0" w:color="auto"/>
        <w:bottom w:val="none" w:sz="0" w:space="0" w:color="auto"/>
        <w:right w:val="none" w:sz="0" w:space="0" w:color="auto"/>
      </w:divBdr>
    </w:div>
    <w:div w:id="1945722743">
      <w:bodyDiv w:val="1"/>
      <w:marLeft w:val="0"/>
      <w:marRight w:val="0"/>
      <w:marTop w:val="0"/>
      <w:marBottom w:val="0"/>
      <w:divBdr>
        <w:top w:val="none" w:sz="0" w:space="0" w:color="auto"/>
        <w:left w:val="none" w:sz="0" w:space="0" w:color="auto"/>
        <w:bottom w:val="none" w:sz="0" w:space="0" w:color="auto"/>
        <w:right w:val="none" w:sz="0" w:space="0" w:color="auto"/>
      </w:divBdr>
      <w:divsChild>
        <w:div w:id="1094276812">
          <w:marLeft w:val="0"/>
          <w:marRight w:val="0"/>
          <w:marTop w:val="0"/>
          <w:marBottom w:val="0"/>
          <w:divBdr>
            <w:top w:val="none" w:sz="0" w:space="0" w:color="auto"/>
            <w:left w:val="none" w:sz="0" w:space="0" w:color="auto"/>
            <w:bottom w:val="none" w:sz="0" w:space="0" w:color="auto"/>
            <w:right w:val="none" w:sz="0" w:space="0" w:color="auto"/>
          </w:divBdr>
        </w:div>
        <w:div w:id="1508522608">
          <w:marLeft w:val="0"/>
          <w:marRight w:val="0"/>
          <w:marTop w:val="0"/>
          <w:marBottom w:val="0"/>
          <w:divBdr>
            <w:top w:val="none" w:sz="0" w:space="0" w:color="auto"/>
            <w:left w:val="none" w:sz="0" w:space="0" w:color="auto"/>
            <w:bottom w:val="none" w:sz="0" w:space="0" w:color="auto"/>
            <w:right w:val="none" w:sz="0" w:space="0" w:color="auto"/>
          </w:divBdr>
        </w:div>
        <w:div w:id="1786076102">
          <w:marLeft w:val="0"/>
          <w:marRight w:val="0"/>
          <w:marTop w:val="0"/>
          <w:marBottom w:val="0"/>
          <w:divBdr>
            <w:top w:val="none" w:sz="0" w:space="0" w:color="auto"/>
            <w:left w:val="none" w:sz="0" w:space="0" w:color="auto"/>
            <w:bottom w:val="none" w:sz="0" w:space="0" w:color="auto"/>
            <w:right w:val="none" w:sz="0" w:space="0" w:color="auto"/>
          </w:divBdr>
        </w:div>
        <w:div w:id="1812865428">
          <w:marLeft w:val="0"/>
          <w:marRight w:val="0"/>
          <w:marTop w:val="0"/>
          <w:marBottom w:val="0"/>
          <w:divBdr>
            <w:top w:val="none" w:sz="0" w:space="0" w:color="auto"/>
            <w:left w:val="none" w:sz="0" w:space="0" w:color="auto"/>
            <w:bottom w:val="none" w:sz="0" w:space="0" w:color="auto"/>
            <w:right w:val="none" w:sz="0" w:space="0" w:color="auto"/>
          </w:divBdr>
        </w:div>
      </w:divsChild>
    </w:div>
    <w:div w:id="1955942887">
      <w:bodyDiv w:val="1"/>
      <w:marLeft w:val="0"/>
      <w:marRight w:val="0"/>
      <w:marTop w:val="0"/>
      <w:marBottom w:val="0"/>
      <w:divBdr>
        <w:top w:val="none" w:sz="0" w:space="0" w:color="auto"/>
        <w:left w:val="none" w:sz="0" w:space="0" w:color="auto"/>
        <w:bottom w:val="none" w:sz="0" w:space="0" w:color="auto"/>
        <w:right w:val="none" w:sz="0" w:space="0" w:color="auto"/>
      </w:divBdr>
    </w:div>
    <w:div w:id="1969893797">
      <w:bodyDiv w:val="1"/>
      <w:marLeft w:val="0"/>
      <w:marRight w:val="0"/>
      <w:marTop w:val="0"/>
      <w:marBottom w:val="0"/>
      <w:divBdr>
        <w:top w:val="none" w:sz="0" w:space="0" w:color="auto"/>
        <w:left w:val="none" w:sz="0" w:space="0" w:color="auto"/>
        <w:bottom w:val="none" w:sz="0" w:space="0" w:color="auto"/>
        <w:right w:val="none" w:sz="0" w:space="0" w:color="auto"/>
      </w:divBdr>
      <w:divsChild>
        <w:div w:id="703334093">
          <w:marLeft w:val="0"/>
          <w:marRight w:val="0"/>
          <w:marTop w:val="0"/>
          <w:marBottom w:val="0"/>
          <w:divBdr>
            <w:top w:val="none" w:sz="0" w:space="0" w:color="auto"/>
            <w:left w:val="none" w:sz="0" w:space="0" w:color="auto"/>
            <w:bottom w:val="none" w:sz="0" w:space="0" w:color="auto"/>
            <w:right w:val="none" w:sz="0" w:space="0" w:color="auto"/>
          </w:divBdr>
        </w:div>
        <w:div w:id="875388283">
          <w:marLeft w:val="0"/>
          <w:marRight w:val="0"/>
          <w:marTop w:val="0"/>
          <w:marBottom w:val="0"/>
          <w:divBdr>
            <w:top w:val="none" w:sz="0" w:space="0" w:color="auto"/>
            <w:left w:val="none" w:sz="0" w:space="0" w:color="auto"/>
            <w:bottom w:val="none" w:sz="0" w:space="0" w:color="auto"/>
            <w:right w:val="none" w:sz="0" w:space="0" w:color="auto"/>
          </w:divBdr>
        </w:div>
        <w:div w:id="1802963406">
          <w:marLeft w:val="0"/>
          <w:marRight w:val="0"/>
          <w:marTop w:val="0"/>
          <w:marBottom w:val="0"/>
          <w:divBdr>
            <w:top w:val="none" w:sz="0" w:space="0" w:color="auto"/>
            <w:left w:val="none" w:sz="0" w:space="0" w:color="auto"/>
            <w:bottom w:val="none" w:sz="0" w:space="0" w:color="auto"/>
            <w:right w:val="none" w:sz="0" w:space="0" w:color="auto"/>
          </w:divBdr>
        </w:div>
      </w:divsChild>
    </w:div>
    <w:div w:id="1977878532">
      <w:bodyDiv w:val="1"/>
      <w:marLeft w:val="0"/>
      <w:marRight w:val="0"/>
      <w:marTop w:val="0"/>
      <w:marBottom w:val="0"/>
      <w:divBdr>
        <w:top w:val="none" w:sz="0" w:space="0" w:color="auto"/>
        <w:left w:val="none" w:sz="0" w:space="0" w:color="auto"/>
        <w:bottom w:val="none" w:sz="0" w:space="0" w:color="auto"/>
        <w:right w:val="none" w:sz="0" w:space="0" w:color="auto"/>
      </w:divBdr>
    </w:div>
    <w:div w:id="2041513474">
      <w:bodyDiv w:val="1"/>
      <w:marLeft w:val="0"/>
      <w:marRight w:val="0"/>
      <w:marTop w:val="0"/>
      <w:marBottom w:val="0"/>
      <w:divBdr>
        <w:top w:val="none" w:sz="0" w:space="0" w:color="auto"/>
        <w:left w:val="none" w:sz="0" w:space="0" w:color="auto"/>
        <w:bottom w:val="none" w:sz="0" w:space="0" w:color="auto"/>
        <w:right w:val="none" w:sz="0" w:space="0" w:color="auto"/>
      </w:divBdr>
    </w:div>
    <w:div w:id="2053384801">
      <w:bodyDiv w:val="1"/>
      <w:marLeft w:val="0"/>
      <w:marRight w:val="0"/>
      <w:marTop w:val="0"/>
      <w:marBottom w:val="0"/>
      <w:divBdr>
        <w:top w:val="none" w:sz="0" w:space="0" w:color="auto"/>
        <w:left w:val="none" w:sz="0" w:space="0" w:color="auto"/>
        <w:bottom w:val="none" w:sz="0" w:space="0" w:color="auto"/>
        <w:right w:val="none" w:sz="0" w:space="0" w:color="auto"/>
      </w:divBdr>
    </w:div>
    <w:div w:id="2061977419">
      <w:bodyDiv w:val="1"/>
      <w:marLeft w:val="0"/>
      <w:marRight w:val="0"/>
      <w:marTop w:val="0"/>
      <w:marBottom w:val="0"/>
      <w:divBdr>
        <w:top w:val="none" w:sz="0" w:space="0" w:color="auto"/>
        <w:left w:val="none" w:sz="0" w:space="0" w:color="auto"/>
        <w:bottom w:val="none" w:sz="0" w:space="0" w:color="auto"/>
        <w:right w:val="none" w:sz="0" w:space="0" w:color="auto"/>
      </w:divBdr>
    </w:div>
    <w:div w:id="2063748075">
      <w:bodyDiv w:val="1"/>
      <w:marLeft w:val="0"/>
      <w:marRight w:val="0"/>
      <w:marTop w:val="0"/>
      <w:marBottom w:val="0"/>
      <w:divBdr>
        <w:top w:val="none" w:sz="0" w:space="0" w:color="auto"/>
        <w:left w:val="none" w:sz="0" w:space="0" w:color="auto"/>
        <w:bottom w:val="none" w:sz="0" w:space="0" w:color="auto"/>
        <w:right w:val="none" w:sz="0" w:space="0" w:color="auto"/>
      </w:divBdr>
    </w:div>
    <w:div w:id="2068609071">
      <w:bodyDiv w:val="1"/>
      <w:marLeft w:val="0"/>
      <w:marRight w:val="0"/>
      <w:marTop w:val="0"/>
      <w:marBottom w:val="0"/>
      <w:divBdr>
        <w:top w:val="none" w:sz="0" w:space="0" w:color="auto"/>
        <w:left w:val="none" w:sz="0" w:space="0" w:color="auto"/>
        <w:bottom w:val="none" w:sz="0" w:space="0" w:color="auto"/>
        <w:right w:val="none" w:sz="0" w:space="0" w:color="auto"/>
      </w:divBdr>
    </w:div>
    <w:div w:id="2071465527">
      <w:bodyDiv w:val="1"/>
      <w:marLeft w:val="0"/>
      <w:marRight w:val="0"/>
      <w:marTop w:val="0"/>
      <w:marBottom w:val="0"/>
      <w:divBdr>
        <w:top w:val="none" w:sz="0" w:space="0" w:color="auto"/>
        <w:left w:val="none" w:sz="0" w:space="0" w:color="auto"/>
        <w:bottom w:val="none" w:sz="0" w:space="0" w:color="auto"/>
        <w:right w:val="none" w:sz="0" w:space="0" w:color="auto"/>
      </w:divBdr>
      <w:divsChild>
        <w:div w:id="256334527">
          <w:marLeft w:val="0"/>
          <w:marRight w:val="0"/>
          <w:marTop w:val="0"/>
          <w:marBottom w:val="0"/>
          <w:divBdr>
            <w:top w:val="none" w:sz="0" w:space="0" w:color="auto"/>
            <w:left w:val="none" w:sz="0" w:space="0" w:color="auto"/>
            <w:bottom w:val="none" w:sz="0" w:space="0" w:color="auto"/>
            <w:right w:val="none" w:sz="0" w:space="0" w:color="auto"/>
          </w:divBdr>
        </w:div>
        <w:div w:id="518155434">
          <w:marLeft w:val="0"/>
          <w:marRight w:val="0"/>
          <w:marTop w:val="0"/>
          <w:marBottom w:val="0"/>
          <w:divBdr>
            <w:top w:val="none" w:sz="0" w:space="0" w:color="auto"/>
            <w:left w:val="none" w:sz="0" w:space="0" w:color="auto"/>
            <w:bottom w:val="none" w:sz="0" w:space="0" w:color="auto"/>
            <w:right w:val="none" w:sz="0" w:space="0" w:color="auto"/>
          </w:divBdr>
        </w:div>
        <w:div w:id="759831940">
          <w:marLeft w:val="0"/>
          <w:marRight w:val="0"/>
          <w:marTop w:val="0"/>
          <w:marBottom w:val="0"/>
          <w:divBdr>
            <w:top w:val="none" w:sz="0" w:space="0" w:color="auto"/>
            <w:left w:val="none" w:sz="0" w:space="0" w:color="auto"/>
            <w:bottom w:val="none" w:sz="0" w:space="0" w:color="auto"/>
            <w:right w:val="none" w:sz="0" w:space="0" w:color="auto"/>
          </w:divBdr>
        </w:div>
        <w:div w:id="1372850827">
          <w:marLeft w:val="0"/>
          <w:marRight w:val="0"/>
          <w:marTop w:val="0"/>
          <w:marBottom w:val="0"/>
          <w:divBdr>
            <w:top w:val="none" w:sz="0" w:space="0" w:color="auto"/>
            <w:left w:val="none" w:sz="0" w:space="0" w:color="auto"/>
            <w:bottom w:val="none" w:sz="0" w:space="0" w:color="auto"/>
            <w:right w:val="none" w:sz="0" w:space="0" w:color="auto"/>
          </w:divBdr>
        </w:div>
        <w:div w:id="1701933917">
          <w:marLeft w:val="0"/>
          <w:marRight w:val="0"/>
          <w:marTop w:val="0"/>
          <w:marBottom w:val="0"/>
          <w:divBdr>
            <w:top w:val="none" w:sz="0" w:space="0" w:color="auto"/>
            <w:left w:val="none" w:sz="0" w:space="0" w:color="auto"/>
            <w:bottom w:val="none" w:sz="0" w:space="0" w:color="auto"/>
            <w:right w:val="none" w:sz="0" w:space="0" w:color="auto"/>
          </w:divBdr>
        </w:div>
        <w:div w:id="1799453011">
          <w:marLeft w:val="0"/>
          <w:marRight w:val="0"/>
          <w:marTop w:val="0"/>
          <w:marBottom w:val="0"/>
          <w:divBdr>
            <w:top w:val="none" w:sz="0" w:space="0" w:color="auto"/>
            <w:left w:val="none" w:sz="0" w:space="0" w:color="auto"/>
            <w:bottom w:val="none" w:sz="0" w:space="0" w:color="auto"/>
            <w:right w:val="none" w:sz="0" w:space="0" w:color="auto"/>
          </w:divBdr>
        </w:div>
        <w:div w:id="1827822859">
          <w:marLeft w:val="0"/>
          <w:marRight w:val="0"/>
          <w:marTop w:val="0"/>
          <w:marBottom w:val="0"/>
          <w:divBdr>
            <w:top w:val="none" w:sz="0" w:space="0" w:color="auto"/>
            <w:left w:val="none" w:sz="0" w:space="0" w:color="auto"/>
            <w:bottom w:val="none" w:sz="0" w:space="0" w:color="auto"/>
            <w:right w:val="none" w:sz="0" w:space="0" w:color="auto"/>
          </w:divBdr>
        </w:div>
        <w:div w:id="1925337915">
          <w:marLeft w:val="0"/>
          <w:marRight w:val="0"/>
          <w:marTop w:val="0"/>
          <w:marBottom w:val="0"/>
          <w:divBdr>
            <w:top w:val="none" w:sz="0" w:space="0" w:color="auto"/>
            <w:left w:val="none" w:sz="0" w:space="0" w:color="auto"/>
            <w:bottom w:val="none" w:sz="0" w:space="0" w:color="auto"/>
            <w:right w:val="none" w:sz="0" w:space="0" w:color="auto"/>
          </w:divBdr>
        </w:div>
      </w:divsChild>
    </w:div>
    <w:div w:id="209377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13/1308/oj" TargetMode="External"/><Relationship Id="rId2" Type="http://schemas.openxmlformats.org/officeDocument/2006/relationships/hyperlink" Target="https://eur-lex.europa.eu/eli/agree_interinstit/2016/512/oj" TargetMode="External"/><Relationship Id="rId1" Type="http://schemas.openxmlformats.org/officeDocument/2006/relationships/hyperlink" Target="http://data.europa.eu/eli/reg/2024/2509/oj" TargetMode="External"/><Relationship Id="rId4" Type="http://schemas.openxmlformats.org/officeDocument/2006/relationships/hyperlink" Target="http://data.europa.eu/eli/reg/2009/1217/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A12EBBE768C458E41CF953221EDB1" ma:contentTypeVersion="20" ma:contentTypeDescription="Create a new document." ma:contentTypeScope="" ma:versionID="d27530eecd99e6aaeccf50177fed1c5a">
  <xsd:schema xmlns:xsd="http://www.w3.org/2001/XMLSchema" xmlns:xs="http://www.w3.org/2001/XMLSchema" xmlns:p="http://schemas.microsoft.com/office/2006/metadata/properties" xmlns:ns2="f76611c0-4082-4d80-aa9e-b82bf290bbd2" xmlns:ns3="b6d4cde7-209b-4353-8904-a6d145be66ae" targetNamespace="http://schemas.microsoft.com/office/2006/metadata/properties" ma:root="true" ma:fieldsID="ba22cde770ef27330c795d5fa2e821cf" ns2:_="" ns3:_="">
    <xsd:import namespace="f76611c0-4082-4d80-aa9e-b82bf290bbd2"/>
    <xsd:import namespace="b6d4cde7-209b-4353-8904-a6d145be66ae"/>
    <xsd:element name="properties">
      <xsd:complexType>
        <xsd:sequence>
          <xsd:element name="documentManagement">
            <xsd:complexType>
              <xsd:all>
                <xsd:element ref="ns2:Users" minOccurs="0"/>
                <xsd:element ref="ns2:Comments" minOccurs="0"/>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ption_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11c0-4082-4d80-aa9e-b82bf290bbd2" elementFormDefault="qualified">
    <xsd:import namespace="http://schemas.microsoft.com/office/2006/documentManagement/types"/>
    <xsd:import namespace="http://schemas.microsoft.com/office/infopath/2007/PartnerControls"/>
    <xsd:element name="Users" ma:index="2" nillable="true" ma:displayName="Users" ma:format="Dropdown" ma:list="UserInfo" ma:SharePointGroup="0" ma:internalName="Us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 nillable="true" ma:displayName="SPO Comments" ma:format="Dropdown" ma:internalName="Comments">
      <xsd:simpleType>
        <xsd:restriction base="dms:Note">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escription_2" ma:index="23" nillable="true" ma:displayName="Description_2" ma:format="Dropdown" ma:internalName="Description_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4cde7-209b-4353-8904-a6d145be66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32c070-1309-46aa-9390-a4831651057c}" ma:internalName="TaxCatchAll" ma:showField="CatchAllData" ma:web="b6d4cde7-209b-4353-8904-a6d145be6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f76611c0-4082-4d80-aa9e-b82bf290bbd2" xsi:nil="true"/>
    <Users xmlns="f76611c0-4082-4d80-aa9e-b82bf290bbd2">
      <UserInfo>
        <DisplayName/>
        <AccountId xsi:nil="true"/>
        <AccountType/>
      </UserInfo>
    </Users>
    <Description_2 xmlns="f76611c0-4082-4d80-aa9e-b82bf290bbd2" xsi:nil="true"/>
    <TaxCatchAll xmlns="b6d4cde7-209b-4353-8904-a6d145be66ae" xsi:nil="true"/>
    <lcf76f155ced4ddcb4097134ff3c332f xmlns="f76611c0-4082-4d80-aa9e-b82bf290bbd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Comments xmlns="f76611c0-4082-4d80-aa9e-b82bf290bb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9EC20-7015-4CE5-A00D-A149EF1E8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11c0-4082-4d80-aa9e-b82bf290bbd2"/>
    <ds:schemaRef ds:uri="b6d4cde7-209b-4353-8904-a6d145be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CCD71A-4A08-4B5D-8E69-52D178F968D8}">
  <ds:schemaRefs>
    <ds:schemaRef ds:uri="http://schemas.openxmlformats.org/package/2006/metadata/core-properties"/>
    <ds:schemaRef ds:uri="b6d4cde7-209b-4353-8904-a6d145be66ae"/>
    <ds:schemaRef ds:uri="http://purl.org/dc/elements/1.1/"/>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f76611c0-4082-4d80-aa9e-b82bf290bbd2"/>
    <ds:schemaRef ds:uri="http://schemas.microsoft.com/office/2006/metadata/properties"/>
  </ds:schemaRefs>
</ds:datastoreItem>
</file>

<file path=customXml/itemProps3.xml><?xml version="1.0" encoding="utf-8"?>
<ds:datastoreItem xmlns:ds="http://schemas.openxmlformats.org/officeDocument/2006/customXml" ds:itemID="{A443F067-59EF-49CF-B75A-BBFC06429CF4}">
  <ds:schemaRefs>
    <ds:schemaRef ds:uri="http://schemas.microsoft.com/sharepoint/v3/contenttype/forms"/>
  </ds:schemaRefs>
</ds:datastoreItem>
</file>

<file path=customXml/itemProps4.xml><?xml version="1.0" encoding="utf-8"?>
<ds:datastoreItem xmlns:ds="http://schemas.openxmlformats.org/officeDocument/2006/customXml" ds:itemID="{C234D150-699B-453C-B36F-C6E1450B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25</Pages>
  <Words>65622</Words>
  <Characters>374046</Characters>
  <Application>Microsoft Office Word</Application>
  <DocSecurity>0</DocSecurity>
  <Lines>3117</Lines>
  <Paragraphs>877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438791</CharactersWithSpaces>
  <SharedDoc>false</SharedDoc>
  <HLinks>
    <vt:vector size="42" baseType="variant">
      <vt:variant>
        <vt:i4>3801187</vt:i4>
      </vt:variant>
      <vt:variant>
        <vt:i4>6</vt:i4>
      </vt:variant>
      <vt:variant>
        <vt:i4>0</vt:i4>
      </vt:variant>
      <vt:variant>
        <vt:i4>5</vt:i4>
      </vt:variant>
      <vt:variant>
        <vt:lpwstr/>
      </vt:variant>
      <vt:variant>
        <vt:lpwstr>3.1!A52</vt:lpwstr>
      </vt:variant>
      <vt:variant>
        <vt:i4>3801187</vt:i4>
      </vt:variant>
      <vt:variant>
        <vt:i4>3</vt:i4>
      </vt:variant>
      <vt:variant>
        <vt:i4>0</vt:i4>
      </vt:variant>
      <vt:variant>
        <vt:i4>5</vt:i4>
      </vt:variant>
      <vt:variant>
        <vt:lpwstr/>
      </vt:variant>
      <vt:variant>
        <vt:lpwstr>3.1!A51</vt:lpwstr>
      </vt:variant>
      <vt:variant>
        <vt:i4>3801187</vt:i4>
      </vt:variant>
      <vt:variant>
        <vt:i4>0</vt:i4>
      </vt:variant>
      <vt:variant>
        <vt:i4>0</vt:i4>
      </vt:variant>
      <vt:variant>
        <vt:i4>5</vt:i4>
      </vt:variant>
      <vt:variant>
        <vt:lpwstr/>
      </vt:variant>
      <vt:variant>
        <vt:lpwstr>3.1!A50</vt:lpwstr>
      </vt:variant>
      <vt:variant>
        <vt:i4>6357099</vt:i4>
      </vt:variant>
      <vt:variant>
        <vt:i4>9</vt:i4>
      </vt:variant>
      <vt:variant>
        <vt:i4>0</vt:i4>
      </vt:variant>
      <vt:variant>
        <vt:i4>5</vt:i4>
      </vt:variant>
      <vt:variant>
        <vt:lpwstr>http://data.europa.eu/eli/reg/2009/1217/oj</vt:lpwstr>
      </vt:variant>
      <vt:variant>
        <vt:lpwstr/>
      </vt:variant>
      <vt:variant>
        <vt:i4>6946916</vt:i4>
      </vt:variant>
      <vt:variant>
        <vt:i4>6</vt:i4>
      </vt:variant>
      <vt:variant>
        <vt:i4>0</vt:i4>
      </vt:variant>
      <vt:variant>
        <vt:i4>5</vt:i4>
      </vt:variant>
      <vt:variant>
        <vt:lpwstr>http://data.europa.eu/eli/reg/2013/1308/oj</vt:lpwstr>
      </vt:variant>
      <vt:variant>
        <vt:lpwstr/>
      </vt:variant>
      <vt:variant>
        <vt:i4>196732</vt:i4>
      </vt:variant>
      <vt:variant>
        <vt:i4>3</vt:i4>
      </vt:variant>
      <vt:variant>
        <vt:i4>0</vt:i4>
      </vt:variant>
      <vt:variant>
        <vt:i4>5</vt:i4>
      </vt:variant>
      <vt:variant>
        <vt:lpwstr>http://data.europa.eu/eli/agree_interinstit/2016/512/oj</vt:lpwstr>
      </vt:variant>
      <vt:variant>
        <vt:lpwstr/>
      </vt:variant>
      <vt:variant>
        <vt:i4>7209056</vt:i4>
      </vt:variant>
      <vt:variant>
        <vt:i4>0</vt:i4>
      </vt:variant>
      <vt:variant>
        <vt:i4>0</vt:i4>
      </vt:variant>
      <vt:variant>
        <vt:i4>5</vt:i4>
      </vt:variant>
      <vt:variant>
        <vt:lpwstr>http://data.europa.eu/eli/reg/2024/2509/oj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2025-07-16T06:57:00Z</dcterms:created>
  <dcterms:modified xsi:type="dcterms:W3CDTF">2025-09-08T15:55:00Z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2025-07-14T22:24:32Z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c32330f6-6965-4ed4-b5ef-469d863d594d</vt:lpwstr>
  </property>
  <property fmtid="{D5CDD505-2E9C-101B-9397-08002B2CF9AE}" pid="8" name="MSIP_Label_6bd9ddd1-4d20-43f6-abfa-fc3c07406f94_ContentBits">
    <vt:lpwstr>0</vt:lpwstr>
  </property>
  <property fmtid="{D5CDD505-2E9C-101B-9397-08002B2CF9AE}" pid="9" name="Last edited using">
    <vt:lpwstr>LW 9.1, Build 20240808</vt:lpwstr>
  </property>
  <property fmtid="{D5CDD505-2E9C-101B-9397-08002B2CF9AE}" pid="10" name="ContentTypeId">
    <vt:lpwstr>0x0101007B5A12EBBE768C458E41CF953221EDB1</vt:lpwstr>
  </property>
  <property fmtid="{D5CDD505-2E9C-101B-9397-08002B2CF9AE}" pid="11" name="Category">
    <vt:lpwstr>COM/PL/ORG</vt:lpwstr>
  </property>
  <property fmtid="{D5CDD505-2E9C-101B-9397-08002B2CF9AE}" pid="12" name="MediaServiceImageTags">
    <vt:lpwstr/>
  </property>
  <property fmtid="{D5CDD505-2E9C-101B-9397-08002B2CF9AE}" pid="13" name="Level of sensitivity">
    <vt:lpwstr>Standard treatment</vt:lpwstr>
  </property>
  <property fmtid="{D5CDD505-2E9C-101B-9397-08002B2CF9AE}" pid="14" name="Part">
    <vt:lpwstr>1</vt:lpwstr>
  </property>
  <property fmtid="{D5CDD505-2E9C-101B-9397-08002B2CF9AE}" pid="15" name="Total parts">
    <vt:lpwstr>1</vt:lpwstr>
  </property>
  <property fmtid="{D5CDD505-2E9C-101B-9397-08002B2CF9AE}" pid="16" name="LWTemplateID">
    <vt:lpwstr>SJ-023</vt:lpwstr>
  </property>
  <property fmtid="{D5CDD505-2E9C-101B-9397-08002B2CF9AE}" pid="17" name="DQCStatus">
    <vt:lpwstr>Green (DQC version 03)</vt:lpwstr>
  </property>
</Properties>
</file>