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F8B" w:rsidRPr="00A81BD6" w:rsidRDefault="00B239E1" w:rsidP="00B239E1">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AE8CCCA-D454-4C5C-A3A4-FA16FA0552EA" style="width:455.25pt;height:369.75pt">
            <v:imagedata r:id="rId12" o:title=""/>
          </v:shape>
        </w:pict>
      </w:r>
    </w:p>
    <w:p w:rsidR="00D16F8B" w:rsidRPr="00A81BD6" w:rsidRDefault="00D16F8B" w:rsidP="00D16F8B">
      <w:pPr>
        <w:rPr>
          <w:noProof/>
        </w:rPr>
        <w:sectPr w:rsidR="00D16F8B" w:rsidRPr="00A81BD6" w:rsidSect="00B239E1">
          <w:footerReference w:type="even" r:id="rId13"/>
          <w:footerReference w:type="default" r:id="rId14"/>
          <w:pgSz w:w="11907" w:h="16839"/>
          <w:pgMar w:top="1134" w:right="1417" w:bottom="1134" w:left="1417" w:header="709" w:footer="709" w:gutter="0"/>
          <w:pgNumType w:start="0"/>
          <w:cols w:space="720"/>
          <w:docGrid w:linePitch="360"/>
        </w:sectPr>
      </w:pPr>
    </w:p>
    <w:p w:rsidR="00D16F8B" w:rsidRPr="00A81BD6" w:rsidRDefault="00D16F8B" w:rsidP="0057479C">
      <w:pPr>
        <w:pStyle w:val="Exposdesmotifstitre"/>
        <w:rPr>
          <w:noProof/>
        </w:rPr>
      </w:pPr>
      <w:bookmarkStart w:id="0" w:name="_GoBack"/>
      <w:bookmarkEnd w:id="0"/>
      <w:r w:rsidRPr="00A81BD6">
        <w:rPr>
          <w:noProof/>
        </w:rPr>
        <w:lastRenderedPageBreak/>
        <w:t>EXPLANATORY MEMORANDUM</w:t>
      </w:r>
    </w:p>
    <w:p w:rsidR="00D16F8B" w:rsidRPr="00A81BD6" w:rsidRDefault="00494AE7" w:rsidP="00494AE7">
      <w:pPr>
        <w:pStyle w:val="ManualHeading1"/>
        <w:rPr>
          <w:noProof/>
        </w:rPr>
      </w:pPr>
      <w:r w:rsidRPr="00494AE7">
        <w:rPr>
          <w:noProof/>
        </w:rPr>
        <w:t>1.</w:t>
      </w:r>
      <w:r w:rsidRPr="00494AE7">
        <w:rPr>
          <w:noProof/>
        </w:rPr>
        <w:tab/>
      </w:r>
      <w:r w:rsidR="00D16F8B" w:rsidRPr="00A81BD6">
        <w:rPr>
          <w:noProof/>
        </w:rPr>
        <w:t>Subject matter of the proposal</w:t>
      </w:r>
    </w:p>
    <w:p w:rsidR="00D16F8B" w:rsidRPr="00A81BD6" w:rsidRDefault="00D16F8B" w:rsidP="0057479C">
      <w:pPr>
        <w:rPr>
          <w:rFonts w:eastAsia="Arial Unicode MS"/>
          <w:noProof/>
        </w:rPr>
      </w:pPr>
      <w:r w:rsidRPr="00A81BD6">
        <w:rPr>
          <w:rFonts w:eastAsia="Arial Unicode MS"/>
          <w:noProof/>
        </w:rPr>
        <w:t xml:space="preserve">This proposal concerns the decision establishing the position to be taken on the Union's behalf </w:t>
      </w:r>
      <w:r w:rsidR="00DD1942" w:rsidRPr="00A81BD6">
        <w:rPr>
          <w:rFonts w:eastAsia="Arial Unicode MS"/>
          <w:noProof/>
        </w:rPr>
        <w:t xml:space="preserve">in the Committee of Ministers </w:t>
      </w:r>
      <w:r w:rsidR="004B1B9C" w:rsidRPr="00A81BD6">
        <w:rPr>
          <w:rFonts w:eastAsia="Arial Unicode MS"/>
          <w:noProof/>
        </w:rPr>
        <w:t xml:space="preserve">of the Council of Europe (“CM”) </w:t>
      </w:r>
      <w:r w:rsidR="007B0CFF" w:rsidRPr="00A81BD6">
        <w:rPr>
          <w:rFonts w:eastAsia="Arial Unicode MS"/>
          <w:noProof/>
        </w:rPr>
        <w:t>on</w:t>
      </w:r>
      <w:r w:rsidRPr="00A81BD6">
        <w:rPr>
          <w:rFonts w:eastAsia="Arial Unicode MS"/>
          <w:noProof/>
        </w:rPr>
        <w:t xml:space="preserve"> the envisaged </w:t>
      </w:r>
      <w:r w:rsidR="004B1B9C" w:rsidRPr="00A81BD6">
        <w:rPr>
          <w:rFonts w:eastAsia="Arial Unicode MS"/>
          <w:noProof/>
        </w:rPr>
        <w:t xml:space="preserve">adoption </w:t>
      </w:r>
      <w:r w:rsidRPr="00A81BD6">
        <w:rPr>
          <w:rFonts w:eastAsia="Arial Unicode MS"/>
          <w:noProof/>
        </w:rPr>
        <w:t xml:space="preserve">of </w:t>
      </w:r>
      <w:r w:rsidR="004B1B9C" w:rsidRPr="00A81BD6">
        <w:rPr>
          <w:rFonts w:eastAsia="Arial Unicode MS"/>
          <w:noProof/>
        </w:rPr>
        <w:t xml:space="preserve">a </w:t>
      </w:r>
      <w:r w:rsidR="007B0CFF" w:rsidRPr="00A81BD6">
        <w:rPr>
          <w:rFonts w:eastAsia="Arial Unicode MS"/>
          <w:noProof/>
        </w:rPr>
        <w:t xml:space="preserve">Council of Europe’s </w:t>
      </w:r>
      <w:r w:rsidRPr="00A81BD6">
        <w:rPr>
          <w:rFonts w:eastAsia="Arial Unicode MS"/>
          <w:noProof/>
        </w:rPr>
        <w:t>Recommendation on Equality and Artificial Intelligence (“the Recommendation”). The Recommendation has been prepared by the Committee of Experts on Artificial Intelligence, Equality and Discrimination (“GEC/ADI-AI”)</w:t>
      </w:r>
      <w:r w:rsidR="004B1B9C" w:rsidRPr="00A81BD6">
        <w:rPr>
          <w:rFonts w:eastAsia="Arial Unicode MS"/>
          <w:noProof/>
        </w:rPr>
        <w:t xml:space="preserve"> and is </w:t>
      </w:r>
      <w:r w:rsidR="007B0CFF" w:rsidRPr="00A81BD6">
        <w:rPr>
          <w:rFonts w:eastAsia="Arial Unicode MS"/>
          <w:noProof/>
        </w:rPr>
        <w:t xml:space="preserve">expected </w:t>
      </w:r>
      <w:r w:rsidR="004B1B9C" w:rsidRPr="00A81BD6">
        <w:rPr>
          <w:rFonts w:eastAsia="Arial Unicode MS"/>
          <w:noProof/>
        </w:rPr>
        <w:t>to be endorsed at the joint plenary session of the Gender Equality Commission (“GEC”) and the Steering Committee on Anti-Discrimination, diversity and Inclusion (“CDADI”) at its meeting of 18-20 November 2025 with a view of submitting it to the CM</w:t>
      </w:r>
      <w:r w:rsidR="000745D7" w:rsidRPr="00A81BD6">
        <w:rPr>
          <w:rFonts w:eastAsia="Arial Unicode MS"/>
          <w:noProof/>
        </w:rPr>
        <w:t xml:space="preserve"> for adoption by the end of 2025</w:t>
      </w:r>
      <w:r w:rsidRPr="00A81BD6">
        <w:rPr>
          <w:rFonts w:eastAsia="Arial Unicode MS"/>
          <w:noProof/>
        </w:rPr>
        <w:t>.</w:t>
      </w:r>
    </w:p>
    <w:p w:rsidR="00D16F8B" w:rsidRPr="00A81BD6" w:rsidRDefault="00494AE7" w:rsidP="00494AE7">
      <w:pPr>
        <w:pStyle w:val="ManualHeading1"/>
        <w:rPr>
          <w:noProof/>
        </w:rPr>
      </w:pPr>
      <w:r w:rsidRPr="00494AE7">
        <w:rPr>
          <w:noProof/>
        </w:rPr>
        <w:t>2.</w:t>
      </w:r>
      <w:r w:rsidRPr="00494AE7">
        <w:rPr>
          <w:noProof/>
        </w:rPr>
        <w:tab/>
      </w:r>
      <w:r w:rsidR="00D16F8B" w:rsidRPr="00A81BD6">
        <w:rPr>
          <w:noProof/>
        </w:rPr>
        <w:t>Context of the proposal</w:t>
      </w:r>
    </w:p>
    <w:p w:rsidR="00ED5D49" w:rsidRPr="00A81BD6" w:rsidRDefault="00494AE7" w:rsidP="00494AE7">
      <w:pPr>
        <w:pStyle w:val="ManualHeading2"/>
        <w:rPr>
          <w:noProof/>
        </w:rPr>
      </w:pPr>
      <w:r w:rsidRPr="00494AE7">
        <w:rPr>
          <w:noProof/>
        </w:rPr>
        <w:t>2.1.</w:t>
      </w:r>
      <w:r w:rsidRPr="00494AE7">
        <w:rPr>
          <w:noProof/>
        </w:rPr>
        <w:tab/>
      </w:r>
      <w:r w:rsidR="00ED5D49" w:rsidRPr="00A81BD6">
        <w:rPr>
          <w:noProof/>
        </w:rPr>
        <w:t>The Committee of Ministers of the Council of Europe</w:t>
      </w:r>
    </w:p>
    <w:p w:rsidR="00ED5D49" w:rsidRPr="00A81BD6" w:rsidRDefault="00ED5D49" w:rsidP="009048C0">
      <w:pPr>
        <w:rPr>
          <w:b/>
          <w:bCs/>
          <w:noProof/>
        </w:rPr>
      </w:pPr>
      <w:r w:rsidRPr="00A81BD6">
        <w:rPr>
          <w:noProof/>
        </w:rPr>
        <w:t>The CM is the Council of Europe’s decision-making body, composed of Ministers for Foreign Affairs or Permanent Representatives in Strasbourg of the 46 member States of the Council of Europe. The role and functions of the CM are described in Chapter IV of the Statute of the Council of Europe (“the Statute”). In accordance with Article 14 of the Statute, each member of the Council of Europe shall be entitled to one representative on the CM, who each have one vote. All EU Member States are members of the Council of Europe and are thus represented in the CM. The EU has observer status without a right to vote.</w:t>
      </w:r>
    </w:p>
    <w:p w:rsidR="00D16F8B" w:rsidRPr="00A81BD6" w:rsidRDefault="00494AE7" w:rsidP="00494AE7">
      <w:pPr>
        <w:pStyle w:val="ManualHeading2"/>
        <w:rPr>
          <w:noProof/>
        </w:rPr>
      </w:pPr>
      <w:r w:rsidRPr="00494AE7">
        <w:rPr>
          <w:noProof/>
        </w:rPr>
        <w:t>2.2.</w:t>
      </w:r>
      <w:r w:rsidRPr="00494AE7">
        <w:rPr>
          <w:noProof/>
        </w:rPr>
        <w:tab/>
      </w:r>
      <w:r w:rsidR="006022D4" w:rsidRPr="00A81BD6">
        <w:rPr>
          <w:noProof/>
        </w:rPr>
        <w:t>The Committee of Experts on Artificial Intelligence, Equality and Discrimination</w:t>
      </w:r>
    </w:p>
    <w:p w:rsidR="00DD4159" w:rsidRPr="00A81BD6" w:rsidRDefault="00DD4159" w:rsidP="00DD4159">
      <w:pPr>
        <w:rPr>
          <w:rFonts w:eastAsia="Arial Unicode MS"/>
          <w:noProof/>
        </w:rPr>
      </w:pPr>
      <w:r w:rsidRPr="00A81BD6">
        <w:rPr>
          <w:rFonts w:eastAsia="Arial Unicode MS"/>
          <w:noProof/>
        </w:rPr>
        <w:t>The GEC/ADI-AI is a joint subcommittee to the GEC and the CDADI</w:t>
      </w:r>
      <w:r w:rsidR="007B0CFF" w:rsidRPr="00A81BD6">
        <w:rPr>
          <w:rFonts w:eastAsia="Arial Unicode MS"/>
          <w:noProof/>
        </w:rPr>
        <w:t>,</w:t>
      </w:r>
      <w:r w:rsidRPr="00A81BD6">
        <w:rPr>
          <w:rFonts w:eastAsia="Arial Unicode MS"/>
          <w:noProof/>
        </w:rPr>
        <w:t xml:space="preserve"> tasked by the Committee of Ministers to draft a Recommendation on the impact of artificial intelligence systems, their potential for promoting equality, including gender equality, and the risks they may cause in relation to non-discrimination</w:t>
      </w:r>
      <w:r w:rsidR="00C14EAE" w:rsidRPr="00A81BD6">
        <w:rPr>
          <w:rFonts w:eastAsia="Arial Unicode MS"/>
          <w:noProof/>
        </w:rPr>
        <w:t>,</w:t>
      </w:r>
      <w:r w:rsidRPr="00A81BD6">
        <w:rPr>
          <w:rFonts w:eastAsia="Arial Unicode MS"/>
          <w:noProof/>
        </w:rPr>
        <w:t xml:space="preserve"> by the end of 2025. </w:t>
      </w:r>
    </w:p>
    <w:p w:rsidR="00DD4159" w:rsidRPr="00A81BD6" w:rsidRDefault="00DD4159" w:rsidP="00CF21EE">
      <w:pPr>
        <w:rPr>
          <w:rFonts w:eastAsia="Arial Unicode MS"/>
          <w:noProof/>
        </w:rPr>
      </w:pPr>
      <w:r w:rsidRPr="00A81BD6">
        <w:rPr>
          <w:rFonts w:eastAsia="Arial Unicode MS"/>
          <w:noProof/>
        </w:rPr>
        <w:t xml:space="preserve">The GEC/ADI-AI is composed of eight representatives of </w:t>
      </w:r>
      <w:r w:rsidR="002B0256" w:rsidRPr="00A81BD6">
        <w:rPr>
          <w:rFonts w:eastAsia="Arial Unicode MS"/>
          <w:noProof/>
        </w:rPr>
        <w:t xml:space="preserve">Council of Europe </w:t>
      </w:r>
      <w:r w:rsidR="00ED447F" w:rsidRPr="00A81BD6">
        <w:rPr>
          <w:rFonts w:eastAsia="Arial Unicode MS"/>
          <w:noProof/>
        </w:rPr>
        <w:t>member states</w:t>
      </w:r>
      <w:r w:rsidRPr="00A81BD6">
        <w:rPr>
          <w:rFonts w:eastAsia="Arial Unicode MS"/>
          <w:noProof/>
        </w:rPr>
        <w:t xml:space="preserve">, four of the GEC and four of the CDADI, as well as six independent experts with established expertise in artificial intelligence, human rights, equality, including gender equality, and non-discrimination. Each member of the GEC/ADI-AI has one vote. </w:t>
      </w:r>
      <w:r w:rsidR="00C14EAE" w:rsidRPr="00A81BD6">
        <w:rPr>
          <w:rFonts w:eastAsia="Arial Unicode MS"/>
          <w:noProof/>
        </w:rPr>
        <w:t>The EU is a participant without the right to vote.</w:t>
      </w:r>
    </w:p>
    <w:p w:rsidR="0097018C" w:rsidRPr="00A81BD6" w:rsidRDefault="0097018C" w:rsidP="00DD4159">
      <w:pPr>
        <w:rPr>
          <w:rFonts w:eastAsia="Arial Unicode MS"/>
          <w:i/>
          <w:iCs/>
          <w:noProof/>
        </w:rPr>
      </w:pPr>
      <w:r w:rsidRPr="00A81BD6">
        <w:rPr>
          <w:rFonts w:eastAsia="Arial Unicode MS"/>
          <w:noProof/>
        </w:rPr>
        <w:t>The GEC and the CDADI are each composed of the representatives of the 46 Council of Europe</w:t>
      </w:r>
      <w:r w:rsidR="007B0CFF" w:rsidRPr="00A81BD6">
        <w:rPr>
          <w:rFonts w:eastAsia="Arial Unicode MS"/>
          <w:noProof/>
        </w:rPr>
        <w:t>’s</w:t>
      </w:r>
      <w:r w:rsidRPr="00A81BD6">
        <w:rPr>
          <w:rFonts w:eastAsia="Arial Unicode MS"/>
          <w:noProof/>
        </w:rPr>
        <w:t xml:space="preserve"> member </w:t>
      </w:r>
      <w:r w:rsidR="007B0CFF" w:rsidRPr="00A81BD6">
        <w:rPr>
          <w:rFonts w:eastAsia="Arial Unicode MS"/>
          <w:noProof/>
        </w:rPr>
        <w:t>S</w:t>
      </w:r>
      <w:r w:rsidRPr="00A81BD6">
        <w:rPr>
          <w:rFonts w:eastAsia="Arial Unicode MS"/>
          <w:noProof/>
        </w:rPr>
        <w:t>tates, who each have one vote. In addition, their plenary sessions are attended by representatives of various bodies of the Council of Europe, intergovernmental organisations, representatives of States with observer status, and non-governmental organisations and specialised institutions.</w:t>
      </w:r>
      <w:r w:rsidR="000B0266" w:rsidRPr="00A81BD6">
        <w:rPr>
          <w:rFonts w:eastAsia="Arial Unicode MS"/>
          <w:noProof/>
        </w:rPr>
        <w:t xml:space="preserve"> </w:t>
      </w:r>
      <w:r w:rsidR="008C26D3" w:rsidRPr="00A81BD6">
        <w:rPr>
          <w:rFonts w:eastAsia="Arial Unicode MS"/>
          <w:noProof/>
        </w:rPr>
        <w:t>Representatives of the</w:t>
      </w:r>
      <w:r w:rsidRPr="00A81BD6">
        <w:rPr>
          <w:rFonts w:eastAsia="Arial Unicode MS"/>
          <w:noProof/>
        </w:rPr>
        <w:t xml:space="preserve"> European Union </w:t>
      </w:r>
      <w:r w:rsidR="00C14EAE" w:rsidRPr="00A81BD6">
        <w:rPr>
          <w:rFonts w:eastAsia="Arial Unicode MS"/>
          <w:noProof/>
        </w:rPr>
        <w:t xml:space="preserve">occasionally </w:t>
      </w:r>
      <w:r w:rsidRPr="00A81BD6">
        <w:rPr>
          <w:rFonts w:eastAsia="Arial Unicode MS"/>
          <w:noProof/>
        </w:rPr>
        <w:t>participa</w:t>
      </w:r>
      <w:r w:rsidR="000B0266" w:rsidRPr="00A81BD6">
        <w:rPr>
          <w:rFonts w:eastAsia="Arial Unicode MS"/>
          <w:noProof/>
        </w:rPr>
        <w:t>te</w:t>
      </w:r>
      <w:r w:rsidR="008C26D3" w:rsidRPr="00A81BD6">
        <w:rPr>
          <w:rFonts w:eastAsia="Arial Unicode MS"/>
          <w:noProof/>
        </w:rPr>
        <w:t xml:space="preserve"> in the plenary sessions, without the right to vote.</w:t>
      </w:r>
    </w:p>
    <w:p w:rsidR="006022D4" w:rsidRPr="00A81BD6" w:rsidRDefault="006022D4" w:rsidP="589BDC55">
      <w:pPr>
        <w:rPr>
          <w:noProof/>
        </w:rPr>
      </w:pPr>
    </w:p>
    <w:p w:rsidR="004A021B" w:rsidRPr="00A81BD6" w:rsidRDefault="00494AE7" w:rsidP="00494AE7">
      <w:pPr>
        <w:pStyle w:val="ManualHeading2"/>
        <w:rPr>
          <w:noProof/>
        </w:rPr>
      </w:pPr>
      <w:r w:rsidRPr="00494AE7">
        <w:rPr>
          <w:noProof/>
        </w:rPr>
        <w:t>2.3.</w:t>
      </w:r>
      <w:r w:rsidRPr="00494AE7">
        <w:rPr>
          <w:noProof/>
        </w:rPr>
        <w:tab/>
      </w:r>
      <w:r w:rsidR="004A021B" w:rsidRPr="00A81BD6">
        <w:rPr>
          <w:noProof/>
        </w:rPr>
        <w:t>The Framework Convention on Artificial Intelligence and Human Rights, Democracy and the Rule of Law</w:t>
      </w:r>
      <w:r w:rsidR="0052419A" w:rsidRPr="00A81BD6">
        <w:rPr>
          <w:noProof/>
        </w:rPr>
        <w:t xml:space="preserve"> of the Council of Europe</w:t>
      </w:r>
    </w:p>
    <w:p w:rsidR="00C43A3C" w:rsidRPr="00A81BD6" w:rsidRDefault="00C43A3C" w:rsidP="00C43A3C">
      <w:pPr>
        <w:rPr>
          <w:noProof/>
        </w:rPr>
      </w:pPr>
      <w:r w:rsidRPr="00A81BD6">
        <w:rPr>
          <w:noProof/>
        </w:rPr>
        <w:t xml:space="preserve">On 17 May 2024, the CM adopted the Council of Europe Framework Convention on Artificial Intelligence and Human Rights, Democracy and the Rule of Law (“the Framework Convention”), a legally binding treaty with the objective to ensure that activities within the lifecycle of artificial intelligence systems are fully consistent with human rights, democracy and the rule of law, while being conducive to technological progress and innovation. </w:t>
      </w:r>
    </w:p>
    <w:p w:rsidR="00C43A3C" w:rsidRPr="00A81BD6" w:rsidRDefault="00C43A3C" w:rsidP="00C43A3C">
      <w:pPr>
        <w:rPr>
          <w:noProof/>
        </w:rPr>
      </w:pPr>
      <w:r w:rsidRPr="00A81BD6">
        <w:rPr>
          <w:noProof/>
        </w:rPr>
        <w:t xml:space="preserve">The Framework Convention covers AI systems potentially interfering with human rights, democracy and the rule of law. The principles and the obligations </w:t>
      </w:r>
      <w:r w:rsidR="005A2F00" w:rsidRPr="00A81BD6">
        <w:rPr>
          <w:noProof/>
        </w:rPr>
        <w:t>of</w:t>
      </w:r>
      <w:r w:rsidRPr="00A81BD6">
        <w:rPr>
          <w:noProof/>
        </w:rPr>
        <w:t xml:space="preserve"> the Framework Convention will apply to activities within the lifecycle of AI systems undertaken by public authorities or private actors acting on their behalf. Parties </w:t>
      </w:r>
      <w:r w:rsidR="005A2F00" w:rsidRPr="00A81BD6">
        <w:rPr>
          <w:noProof/>
        </w:rPr>
        <w:t xml:space="preserve">to the Convention </w:t>
      </w:r>
      <w:r w:rsidRPr="00A81BD6">
        <w:rPr>
          <w:noProof/>
        </w:rPr>
        <w:t xml:space="preserve">are </w:t>
      </w:r>
      <w:r w:rsidR="005A2F00" w:rsidRPr="00A81BD6">
        <w:rPr>
          <w:noProof/>
        </w:rPr>
        <w:t xml:space="preserve">also </w:t>
      </w:r>
      <w:r w:rsidRPr="00A81BD6">
        <w:rPr>
          <w:noProof/>
        </w:rPr>
        <w:t xml:space="preserve">obliged to address risks and impacts arising from activities within the lifecycle of AI systems by private actors in a manner conforming with the object and purpose of the Convention, but they have the choice whether to apply the Convention obligations or </w:t>
      </w:r>
      <w:r w:rsidR="005A2F00" w:rsidRPr="00A81BD6">
        <w:rPr>
          <w:noProof/>
        </w:rPr>
        <w:t xml:space="preserve">to </w:t>
      </w:r>
      <w:r w:rsidRPr="00A81BD6">
        <w:rPr>
          <w:noProof/>
        </w:rPr>
        <w:t xml:space="preserve">take other appropriate measures. The Convention provides for a </w:t>
      </w:r>
      <w:r w:rsidR="005A2F00" w:rsidRPr="00A81BD6">
        <w:rPr>
          <w:noProof/>
        </w:rPr>
        <w:t xml:space="preserve">further </w:t>
      </w:r>
      <w:r w:rsidRPr="00A81BD6">
        <w:rPr>
          <w:noProof/>
        </w:rPr>
        <w:t>set of general obligations and fundamental principles</w:t>
      </w:r>
      <w:r w:rsidR="005A2F00" w:rsidRPr="00A81BD6">
        <w:rPr>
          <w:noProof/>
        </w:rPr>
        <w:t xml:space="preserve"> related </w:t>
      </w:r>
      <w:r w:rsidR="000F64AA" w:rsidRPr="00A81BD6">
        <w:rPr>
          <w:noProof/>
        </w:rPr>
        <w:t>to the</w:t>
      </w:r>
      <w:r w:rsidRPr="00A81BD6">
        <w:rPr>
          <w:noProof/>
        </w:rPr>
        <w:t xml:space="preserve"> protection of human dignity and individual autonomy, as well as the promotion of equality and non-discrimination. Additionally, it mandates respect for privacy and personal data protection along with transparency and oversight to ensure accountability and responsibility. A principle is also devoted to safe innovation and experimentation in controlled environments.  </w:t>
      </w:r>
    </w:p>
    <w:p w:rsidR="00C43A3C" w:rsidRPr="00A81BD6" w:rsidRDefault="005A2F00" w:rsidP="00C43A3C">
      <w:pPr>
        <w:rPr>
          <w:noProof/>
        </w:rPr>
      </w:pPr>
      <w:r w:rsidRPr="00A81BD6">
        <w:rPr>
          <w:noProof/>
        </w:rPr>
        <w:t>The Convention also includes</w:t>
      </w:r>
      <w:r w:rsidR="00C43A3C" w:rsidRPr="00A81BD6">
        <w:rPr>
          <w:noProof/>
        </w:rPr>
        <w:t xml:space="preserve"> a set of measures aim</w:t>
      </w:r>
      <w:r w:rsidRPr="00A81BD6">
        <w:rPr>
          <w:noProof/>
        </w:rPr>
        <w:t>ing</w:t>
      </w:r>
      <w:r w:rsidR="00C43A3C" w:rsidRPr="00A81BD6">
        <w:rPr>
          <w:noProof/>
        </w:rPr>
        <w:t xml:space="preserve"> to ensure availability of accessible and effective remedies for violations of human rights resulting from the activities within the lifecycle of AI systems. It also includes effective procedural guarantees and safeguards for persons whose rights have been significantly affected by the use of AI systems. Additionally, individuals should be provided with notice that they are interacting with an AI system and not with a human being. </w:t>
      </w:r>
    </w:p>
    <w:p w:rsidR="00C43A3C" w:rsidRPr="00A81BD6" w:rsidRDefault="00C43A3C" w:rsidP="00C43A3C">
      <w:pPr>
        <w:rPr>
          <w:noProof/>
        </w:rPr>
      </w:pPr>
      <w:r w:rsidRPr="00A81BD6">
        <w:rPr>
          <w:noProof/>
        </w:rPr>
        <w:t xml:space="preserve">The Convention also includes measures for the assessment and mitigation of risks and adverse impacts to be carried out in an iterative manner, so as to identify actual and potential impacts on human rights, democracy and the rule of law and take appropriate prevention and mitigation measures.  </w:t>
      </w:r>
    </w:p>
    <w:p w:rsidR="00C43A3C" w:rsidRPr="00A81BD6" w:rsidRDefault="00173C95" w:rsidP="00C43A3C">
      <w:pPr>
        <w:rPr>
          <w:noProof/>
        </w:rPr>
      </w:pPr>
      <w:r w:rsidRPr="00A81BD6">
        <w:rPr>
          <w:noProof/>
        </w:rPr>
        <w:t>Finally,</w:t>
      </w:r>
      <w:r w:rsidR="00C43A3C" w:rsidRPr="00A81BD6">
        <w:rPr>
          <w:noProof/>
        </w:rPr>
        <w:t xml:space="preserve"> the Convention provides that </w:t>
      </w:r>
      <w:r w:rsidRPr="00A81BD6">
        <w:rPr>
          <w:noProof/>
        </w:rPr>
        <w:t xml:space="preserve">its </w:t>
      </w:r>
      <w:r w:rsidR="00C43A3C" w:rsidRPr="00A81BD6">
        <w:rPr>
          <w:noProof/>
        </w:rPr>
        <w:t xml:space="preserve">Parties should assess the need for bans or moratoria on certain applications of AI systems considered incompatible with the respect of human rights, the functioning of democracy, or the rule of law.  </w:t>
      </w:r>
    </w:p>
    <w:p w:rsidR="00C43A3C" w:rsidRPr="00A81BD6" w:rsidRDefault="00C43A3C" w:rsidP="00C43A3C">
      <w:pPr>
        <w:rPr>
          <w:noProof/>
        </w:rPr>
      </w:pPr>
      <w:r w:rsidRPr="00A81BD6">
        <w:rPr>
          <w:noProof/>
        </w:rPr>
        <w:t>Each Party</w:t>
      </w:r>
      <w:r w:rsidR="00173C95" w:rsidRPr="00A81BD6">
        <w:rPr>
          <w:noProof/>
        </w:rPr>
        <w:t xml:space="preserve"> to the Convention</w:t>
      </w:r>
      <w:r w:rsidRPr="00A81BD6">
        <w:rPr>
          <w:noProof/>
        </w:rPr>
        <w:t xml:space="preserve"> should establish or designate at domestic level one or more effective mechanisms to oversee compliance with the obligations in the Convention, as given effect by the Parties. </w:t>
      </w:r>
    </w:p>
    <w:p w:rsidR="00C43A3C" w:rsidRPr="00A81BD6" w:rsidRDefault="00C43A3C" w:rsidP="00C43A3C">
      <w:pPr>
        <w:rPr>
          <w:noProof/>
        </w:rPr>
      </w:pPr>
      <w:r w:rsidRPr="00A81BD6">
        <w:rPr>
          <w:noProof/>
        </w:rPr>
        <w:t xml:space="preserve">The Union signed the Convention on 5 September 2024, following the adoption of Council Decision (EU) 2024/2218 of 28 August 2024 on the signing, on behalf of the European Union, of the Framework Convention. </w:t>
      </w:r>
      <w:r w:rsidR="00060229">
        <w:rPr>
          <w:noProof/>
        </w:rPr>
        <w:t>T</w:t>
      </w:r>
      <w:r w:rsidRPr="00A81BD6">
        <w:rPr>
          <w:noProof/>
        </w:rPr>
        <w:t xml:space="preserve">he Convention has also been signed by Andorra, Canada, Georgia, Iceland, Israel, Japan, Liechtenstein, Montenegro, Norway, Republic of Moldova, San Marino, Switzerland, Ukraine, the United Kingdom and the United States of America.   </w:t>
      </w:r>
    </w:p>
    <w:p w:rsidR="00C43A3C" w:rsidRPr="00A81BD6" w:rsidRDefault="00C43A3C" w:rsidP="00C43A3C">
      <w:pPr>
        <w:rPr>
          <w:noProof/>
        </w:rPr>
      </w:pPr>
      <w:r w:rsidRPr="00A81BD6">
        <w:rPr>
          <w:noProof/>
        </w:rPr>
        <w:t xml:space="preserve">On 3 June 2025, the Commission adopted a proposal for a Council Decision to launch the process for the conclusion of the Framework Convention on behalf of the Union, under the terms set out in Council Decision (EU) 2024/2218.1  </w:t>
      </w:r>
    </w:p>
    <w:p w:rsidR="00B7785E" w:rsidRPr="0044752A" w:rsidRDefault="00C43A3C" w:rsidP="00C43A3C">
      <w:pPr>
        <w:rPr>
          <w:noProof/>
        </w:rPr>
      </w:pPr>
      <w:r w:rsidRPr="00A81BD6">
        <w:rPr>
          <w:noProof/>
        </w:rPr>
        <w:t xml:space="preserve">Within the Union, the Framework Convention </w:t>
      </w:r>
      <w:r w:rsidR="001C08DF" w:rsidRPr="00A81BD6">
        <w:rPr>
          <w:noProof/>
        </w:rPr>
        <w:t xml:space="preserve">is to </w:t>
      </w:r>
      <w:r w:rsidRPr="00A81BD6">
        <w:rPr>
          <w:noProof/>
        </w:rPr>
        <w:t>be exclusively implemented through Regulation (EU) 2024/1689 of the European Parliament and the Council laying down harmonised rules on artificial intelligence (“AI Act”</w:t>
      </w:r>
      <w:r w:rsidR="009048C0" w:rsidRPr="00A81BD6">
        <w:rPr>
          <w:noProof/>
        </w:rPr>
        <w:t>)</w:t>
      </w:r>
      <w:r w:rsidR="009048C0" w:rsidRPr="00A81BD6">
        <w:rPr>
          <w:rStyle w:val="FootnoteReference"/>
          <w:noProof/>
        </w:rPr>
        <w:footnoteReference w:id="2"/>
      </w:r>
      <w:r w:rsidR="009048C0" w:rsidRPr="00A81BD6">
        <w:rPr>
          <w:noProof/>
        </w:rPr>
        <w:t xml:space="preserve">, </w:t>
      </w:r>
      <w:r w:rsidRPr="00A81BD6">
        <w:rPr>
          <w:noProof/>
        </w:rPr>
        <w:t>and other relevant Union acquis, where applicable.</w:t>
      </w:r>
      <w:r w:rsidR="009048C0" w:rsidRPr="00A81BD6">
        <w:rPr>
          <w:rStyle w:val="FootnoteReference"/>
          <w:noProof/>
        </w:rPr>
        <w:footnoteReference w:id="3"/>
      </w:r>
      <w:r w:rsidR="009048C0" w:rsidRPr="00A81BD6">
        <w:rPr>
          <w:noProof/>
        </w:rPr>
        <w:t xml:space="preserve"> T</w:t>
      </w:r>
      <w:r w:rsidRPr="00A81BD6">
        <w:rPr>
          <w:noProof/>
        </w:rPr>
        <w:t xml:space="preserve">he AI Act provides </w:t>
      </w:r>
      <w:r w:rsidR="00173C95" w:rsidRPr="00A81BD6">
        <w:rPr>
          <w:noProof/>
        </w:rPr>
        <w:t>a</w:t>
      </w:r>
      <w:r w:rsidRPr="00A81BD6">
        <w:rPr>
          <w:noProof/>
        </w:rPr>
        <w:t xml:space="preserve"> comprehensive regulation on artificial intelligence,  aim</w:t>
      </w:r>
      <w:r w:rsidR="00173C95" w:rsidRPr="00A81BD6">
        <w:rPr>
          <w:noProof/>
        </w:rPr>
        <w:t>ing</w:t>
      </w:r>
      <w:r w:rsidRPr="00A81BD6">
        <w:rPr>
          <w:noProof/>
        </w:rPr>
        <w:t xml:space="preserve"> to promote innovation and </w:t>
      </w:r>
      <w:r w:rsidR="00173C95" w:rsidRPr="00A81BD6">
        <w:rPr>
          <w:noProof/>
        </w:rPr>
        <w:t xml:space="preserve">the </w:t>
      </w:r>
      <w:r w:rsidRPr="00A81BD6">
        <w:rPr>
          <w:noProof/>
        </w:rPr>
        <w:t>uptake of trustworthy artificial intelligence, while protecting health, safety and fundamental rights as enshrined in the Charter of Fundamental Rights of the European Union (“the Charter”), including the right to non-discrimination and gender equality. The AI Act contains harmonised rules, generally based on full harmonisation, that regulate the placing on the market, the putting into service and the use of AI systems in the Union. Those rules are directly applicable in the Member States, unless that Regulation explicitly provides otherwise.</w:t>
      </w:r>
    </w:p>
    <w:p w:rsidR="00060229" w:rsidRPr="00A81BD6" w:rsidRDefault="00060229" w:rsidP="00C43A3C">
      <w:pPr>
        <w:rPr>
          <w:noProof/>
          <w:lang w:val="en-IE"/>
        </w:rPr>
      </w:pPr>
    </w:p>
    <w:p w:rsidR="00D16F8B" w:rsidRPr="00A81BD6" w:rsidRDefault="00494AE7" w:rsidP="00494AE7">
      <w:pPr>
        <w:pStyle w:val="ManualHeading2"/>
        <w:rPr>
          <w:noProof/>
        </w:rPr>
      </w:pPr>
      <w:r w:rsidRPr="00494AE7">
        <w:rPr>
          <w:noProof/>
        </w:rPr>
        <w:t>2.4.</w:t>
      </w:r>
      <w:r w:rsidRPr="00494AE7">
        <w:rPr>
          <w:noProof/>
        </w:rPr>
        <w:tab/>
      </w:r>
      <w:r w:rsidR="00D16F8B" w:rsidRPr="00A81BD6">
        <w:rPr>
          <w:noProof/>
        </w:rPr>
        <w:t xml:space="preserve">The </w:t>
      </w:r>
      <w:r w:rsidR="00504733" w:rsidRPr="00A81BD6">
        <w:rPr>
          <w:noProof/>
        </w:rPr>
        <w:t>envisaged</w:t>
      </w:r>
      <w:r w:rsidR="00D16F8B" w:rsidRPr="00A81BD6">
        <w:rPr>
          <w:noProof/>
        </w:rPr>
        <w:t xml:space="preserve"> </w:t>
      </w:r>
      <w:r w:rsidR="00173C95" w:rsidRPr="00A81BD6">
        <w:rPr>
          <w:noProof/>
        </w:rPr>
        <w:t xml:space="preserve">Council of Europe </w:t>
      </w:r>
      <w:r w:rsidR="00005FE3" w:rsidRPr="00A81BD6">
        <w:rPr>
          <w:noProof/>
        </w:rPr>
        <w:t>Recommendation</w:t>
      </w:r>
      <w:r w:rsidR="00D16F8B" w:rsidRPr="00A81BD6">
        <w:rPr>
          <w:noProof/>
        </w:rPr>
        <w:t xml:space="preserve"> </w:t>
      </w:r>
      <w:r w:rsidR="00005FE3" w:rsidRPr="00A81BD6">
        <w:rPr>
          <w:noProof/>
        </w:rPr>
        <w:t xml:space="preserve">on </w:t>
      </w:r>
      <w:r w:rsidR="00FB7ABF" w:rsidRPr="00A81BD6">
        <w:rPr>
          <w:noProof/>
        </w:rPr>
        <w:t>e</w:t>
      </w:r>
      <w:r w:rsidR="00005FE3" w:rsidRPr="00A81BD6">
        <w:rPr>
          <w:noProof/>
        </w:rPr>
        <w:t xml:space="preserve">quality and </w:t>
      </w:r>
      <w:r w:rsidR="00FB7ABF" w:rsidRPr="00A81BD6">
        <w:rPr>
          <w:noProof/>
        </w:rPr>
        <w:t>a</w:t>
      </w:r>
      <w:r w:rsidR="00005FE3" w:rsidRPr="00A81BD6">
        <w:rPr>
          <w:noProof/>
        </w:rPr>
        <w:t xml:space="preserve">rtificial </w:t>
      </w:r>
      <w:r w:rsidR="00504733" w:rsidRPr="00A81BD6">
        <w:rPr>
          <w:noProof/>
        </w:rPr>
        <w:t>i</w:t>
      </w:r>
      <w:r w:rsidR="00005FE3" w:rsidRPr="00A81BD6">
        <w:rPr>
          <w:noProof/>
        </w:rPr>
        <w:t xml:space="preserve">ntelligence </w:t>
      </w:r>
    </w:p>
    <w:p w:rsidR="00C43A3C" w:rsidRPr="00A81BD6" w:rsidRDefault="00C43A3C" w:rsidP="00C43A3C">
      <w:pPr>
        <w:rPr>
          <w:noProof/>
        </w:rPr>
      </w:pPr>
      <w:r w:rsidRPr="00A81BD6">
        <w:rPr>
          <w:noProof/>
        </w:rPr>
        <w:t xml:space="preserve">The </w:t>
      </w:r>
      <w:r w:rsidR="00173C95" w:rsidRPr="00A81BD6">
        <w:rPr>
          <w:noProof/>
        </w:rPr>
        <w:t>R</w:t>
      </w:r>
      <w:r w:rsidRPr="00A81BD6">
        <w:rPr>
          <w:noProof/>
        </w:rPr>
        <w:t xml:space="preserve">ecommendation focuses on AI's potential to promote equality, including gender equality, and the risks it may pose concerning non-discrimination. </w:t>
      </w:r>
      <w:r w:rsidR="31A377F7" w:rsidRPr="00A81BD6">
        <w:rPr>
          <w:noProof/>
        </w:rPr>
        <w:t xml:space="preserve">It will aim to </w:t>
      </w:r>
      <w:r w:rsidR="3E8B0446" w:rsidRPr="00A81BD6">
        <w:rPr>
          <w:noProof/>
        </w:rPr>
        <w:t>complement</w:t>
      </w:r>
      <w:r w:rsidR="31A377F7" w:rsidRPr="00A81BD6">
        <w:rPr>
          <w:noProof/>
        </w:rPr>
        <w:t xml:space="preserve"> the general framework set by the Framework Convention with regard to the principle of equality</w:t>
      </w:r>
      <w:r w:rsidR="00984A58" w:rsidRPr="00A81BD6">
        <w:rPr>
          <w:noProof/>
        </w:rPr>
        <w:t xml:space="preserve"> on artificial intelligence and human rights, democracy, and the rule of law (CETS No. 225) and developed in close cooperation with the C</w:t>
      </w:r>
      <w:r w:rsidR="00414FD5" w:rsidRPr="00A81BD6">
        <w:rPr>
          <w:noProof/>
        </w:rPr>
        <w:t xml:space="preserve">ommittee on </w:t>
      </w:r>
      <w:r w:rsidR="00984A58" w:rsidRPr="00A81BD6">
        <w:rPr>
          <w:noProof/>
        </w:rPr>
        <w:t>A</w:t>
      </w:r>
      <w:r w:rsidR="00414FD5" w:rsidRPr="00A81BD6">
        <w:rPr>
          <w:noProof/>
        </w:rPr>
        <w:t xml:space="preserve">rtificial </w:t>
      </w:r>
      <w:r w:rsidR="00984A58" w:rsidRPr="00A81BD6">
        <w:rPr>
          <w:noProof/>
        </w:rPr>
        <w:t>I</w:t>
      </w:r>
      <w:r w:rsidR="00414FD5" w:rsidRPr="00A81BD6">
        <w:rPr>
          <w:noProof/>
        </w:rPr>
        <w:t>ntelligence (CAI)</w:t>
      </w:r>
      <w:r w:rsidR="31A377F7" w:rsidRPr="00A81BD6">
        <w:rPr>
          <w:noProof/>
        </w:rPr>
        <w:t>.</w:t>
      </w:r>
    </w:p>
    <w:p w:rsidR="00C43A3C" w:rsidRPr="00A81BD6" w:rsidRDefault="00060229" w:rsidP="00C43A3C">
      <w:pPr>
        <w:rPr>
          <w:noProof/>
        </w:rPr>
      </w:pPr>
      <w:r>
        <w:rPr>
          <w:noProof/>
        </w:rPr>
        <w:t>The Recommendation</w:t>
      </w:r>
      <w:r w:rsidR="00C43A3C" w:rsidRPr="00A81BD6">
        <w:rPr>
          <w:noProof/>
        </w:rPr>
        <w:t xml:space="preserve"> is based on the “</w:t>
      </w:r>
      <w:r w:rsidR="00C43A3C" w:rsidRPr="00A81BD6">
        <w:rPr>
          <w:i/>
          <w:iCs/>
          <w:noProof/>
        </w:rPr>
        <w:t>Study on the impact of artificial intelligence systems, their potential for promoting equality, including gender equality, and the risks they may cause in relation to non-discrimination</w:t>
      </w:r>
      <w:r w:rsidR="00C43A3C" w:rsidRPr="00A81BD6">
        <w:rPr>
          <w:noProof/>
        </w:rPr>
        <w:t>”, endorsed by GEC and CDADI in 2023.</w:t>
      </w:r>
      <w:r w:rsidR="009048C0" w:rsidRPr="00A81BD6">
        <w:rPr>
          <w:rStyle w:val="FootnoteReference"/>
          <w:noProof/>
        </w:rPr>
        <w:footnoteReference w:id="4"/>
      </w:r>
      <w:r w:rsidR="009048C0" w:rsidRPr="00A81BD6">
        <w:rPr>
          <w:noProof/>
        </w:rPr>
        <w:t xml:space="preserve"> </w:t>
      </w:r>
      <w:r w:rsidR="6F163F95" w:rsidRPr="00A81BD6">
        <w:rPr>
          <w:noProof/>
        </w:rPr>
        <w:t xml:space="preserve">The study identified four complementary avenues for regulatory and policy intervention to ensure a robust human rights-based approach to </w:t>
      </w:r>
      <w:r w:rsidR="3AF5A1A5" w:rsidRPr="00A81BD6">
        <w:rPr>
          <w:noProof/>
        </w:rPr>
        <w:t>artificial intelligence</w:t>
      </w:r>
      <w:r w:rsidR="458D1BA3" w:rsidRPr="00A81BD6">
        <w:rPr>
          <w:noProof/>
        </w:rPr>
        <w:t>, namely (1) prevention, transparency and accountability, (2) access to justice and legal redress mechanisms, (3) diversity, inclusion, representation and participation, (4) democratic participation, public awareness-raising and capacity-building</w:t>
      </w:r>
      <w:r w:rsidR="3AF5A1A5" w:rsidRPr="00A81BD6">
        <w:rPr>
          <w:noProof/>
        </w:rPr>
        <w:t>.</w:t>
      </w:r>
      <w:r w:rsidR="572952AF" w:rsidRPr="00A81BD6">
        <w:rPr>
          <w:noProof/>
        </w:rPr>
        <w:t xml:space="preserve">  </w:t>
      </w:r>
    </w:p>
    <w:p w:rsidR="00C328C8" w:rsidRPr="00A81BD6" w:rsidRDefault="00C328C8" w:rsidP="00C328C8">
      <w:pPr>
        <w:rPr>
          <w:noProof/>
        </w:rPr>
      </w:pPr>
      <w:r w:rsidRPr="00A81BD6">
        <w:rPr>
          <w:noProof/>
        </w:rPr>
        <w:t xml:space="preserve">In order to gather input from stakeholders and the interested public, the Council of Europe conducted a public consultation on the draft Recommendation from 10 March 2025 to 28 April 2025. </w:t>
      </w:r>
    </w:p>
    <w:p w:rsidR="00C328C8" w:rsidRPr="00A81BD6" w:rsidRDefault="00C43A3C" w:rsidP="00C43A3C">
      <w:pPr>
        <w:rPr>
          <w:noProof/>
        </w:rPr>
      </w:pPr>
      <w:r w:rsidRPr="00A81BD6">
        <w:rPr>
          <w:noProof/>
        </w:rPr>
        <w:t xml:space="preserve">The draft Recommendation was discussed in the GEC/ADI-AI meetings on 25-26 September 2024 </w:t>
      </w:r>
      <w:r w:rsidR="00C328C8" w:rsidRPr="00A81BD6">
        <w:rPr>
          <w:noProof/>
        </w:rPr>
        <w:t>and</w:t>
      </w:r>
      <w:r w:rsidRPr="00A81BD6">
        <w:rPr>
          <w:noProof/>
        </w:rPr>
        <w:t xml:space="preserve"> 26-27 February 2025. A last meeting of the expert group is due to take place </w:t>
      </w:r>
      <w:r w:rsidR="00C328C8" w:rsidRPr="00A81BD6">
        <w:rPr>
          <w:noProof/>
        </w:rPr>
        <w:t xml:space="preserve">on </w:t>
      </w:r>
      <w:r w:rsidRPr="00A81BD6">
        <w:rPr>
          <w:noProof/>
        </w:rPr>
        <w:t xml:space="preserve">7-9 October 2025, which </w:t>
      </w:r>
      <w:r w:rsidR="00C328C8" w:rsidRPr="00A81BD6">
        <w:rPr>
          <w:noProof/>
        </w:rPr>
        <w:t xml:space="preserve">would </w:t>
      </w:r>
      <w:r w:rsidRPr="00A81BD6">
        <w:rPr>
          <w:noProof/>
        </w:rPr>
        <w:t xml:space="preserve">finalise the </w:t>
      </w:r>
      <w:r w:rsidR="00C328C8" w:rsidRPr="00A81BD6">
        <w:rPr>
          <w:noProof/>
        </w:rPr>
        <w:t xml:space="preserve">draft </w:t>
      </w:r>
      <w:r w:rsidRPr="00A81BD6">
        <w:rPr>
          <w:noProof/>
        </w:rPr>
        <w:t xml:space="preserve">text of the Recommendation. </w:t>
      </w:r>
      <w:r w:rsidR="00705121" w:rsidRPr="00A81BD6">
        <w:rPr>
          <w:noProof/>
        </w:rPr>
        <w:t>A</w:t>
      </w:r>
      <w:r w:rsidR="00967DD0" w:rsidRPr="00A81BD6">
        <w:rPr>
          <w:noProof/>
        </w:rPr>
        <w:t>head of that meeting, a</w:t>
      </w:r>
      <w:r w:rsidR="00705121" w:rsidRPr="00A81BD6">
        <w:rPr>
          <w:noProof/>
        </w:rPr>
        <w:t xml:space="preserve"> </w:t>
      </w:r>
      <w:r w:rsidR="003F5475" w:rsidRPr="00A81BD6">
        <w:rPr>
          <w:noProof/>
        </w:rPr>
        <w:t xml:space="preserve">fifth </w:t>
      </w:r>
      <w:r w:rsidR="00705121" w:rsidRPr="00A81BD6">
        <w:rPr>
          <w:noProof/>
        </w:rPr>
        <w:t>revised version of the Recommendation was circulated at the end of July</w:t>
      </w:r>
      <w:r w:rsidR="00A76B13" w:rsidRPr="00A81BD6">
        <w:rPr>
          <w:noProof/>
        </w:rPr>
        <w:t xml:space="preserve"> (</w:t>
      </w:r>
      <w:r w:rsidR="00BC03E7" w:rsidRPr="00A81BD6">
        <w:rPr>
          <w:i/>
          <w:iCs/>
          <w:noProof/>
          <w:lang w:val="en-IE"/>
        </w:rPr>
        <w:t>reference GEC/ADI-AI(2024)7rev5</w:t>
      </w:r>
      <w:r w:rsidR="003A38A1" w:rsidRPr="00A81BD6">
        <w:rPr>
          <w:i/>
          <w:iCs/>
          <w:noProof/>
          <w:lang w:val="en-IE"/>
        </w:rPr>
        <w:t>)</w:t>
      </w:r>
      <w:r w:rsidR="0052480E" w:rsidRPr="00A81BD6">
        <w:rPr>
          <w:noProof/>
        </w:rPr>
        <w:t>.</w:t>
      </w:r>
      <w:r w:rsidR="00557538" w:rsidRPr="00A81BD6">
        <w:rPr>
          <w:noProof/>
        </w:rPr>
        <w:t xml:space="preserve"> </w:t>
      </w:r>
    </w:p>
    <w:p w:rsidR="00C43A3C" w:rsidRPr="00A81BD6" w:rsidRDefault="00C43A3C" w:rsidP="00C43A3C">
      <w:pPr>
        <w:rPr>
          <w:noProof/>
        </w:rPr>
      </w:pPr>
      <w:r w:rsidRPr="00A81BD6">
        <w:rPr>
          <w:noProof/>
        </w:rPr>
        <w:t xml:space="preserve">The draft Recommendation was also discussed in the GEC and the CDADI meetings in November 2024 and is due to be approved in a joint plenary session of the GEC and the CDADI from 18-20 November 2025, for submission to the </w:t>
      </w:r>
      <w:r w:rsidR="00060229">
        <w:rPr>
          <w:noProof/>
        </w:rPr>
        <w:t>CM</w:t>
      </w:r>
      <w:r w:rsidRPr="00A81BD6">
        <w:rPr>
          <w:noProof/>
        </w:rPr>
        <w:t>.</w:t>
      </w:r>
      <w:r w:rsidR="00060229">
        <w:rPr>
          <w:noProof/>
        </w:rPr>
        <w:t xml:space="preserve"> </w:t>
      </w:r>
      <w:r w:rsidR="00060229" w:rsidRPr="00A81BD6">
        <w:rPr>
          <w:noProof/>
        </w:rPr>
        <w:t xml:space="preserve">The </w:t>
      </w:r>
      <w:r w:rsidR="00060229">
        <w:rPr>
          <w:noProof/>
        </w:rPr>
        <w:t xml:space="preserve">CM </w:t>
      </w:r>
      <w:r w:rsidR="00060229" w:rsidRPr="00A81BD6">
        <w:rPr>
          <w:noProof/>
        </w:rPr>
        <w:t xml:space="preserve">aims to </w:t>
      </w:r>
      <w:r w:rsidR="00060229">
        <w:rPr>
          <w:noProof/>
        </w:rPr>
        <w:t xml:space="preserve">formally </w:t>
      </w:r>
      <w:r w:rsidR="00060229" w:rsidRPr="00A81BD6">
        <w:rPr>
          <w:noProof/>
        </w:rPr>
        <w:t xml:space="preserve">adopt the Recommendation by </w:t>
      </w:r>
      <w:r w:rsidR="00060229">
        <w:rPr>
          <w:noProof/>
        </w:rPr>
        <w:t>the spring of 2026</w:t>
      </w:r>
      <w:r w:rsidR="00060229" w:rsidRPr="00A81BD6">
        <w:rPr>
          <w:noProof/>
        </w:rPr>
        <w:t xml:space="preserve">. </w:t>
      </w:r>
      <w:r w:rsidRPr="00A81BD6">
        <w:rPr>
          <w:noProof/>
        </w:rPr>
        <w:t xml:space="preserve">  </w:t>
      </w:r>
    </w:p>
    <w:p w:rsidR="00C43A3C" w:rsidRPr="00A81BD6" w:rsidRDefault="00C43A3C" w:rsidP="00C43A3C">
      <w:pPr>
        <w:rPr>
          <w:noProof/>
        </w:rPr>
      </w:pPr>
      <w:r w:rsidRPr="00A81BD6">
        <w:rPr>
          <w:noProof/>
        </w:rPr>
        <w:t xml:space="preserve">The purpose of the envisaged Recommendation is “to assist Member States to promote equality, including gender equality, and to prevent and combat all forms of discrimination, in all their activities and those of public and private sector actors within the lifecycle of AI systems”. </w:t>
      </w:r>
    </w:p>
    <w:p w:rsidR="00C43A3C" w:rsidRPr="00A81BD6" w:rsidRDefault="00C43A3C" w:rsidP="00C43A3C">
      <w:pPr>
        <w:rPr>
          <w:noProof/>
        </w:rPr>
      </w:pPr>
      <w:r w:rsidRPr="00A81BD6">
        <w:rPr>
          <w:rFonts w:eastAsia="Arial Unicode MS"/>
          <w:noProof/>
        </w:rPr>
        <w:t xml:space="preserve">The Recommendation would not create legally binding effects and obligations and would be based on the voluntary application by the member states of the Council of Europe. However, in accordance with Article 15(b) of the Statute, the CM may request the member governments “to inform it of the action taken by them” in regard to recommendations.  </w:t>
      </w:r>
    </w:p>
    <w:p w:rsidR="00504733" w:rsidRPr="00A81BD6" w:rsidRDefault="00494AE7" w:rsidP="00494AE7">
      <w:pPr>
        <w:pStyle w:val="ManualHeading1"/>
        <w:rPr>
          <w:noProof/>
        </w:rPr>
      </w:pPr>
      <w:r w:rsidRPr="00494AE7">
        <w:rPr>
          <w:noProof/>
        </w:rPr>
        <w:t>3.</w:t>
      </w:r>
      <w:r w:rsidRPr="00494AE7">
        <w:rPr>
          <w:noProof/>
        </w:rPr>
        <w:tab/>
      </w:r>
      <w:r w:rsidR="00D16F8B" w:rsidRPr="00A81BD6">
        <w:rPr>
          <w:noProof/>
        </w:rPr>
        <w:t>Position to be taken on the Union's behalf</w:t>
      </w:r>
    </w:p>
    <w:p w:rsidR="00C328C8" w:rsidRPr="00A81BD6" w:rsidRDefault="00504733" w:rsidP="0057479C">
      <w:pPr>
        <w:rPr>
          <w:noProof/>
          <w:lang w:val="en-IE"/>
        </w:rPr>
      </w:pPr>
      <w:r w:rsidRPr="00A81BD6">
        <w:rPr>
          <w:noProof/>
          <w:lang w:val="en-IE"/>
        </w:rPr>
        <w:t xml:space="preserve">It is proposed that the position of the </w:t>
      </w:r>
      <w:r w:rsidR="006C085E" w:rsidRPr="00A81BD6">
        <w:rPr>
          <w:noProof/>
          <w:lang w:val="en-IE"/>
        </w:rPr>
        <w:t>Union</w:t>
      </w:r>
      <w:r w:rsidRPr="00A81BD6">
        <w:rPr>
          <w:noProof/>
          <w:lang w:val="en-IE"/>
        </w:rPr>
        <w:t xml:space="preserve"> should be to agree with the adoption of the draft Recommendation </w:t>
      </w:r>
      <w:r w:rsidR="00166D79" w:rsidRPr="00A81BD6">
        <w:rPr>
          <w:noProof/>
          <w:lang w:val="en-IE"/>
        </w:rPr>
        <w:t>by the</w:t>
      </w:r>
      <w:r w:rsidRPr="00A81BD6">
        <w:rPr>
          <w:noProof/>
          <w:lang w:val="en-IE"/>
        </w:rPr>
        <w:t xml:space="preserve"> </w:t>
      </w:r>
      <w:r w:rsidR="00FD393D" w:rsidRPr="00A81BD6">
        <w:rPr>
          <w:noProof/>
          <w:lang w:val="en-IE"/>
        </w:rPr>
        <w:t>CM</w:t>
      </w:r>
      <w:r w:rsidR="00166D79" w:rsidRPr="00A81BD6">
        <w:rPr>
          <w:noProof/>
          <w:lang w:val="en-IE"/>
        </w:rPr>
        <w:t xml:space="preserve"> provided that it ensures consistency with the Union acquis, in particular </w:t>
      </w:r>
      <w:r w:rsidR="00166D79" w:rsidRPr="00A81BD6">
        <w:rPr>
          <w:noProof/>
        </w:rPr>
        <w:t xml:space="preserve">the </w:t>
      </w:r>
      <w:r w:rsidR="00166D79" w:rsidRPr="00A81BD6">
        <w:rPr>
          <w:noProof/>
          <w:lang w:val="en-IE"/>
        </w:rPr>
        <w:t xml:space="preserve">AI Act, and coherence with the Council of Europe Framework Convention. </w:t>
      </w:r>
      <w:r w:rsidR="00E16E23" w:rsidRPr="00A81BD6">
        <w:rPr>
          <w:noProof/>
          <w:lang w:val="en-IE"/>
        </w:rPr>
        <w:t>The current draft of the Recommendation (rev5 of July 2025) is not yet fully consistent.</w:t>
      </w:r>
    </w:p>
    <w:p w:rsidR="00FD393D" w:rsidRPr="00A81BD6" w:rsidRDefault="00166D79" w:rsidP="0057479C">
      <w:pPr>
        <w:rPr>
          <w:noProof/>
        </w:rPr>
      </w:pPr>
      <w:r w:rsidRPr="00A81BD6">
        <w:rPr>
          <w:noProof/>
          <w:lang w:val="en-IE"/>
        </w:rPr>
        <w:t>More specifically</w:t>
      </w:r>
      <w:r w:rsidR="007B1C13" w:rsidRPr="00A81BD6">
        <w:rPr>
          <w:noProof/>
          <w:lang w:val="en-IE"/>
        </w:rPr>
        <w:t>,</w:t>
      </w:r>
      <w:r w:rsidRPr="00A81BD6">
        <w:rPr>
          <w:noProof/>
          <w:lang w:val="en-IE"/>
        </w:rPr>
        <w:t xml:space="preserve"> the Union should agree</w:t>
      </w:r>
      <w:r w:rsidR="00F22568" w:rsidRPr="00A81BD6">
        <w:rPr>
          <w:noProof/>
          <w:lang w:val="en-IE"/>
        </w:rPr>
        <w:t xml:space="preserve"> with th</w:t>
      </w:r>
      <w:r w:rsidR="004F6B6B" w:rsidRPr="00A81BD6">
        <w:rPr>
          <w:noProof/>
          <w:lang w:val="en-IE"/>
        </w:rPr>
        <w:t>e adoption of the draft recommendation</w:t>
      </w:r>
      <w:r w:rsidRPr="00A81BD6">
        <w:rPr>
          <w:noProof/>
          <w:lang w:val="en-IE"/>
        </w:rPr>
        <w:t xml:space="preserve"> </w:t>
      </w:r>
      <w:r w:rsidR="00FD393D" w:rsidRPr="00A81BD6">
        <w:rPr>
          <w:noProof/>
        </w:rPr>
        <w:t xml:space="preserve">on the condition that </w:t>
      </w:r>
      <w:r w:rsidR="00793CDC" w:rsidRPr="00A81BD6">
        <w:rPr>
          <w:noProof/>
        </w:rPr>
        <w:t>the Recommendation respects the following</w:t>
      </w:r>
      <w:r w:rsidR="002D309F" w:rsidRPr="00A81BD6">
        <w:rPr>
          <w:noProof/>
        </w:rPr>
        <w:t xml:space="preserve"> requirements</w:t>
      </w:r>
      <w:r w:rsidR="00793CDC" w:rsidRPr="00A81BD6">
        <w:rPr>
          <w:noProof/>
        </w:rPr>
        <w:t xml:space="preserve">: </w:t>
      </w:r>
    </w:p>
    <w:p w:rsidR="00A72830" w:rsidRPr="0044752A" w:rsidRDefault="00494AE7" w:rsidP="00494AE7">
      <w:pPr>
        <w:pStyle w:val="ManualNumPar1"/>
        <w:rPr>
          <w:noProof/>
          <w:lang w:val="en-IE"/>
        </w:rPr>
      </w:pPr>
      <w:r w:rsidRPr="00494AE7">
        <w:rPr>
          <w:noProof/>
        </w:rPr>
        <w:t>1.</w:t>
      </w:r>
      <w:r w:rsidRPr="00494AE7">
        <w:rPr>
          <w:noProof/>
        </w:rPr>
        <w:tab/>
      </w:r>
      <w:r w:rsidR="00A72830" w:rsidRPr="0044752A">
        <w:rPr>
          <w:noProof/>
          <w:lang w:val="en-IE"/>
        </w:rPr>
        <w:t xml:space="preserve">Measures concerning actors within the lifecycle of AI systems do not exceed obligations established under the AI Act which generally fully harmonises the rules for AI in the Union, including </w:t>
      </w:r>
      <w:r w:rsidR="00A72830" w:rsidRPr="00A81BD6">
        <w:rPr>
          <w:noProof/>
          <w:lang w:val="en-IE"/>
        </w:rPr>
        <w:t xml:space="preserve">in </w:t>
      </w:r>
      <w:r w:rsidR="00A72830" w:rsidRPr="0044752A">
        <w:rPr>
          <w:noProof/>
          <w:lang w:val="en-IE"/>
        </w:rPr>
        <w:t xml:space="preserve">the </w:t>
      </w:r>
      <w:r w:rsidR="00A72830" w:rsidRPr="00A81BD6">
        <w:rPr>
          <w:noProof/>
          <w:lang w:val="en-IE"/>
        </w:rPr>
        <w:t>area</w:t>
      </w:r>
      <w:r w:rsidR="00A72830" w:rsidRPr="0044752A">
        <w:rPr>
          <w:noProof/>
          <w:lang w:val="en-IE"/>
        </w:rPr>
        <w:t xml:space="preserve"> of equality. </w:t>
      </w:r>
    </w:p>
    <w:p w:rsidR="00A72830" w:rsidRPr="00A81BD6" w:rsidRDefault="00A72830" w:rsidP="00A72830">
      <w:pPr>
        <w:pStyle w:val="Text1"/>
        <w:rPr>
          <w:noProof/>
          <w:lang w:val="en-IE"/>
        </w:rPr>
      </w:pPr>
      <w:r w:rsidRPr="0044752A">
        <w:rPr>
          <w:noProof/>
          <w:lang w:val="en-IE"/>
        </w:rPr>
        <w:t>In particular, the Recommendation should allow sufficient flexibility in the implementation</w:t>
      </w:r>
      <w:r w:rsidR="001C08DF" w:rsidRPr="00A81BD6">
        <w:rPr>
          <w:noProof/>
          <w:lang w:val="en-IE"/>
        </w:rPr>
        <w:t xml:space="preserve"> of the AI Act</w:t>
      </w:r>
      <w:r w:rsidR="00F60094" w:rsidRPr="00A81BD6">
        <w:rPr>
          <w:noProof/>
          <w:lang w:val="en-IE"/>
        </w:rPr>
        <w:t xml:space="preserve"> </w:t>
      </w:r>
      <w:r w:rsidRPr="00A81BD6">
        <w:rPr>
          <w:noProof/>
          <w:lang w:val="en-IE"/>
        </w:rPr>
        <w:t>(</w:t>
      </w:r>
      <w:r w:rsidRPr="0044752A">
        <w:rPr>
          <w:noProof/>
          <w:lang w:val="en-IE"/>
        </w:rPr>
        <w:t>in line with the approach of the Framework Convention</w:t>
      </w:r>
      <w:r w:rsidRPr="00A81BD6">
        <w:rPr>
          <w:noProof/>
          <w:lang w:val="en-IE"/>
        </w:rPr>
        <w:t>),￼ which would require appropriate amendments of the references to the need to take “effective measures” in paragraphs 7, 9, 10 and 36 of the draft Recommendation;</w:t>
      </w:r>
    </w:p>
    <w:p w:rsidR="00A72830" w:rsidRPr="0044752A" w:rsidRDefault="00A72830" w:rsidP="00DA24D6">
      <w:pPr>
        <w:pStyle w:val="Bullet1"/>
        <w:numPr>
          <w:ilvl w:val="0"/>
          <w:numId w:val="6"/>
        </w:numPr>
        <w:rPr>
          <w:noProof/>
          <w:lang w:val="en-IE"/>
        </w:rPr>
      </w:pPr>
      <w:r w:rsidRPr="00A81BD6">
        <w:rPr>
          <w:noProof/>
          <w:lang w:val="en-IE"/>
        </w:rPr>
        <w:t>The measures proposed in paragraphs 9, 10.1 and 18.2 of the draft Recommendation should be amended in an appropriate manner</w:t>
      </w:r>
      <w:r w:rsidRPr="0044752A">
        <w:rPr>
          <w:noProof/>
          <w:lang w:val="en-IE"/>
        </w:rPr>
        <w:t xml:space="preserve"> to avoid recommendations for the introduction of additional positive obligations in relation to the promotion of equality by providers and deployers of AI systems</w:t>
      </w:r>
      <w:r w:rsidRPr="00A81BD6">
        <w:rPr>
          <w:noProof/>
          <w:lang w:val="en-IE"/>
        </w:rPr>
        <w:t>;</w:t>
      </w:r>
    </w:p>
    <w:p w:rsidR="00A72830" w:rsidRPr="0044752A" w:rsidRDefault="00A72830" w:rsidP="0044752A">
      <w:pPr>
        <w:pStyle w:val="Bullet1"/>
        <w:rPr>
          <w:noProof/>
          <w:lang w:val="en-IE"/>
        </w:rPr>
      </w:pPr>
      <w:r w:rsidRPr="0044752A">
        <w:rPr>
          <w:noProof/>
          <w:lang w:val="en-IE"/>
        </w:rPr>
        <w:t xml:space="preserve">The provisions of </w:t>
      </w:r>
      <w:r w:rsidRPr="00A81BD6">
        <w:rPr>
          <w:noProof/>
          <w:lang w:val="en-IE"/>
        </w:rPr>
        <w:t xml:space="preserve">paragraph 5.1 of </w:t>
      </w:r>
      <w:r w:rsidRPr="0044752A">
        <w:rPr>
          <w:noProof/>
          <w:lang w:val="en-IE"/>
        </w:rPr>
        <w:t xml:space="preserve">the </w:t>
      </w:r>
      <w:r w:rsidRPr="00A81BD6">
        <w:rPr>
          <w:noProof/>
          <w:lang w:val="en-IE"/>
        </w:rPr>
        <w:t xml:space="preserve">draft </w:t>
      </w:r>
      <w:r w:rsidRPr="0044752A">
        <w:rPr>
          <w:noProof/>
          <w:lang w:val="en-IE"/>
        </w:rPr>
        <w:t xml:space="preserve">Recommendation should </w:t>
      </w:r>
      <w:r w:rsidRPr="00A81BD6">
        <w:rPr>
          <w:noProof/>
          <w:lang w:val="en-IE"/>
        </w:rPr>
        <w:t>be adjusted in an appropriate manner to</w:t>
      </w:r>
      <w:r w:rsidRPr="0044752A">
        <w:rPr>
          <w:noProof/>
          <w:lang w:val="en-IE"/>
        </w:rPr>
        <w:t xml:space="preserve"> avoid an open-ended restriction on the use of AI which is incompatible with the EU approach to AI regulation and EU policy on innovation.</w:t>
      </w:r>
    </w:p>
    <w:p w:rsidR="00A72830" w:rsidRPr="0044752A" w:rsidRDefault="00494AE7" w:rsidP="00494AE7">
      <w:pPr>
        <w:pStyle w:val="ManualNumPar1"/>
        <w:rPr>
          <w:rStyle w:val="SubtleReference"/>
          <w:smallCaps w:val="0"/>
          <w:noProof/>
          <w:lang w:val="en-IE"/>
        </w:rPr>
      </w:pPr>
      <w:r w:rsidRPr="00494AE7">
        <w:rPr>
          <w:rStyle w:val="SubtleReference"/>
          <w:noProof/>
        </w:rPr>
        <w:t>2.</w:t>
      </w:r>
      <w:r w:rsidRPr="00494AE7">
        <w:rPr>
          <w:rStyle w:val="SubtleReference"/>
          <w:noProof/>
        </w:rPr>
        <w:tab/>
      </w:r>
      <w:r w:rsidR="00A72830" w:rsidRPr="0044752A">
        <w:rPr>
          <w:noProof/>
          <w:lang w:val="en-IE"/>
        </w:rPr>
        <w:t xml:space="preserve">The formulation of the measures and standards within the Recommendation is clarified in the text to </w:t>
      </w:r>
      <w:r w:rsidR="001C08DF" w:rsidRPr="0044752A">
        <w:rPr>
          <w:noProof/>
          <w:lang w:val="en-IE"/>
        </w:rPr>
        <w:t>e</w:t>
      </w:r>
      <w:r w:rsidR="00A72830" w:rsidRPr="0044752A">
        <w:rPr>
          <w:noProof/>
          <w:lang w:val="en-IE"/>
        </w:rPr>
        <w:t>nsure consistency and interoperability with the Union legal framework, both terminologically and substantively.</w:t>
      </w:r>
    </w:p>
    <w:p w:rsidR="00A72830" w:rsidRPr="00A81BD6" w:rsidRDefault="00A72830" w:rsidP="16740F38">
      <w:pPr>
        <w:pStyle w:val="Bullet1"/>
        <w:rPr>
          <w:noProof/>
          <w:lang w:val="en-IE"/>
        </w:rPr>
      </w:pPr>
      <w:r w:rsidRPr="00A81BD6">
        <w:rPr>
          <w:noProof/>
          <w:lang w:val="en-IE"/>
        </w:rPr>
        <w:t>In particular, appropriate adjustments should be made in paragraph 18 to the references to “uniform standards” in order to ensure sufficient flexibility in the implementation, and to the references to “biases” to ensure the measures remain proportionate and focused on harms.</w:t>
      </w:r>
    </w:p>
    <w:p w:rsidR="00A72830" w:rsidRPr="0044752A" w:rsidRDefault="00494AE7" w:rsidP="00494AE7">
      <w:pPr>
        <w:pStyle w:val="ManualNumPar1"/>
        <w:rPr>
          <w:noProof/>
          <w:lang w:val="en-IE"/>
        </w:rPr>
      </w:pPr>
      <w:r w:rsidRPr="00494AE7">
        <w:rPr>
          <w:noProof/>
        </w:rPr>
        <w:t>3.</w:t>
      </w:r>
      <w:r w:rsidRPr="00494AE7">
        <w:rPr>
          <w:noProof/>
        </w:rPr>
        <w:tab/>
      </w:r>
      <w:r w:rsidR="00A72830" w:rsidRPr="0044752A">
        <w:rPr>
          <w:noProof/>
          <w:lang w:val="en-IE"/>
        </w:rPr>
        <w:t>Safeguards relating to human review</w:t>
      </w:r>
      <w:r w:rsidR="00A72830" w:rsidRPr="00A81BD6">
        <w:rPr>
          <w:noProof/>
          <w:lang w:val="en-IE"/>
        </w:rPr>
        <w:t xml:space="preserve"> and</w:t>
      </w:r>
      <w:r w:rsidR="00A72830" w:rsidRPr="0044752A">
        <w:rPr>
          <w:noProof/>
          <w:lang w:val="en-IE"/>
        </w:rPr>
        <w:t xml:space="preserve"> appeal procedures </w:t>
      </w:r>
      <w:r w:rsidR="00A72830" w:rsidRPr="00A81BD6">
        <w:rPr>
          <w:noProof/>
          <w:lang w:val="en-IE"/>
        </w:rPr>
        <w:t xml:space="preserve">(in paragraph 16bis) </w:t>
      </w:r>
      <w:r w:rsidR="00A72830" w:rsidRPr="0044752A">
        <w:rPr>
          <w:noProof/>
          <w:lang w:val="en-IE"/>
        </w:rPr>
        <w:t>are</w:t>
      </w:r>
      <w:r w:rsidR="00A72830" w:rsidRPr="00A81BD6">
        <w:rPr>
          <w:noProof/>
          <w:lang w:val="en-IE"/>
        </w:rPr>
        <w:t xml:space="preserve"> adjusted in an appropriate manner</w:t>
      </w:r>
      <w:r w:rsidR="00A72830" w:rsidRPr="0044752A">
        <w:rPr>
          <w:noProof/>
          <w:lang w:val="en-IE"/>
        </w:rPr>
        <w:t xml:space="preserve"> consistent with both the AI Act and the Framework Convention, thereby ensuring coherence between the two instruments while avoiding the introduction of </w:t>
      </w:r>
      <w:r w:rsidR="00A72830" w:rsidRPr="00A81BD6">
        <w:rPr>
          <w:noProof/>
          <w:lang w:val="en-IE"/>
        </w:rPr>
        <w:t xml:space="preserve">AI specific </w:t>
      </w:r>
      <w:r w:rsidR="00A72830" w:rsidRPr="0044752A">
        <w:rPr>
          <w:noProof/>
          <w:lang w:val="en-IE"/>
        </w:rPr>
        <w:t xml:space="preserve">obligations for providers or deployers of AI systems not contemplated in the Union </w:t>
      </w:r>
      <w:r w:rsidR="00A72830" w:rsidRPr="0044752A">
        <w:rPr>
          <w:i/>
          <w:noProof/>
          <w:lang w:val="en-IE"/>
        </w:rPr>
        <w:t>acquis</w:t>
      </w:r>
      <w:r w:rsidR="00A72830" w:rsidRPr="0044752A">
        <w:rPr>
          <w:noProof/>
          <w:lang w:val="en-IE"/>
        </w:rPr>
        <w:t>.</w:t>
      </w:r>
      <w:r w:rsidR="00A72830" w:rsidRPr="00A81BD6">
        <w:rPr>
          <w:rStyle w:val="FootnoteReference"/>
          <w:noProof/>
          <w:lang w:val="en-IE"/>
        </w:rPr>
        <w:footnoteReference w:id="5"/>
      </w:r>
    </w:p>
    <w:p w:rsidR="00A72830" w:rsidRPr="00A81BD6" w:rsidRDefault="00494AE7" w:rsidP="00494AE7">
      <w:pPr>
        <w:pStyle w:val="ManualNumPar1"/>
        <w:rPr>
          <w:noProof/>
          <w:szCs w:val="24"/>
          <w:lang w:val="en-IE"/>
        </w:rPr>
      </w:pPr>
      <w:r w:rsidRPr="00494AE7">
        <w:rPr>
          <w:noProof/>
        </w:rPr>
        <w:t>4.</w:t>
      </w:r>
      <w:r w:rsidRPr="00494AE7">
        <w:rPr>
          <w:noProof/>
        </w:rPr>
        <w:tab/>
      </w:r>
      <w:r w:rsidR="00A72830" w:rsidRPr="0044752A">
        <w:rPr>
          <w:noProof/>
          <w:lang w:val="en-IE"/>
        </w:rPr>
        <w:t xml:space="preserve">The scope of sectors </w:t>
      </w:r>
      <w:r w:rsidR="001C08DF" w:rsidRPr="00A81BD6">
        <w:rPr>
          <w:noProof/>
          <w:lang w:val="en-IE"/>
        </w:rPr>
        <w:t>listed</w:t>
      </w:r>
      <w:r w:rsidR="00A72830" w:rsidRPr="00A81BD6">
        <w:rPr>
          <w:noProof/>
          <w:lang w:val="en-IE"/>
        </w:rPr>
        <w:t xml:space="preserve"> at the end of paragraph 36 of</w:t>
      </w:r>
      <w:r w:rsidR="00A72830" w:rsidRPr="0044752A">
        <w:rPr>
          <w:noProof/>
          <w:lang w:val="en-IE"/>
        </w:rPr>
        <w:t xml:space="preserve"> the draft Recommendation </w:t>
      </w:r>
      <w:r w:rsidR="00A72830" w:rsidRPr="00A81BD6">
        <w:rPr>
          <w:noProof/>
          <w:lang w:val="en-IE"/>
        </w:rPr>
        <w:t>as requiring particular attention is amended to ensure it is</w:t>
      </w:r>
      <w:r w:rsidR="00A72830" w:rsidRPr="0044752A">
        <w:rPr>
          <w:noProof/>
          <w:lang w:val="en-IE"/>
        </w:rPr>
        <w:t xml:space="preserve"> consistent and does not go beyond the high-risk areas defined under the AI Act (Annexes I and III</w:t>
      </w:r>
      <w:r w:rsidR="00A72830" w:rsidRPr="00A81BD6">
        <w:rPr>
          <w:noProof/>
          <w:lang w:val="en-IE"/>
        </w:rPr>
        <w:t>), thereby avoiding the inclusion of sectors not listed therein, or alternatively reformulating such references in terms of monitoring actions or other sufficiently flexible approaches.</w:t>
      </w:r>
      <w:r w:rsidR="00A72830" w:rsidRPr="00A81BD6">
        <w:rPr>
          <w:rStyle w:val="FootnoteReference"/>
          <w:noProof/>
          <w:lang w:val="en-IE"/>
        </w:rPr>
        <w:footnoteReference w:id="6"/>
      </w:r>
    </w:p>
    <w:p w:rsidR="00A72830" w:rsidRPr="00A81BD6" w:rsidRDefault="00A72830" w:rsidP="0044752A">
      <w:pPr>
        <w:rPr>
          <w:noProof/>
        </w:rPr>
      </w:pPr>
    </w:p>
    <w:p w:rsidR="00D16F8B" w:rsidRPr="00A81BD6" w:rsidRDefault="00494AE7" w:rsidP="00494AE7">
      <w:pPr>
        <w:pStyle w:val="ManualHeading1"/>
        <w:rPr>
          <w:noProof/>
        </w:rPr>
      </w:pPr>
      <w:r w:rsidRPr="00494AE7">
        <w:rPr>
          <w:noProof/>
        </w:rPr>
        <w:t>4.</w:t>
      </w:r>
      <w:r w:rsidRPr="00494AE7">
        <w:rPr>
          <w:noProof/>
        </w:rPr>
        <w:tab/>
      </w:r>
      <w:r w:rsidR="00D16F8B" w:rsidRPr="00A81BD6">
        <w:rPr>
          <w:noProof/>
        </w:rPr>
        <w:t>Legal basis</w:t>
      </w:r>
    </w:p>
    <w:p w:rsidR="00D16F8B" w:rsidRPr="00A81BD6" w:rsidRDefault="00494AE7" w:rsidP="00494AE7">
      <w:pPr>
        <w:pStyle w:val="ManualHeading2"/>
        <w:rPr>
          <w:noProof/>
        </w:rPr>
      </w:pPr>
      <w:r w:rsidRPr="00494AE7">
        <w:rPr>
          <w:noProof/>
        </w:rPr>
        <w:t>4.1.</w:t>
      </w:r>
      <w:r w:rsidRPr="00494AE7">
        <w:rPr>
          <w:noProof/>
        </w:rPr>
        <w:tab/>
      </w:r>
      <w:r w:rsidR="00D16F8B" w:rsidRPr="00A81BD6">
        <w:rPr>
          <w:noProof/>
        </w:rPr>
        <w:t>Procedural legal basis</w:t>
      </w:r>
    </w:p>
    <w:p w:rsidR="00060601" w:rsidRPr="00A81BD6" w:rsidRDefault="00494AE7" w:rsidP="00494AE7">
      <w:pPr>
        <w:pStyle w:val="ManualHeading3"/>
        <w:rPr>
          <w:noProof/>
        </w:rPr>
      </w:pPr>
      <w:r w:rsidRPr="00494AE7">
        <w:rPr>
          <w:noProof/>
        </w:rPr>
        <w:t>4.1.1.</w:t>
      </w:r>
      <w:r w:rsidRPr="00494AE7">
        <w:rPr>
          <w:noProof/>
        </w:rPr>
        <w:tab/>
      </w:r>
      <w:r w:rsidR="00060601" w:rsidRPr="00A81BD6">
        <w:rPr>
          <w:noProof/>
        </w:rPr>
        <w:t>Principles</w:t>
      </w:r>
    </w:p>
    <w:p w:rsidR="00D16F8B" w:rsidRPr="00A81BD6" w:rsidRDefault="00D16F8B" w:rsidP="0057479C">
      <w:pPr>
        <w:rPr>
          <w:noProof/>
        </w:rPr>
      </w:pPr>
      <w:r w:rsidRPr="00A81BD6">
        <w:rPr>
          <w:noProof/>
        </w:rPr>
        <w:t>Article 218(9) of the Treaty on the Functioning of the European Union (TFEU) provides for decisions establishing ‘</w:t>
      </w:r>
      <w:r w:rsidRPr="00A81BD6">
        <w:rPr>
          <w:i/>
          <w:noProof/>
        </w:rPr>
        <w:t>the positions to be adopted on the Union’s behalf in a body set up by an agreement, when that body is called upon to adopt acts having legal effects, with the exception of acts supplementing or amending the institutional framework of the agreement</w:t>
      </w:r>
      <w:r w:rsidRPr="00A81BD6">
        <w:rPr>
          <w:noProof/>
        </w:rPr>
        <w:t>.’</w:t>
      </w:r>
    </w:p>
    <w:p w:rsidR="006022D4" w:rsidRPr="00A81BD6" w:rsidRDefault="006022D4" w:rsidP="0057479C">
      <w:pPr>
        <w:rPr>
          <w:noProof/>
        </w:rPr>
      </w:pPr>
      <w:r w:rsidRPr="00A81BD6">
        <w:rPr>
          <w:noProof/>
        </w:rPr>
        <w:t>Article 218(9) TFEU applies regardless of whether the Union is a member of the body or a party to the agreement</w:t>
      </w:r>
      <w:r w:rsidR="009048C0" w:rsidRPr="00A81BD6">
        <w:rPr>
          <w:noProof/>
        </w:rPr>
        <w:t>.</w:t>
      </w:r>
      <w:r w:rsidR="009048C0" w:rsidRPr="00A81BD6">
        <w:rPr>
          <w:rStyle w:val="FootnoteReference"/>
          <w:noProof/>
        </w:rPr>
        <w:footnoteReference w:id="7"/>
      </w:r>
    </w:p>
    <w:p w:rsidR="00D16F8B" w:rsidRPr="00A81BD6" w:rsidRDefault="00D16F8B" w:rsidP="0057479C">
      <w:pPr>
        <w:rPr>
          <w:noProof/>
        </w:rPr>
      </w:pPr>
      <w:r w:rsidRPr="00A81BD6">
        <w:rPr>
          <w:noProof/>
        </w:rPr>
        <w:t>The concept of ‘</w:t>
      </w:r>
      <w:r w:rsidRPr="00A81BD6">
        <w:rPr>
          <w:i/>
          <w:iCs/>
          <w:noProof/>
        </w:rPr>
        <w:t>acts having legal effects</w:t>
      </w:r>
      <w:r w:rsidRPr="00A81BD6">
        <w:rPr>
          <w:noProof/>
        </w:rPr>
        <w:t>’ includes acts that have legal effects by virtue of the rules of international law governing the body in question. It also includes instruments that do not have a binding effect under international law, but that are ‘</w:t>
      </w:r>
      <w:r w:rsidRPr="00A81BD6">
        <w:rPr>
          <w:i/>
          <w:iCs/>
          <w:noProof/>
        </w:rPr>
        <w:t>capable of decisively influencing the content of the legislation adopted by the EU legislature</w:t>
      </w:r>
      <w:r w:rsidRPr="00A81BD6">
        <w:rPr>
          <w:noProof/>
        </w:rPr>
        <w:t>’</w:t>
      </w:r>
      <w:r w:rsidRPr="00A81BD6">
        <w:rPr>
          <w:rStyle w:val="FootnoteReference"/>
          <w:noProof/>
        </w:rPr>
        <w:footnoteReference w:id="8"/>
      </w:r>
      <w:r w:rsidRPr="00A81BD6">
        <w:rPr>
          <w:noProof/>
        </w:rPr>
        <w:t>.</w:t>
      </w:r>
    </w:p>
    <w:p w:rsidR="00D16F8B" w:rsidRPr="00A81BD6" w:rsidRDefault="00494AE7" w:rsidP="00494AE7">
      <w:pPr>
        <w:pStyle w:val="ManualHeading3"/>
        <w:rPr>
          <w:noProof/>
        </w:rPr>
      </w:pPr>
      <w:r w:rsidRPr="00494AE7">
        <w:rPr>
          <w:noProof/>
        </w:rPr>
        <w:t>4.1.2.</w:t>
      </w:r>
      <w:r w:rsidRPr="00494AE7">
        <w:rPr>
          <w:noProof/>
        </w:rPr>
        <w:tab/>
      </w:r>
      <w:r w:rsidR="00D16F8B" w:rsidRPr="00A81BD6">
        <w:rPr>
          <w:noProof/>
        </w:rPr>
        <w:t>Application to the present case</w:t>
      </w:r>
    </w:p>
    <w:p w:rsidR="00CF21EE" w:rsidRPr="00A81BD6" w:rsidRDefault="00FC3E50" w:rsidP="0057479C">
      <w:pPr>
        <w:rPr>
          <w:noProof/>
        </w:rPr>
      </w:pPr>
      <w:r w:rsidRPr="00A81BD6">
        <w:rPr>
          <w:noProof/>
        </w:rPr>
        <w:t>As outlined in Section 2, the</w:t>
      </w:r>
      <w:r w:rsidR="00CF21EE" w:rsidRPr="00A81BD6">
        <w:rPr>
          <w:noProof/>
        </w:rPr>
        <w:t xml:space="preserve"> Recommendation </w:t>
      </w:r>
      <w:r w:rsidRPr="00A81BD6">
        <w:rPr>
          <w:noProof/>
        </w:rPr>
        <w:t xml:space="preserve">is to be adopted by the CM, which is a body set up by an </w:t>
      </w:r>
      <w:r w:rsidR="3E58029F" w:rsidRPr="00480AB4">
        <w:rPr>
          <w:noProof/>
        </w:rPr>
        <w:t>international</w:t>
      </w:r>
      <w:r w:rsidR="3E58029F" w:rsidRPr="00A81BD6">
        <w:rPr>
          <w:noProof/>
        </w:rPr>
        <w:t xml:space="preserve"> </w:t>
      </w:r>
      <w:r w:rsidRPr="00A81BD6">
        <w:rPr>
          <w:noProof/>
        </w:rPr>
        <w:t>agreement and might produc</w:t>
      </w:r>
      <w:r w:rsidR="4B88263F" w:rsidRPr="00A81BD6">
        <w:rPr>
          <w:noProof/>
        </w:rPr>
        <w:t>e</w:t>
      </w:r>
      <w:r w:rsidRPr="00A81BD6">
        <w:rPr>
          <w:noProof/>
        </w:rPr>
        <w:t xml:space="preserve"> legal effects</w:t>
      </w:r>
      <w:r w:rsidR="37AE6101" w:rsidRPr="00A81BD6">
        <w:rPr>
          <w:noProof/>
        </w:rPr>
        <w:t xml:space="preserve"> </w:t>
      </w:r>
      <w:r w:rsidR="37AE6101" w:rsidRPr="00480AB4">
        <w:rPr>
          <w:noProof/>
        </w:rPr>
        <w:t xml:space="preserve">by influencing the way </w:t>
      </w:r>
      <w:r w:rsidR="00D641F7">
        <w:rPr>
          <w:noProof/>
        </w:rPr>
        <w:t xml:space="preserve">the </w:t>
      </w:r>
      <w:r w:rsidR="37AE6101" w:rsidRPr="00480AB4">
        <w:rPr>
          <w:noProof/>
        </w:rPr>
        <w:t>AI Act is implemented and applied</w:t>
      </w:r>
      <w:r w:rsidRPr="00A81BD6">
        <w:rPr>
          <w:noProof/>
        </w:rPr>
        <w:t xml:space="preserve">. </w:t>
      </w:r>
    </w:p>
    <w:p w:rsidR="00D641F7" w:rsidRDefault="3B055291">
      <w:pPr>
        <w:rPr>
          <w:rFonts w:eastAsia="Times New Roman"/>
          <w:noProof/>
          <w:color w:val="333333"/>
        </w:rPr>
      </w:pPr>
      <w:r w:rsidRPr="00060229">
        <w:rPr>
          <w:noProof/>
        </w:rPr>
        <w:t xml:space="preserve">More specifically, </w:t>
      </w:r>
      <w:r w:rsidR="00D641F7">
        <w:rPr>
          <w:noProof/>
        </w:rPr>
        <w:t xml:space="preserve">certain provisions of </w:t>
      </w:r>
      <w:r w:rsidR="17E0859F" w:rsidRPr="00060229">
        <w:rPr>
          <w:noProof/>
        </w:rPr>
        <w:t xml:space="preserve">the AI Act explicitly state that </w:t>
      </w:r>
      <w:r w:rsidR="79E4020E" w:rsidRPr="00060229">
        <w:rPr>
          <w:noProof/>
        </w:rPr>
        <w:t>existing “</w:t>
      </w:r>
      <w:r w:rsidR="17E0859F" w:rsidRPr="00060229">
        <w:rPr>
          <w:noProof/>
        </w:rPr>
        <w:t>international approaches</w:t>
      </w:r>
      <w:r w:rsidR="79E4020E" w:rsidRPr="00060229">
        <w:rPr>
          <w:noProof/>
        </w:rPr>
        <w:t>”</w:t>
      </w:r>
      <w:r w:rsidR="17E0859F" w:rsidRPr="00060229">
        <w:rPr>
          <w:noProof/>
        </w:rPr>
        <w:t xml:space="preserve"> and </w:t>
      </w:r>
      <w:r w:rsidR="79E4020E" w:rsidRPr="00060229">
        <w:rPr>
          <w:noProof/>
        </w:rPr>
        <w:t xml:space="preserve">“international </w:t>
      </w:r>
      <w:r w:rsidR="17E0859F" w:rsidRPr="00060229">
        <w:rPr>
          <w:noProof/>
        </w:rPr>
        <w:t>standards</w:t>
      </w:r>
      <w:r w:rsidR="79E4020E" w:rsidRPr="00060229">
        <w:rPr>
          <w:noProof/>
        </w:rPr>
        <w:t>”</w:t>
      </w:r>
      <w:r w:rsidR="17E0859F" w:rsidRPr="00060229">
        <w:rPr>
          <w:noProof/>
        </w:rPr>
        <w:t xml:space="preserve"> should be taken into account </w:t>
      </w:r>
      <w:r w:rsidR="1672FE71" w:rsidRPr="00060229">
        <w:rPr>
          <w:noProof/>
        </w:rPr>
        <w:t xml:space="preserve">in the implementation of the </w:t>
      </w:r>
      <w:r w:rsidR="6A9367BA" w:rsidRPr="00060229">
        <w:rPr>
          <w:noProof/>
        </w:rPr>
        <w:t>AI Act.</w:t>
      </w:r>
      <w:r w:rsidR="18AC68A6" w:rsidRPr="00060229">
        <w:rPr>
          <w:noProof/>
        </w:rPr>
        <w:t xml:space="preserve"> </w:t>
      </w:r>
      <w:r w:rsidR="00D641F7">
        <w:rPr>
          <w:noProof/>
        </w:rPr>
        <w:t>For example,</w:t>
      </w:r>
      <w:r w:rsidR="3F135943" w:rsidRPr="00060229">
        <w:rPr>
          <w:noProof/>
        </w:rPr>
        <w:t xml:space="preserve"> Article 40(3) of the AI Act</w:t>
      </w:r>
      <w:r w:rsidR="00D641F7">
        <w:rPr>
          <w:noProof/>
        </w:rPr>
        <w:t xml:space="preserve"> provides that</w:t>
      </w:r>
      <w:r w:rsidR="30B1C684" w:rsidRPr="00060229">
        <w:rPr>
          <w:noProof/>
        </w:rPr>
        <w:t xml:space="preserve"> </w:t>
      </w:r>
      <w:r w:rsidR="30B1C684" w:rsidRPr="00060229">
        <w:rPr>
          <w:rFonts w:eastAsia="Times New Roman"/>
          <w:noProof/>
          <w:color w:val="333333"/>
        </w:rPr>
        <w:t>participants in the standardisation process</w:t>
      </w:r>
      <w:r w:rsidR="30B1C684" w:rsidRPr="00060229">
        <w:rPr>
          <w:rFonts w:eastAsia="Times New Roman"/>
          <w:noProof/>
        </w:rPr>
        <w:t xml:space="preserve"> need to take into account “</w:t>
      </w:r>
      <w:r w:rsidR="30B1C684" w:rsidRPr="00060229">
        <w:rPr>
          <w:rFonts w:eastAsia="Times New Roman"/>
          <w:noProof/>
          <w:color w:val="333333"/>
        </w:rPr>
        <w:t xml:space="preserve">existing international standards in the field of AI </w:t>
      </w:r>
      <w:r w:rsidR="30B1C684" w:rsidRPr="00060229">
        <w:rPr>
          <w:noProof/>
        </w:rPr>
        <w:t>that are consistent with Union values, fundamental rights and interests”.</w:t>
      </w:r>
      <w:r w:rsidR="742F641B" w:rsidRPr="00060229">
        <w:rPr>
          <w:rFonts w:eastAsia="Times New Roman"/>
          <w:noProof/>
          <w:color w:val="FF0000"/>
        </w:rPr>
        <w:t xml:space="preserve"> </w:t>
      </w:r>
      <w:r w:rsidR="742F641B" w:rsidRPr="00060229">
        <w:rPr>
          <w:rFonts w:eastAsia="Times New Roman"/>
          <w:noProof/>
        </w:rPr>
        <w:t xml:space="preserve">The Recommendation will set out </w:t>
      </w:r>
      <w:r w:rsidR="69400A7A" w:rsidRPr="00060229">
        <w:rPr>
          <w:rFonts w:eastAsia="Times New Roman"/>
          <w:noProof/>
        </w:rPr>
        <w:t xml:space="preserve">guidance on the promotion of equality in the </w:t>
      </w:r>
      <w:r w:rsidR="00060229" w:rsidRPr="00060229">
        <w:rPr>
          <w:rFonts w:eastAsia="Times New Roman"/>
          <w:noProof/>
        </w:rPr>
        <w:t>life cycle</w:t>
      </w:r>
      <w:r w:rsidR="69400A7A" w:rsidRPr="00060229">
        <w:rPr>
          <w:rFonts w:eastAsia="Times New Roman"/>
          <w:noProof/>
        </w:rPr>
        <w:t xml:space="preserve"> of AI</w:t>
      </w:r>
      <w:r w:rsidR="00D641F7">
        <w:rPr>
          <w:rFonts w:eastAsia="Times New Roman"/>
          <w:noProof/>
        </w:rPr>
        <w:t xml:space="preserve"> systems</w:t>
      </w:r>
      <w:r w:rsidR="69400A7A" w:rsidRPr="00060229">
        <w:rPr>
          <w:rFonts w:eastAsia="Times New Roman"/>
          <w:noProof/>
        </w:rPr>
        <w:t xml:space="preserve">, which could constitute one of the benchmarks against which </w:t>
      </w:r>
      <w:r w:rsidR="00D641F7">
        <w:rPr>
          <w:rFonts w:eastAsia="Times New Roman"/>
          <w:noProof/>
        </w:rPr>
        <w:t xml:space="preserve">harmonised </w:t>
      </w:r>
      <w:r w:rsidR="0988E8CE" w:rsidRPr="00060229">
        <w:rPr>
          <w:rFonts w:eastAsia="Times New Roman"/>
          <w:noProof/>
        </w:rPr>
        <w:t>standards are assessed.</w:t>
      </w:r>
      <w:r w:rsidR="30B1C684" w:rsidRPr="00060229">
        <w:rPr>
          <w:rFonts w:eastAsia="Times New Roman"/>
          <w:noProof/>
        </w:rPr>
        <w:t xml:space="preserve"> </w:t>
      </w:r>
      <w:r w:rsidR="30B1C684" w:rsidRPr="00060229">
        <w:rPr>
          <w:rFonts w:eastAsia="Times New Roman"/>
          <w:noProof/>
          <w:color w:val="333333"/>
        </w:rPr>
        <w:t>At the same time, Article 56</w:t>
      </w:r>
      <w:r w:rsidR="1A22DEE9" w:rsidRPr="00060229">
        <w:rPr>
          <w:rFonts w:eastAsia="Times New Roman"/>
          <w:noProof/>
          <w:color w:val="333333"/>
        </w:rPr>
        <w:t xml:space="preserve">(1) </w:t>
      </w:r>
      <w:r w:rsidR="00D641F7">
        <w:rPr>
          <w:rFonts w:eastAsia="Times New Roman"/>
          <w:noProof/>
          <w:color w:val="333333"/>
        </w:rPr>
        <w:t xml:space="preserve">AI Act requires </w:t>
      </w:r>
      <w:r w:rsidR="77378C3B" w:rsidRPr="00060229">
        <w:rPr>
          <w:rFonts w:eastAsia="Times New Roman"/>
          <w:noProof/>
          <w:color w:val="333333"/>
        </w:rPr>
        <w:t xml:space="preserve">the AI Office </w:t>
      </w:r>
      <w:r w:rsidR="1A22DEE9" w:rsidRPr="00060229">
        <w:rPr>
          <w:rFonts w:eastAsia="Times New Roman"/>
          <w:noProof/>
          <w:color w:val="333333"/>
        </w:rPr>
        <w:t>to take into account “international approaches”</w:t>
      </w:r>
      <w:r w:rsidR="30B1C684" w:rsidRPr="00060229">
        <w:rPr>
          <w:rFonts w:eastAsia="Times New Roman"/>
          <w:noProof/>
          <w:color w:val="333333"/>
        </w:rPr>
        <w:t xml:space="preserve"> </w:t>
      </w:r>
      <w:r w:rsidR="06A7C80C" w:rsidRPr="00060229">
        <w:rPr>
          <w:rFonts w:eastAsia="Times New Roman"/>
          <w:noProof/>
          <w:color w:val="333333"/>
        </w:rPr>
        <w:t>when facilitat</w:t>
      </w:r>
      <w:r w:rsidR="7ABB3691" w:rsidRPr="00060229">
        <w:rPr>
          <w:rFonts w:eastAsia="Times New Roman"/>
          <w:noProof/>
          <w:color w:val="333333"/>
        </w:rPr>
        <w:t>ing</w:t>
      </w:r>
      <w:r w:rsidR="06A7C80C" w:rsidRPr="00060229">
        <w:rPr>
          <w:rFonts w:eastAsia="Times New Roman"/>
          <w:noProof/>
          <w:color w:val="333333"/>
        </w:rPr>
        <w:t xml:space="preserve"> the drawing up of codes of practice at Union level</w:t>
      </w:r>
      <w:r w:rsidR="17CD7E80" w:rsidRPr="00060229">
        <w:rPr>
          <w:rFonts w:eastAsia="Times New Roman"/>
          <w:noProof/>
          <w:color w:val="333333"/>
        </w:rPr>
        <w:t xml:space="preserve">. </w:t>
      </w:r>
      <w:r w:rsidR="00D641F7">
        <w:rPr>
          <w:rFonts w:eastAsia="Times New Roman"/>
          <w:noProof/>
          <w:color w:val="333333"/>
        </w:rPr>
        <w:t xml:space="preserve">The first Code of Practice on general purpose AI models has already been finalised and assessed by the Commission as adequate for providers of general purpose AI models to demonstrate compliance with the relevant obligations of the AI Act. </w:t>
      </w:r>
    </w:p>
    <w:p w:rsidR="008B09E0" w:rsidRPr="00480AB4" w:rsidRDefault="17CD7E80">
      <w:pPr>
        <w:rPr>
          <w:noProof/>
        </w:rPr>
      </w:pPr>
      <w:r w:rsidRPr="00060229">
        <w:rPr>
          <w:rFonts w:eastAsia="Times New Roman"/>
          <w:noProof/>
          <w:color w:val="333333"/>
        </w:rPr>
        <w:t>In accordance with Article 56(6)</w:t>
      </w:r>
      <w:r w:rsidR="0851F817" w:rsidRPr="00060229">
        <w:rPr>
          <w:rFonts w:eastAsia="Times New Roman"/>
          <w:noProof/>
          <w:color w:val="333333"/>
        </w:rPr>
        <w:t xml:space="preserve"> first </w:t>
      </w:r>
      <w:r w:rsidR="00A81BD6" w:rsidRPr="00060229">
        <w:rPr>
          <w:rFonts w:eastAsia="Times New Roman"/>
          <w:noProof/>
          <w:color w:val="333333"/>
        </w:rPr>
        <w:t>subparagraph</w:t>
      </w:r>
      <w:r w:rsidRPr="00060229">
        <w:rPr>
          <w:rFonts w:eastAsia="Times New Roman"/>
          <w:noProof/>
          <w:color w:val="333333"/>
        </w:rPr>
        <w:t xml:space="preserve"> of the AI Act, </w:t>
      </w:r>
      <w:r w:rsidR="50A6A80A" w:rsidRPr="00060229">
        <w:rPr>
          <w:rFonts w:eastAsia="Times New Roman"/>
          <w:noProof/>
          <w:color w:val="333333"/>
        </w:rPr>
        <w:t xml:space="preserve">the AI Office and the Board </w:t>
      </w:r>
      <w:r w:rsidR="00D641F7">
        <w:rPr>
          <w:rFonts w:eastAsia="Times New Roman"/>
          <w:noProof/>
          <w:color w:val="333333"/>
        </w:rPr>
        <w:t>must</w:t>
      </w:r>
      <w:r w:rsidR="50A6A80A" w:rsidRPr="00060229">
        <w:rPr>
          <w:rFonts w:eastAsia="Times New Roman"/>
          <w:noProof/>
          <w:color w:val="333333"/>
        </w:rPr>
        <w:t xml:space="preserve"> regularly monitor and evaluate the achievement of the objectives of the codes of practice by the participants and their contribution to the proper application of this Regulation. </w:t>
      </w:r>
    </w:p>
    <w:p w:rsidR="008B09E0" w:rsidRPr="00A81BD6" w:rsidRDefault="15782048" w:rsidP="68181953">
      <w:pPr>
        <w:rPr>
          <w:noProof/>
        </w:rPr>
      </w:pPr>
      <w:r w:rsidRPr="00A81BD6">
        <w:rPr>
          <w:noProof/>
        </w:rPr>
        <w:t>At the envisaged time of adoption of the Reco</w:t>
      </w:r>
      <w:r w:rsidR="1393BCC5" w:rsidRPr="00A81BD6">
        <w:rPr>
          <w:noProof/>
        </w:rPr>
        <w:t xml:space="preserve">mmendation, the work on the harmonised standards </w:t>
      </w:r>
      <w:r w:rsidR="2C006522" w:rsidRPr="00A81BD6">
        <w:rPr>
          <w:noProof/>
        </w:rPr>
        <w:t>will have advanced and the AI Act’s Code of Practice</w:t>
      </w:r>
      <w:r w:rsidR="4D9AEA29" w:rsidRPr="00A81BD6">
        <w:rPr>
          <w:noProof/>
        </w:rPr>
        <w:t xml:space="preserve"> for general-purpose AI </w:t>
      </w:r>
      <w:r w:rsidR="4D9AEA29" w:rsidRPr="00190DEF">
        <w:rPr>
          <w:noProof/>
        </w:rPr>
        <w:t>models</w:t>
      </w:r>
      <w:r w:rsidR="2C006522" w:rsidRPr="00190DEF">
        <w:rPr>
          <w:noProof/>
        </w:rPr>
        <w:t xml:space="preserve"> </w:t>
      </w:r>
      <w:r w:rsidR="1B03A4C6" w:rsidRPr="00190DEF">
        <w:rPr>
          <w:noProof/>
        </w:rPr>
        <w:t xml:space="preserve">has </w:t>
      </w:r>
      <w:r w:rsidR="09E1685A" w:rsidRPr="00190DEF">
        <w:rPr>
          <w:noProof/>
        </w:rPr>
        <w:t>already been</w:t>
      </w:r>
      <w:r w:rsidR="2C006522" w:rsidRPr="00190DEF">
        <w:rPr>
          <w:noProof/>
        </w:rPr>
        <w:t xml:space="preserve"> finalised.</w:t>
      </w:r>
      <w:r w:rsidR="730AF8F7" w:rsidRPr="00190DEF">
        <w:rPr>
          <w:noProof/>
        </w:rPr>
        <w:t xml:space="preserve"> </w:t>
      </w:r>
      <w:r w:rsidR="49BDDDF8" w:rsidRPr="00190DEF">
        <w:rPr>
          <w:noProof/>
        </w:rPr>
        <w:t>T</w:t>
      </w:r>
      <w:r w:rsidR="4F25FB04" w:rsidRPr="00190DEF">
        <w:rPr>
          <w:noProof/>
        </w:rPr>
        <w:t>he Recommendation</w:t>
      </w:r>
      <w:r w:rsidR="2743B7B6" w:rsidRPr="00190DEF">
        <w:rPr>
          <w:noProof/>
        </w:rPr>
        <w:t xml:space="preserve"> might be</w:t>
      </w:r>
      <w:r w:rsidR="46CACF1D" w:rsidRPr="00190DEF">
        <w:rPr>
          <w:noProof/>
        </w:rPr>
        <w:t xml:space="preserve"> relevant </w:t>
      </w:r>
      <w:r w:rsidR="46CACF1D" w:rsidRPr="00A81BD6">
        <w:rPr>
          <w:noProof/>
        </w:rPr>
        <w:t xml:space="preserve">for future </w:t>
      </w:r>
      <w:r w:rsidR="3806F11D" w:rsidRPr="00A81BD6">
        <w:rPr>
          <w:noProof/>
        </w:rPr>
        <w:t xml:space="preserve">updates of the Code of Practice </w:t>
      </w:r>
      <w:r w:rsidR="3D0882E6" w:rsidRPr="00A81BD6">
        <w:rPr>
          <w:noProof/>
        </w:rPr>
        <w:t>and the standard</w:t>
      </w:r>
      <w:r w:rsidR="6E6DB1D7" w:rsidRPr="00A81BD6">
        <w:rPr>
          <w:noProof/>
        </w:rPr>
        <w:t>s</w:t>
      </w:r>
      <w:r w:rsidR="46CACF1D" w:rsidRPr="00A81BD6">
        <w:rPr>
          <w:noProof/>
        </w:rPr>
        <w:t>.</w:t>
      </w:r>
    </w:p>
    <w:p w:rsidR="00D16F8B" w:rsidRDefault="00D16F8B" w:rsidP="0057479C">
      <w:pPr>
        <w:rPr>
          <w:noProof/>
        </w:rPr>
      </w:pPr>
      <w:r w:rsidRPr="00A81BD6">
        <w:rPr>
          <w:noProof/>
        </w:rPr>
        <w:t>Therefore, the procedural legal basis for the proposed decision is Article 218(9) TFEU.</w:t>
      </w:r>
    </w:p>
    <w:p w:rsidR="00190DEF" w:rsidRPr="00A81BD6" w:rsidRDefault="00190DEF" w:rsidP="0057479C">
      <w:pPr>
        <w:rPr>
          <w:noProof/>
        </w:rPr>
      </w:pPr>
    </w:p>
    <w:p w:rsidR="00D16F8B" w:rsidRPr="00A81BD6" w:rsidRDefault="00494AE7" w:rsidP="00494AE7">
      <w:pPr>
        <w:pStyle w:val="ManualHeading2"/>
        <w:rPr>
          <w:noProof/>
        </w:rPr>
      </w:pPr>
      <w:r w:rsidRPr="00494AE7">
        <w:rPr>
          <w:noProof/>
        </w:rPr>
        <w:t>4.2.</w:t>
      </w:r>
      <w:r w:rsidRPr="00494AE7">
        <w:rPr>
          <w:noProof/>
        </w:rPr>
        <w:tab/>
      </w:r>
      <w:r w:rsidR="00D16F8B" w:rsidRPr="00A81BD6">
        <w:rPr>
          <w:noProof/>
        </w:rPr>
        <w:t>Substantive legal basis</w:t>
      </w:r>
    </w:p>
    <w:p w:rsidR="00D16F8B" w:rsidRPr="00A81BD6" w:rsidRDefault="00494AE7" w:rsidP="00494AE7">
      <w:pPr>
        <w:pStyle w:val="ManualHeading3"/>
        <w:rPr>
          <w:noProof/>
        </w:rPr>
      </w:pPr>
      <w:r w:rsidRPr="00494AE7">
        <w:rPr>
          <w:noProof/>
        </w:rPr>
        <w:t>4.2.1.</w:t>
      </w:r>
      <w:r w:rsidRPr="00494AE7">
        <w:rPr>
          <w:noProof/>
        </w:rPr>
        <w:tab/>
      </w:r>
      <w:r w:rsidR="00D16F8B" w:rsidRPr="00A81BD6">
        <w:rPr>
          <w:noProof/>
        </w:rPr>
        <w:t>Principles</w:t>
      </w:r>
    </w:p>
    <w:p w:rsidR="00D16F8B" w:rsidRPr="00A81BD6" w:rsidRDefault="00D16F8B" w:rsidP="0057479C">
      <w:pPr>
        <w:rPr>
          <w:noProof/>
        </w:rPr>
      </w:pPr>
      <w:r w:rsidRPr="00A81BD6">
        <w:rPr>
          <w:noProof/>
        </w:rPr>
        <w:t>The substantive legal basis for a decision under Article 218(9) TFEU depends primarily on the objective and content of the envisaged act in respect of which a position is taken on the Union's behalf. If the envisaged act pursues two aims or has two components and if one of those aims or components is identifiable as the main one, whereas the other is merely incidental, the decision under Article 218(9) TFEU must be founded on a single substantive legal basis, namely that required by the main or predominant aim or component.</w:t>
      </w:r>
    </w:p>
    <w:p w:rsidR="00D16F8B" w:rsidRPr="00A81BD6" w:rsidRDefault="00494AE7" w:rsidP="00494AE7">
      <w:pPr>
        <w:pStyle w:val="ManualHeading3"/>
        <w:rPr>
          <w:noProof/>
        </w:rPr>
      </w:pPr>
      <w:r w:rsidRPr="00494AE7">
        <w:rPr>
          <w:noProof/>
        </w:rPr>
        <w:t>4.2.2.</w:t>
      </w:r>
      <w:r w:rsidRPr="00494AE7">
        <w:rPr>
          <w:noProof/>
        </w:rPr>
        <w:tab/>
      </w:r>
      <w:r w:rsidR="00D16F8B" w:rsidRPr="00A81BD6">
        <w:rPr>
          <w:noProof/>
        </w:rPr>
        <w:t>Application to the present case</w:t>
      </w:r>
    </w:p>
    <w:p w:rsidR="009A512A" w:rsidRPr="00A81BD6" w:rsidRDefault="00D16F8B" w:rsidP="0057479C">
      <w:pPr>
        <w:rPr>
          <w:noProof/>
        </w:rPr>
      </w:pPr>
      <w:r w:rsidRPr="00A81BD6">
        <w:rPr>
          <w:noProof/>
        </w:rPr>
        <w:t xml:space="preserve">The </w:t>
      </w:r>
      <w:r w:rsidR="00246CC7" w:rsidRPr="00A81BD6">
        <w:rPr>
          <w:noProof/>
        </w:rPr>
        <w:t>stated</w:t>
      </w:r>
      <w:r w:rsidRPr="00A81BD6">
        <w:rPr>
          <w:noProof/>
        </w:rPr>
        <w:t xml:space="preserve"> objective of the envisaged </w:t>
      </w:r>
      <w:r w:rsidR="00246CC7" w:rsidRPr="00A81BD6">
        <w:rPr>
          <w:noProof/>
        </w:rPr>
        <w:t>Recommendation</w:t>
      </w:r>
      <w:r w:rsidRPr="00A81BD6">
        <w:rPr>
          <w:noProof/>
        </w:rPr>
        <w:t xml:space="preserve"> </w:t>
      </w:r>
      <w:r w:rsidR="00246CC7" w:rsidRPr="00A81BD6">
        <w:rPr>
          <w:noProof/>
        </w:rPr>
        <w:t xml:space="preserve">is </w:t>
      </w:r>
      <w:r w:rsidR="00B027AB" w:rsidRPr="00A81BD6">
        <w:rPr>
          <w:noProof/>
        </w:rPr>
        <w:t xml:space="preserve">to </w:t>
      </w:r>
      <w:r w:rsidR="00246CC7" w:rsidRPr="00A81BD6">
        <w:rPr>
          <w:noProof/>
        </w:rPr>
        <w:t>“</w:t>
      </w:r>
      <w:r w:rsidR="00246CC7" w:rsidRPr="00A81BD6">
        <w:rPr>
          <w:i/>
          <w:iCs/>
          <w:noProof/>
        </w:rPr>
        <w:t xml:space="preserve">assist Member States in their actions </w:t>
      </w:r>
      <w:r w:rsidR="00290D9D" w:rsidRPr="00A81BD6">
        <w:rPr>
          <w:i/>
          <w:iCs/>
          <w:noProof/>
        </w:rPr>
        <w:t>to</w:t>
      </w:r>
      <w:r w:rsidR="00C46DD7" w:rsidRPr="00A81BD6">
        <w:rPr>
          <w:i/>
          <w:iCs/>
          <w:noProof/>
        </w:rPr>
        <w:t xml:space="preserve"> promote equality, including gender equality, and to prevent and combat all forms of discrimination, in all their activities and those of public and private sector actors within the lifecycle of AI systems</w:t>
      </w:r>
      <w:r w:rsidR="00C46DD7" w:rsidRPr="00A81BD6">
        <w:rPr>
          <w:noProof/>
        </w:rPr>
        <w:t>”.</w:t>
      </w:r>
      <w:r w:rsidR="00246CC7" w:rsidRPr="00A81BD6">
        <w:rPr>
          <w:noProof/>
        </w:rPr>
        <w:t xml:space="preserve"> </w:t>
      </w:r>
    </w:p>
    <w:p w:rsidR="00B04339" w:rsidRPr="00A81BD6" w:rsidRDefault="00B027AB" w:rsidP="0057479C">
      <w:pPr>
        <w:rPr>
          <w:noProof/>
        </w:rPr>
      </w:pPr>
      <w:r w:rsidRPr="00A81BD6">
        <w:rPr>
          <w:noProof/>
        </w:rPr>
        <w:t>This aligns with the purpose of the AI Act, which is to “</w:t>
      </w:r>
      <w:r w:rsidRPr="00A81BD6">
        <w:rPr>
          <w:i/>
          <w:iCs/>
          <w:noProof/>
        </w:rPr>
        <w:t>improve the functioning of the internal market by laying down a uniform legal framework in particular for the development, the placing on the market, the putting into service and the use of artificial intelligence systems in the Union,</w:t>
      </w:r>
      <w:r w:rsidR="00F04303" w:rsidRPr="00A81BD6">
        <w:rPr>
          <w:i/>
          <w:iCs/>
          <w:noProof/>
        </w:rPr>
        <w:t xml:space="preserve"> in accordance with Union values, to promote the uptake of human centric and trustworthy artificial intelligence while ensuring a high level of protection of health, safety, fundamental rights as enshrined in the Charter of Fundamental Rights of the European Union, including democracy, the rule of law and environmental protection, to protect against the harmful effects of AI systems in the Union, and to support innovation</w:t>
      </w:r>
      <w:r w:rsidR="00F04303" w:rsidRPr="00A81BD6">
        <w:rPr>
          <w:noProof/>
        </w:rPr>
        <w:t xml:space="preserve">”. </w:t>
      </w:r>
    </w:p>
    <w:p w:rsidR="009A40D5" w:rsidRPr="00A81BD6" w:rsidRDefault="009A40D5" w:rsidP="009A40D5">
      <w:pPr>
        <w:rPr>
          <w:noProof/>
        </w:rPr>
      </w:pPr>
      <w:r w:rsidRPr="00A81BD6">
        <w:rPr>
          <w:noProof/>
        </w:rPr>
        <w:t xml:space="preserve">The Recommendation overlaps </w:t>
      </w:r>
      <w:r w:rsidR="00E92009" w:rsidRPr="00A81BD6">
        <w:rPr>
          <w:noProof/>
        </w:rPr>
        <w:t>mostly</w:t>
      </w:r>
      <w:r w:rsidRPr="00A81BD6">
        <w:rPr>
          <w:noProof/>
        </w:rPr>
        <w:t xml:space="preserve"> with the AI Act</w:t>
      </w:r>
      <w:r w:rsidR="007559D7" w:rsidRPr="00A81BD6">
        <w:rPr>
          <w:noProof/>
        </w:rPr>
        <w:t>, in particular</w:t>
      </w:r>
      <w:r w:rsidRPr="00A81BD6">
        <w:rPr>
          <w:noProof/>
        </w:rPr>
        <w:t>:</w:t>
      </w:r>
    </w:p>
    <w:p w:rsidR="16740F38" w:rsidRPr="00A81BD6" w:rsidRDefault="2108FC6A" w:rsidP="00190DEF">
      <w:pPr>
        <w:pStyle w:val="Bullet1"/>
        <w:rPr>
          <w:noProof/>
        </w:rPr>
      </w:pPr>
      <w:r w:rsidRPr="00A81BD6">
        <w:rPr>
          <w:noProof/>
        </w:rPr>
        <w:t xml:space="preserve">The Recommendation </w:t>
      </w:r>
      <w:r w:rsidRPr="00480AB4">
        <w:rPr>
          <w:noProof/>
        </w:rPr>
        <w:t xml:space="preserve">aims at combating inequality stemming from </w:t>
      </w:r>
      <w:r w:rsidR="7C63F890" w:rsidRPr="00480AB4">
        <w:rPr>
          <w:noProof/>
        </w:rPr>
        <w:t>AI</w:t>
      </w:r>
      <w:r w:rsidR="00190DEF">
        <w:rPr>
          <w:noProof/>
        </w:rPr>
        <w:t>,</w:t>
      </w:r>
      <w:r w:rsidR="31B211B3" w:rsidRPr="00480AB4">
        <w:rPr>
          <w:noProof/>
        </w:rPr>
        <w:t xml:space="preserve"> which is similar to the objective of th</w:t>
      </w:r>
      <w:r w:rsidR="6EEB13CD" w:rsidRPr="00480AB4">
        <w:rPr>
          <w:noProof/>
        </w:rPr>
        <w:t>e</w:t>
      </w:r>
      <w:r w:rsidR="31B211B3" w:rsidRPr="00480AB4">
        <w:rPr>
          <w:noProof/>
        </w:rPr>
        <w:t xml:space="preserve"> AI A</w:t>
      </w:r>
      <w:r w:rsidR="3BB532A0" w:rsidRPr="00480AB4">
        <w:rPr>
          <w:noProof/>
        </w:rPr>
        <w:t>c</w:t>
      </w:r>
      <w:r w:rsidR="31B211B3" w:rsidRPr="00480AB4">
        <w:rPr>
          <w:noProof/>
        </w:rPr>
        <w:t>t</w:t>
      </w:r>
      <w:r w:rsidR="00190DEF">
        <w:rPr>
          <w:noProof/>
        </w:rPr>
        <w:t>, i.e.</w:t>
      </w:r>
      <w:r w:rsidR="31B211B3" w:rsidRPr="00480AB4">
        <w:rPr>
          <w:noProof/>
        </w:rPr>
        <w:t xml:space="preserve"> to </w:t>
      </w:r>
      <w:r w:rsidR="545CE1A9" w:rsidRPr="00480AB4">
        <w:rPr>
          <w:noProof/>
        </w:rPr>
        <w:t xml:space="preserve">ensure </w:t>
      </w:r>
      <w:r w:rsidR="31B211B3" w:rsidRPr="00480AB4">
        <w:rPr>
          <w:noProof/>
        </w:rPr>
        <w:t xml:space="preserve">a high level of protection of the </w:t>
      </w:r>
      <w:r w:rsidR="4E0DA1A6" w:rsidRPr="00480AB4">
        <w:rPr>
          <w:noProof/>
        </w:rPr>
        <w:t xml:space="preserve">fundamental rights enshrined in the </w:t>
      </w:r>
      <w:r w:rsidR="283AE1EB" w:rsidRPr="00480AB4">
        <w:rPr>
          <w:noProof/>
        </w:rPr>
        <w:t xml:space="preserve">EU </w:t>
      </w:r>
      <w:r w:rsidR="4E0DA1A6" w:rsidRPr="00480AB4">
        <w:rPr>
          <w:noProof/>
        </w:rPr>
        <w:t>Charter</w:t>
      </w:r>
      <w:r w:rsidR="1144B64E" w:rsidRPr="00480AB4">
        <w:rPr>
          <w:noProof/>
        </w:rPr>
        <w:t xml:space="preserve"> of Fundamental Rights</w:t>
      </w:r>
      <w:r w:rsidR="4E0DA1A6" w:rsidRPr="00480AB4">
        <w:rPr>
          <w:noProof/>
        </w:rPr>
        <w:t>, including the rights to equality and non-discrimination, against the harmful effects of AI systems in the Union</w:t>
      </w:r>
      <w:r w:rsidRPr="00480AB4">
        <w:rPr>
          <w:noProof/>
        </w:rPr>
        <w:t>.</w:t>
      </w:r>
    </w:p>
    <w:p w:rsidR="009A40D5" w:rsidRPr="00A81BD6" w:rsidRDefault="009A40D5" w:rsidP="16740F38">
      <w:pPr>
        <w:pStyle w:val="Bullet1"/>
        <w:rPr>
          <w:noProof/>
        </w:rPr>
      </w:pPr>
      <w:r w:rsidRPr="00A81BD6">
        <w:rPr>
          <w:noProof/>
        </w:rPr>
        <w:t xml:space="preserve">The </w:t>
      </w:r>
      <w:r w:rsidR="007559D7" w:rsidRPr="00A81BD6">
        <w:rPr>
          <w:noProof/>
        </w:rPr>
        <w:t>personal and material</w:t>
      </w:r>
      <w:r w:rsidRPr="00A81BD6">
        <w:rPr>
          <w:noProof/>
        </w:rPr>
        <w:t xml:space="preserve"> scope for which the AI Act and (the measures in) the Recommendation are intended to apply </w:t>
      </w:r>
      <w:r w:rsidR="00575F18" w:rsidRPr="00A81BD6">
        <w:rPr>
          <w:noProof/>
        </w:rPr>
        <w:t>are</w:t>
      </w:r>
      <w:r w:rsidR="00E2595C" w:rsidRPr="00A81BD6">
        <w:rPr>
          <w:noProof/>
        </w:rPr>
        <w:t xml:space="preserve"> </w:t>
      </w:r>
      <w:r w:rsidR="006A154F" w:rsidRPr="00A81BD6">
        <w:rPr>
          <w:noProof/>
        </w:rPr>
        <w:t>essentially the same</w:t>
      </w:r>
      <w:r w:rsidR="00E2595C" w:rsidRPr="00A81BD6">
        <w:rPr>
          <w:noProof/>
        </w:rPr>
        <w:t xml:space="preserve">, </w:t>
      </w:r>
      <w:r w:rsidRPr="00A81BD6">
        <w:rPr>
          <w:noProof/>
        </w:rPr>
        <w:t>namely</w:t>
      </w:r>
      <w:r w:rsidR="00745BFD" w:rsidRPr="00A81BD6">
        <w:rPr>
          <w:noProof/>
        </w:rPr>
        <w:t xml:space="preserve"> public and private actors that develop or deploy AI and</w:t>
      </w:r>
      <w:r w:rsidRPr="00A81BD6">
        <w:rPr>
          <w:noProof/>
        </w:rPr>
        <w:t xml:space="preserve"> activities within the lifecycle of AI systems. </w:t>
      </w:r>
    </w:p>
    <w:p w:rsidR="009A40D5" w:rsidRPr="00A81BD6" w:rsidRDefault="009A40D5" w:rsidP="009A40D5">
      <w:pPr>
        <w:pStyle w:val="Bullet1"/>
        <w:rPr>
          <w:noProof/>
        </w:rPr>
      </w:pPr>
      <w:r w:rsidRPr="00A81BD6">
        <w:rPr>
          <w:noProof/>
        </w:rPr>
        <w:t>A similar graduated and differentiated approach</w:t>
      </w:r>
      <w:r w:rsidR="007F0325" w:rsidRPr="00A81BD6">
        <w:rPr>
          <w:noProof/>
        </w:rPr>
        <w:t xml:space="preserve"> to AI systems</w:t>
      </w:r>
      <w:r w:rsidRPr="00A81BD6">
        <w:rPr>
          <w:noProof/>
        </w:rPr>
        <w:t xml:space="preserve"> is </w:t>
      </w:r>
      <w:r w:rsidR="00EF757B" w:rsidRPr="00A81BD6">
        <w:rPr>
          <w:noProof/>
        </w:rPr>
        <w:t xml:space="preserve">taken </w:t>
      </w:r>
      <w:r w:rsidRPr="00A81BD6">
        <w:rPr>
          <w:noProof/>
        </w:rPr>
        <w:t xml:space="preserve">in </w:t>
      </w:r>
      <w:r w:rsidR="0059077B" w:rsidRPr="00A81BD6">
        <w:rPr>
          <w:noProof/>
        </w:rPr>
        <w:t>both</w:t>
      </w:r>
      <w:r w:rsidR="00D16FC0" w:rsidRPr="00A81BD6">
        <w:rPr>
          <w:noProof/>
        </w:rPr>
        <w:t xml:space="preserve"> the AI Act</w:t>
      </w:r>
      <w:r w:rsidR="0059077B" w:rsidRPr="00A81BD6">
        <w:rPr>
          <w:noProof/>
        </w:rPr>
        <w:t xml:space="preserve"> </w:t>
      </w:r>
      <w:r w:rsidR="00D16FC0" w:rsidRPr="00A81BD6">
        <w:rPr>
          <w:noProof/>
        </w:rPr>
        <w:t>and</w:t>
      </w:r>
      <w:r w:rsidR="00190DEF">
        <w:rPr>
          <w:noProof/>
        </w:rPr>
        <w:t xml:space="preserve"> </w:t>
      </w:r>
      <w:r w:rsidRPr="00A81BD6">
        <w:rPr>
          <w:noProof/>
        </w:rPr>
        <w:t xml:space="preserve">the Recommendation, in line with the Framework Convention on AI;  </w:t>
      </w:r>
    </w:p>
    <w:p w:rsidR="009A40D5" w:rsidRPr="00A81BD6" w:rsidRDefault="009A40D5" w:rsidP="009A40D5">
      <w:pPr>
        <w:pStyle w:val="Bullet1"/>
        <w:rPr>
          <w:noProof/>
        </w:rPr>
      </w:pPr>
      <w:r w:rsidRPr="00A81BD6">
        <w:rPr>
          <w:noProof/>
        </w:rPr>
        <w:t>T</w:t>
      </w:r>
      <w:r w:rsidR="00B830FE" w:rsidRPr="00A81BD6">
        <w:rPr>
          <w:noProof/>
        </w:rPr>
        <w:t>he Recommendation sets out t</w:t>
      </w:r>
      <w:r w:rsidRPr="00A81BD6">
        <w:rPr>
          <w:noProof/>
        </w:rPr>
        <w:t>ransparency and (human) oversight requirements for the identification, prevention and combat</w:t>
      </w:r>
      <w:r w:rsidR="00190DEF">
        <w:rPr>
          <w:noProof/>
        </w:rPr>
        <w:t>ting</w:t>
      </w:r>
      <w:r w:rsidRPr="00A81BD6">
        <w:rPr>
          <w:noProof/>
        </w:rPr>
        <w:t xml:space="preserve"> of discrimination following activities within the lifecycle of AI systems</w:t>
      </w:r>
      <w:r w:rsidR="0055705B" w:rsidRPr="00A81BD6">
        <w:rPr>
          <w:noProof/>
        </w:rPr>
        <w:t xml:space="preserve"> which are similar to those laid down in</w:t>
      </w:r>
      <w:r w:rsidRPr="00A81BD6">
        <w:rPr>
          <w:noProof/>
        </w:rPr>
        <w:t xml:space="preserve"> the AI Act</w:t>
      </w:r>
      <w:r w:rsidR="0055705B" w:rsidRPr="00A81BD6">
        <w:rPr>
          <w:noProof/>
        </w:rPr>
        <w:t>, in particular</w:t>
      </w:r>
      <w:r w:rsidRPr="00A81BD6">
        <w:rPr>
          <w:noProof/>
        </w:rPr>
        <w:t xml:space="preserve"> in, among others, its Articles 13, 14, 49, 50 and 86; </w:t>
      </w:r>
    </w:p>
    <w:p w:rsidR="009A40D5" w:rsidRPr="00A81BD6" w:rsidRDefault="009A40D5" w:rsidP="16740F38">
      <w:pPr>
        <w:pStyle w:val="Bullet1"/>
        <w:rPr>
          <w:noProof/>
        </w:rPr>
      </w:pPr>
      <w:r w:rsidRPr="00A81BD6">
        <w:rPr>
          <w:noProof/>
        </w:rPr>
        <w:t>The Recommendation</w:t>
      </w:r>
      <w:r w:rsidR="00F71A72" w:rsidRPr="00A81BD6">
        <w:rPr>
          <w:noProof/>
        </w:rPr>
        <w:t>’s</w:t>
      </w:r>
      <w:r w:rsidRPr="00A81BD6">
        <w:rPr>
          <w:noProof/>
        </w:rPr>
        <w:t xml:space="preserve"> requirements to identify, evaluate, mitigate and monitor discrimination risks</w:t>
      </w:r>
      <w:r w:rsidR="00A75D3D" w:rsidRPr="00A81BD6">
        <w:rPr>
          <w:noProof/>
        </w:rPr>
        <w:t xml:space="preserve"> are similar to</w:t>
      </w:r>
      <w:r w:rsidRPr="00A81BD6">
        <w:rPr>
          <w:noProof/>
        </w:rPr>
        <w:t xml:space="preserve"> the AI Act</w:t>
      </w:r>
      <w:r w:rsidR="00A75D3D" w:rsidRPr="00A81BD6">
        <w:rPr>
          <w:noProof/>
        </w:rPr>
        <w:t>’s</w:t>
      </w:r>
      <w:r w:rsidRPr="00A81BD6">
        <w:rPr>
          <w:noProof/>
        </w:rPr>
        <w:t xml:space="preserve"> requirements</w:t>
      </w:r>
      <w:r w:rsidR="225EF942" w:rsidRPr="00A81BD6">
        <w:rPr>
          <w:noProof/>
        </w:rPr>
        <w:t xml:space="preserve"> and obligations</w:t>
      </w:r>
      <w:r w:rsidR="225EF942" w:rsidRPr="00480AB4">
        <w:rPr>
          <w:noProof/>
        </w:rPr>
        <w:t xml:space="preserve"> for providers or deployers of high-risk</w:t>
      </w:r>
      <w:r w:rsidRPr="00A81BD6">
        <w:rPr>
          <w:noProof/>
        </w:rPr>
        <w:t xml:space="preserve"> </w:t>
      </w:r>
      <w:r w:rsidR="7E873A11" w:rsidRPr="00A81BD6">
        <w:rPr>
          <w:noProof/>
        </w:rPr>
        <w:t>AI systems</w:t>
      </w:r>
      <w:r w:rsidR="00A75D3D" w:rsidRPr="00A81BD6">
        <w:rPr>
          <w:noProof/>
        </w:rPr>
        <w:t>,</w:t>
      </w:r>
      <w:r w:rsidR="7E873A11" w:rsidRPr="00A81BD6">
        <w:rPr>
          <w:noProof/>
        </w:rPr>
        <w:t xml:space="preserve"> </w:t>
      </w:r>
      <w:r w:rsidRPr="00A81BD6">
        <w:rPr>
          <w:noProof/>
        </w:rPr>
        <w:t>in</w:t>
      </w:r>
      <w:r w:rsidR="00A75D3D" w:rsidRPr="00A81BD6">
        <w:rPr>
          <w:noProof/>
        </w:rPr>
        <w:t xml:space="preserve"> particular in</w:t>
      </w:r>
      <w:r w:rsidRPr="00A81BD6">
        <w:rPr>
          <w:noProof/>
        </w:rPr>
        <w:t>, among others, its Articles 9, 10, 17</w:t>
      </w:r>
      <w:r w:rsidR="4AC4EA59" w:rsidRPr="00A81BD6">
        <w:rPr>
          <w:noProof/>
        </w:rPr>
        <w:t>,</w:t>
      </w:r>
      <w:r w:rsidRPr="00A81BD6">
        <w:rPr>
          <w:noProof/>
        </w:rPr>
        <w:t>26</w:t>
      </w:r>
      <w:r w:rsidR="12D764F2" w:rsidRPr="00A81BD6">
        <w:rPr>
          <w:noProof/>
        </w:rPr>
        <w:t xml:space="preserve"> and 27</w:t>
      </w:r>
      <w:r w:rsidRPr="00A81BD6">
        <w:rPr>
          <w:noProof/>
        </w:rPr>
        <w:t xml:space="preserve">; </w:t>
      </w:r>
      <w:r w:rsidR="5877603A" w:rsidRPr="00A81BD6">
        <w:rPr>
          <w:noProof/>
        </w:rPr>
        <w:t>provisions in relation to standards are also include</w:t>
      </w:r>
      <w:r w:rsidR="00A14B80" w:rsidRPr="00480AB4">
        <w:rPr>
          <w:noProof/>
        </w:rPr>
        <w:t>d in the Recommendation</w:t>
      </w:r>
      <w:r w:rsidR="005940FE" w:rsidRPr="00480AB4">
        <w:rPr>
          <w:noProof/>
        </w:rPr>
        <w:t>, which resemble those</w:t>
      </w:r>
      <w:r w:rsidR="5877603A" w:rsidRPr="00A81BD6">
        <w:rPr>
          <w:noProof/>
        </w:rPr>
        <w:t xml:space="preserve"> related to Union harmonised standards in </w:t>
      </w:r>
      <w:r w:rsidR="605BB9A0" w:rsidRPr="00A81BD6">
        <w:rPr>
          <w:noProof/>
        </w:rPr>
        <w:t xml:space="preserve">Article </w:t>
      </w:r>
      <w:r w:rsidR="605BB9A0" w:rsidRPr="00A81BD6">
        <w:rPr>
          <w:rFonts w:eastAsia="Times New Roman"/>
          <w:noProof/>
          <w:szCs w:val="24"/>
        </w:rPr>
        <w:t>40 to 49.</w:t>
      </w:r>
    </w:p>
    <w:p w:rsidR="009A40D5" w:rsidRPr="00A81BD6" w:rsidRDefault="00F71A72" w:rsidP="009A40D5">
      <w:pPr>
        <w:pStyle w:val="Bullet1"/>
        <w:rPr>
          <w:noProof/>
        </w:rPr>
      </w:pPr>
      <w:r w:rsidRPr="00A81BD6">
        <w:rPr>
          <w:noProof/>
        </w:rPr>
        <w:t xml:space="preserve">The Recommendation contains </w:t>
      </w:r>
      <w:r w:rsidR="000A7713" w:rsidRPr="00A81BD6">
        <w:rPr>
          <w:noProof/>
        </w:rPr>
        <w:t>m</w:t>
      </w:r>
      <w:r w:rsidR="009A40D5" w:rsidRPr="00A81BD6">
        <w:rPr>
          <w:noProof/>
        </w:rPr>
        <w:t>easures in relation to documentation, procedural safeguards and remedies</w:t>
      </w:r>
      <w:r w:rsidR="008339CB" w:rsidRPr="00A81BD6">
        <w:rPr>
          <w:noProof/>
        </w:rPr>
        <w:t xml:space="preserve"> which are similar to those in</w:t>
      </w:r>
      <w:r w:rsidR="000A7713" w:rsidRPr="00A81BD6">
        <w:rPr>
          <w:noProof/>
        </w:rPr>
        <w:t xml:space="preserve"> the AI Act</w:t>
      </w:r>
      <w:r w:rsidR="008339CB" w:rsidRPr="00A81BD6">
        <w:rPr>
          <w:noProof/>
        </w:rPr>
        <w:t>, in particular in</w:t>
      </w:r>
      <w:r w:rsidR="009A40D5" w:rsidRPr="00A81BD6">
        <w:rPr>
          <w:noProof/>
        </w:rPr>
        <w:t xml:space="preserve"> Articles 11, 12, 26, 53, 85, 86 of the AI Act). </w:t>
      </w:r>
    </w:p>
    <w:p w:rsidR="009048C0" w:rsidRPr="00190DEF" w:rsidRDefault="4EF7DD5C" w:rsidP="004707E8">
      <w:pPr>
        <w:pStyle w:val="Bullet1"/>
        <w:rPr>
          <w:rFonts w:eastAsia="Times New Roman"/>
          <w:noProof/>
        </w:rPr>
      </w:pPr>
      <w:r w:rsidRPr="00A81BD6">
        <w:rPr>
          <w:rFonts w:eastAsia="Times New Roman"/>
          <w:noProof/>
        </w:rPr>
        <w:t xml:space="preserve">The Recommendation identifies </w:t>
      </w:r>
      <w:r w:rsidR="5591F20B" w:rsidRPr="00480AB4">
        <w:rPr>
          <w:rFonts w:eastAsia="Times New Roman"/>
          <w:noProof/>
        </w:rPr>
        <w:t xml:space="preserve">target </w:t>
      </w:r>
      <w:r w:rsidRPr="00A81BD6">
        <w:rPr>
          <w:rFonts w:eastAsia="Times New Roman"/>
          <w:noProof/>
        </w:rPr>
        <w:t xml:space="preserve">sectors </w:t>
      </w:r>
      <w:r w:rsidR="3B118872" w:rsidRPr="00480AB4">
        <w:rPr>
          <w:rFonts w:eastAsia="Times New Roman"/>
          <w:noProof/>
        </w:rPr>
        <w:t xml:space="preserve">to mainstream equality </w:t>
      </w:r>
      <w:r w:rsidRPr="00A81BD6">
        <w:rPr>
          <w:rFonts w:eastAsia="Times New Roman"/>
          <w:noProof/>
        </w:rPr>
        <w:t xml:space="preserve">and requires measures where the risks of discrimination are particularly acute </w:t>
      </w:r>
      <w:r w:rsidR="286422F9" w:rsidRPr="00480AB4">
        <w:rPr>
          <w:rFonts w:eastAsia="Times New Roman"/>
          <w:noProof/>
        </w:rPr>
        <w:t>which partly overlap</w:t>
      </w:r>
      <w:r w:rsidRPr="00A81BD6">
        <w:rPr>
          <w:rFonts w:eastAsia="Times New Roman"/>
          <w:noProof/>
        </w:rPr>
        <w:t xml:space="preserve"> with the high-risk categorisation of the AI Act (Article 6 and Annexes I and III).</w:t>
      </w:r>
    </w:p>
    <w:p w:rsidR="00890492" w:rsidRPr="00A81BD6" w:rsidRDefault="00890492" w:rsidP="00890492">
      <w:pPr>
        <w:rPr>
          <w:noProof/>
          <w:lang w:val="en-US"/>
        </w:rPr>
      </w:pPr>
      <w:r w:rsidRPr="00A81BD6">
        <w:rPr>
          <w:noProof/>
        </w:rPr>
        <w:t xml:space="preserve">The Recommendation also covers elements common to the Union </w:t>
      </w:r>
      <w:r w:rsidRPr="00A81BD6">
        <w:rPr>
          <w:i/>
          <w:iCs/>
          <w:noProof/>
        </w:rPr>
        <w:t xml:space="preserve">acquis </w:t>
      </w:r>
      <w:r w:rsidRPr="00A81BD6">
        <w:rPr>
          <w:noProof/>
        </w:rPr>
        <w:t>on non-discrimination and equality. This concerns, in particular, the Directives on Equality Bodies</w:t>
      </w:r>
      <w:r w:rsidR="007F2EF6" w:rsidRPr="00A81BD6">
        <w:rPr>
          <w:noProof/>
        </w:rPr>
        <w:t xml:space="preserve">, adopted on the basis of Articles </w:t>
      </w:r>
      <w:r w:rsidR="004D1A26" w:rsidRPr="00A81BD6">
        <w:rPr>
          <w:noProof/>
        </w:rPr>
        <w:t>19 and 157 TFEU</w:t>
      </w:r>
      <w:r w:rsidRPr="00A81BD6">
        <w:rPr>
          <w:noProof/>
        </w:rPr>
        <w:t>.</w:t>
      </w:r>
      <w:r w:rsidRPr="00A81BD6">
        <w:rPr>
          <w:rStyle w:val="FootnoteReference"/>
          <w:noProof/>
        </w:rPr>
        <w:footnoteReference w:id="9"/>
      </w:r>
      <w:r w:rsidRPr="00A81BD6">
        <w:rPr>
          <w:noProof/>
        </w:rPr>
        <w:t xml:space="preserve"> The relevant elements of the Recommendation include:</w:t>
      </w:r>
      <w:r w:rsidRPr="00A81BD6">
        <w:rPr>
          <w:noProof/>
          <w:lang w:val="en-US"/>
        </w:rPr>
        <w:t> </w:t>
      </w:r>
    </w:p>
    <w:p w:rsidR="00890492" w:rsidRPr="00A81BD6" w:rsidRDefault="00890492" w:rsidP="00890492">
      <w:pPr>
        <w:pStyle w:val="Bullet1"/>
        <w:rPr>
          <w:noProof/>
          <w:lang w:val="en-US"/>
        </w:rPr>
      </w:pPr>
      <w:r w:rsidRPr="00A81BD6">
        <w:rPr>
          <w:noProof/>
          <w:lang w:val="en-US"/>
        </w:rPr>
        <w:t xml:space="preserve">Requirements for member States to equip Equality Bodies with sufficient financial, human and technical resources and to cooperate with them when developing appropriate legislation, policies and administrative, regulatory or other frameworks (relevant for Articles 3 and 4 of the Directives);  </w:t>
      </w:r>
    </w:p>
    <w:p w:rsidR="00890492" w:rsidRPr="00A81BD6" w:rsidRDefault="00890492" w:rsidP="00890492">
      <w:pPr>
        <w:pStyle w:val="Bullet1"/>
        <w:rPr>
          <w:noProof/>
          <w:lang w:val="en-US"/>
        </w:rPr>
      </w:pPr>
      <w:r w:rsidRPr="00A81BD6">
        <w:rPr>
          <w:noProof/>
          <w:lang w:val="en-US"/>
        </w:rPr>
        <w:t xml:space="preserve">Transparency and oversight requirements, enabling Equality Bodies to scrutinise whether discrimination has occurred and to assess whether such AI systems necessitate a moratorium or a ban (relevant for Articles 8 and 9 of the Directives);  </w:t>
      </w:r>
    </w:p>
    <w:p w:rsidR="00890BEB" w:rsidRPr="00190DEF" w:rsidRDefault="00890492" w:rsidP="00480AB4">
      <w:pPr>
        <w:pStyle w:val="Bullet1"/>
        <w:rPr>
          <w:noProof/>
          <w:lang w:val="en-US"/>
        </w:rPr>
      </w:pPr>
      <w:r w:rsidRPr="00A81BD6">
        <w:rPr>
          <w:noProof/>
          <w:lang w:val="en-US"/>
        </w:rPr>
        <w:t xml:space="preserve">Requirements to support or assist victims of AI-based discrimination to assert their rights, including by submitting observations to the court (relevant for Articles 6, 7, 8, 9, 10 and 11 of the Directives).  </w:t>
      </w:r>
    </w:p>
    <w:p w:rsidR="00216A64" w:rsidRPr="00190DEF" w:rsidRDefault="4BF7DEDB" w:rsidP="00190DEF">
      <w:pPr>
        <w:rPr>
          <w:noProof/>
        </w:rPr>
      </w:pPr>
      <w:r w:rsidRPr="00A81BD6">
        <w:rPr>
          <w:noProof/>
          <w:lang w:val="en-US"/>
        </w:rPr>
        <w:t xml:space="preserve">While the Recommendation </w:t>
      </w:r>
      <w:r w:rsidR="09DCD062" w:rsidRPr="00A81BD6">
        <w:rPr>
          <w:noProof/>
          <w:lang w:val="en-US"/>
        </w:rPr>
        <w:t xml:space="preserve">aims to promote equality and prevent discrimination, it primarily contains </w:t>
      </w:r>
      <w:r w:rsidR="1A65B8C5" w:rsidRPr="00A81BD6">
        <w:rPr>
          <w:noProof/>
          <w:lang w:val="en-US"/>
        </w:rPr>
        <w:t xml:space="preserve">legislative and policy </w:t>
      </w:r>
      <w:r w:rsidR="09DCD062" w:rsidRPr="00A81BD6">
        <w:rPr>
          <w:noProof/>
          <w:lang w:val="en-US"/>
        </w:rPr>
        <w:t xml:space="preserve">measures </w:t>
      </w:r>
      <w:r w:rsidR="75835DC1" w:rsidRPr="00A81BD6">
        <w:rPr>
          <w:noProof/>
        </w:rPr>
        <w:t>targeted at</w:t>
      </w:r>
      <w:r w:rsidR="75835DC1" w:rsidRPr="00A81BD6">
        <w:rPr>
          <w:noProof/>
          <w:lang w:val="en-US"/>
        </w:rPr>
        <w:t xml:space="preserve"> </w:t>
      </w:r>
      <w:r w:rsidR="251FAEFD" w:rsidRPr="00A81BD6">
        <w:rPr>
          <w:noProof/>
          <w:lang w:val="en-US"/>
        </w:rPr>
        <w:t>actors within the lifecycle of AI systems</w:t>
      </w:r>
      <w:r w:rsidR="382738DC" w:rsidRPr="00A81BD6">
        <w:rPr>
          <w:noProof/>
          <w:lang w:val="en-US"/>
        </w:rPr>
        <w:t xml:space="preserve"> (cf</w:t>
      </w:r>
      <w:r w:rsidR="382738DC" w:rsidRPr="0044752A">
        <w:rPr>
          <w:noProof/>
          <w:lang w:val="en-US"/>
        </w:rPr>
        <w:t xml:space="preserve"> point </w:t>
      </w:r>
      <w:r w:rsidR="382738DC" w:rsidRPr="00A81BD6">
        <w:rPr>
          <w:noProof/>
          <w:lang w:val="en-US"/>
        </w:rPr>
        <w:t>2 of the Recommendation)</w:t>
      </w:r>
      <w:r w:rsidR="251FAEFD" w:rsidRPr="00A81BD6">
        <w:rPr>
          <w:noProof/>
          <w:lang w:val="en-US"/>
        </w:rPr>
        <w:t xml:space="preserve">. More specifically, it sets out recommendations </w:t>
      </w:r>
      <w:r w:rsidRPr="00A81BD6">
        <w:rPr>
          <w:noProof/>
          <w:lang w:val="en-US"/>
        </w:rPr>
        <w:t xml:space="preserve">on </w:t>
      </w:r>
      <w:r w:rsidR="31AFFAA7" w:rsidRPr="00A81BD6">
        <w:rPr>
          <w:noProof/>
          <w:lang w:val="en-US"/>
        </w:rPr>
        <w:t>equality impact assessment</w:t>
      </w:r>
      <w:r w:rsidR="515633E9" w:rsidRPr="00A81BD6">
        <w:rPr>
          <w:noProof/>
          <w:lang w:val="en-US"/>
        </w:rPr>
        <w:t>s</w:t>
      </w:r>
      <w:r w:rsidR="31AFFAA7" w:rsidRPr="00A81BD6">
        <w:rPr>
          <w:noProof/>
          <w:lang w:val="en-US"/>
        </w:rPr>
        <w:t>, certificati</w:t>
      </w:r>
      <w:r w:rsidR="48D273A8" w:rsidRPr="00A81BD6">
        <w:rPr>
          <w:noProof/>
          <w:lang w:val="en-US"/>
        </w:rPr>
        <w:t>o</w:t>
      </w:r>
      <w:r w:rsidR="31AFFAA7" w:rsidRPr="00A81BD6">
        <w:rPr>
          <w:noProof/>
          <w:lang w:val="en-US"/>
        </w:rPr>
        <w:t xml:space="preserve">n, </w:t>
      </w:r>
      <w:r w:rsidRPr="00A81BD6">
        <w:rPr>
          <w:noProof/>
          <w:lang w:val="en-US"/>
        </w:rPr>
        <w:t xml:space="preserve">the </w:t>
      </w:r>
      <w:r w:rsidR="424C5246" w:rsidRPr="00A81BD6">
        <w:rPr>
          <w:noProof/>
          <w:lang w:val="en-US"/>
        </w:rPr>
        <w:t>transparency, monitoring</w:t>
      </w:r>
      <w:r w:rsidRPr="00A81BD6">
        <w:rPr>
          <w:noProof/>
          <w:lang w:val="en-US"/>
        </w:rPr>
        <w:t>,</w:t>
      </w:r>
      <w:r w:rsidR="31AFFAA7" w:rsidRPr="00A81BD6">
        <w:rPr>
          <w:noProof/>
          <w:lang w:val="en-US"/>
        </w:rPr>
        <w:t xml:space="preserve"> and</w:t>
      </w:r>
      <w:r w:rsidR="4D0C5077" w:rsidRPr="00A81BD6">
        <w:rPr>
          <w:noProof/>
          <w:lang w:val="en-US"/>
        </w:rPr>
        <w:t xml:space="preserve"> oversight </w:t>
      </w:r>
      <w:r w:rsidR="31AFFAA7" w:rsidRPr="00A81BD6">
        <w:rPr>
          <w:noProof/>
          <w:lang w:val="en-US"/>
        </w:rPr>
        <w:t xml:space="preserve">of </w:t>
      </w:r>
      <w:r w:rsidR="382738DC" w:rsidRPr="00A81BD6">
        <w:rPr>
          <w:noProof/>
          <w:lang w:val="en-US"/>
        </w:rPr>
        <w:t>AI systems</w:t>
      </w:r>
      <w:r w:rsidR="61802188" w:rsidRPr="00A81BD6">
        <w:rPr>
          <w:noProof/>
          <w:lang w:val="en-US"/>
        </w:rPr>
        <w:t xml:space="preserve"> </w:t>
      </w:r>
      <w:r w:rsidR="61802188" w:rsidRPr="00A81BD6">
        <w:rPr>
          <w:noProof/>
        </w:rPr>
        <w:t>as explained above</w:t>
      </w:r>
      <w:r w:rsidR="382738DC" w:rsidRPr="00A81BD6">
        <w:rPr>
          <w:noProof/>
        </w:rPr>
        <w:t>.</w:t>
      </w:r>
      <w:r w:rsidRPr="00A81BD6">
        <w:rPr>
          <w:noProof/>
          <w:lang w:val="en-US"/>
        </w:rPr>
        <w:t xml:space="preserve"> </w:t>
      </w:r>
      <w:r w:rsidR="37626BB4" w:rsidRPr="00A81BD6">
        <w:rPr>
          <w:noProof/>
          <w:lang w:val="en-US"/>
        </w:rPr>
        <w:t xml:space="preserve"> </w:t>
      </w:r>
    </w:p>
    <w:p w:rsidR="00C933E9" w:rsidRPr="00A81BD6" w:rsidRDefault="48D273A8" w:rsidP="005E6B64">
      <w:pPr>
        <w:rPr>
          <w:noProof/>
          <w:lang w:val="en-US"/>
        </w:rPr>
      </w:pPr>
      <w:r w:rsidRPr="00A81BD6">
        <w:rPr>
          <w:noProof/>
          <w:lang w:val="en-US"/>
        </w:rPr>
        <w:t>Within the U</w:t>
      </w:r>
      <w:r w:rsidR="394F7174" w:rsidRPr="00A81BD6">
        <w:rPr>
          <w:noProof/>
          <w:lang w:val="en-US"/>
        </w:rPr>
        <w:t>nion</w:t>
      </w:r>
      <w:r w:rsidRPr="00A81BD6">
        <w:rPr>
          <w:noProof/>
          <w:lang w:val="en-US"/>
        </w:rPr>
        <w:t>, the</w:t>
      </w:r>
      <w:r w:rsidR="558AC495" w:rsidRPr="00A81BD6">
        <w:rPr>
          <w:noProof/>
          <w:lang w:val="en-US"/>
        </w:rPr>
        <w:t xml:space="preserve"> predominant part of the</w:t>
      </w:r>
      <w:r w:rsidRPr="00A81BD6">
        <w:rPr>
          <w:noProof/>
          <w:lang w:val="en-US"/>
        </w:rPr>
        <w:t xml:space="preserve"> </w:t>
      </w:r>
      <w:r w:rsidR="35309131" w:rsidRPr="00A81BD6">
        <w:rPr>
          <w:noProof/>
          <w:lang w:val="en-US"/>
        </w:rPr>
        <w:t>R</w:t>
      </w:r>
      <w:r w:rsidR="558AC495" w:rsidRPr="00A81BD6">
        <w:rPr>
          <w:noProof/>
          <w:lang w:val="en-US"/>
        </w:rPr>
        <w:t xml:space="preserve">ecommendation </w:t>
      </w:r>
      <w:r w:rsidR="44A3A339" w:rsidRPr="00A81BD6">
        <w:rPr>
          <w:noProof/>
          <w:lang w:val="en-US"/>
        </w:rPr>
        <w:t>will</w:t>
      </w:r>
      <w:r w:rsidR="558AC495" w:rsidRPr="00A81BD6">
        <w:rPr>
          <w:noProof/>
          <w:lang w:val="en-US"/>
        </w:rPr>
        <w:t xml:space="preserve"> be implemented</w:t>
      </w:r>
      <w:r w:rsidR="00DE3D7A" w:rsidRPr="00A81BD6">
        <w:rPr>
          <w:noProof/>
          <w:lang w:val="en-US"/>
        </w:rPr>
        <w:t>,</w:t>
      </w:r>
      <w:r w:rsidR="558AC495" w:rsidRPr="00A81BD6">
        <w:rPr>
          <w:noProof/>
          <w:lang w:val="en-US"/>
        </w:rPr>
        <w:t xml:space="preserve"> </w:t>
      </w:r>
      <w:r w:rsidR="728A0A65" w:rsidRPr="00A81BD6">
        <w:rPr>
          <w:noProof/>
          <w:lang w:val="en-US"/>
        </w:rPr>
        <w:t>not t</w:t>
      </w:r>
      <w:r w:rsidR="7D4C4308" w:rsidRPr="00A81BD6">
        <w:rPr>
          <w:noProof/>
          <w:lang w:val="en-US"/>
        </w:rPr>
        <w:t>hrough horizontal equality legislation that applies to all economic actors, such as the Equality bodies legislation</w:t>
      </w:r>
      <w:r w:rsidR="44A3A339" w:rsidRPr="00A81BD6">
        <w:rPr>
          <w:noProof/>
          <w:lang w:val="en-US"/>
        </w:rPr>
        <w:t>,</w:t>
      </w:r>
      <w:r w:rsidR="7D4C4308" w:rsidRPr="00A81BD6">
        <w:rPr>
          <w:noProof/>
          <w:lang w:val="en-US"/>
        </w:rPr>
        <w:t xml:space="preserve"> but </w:t>
      </w:r>
      <w:r w:rsidR="558AC495" w:rsidRPr="00A81BD6">
        <w:rPr>
          <w:noProof/>
          <w:lang w:val="en-US"/>
        </w:rPr>
        <w:t>through</w:t>
      </w:r>
      <w:r w:rsidR="0BCFC2F8" w:rsidRPr="00A81BD6">
        <w:rPr>
          <w:noProof/>
          <w:lang w:val="en-US"/>
        </w:rPr>
        <w:t xml:space="preserve"> legislation</w:t>
      </w:r>
      <w:r w:rsidR="113694F7" w:rsidRPr="00A81BD6">
        <w:rPr>
          <w:noProof/>
          <w:lang w:val="en-US"/>
        </w:rPr>
        <w:t xml:space="preserve"> address</w:t>
      </w:r>
      <w:r w:rsidR="00DE3D7A" w:rsidRPr="00A81BD6">
        <w:rPr>
          <w:noProof/>
          <w:lang w:val="en-US"/>
        </w:rPr>
        <w:t>ed</w:t>
      </w:r>
      <w:r w:rsidR="113694F7" w:rsidRPr="00A81BD6">
        <w:rPr>
          <w:noProof/>
          <w:lang w:val="en-US"/>
        </w:rPr>
        <w:t xml:space="preserve"> specifically</w:t>
      </w:r>
      <w:r w:rsidR="00DE3D7A" w:rsidRPr="00A81BD6">
        <w:rPr>
          <w:noProof/>
          <w:lang w:val="en-US"/>
        </w:rPr>
        <w:t xml:space="preserve"> at</w:t>
      </w:r>
      <w:r w:rsidR="113694F7" w:rsidRPr="00A81BD6">
        <w:rPr>
          <w:noProof/>
          <w:lang w:val="en-US"/>
        </w:rPr>
        <w:t xml:space="preserve"> </w:t>
      </w:r>
      <w:r w:rsidR="6E11AED0" w:rsidRPr="00A81BD6">
        <w:rPr>
          <w:noProof/>
          <w:lang w:val="en-US"/>
        </w:rPr>
        <w:t>operators providing and deploying AI systems</w:t>
      </w:r>
      <w:r w:rsidR="0BCFC2F8" w:rsidRPr="00A81BD6">
        <w:rPr>
          <w:noProof/>
          <w:lang w:val="en-US"/>
        </w:rPr>
        <w:t>, notably</w:t>
      </w:r>
      <w:r w:rsidR="558AC495" w:rsidRPr="00A81BD6">
        <w:rPr>
          <w:noProof/>
          <w:lang w:val="en-US"/>
        </w:rPr>
        <w:t xml:space="preserve"> the AI Act</w:t>
      </w:r>
      <w:r w:rsidR="512C7A3F" w:rsidRPr="00A81BD6">
        <w:rPr>
          <w:noProof/>
          <w:lang w:val="en-US"/>
        </w:rPr>
        <w:t xml:space="preserve"> and/or its implementing measures</w:t>
      </w:r>
      <w:r w:rsidR="560796EF" w:rsidRPr="00A81BD6">
        <w:rPr>
          <w:noProof/>
          <w:lang w:val="en-US"/>
        </w:rPr>
        <w:t xml:space="preserve"> </w:t>
      </w:r>
      <w:r w:rsidR="512C7A3F" w:rsidRPr="00A81BD6">
        <w:rPr>
          <w:noProof/>
          <w:lang w:val="en-US"/>
        </w:rPr>
        <w:t xml:space="preserve">In fact, </w:t>
      </w:r>
      <w:r w:rsidR="512C7A3F" w:rsidRPr="0044752A">
        <w:rPr>
          <w:noProof/>
          <w:lang w:val="en-US"/>
        </w:rPr>
        <w:t>t</w:t>
      </w:r>
      <w:r w:rsidR="560796EF" w:rsidRPr="0044752A">
        <w:rPr>
          <w:noProof/>
          <w:lang w:val="en-US"/>
        </w:rPr>
        <w:t>he Explanatory Memorandum</w:t>
      </w:r>
      <w:r w:rsidR="560796EF" w:rsidRPr="00A81BD6">
        <w:rPr>
          <w:noProof/>
          <w:lang w:val="en-US"/>
        </w:rPr>
        <w:t xml:space="preserve"> expressly acknowledges that the AI Act already </w:t>
      </w:r>
      <w:r w:rsidR="512C7A3F" w:rsidRPr="00A81BD6">
        <w:rPr>
          <w:noProof/>
          <w:lang w:val="en-US"/>
        </w:rPr>
        <w:t xml:space="preserve">implements (part of) the Recommendations (cf para 11 EM). </w:t>
      </w:r>
    </w:p>
    <w:p w:rsidR="00231ED3" w:rsidRPr="00A81BD6" w:rsidRDefault="37626BB4" w:rsidP="0057479C">
      <w:pPr>
        <w:rPr>
          <w:noProof/>
        </w:rPr>
      </w:pPr>
      <w:r w:rsidRPr="00A81BD6">
        <w:rPr>
          <w:noProof/>
        </w:rPr>
        <w:t xml:space="preserve">It follows that the centre of gravity of the Recommendation falls within </w:t>
      </w:r>
      <w:r w:rsidR="4CA61570" w:rsidRPr="00A81BD6">
        <w:rPr>
          <w:noProof/>
        </w:rPr>
        <w:t>the area covered by the AI Act</w:t>
      </w:r>
      <w:r w:rsidR="161905C3" w:rsidRPr="00A81BD6">
        <w:rPr>
          <w:noProof/>
        </w:rPr>
        <w:t>. T</w:t>
      </w:r>
      <w:r w:rsidR="46C361C6" w:rsidRPr="00A81BD6">
        <w:rPr>
          <w:noProof/>
        </w:rPr>
        <w:t>he substantive legal basis for the position to be taken on behalf of the Union on those elements of the Recommendation should</w:t>
      </w:r>
      <w:r w:rsidR="6BBC11B2" w:rsidRPr="00A81BD6">
        <w:rPr>
          <w:noProof/>
        </w:rPr>
        <w:t xml:space="preserve"> therefore</w:t>
      </w:r>
      <w:r w:rsidR="46C361C6" w:rsidRPr="00A81BD6">
        <w:rPr>
          <w:noProof/>
        </w:rPr>
        <w:t xml:space="preserve"> be Article 114 TFEU, which is the primary legal basis of the AI Act.</w:t>
      </w:r>
    </w:p>
    <w:p w:rsidR="00D16F8B" w:rsidRPr="00A81BD6" w:rsidRDefault="00D16F8B" w:rsidP="0057479C">
      <w:pPr>
        <w:rPr>
          <w:i/>
          <w:noProof/>
        </w:rPr>
      </w:pPr>
      <w:r w:rsidRPr="00A81BD6">
        <w:rPr>
          <w:noProof/>
        </w:rPr>
        <w:t>Therefore, the substantive legal basis of the proposed decision is</w:t>
      </w:r>
      <w:r w:rsidR="00246CC7" w:rsidRPr="00A81BD6">
        <w:rPr>
          <w:noProof/>
        </w:rPr>
        <w:t xml:space="preserve"> Article 114 TFEU.</w:t>
      </w:r>
    </w:p>
    <w:p w:rsidR="00D16F8B" w:rsidRPr="00A81BD6" w:rsidRDefault="00494AE7" w:rsidP="00494AE7">
      <w:pPr>
        <w:pStyle w:val="ManualHeading2"/>
        <w:rPr>
          <w:noProof/>
        </w:rPr>
      </w:pPr>
      <w:r w:rsidRPr="00494AE7">
        <w:rPr>
          <w:noProof/>
        </w:rPr>
        <w:t>4.3.</w:t>
      </w:r>
      <w:r w:rsidRPr="00494AE7">
        <w:rPr>
          <w:noProof/>
        </w:rPr>
        <w:tab/>
      </w:r>
      <w:r w:rsidR="00D16F8B" w:rsidRPr="00A81BD6">
        <w:rPr>
          <w:noProof/>
        </w:rPr>
        <w:t>Conclusion</w:t>
      </w:r>
    </w:p>
    <w:p w:rsidR="00D16F8B" w:rsidRPr="00A81BD6" w:rsidRDefault="00D16F8B" w:rsidP="0057479C">
      <w:pPr>
        <w:rPr>
          <w:noProof/>
        </w:rPr>
      </w:pPr>
      <w:r w:rsidRPr="00A81BD6">
        <w:rPr>
          <w:noProof/>
        </w:rPr>
        <w:t>The legal basis of the proposed decision should be</w:t>
      </w:r>
      <w:r w:rsidR="00AA43BA" w:rsidRPr="00A81BD6">
        <w:rPr>
          <w:noProof/>
        </w:rPr>
        <w:t xml:space="preserve"> Article 114 TFEU</w:t>
      </w:r>
      <w:r w:rsidRPr="00A81BD6">
        <w:rPr>
          <w:noProof/>
        </w:rPr>
        <w:t>, in conjunction with Article 218(9) TFEU.</w:t>
      </w:r>
    </w:p>
    <w:p w:rsidR="00D16F8B" w:rsidRPr="00A81BD6" w:rsidRDefault="00D16F8B" w:rsidP="0057479C">
      <w:pPr>
        <w:rPr>
          <w:noProof/>
        </w:rPr>
      </w:pPr>
    </w:p>
    <w:p w:rsidR="00C764CF" w:rsidRPr="00A81BD6" w:rsidRDefault="00C764CF" w:rsidP="0057479C">
      <w:pPr>
        <w:rPr>
          <w:noProof/>
        </w:rPr>
      </w:pPr>
    </w:p>
    <w:p w:rsidR="00C764CF" w:rsidRPr="00A81BD6" w:rsidRDefault="00C764CF" w:rsidP="0057479C">
      <w:pPr>
        <w:rPr>
          <w:noProof/>
        </w:rPr>
        <w:sectPr w:rsidR="00C764CF" w:rsidRPr="00A81BD6" w:rsidSect="00B239E1">
          <w:headerReference w:type="even" r:id="rId15"/>
          <w:footerReference w:type="even" r:id="rId16"/>
          <w:footerReference w:type="default" r:id="rId17"/>
          <w:headerReference w:type="first" r:id="rId18"/>
          <w:footerReference w:type="first" r:id="rId19"/>
          <w:pgSz w:w="11907" w:h="16839"/>
          <w:pgMar w:top="1134" w:right="1417" w:bottom="1134" w:left="1417" w:header="709" w:footer="709" w:gutter="0"/>
          <w:cols w:space="708"/>
          <w:docGrid w:linePitch="360"/>
        </w:sectPr>
      </w:pPr>
    </w:p>
    <w:p w:rsidR="00752238" w:rsidRDefault="0090309A">
      <w:pPr>
        <w:pStyle w:val="Rfrenceinterinstitutionnelle"/>
        <w:rPr>
          <w:noProof/>
        </w:rPr>
      </w:pPr>
      <w:r>
        <w:rPr>
          <w:noProof/>
        </w:rPr>
        <w:t>2025/0291 (NLE)</w:t>
      </w:r>
    </w:p>
    <w:p w:rsidR="00D16F8B" w:rsidRPr="00A81BD6" w:rsidRDefault="005E6B64" w:rsidP="005E6B64">
      <w:pPr>
        <w:pStyle w:val="Statut"/>
        <w:rPr>
          <w:noProof/>
        </w:rPr>
      </w:pPr>
      <w:r w:rsidRPr="005E6B64">
        <w:rPr>
          <w:noProof/>
        </w:rPr>
        <w:t>Proposal for a</w:t>
      </w:r>
    </w:p>
    <w:p w:rsidR="00D16F8B" w:rsidRPr="00A81BD6" w:rsidRDefault="005E6B64" w:rsidP="005E6B64">
      <w:pPr>
        <w:pStyle w:val="Typedudocument"/>
        <w:rPr>
          <w:noProof/>
        </w:rPr>
      </w:pPr>
      <w:r w:rsidRPr="005E6B64">
        <w:rPr>
          <w:noProof/>
        </w:rPr>
        <w:t>COUNCIL DECISION</w:t>
      </w:r>
    </w:p>
    <w:p w:rsidR="00D16F8B" w:rsidRPr="00A81BD6" w:rsidRDefault="005E6B64" w:rsidP="005E6B64">
      <w:pPr>
        <w:pStyle w:val="Titreobjet"/>
        <w:rPr>
          <w:noProof/>
        </w:rPr>
      </w:pPr>
      <w:r w:rsidRPr="005E6B64">
        <w:rPr>
          <w:noProof/>
        </w:rPr>
        <w:t>on the position to be taken on behalf of the European Union on the Draft Recommendation of the Committee of Ministers of the Council of Europe on equality and artificial intelligence</w:t>
      </w:r>
    </w:p>
    <w:p w:rsidR="00D16F8B" w:rsidRPr="00A81BD6" w:rsidRDefault="00D16F8B" w:rsidP="0057479C">
      <w:pPr>
        <w:pStyle w:val="Institutionquiagit"/>
        <w:rPr>
          <w:noProof/>
        </w:rPr>
      </w:pPr>
      <w:r w:rsidRPr="00A81BD6">
        <w:rPr>
          <w:noProof/>
        </w:rPr>
        <w:t>THE COUNCIL OF THE EUROPEAN UNION,</w:t>
      </w:r>
    </w:p>
    <w:p w:rsidR="00D16F8B" w:rsidRPr="00A81BD6" w:rsidRDefault="00D16F8B" w:rsidP="0057479C">
      <w:pPr>
        <w:rPr>
          <w:noProof/>
        </w:rPr>
      </w:pPr>
      <w:r w:rsidRPr="00A81BD6">
        <w:rPr>
          <w:noProof/>
        </w:rPr>
        <w:t>Having regard to the Treaty on the Functioning of the European Union, and in particular Article</w:t>
      </w:r>
      <w:r w:rsidR="0035268A" w:rsidRPr="00A81BD6">
        <w:rPr>
          <w:noProof/>
        </w:rPr>
        <w:t xml:space="preserve"> 114</w:t>
      </w:r>
      <w:r w:rsidRPr="00A81BD6">
        <w:rPr>
          <w:noProof/>
        </w:rPr>
        <w:t>, in conjunction with Article 218(9) thereof,</w:t>
      </w:r>
    </w:p>
    <w:p w:rsidR="00D16F8B" w:rsidRPr="00A81BD6" w:rsidRDefault="00D16F8B" w:rsidP="0057479C">
      <w:pPr>
        <w:rPr>
          <w:noProof/>
        </w:rPr>
      </w:pPr>
      <w:r w:rsidRPr="00A81BD6">
        <w:rPr>
          <w:noProof/>
        </w:rPr>
        <w:t>Having regard to the proposal from the European Commission,</w:t>
      </w:r>
    </w:p>
    <w:p w:rsidR="00D16F8B" w:rsidRPr="00A81BD6" w:rsidRDefault="00D16F8B" w:rsidP="0057479C">
      <w:pPr>
        <w:rPr>
          <w:noProof/>
        </w:rPr>
      </w:pPr>
      <w:r w:rsidRPr="00A81BD6">
        <w:rPr>
          <w:noProof/>
        </w:rPr>
        <w:t>Whereas:</w:t>
      </w:r>
    </w:p>
    <w:p w:rsidR="00006DBB" w:rsidRPr="00A81BD6" w:rsidRDefault="00494AE7" w:rsidP="00494AE7">
      <w:pPr>
        <w:pStyle w:val="ManualConsidrant"/>
        <w:rPr>
          <w:noProof/>
        </w:rPr>
      </w:pPr>
      <w:r w:rsidRPr="00494AE7">
        <w:rPr>
          <w:noProof/>
        </w:rPr>
        <w:t>(1)</w:t>
      </w:r>
      <w:r w:rsidRPr="00494AE7">
        <w:rPr>
          <w:noProof/>
        </w:rPr>
        <w:tab/>
      </w:r>
      <w:r w:rsidR="00033C23" w:rsidRPr="00A81BD6">
        <w:rPr>
          <w:noProof/>
        </w:rPr>
        <w:t xml:space="preserve">The Council of Europe </w:t>
      </w:r>
      <w:r w:rsidR="00D651C3" w:rsidRPr="00A81BD6">
        <w:rPr>
          <w:noProof/>
        </w:rPr>
        <w:t>aims</w:t>
      </w:r>
      <w:r w:rsidR="00C764CF" w:rsidRPr="00A81BD6">
        <w:rPr>
          <w:noProof/>
        </w:rPr>
        <w:t xml:space="preserve"> to adopt a</w:t>
      </w:r>
      <w:r w:rsidR="00033C23" w:rsidRPr="00A81BD6">
        <w:rPr>
          <w:noProof/>
        </w:rPr>
        <w:t xml:space="preserve"> Recommendation </w:t>
      </w:r>
      <w:r w:rsidR="00C764CF" w:rsidRPr="00A81BD6">
        <w:rPr>
          <w:noProof/>
        </w:rPr>
        <w:t>(“the Recommendation</w:t>
      </w:r>
      <w:r w:rsidR="00D651C3" w:rsidRPr="00A81BD6">
        <w:rPr>
          <w:noProof/>
        </w:rPr>
        <w:t>”) to</w:t>
      </w:r>
      <w:r w:rsidR="00C764CF" w:rsidRPr="00A81BD6">
        <w:rPr>
          <w:noProof/>
        </w:rPr>
        <w:t xml:space="preserve"> </w:t>
      </w:r>
      <w:r w:rsidR="00033C23" w:rsidRPr="00A81BD6">
        <w:rPr>
          <w:noProof/>
        </w:rPr>
        <w:t>address the impact of artificial intelligence</w:t>
      </w:r>
      <w:r w:rsidR="00F814BB" w:rsidRPr="00A81BD6">
        <w:rPr>
          <w:noProof/>
        </w:rPr>
        <w:t xml:space="preserve"> (“AI”)</w:t>
      </w:r>
      <w:r w:rsidR="00033C23" w:rsidRPr="00A81BD6">
        <w:rPr>
          <w:noProof/>
        </w:rPr>
        <w:t xml:space="preserve"> systems, their potential for promoting equality, including gender equality, and the risks they may cause in relation to non-discrimination. </w:t>
      </w:r>
      <w:r w:rsidR="00006DBB" w:rsidRPr="00A81BD6">
        <w:rPr>
          <w:noProof/>
        </w:rPr>
        <w:t xml:space="preserve">The Recommendation is due to be adopted by the Council of Europe’s Gender Equality Commission (“GEC”) and the Steering Committee on Anti-Discrimination, Diversity and Inclusion (“CDADI”), during their joint plenary session from 18-20 November 2025 and to be </w:t>
      </w:r>
      <w:r w:rsidR="00C764CF" w:rsidRPr="00A81BD6">
        <w:rPr>
          <w:noProof/>
        </w:rPr>
        <w:t>formally approved by the</w:t>
      </w:r>
      <w:r w:rsidR="00006DBB" w:rsidRPr="00A81BD6">
        <w:rPr>
          <w:noProof/>
        </w:rPr>
        <w:t xml:space="preserve"> Committee of Ministers</w:t>
      </w:r>
      <w:r w:rsidR="54EB5ED8" w:rsidRPr="00A81BD6">
        <w:rPr>
          <w:noProof/>
        </w:rPr>
        <w:t xml:space="preserve"> </w:t>
      </w:r>
      <w:r w:rsidR="54EB5ED8" w:rsidRPr="00480AB4">
        <w:rPr>
          <w:rFonts w:eastAsia="Times New Roman"/>
          <w:noProof/>
          <w:szCs w:val="24"/>
        </w:rPr>
        <w:t>of the Council of Europe</w:t>
      </w:r>
      <w:r w:rsidR="00006DBB" w:rsidRPr="00A81BD6">
        <w:rPr>
          <w:noProof/>
        </w:rPr>
        <w:t>.</w:t>
      </w:r>
    </w:p>
    <w:p w:rsidR="00B300DC" w:rsidRPr="00A81BD6" w:rsidRDefault="00494AE7" w:rsidP="00494AE7">
      <w:pPr>
        <w:pStyle w:val="ManualConsidrant"/>
        <w:rPr>
          <w:noProof/>
        </w:rPr>
      </w:pPr>
      <w:r w:rsidRPr="00494AE7">
        <w:rPr>
          <w:noProof/>
        </w:rPr>
        <w:t>(2)</w:t>
      </w:r>
      <w:r w:rsidRPr="00494AE7">
        <w:rPr>
          <w:noProof/>
        </w:rPr>
        <w:tab/>
      </w:r>
      <w:r w:rsidR="00B300DC" w:rsidRPr="00A81BD6">
        <w:rPr>
          <w:noProof/>
        </w:rPr>
        <w:t>The</w:t>
      </w:r>
      <w:r w:rsidR="00006DBB" w:rsidRPr="00A81BD6">
        <w:rPr>
          <w:noProof/>
        </w:rPr>
        <w:t xml:space="preserve"> Recommendation aims to complement the</w:t>
      </w:r>
      <w:r w:rsidR="00B300DC" w:rsidRPr="00A81BD6">
        <w:rPr>
          <w:noProof/>
        </w:rPr>
        <w:t xml:space="preserve"> Council of Europe Framework Convention on Artificial Intelligence and Human Rights, Democracy and the Rule of Law (“the Framework Convention”)</w:t>
      </w:r>
      <w:r w:rsidR="0DDC3748" w:rsidRPr="00A81BD6">
        <w:rPr>
          <w:noProof/>
        </w:rPr>
        <w:t>,</w:t>
      </w:r>
      <w:r w:rsidR="00B300DC" w:rsidRPr="00A81BD6">
        <w:rPr>
          <w:noProof/>
        </w:rPr>
        <w:t xml:space="preserve"> </w:t>
      </w:r>
      <w:r w:rsidR="00006DBB" w:rsidRPr="00A81BD6">
        <w:rPr>
          <w:noProof/>
        </w:rPr>
        <w:t xml:space="preserve">which </w:t>
      </w:r>
      <w:r w:rsidR="00B300DC" w:rsidRPr="00A81BD6">
        <w:rPr>
          <w:noProof/>
        </w:rPr>
        <w:t xml:space="preserve">was signed by the Union </w:t>
      </w:r>
      <w:r w:rsidR="004C2C4D" w:rsidRPr="00A81BD6">
        <w:rPr>
          <w:noProof/>
        </w:rPr>
        <w:t xml:space="preserve">pursuant to </w:t>
      </w:r>
      <w:r w:rsidR="00B300DC" w:rsidRPr="00A81BD6">
        <w:rPr>
          <w:noProof/>
        </w:rPr>
        <w:t>Council Decision (EU) 2024/2218</w:t>
      </w:r>
      <w:r w:rsidR="4410FB07" w:rsidRPr="00A81BD6">
        <w:rPr>
          <w:noProof/>
        </w:rPr>
        <w:t>, with regard to the principle of equality</w:t>
      </w:r>
      <w:r w:rsidR="00B8556C" w:rsidRPr="00A81BD6">
        <w:rPr>
          <w:noProof/>
        </w:rPr>
        <w:t>,</w:t>
      </w:r>
      <w:r w:rsidR="00D043E3" w:rsidRPr="00A81BD6">
        <w:rPr>
          <w:noProof/>
        </w:rPr>
        <w:t xml:space="preserve"> by</w:t>
      </w:r>
      <w:r w:rsidR="00FA1EDF" w:rsidRPr="00A81BD6">
        <w:rPr>
          <w:noProof/>
        </w:rPr>
        <w:t xml:space="preserve"> </w:t>
      </w:r>
      <w:r w:rsidR="00DC4BDF" w:rsidRPr="00A81BD6">
        <w:rPr>
          <w:noProof/>
        </w:rPr>
        <w:t xml:space="preserve">making </w:t>
      </w:r>
      <w:r w:rsidR="00F003FE" w:rsidRPr="00A81BD6">
        <w:rPr>
          <w:noProof/>
        </w:rPr>
        <w:t>detailed</w:t>
      </w:r>
      <w:r w:rsidR="008559F9" w:rsidRPr="00A81BD6">
        <w:rPr>
          <w:noProof/>
        </w:rPr>
        <w:t>, equality-</w:t>
      </w:r>
      <w:r w:rsidR="00DC4BDF" w:rsidRPr="00A81BD6">
        <w:rPr>
          <w:noProof/>
        </w:rPr>
        <w:t xml:space="preserve">specific recommendations </w:t>
      </w:r>
      <w:r w:rsidR="00184E2D" w:rsidRPr="00A81BD6">
        <w:rPr>
          <w:noProof/>
        </w:rPr>
        <w:t>to</w:t>
      </w:r>
      <w:r w:rsidR="00FC55AC" w:rsidRPr="00A81BD6">
        <w:rPr>
          <w:noProof/>
        </w:rPr>
        <w:t xml:space="preserve"> member states</w:t>
      </w:r>
      <w:r w:rsidR="004B1754" w:rsidRPr="00A81BD6">
        <w:rPr>
          <w:noProof/>
        </w:rPr>
        <w:t xml:space="preserve">. </w:t>
      </w:r>
    </w:p>
    <w:p w:rsidR="00B300DC" w:rsidRPr="00A81BD6" w:rsidRDefault="00494AE7" w:rsidP="00494AE7">
      <w:pPr>
        <w:pStyle w:val="ManualConsidrant"/>
        <w:rPr>
          <w:noProof/>
        </w:rPr>
      </w:pPr>
      <w:r w:rsidRPr="00494AE7">
        <w:rPr>
          <w:noProof/>
        </w:rPr>
        <w:t>(3)</w:t>
      </w:r>
      <w:r w:rsidRPr="00494AE7">
        <w:rPr>
          <w:noProof/>
        </w:rPr>
        <w:tab/>
      </w:r>
      <w:r w:rsidR="00B300DC" w:rsidRPr="00A81BD6">
        <w:rPr>
          <w:noProof/>
        </w:rPr>
        <w:t xml:space="preserve">The Framework Convention lays down general principles and obligations that parties to the Framework Convention should observe to ensure the protection of human rights, democracy, and the rule of law in relation to the activities within the lifecycle of </w:t>
      </w:r>
      <w:r w:rsidR="00D60422" w:rsidRPr="00A81BD6">
        <w:rPr>
          <w:noProof/>
        </w:rPr>
        <w:t xml:space="preserve">AI </w:t>
      </w:r>
      <w:r w:rsidR="00B300DC" w:rsidRPr="00A81BD6">
        <w:rPr>
          <w:noProof/>
        </w:rPr>
        <w:t xml:space="preserve">systems. </w:t>
      </w:r>
      <w:r w:rsidR="00C764CF" w:rsidRPr="00A81BD6">
        <w:rPr>
          <w:noProof/>
        </w:rPr>
        <w:t>The Commission has proposed that the Union concludes the Framework Convention</w:t>
      </w:r>
      <w:r w:rsidR="0016349F" w:rsidRPr="00A81BD6">
        <w:rPr>
          <w:noProof/>
        </w:rPr>
        <w:t>.</w:t>
      </w:r>
      <w:r w:rsidR="009048C0" w:rsidRPr="00A81BD6">
        <w:rPr>
          <w:rStyle w:val="FootnoteReference"/>
          <w:noProof/>
        </w:rPr>
        <w:footnoteReference w:id="10"/>
      </w:r>
      <w:r w:rsidR="009048C0" w:rsidRPr="00A81BD6">
        <w:rPr>
          <w:noProof/>
        </w:rPr>
        <w:t xml:space="preserve"> </w:t>
      </w:r>
      <w:r w:rsidR="0016349F" w:rsidRPr="00A81BD6">
        <w:rPr>
          <w:noProof/>
        </w:rPr>
        <w:t>T</w:t>
      </w:r>
      <w:r w:rsidR="00C764CF" w:rsidRPr="00A81BD6">
        <w:rPr>
          <w:noProof/>
        </w:rPr>
        <w:t>he Council decision for conclusion of the Framework Convention is in process of adoption by the Council.</w:t>
      </w:r>
    </w:p>
    <w:p w:rsidR="000F7F41" w:rsidRPr="00A81BD6" w:rsidRDefault="00494AE7" w:rsidP="00494AE7">
      <w:pPr>
        <w:pStyle w:val="ManualConsidrant"/>
        <w:rPr>
          <w:noProof/>
        </w:rPr>
      </w:pPr>
      <w:r w:rsidRPr="00494AE7">
        <w:rPr>
          <w:noProof/>
        </w:rPr>
        <w:t>(4)</w:t>
      </w:r>
      <w:r w:rsidRPr="00494AE7">
        <w:rPr>
          <w:noProof/>
        </w:rPr>
        <w:tab/>
      </w:r>
      <w:r w:rsidR="007D60A3" w:rsidRPr="00A81BD6">
        <w:rPr>
          <w:noProof/>
        </w:rPr>
        <w:t xml:space="preserve">On 13 June 2024, the European Parliament and Council adopted, on the basis of Articles 16 and 114 of the Treaty on the Functioning of the European </w:t>
      </w:r>
      <w:r w:rsidR="00486CC9" w:rsidRPr="00A81BD6">
        <w:rPr>
          <w:noProof/>
        </w:rPr>
        <w:t xml:space="preserve">Union (TFEU), </w:t>
      </w:r>
      <w:r w:rsidR="005925A0" w:rsidRPr="00A81BD6">
        <w:rPr>
          <w:noProof/>
        </w:rPr>
        <w:t xml:space="preserve">Regulation (EU) 2024/1689 </w:t>
      </w:r>
      <w:r w:rsidR="009048C0" w:rsidRPr="00A81BD6">
        <w:rPr>
          <w:noProof/>
        </w:rPr>
        <w:t>(</w:t>
      </w:r>
      <w:r w:rsidR="009048C0" w:rsidRPr="00A81BD6">
        <w:rPr>
          <w:rStyle w:val="FootnoteReference"/>
          <w:noProof/>
        </w:rPr>
        <w:footnoteReference w:id="11"/>
      </w:r>
      <w:r w:rsidR="009048C0" w:rsidRPr="00A81BD6">
        <w:rPr>
          <w:noProof/>
        </w:rPr>
        <w:t>)</w:t>
      </w:r>
      <w:r w:rsidR="009048C0" w:rsidRPr="00A81BD6">
        <w:rPr>
          <w:rStyle w:val="CommentReference"/>
          <w:noProof/>
        </w:rPr>
        <w:t>,</w:t>
      </w:r>
      <w:r w:rsidR="00A06889" w:rsidRPr="00A81BD6">
        <w:rPr>
          <w:noProof/>
        </w:rPr>
        <w:t xml:space="preserve"> which </w:t>
      </w:r>
      <w:r w:rsidR="00285AAB" w:rsidRPr="00A81BD6">
        <w:rPr>
          <w:noProof/>
        </w:rPr>
        <w:t>lays do</w:t>
      </w:r>
      <w:r w:rsidR="00285AAB" w:rsidRPr="00480AB4">
        <w:rPr>
          <w:noProof/>
        </w:rPr>
        <w:t>w</w:t>
      </w:r>
      <w:r w:rsidR="00285AAB" w:rsidRPr="00A81BD6">
        <w:rPr>
          <w:noProof/>
        </w:rPr>
        <w:t xml:space="preserve">n </w:t>
      </w:r>
      <w:r w:rsidR="005925A0" w:rsidRPr="00A81BD6">
        <w:rPr>
          <w:noProof/>
        </w:rPr>
        <w:t>harmonised rules</w:t>
      </w:r>
      <w:r w:rsidR="00B65C14" w:rsidRPr="00A81BD6">
        <w:rPr>
          <w:noProof/>
        </w:rPr>
        <w:t xml:space="preserve">, generally based on full harmonisation, </w:t>
      </w:r>
      <w:r w:rsidR="005925A0" w:rsidRPr="00A81BD6">
        <w:rPr>
          <w:noProof/>
        </w:rPr>
        <w:t xml:space="preserve">that regulate the placing on the market, the putting into service and the use of </w:t>
      </w:r>
      <w:r w:rsidR="00840E0B" w:rsidRPr="00A81BD6">
        <w:rPr>
          <w:noProof/>
        </w:rPr>
        <w:t>AI</w:t>
      </w:r>
      <w:r w:rsidR="005925A0" w:rsidRPr="00A81BD6">
        <w:rPr>
          <w:noProof/>
        </w:rPr>
        <w:t xml:space="preserve"> systems in the Union. Th</w:t>
      </w:r>
      <w:r w:rsidR="00D36D4B" w:rsidRPr="00A81BD6">
        <w:rPr>
          <w:noProof/>
        </w:rPr>
        <w:t>o</w:t>
      </w:r>
      <w:r w:rsidR="005925A0" w:rsidRPr="00A81BD6">
        <w:rPr>
          <w:noProof/>
        </w:rPr>
        <w:t xml:space="preserve">se rules are directly applicable in the Member States, unless explicitly provided otherwise. </w:t>
      </w:r>
    </w:p>
    <w:p w:rsidR="00B300DC" w:rsidRPr="00A81BD6" w:rsidRDefault="00494AE7" w:rsidP="00494AE7">
      <w:pPr>
        <w:pStyle w:val="ManualConsidrant"/>
        <w:rPr>
          <w:noProof/>
        </w:rPr>
      </w:pPr>
      <w:r w:rsidRPr="00494AE7">
        <w:rPr>
          <w:noProof/>
        </w:rPr>
        <w:t>(5)</w:t>
      </w:r>
      <w:r w:rsidRPr="00494AE7">
        <w:rPr>
          <w:noProof/>
        </w:rPr>
        <w:tab/>
      </w:r>
      <w:r w:rsidR="005925A0" w:rsidRPr="00A81BD6">
        <w:rPr>
          <w:noProof/>
        </w:rPr>
        <w:t xml:space="preserve">The Framework Convention is to be implemented in the Union exclusively through the AI Act and other relevant Union </w:t>
      </w:r>
      <w:r w:rsidR="005925A0" w:rsidRPr="00A81BD6">
        <w:rPr>
          <w:i/>
          <w:iCs/>
          <w:noProof/>
        </w:rPr>
        <w:t>acquis</w:t>
      </w:r>
      <w:r w:rsidR="005925A0" w:rsidRPr="00A81BD6">
        <w:rPr>
          <w:noProof/>
        </w:rPr>
        <w:t>, where applicable.</w:t>
      </w:r>
    </w:p>
    <w:p w:rsidR="00D16F8B" w:rsidRPr="00A81BD6" w:rsidRDefault="00494AE7" w:rsidP="00494AE7">
      <w:pPr>
        <w:pStyle w:val="ManualConsidrant"/>
        <w:rPr>
          <w:noProof/>
        </w:rPr>
      </w:pPr>
      <w:r w:rsidRPr="00494AE7">
        <w:rPr>
          <w:noProof/>
        </w:rPr>
        <w:t>(6)</w:t>
      </w:r>
      <w:r w:rsidRPr="00494AE7">
        <w:rPr>
          <w:noProof/>
        </w:rPr>
        <w:tab/>
      </w:r>
      <w:r w:rsidR="00D16F8B" w:rsidRPr="00A81BD6">
        <w:rPr>
          <w:noProof/>
        </w:rPr>
        <w:t xml:space="preserve">It is appropriate to establish the position to be taken on the Union's behalf </w:t>
      </w:r>
      <w:r w:rsidR="00006DBB" w:rsidRPr="00A81BD6">
        <w:rPr>
          <w:noProof/>
        </w:rPr>
        <w:t xml:space="preserve">on the Recommendation </w:t>
      </w:r>
      <w:r w:rsidR="00D16F8B" w:rsidRPr="00A81BD6">
        <w:rPr>
          <w:noProof/>
        </w:rPr>
        <w:t>in the</w:t>
      </w:r>
      <w:r w:rsidR="005F439A" w:rsidRPr="00A81BD6">
        <w:rPr>
          <w:noProof/>
        </w:rPr>
        <w:t xml:space="preserve"> joint plenary session of the GEC and the CDADI</w:t>
      </w:r>
      <w:r w:rsidR="000F7F41" w:rsidRPr="00A81BD6">
        <w:rPr>
          <w:noProof/>
        </w:rPr>
        <w:t>,</w:t>
      </w:r>
      <w:r w:rsidR="00ED503B" w:rsidRPr="00A81BD6">
        <w:rPr>
          <w:noProof/>
        </w:rPr>
        <w:t xml:space="preserve"> as well as in the Committee of Ministers</w:t>
      </w:r>
      <w:r w:rsidR="00D16F8B" w:rsidRPr="00A81BD6">
        <w:rPr>
          <w:noProof/>
        </w:rPr>
        <w:t>, as the</w:t>
      </w:r>
      <w:r w:rsidR="005F439A" w:rsidRPr="00A81BD6">
        <w:rPr>
          <w:noProof/>
        </w:rPr>
        <w:t xml:space="preserve"> Recommendation</w:t>
      </w:r>
      <w:r w:rsidR="6F58EE52" w:rsidRPr="00A81BD6">
        <w:rPr>
          <w:noProof/>
        </w:rPr>
        <w:t>,</w:t>
      </w:r>
      <w:r w:rsidR="00D16F8B" w:rsidRPr="00A81BD6">
        <w:rPr>
          <w:noProof/>
        </w:rPr>
        <w:t xml:space="preserve"> </w:t>
      </w:r>
      <w:r w:rsidR="7DE14120" w:rsidRPr="00A81BD6">
        <w:rPr>
          <w:noProof/>
        </w:rPr>
        <w:t>even if non-binding</w:t>
      </w:r>
      <w:r w:rsidR="000F7F41" w:rsidRPr="00A81BD6">
        <w:rPr>
          <w:noProof/>
        </w:rPr>
        <w:t>,</w:t>
      </w:r>
      <w:r w:rsidR="7DE14120" w:rsidRPr="00A81BD6">
        <w:rPr>
          <w:noProof/>
        </w:rPr>
        <w:t xml:space="preserve"> </w:t>
      </w:r>
      <w:r w:rsidR="00D16F8B" w:rsidRPr="00A81BD6">
        <w:rPr>
          <w:noProof/>
        </w:rPr>
        <w:t>will</w:t>
      </w:r>
      <w:r w:rsidR="135711A9" w:rsidRPr="00A81BD6">
        <w:rPr>
          <w:noProof/>
        </w:rPr>
        <w:t xml:space="preserve"> </w:t>
      </w:r>
      <w:r w:rsidR="00D16F8B" w:rsidRPr="00A81BD6">
        <w:rPr>
          <w:noProof/>
        </w:rPr>
        <w:t>be capable of decisively influencing the content of Union law</w:t>
      </w:r>
      <w:bookmarkStart w:id="1" w:name="_Hlk206610653"/>
      <w:r w:rsidR="00D16F8B" w:rsidRPr="00A81BD6">
        <w:rPr>
          <w:noProof/>
        </w:rPr>
        <w:t>, namely</w:t>
      </w:r>
      <w:r w:rsidR="005F439A" w:rsidRPr="00A81BD6">
        <w:rPr>
          <w:noProof/>
        </w:rPr>
        <w:t xml:space="preserve"> </w:t>
      </w:r>
      <w:r w:rsidR="00B300DC" w:rsidRPr="00A81BD6">
        <w:rPr>
          <w:noProof/>
        </w:rPr>
        <w:t xml:space="preserve">Regulation (EU) 2024/1689 </w:t>
      </w:r>
      <w:r w:rsidR="00B300DC" w:rsidRPr="00480AB4">
        <w:rPr>
          <w:noProof/>
        </w:rPr>
        <w:t>of the European Parliament and the Council laying down harmonised rules on artificial intelligence</w:t>
      </w:r>
      <w:r w:rsidR="00A81BD6" w:rsidRPr="00A81BD6">
        <w:rPr>
          <w:noProof/>
        </w:rPr>
        <w:t>.</w:t>
      </w:r>
      <w:bookmarkEnd w:id="1"/>
      <w:r w:rsidR="00B300DC" w:rsidRPr="00A81BD6">
        <w:rPr>
          <w:noProof/>
        </w:rPr>
        <w:t>.</w:t>
      </w:r>
      <w:r w:rsidR="00D16F8B" w:rsidRPr="00A81BD6">
        <w:rPr>
          <w:noProof/>
        </w:rPr>
        <w:t xml:space="preserve"> </w:t>
      </w:r>
    </w:p>
    <w:p w:rsidR="00E92009" w:rsidRDefault="00494AE7" w:rsidP="00494AE7">
      <w:pPr>
        <w:pStyle w:val="ManualConsidrant"/>
        <w:rPr>
          <w:noProof/>
        </w:rPr>
      </w:pPr>
      <w:r w:rsidRPr="00494AE7">
        <w:rPr>
          <w:noProof/>
        </w:rPr>
        <w:t>(7)</w:t>
      </w:r>
      <w:r w:rsidRPr="00494AE7">
        <w:rPr>
          <w:noProof/>
        </w:rPr>
        <w:tab/>
      </w:r>
      <w:r w:rsidR="00C764CF" w:rsidRPr="009048C0">
        <w:rPr>
          <w:noProof/>
        </w:rPr>
        <w:t>T</w:t>
      </w:r>
      <w:r w:rsidR="00D72BA0" w:rsidRPr="009048C0">
        <w:rPr>
          <w:noProof/>
        </w:rPr>
        <w:t>he personal and material scope of the Recommendation coincide</w:t>
      </w:r>
      <w:r w:rsidR="00006DBB" w:rsidRPr="009048C0">
        <w:rPr>
          <w:noProof/>
        </w:rPr>
        <w:t>s</w:t>
      </w:r>
      <w:r w:rsidR="00C764CF" w:rsidRPr="009048C0">
        <w:rPr>
          <w:noProof/>
        </w:rPr>
        <w:t>,</w:t>
      </w:r>
      <w:r w:rsidR="00D72BA0" w:rsidRPr="009048C0">
        <w:rPr>
          <w:noProof/>
        </w:rPr>
        <w:t xml:space="preserve"> </w:t>
      </w:r>
      <w:r w:rsidR="00CD4CB3" w:rsidRPr="009048C0">
        <w:rPr>
          <w:noProof/>
        </w:rPr>
        <w:t>to a large extent</w:t>
      </w:r>
      <w:r w:rsidR="00C764CF" w:rsidRPr="009048C0">
        <w:rPr>
          <w:noProof/>
        </w:rPr>
        <w:t>,</w:t>
      </w:r>
      <w:r w:rsidR="00CD4CB3" w:rsidRPr="009048C0">
        <w:rPr>
          <w:noProof/>
        </w:rPr>
        <w:t xml:space="preserve"> </w:t>
      </w:r>
      <w:r w:rsidR="00D72BA0" w:rsidRPr="009048C0">
        <w:rPr>
          <w:noProof/>
        </w:rPr>
        <w:t xml:space="preserve">with </w:t>
      </w:r>
      <w:r w:rsidR="00CD4CB3" w:rsidRPr="009048C0">
        <w:rPr>
          <w:noProof/>
        </w:rPr>
        <w:t>Regulation (EU) 2024/1689</w:t>
      </w:r>
      <w:r w:rsidR="00E92009">
        <w:rPr>
          <w:noProof/>
        </w:rPr>
        <w:t xml:space="preserve">, which provides for rules for AI that are generally based on full harmonisation within the Union. </w:t>
      </w:r>
    </w:p>
    <w:p w:rsidR="00FE4C8E" w:rsidRPr="00A81BD6" w:rsidRDefault="00494AE7" w:rsidP="00494AE7">
      <w:pPr>
        <w:pStyle w:val="ManualConsidrant"/>
        <w:rPr>
          <w:noProof/>
        </w:rPr>
      </w:pPr>
      <w:r w:rsidRPr="00494AE7">
        <w:rPr>
          <w:noProof/>
        </w:rPr>
        <w:t>(8)</w:t>
      </w:r>
      <w:r w:rsidRPr="00494AE7">
        <w:rPr>
          <w:noProof/>
        </w:rPr>
        <w:tab/>
      </w:r>
      <w:r w:rsidR="00C764CF" w:rsidRPr="00A81BD6">
        <w:rPr>
          <w:noProof/>
        </w:rPr>
        <w:t>T</w:t>
      </w:r>
      <w:r w:rsidR="00D72BA0" w:rsidRPr="00A81BD6">
        <w:rPr>
          <w:noProof/>
        </w:rPr>
        <w:t xml:space="preserve">he adoption of the Recommendation </w:t>
      </w:r>
      <w:r w:rsidR="00F165FC" w:rsidRPr="00A81BD6">
        <w:rPr>
          <w:noProof/>
        </w:rPr>
        <w:t>may affect existing and foreseeable future common Union rules or alter their scope</w:t>
      </w:r>
      <w:r w:rsidR="00A2621E" w:rsidRPr="00A81BD6">
        <w:rPr>
          <w:noProof/>
        </w:rPr>
        <w:t xml:space="preserve"> within the meaning of Article 3(2) TFEU</w:t>
      </w:r>
      <w:r w:rsidR="0056361A" w:rsidRPr="00A81BD6">
        <w:rPr>
          <w:noProof/>
        </w:rPr>
        <w:t>.</w:t>
      </w:r>
      <w:r w:rsidR="00D72BA0" w:rsidRPr="00A81BD6">
        <w:rPr>
          <w:noProof/>
        </w:rPr>
        <w:t xml:space="preserve"> The Union</w:t>
      </w:r>
      <w:r w:rsidR="00182066" w:rsidRPr="00A81BD6">
        <w:rPr>
          <w:noProof/>
        </w:rPr>
        <w:t xml:space="preserve"> therefore</w:t>
      </w:r>
      <w:r w:rsidR="00D72BA0" w:rsidRPr="00A81BD6">
        <w:rPr>
          <w:noProof/>
        </w:rPr>
        <w:t xml:space="preserve"> enjoys</w:t>
      </w:r>
      <w:r w:rsidR="00E75A6C" w:rsidRPr="00A81BD6">
        <w:rPr>
          <w:noProof/>
        </w:rPr>
        <w:t xml:space="preserve"> exclusive external competence to </w:t>
      </w:r>
      <w:r w:rsidR="008C3450" w:rsidRPr="00A81BD6">
        <w:rPr>
          <w:noProof/>
        </w:rPr>
        <w:t xml:space="preserve">take a position on behalf of the </w:t>
      </w:r>
      <w:r w:rsidR="00C90F89" w:rsidRPr="00A81BD6">
        <w:rPr>
          <w:noProof/>
        </w:rPr>
        <w:t xml:space="preserve">Union </w:t>
      </w:r>
      <w:r w:rsidR="00225292" w:rsidRPr="00A81BD6">
        <w:rPr>
          <w:noProof/>
        </w:rPr>
        <w:t>for adoption of the</w:t>
      </w:r>
      <w:r w:rsidR="00ED07D4" w:rsidRPr="00A81BD6">
        <w:rPr>
          <w:noProof/>
        </w:rPr>
        <w:t xml:space="preserve"> R</w:t>
      </w:r>
      <w:r w:rsidR="00225292" w:rsidRPr="00A81BD6">
        <w:rPr>
          <w:noProof/>
        </w:rPr>
        <w:t>ecommendation</w:t>
      </w:r>
      <w:r w:rsidR="000E720F" w:rsidRPr="00A81BD6">
        <w:rPr>
          <w:noProof/>
        </w:rPr>
        <w:t xml:space="preserve">. </w:t>
      </w:r>
    </w:p>
    <w:p w:rsidR="00FE4C8E" w:rsidRPr="00A81BD6" w:rsidRDefault="00494AE7" w:rsidP="00494AE7">
      <w:pPr>
        <w:pStyle w:val="ManualConsidrant"/>
        <w:rPr>
          <w:noProof/>
        </w:rPr>
      </w:pPr>
      <w:r w:rsidRPr="00494AE7">
        <w:rPr>
          <w:noProof/>
        </w:rPr>
        <w:t>(9)</w:t>
      </w:r>
      <w:r w:rsidRPr="00494AE7">
        <w:rPr>
          <w:noProof/>
        </w:rPr>
        <w:tab/>
      </w:r>
      <w:r w:rsidR="00FE4C8E" w:rsidRPr="00A81BD6">
        <w:rPr>
          <w:noProof/>
        </w:rPr>
        <w:t xml:space="preserve">The Union should ensure that the </w:t>
      </w:r>
      <w:r w:rsidR="00A21490" w:rsidRPr="00A81BD6">
        <w:rPr>
          <w:noProof/>
        </w:rPr>
        <w:t>R</w:t>
      </w:r>
      <w:r w:rsidR="00FE4C8E" w:rsidRPr="00A81BD6">
        <w:rPr>
          <w:noProof/>
        </w:rPr>
        <w:t>ecommendation is compatible with Union law and</w:t>
      </w:r>
      <w:r w:rsidR="00F957FB" w:rsidRPr="00A81BD6">
        <w:rPr>
          <w:noProof/>
        </w:rPr>
        <w:t>,</w:t>
      </w:r>
      <w:r w:rsidR="00FE4C8E" w:rsidRPr="00A81BD6">
        <w:rPr>
          <w:noProof/>
        </w:rPr>
        <w:t xml:space="preserve"> for all aspects that are harmonised at Union level</w:t>
      </w:r>
      <w:r w:rsidR="00F957FB" w:rsidRPr="00A81BD6">
        <w:rPr>
          <w:noProof/>
        </w:rPr>
        <w:t>,</w:t>
      </w:r>
      <w:r w:rsidR="00FE4C8E" w:rsidRPr="00A81BD6">
        <w:rPr>
          <w:noProof/>
        </w:rPr>
        <w:t xml:space="preserve"> can be implemented in the U</w:t>
      </w:r>
      <w:r w:rsidR="00F957FB" w:rsidRPr="00A81BD6">
        <w:rPr>
          <w:noProof/>
        </w:rPr>
        <w:t>nion</w:t>
      </w:r>
      <w:r w:rsidR="00FE4C8E" w:rsidRPr="00A81BD6">
        <w:rPr>
          <w:noProof/>
        </w:rPr>
        <w:t xml:space="preserve"> legal order through the existing Union acquis, in particular </w:t>
      </w:r>
      <w:r w:rsidR="005E5CE0" w:rsidRPr="00A81BD6">
        <w:rPr>
          <w:noProof/>
        </w:rPr>
        <w:t xml:space="preserve">Regulation (EU) 2024/1689 </w:t>
      </w:r>
      <w:r w:rsidR="00FE4C8E" w:rsidRPr="00A81BD6">
        <w:rPr>
          <w:noProof/>
        </w:rPr>
        <w:t xml:space="preserve">and </w:t>
      </w:r>
      <w:r w:rsidR="005E5CE0" w:rsidRPr="00A81BD6">
        <w:rPr>
          <w:noProof/>
        </w:rPr>
        <w:t>Directives 2024/1499 and 2024/1500</w:t>
      </w:r>
      <w:r w:rsidR="00FE4C8E" w:rsidRPr="00A81BD6">
        <w:rPr>
          <w:noProof/>
        </w:rPr>
        <w:t>. For specific recommendations that concern the development and use of AI systems that are fully harmonised in the U</w:t>
      </w:r>
      <w:r w:rsidR="00F957FB" w:rsidRPr="00A81BD6">
        <w:rPr>
          <w:noProof/>
        </w:rPr>
        <w:t>nion</w:t>
      </w:r>
      <w:r w:rsidR="00FE4C8E" w:rsidRPr="00A81BD6">
        <w:rPr>
          <w:noProof/>
        </w:rPr>
        <w:t xml:space="preserve">, the Union should aim to ensure </w:t>
      </w:r>
      <w:r w:rsidR="00F957FB" w:rsidRPr="00A81BD6">
        <w:rPr>
          <w:noProof/>
        </w:rPr>
        <w:t xml:space="preserve">that </w:t>
      </w:r>
      <w:r w:rsidR="00FE4C8E" w:rsidRPr="00A81BD6">
        <w:rPr>
          <w:noProof/>
        </w:rPr>
        <w:t xml:space="preserve">the </w:t>
      </w:r>
      <w:r w:rsidR="00A21490" w:rsidRPr="00A81BD6">
        <w:rPr>
          <w:noProof/>
        </w:rPr>
        <w:t>Re</w:t>
      </w:r>
      <w:r w:rsidR="00FE4C8E" w:rsidRPr="00A81BD6">
        <w:rPr>
          <w:noProof/>
        </w:rPr>
        <w:t xml:space="preserve">commendation is consistent with the provisions of the AI Act and the principles set out in the Council of Europe Framework Convention on AI. </w:t>
      </w:r>
    </w:p>
    <w:p w:rsidR="00D72BA0" w:rsidRPr="00A81BD6" w:rsidRDefault="00494AE7" w:rsidP="00494AE7">
      <w:pPr>
        <w:pStyle w:val="ManualConsidrant"/>
        <w:rPr>
          <w:noProof/>
        </w:rPr>
      </w:pPr>
      <w:r w:rsidRPr="00494AE7">
        <w:rPr>
          <w:noProof/>
        </w:rPr>
        <w:t>(10)</w:t>
      </w:r>
      <w:r w:rsidRPr="00494AE7">
        <w:rPr>
          <w:noProof/>
        </w:rPr>
        <w:tab/>
      </w:r>
      <w:r w:rsidR="00E92009">
        <w:rPr>
          <w:noProof/>
        </w:rPr>
        <w:t>Provided that these conditions are met, the Recommendation may be approved on behalf of the Union. at t</w:t>
      </w:r>
      <w:r w:rsidR="4152418B" w:rsidRPr="00A81BD6">
        <w:rPr>
          <w:noProof/>
        </w:rPr>
        <w:t>he joint plenary session of the GEC</w:t>
      </w:r>
      <w:r w:rsidR="00F95438" w:rsidRPr="00A81BD6">
        <w:rPr>
          <w:noProof/>
        </w:rPr>
        <w:t xml:space="preserve"> and the </w:t>
      </w:r>
      <w:r w:rsidR="4152418B" w:rsidRPr="00A81BD6">
        <w:rPr>
          <w:noProof/>
        </w:rPr>
        <w:t xml:space="preserve">CDADI </w:t>
      </w:r>
      <w:r w:rsidR="00E92009">
        <w:rPr>
          <w:noProof/>
        </w:rPr>
        <w:t xml:space="preserve">that is going to take place on 18-20 November 2025 </w:t>
      </w:r>
      <w:r w:rsidR="00377806" w:rsidRPr="00A81BD6">
        <w:rPr>
          <w:noProof/>
        </w:rPr>
        <w:t xml:space="preserve">and </w:t>
      </w:r>
      <w:r w:rsidR="0094170E" w:rsidRPr="00A81BD6">
        <w:rPr>
          <w:noProof/>
        </w:rPr>
        <w:t xml:space="preserve">at </w:t>
      </w:r>
      <w:r w:rsidR="00006DBB" w:rsidRPr="00A81BD6">
        <w:rPr>
          <w:noProof/>
        </w:rPr>
        <w:t xml:space="preserve">a subsequent meeting of </w:t>
      </w:r>
      <w:r w:rsidR="00ED07D4" w:rsidRPr="00A81BD6">
        <w:rPr>
          <w:noProof/>
        </w:rPr>
        <w:t>the Committee of Minister</w:t>
      </w:r>
      <w:r w:rsidR="5FDBA680" w:rsidRPr="00A81BD6">
        <w:rPr>
          <w:noProof/>
        </w:rPr>
        <w:t>s</w:t>
      </w:r>
      <w:r w:rsidR="00903B16" w:rsidRPr="00A81BD6">
        <w:rPr>
          <w:noProof/>
        </w:rPr>
        <w:t>.</w:t>
      </w:r>
      <w:r w:rsidR="006C70E4" w:rsidRPr="00A81BD6">
        <w:rPr>
          <w:noProof/>
        </w:rPr>
        <w:t xml:space="preserve"> </w:t>
      </w:r>
    </w:p>
    <w:p w:rsidR="00D16F8B" w:rsidRPr="00A81BD6" w:rsidRDefault="00494AE7" w:rsidP="00494AE7">
      <w:pPr>
        <w:pStyle w:val="ManualConsidrant"/>
        <w:rPr>
          <w:noProof/>
        </w:rPr>
      </w:pPr>
      <w:r w:rsidRPr="00494AE7">
        <w:rPr>
          <w:noProof/>
        </w:rPr>
        <w:t>(11)</w:t>
      </w:r>
      <w:r w:rsidRPr="00494AE7">
        <w:rPr>
          <w:noProof/>
        </w:rPr>
        <w:tab/>
      </w:r>
      <w:r w:rsidR="00E92009">
        <w:rPr>
          <w:noProof/>
        </w:rPr>
        <w:t xml:space="preserve">As the Union is not a member of the Council of Europe but all of its Member States are, the Union’s position is to be expressed by its Member States, acting jointly. </w:t>
      </w:r>
    </w:p>
    <w:p w:rsidR="00060601" w:rsidRPr="00A81BD6" w:rsidRDefault="00060601" w:rsidP="00060601">
      <w:pPr>
        <w:rPr>
          <w:noProof/>
        </w:rPr>
      </w:pPr>
    </w:p>
    <w:p w:rsidR="006C70E4" w:rsidRPr="00A81BD6" w:rsidRDefault="00D16F8B" w:rsidP="00042CC4">
      <w:pPr>
        <w:pStyle w:val="Formuledadoption"/>
        <w:rPr>
          <w:noProof/>
        </w:rPr>
      </w:pPr>
      <w:r w:rsidRPr="00A81BD6">
        <w:rPr>
          <w:noProof/>
        </w:rPr>
        <w:t>HAS ADOPTED THIS DECISION:</w:t>
      </w:r>
    </w:p>
    <w:p w:rsidR="00D16F8B" w:rsidRPr="00A81BD6" w:rsidRDefault="00D16F8B" w:rsidP="0057479C">
      <w:pPr>
        <w:pStyle w:val="Titrearticle"/>
        <w:rPr>
          <w:noProof/>
        </w:rPr>
      </w:pPr>
      <w:r w:rsidRPr="00A81BD6">
        <w:rPr>
          <w:noProof/>
        </w:rPr>
        <w:t>Article 1</w:t>
      </w:r>
    </w:p>
    <w:p w:rsidR="00D16F8B" w:rsidRPr="00A81BD6" w:rsidRDefault="00D16F8B" w:rsidP="293C5AD4">
      <w:pPr>
        <w:rPr>
          <w:noProof/>
        </w:rPr>
      </w:pPr>
      <w:bookmarkStart w:id="2" w:name="_Hlk206610436"/>
      <w:r w:rsidRPr="00A81BD6">
        <w:rPr>
          <w:noProof/>
        </w:rPr>
        <w:t>The position to be taken on the Union's behalf in the</w:t>
      </w:r>
      <w:r w:rsidR="00AF6F97" w:rsidRPr="00A81BD6">
        <w:rPr>
          <w:noProof/>
        </w:rPr>
        <w:t xml:space="preserve"> joint plenary session of the GEC and the CDADI</w:t>
      </w:r>
      <w:r w:rsidR="00DD4BDA" w:rsidRPr="00A81BD6">
        <w:rPr>
          <w:noProof/>
        </w:rPr>
        <w:t>,</w:t>
      </w:r>
      <w:r w:rsidR="00AF6F97" w:rsidRPr="00A81BD6">
        <w:rPr>
          <w:noProof/>
        </w:rPr>
        <w:t xml:space="preserve"> </w:t>
      </w:r>
      <w:r w:rsidR="00A90A44" w:rsidRPr="00A81BD6">
        <w:rPr>
          <w:noProof/>
        </w:rPr>
        <w:t xml:space="preserve">as well as in the meeting of the </w:t>
      </w:r>
      <w:r w:rsidR="001A20F5" w:rsidRPr="00A81BD6">
        <w:rPr>
          <w:noProof/>
        </w:rPr>
        <w:t xml:space="preserve">Committee </w:t>
      </w:r>
      <w:r w:rsidR="00A90A44" w:rsidRPr="00A81BD6">
        <w:rPr>
          <w:noProof/>
        </w:rPr>
        <w:t>of Ministers</w:t>
      </w:r>
      <w:r w:rsidR="00DD4BDA" w:rsidRPr="00A81BD6">
        <w:rPr>
          <w:noProof/>
        </w:rPr>
        <w:t>,</w:t>
      </w:r>
      <w:r w:rsidR="00A90A44" w:rsidRPr="00A81BD6">
        <w:rPr>
          <w:noProof/>
        </w:rPr>
        <w:t xml:space="preserve"> </w:t>
      </w:r>
      <w:r w:rsidR="00AF6F97" w:rsidRPr="00A81BD6">
        <w:rPr>
          <w:noProof/>
        </w:rPr>
        <w:t xml:space="preserve">shall be to not object </w:t>
      </w:r>
      <w:r w:rsidR="00A90A44" w:rsidRPr="00A81BD6">
        <w:rPr>
          <w:noProof/>
        </w:rPr>
        <w:t>to the adoption of the Recommendation on AI and Equality, provided</w:t>
      </w:r>
      <w:r w:rsidR="5D88674B" w:rsidRPr="00A81BD6">
        <w:rPr>
          <w:noProof/>
        </w:rPr>
        <w:t xml:space="preserve"> that</w:t>
      </w:r>
      <w:r w:rsidR="00E862EB" w:rsidRPr="00A81BD6">
        <w:rPr>
          <w:noProof/>
        </w:rPr>
        <w:t xml:space="preserve"> the </w:t>
      </w:r>
      <w:r w:rsidR="00A72830" w:rsidRPr="00A81BD6">
        <w:rPr>
          <w:noProof/>
        </w:rPr>
        <w:t xml:space="preserve">following conditions </w:t>
      </w:r>
      <w:r w:rsidR="00E862EB" w:rsidRPr="00A81BD6">
        <w:rPr>
          <w:noProof/>
        </w:rPr>
        <w:t xml:space="preserve">are </w:t>
      </w:r>
      <w:r w:rsidR="00202289" w:rsidRPr="00A81BD6">
        <w:rPr>
          <w:noProof/>
        </w:rPr>
        <w:t>taken into account</w:t>
      </w:r>
      <w:r w:rsidR="00A72830" w:rsidRPr="00A81BD6">
        <w:rPr>
          <w:noProof/>
        </w:rPr>
        <w:t>:</w:t>
      </w:r>
      <w:r w:rsidR="00E862EB" w:rsidRPr="00A81BD6">
        <w:rPr>
          <w:noProof/>
        </w:rPr>
        <w:t xml:space="preserve"> </w:t>
      </w:r>
    </w:p>
    <w:p w:rsidR="00BA6F1E" w:rsidRPr="00A81BD6" w:rsidRDefault="00494AE7" w:rsidP="00494AE7">
      <w:pPr>
        <w:pStyle w:val="ManualNumPar1"/>
        <w:rPr>
          <w:noProof/>
        </w:rPr>
      </w:pPr>
      <w:r w:rsidRPr="00494AE7">
        <w:rPr>
          <w:noProof/>
        </w:rPr>
        <w:t>1.</w:t>
      </w:r>
      <w:r w:rsidRPr="00494AE7">
        <w:rPr>
          <w:noProof/>
        </w:rPr>
        <w:tab/>
      </w:r>
      <w:r w:rsidR="00BA6F1E" w:rsidRPr="00A81BD6">
        <w:rPr>
          <w:noProof/>
        </w:rPr>
        <w:t xml:space="preserve">Measures concerning actors within the lifecycle of AI systems do not exceed obligations established under the AI Act which generally fully harmonises the rules for AI in the Union, including in the area of equality. In particular, the Recommendation should allow sufficient flexibility in </w:t>
      </w:r>
      <w:r w:rsidR="00FB7B22">
        <w:rPr>
          <w:noProof/>
        </w:rPr>
        <w:t>its</w:t>
      </w:r>
      <w:r w:rsidR="00BA6F1E" w:rsidRPr="00A81BD6">
        <w:rPr>
          <w:noProof/>
        </w:rPr>
        <w:t xml:space="preserve"> implementation</w:t>
      </w:r>
      <w:r w:rsidR="00A81BD6" w:rsidRPr="00A81BD6">
        <w:rPr>
          <w:noProof/>
        </w:rPr>
        <w:t xml:space="preserve"> </w:t>
      </w:r>
      <w:r w:rsidR="00FB7B22">
        <w:rPr>
          <w:noProof/>
        </w:rPr>
        <w:t xml:space="preserve">, </w:t>
      </w:r>
      <w:r w:rsidR="00BA6F1E" w:rsidRPr="00A81BD6">
        <w:rPr>
          <w:noProof/>
        </w:rPr>
        <w:t>in line with the approach of the Framework Convention. It should also avoid recommending the introduction of additional positive obligations in relation to the promotion of equality by providers and deployers of AI systems as well as imposing an open-ended restriction on the use of AI.</w:t>
      </w:r>
    </w:p>
    <w:p w:rsidR="00BA6F1E" w:rsidRPr="00A81BD6" w:rsidRDefault="00494AE7" w:rsidP="00494AE7">
      <w:pPr>
        <w:pStyle w:val="ManualNumPar1"/>
        <w:rPr>
          <w:noProof/>
        </w:rPr>
      </w:pPr>
      <w:r w:rsidRPr="00494AE7">
        <w:rPr>
          <w:noProof/>
        </w:rPr>
        <w:t>2.</w:t>
      </w:r>
      <w:r w:rsidRPr="00494AE7">
        <w:rPr>
          <w:noProof/>
        </w:rPr>
        <w:tab/>
      </w:r>
      <w:r w:rsidR="00BA6F1E" w:rsidRPr="00A81BD6">
        <w:rPr>
          <w:noProof/>
        </w:rPr>
        <w:t>The formulation of the measures and standards within the Recommendation needs to ensure consistency and interoperability with the Union legal framework, both terminologically and substantively.</w:t>
      </w:r>
    </w:p>
    <w:p w:rsidR="00BA6F1E" w:rsidRPr="00A81BD6" w:rsidRDefault="00494AE7" w:rsidP="00494AE7">
      <w:pPr>
        <w:pStyle w:val="ManualNumPar1"/>
        <w:rPr>
          <w:noProof/>
        </w:rPr>
      </w:pPr>
      <w:r w:rsidRPr="00494AE7">
        <w:rPr>
          <w:noProof/>
        </w:rPr>
        <w:t>3.</w:t>
      </w:r>
      <w:r w:rsidRPr="00494AE7">
        <w:rPr>
          <w:noProof/>
        </w:rPr>
        <w:tab/>
      </w:r>
      <w:r w:rsidR="00BA6F1E" w:rsidRPr="00A81BD6">
        <w:rPr>
          <w:noProof/>
        </w:rPr>
        <w:t xml:space="preserve">Safeguards relating to human review and appeal procedures </w:t>
      </w:r>
      <w:r w:rsidR="00F81FE0" w:rsidRPr="00A81BD6">
        <w:rPr>
          <w:noProof/>
        </w:rPr>
        <w:t>must</w:t>
      </w:r>
      <w:r w:rsidR="000D2F24" w:rsidRPr="00A81BD6">
        <w:rPr>
          <w:noProof/>
        </w:rPr>
        <w:t xml:space="preserve"> be </w:t>
      </w:r>
      <w:r w:rsidR="00BA6F1E" w:rsidRPr="00A81BD6">
        <w:rPr>
          <w:noProof/>
        </w:rPr>
        <w:t xml:space="preserve">consistent with both the AI Act and the Framework Convention, thereby ensuring coherence between the two instruments while avoiding the introduction of AI specific obligations for providers or deployers of AI systems not contemplated in the Union </w:t>
      </w:r>
      <w:r w:rsidR="00BA6F1E" w:rsidRPr="00480AB4">
        <w:rPr>
          <w:i/>
          <w:iCs/>
          <w:noProof/>
        </w:rPr>
        <w:t>acquis</w:t>
      </w:r>
      <w:r w:rsidR="00BA6F1E" w:rsidRPr="00A81BD6">
        <w:rPr>
          <w:noProof/>
        </w:rPr>
        <w:t xml:space="preserve">. </w:t>
      </w:r>
    </w:p>
    <w:bookmarkEnd w:id="2"/>
    <w:p w:rsidR="000C2A9E" w:rsidRPr="00A81BD6" w:rsidRDefault="00494AE7" w:rsidP="00494AE7">
      <w:pPr>
        <w:pStyle w:val="ManualNumPar1"/>
        <w:rPr>
          <w:noProof/>
        </w:rPr>
      </w:pPr>
      <w:r w:rsidRPr="00494AE7">
        <w:rPr>
          <w:noProof/>
        </w:rPr>
        <w:t>4.</w:t>
      </w:r>
      <w:r w:rsidRPr="00494AE7">
        <w:rPr>
          <w:noProof/>
        </w:rPr>
        <w:tab/>
      </w:r>
      <w:r w:rsidR="00BA6F1E" w:rsidRPr="00A81BD6">
        <w:rPr>
          <w:noProof/>
        </w:rPr>
        <w:t xml:space="preserve">The scope of sectors identified </w:t>
      </w:r>
      <w:r w:rsidR="000D2F24" w:rsidRPr="00A81BD6">
        <w:rPr>
          <w:noProof/>
        </w:rPr>
        <w:t>in the</w:t>
      </w:r>
      <w:r w:rsidR="00BA6F1E" w:rsidRPr="00A81BD6">
        <w:rPr>
          <w:noProof/>
        </w:rPr>
        <w:t xml:space="preserve"> Recommendation as requiring particular attention </w:t>
      </w:r>
      <w:r w:rsidR="00BF6F5F" w:rsidRPr="00A81BD6">
        <w:rPr>
          <w:noProof/>
        </w:rPr>
        <w:t>should</w:t>
      </w:r>
      <w:r w:rsidR="00BA6F1E" w:rsidRPr="00A81BD6">
        <w:rPr>
          <w:noProof/>
        </w:rPr>
        <w:t xml:space="preserve"> ensure consisten</w:t>
      </w:r>
      <w:r w:rsidR="00A81BD6" w:rsidRPr="00A81BD6">
        <w:rPr>
          <w:noProof/>
        </w:rPr>
        <w:t>cy with</w:t>
      </w:r>
      <w:r w:rsidR="00BA6F1E" w:rsidRPr="00A81BD6">
        <w:rPr>
          <w:noProof/>
        </w:rPr>
        <w:t xml:space="preserve"> </w:t>
      </w:r>
      <w:r w:rsidR="00A81BD6" w:rsidRPr="00A81BD6">
        <w:rPr>
          <w:noProof/>
        </w:rPr>
        <w:t xml:space="preserve">and </w:t>
      </w:r>
      <w:r w:rsidR="00BA6F1E" w:rsidRPr="00A81BD6">
        <w:rPr>
          <w:noProof/>
        </w:rPr>
        <w:t xml:space="preserve"> not go beyond the high-risk areas defined under the AI Act (Annexes I and III)</w:t>
      </w:r>
      <w:r w:rsidR="1A848F99" w:rsidRPr="00A81BD6">
        <w:rPr>
          <w:noProof/>
        </w:rPr>
        <w:t>. A</w:t>
      </w:r>
      <w:r w:rsidR="00BA6F1E" w:rsidRPr="00A81BD6">
        <w:rPr>
          <w:noProof/>
        </w:rPr>
        <w:t>lternatively</w:t>
      </w:r>
      <w:r w:rsidR="57346442" w:rsidRPr="00A81BD6">
        <w:rPr>
          <w:noProof/>
        </w:rPr>
        <w:t xml:space="preserve">, the </w:t>
      </w:r>
      <w:r w:rsidR="0075421B" w:rsidRPr="00A81BD6">
        <w:rPr>
          <w:noProof/>
        </w:rPr>
        <w:t xml:space="preserve">Recommendation should differentiate </w:t>
      </w:r>
      <w:r w:rsidR="000E6156" w:rsidRPr="00A81BD6">
        <w:rPr>
          <w:noProof/>
        </w:rPr>
        <w:t xml:space="preserve">in an appropriate manner </w:t>
      </w:r>
      <w:r w:rsidR="0075421B" w:rsidRPr="00A81BD6">
        <w:rPr>
          <w:noProof/>
        </w:rPr>
        <w:t xml:space="preserve">between </w:t>
      </w:r>
      <w:r w:rsidR="00E64C59" w:rsidRPr="00A81BD6">
        <w:rPr>
          <w:noProof/>
        </w:rPr>
        <w:t xml:space="preserve">the treatment of the sectors </w:t>
      </w:r>
      <w:r w:rsidR="00BA6F1E" w:rsidRPr="00A81BD6">
        <w:rPr>
          <w:noProof/>
        </w:rPr>
        <w:t>in terms of monitoring actions or other sufficiently flexible approaches.</w:t>
      </w:r>
    </w:p>
    <w:p w:rsidR="00D16F8B" w:rsidRPr="00A81BD6" w:rsidRDefault="00D16F8B" w:rsidP="00480AB4">
      <w:pPr>
        <w:pStyle w:val="Titrearticle"/>
        <w:rPr>
          <w:noProof/>
        </w:rPr>
      </w:pPr>
      <w:r w:rsidRPr="00A81BD6">
        <w:rPr>
          <w:noProof/>
        </w:rPr>
        <w:t>Article</w:t>
      </w:r>
      <w:r w:rsidR="00AF6F97" w:rsidRPr="00A81BD6">
        <w:rPr>
          <w:noProof/>
        </w:rPr>
        <w:t xml:space="preserve"> 2</w:t>
      </w:r>
    </w:p>
    <w:p w:rsidR="00D16F8B" w:rsidRPr="00A81BD6" w:rsidRDefault="00D16F8B" w:rsidP="0057479C">
      <w:pPr>
        <w:rPr>
          <w:noProof/>
        </w:rPr>
      </w:pPr>
      <w:r w:rsidRPr="00A81BD6">
        <w:rPr>
          <w:noProof/>
        </w:rPr>
        <w:t>The position referred to in Article 1 shall be expressed by the Member States</w:t>
      </w:r>
      <w:r w:rsidR="00AF6F97" w:rsidRPr="00A81BD6">
        <w:rPr>
          <w:noProof/>
        </w:rPr>
        <w:t xml:space="preserve"> </w:t>
      </w:r>
      <w:r w:rsidRPr="00A81BD6">
        <w:rPr>
          <w:noProof/>
        </w:rPr>
        <w:t xml:space="preserve">of the Union that </w:t>
      </w:r>
      <w:r w:rsidR="00AF6F97" w:rsidRPr="00A81BD6">
        <w:rPr>
          <w:noProof/>
        </w:rPr>
        <w:t>are members</w:t>
      </w:r>
      <w:r w:rsidRPr="00A81BD6">
        <w:rPr>
          <w:noProof/>
        </w:rPr>
        <w:t xml:space="preserve"> of the</w:t>
      </w:r>
      <w:r w:rsidR="00AF6F97" w:rsidRPr="00A81BD6">
        <w:rPr>
          <w:noProof/>
        </w:rPr>
        <w:t xml:space="preserve"> </w:t>
      </w:r>
      <w:r w:rsidR="00B300DC" w:rsidRPr="00A81BD6">
        <w:rPr>
          <w:noProof/>
        </w:rPr>
        <w:t>Council of Europe</w:t>
      </w:r>
      <w:r w:rsidRPr="00A81BD6">
        <w:rPr>
          <w:noProof/>
        </w:rPr>
        <w:t>, acting jointly.</w:t>
      </w:r>
    </w:p>
    <w:p w:rsidR="00D16F8B" w:rsidRPr="00A81BD6" w:rsidRDefault="00D16F8B" w:rsidP="00855573">
      <w:pPr>
        <w:pStyle w:val="Titrearticle"/>
        <w:rPr>
          <w:noProof/>
        </w:rPr>
      </w:pPr>
      <w:r w:rsidRPr="00A81BD6">
        <w:rPr>
          <w:noProof/>
        </w:rPr>
        <w:t>Article</w:t>
      </w:r>
      <w:r w:rsidR="00AF6F97" w:rsidRPr="00A81BD6">
        <w:rPr>
          <w:noProof/>
        </w:rPr>
        <w:t xml:space="preserve"> 3</w:t>
      </w:r>
    </w:p>
    <w:p w:rsidR="00D16F8B" w:rsidRPr="00A81BD6" w:rsidRDefault="00D16F8B" w:rsidP="0057479C">
      <w:pPr>
        <w:rPr>
          <w:noProof/>
        </w:rPr>
      </w:pPr>
      <w:r w:rsidRPr="00A81BD6">
        <w:rPr>
          <w:noProof/>
        </w:rPr>
        <w:t>This Decision is addressed to the Member States</w:t>
      </w:r>
      <w:r w:rsidRPr="00A81BD6">
        <w:rPr>
          <w:i/>
          <w:noProof/>
        </w:rPr>
        <w:t>.</w:t>
      </w:r>
    </w:p>
    <w:p w:rsidR="00D16F8B" w:rsidRPr="00A81BD6" w:rsidRDefault="005E6B64" w:rsidP="00855573">
      <w:pPr>
        <w:pStyle w:val="Fait"/>
        <w:rPr>
          <w:noProof/>
        </w:rPr>
      </w:pPr>
      <w:r>
        <w:rPr>
          <w:noProof/>
        </w:rPr>
        <w:t>Done at Brussels,</w:t>
      </w:r>
    </w:p>
    <w:p w:rsidR="00D16F8B" w:rsidRPr="00A81BD6" w:rsidRDefault="00D16F8B" w:rsidP="00855573">
      <w:pPr>
        <w:pStyle w:val="Institutionquisigne"/>
        <w:rPr>
          <w:noProof/>
        </w:rPr>
      </w:pPr>
      <w:r w:rsidRPr="00A81BD6">
        <w:rPr>
          <w:noProof/>
        </w:rPr>
        <w:tab/>
        <w:t>For the Council</w:t>
      </w:r>
    </w:p>
    <w:p w:rsidR="00D16F8B" w:rsidRPr="00D16F8B" w:rsidRDefault="00D16F8B" w:rsidP="00D16F8B">
      <w:pPr>
        <w:pStyle w:val="Personnequisigne"/>
        <w:rPr>
          <w:noProof/>
        </w:rPr>
      </w:pPr>
      <w:r w:rsidRPr="00A81BD6">
        <w:rPr>
          <w:noProof/>
        </w:rPr>
        <w:tab/>
        <w:t>The President</w:t>
      </w:r>
    </w:p>
    <w:sectPr w:rsidR="00D16F8B" w:rsidRPr="00D16F8B" w:rsidSect="00B239E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52A" w:rsidRDefault="0044752A" w:rsidP="00D16F8B">
      <w:pPr>
        <w:spacing w:before="0" w:after="0"/>
      </w:pPr>
      <w:r>
        <w:separator/>
      </w:r>
    </w:p>
  </w:endnote>
  <w:endnote w:type="continuationSeparator" w:id="0">
    <w:p w:rsidR="0044752A" w:rsidRDefault="0044752A" w:rsidP="00D16F8B">
      <w:pPr>
        <w:spacing w:before="0" w:after="0"/>
      </w:pPr>
      <w:r>
        <w:continuationSeparator/>
      </w:r>
    </w:p>
  </w:endnote>
  <w:endnote w:type="continuationNotice" w:id="1">
    <w:p w:rsidR="0044752A" w:rsidRDefault="0044752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9E1" w:rsidRPr="00B239E1" w:rsidRDefault="00B239E1" w:rsidP="00B239E1">
    <w:pPr>
      <w:pStyle w:val="Footer"/>
      <w:rPr>
        <w:rFonts w:ascii="Arial" w:hAnsi="Arial" w:cs="Arial"/>
        <w:b/>
        <w:sz w:val="48"/>
      </w:rPr>
    </w:pPr>
    <w:r w:rsidRPr="00B239E1">
      <w:rPr>
        <w:rFonts w:ascii="Arial" w:hAnsi="Arial" w:cs="Arial"/>
        <w:b/>
        <w:sz w:val="48"/>
      </w:rPr>
      <w:t>EN</w:t>
    </w:r>
    <w:r w:rsidRPr="00B239E1">
      <w:rPr>
        <w:rFonts w:ascii="Arial" w:hAnsi="Arial" w:cs="Arial"/>
        <w:b/>
        <w:sz w:val="48"/>
      </w:rPr>
      <w:tab/>
    </w:r>
    <w:r w:rsidRPr="00B239E1">
      <w:rPr>
        <w:rFonts w:ascii="Arial" w:hAnsi="Arial" w:cs="Arial"/>
        <w:b/>
        <w:sz w:val="48"/>
      </w:rPr>
      <w:tab/>
    </w:r>
    <w:r w:rsidRPr="00B239E1">
      <w:tab/>
    </w:r>
    <w:r w:rsidRPr="00B239E1">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9E1" w:rsidRPr="00B239E1" w:rsidRDefault="00B239E1" w:rsidP="00B239E1">
    <w:pPr>
      <w:pStyle w:val="Footer"/>
      <w:rPr>
        <w:rFonts w:ascii="Arial" w:hAnsi="Arial" w:cs="Arial"/>
        <w:b/>
        <w:sz w:val="48"/>
      </w:rPr>
    </w:pPr>
    <w:r w:rsidRPr="00B239E1">
      <w:rPr>
        <w:rFonts w:ascii="Arial" w:hAnsi="Arial" w:cs="Arial"/>
        <w:b/>
        <w:sz w:val="48"/>
      </w:rPr>
      <w:t>EN</w:t>
    </w:r>
    <w:r w:rsidRPr="00B239E1">
      <w:rPr>
        <w:rFonts w:ascii="Arial" w:hAnsi="Arial" w:cs="Arial"/>
        <w:b/>
        <w:sz w:val="48"/>
      </w:rPr>
      <w:tab/>
    </w:r>
    <w:r w:rsidRPr="00B239E1">
      <w:rPr>
        <w:rFonts w:ascii="Arial" w:hAnsi="Arial" w:cs="Arial"/>
        <w:b/>
        <w:sz w:val="48"/>
      </w:rPr>
      <w:tab/>
    </w:r>
    <w:r w:rsidRPr="00B239E1">
      <w:tab/>
    </w:r>
    <w:r w:rsidRPr="00B239E1">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9E1" w:rsidRDefault="00B239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9E1" w:rsidRPr="00B239E1" w:rsidRDefault="00B239E1" w:rsidP="00B239E1">
    <w:pPr>
      <w:pStyle w:val="Footer"/>
      <w:rPr>
        <w:rFonts w:ascii="Arial" w:hAnsi="Arial" w:cs="Arial"/>
        <w:b/>
        <w:sz w:val="48"/>
      </w:rPr>
    </w:pPr>
    <w:r w:rsidRPr="00B239E1">
      <w:rPr>
        <w:rFonts w:ascii="Arial" w:hAnsi="Arial" w:cs="Arial"/>
        <w:b/>
        <w:sz w:val="48"/>
      </w:rPr>
      <w:t>EN</w:t>
    </w:r>
    <w:r w:rsidRPr="00B239E1">
      <w:rPr>
        <w:rFonts w:ascii="Arial" w:hAnsi="Arial" w:cs="Arial"/>
        <w:b/>
        <w:sz w:val="48"/>
      </w:rPr>
      <w:tab/>
    </w:r>
    <w:r>
      <w:fldChar w:fldCharType="begin"/>
    </w:r>
    <w:r>
      <w:instrText xml:space="preserve"> PAGE  \* MERGEFORMAT </w:instrText>
    </w:r>
    <w:r>
      <w:fldChar w:fldCharType="separate"/>
    </w:r>
    <w:r w:rsidR="00855573">
      <w:rPr>
        <w:noProof/>
      </w:rPr>
      <w:t>11</w:t>
    </w:r>
    <w:r>
      <w:fldChar w:fldCharType="end"/>
    </w:r>
    <w:r>
      <w:tab/>
    </w:r>
    <w:r w:rsidRPr="00B239E1">
      <w:tab/>
    </w:r>
    <w:r w:rsidRPr="00B239E1">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9E1" w:rsidRDefault="00B239E1" w:rsidP="00B23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52A" w:rsidRDefault="0044752A" w:rsidP="00D16F8B">
      <w:pPr>
        <w:spacing w:before="0" w:after="0"/>
      </w:pPr>
      <w:r>
        <w:separator/>
      </w:r>
    </w:p>
  </w:footnote>
  <w:footnote w:type="continuationSeparator" w:id="0">
    <w:p w:rsidR="0044752A" w:rsidRDefault="0044752A" w:rsidP="00D16F8B">
      <w:pPr>
        <w:spacing w:before="0" w:after="0"/>
      </w:pPr>
      <w:r>
        <w:continuationSeparator/>
      </w:r>
    </w:p>
  </w:footnote>
  <w:footnote w:type="continuationNotice" w:id="1">
    <w:p w:rsidR="0044752A" w:rsidRDefault="0044752A">
      <w:pPr>
        <w:spacing w:before="0" w:after="0"/>
      </w:pPr>
    </w:p>
  </w:footnote>
  <w:footnote w:id="2">
    <w:p w:rsidR="009048C0" w:rsidRPr="0044752A" w:rsidRDefault="009048C0" w:rsidP="009048C0">
      <w:pPr>
        <w:pStyle w:val="FootnoteText"/>
        <w:rPr>
          <w:lang w:val="en-IE"/>
        </w:rPr>
      </w:pPr>
      <w:r>
        <w:rPr>
          <w:rStyle w:val="FootnoteReference"/>
        </w:rPr>
        <w:footnoteRef/>
      </w:r>
      <w:r w:rsidRPr="009048C0">
        <w:rPr>
          <w:lang w:val="en-IE"/>
        </w:rPr>
        <w:tab/>
      </w:r>
      <w:r w:rsidRPr="009048C0">
        <w:t>Regulation (EU) 2024/1689 of the European Parliament and of the Council of 13 June 2024 laying down harmonised rules on artificial intelligence and amending Regulations (EC) No 300/2008, (EU) No 167/2013, (EU) No 168/2013, (EU) 2018/858, (EU) 2018/1139 and (EU) 2019/2144 and Directives 2014/90/EU, (EU) 2016/797 and (EU) 2020/1828 (Artificial Intelligence Act)</w:t>
      </w:r>
    </w:p>
  </w:footnote>
  <w:footnote w:id="3">
    <w:p w:rsidR="009048C0" w:rsidRPr="009048C0" w:rsidRDefault="009048C0">
      <w:pPr>
        <w:pStyle w:val="FootnoteText"/>
        <w:rPr>
          <w:lang w:val="en-IE"/>
        </w:rPr>
      </w:pPr>
      <w:r>
        <w:rPr>
          <w:rStyle w:val="FootnoteReference"/>
        </w:rPr>
        <w:footnoteRef/>
      </w:r>
      <w:r w:rsidRPr="009048C0">
        <w:rPr>
          <w:lang w:val="en-IE"/>
        </w:rPr>
        <w:tab/>
      </w:r>
      <w:r>
        <w:t xml:space="preserve">In particular, the two Directives on standards for equality bodies </w:t>
      </w:r>
      <w:r w:rsidRPr="00B616BA">
        <w:t>Council Directive (EU) 2024/1499 of 7 May 2024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w:t>
      </w:r>
      <w:r>
        <w:t xml:space="preserve">; : </w:t>
      </w:r>
      <w:r w:rsidRPr="0090335C">
        <w:t>Directive (EU) 2024/1500 of the European Parliament and of the Council of 14 May 2024 on standards for equality bodies in the field of equal treatment and equal opportunities between women and men in matters of employment and occupation, and amending Directives 2006/54/EC and 2010/41/EU</w:t>
      </w:r>
      <w:r>
        <w:t>.</w:t>
      </w:r>
    </w:p>
  </w:footnote>
  <w:footnote w:id="4">
    <w:p w:rsidR="009048C0" w:rsidRPr="009048C0" w:rsidRDefault="009048C0">
      <w:pPr>
        <w:pStyle w:val="FootnoteText"/>
        <w:rPr>
          <w:lang w:val="en-IE"/>
        </w:rPr>
      </w:pPr>
      <w:r>
        <w:rPr>
          <w:rStyle w:val="FootnoteReference"/>
        </w:rPr>
        <w:footnoteRef/>
      </w:r>
      <w:r w:rsidRPr="009048C0">
        <w:rPr>
          <w:lang w:val="en-IE"/>
        </w:rPr>
        <w:tab/>
      </w:r>
      <w:r>
        <w:t>Meeting report of the 7</w:t>
      </w:r>
      <w:r w:rsidRPr="3B7DA438">
        <w:rPr>
          <w:vertAlign w:val="superscript"/>
        </w:rPr>
        <w:t>th</w:t>
      </w:r>
      <w:r>
        <w:t xml:space="preserve"> Plenary Meeting of the Steering Committee on Anti-Discrimination, Diversity and Inclusion (CDADI), 27-29 June 2023, CDADI (2023)13, </w:t>
      </w:r>
      <w:hyperlink r:id="rId1" w:history="1">
        <w:r w:rsidRPr="3B7DA438">
          <w:rPr>
            <w:rStyle w:val="Hyperlink"/>
          </w:rPr>
          <w:t>https://rm.coe.int/7th-plenary-meeting-27-29-june-2023-report/488010b9d5</w:t>
        </w:r>
      </w:hyperlink>
      <w:r>
        <w:t xml:space="preserve">.  </w:t>
      </w:r>
    </w:p>
  </w:footnote>
  <w:footnote w:id="5">
    <w:p w:rsidR="00A72830" w:rsidRPr="00302CC7" w:rsidRDefault="00A72830" w:rsidP="00A72830">
      <w:pPr>
        <w:pStyle w:val="FootnoteText"/>
        <w:rPr>
          <w:lang w:val="en-IE"/>
        </w:rPr>
      </w:pPr>
      <w:r>
        <w:rPr>
          <w:rStyle w:val="FootnoteReference"/>
        </w:rPr>
        <w:footnoteRef/>
      </w:r>
      <w:r w:rsidRPr="00302CC7">
        <w:rPr>
          <w:lang w:val="en-IE"/>
        </w:rPr>
        <w:tab/>
      </w:r>
      <w:r w:rsidRPr="14C6AB5F">
        <w:rPr>
          <w:i/>
          <w:iCs/>
          <w:lang w:val="en-IE"/>
        </w:rPr>
        <w:t>see version with reference GEC/ADI-AI(2024)7rev5</w:t>
      </w:r>
    </w:p>
  </w:footnote>
  <w:footnote w:id="6">
    <w:p w:rsidR="00A72830" w:rsidRPr="00302CC7" w:rsidRDefault="00A72830" w:rsidP="00A72830">
      <w:pPr>
        <w:pStyle w:val="FootnoteText"/>
        <w:rPr>
          <w:lang w:val="en-IE"/>
        </w:rPr>
      </w:pPr>
      <w:r>
        <w:rPr>
          <w:rStyle w:val="FootnoteReference"/>
        </w:rPr>
        <w:footnoteRef/>
      </w:r>
      <w:r w:rsidRPr="00302CC7">
        <w:rPr>
          <w:lang w:val="en-IE"/>
        </w:rPr>
        <w:tab/>
      </w:r>
      <w:r w:rsidRPr="14C6AB5F">
        <w:rPr>
          <w:i/>
          <w:iCs/>
          <w:lang w:val="en-IE"/>
        </w:rPr>
        <w:t>see version with reference GEC/ADI-AI(2024)7rev5</w:t>
      </w:r>
    </w:p>
  </w:footnote>
  <w:footnote w:id="7">
    <w:p w:rsidR="009048C0" w:rsidRPr="009048C0" w:rsidRDefault="009048C0">
      <w:pPr>
        <w:pStyle w:val="FootnoteText"/>
        <w:rPr>
          <w:lang w:val="en-IE"/>
        </w:rPr>
      </w:pPr>
      <w:r>
        <w:rPr>
          <w:rStyle w:val="FootnoteReference"/>
        </w:rPr>
        <w:footnoteRef/>
      </w:r>
      <w:r w:rsidRPr="009048C0">
        <w:rPr>
          <w:lang w:val="en-IE"/>
        </w:rPr>
        <w:tab/>
        <w:t>Judgment of the Court of Justice of 7 October 2014, Germany v Council, C-399/12, ECLI:EU:C:2014:2258, paragraph 64.</w:t>
      </w:r>
    </w:p>
  </w:footnote>
  <w:footnote w:id="8">
    <w:p w:rsidR="00D16F8B" w:rsidRPr="00B035F8" w:rsidRDefault="00D16F8B" w:rsidP="0057479C">
      <w:pPr>
        <w:pStyle w:val="FootnoteText"/>
      </w:pPr>
      <w:r w:rsidRPr="00B035F8">
        <w:rPr>
          <w:rStyle w:val="FootnoteReference"/>
        </w:rPr>
        <w:footnoteRef/>
      </w:r>
      <w:r w:rsidRPr="00B035F8">
        <w:tab/>
        <w:t>Judgment of the Court of Justice of 7 October 2014, Germany v Council, C-399/12, ECLI:EU:C:2014:2258, paragraphs 61</w:t>
      </w:r>
      <w:r>
        <w:t xml:space="preserve"> </w:t>
      </w:r>
      <w:r w:rsidRPr="00B035F8">
        <w:t xml:space="preserve">to 64. </w:t>
      </w:r>
    </w:p>
  </w:footnote>
  <w:footnote w:id="9">
    <w:p w:rsidR="00890492" w:rsidRPr="009048C0" w:rsidRDefault="00890492" w:rsidP="00890492">
      <w:pPr>
        <w:pStyle w:val="FootnoteText"/>
        <w:rPr>
          <w:lang w:val="en-IE"/>
        </w:rPr>
      </w:pPr>
      <w:r>
        <w:rPr>
          <w:rStyle w:val="FootnoteReference"/>
        </w:rPr>
        <w:footnoteRef/>
      </w:r>
      <w:r w:rsidRPr="009048C0">
        <w:rPr>
          <w:lang w:val="en-IE"/>
        </w:rPr>
        <w:tab/>
        <w:t xml:space="preserve">Directive (EU) 2024/1500 of the European Parliament and of the Council of 14 May 2024 on standards for equality bodies in the field of equal treatment and equal opportunities between women and men in matters of employment and occupation, and amending Directives 2006/54/EC and 2010/41/EU (OJ L, 2024/1500, 29.5.2024, ELI: http://data.europa.eu/eli/dir/2024/1500/oj); Council Directive (EU) 2024/1499 of 7 May 2024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(OJ L, 2024/1499, 29.5.2024, ELI: http://data.europa.eu/eli/dir/2024/1499/oj). </w:t>
      </w:r>
    </w:p>
  </w:footnote>
  <w:footnote w:id="10">
    <w:p w:rsidR="009048C0" w:rsidRPr="009048C0" w:rsidRDefault="009048C0">
      <w:pPr>
        <w:pStyle w:val="FootnoteText"/>
        <w:rPr>
          <w:lang w:val="en-IE"/>
        </w:rPr>
      </w:pPr>
      <w:r>
        <w:rPr>
          <w:rStyle w:val="FootnoteReference"/>
        </w:rPr>
        <w:footnoteRef/>
      </w:r>
      <w:r w:rsidRPr="009048C0">
        <w:rPr>
          <w:lang w:val="en-IE"/>
        </w:rPr>
        <w:tab/>
        <w:t>Proposal for a COUNCIL DECISION on the conclusion, on behalf of the European Union, of the Council of Europe Framework Convention on Artificial Intelligence and Human Rights, Democracy and the Rule of Law, COM(2025) 265 final.</w:t>
      </w:r>
    </w:p>
  </w:footnote>
  <w:footnote w:id="11">
    <w:p w:rsidR="009048C0" w:rsidRPr="009048C0" w:rsidRDefault="009048C0">
      <w:pPr>
        <w:pStyle w:val="FootnoteText"/>
        <w:rPr>
          <w:lang w:val="en-IE"/>
        </w:rPr>
      </w:pPr>
      <w:r>
        <w:rPr>
          <w:rStyle w:val="FootnoteReference"/>
        </w:rPr>
        <w:footnoteRef/>
      </w:r>
      <w:r w:rsidRPr="009048C0">
        <w:rPr>
          <w:lang w:val="en-IE"/>
        </w:rPr>
        <w:tab/>
        <w:t>Regulation (EU) 2024/1689 of the European Parliament and the Council of 13 June 2024 laying down harmonised rules on artificial intelligence and amending Regulations (EC) No 300/2008, (EU) No 167/2013, (EU) No 168/2013, (EU) 2018/858, (EU) 2018/1139 and (EU) 2019/2144 and Directives 2014/90/EU, (EU) 2016/797 and (EU) 2020/1828 (Artificial Intelligence Act) (OJ L, 2024/ 1689, 12.7.2024.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9E1" w:rsidRDefault="00B23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9E1" w:rsidRDefault="00B23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1E86D0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8169A4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B745F7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6F0693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num>
  <w:num w:numId="10">
    <w:abstractNumId w:val="15"/>
  </w:num>
  <w:num w:numId="11">
    <w:abstractNumId w:val="8"/>
  </w:num>
  <w:num w:numId="12">
    <w:abstractNumId w:val="17"/>
  </w:num>
  <w:num w:numId="13">
    <w:abstractNumId w:val="7"/>
  </w:num>
  <w:num w:numId="14">
    <w:abstractNumId w:val="9"/>
  </w:num>
  <w:num w:numId="15">
    <w:abstractNumId w:val="10"/>
  </w:num>
  <w:num w:numId="16">
    <w:abstractNumId w:val="5"/>
  </w:num>
  <w:num w:numId="17">
    <w:abstractNumId w:val="16"/>
  </w:num>
  <w:num w:numId="18">
    <w:abstractNumId w:val="4"/>
  </w:num>
  <w:num w:numId="19">
    <w:abstractNumId w:val="11"/>
  </w:num>
  <w:num w:numId="20">
    <w:abstractNumId w:val="13"/>
  </w:num>
  <w:num w:numId="21">
    <w:abstractNumId w:val="14"/>
  </w:num>
  <w:num w:numId="22">
    <w:abstractNumId w:val="6"/>
  </w:num>
  <w:num w:numId="23">
    <w:abstractNumId w:val="12"/>
  </w:num>
  <w:num w:numId="24">
    <w:abstractNumId w:val="18"/>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8"/>
  </w:num>
  <w:num w:numId="28">
    <w:abstractNumId w:val="17"/>
  </w:num>
  <w:num w:numId="29">
    <w:abstractNumId w:val="7"/>
  </w:num>
  <w:num w:numId="30">
    <w:abstractNumId w:val="9"/>
  </w:num>
  <w:num w:numId="31">
    <w:abstractNumId w:val="10"/>
  </w:num>
  <w:num w:numId="32">
    <w:abstractNumId w:val="5"/>
  </w:num>
  <w:num w:numId="33">
    <w:abstractNumId w:val="16"/>
  </w:num>
  <w:num w:numId="34">
    <w:abstractNumId w:val="4"/>
  </w:num>
  <w:num w:numId="35">
    <w:abstractNumId w:val="11"/>
  </w:num>
  <w:num w:numId="36">
    <w:abstractNumId w:val="13"/>
  </w:num>
  <w:num w:numId="37">
    <w:abstractNumId w:val="14"/>
  </w:num>
  <w:num w:numId="38">
    <w:abstractNumId w:val="6"/>
  </w:num>
  <w:num w:numId="39">
    <w:abstractNumId w:val="12"/>
  </w:num>
  <w:num w:numId="40">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17 09:27:4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AE8CCCA-D454-4C5C-A3A4-FA16FA0552EA"/>
    <w:docVar w:name="LW_COVERPAGE_TYPE" w:val="1"/>
    <w:docVar w:name="LW_CreatedUtc" w:val="2025-07-17T16:13:04.9640578Z"/>
    <w:docVar w:name="LW_CROSSREFERENCE" w:val="&lt;UNUSED&gt;"/>
    <w:docVar w:name="LW_DocType" w:val="COM"/>
    <w:docVar w:name="LW_EMISSION" w:val="19.9.2025"/>
    <w:docVar w:name="LW_EMISSION_ISODATE" w:val="2025-09-19"/>
    <w:docVar w:name="LW_EMISSION_LOCATION" w:val="BRX"/>
    <w:docVar w:name="LW_EMISSION_PREFIX" w:val="Brussels, "/>
    <w:docVar w:name="LW_EMISSION_SUFFIX" w:val=" "/>
    <w:docVar w:name="LW_ID_DOCMODEL" w:val="SJ-043"/>
    <w:docVar w:name="LW_ID_DOCSIGNATURE" w:val="SJ-019"/>
    <w:docVar w:name="LW_ID_DOCSTRUCTURE" w:val="COM/PL/ORG"/>
    <w:docVar w:name="LW_ID_DOCTYPE" w:val="SJ-043"/>
    <w:docVar w:name="LW_ID_STATUT" w:val="SJ-019"/>
    <w:docVar w:name="LW_INSERT_EXP.MOTIFS.NEW" w:val="1"/>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291"/>
    <w:docVar w:name="LW_REF.II.NEW.CP_YEAR" w:val="2025"/>
    <w:docVar w:name="LW_REF.INST.NEW" w:val="COM"/>
    <w:docVar w:name="LW_REF.INST.NEW_ADOPTED" w:val="final"/>
    <w:docVar w:name="LW_REF.INST.NEW_TEXT" w:val="(2025) 51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position to be taken on behalf of the European Union on the Draft Recommendation of the Committee of Ministers of the Council of Europe on equality and artificial intelligence"/>
    <w:docVar w:name="LW_TYPE.DOC.CP" w:val="COUNCIL DECISION"/>
    <w:docVar w:name="LwApiVersions" w:val="LW4CoDe 1.24.5.0; LW 9.0, Build 20240221"/>
  </w:docVars>
  <w:rsids>
    <w:rsidRoot w:val="00D16F8B"/>
    <w:rsid w:val="000008EF"/>
    <w:rsid w:val="00000C5A"/>
    <w:rsid w:val="00002624"/>
    <w:rsid w:val="00003544"/>
    <w:rsid w:val="00003C20"/>
    <w:rsid w:val="00005FE3"/>
    <w:rsid w:val="000061D5"/>
    <w:rsid w:val="00006DBB"/>
    <w:rsid w:val="00010FAB"/>
    <w:rsid w:val="00011372"/>
    <w:rsid w:val="000113A7"/>
    <w:rsid w:val="000135A9"/>
    <w:rsid w:val="00014B5F"/>
    <w:rsid w:val="00014CF9"/>
    <w:rsid w:val="00014D9E"/>
    <w:rsid w:val="0002464E"/>
    <w:rsid w:val="00026B9C"/>
    <w:rsid w:val="00027868"/>
    <w:rsid w:val="00030905"/>
    <w:rsid w:val="000309F6"/>
    <w:rsid w:val="00033051"/>
    <w:rsid w:val="00033C23"/>
    <w:rsid w:val="00035A10"/>
    <w:rsid w:val="0003602C"/>
    <w:rsid w:val="00036496"/>
    <w:rsid w:val="00037BC3"/>
    <w:rsid w:val="00040AC5"/>
    <w:rsid w:val="00042636"/>
    <w:rsid w:val="00042CC4"/>
    <w:rsid w:val="00043A2B"/>
    <w:rsid w:val="00044020"/>
    <w:rsid w:val="00046552"/>
    <w:rsid w:val="00060229"/>
    <w:rsid w:val="00060601"/>
    <w:rsid w:val="00061CEF"/>
    <w:rsid w:val="00064059"/>
    <w:rsid w:val="0006415D"/>
    <w:rsid w:val="00064771"/>
    <w:rsid w:val="0006520E"/>
    <w:rsid w:val="00072B72"/>
    <w:rsid w:val="00074163"/>
    <w:rsid w:val="000745D7"/>
    <w:rsid w:val="0008016C"/>
    <w:rsid w:val="000801E8"/>
    <w:rsid w:val="0008046B"/>
    <w:rsid w:val="000815F5"/>
    <w:rsid w:val="00082DE6"/>
    <w:rsid w:val="00085C7D"/>
    <w:rsid w:val="000916E1"/>
    <w:rsid w:val="0009203B"/>
    <w:rsid w:val="0009227A"/>
    <w:rsid w:val="00094BC2"/>
    <w:rsid w:val="00094F21"/>
    <w:rsid w:val="000962E8"/>
    <w:rsid w:val="000979A7"/>
    <w:rsid w:val="000A2211"/>
    <w:rsid w:val="000A4040"/>
    <w:rsid w:val="000A513B"/>
    <w:rsid w:val="000A533A"/>
    <w:rsid w:val="000A5C5C"/>
    <w:rsid w:val="000A5FBF"/>
    <w:rsid w:val="000A7713"/>
    <w:rsid w:val="000B0266"/>
    <w:rsid w:val="000B191E"/>
    <w:rsid w:val="000B2877"/>
    <w:rsid w:val="000C0D73"/>
    <w:rsid w:val="000C2A9E"/>
    <w:rsid w:val="000C2C6B"/>
    <w:rsid w:val="000C2D7F"/>
    <w:rsid w:val="000C5E33"/>
    <w:rsid w:val="000D0D35"/>
    <w:rsid w:val="000D1754"/>
    <w:rsid w:val="000D2F24"/>
    <w:rsid w:val="000D31E5"/>
    <w:rsid w:val="000D37F8"/>
    <w:rsid w:val="000D38E7"/>
    <w:rsid w:val="000D4864"/>
    <w:rsid w:val="000D5012"/>
    <w:rsid w:val="000D5B5C"/>
    <w:rsid w:val="000D5ED7"/>
    <w:rsid w:val="000E515E"/>
    <w:rsid w:val="000E5DC8"/>
    <w:rsid w:val="000E6156"/>
    <w:rsid w:val="000E6158"/>
    <w:rsid w:val="000E639A"/>
    <w:rsid w:val="000E6B30"/>
    <w:rsid w:val="000E720F"/>
    <w:rsid w:val="000E7891"/>
    <w:rsid w:val="000F64AA"/>
    <w:rsid w:val="000F662A"/>
    <w:rsid w:val="000F7F41"/>
    <w:rsid w:val="00100AFF"/>
    <w:rsid w:val="0010218B"/>
    <w:rsid w:val="0010619C"/>
    <w:rsid w:val="001065F5"/>
    <w:rsid w:val="00107888"/>
    <w:rsid w:val="00107E8E"/>
    <w:rsid w:val="00113B34"/>
    <w:rsid w:val="001156A7"/>
    <w:rsid w:val="00115D31"/>
    <w:rsid w:val="00121091"/>
    <w:rsid w:val="00121E97"/>
    <w:rsid w:val="00122229"/>
    <w:rsid w:val="001238EF"/>
    <w:rsid w:val="00123BFF"/>
    <w:rsid w:val="00123D08"/>
    <w:rsid w:val="00131300"/>
    <w:rsid w:val="001314B9"/>
    <w:rsid w:val="00135B02"/>
    <w:rsid w:val="00136302"/>
    <w:rsid w:val="00140E14"/>
    <w:rsid w:val="00143609"/>
    <w:rsid w:val="00144F6C"/>
    <w:rsid w:val="00145094"/>
    <w:rsid w:val="00146E09"/>
    <w:rsid w:val="00151841"/>
    <w:rsid w:val="00152F7C"/>
    <w:rsid w:val="001612D4"/>
    <w:rsid w:val="0016349F"/>
    <w:rsid w:val="0016526C"/>
    <w:rsid w:val="00166D79"/>
    <w:rsid w:val="00170501"/>
    <w:rsid w:val="0017125A"/>
    <w:rsid w:val="00171F85"/>
    <w:rsid w:val="0017343F"/>
    <w:rsid w:val="00173C95"/>
    <w:rsid w:val="001763A9"/>
    <w:rsid w:val="00176EC0"/>
    <w:rsid w:val="0018036B"/>
    <w:rsid w:val="0018153B"/>
    <w:rsid w:val="00181A15"/>
    <w:rsid w:val="00182066"/>
    <w:rsid w:val="00184E2D"/>
    <w:rsid w:val="00190B71"/>
    <w:rsid w:val="00190DEF"/>
    <w:rsid w:val="00190FBE"/>
    <w:rsid w:val="00194348"/>
    <w:rsid w:val="0019452C"/>
    <w:rsid w:val="001949BD"/>
    <w:rsid w:val="0019557B"/>
    <w:rsid w:val="001958F4"/>
    <w:rsid w:val="00195AA8"/>
    <w:rsid w:val="00196C45"/>
    <w:rsid w:val="00197613"/>
    <w:rsid w:val="001A0053"/>
    <w:rsid w:val="001A129C"/>
    <w:rsid w:val="001A20F5"/>
    <w:rsid w:val="001A3563"/>
    <w:rsid w:val="001A47BF"/>
    <w:rsid w:val="001A4EF7"/>
    <w:rsid w:val="001A5AE8"/>
    <w:rsid w:val="001A7FD5"/>
    <w:rsid w:val="001B00F7"/>
    <w:rsid w:val="001B0B04"/>
    <w:rsid w:val="001B118A"/>
    <w:rsid w:val="001B1315"/>
    <w:rsid w:val="001B565B"/>
    <w:rsid w:val="001B76BF"/>
    <w:rsid w:val="001B7FAF"/>
    <w:rsid w:val="001C0010"/>
    <w:rsid w:val="001C08DF"/>
    <w:rsid w:val="001C1D40"/>
    <w:rsid w:val="001C3F8A"/>
    <w:rsid w:val="001D009C"/>
    <w:rsid w:val="001D2EFD"/>
    <w:rsid w:val="001D5A62"/>
    <w:rsid w:val="001D6443"/>
    <w:rsid w:val="001D68E2"/>
    <w:rsid w:val="001D6E6F"/>
    <w:rsid w:val="001E141D"/>
    <w:rsid w:val="001E3E94"/>
    <w:rsid w:val="001E6C4E"/>
    <w:rsid w:val="001E707F"/>
    <w:rsid w:val="001E7A39"/>
    <w:rsid w:val="001F0CFA"/>
    <w:rsid w:val="001F1CF7"/>
    <w:rsid w:val="001F3184"/>
    <w:rsid w:val="001F43B5"/>
    <w:rsid w:val="001F4AD0"/>
    <w:rsid w:val="001F4D09"/>
    <w:rsid w:val="001F4FB1"/>
    <w:rsid w:val="001F555D"/>
    <w:rsid w:val="001F66F0"/>
    <w:rsid w:val="001F7E55"/>
    <w:rsid w:val="00202289"/>
    <w:rsid w:val="00202389"/>
    <w:rsid w:val="002027FA"/>
    <w:rsid w:val="002033CF"/>
    <w:rsid w:val="002059D8"/>
    <w:rsid w:val="00206FA3"/>
    <w:rsid w:val="0021017A"/>
    <w:rsid w:val="002109AC"/>
    <w:rsid w:val="002128A4"/>
    <w:rsid w:val="00215719"/>
    <w:rsid w:val="002163BC"/>
    <w:rsid w:val="00216A64"/>
    <w:rsid w:val="00222EE1"/>
    <w:rsid w:val="0022434B"/>
    <w:rsid w:val="00224A72"/>
    <w:rsid w:val="00225292"/>
    <w:rsid w:val="00226693"/>
    <w:rsid w:val="00227682"/>
    <w:rsid w:val="002278F7"/>
    <w:rsid w:val="002316B9"/>
    <w:rsid w:val="00231ED3"/>
    <w:rsid w:val="00232772"/>
    <w:rsid w:val="00233DC7"/>
    <w:rsid w:val="00235F0A"/>
    <w:rsid w:val="00237E5E"/>
    <w:rsid w:val="00240028"/>
    <w:rsid w:val="002425AB"/>
    <w:rsid w:val="002444FE"/>
    <w:rsid w:val="00244FA8"/>
    <w:rsid w:val="00245085"/>
    <w:rsid w:val="00245B6C"/>
    <w:rsid w:val="00246CC7"/>
    <w:rsid w:val="00247779"/>
    <w:rsid w:val="0025070C"/>
    <w:rsid w:val="0025395E"/>
    <w:rsid w:val="00254999"/>
    <w:rsid w:val="002600DA"/>
    <w:rsid w:val="0026361E"/>
    <w:rsid w:val="0026734C"/>
    <w:rsid w:val="00267F58"/>
    <w:rsid w:val="00270C36"/>
    <w:rsid w:val="00272EA4"/>
    <w:rsid w:val="00274C13"/>
    <w:rsid w:val="002762CE"/>
    <w:rsid w:val="00277132"/>
    <w:rsid w:val="00277464"/>
    <w:rsid w:val="00280610"/>
    <w:rsid w:val="00280BC6"/>
    <w:rsid w:val="0028126B"/>
    <w:rsid w:val="00283019"/>
    <w:rsid w:val="00285AAB"/>
    <w:rsid w:val="00285BEE"/>
    <w:rsid w:val="00290D9D"/>
    <w:rsid w:val="0029347B"/>
    <w:rsid w:val="002949D8"/>
    <w:rsid w:val="0029533F"/>
    <w:rsid w:val="0029657F"/>
    <w:rsid w:val="002A3272"/>
    <w:rsid w:val="002A3F87"/>
    <w:rsid w:val="002A56B7"/>
    <w:rsid w:val="002A724F"/>
    <w:rsid w:val="002B0256"/>
    <w:rsid w:val="002B151D"/>
    <w:rsid w:val="002B30AF"/>
    <w:rsid w:val="002B7B0E"/>
    <w:rsid w:val="002C1476"/>
    <w:rsid w:val="002C29C7"/>
    <w:rsid w:val="002C3739"/>
    <w:rsid w:val="002C6351"/>
    <w:rsid w:val="002C6850"/>
    <w:rsid w:val="002C78A7"/>
    <w:rsid w:val="002D055B"/>
    <w:rsid w:val="002D0849"/>
    <w:rsid w:val="002D17B9"/>
    <w:rsid w:val="002D1A92"/>
    <w:rsid w:val="002D25D2"/>
    <w:rsid w:val="002D309F"/>
    <w:rsid w:val="002D36E7"/>
    <w:rsid w:val="002D4DBE"/>
    <w:rsid w:val="002D5BF4"/>
    <w:rsid w:val="002D7E6F"/>
    <w:rsid w:val="002E1B1B"/>
    <w:rsid w:val="002E539E"/>
    <w:rsid w:val="002E7D52"/>
    <w:rsid w:val="002F01DA"/>
    <w:rsid w:val="002F2C58"/>
    <w:rsid w:val="002F3609"/>
    <w:rsid w:val="002F3F47"/>
    <w:rsid w:val="002F48DB"/>
    <w:rsid w:val="002F63DC"/>
    <w:rsid w:val="002F6767"/>
    <w:rsid w:val="002F7E88"/>
    <w:rsid w:val="00300953"/>
    <w:rsid w:val="00300A7A"/>
    <w:rsid w:val="00304EA9"/>
    <w:rsid w:val="003060A2"/>
    <w:rsid w:val="00306E42"/>
    <w:rsid w:val="00310BDD"/>
    <w:rsid w:val="00310CD3"/>
    <w:rsid w:val="00314231"/>
    <w:rsid w:val="00314389"/>
    <w:rsid w:val="003143BC"/>
    <w:rsid w:val="00316344"/>
    <w:rsid w:val="00317C86"/>
    <w:rsid w:val="00317EE3"/>
    <w:rsid w:val="0032232C"/>
    <w:rsid w:val="003238C0"/>
    <w:rsid w:val="00324B3D"/>
    <w:rsid w:val="003261CB"/>
    <w:rsid w:val="00326458"/>
    <w:rsid w:val="003274D1"/>
    <w:rsid w:val="00331CE2"/>
    <w:rsid w:val="0033339F"/>
    <w:rsid w:val="0033344A"/>
    <w:rsid w:val="00333DF5"/>
    <w:rsid w:val="00340FF6"/>
    <w:rsid w:val="00345EC6"/>
    <w:rsid w:val="003479A1"/>
    <w:rsid w:val="0035080B"/>
    <w:rsid w:val="00351457"/>
    <w:rsid w:val="0035268A"/>
    <w:rsid w:val="00352771"/>
    <w:rsid w:val="003536D6"/>
    <w:rsid w:val="00356D22"/>
    <w:rsid w:val="0035781E"/>
    <w:rsid w:val="00360970"/>
    <w:rsid w:val="00372650"/>
    <w:rsid w:val="00374DE7"/>
    <w:rsid w:val="00376D4D"/>
    <w:rsid w:val="00377806"/>
    <w:rsid w:val="00377920"/>
    <w:rsid w:val="003805C4"/>
    <w:rsid w:val="0038093A"/>
    <w:rsid w:val="00381141"/>
    <w:rsid w:val="0038174A"/>
    <w:rsid w:val="00381D6E"/>
    <w:rsid w:val="003828FA"/>
    <w:rsid w:val="00385D16"/>
    <w:rsid w:val="003865B8"/>
    <w:rsid w:val="00391CA3"/>
    <w:rsid w:val="00394BDD"/>
    <w:rsid w:val="0039578F"/>
    <w:rsid w:val="00396DE8"/>
    <w:rsid w:val="003A020E"/>
    <w:rsid w:val="003A03B1"/>
    <w:rsid w:val="003A0828"/>
    <w:rsid w:val="003A1246"/>
    <w:rsid w:val="003A332E"/>
    <w:rsid w:val="003A36D3"/>
    <w:rsid w:val="003A38A1"/>
    <w:rsid w:val="003A583A"/>
    <w:rsid w:val="003B00D4"/>
    <w:rsid w:val="003B0852"/>
    <w:rsid w:val="003B1C9B"/>
    <w:rsid w:val="003B3A40"/>
    <w:rsid w:val="003B4F75"/>
    <w:rsid w:val="003B7596"/>
    <w:rsid w:val="003B75FD"/>
    <w:rsid w:val="003C1848"/>
    <w:rsid w:val="003C431D"/>
    <w:rsid w:val="003C4A6E"/>
    <w:rsid w:val="003D037A"/>
    <w:rsid w:val="003D2105"/>
    <w:rsid w:val="003D22FC"/>
    <w:rsid w:val="003D2CC5"/>
    <w:rsid w:val="003D6C66"/>
    <w:rsid w:val="003D709A"/>
    <w:rsid w:val="003E3B8E"/>
    <w:rsid w:val="003E3EBD"/>
    <w:rsid w:val="003E5864"/>
    <w:rsid w:val="003F0594"/>
    <w:rsid w:val="003F13A8"/>
    <w:rsid w:val="003F3755"/>
    <w:rsid w:val="003F51A0"/>
    <w:rsid w:val="003F5475"/>
    <w:rsid w:val="003F70B3"/>
    <w:rsid w:val="003F7CF8"/>
    <w:rsid w:val="004001CB"/>
    <w:rsid w:val="00402A5C"/>
    <w:rsid w:val="004060A4"/>
    <w:rsid w:val="0040627F"/>
    <w:rsid w:val="0040724E"/>
    <w:rsid w:val="0041299E"/>
    <w:rsid w:val="004145E8"/>
    <w:rsid w:val="00414FD5"/>
    <w:rsid w:val="004151A0"/>
    <w:rsid w:val="00416016"/>
    <w:rsid w:val="004163C3"/>
    <w:rsid w:val="00417158"/>
    <w:rsid w:val="00417AFA"/>
    <w:rsid w:val="00417FAC"/>
    <w:rsid w:val="00420A26"/>
    <w:rsid w:val="004224B7"/>
    <w:rsid w:val="00424337"/>
    <w:rsid w:val="00425EAD"/>
    <w:rsid w:val="0042648E"/>
    <w:rsid w:val="004305C9"/>
    <w:rsid w:val="00432773"/>
    <w:rsid w:val="00432992"/>
    <w:rsid w:val="00434DEA"/>
    <w:rsid w:val="00436CCF"/>
    <w:rsid w:val="00440518"/>
    <w:rsid w:val="004405F0"/>
    <w:rsid w:val="00441982"/>
    <w:rsid w:val="004473DB"/>
    <w:rsid w:val="0044752A"/>
    <w:rsid w:val="004516A6"/>
    <w:rsid w:val="00453DE3"/>
    <w:rsid w:val="00456F7D"/>
    <w:rsid w:val="004631DC"/>
    <w:rsid w:val="00465E40"/>
    <w:rsid w:val="00466198"/>
    <w:rsid w:val="00467005"/>
    <w:rsid w:val="00467E6D"/>
    <w:rsid w:val="004707E8"/>
    <w:rsid w:val="00471708"/>
    <w:rsid w:val="0047342B"/>
    <w:rsid w:val="00475E18"/>
    <w:rsid w:val="00476F2B"/>
    <w:rsid w:val="00480AB4"/>
    <w:rsid w:val="00482807"/>
    <w:rsid w:val="0048350F"/>
    <w:rsid w:val="00484A30"/>
    <w:rsid w:val="00486A7B"/>
    <w:rsid w:val="00486CC9"/>
    <w:rsid w:val="004935AF"/>
    <w:rsid w:val="004936D2"/>
    <w:rsid w:val="00494AE7"/>
    <w:rsid w:val="0049550B"/>
    <w:rsid w:val="00497679"/>
    <w:rsid w:val="004A021B"/>
    <w:rsid w:val="004A0C20"/>
    <w:rsid w:val="004A1815"/>
    <w:rsid w:val="004A287B"/>
    <w:rsid w:val="004A2ABE"/>
    <w:rsid w:val="004A2EBF"/>
    <w:rsid w:val="004A2F3C"/>
    <w:rsid w:val="004A36DA"/>
    <w:rsid w:val="004A5B51"/>
    <w:rsid w:val="004A5EF0"/>
    <w:rsid w:val="004A5FB0"/>
    <w:rsid w:val="004A622A"/>
    <w:rsid w:val="004B090F"/>
    <w:rsid w:val="004B1754"/>
    <w:rsid w:val="004B1B9C"/>
    <w:rsid w:val="004B2497"/>
    <w:rsid w:val="004B2CD3"/>
    <w:rsid w:val="004B3A5E"/>
    <w:rsid w:val="004B3C53"/>
    <w:rsid w:val="004B6738"/>
    <w:rsid w:val="004B6D7F"/>
    <w:rsid w:val="004C12E5"/>
    <w:rsid w:val="004C1A94"/>
    <w:rsid w:val="004C2C4D"/>
    <w:rsid w:val="004C656C"/>
    <w:rsid w:val="004C6866"/>
    <w:rsid w:val="004C7307"/>
    <w:rsid w:val="004C767E"/>
    <w:rsid w:val="004D0BDC"/>
    <w:rsid w:val="004D1A26"/>
    <w:rsid w:val="004D1D02"/>
    <w:rsid w:val="004D30D5"/>
    <w:rsid w:val="004D3827"/>
    <w:rsid w:val="004D5228"/>
    <w:rsid w:val="004D53E5"/>
    <w:rsid w:val="004D643F"/>
    <w:rsid w:val="004D676A"/>
    <w:rsid w:val="004D6BAD"/>
    <w:rsid w:val="004D6C59"/>
    <w:rsid w:val="004D723F"/>
    <w:rsid w:val="004D7999"/>
    <w:rsid w:val="004E25C4"/>
    <w:rsid w:val="004E2FEA"/>
    <w:rsid w:val="004E52AE"/>
    <w:rsid w:val="004E5553"/>
    <w:rsid w:val="004E68F0"/>
    <w:rsid w:val="004F1935"/>
    <w:rsid w:val="004F1ED8"/>
    <w:rsid w:val="004F6B6B"/>
    <w:rsid w:val="00500B19"/>
    <w:rsid w:val="00502F63"/>
    <w:rsid w:val="00504733"/>
    <w:rsid w:val="0050518C"/>
    <w:rsid w:val="00506194"/>
    <w:rsid w:val="0051385C"/>
    <w:rsid w:val="00514A28"/>
    <w:rsid w:val="005154D3"/>
    <w:rsid w:val="005158D1"/>
    <w:rsid w:val="00515D07"/>
    <w:rsid w:val="00516163"/>
    <w:rsid w:val="005171E0"/>
    <w:rsid w:val="005177B2"/>
    <w:rsid w:val="00521C82"/>
    <w:rsid w:val="00522050"/>
    <w:rsid w:val="00522117"/>
    <w:rsid w:val="00522CD4"/>
    <w:rsid w:val="0052419A"/>
    <w:rsid w:val="0052420E"/>
    <w:rsid w:val="005242FA"/>
    <w:rsid w:val="0052480E"/>
    <w:rsid w:val="00525773"/>
    <w:rsid w:val="00525FC3"/>
    <w:rsid w:val="00526D3C"/>
    <w:rsid w:val="005277F0"/>
    <w:rsid w:val="00530CAD"/>
    <w:rsid w:val="00531557"/>
    <w:rsid w:val="00536C64"/>
    <w:rsid w:val="00540246"/>
    <w:rsid w:val="0054703E"/>
    <w:rsid w:val="00547D72"/>
    <w:rsid w:val="0055597D"/>
    <w:rsid w:val="0055705B"/>
    <w:rsid w:val="00557538"/>
    <w:rsid w:val="00557AF1"/>
    <w:rsid w:val="0056361A"/>
    <w:rsid w:val="00564B53"/>
    <w:rsid w:val="00565A11"/>
    <w:rsid w:val="00566742"/>
    <w:rsid w:val="005667D8"/>
    <w:rsid w:val="00570323"/>
    <w:rsid w:val="0057108F"/>
    <w:rsid w:val="00571C9A"/>
    <w:rsid w:val="0057202B"/>
    <w:rsid w:val="0057333A"/>
    <w:rsid w:val="0057479C"/>
    <w:rsid w:val="00575477"/>
    <w:rsid w:val="00575F18"/>
    <w:rsid w:val="00575F6D"/>
    <w:rsid w:val="00576171"/>
    <w:rsid w:val="0057791F"/>
    <w:rsid w:val="005806DE"/>
    <w:rsid w:val="005835E0"/>
    <w:rsid w:val="005838B9"/>
    <w:rsid w:val="00583CF9"/>
    <w:rsid w:val="00585B2D"/>
    <w:rsid w:val="00590691"/>
    <w:rsid w:val="0059077B"/>
    <w:rsid w:val="00590DD0"/>
    <w:rsid w:val="005925A0"/>
    <w:rsid w:val="005940FE"/>
    <w:rsid w:val="005A10D9"/>
    <w:rsid w:val="005A2F00"/>
    <w:rsid w:val="005A3A56"/>
    <w:rsid w:val="005A5B7E"/>
    <w:rsid w:val="005A6A2B"/>
    <w:rsid w:val="005A7508"/>
    <w:rsid w:val="005B029F"/>
    <w:rsid w:val="005B1EB6"/>
    <w:rsid w:val="005B6FC2"/>
    <w:rsid w:val="005B6FCE"/>
    <w:rsid w:val="005C0B8E"/>
    <w:rsid w:val="005C0C93"/>
    <w:rsid w:val="005C222F"/>
    <w:rsid w:val="005C2AB3"/>
    <w:rsid w:val="005C4B24"/>
    <w:rsid w:val="005C6C7D"/>
    <w:rsid w:val="005D0CAB"/>
    <w:rsid w:val="005D18DC"/>
    <w:rsid w:val="005D32FD"/>
    <w:rsid w:val="005D49C3"/>
    <w:rsid w:val="005D73AF"/>
    <w:rsid w:val="005E0EDD"/>
    <w:rsid w:val="005E2487"/>
    <w:rsid w:val="005E5CE0"/>
    <w:rsid w:val="005E5E10"/>
    <w:rsid w:val="005E60E0"/>
    <w:rsid w:val="005E6B64"/>
    <w:rsid w:val="005F2EAB"/>
    <w:rsid w:val="005F439A"/>
    <w:rsid w:val="00600A51"/>
    <w:rsid w:val="00601C91"/>
    <w:rsid w:val="00602246"/>
    <w:rsid w:val="006022D4"/>
    <w:rsid w:val="00602C34"/>
    <w:rsid w:val="00605A6D"/>
    <w:rsid w:val="0060609F"/>
    <w:rsid w:val="006131B3"/>
    <w:rsid w:val="006145AD"/>
    <w:rsid w:val="006145FE"/>
    <w:rsid w:val="006149A6"/>
    <w:rsid w:val="00615A5C"/>
    <w:rsid w:val="006160D6"/>
    <w:rsid w:val="00616383"/>
    <w:rsid w:val="00616426"/>
    <w:rsid w:val="00616E87"/>
    <w:rsid w:val="00617BE6"/>
    <w:rsid w:val="00621A00"/>
    <w:rsid w:val="0062268D"/>
    <w:rsid w:val="00622DBB"/>
    <w:rsid w:val="006253EC"/>
    <w:rsid w:val="00626167"/>
    <w:rsid w:val="00626B52"/>
    <w:rsid w:val="00627BC9"/>
    <w:rsid w:val="00630015"/>
    <w:rsid w:val="006301F2"/>
    <w:rsid w:val="00631F34"/>
    <w:rsid w:val="00632341"/>
    <w:rsid w:val="00632E18"/>
    <w:rsid w:val="00635191"/>
    <w:rsid w:val="006351B6"/>
    <w:rsid w:val="00637438"/>
    <w:rsid w:val="00640D02"/>
    <w:rsid w:val="00640EE5"/>
    <w:rsid w:val="006415EB"/>
    <w:rsid w:val="00643114"/>
    <w:rsid w:val="00643FDD"/>
    <w:rsid w:val="0064439C"/>
    <w:rsid w:val="00644732"/>
    <w:rsid w:val="006448F6"/>
    <w:rsid w:val="00645337"/>
    <w:rsid w:val="00645B51"/>
    <w:rsid w:val="00645E52"/>
    <w:rsid w:val="00650375"/>
    <w:rsid w:val="00651D33"/>
    <w:rsid w:val="0065462E"/>
    <w:rsid w:val="00654A43"/>
    <w:rsid w:val="00654C70"/>
    <w:rsid w:val="00654DC9"/>
    <w:rsid w:val="0065565A"/>
    <w:rsid w:val="00655711"/>
    <w:rsid w:val="006558D7"/>
    <w:rsid w:val="006568BC"/>
    <w:rsid w:val="00657032"/>
    <w:rsid w:val="006605BA"/>
    <w:rsid w:val="006618DD"/>
    <w:rsid w:val="00664972"/>
    <w:rsid w:val="0066638A"/>
    <w:rsid w:val="006666EA"/>
    <w:rsid w:val="00671D8B"/>
    <w:rsid w:val="006721F7"/>
    <w:rsid w:val="00676675"/>
    <w:rsid w:val="00683548"/>
    <w:rsid w:val="006836F9"/>
    <w:rsid w:val="00683D15"/>
    <w:rsid w:val="00683FC1"/>
    <w:rsid w:val="006872D7"/>
    <w:rsid w:val="00687CB7"/>
    <w:rsid w:val="006903CA"/>
    <w:rsid w:val="00692A25"/>
    <w:rsid w:val="006950CD"/>
    <w:rsid w:val="00696EA0"/>
    <w:rsid w:val="006A0D98"/>
    <w:rsid w:val="006A154F"/>
    <w:rsid w:val="006A2106"/>
    <w:rsid w:val="006A2DAE"/>
    <w:rsid w:val="006A3F50"/>
    <w:rsid w:val="006A4EC0"/>
    <w:rsid w:val="006A61DA"/>
    <w:rsid w:val="006B0426"/>
    <w:rsid w:val="006B13A9"/>
    <w:rsid w:val="006B2C2F"/>
    <w:rsid w:val="006B3A7A"/>
    <w:rsid w:val="006B3C1D"/>
    <w:rsid w:val="006B3C3B"/>
    <w:rsid w:val="006B44B3"/>
    <w:rsid w:val="006B6E55"/>
    <w:rsid w:val="006C085E"/>
    <w:rsid w:val="006C271D"/>
    <w:rsid w:val="006C3548"/>
    <w:rsid w:val="006C4945"/>
    <w:rsid w:val="006C5AB6"/>
    <w:rsid w:val="006C6254"/>
    <w:rsid w:val="006C70E4"/>
    <w:rsid w:val="006D0700"/>
    <w:rsid w:val="006D2ABD"/>
    <w:rsid w:val="006D66F5"/>
    <w:rsid w:val="006D72C7"/>
    <w:rsid w:val="006E06C6"/>
    <w:rsid w:val="006E0B3C"/>
    <w:rsid w:val="006E6CFB"/>
    <w:rsid w:val="006E7314"/>
    <w:rsid w:val="006E7A3C"/>
    <w:rsid w:val="006F08A6"/>
    <w:rsid w:val="006F0C26"/>
    <w:rsid w:val="006F0CA7"/>
    <w:rsid w:val="006F1986"/>
    <w:rsid w:val="006F4CFF"/>
    <w:rsid w:val="006F58CA"/>
    <w:rsid w:val="006F69C8"/>
    <w:rsid w:val="006F6CD6"/>
    <w:rsid w:val="00700B4E"/>
    <w:rsid w:val="00701DDA"/>
    <w:rsid w:val="007047B3"/>
    <w:rsid w:val="0070482F"/>
    <w:rsid w:val="00704B23"/>
    <w:rsid w:val="00705121"/>
    <w:rsid w:val="00707E5F"/>
    <w:rsid w:val="0071032B"/>
    <w:rsid w:val="00710858"/>
    <w:rsid w:val="00712164"/>
    <w:rsid w:val="00721D61"/>
    <w:rsid w:val="0072269E"/>
    <w:rsid w:val="00722EB0"/>
    <w:rsid w:val="007230B6"/>
    <w:rsid w:val="00724329"/>
    <w:rsid w:val="00724D3A"/>
    <w:rsid w:val="0072729A"/>
    <w:rsid w:val="007275C9"/>
    <w:rsid w:val="0073023F"/>
    <w:rsid w:val="00731146"/>
    <w:rsid w:val="00733A89"/>
    <w:rsid w:val="00734293"/>
    <w:rsid w:val="00736121"/>
    <w:rsid w:val="00745233"/>
    <w:rsid w:val="007456F1"/>
    <w:rsid w:val="00745BFD"/>
    <w:rsid w:val="00745D85"/>
    <w:rsid w:val="00747922"/>
    <w:rsid w:val="00747AD0"/>
    <w:rsid w:val="0075103E"/>
    <w:rsid w:val="00751C20"/>
    <w:rsid w:val="0075205E"/>
    <w:rsid w:val="00752238"/>
    <w:rsid w:val="007522F8"/>
    <w:rsid w:val="0075421B"/>
    <w:rsid w:val="00754D41"/>
    <w:rsid w:val="007559D7"/>
    <w:rsid w:val="00756B82"/>
    <w:rsid w:val="00762311"/>
    <w:rsid w:val="007626A4"/>
    <w:rsid w:val="00763F42"/>
    <w:rsid w:val="007662C4"/>
    <w:rsid w:val="00771040"/>
    <w:rsid w:val="00773331"/>
    <w:rsid w:val="0077416D"/>
    <w:rsid w:val="00775F96"/>
    <w:rsid w:val="00776323"/>
    <w:rsid w:val="00776378"/>
    <w:rsid w:val="00776424"/>
    <w:rsid w:val="00780E07"/>
    <w:rsid w:val="00781A1E"/>
    <w:rsid w:val="00782FA5"/>
    <w:rsid w:val="0078317C"/>
    <w:rsid w:val="00787B4B"/>
    <w:rsid w:val="007924D8"/>
    <w:rsid w:val="007932EF"/>
    <w:rsid w:val="00793CDC"/>
    <w:rsid w:val="00794BD7"/>
    <w:rsid w:val="00796B30"/>
    <w:rsid w:val="007A0490"/>
    <w:rsid w:val="007A0CA7"/>
    <w:rsid w:val="007A2B8D"/>
    <w:rsid w:val="007A417F"/>
    <w:rsid w:val="007A5FA6"/>
    <w:rsid w:val="007B0CFF"/>
    <w:rsid w:val="007B1C13"/>
    <w:rsid w:val="007B1C6D"/>
    <w:rsid w:val="007B226F"/>
    <w:rsid w:val="007B2CF9"/>
    <w:rsid w:val="007B3DDF"/>
    <w:rsid w:val="007B3F30"/>
    <w:rsid w:val="007B6419"/>
    <w:rsid w:val="007C7894"/>
    <w:rsid w:val="007C7AB0"/>
    <w:rsid w:val="007D1DF2"/>
    <w:rsid w:val="007D4FBC"/>
    <w:rsid w:val="007D5BD5"/>
    <w:rsid w:val="007D60A3"/>
    <w:rsid w:val="007E02E9"/>
    <w:rsid w:val="007E05B0"/>
    <w:rsid w:val="007E4818"/>
    <w:rsid w:val="007E5575"/>
    <w:rsid w:val="007E5DAD"/>
    <w:rsid w:val="007E6661"/>
    <w:rsid w:val="007E7BBD"/>
    <w:rsid w:val="007E7E8B"/>
    <w:rsid w:val="007F0325"/>
    <w:rsid w:val="007F18C0"/>
    <w:rsid w:val="007F1A69"/>
    <w:rsid w:val="007F2099"/>
    <w:rsid w:val="007F20D0"/>
    <w:rsid w:val="007F2EF6"/>
    <w:rsid w:val="007F391C"/>
    <w:rsid w:val="007F3C7D"/>
    <w:rsid w:val="007F6322"/>
    <w:rsid w:val="008006BD"/>
    <w:rsid w:val="00801D76"/>
    <w:rsid w:val="008054ED"/>
    <w:rsid w:val="008069E1"/>
    <w:rsid w:val="00806AD8"/>
    <w:rsid w:val="00810588"/>
    <w:rsid w:val="008114B6"/>
    <w:rsid w:val="00817166"/>
    <w:rsid w:val="00817790"/>
    <w:rsid w:val="00820967"/>
    <w:rsid w:val="00821C95"/>
    <w:rsid w:val="00821D2B"/>
    <w:rsid w:val="00823D74"/>
    <w:rsid w:val="00823FD5"/>
    <w:rsid w:val="008260FD"/>
    <w:rsid w:val="00826D82"/>
    <w:rsid w:val="008277D1"/>
    <w:rsid w:val="0083009F"/>
    <w:rsid w:val="008306C9"/>
    <w:rsid w:val="00833797"/>
    <w:rsid w:val="008339CB"/>
    <w:rsid w:val="0083447E"/>
    <w:rsid w:val="00834D4E"/>
    <w:rsid w:val="00835750"/>
    <w:rsid w:val="00835E59"/>
    <w:rsid w:val="008361FE"/>
    <w:rsid w:val="008368EA"/>
    <w:rsid w:val="008372D7"/>
    <w:rsid w:val="00840063"/>
    <w:rsid w:val="00840A47"/>
    <w:rsid w:val="00840E0B"/>
    <w:rsid w:val="00845A6A"/>
    <w:rsid w:val="00846046"/>
    <w:rsid w:val="00846847"/>
    <w:rsid w:val="0085236E"/>
    <w:rsid w:val="0085302F"/>
    <w:rsid w:val="00853980"/>
    <w:rsid w:val="00854782"/>
    <w:rsid w:val="00855573"/>
    <w:rsid w:val="008559F9"/>
    <w:rsid w:val="00857E1E"/>
    <w:rsid w:val="00863652"/>
    <w:rsid w:val="00863934"/>
    <w:rsid w:val="00863E78"/>
    <w:rsid w:val="00864BCC"/>
    <w:rsid w:val="00864CE3"/>
    <w:rsid w:val="008653F6"/>
    <w:rsid w:val="0086775C"/>
    <w:rsid w:val="00872711"/>
    <w:rsid w:val="00872E5E"/>
    <w:rsid w:val="00873BA0"/>
    <w:rsid w:val="00874D22"/>
    <w:rsid w:val="00875C4C"/>
    <w:rsid w:val="00877F38"/>
    <w:rsid w:val="0088133B"/>
    <w:rsid w:val="00882BB2"/>
    <w:rsid w:val="008842FE"/>
    <w:rsid w:val="008871F6"/>
    <w:rsid w:val="00890492"/>
    <w:rsid w:val="00890BEB"/>
    <w:rsid w:val="00894160"/>
    <w:rsid w:val="00895836"/>
    <w:rsid w:val="008A0712"/>
    <w:rsid w:val="008A2914"/>
    <w:rsid w:val="008A2C05"/>
    <w:rsid w:val="008A33DB"/>
    <w:rsid w:val="008A3EED"/>
    <w:rsid w:val="008B09E0"/>
    <w:rsid w:val="008B18C0"/>
    <w:rsid w:val="008B4A25"/>
    <w:rsid w:val="008B6493"/>
    <w:rsid w:val="008B69BA"/>
    <w:rsid w:val="008B7D85"/>
    <w:rsid w:val="008C1A5B"/>
    <w:rsid w:val="008C26D3"/>
    <w:rsid w:val="008C3450"/>
    <w:rsid w:val="008C51ED"/>
    <w:rsid w:val="008C6B33"/>
    <w:rsid w:val="008D098E"/>
    <w:rsid w:val="008D21B2"/>
    <w:rsid w:val="008D30ED"/>
    <w:rsid w:val="008D5343"/>
    <w:rsid w:val="008D7172"/>
    <w:rsid w:val="008D77C1"/>
    <w:rsid w:val="008D785F"/>
    <w:rsid w:val="008E1CB7"/>
    <w:rsid w:val="008E4D8E"/>
    <w:rsid w:val="008E5175"/>
    <w:rsid w:val="008E5983"/>
    <w:rsid w:val="008E7FE5"/>
    <w:rsid w:val="008F0177"/>
    <w:rsid w:val="008F178C"/>
    <w:rsid w:val="008F3B3D"/>
    <w:rsid w:val="008F4115"/>
    <w:rsid w:val="008F53DE"/>
    <w:rsid w:val="008F5875"/>
    <w:rsid w:val="008F6768"/>
    <w:rsid w:val="00902A39"/>
    <w:rsid w:val="0090335C"/>
    <w:rsid w:val="00903B16"/>
    <w:rsid w:val="009048C0"/>
    <w:rsid w:val="009049DA"/>
    <w:rsid w:val="00905967"/>
    <w:rsid w:val="009076AA"/>
    <w:rsid w:val="00910E5D"/>
    <w:rsid w:val="00912762"/>
    <w:rsid w:val="00912EC0"/>
    <w:rsid w:val="009173EC"/>
    <w:rsid w:val="009208CB"/>
    <w:rsid w:val="00920C29"/>
    <w:rsid w:val="009219AA"/>
    <w:rsid w:val="00921BB6"/>
    <w:rsid w:val="00923309"/>
    <w:rsid w:val="009237BA"/>
    <w:rsid w:val="00924BFA"/>
    <w:rsid w:val="0092658D"/>
    <w:rsid w:val="00926E2E"/>
    <w:rsid w:val="00927D47"/>
    <w:rsid w:val="0093138E"/>
    <w:rsid w:val="00933C67"/>
    <w:rsid w:val="009364F1"/>
    <w:rsid w:val="00940CCC"/>
    <w:rsid w:val="009413BD"/>
    <w:rsid w:val="0094170E"/>
    <w:rsid w:val="00943511"/>
    <w:rsid w:val="00943695"/>
    <w:rsid w:val="00943C34"/>
    <w:rsid w:val="00945341"/>
    <w:rsid w:val="009454A8"/>
    <w:rsid w:val="009462EC"/>
    <w:rsid w:val="00946FF5"/>
    <w:rsid w:val="00947597"/>
    <w:rsid w:val="00950A2C"/>
    <w:rsid w:val="0095231E"/>
    <w:rsid w:val="00952F64"/>
    <w:rsid w:val="00952FE1"/>
    <w:rsid w:val="00953D09"/>
    <w:rsid w:val="0095487A"/>
    <w:rsid w:val="009548DC"/>
    <w:rsid w:val="009554BA"/>
    <w:rsid w:val="00963773"/>
    <w:rsid w:val="00964071"/>
    <w:rsid w:val="00964227"/>
    <w:rsid w:val="0096530A"/>
    <w:rsid w:val="00965856"/>
    <w:rsid w:val="00966039"/>
    <w:rsid w:val="009662EE"/>
    <w:rsid w:val="0096643C"/>
    <w:rsid w:val="00967DD0"/>
    <w:rsid w:val="0097018C"/>
    <w:rsid w:val="00970634"/>
    <w:rsid w:val="00974AE9"/>
    <w:rsid w:val="0098026F"/>
    <w:rsid w:val="009817C0"/>
    <w:rsid w:val="009824EE"/>
    <w:rsid w:val="00984055"/>
    <w:rsid w:val="00984A58"/>
    <w:rsid w:val="00985D97"/>
    <w:rsid w:val="00986C94"/>
    <w:rsid w:val="009A40D5"/>
    <w:rsid w:val="009A4C68"/>
    <w:rsid w:val="009A5006"/>
    <w:rsid w:val="009A512A"/>
    <w:rsid w:val="009A5945"/>
    <w:rsid w:val="009B21E7"/>
    <w:rsid w:val="009B2FA0"/>
    <w:rsid w:val="009B352E"/>
    <w:rsid w:val="009B53BA"/>
    <w:rsid w:val="009B72E3"/>
    <w:rsid w:val="009C0C00"/>
    <w:rsid w:val="009C1B88"/>
    <w:rsid w:val="009C3C70"/>
    <w:rsid w:val="009C4F7D"/>
    <w:rsid w:val="009C608C"/>
    <w:rsid w:val="009C6D2C"/>
    <w:rsid w:val="009D27B3"/>
    <w:rsid w:val="009D2F63"/>
    <w:rsid w:val="009D306E"/>
    <w:rsid w:val="009D44F4"/>
    <w:rsid w:val="009D7D44"/>
    <w:rsid w:val="009E03F1"/>
    <w:rsid w:val="009E0D1D"/>
    <w:rsid w:val="009E3DC5"/>
    <w:rsid w:val="009F10A6"/>
    <w:rsid w:val="009F13BD"/>
    <w:rsid w:val="00A001D5"/>
    <w:rsid w:val="00A002DC"/>
    <w:rsid w:val="00A01478"/>
    <w:rsid w:val="00A01B57"/>
    <w:rsid w:val="00A022C9"/>
    <w:rsid w:val="00A03AF1"/>
    <w:rsid w:val="00A045F1"/>
    <w:rsid w:val="00A04EBD"/>
    <w:rsid w:val="00A06889"/>
    <w:rsid w:val="00A07C93"/>
    <w:rsid w:val="00A07DAA"/>
    <w:rsid w:val="00A10290"/>
    <w:rsid w:val="00A14B80"/>
    <w:rsid w:val="00A14F88"/>
    <w:rsid w:val="00A17D25"/>
    <w:rsid w:val="00A21490"/>
    <w:rsid w:val="00A2621E"/>
    <w:rsid w:val="00A30E2B"/>
    <w:rsid w:val="00A3111F"/>
    <w:rsid w:val="00A328F1"/>
    <w:rsid w:val="00A349D3"/>
    <w:rsid w:val="00A35118"/>
    <w:rsid w:val="00A35759"/>
    <w:rsid w:val="00A42FD5"/>
    <w:rsid w:val="00A4332C"/>
    <w:rsid w:val="00A46067"/>
    <w:rsid w:val="00A46D98"/>
    <w:rsid w:val="00A47515"/>
    <w:rsid w:val="00A4783D"/>
    <w:rsid w:val="00A513E1"/>
    <w:rsid w:val="00A51973"/>
    <w:rsid w:val="00A5505E"/>
    <w:rsid w:val="00A552B4"/>
    <w:rsid w:val="00A575DD"/>
    <w:rsid w:val="00A6081E"/>
    <w:rsid w:val="00A610FB"/>
    <w:rsid w:val="00A614F7"/>
    <w:rsid w:val="00A62941"/>
    <w:rsid w:val="00A63F0F"/>
    <w:rsid w:val="00A63F11"/>
    <w:rsid w:val="00A666F8"/>
    <w:rsid w:val="00A72401"/>
    <w:rsid w:val="00A725ED"/>
    <w:rsid w:val="00A72830"/>
    <w:rsid w:val="00A75D3D"/>
    <w:rsid w:val="00A76158"/>
    <w:rsid w:val="00A76B13"/>
    <w:rsid w:val="00A77543"/>
    <w:rsid w:val="00A81BD6"/>
    <w:rsid w:val="00A83AAD"/>
    <w:rsid w:val="00A850EC"/>
    <w:rsid w:val="00A90A44"/>
    <w:rsid w:val="00A91B4E"/>
    <w:rsid w:val="00A930AA"/>
    <w:rsid w:val="00A95E32"/>
    <w:rsid w:val="00A96E73"/>
    <w:rsid w:val="00A96FFF"/>
    <w:rsid w:val="00A97A34"/>
    <w:rsid w:val="00AA2D18"/>
    <w:rsid w:val="00AA3A0F"/>
    <w:rsid w:val="00AA43BA"/>
    <w:rsid w:val="00AA451E"/>
    <w:rsid w:val="00AA4674"/>
    <w:rsid w:val="00AA5324"/>
    <w:rsid w:val="00AA60CD"/>
    <w:rsid w:val="00AA6E49"/>
    <w:rsid w:val="00AB0FE8"/>
    <w:rsid w:val="00AB1B92"/>
    <w:rsid w:val="00AB33A4"/>
    <w:rsid w:val="00AB450A"/>
    <w:rsid w:val="00AC0249"/>
    <w:rsid w:val="00AC046B"/>
    <w:rsid w:val="00AC1935"/>
    <w:rsid w:val="00AC497F"/>
    <w:rsid w:val="00AC4B68"/>
    <w:rsid w:val="00AC64BE"/>
    <w:rsid w:val="00AD0075"/>
    <w:rsid w:val="00AD165F"/>
    <w:rsid w:val="00AD20D5"/>
    <w:rsid w:val="00AD6333"/>
    <w:rsid w:val="00AD7AA5"/>
    <w:rsid w:val="00AE22FE"/>
    <w:rsid w:val="00AE291B"/>
    <w:rsid w:val="00AE5133"/>
    <w:rsid w:val="00AE693D"/>
    <w:rsid w:val="00AE7B7A"/>
    <w:rsid w:val="00AE7D04"/>
    <w:rsid w:val="00AF0B9D"/>
    <w:rsid w:val="00AF0F85"/>
    <w:rsid w:val="00AF34DF"/>
    <w:rsid w:val="00AF536F"/>
    <w:rsid w:val="00AF6F97"/>
    <w:rsid w:val="00B022E4"/>
    <w:rsid w:val="00B026DE"/>
    <w:rsid w:val="00B027AB"/>
    <w:rsid w:val="00B0315E"/>
    <w:rsid w:val="00B04339"/>
    <w:rsid w:val="00B048C5"/>
    <w:rsid w:val="00B067DF"/>
    <w:rsid w:val="00B11670"/>
    <w:rsid w:val="00B131D2"/>
    <w:rsid w:val="00B138FC"/>
    <w:rsid w:val="00B16109"/>
    <w:rsid w:val="00B20412"/>
    <w:rsid w:val="00B21B94"/>
    <w:rsid w:val="00B22BC5"/>
    <w:rsid w:val="00B239E1"/>
    <w:rsid w:val="00B23CDF"/>
    <w:rsid w:val="00B24164"/>
    <w:rsid w:val="00B25D9D"/>
    <w:rsid w:val="00B25D9F"/>
    <w:rsid w:val="00B277FF"/>
    <w:rsid w:val="00B300DC"/>
    <w:rsid w:val="00B308D0"/>
    <w:rsid w:val="00B30A75"/>
    <w:rsid w:val="00B30BFB"/>
    <w:rsid w:val="00B33854"/>
    <w:rsid w:val="00B35661"/>
    <w:rsid w:val="00B36460"/>
    <w:rsid w:val="00B378C2"/>
    <w:rsid w:val="00B43C2E"/>
    <w:rsid w:val="00B44700"/>
    <w:rsid w:val="00B448D6"/>
    <w:rsid w:val="00B44956"/>
    <w:rsid w:val="00B4790F"/>
    <w:rsid w:val="00B51C5B"/>
    <w:rsid w:val="00B52EC1"/>
    <w:rsid w:val="00B53C7F"/>
    <w:rsid w:val="00B542E9"/>
    <w:rsid w:val="00B55C19"/>
    <w:rsid w:val="00B577A2"/>
    <w:rsid w:val="00B616BA"/>
    <w:rsid w:val="00B62CCD"/>
    <w:rsid w:val="00B62CEE"/>
    <w:rsid w:val="00B633CE"/>
    <w:rsid w:val="00B64269"/>
    <w:rsid w:val="00B6506B"/>
    <w:rsid w:val="00B65A5B"/>
    <w:rsid w:val="00B65C14"/>
    <w:rsid w:val="00B6725B"/>
    <w:rsid w:val="00B70C08"/>
    <w:rsid w:val="00B726BD"/>
    <w:rsid w:val="00B7341E"/>
    <w:rsid w:val="00B75CD4"/>
    <w:rsid w:val="00B76F3E"/>
    <w:rsid w:val="00B7785E"/>
    <w:rsid w:val="00B80DAC"/>
    <w:rsid w:val="00B82D6C"/>
    <w:rsid w:val="00B830FE"/>
    <w:rsid w:val="00B84BA4"/>
    <w:rsid w:val="00B8556C"/>
    <w:rsid w:val="00B90BAE"/>
    <w:rsid w:val="00B93852"/>
    <w:rsid w:val="00B9585B"/>
    <w:rsid w:val="00BA1090"/>
    <w:rsid w:val="00BA1425"/>
    <w:rsid w:val="00BA564D"/>
    <w:rsid w:val="00BA60EE"/>
    <w:rsid w:val="00BA6F1E"/>
    <w:rsid w:val="00BA7DA4"/>
    <w:rsid w:val="00BB1CC5"/>
    <w:rsid w:val="00BB24B6"/>
    <w:rsid w:val="00BB2CCA"/>
    <w:rsid w:val="00BB3686"/>
    <w:rsid w:val="00BB3E6A"/>
    <w:rsid w:val="00BB4E61"/>
    <w:rsid w:val="00BB547B"/>
    <w:rsid w:val="00BB5940"/>
    <w:rsid w:val="00BC009B"/>
    <w:rsid w:val="00BC03E7"/>
    <w:rsid w:val="00BC09F5"/>
    <w:rsid w:val="00BC2870"/>
    <w:rsid w:val="00BC28C7"/>
    <w:rsid w:val="00BC6BF8"/>
    <w:rsid w:val="00BD57EE"/>
    <w:rsid w:val="00BE141A"/>
    <w:rsid w:val="00BE2993"/>
    <w:rsid w:val="00BE2EBF"/>
    <w:rsid w:val="00BE3A17"/>
    <w:rsid w:val="00BE483C"/>
    <w:rsid w:val="00BE5CA3"/>
    <w:rsid w:val="00BF6F5F"/>
    <w:rsid w:val="00BF71DF"/>
    <w:rsid w:val="00C00B57"/>
    <w:rsid w:val="00C01B91"/>
    <w:rsid w:val="00C0455F"/>
    <w:rsid w:val="00C04B3F"/>
    <w:rsid w:val="00C054D4"/>
    <w:rsid w:val="00C0550A"/>
    <w:rsid w:val="00C0644B"/>
    <w:rsid w:val="00C06E07"/>
    <w:rsid w:val="00C079F8"/>
    <w:rsid w:val="00C10D9E"/>
    <w:rsid w:val="00C12301"/>
    <w:rsid w:val="00C13425"/>
    <w:rsid w:val="00C14EAE"/>
    <w:rsid w:val="00C173A7"/>
    <w:rsid w:val="00C17B66"/>
    <w:rsid w:val="00C2314B"/>
    <w:rsid w:val="00C23497"/>
    <w:rsid w:val="00C236A5"/>
    <w:rsid w:val="00C23B18"/>
    <w:rsid w:val="00C27353"/>
    <w:rsid w:val="00C328C8"/>
    <w:rsid w:val="00C32FA7"/>
    <w:rsid w:val="00C355F7"/>
    <w:rsid w:val="00C41975"/>
    <w:rsid w:val="00C43A3C"/>
    <w:rsid w:val="00C46DD7"/>
    <w:rsid w:val="00C476B2"/>
    <w:rsid w:val="00C522E3"/>
    <w:rsid w:val="00C54A45"/>
    <w:rsid w:val="00C55253"/>
    <w:rsid w:val="00C573A1"/>
    <w:rsid w:val="00C63C41"/>
    <w:rsid w:val="00C64DD6"/>
    <w:rsid w:val="00C668C0"/>
    <w:rsid w:val="00C6759F"/>
    <w:rsid w:val="00C677C4"/>
    <w:rsid w:val="00C6794F"/>
    <w:rsid w:val="00C71809"/>
    <w:rsid w:val="00C73228"/>
    <w:rsid w:val="00C7495E"/>
    <w:rsid w:val="00C755FB"/>
    <w:rsid w:val="00C7579E"/>
    <w:rsid w:val="00C761AA"/>
    <w:rsid w:val="00C764CF"/>
    <w:rsid w:val="00C768B9"/>
    <w:rsid w:val="00C8045C"/>
    <w:rsid w:val="00C80B2A"/>
    <w:rsid w:val="00C80E86"/>
    <w:rsid w:val="00C81DED"/>
    <w:rsid w:val="00C84F09"/>
    <w:rsid w:val="00C86F04"/>
    <w:rsid w:val="00C905BF"/>
    <w:rsid w:val="00C90914"/>
    <w:rsid w:val="00C90F89"/>
    <w:rsid w:val="00C933E9"/>
    <w:rsid w:val="00C97FA0"/>
    <w:rsid w:val="00CA1AA3"/>
    <w:rsid w:val="00CA2432"/>
    <w:rsid w:val="00CA4F42"/>
    <w:rsid w:val="00CA7B5A"/>
    <w:rsid w:val="00CB0F45"/>
    <w:rsid w:val="00CB181C"/>
    <w:rsid w:val="00CC2F82"/>
    <w:rsid w:val="00CC4927"/>
    <w:rsid w:val="00CC6575"/>
    <w:rsid w:val="00CC69DB"/>
    <w:rsid w:val="00CD00B4"/>
    <w:rsid w:val="00CD02D6"/>
    <w:rsid w:val="00CD03A2"/>
    <w:rsid w:val="00CD210D"/>
    <w:rsid w:val="00CD30EA"/>
    <w:rsid w:val="00CD3A2A"/>
    <w:rsid w:val="00CD4CB3"/>
    <w:rsid w:val="00CD58A4"/>
    <w:rsid w:val="00CD5A98"/>
    <w:rsid w:val="00CE44AE"/>
    <w:rsid w:val="00CE4C64"/>
    <w:rsid w:val="00CE4E4B"/>
    <w:rsid w:val="00CE573B"/>
    <w:rsid w:val="00CE5E0C"/>
    <w:rsid w:val="00CE610A"/>
    <w:rsid w:val="00CE74E1"/>
    <w:rsid w:val="00CF21EE"/>
    <w:rsid w:val="00CF23F2"/>
    <w:rsid w:val="00CF5F57"/>
    <w:rsid w:val="00CF713C"/>
    <w:rsid w:val="00D012EB"/>
    <w:rsid w:val="00D02EC5"/>
    <w:rsid w:val="00D043E3"/>
    <w:rsid w:val="00D04858"/>
    <w:rsid w:val="00D05C4E"/>
    <w:rsid w:val="00D10782"/>
    <w:rsid w:val="00D11FDE"/>
    <w:rsid w:val="00D12094"/>
    <w:rsid w:val="00D12C3A"/>
    <w:rsid w:val="00D1579E"/>
    <w:rsid w:val="00D15FCC"/>
    <w:rsid w:val="00D16065"/>
    <w:rsid w:val="00D16F8B"/>
    <w:rsid w:val="00D16FC0"/>
    <w:rsid w:val="00D171D4"/>
    <w:rsid w:val="00D20381"/>
    <w:rsid w:val="00D20A90"/>
    <w:rsid w:val="00D20B20"/>
    <w:rsid w:val="00D2201E"/>
    <w:rsid w:val="00D222ED"/>
    <w:rsid w:val="00D23320"/>
    <w:rsid w:val="00D25208"/>
    <w:rsid w:val="00D253C3"/>
    <w:rsid w:val="00D25871"/>
    <w:rsid w:val="00D27D85"/>
    <w:rsid w:val="00D307DF"/>
    <w:rsid w:val="00D31A68"/>
    <w:rsid w:val="00D3473F"/>
    <w:rsid w:val="00D35F7D"/>
    <w:rsid w:val="00D36D4B"/>
    <w:rsid w:val="00D37E8B"/>
    <w:rsid w:val="00D415A7"/>
    <w:rsid w:val="00D42BB1"/>
    <w:rsid w:val="00D43E8C"/>
    <w:rsid w:val="00D44F20"/>
    <w:rsid w:val="00D45FE7"/>
    <w:rsid w:val="00D476C1"/>
    <w:rsid w:val="00D47979"/>
    <w:rsid w:val="00D47D31"/>
    <w:rsid w:val="00D512B9"/>
    <w:rsid w:val="00D537C9"/>
    <w:rsid w:val="00D54A8D"/>
    <w:rsid w:val="00D54F6D"/>
    <w:rsid w:val="00D55B10"/>
    <w:rsid w:val="00D55E02"/>
    <w:rsid w:val="00D573BA"/>
    <w:rsid w:val="00D60422"/>
    <w:rsid w:val="00D60A93"/>
    <w:rsid w:val="00D62ADF"/>
    <w:rsid w:val="00D641F7"/>
    <w:rsid w:val="00D643C9"/>
    <w:rsid w:val="00D651C3"/>
    <w:rsid w:val="00D6557D"/>
    <w:rsid w:val="00D662E7"/>
    <w:rsid w:val="00D66586"/>
    <w:rsid w:val="00D66C26"/>
    <w:rsid w:val="00D70F91"/>
    <w:rsid w:val="00D71F9E"/>
    <w:rsid w:val="00D72BA0"/>
    <w:rsid w:val="00D75905"/>
    <w:rsid w:val="00D801E9"/>
    <w:rsid w:val="00D82B7C"/>
    <w:rsid w:val="00D83A7F"/>
    <w:rsid w:val="00D8431A"/>
    <w:rsid w:val="00D84D3D"/>
    <w:rsid w:val="00D8513F"/>
    <w:rsid w:val="00D9251E"/>
    <w:rsid w:val="00D92792"/>
    <w:rsid w:val="00D94BCC"/>
    <w:rsid w:val="00D964F2"/>
    <w:rsid w:val="00D97803"/>
    <w:rsid w:val="00DA24D6"/>
    <w:rsid w:val="00DA2680"/>
    <w:rsid w:val="00DA3BBC"/>
    <w:rsid w:val="00DA4295"/>
    <w:rsid w:val="00DB2045"/>
    <w:rsid w:val="00DB659C"/>
    <w:rsid w:val="00DB7053"/>
    <w:rsid w:val="00DB786E"/>
    <w:rsid w:val="00DB7932"/>
    <w:rsid w:val="00DC0AC7"/>
    <w:rsid w:val="00DC4BDF"/>
    <w:rsid w:val="00DC5CF6"/>
    <w:rsid w:val="00DC6705"/>
    <w:rsid w:val="00DD1942"/>
    <w:rsid w:val="00DD3647"/>
    <w:rsid w:val="00DD4159"/>
    <w:rsid w:val="00DD4BDA"/>
    <w:rsid w:val="00DD4F62"/>
    <w:rsid w:val="00DD5252"/>
    <w:rsid w:val="00DD627A"/>
    <w:rsid w:val="00DD6FF3"/>
    <w:rsid w:val="00DD7430"/>
    <w:rsid w:val="00DE1648"/>
    <w:rsid w:val="00DE2971"/>
    <w:rsid w:val="00DE31BF"/>
    <w:rsid w:val="00DE36C4"/>
    <w:rsid w:val="00DE3D7A"/>
    <w:rsid w:val="00DE4931"/>
    <w:rsid w:val="00DE724E"/>
    <w:rsid w:val="00DE78D6"/>
    <w:rsid w:val="00DF0EF0"/>
    <w:rsid w:val="00DF23CA"/>
    <w:rsid w:val="00DF334F"/>
    <w:rsid w:val="00DF366F"/>
    <w:rsid w:val="00DF4846"/>
    <w:rsid w:val="00E033D8"/>
    <w:rsid w:val="00E03B76"/>
    <w:rsid w:val="00E04B53"/>
    <w:rsid w:val="00E112AF"/>
    <w:rsid w:val="00E132FD"/>
    <w:rsid w:val="00E15B84"/>
    <w:rsid w:val="00E16E23"/>
    <w:rsid w:val="00E21264"/>
    <w:rsid w:val="00E24898"/>
    <w:rsid w:val="00E2595C"/>
    <w:rsid w:val="00E25B2C"/>
    <w:rsid w:val="00E27ECE"/>
    <w:rsid w:val="00E307AD"/>
    <w:rsid w:val="00E31A24"/>
    <w:rsid w:val="00E34742"/>
    <w:rsid w:val="00E35A82"/>
    <w:rsid w:val="00E40E65"/>
    <w:rsid w:val="00E4111C"/>
    <w:rsid w:val="00E4131C"/>
    <w:rsid w:val="00E44FF1"/>
    <w:rsid w:val="00E454A6"/>
    <w:rsid w:val="00E47CF2"/>
    <w:rsid w:val="00E50A1A"/>
    <w:rsid w:val="00E52754"/>
    <w:rsid w:val="00E52B3A"/>
    <w:rsid w:val="00E53078"/>
    <w:rsid w:val="00E5511C"/>
    <w:rsid w:val="00E55E80"/>
    <w:rsid w:val="00E5733F"/>
    <w:rsid w:val="00E574D7"/>
    <w:rsid w:val="00E61133"/>
    <w:rsid w:val="00E6160F"/>
    <w:rsid w:val="00E62F43"/>
    <w:rsid w:val="00E637B6"/>
    <w:rsid w:val="00E64029"/>
    <w:rsid w:val="00E6444B"/>
    <w:rsid w:val="00E64C59"/>
    <w:rsid w:val="00E660F2"/>
    <w:rsid w:val="00E67A5C"/>
    <w:rsid w:val="00E70716"/>
    <w:rsid w:val="00E72217"/>
    <w:rsid w:val="00E729DE"/>
    <w:rsid w:val="00E7427E"/>
    <w:rsid w:val="00E75A6C"/>
    <w:rsid w:val="00E75AB5"/>
    <w:rsid w:val="00E760DD"/>
    <w:rsid w:val="00E76401"/>
    <w:rsid w:val="00E76658"/>
    <w:rsid w:val="00E76C56"/>
    <w:rsid w:val="00E77E43"/>
    <w:rsid w:val="00E80E76"/>
    <w:rsid w:val="00E826D3"/>
    <w:rsid w:val="00E862EB"/>
    <w:rsid w:val="00E86DF8"/>
    <w:rsid w:val="00E878F5"/>
    <w:rsid w:val="00E90EEB"/>
    <w:rsid w:val="00E92009"/>
    <w:rsid w:val="00E94EEE"/>
    <w:rsid w:val="00E95BF3"/>
    <w:rsid w:val="00E95DC6"/>
    <w:rsid w:val="00EA00AD"/>
    <w:rsid w:val="00EA016C"/>
    <w:rsid w:val="00EA03DB"/>
    <w:rsid w:val="00EA091D"/>
    <w:rsid w:val="00EA136F"/>
    <w:rsid w:val="00EA68CB"/>
    <w:rsid w:val="00EA6A49"/>
    <w:rsid w:val="00EA6EDC"/>
    <w:rsid w:val="00EA70B3"/>
    <w:rsid w:val="00EA7B0A"/>
    <w:rsid w:val="00EB0EAF"/>
    <w:rsid w:val="00EB2891"/>
    <w:rsid w:val="00EB351B"/>
    <w:rsid w:val="00EB3F73"/>
    <w:rsid w:val="00EB40EA"/>
    <w:rsid w:val="00EB4F4A"/>
    <w:rsid w:val="00EB7013"/>
    <w:rsid w:val="00EC09CC"/>
    <w:rsid w:val="00EC5090"/>
    <w:rsid w:val="00EC6086"/>
    <w:rsid w:val="00EC77D5"/>
    <w:rsid w:val="00ED07D4"/>
    <w:rsid w:val="00ED2083"/>
    <w:rsid w:val="00ED2659"/>
    <w:rsid w:val="00ED313E"/>
    <w:rsid w:val="00ED447F"/>
    <w:rsid w:val="00ED503B"/>
    <w:rsid w:val="00ED5D49"/>
    <w:rsid w:val="00ED6668"/>
    <w:rsid w:val="00ED7053"/>
    <w:rsid w:val="00ED7BFC"/>
    <w:rsid w:val="00EE152E"/>
    <w:rsid w:val="00EE1AD3"/>
    <w:rsid w:val="00EE1ED3"/>
    <w:rsid w:val="00EE2DFF"/>
    <w:rsid w:val="00EE3507"/>
    <w:rsid w:val="00EE4C34"/>
    <w:rsid w:val="00EE58D2"/>
    <w:rsid w:val="00EE5D29"/>
    <w:rsid w:val="00EE5DAE"/>
    <w:rsid w:val="00EE7718"/>
    <w:rsid w:val="00EF3BE1"/>
    <w:rsid w:val="00EF53BE"/>
    <w:rsid w:val="00EF757B"/>
    <w:rsid w:val="00EF7B46"/>
    <w:rsid w:val="00F003FE"/>
    <w:rsid w:val="00F008E5"/>
    <w:rsid w:val="00F0305D"/>
    <w:rsid w:val="00F033AD"/>
    <w:rsid w:val="00F04303"/>
    <w:rsid w:val="00F05D80"/>
    <w:rsid w:val="00F11520"/>
    <w:rsid w:val="00F11C4F"/>
    <w:rsid w:val="00F12AA2"/>
    <w:rsid w:val="00F1579D"/>
    <w:rsid w:val="00F16098"/>
    <w:rsid w:val="00F165FC"/>
    <w:rsid w:val="00F166AA"/>
    <w:rsid w:val="00F16B4E"/>
    <w:rsid w:val="00F201EE"/>
    <w:rsid w:val="00F2075E"/>
    <w:rsid w:val="00F21598"/>
    <w:rsid w:val="00F22568"/>
    <w:rsid w:val="00F22AA9"/>
    <w:rsid w:val="00F22E2E"/>
    <w:rsid w:val="00F24392"/>
    <w:rsid w:val="00F24D01"/>
    <w:rsid w:val="00F2620A"/>
    <w:rsid w:val="00F2686E"/>
    <w:rsid w:val="00F27B80"/>
    <w:rsid w:val="00F30886"/>
    <w:rsid w:val="00F33286"/>
    <w:rsid w:val="00F3566E"/>
    <w:rsid w:val="00F36E10"/>
    <w:rsid w:val="00F36E41"/>
    <w:rsid w:val="00F4035D"/>
    <w:rsid w:val="00F40EA4"/>
    <w:rsid w:val="00F42380"/>
    <w:rsid w:val="00F42F21"/>
    <w:rsid w:val="00F4425B"/>
    <w:rsid w:val="00F44FBF"/>
    <w:rsid w:val="00F457C0"/>
    <w:rsid w:val="00F45B6D"/>
    <w:rsid w:val="00F4600F"/>
    <w:rsid w:val="00F47624"/>
    <w:rsid w:val="00F50669"/>
    <w:rsid w:val="00F52E56"/>
    <w:rsid w:val="00F539CD"/>
    <w:rsid w:val="00F54070"/>
    <w:rsid w:val="00F551DC"/>
    <w:rsid w:val="00F552A8"/>
    <w:rsid w:val="00F60094"/>
    <w:rsid w:val="00F6174E"/>
    <w:rsid w:val="00F61AF3"/>
    <w:rsid w:val="00F62748"/>
    <w:rsid w:val="00F62B68"/>
    <w:rsid w:val="00F64444"/>
    <w:rsid w:val="00F664E7"/>
    <w:rsid w:val="00F66799"/>
    <w:rsid w:val="00F66BFB"/>
    <w:rsid w:val="00F67570"/>
    <w:rsid w:val="00F71948"/>
    <w:rsid w:val="00F71A72"/>
    <w:rsid w:val="00F72265"/>
    <w:rsid w:val="00F72D86"/>
    <w:rsid w:val="00F74877"/>
    <w:rsid w:val="00F77823"/>
    <w:rsid w:val="00F77BEC"/>
    <w:rsid w:val="00F81410"/>
    <w:rsid w:val="00F814BB"/>
    <w:rsid w:val="00F81FE0"/>
    <w:rsid w:val="00F82BE4"/>
    <w:rsid w:val="00F83CB9"/>
    <w:rsid w:val="00F84ED2"/>
    <w:rsid w:val="00F85544"/>
    <w:rsid w:val="00F85614"/>
    <w:rsid w:val="00F902BD"/>
    <w:rsid w:val="00F907EE"/>
    <w:rsid w:val="00F92F69"/>
    <w:rsid w:val="00F94233"/>
    <w:rsid w:val="00F948C5"/>
    <w:rsid w:val="00F95438"/>
    <w:rsid w:val="00F957FB"/>
    <w:rsid w:val="00F97391"/>
    <w:rsid w:val="00FA1EDF"/>
    <w:rsid w:val="00FA3642"/>
    <w:rsid w:val="00FA3C35"/>
    <w:rsid w:val="00FA4937"/>
    <w:rsid w:val="00FA6C61"/>
    <w:rsid w:val="00FB0BBF"/>
    <w:rsid w:val="00FB2BE7"/>
    <w:rsid w:val="00FB341A"/>
    <w:rsid w:val="00FB3CB4"/>
    <w:rsid w:val="00FB4256"/>
    <w:rsid w:val="00FB4C19"/>
    <w:rsid w:val="00FB5DFB"/>
    <w:rsid w:val="00FB62AD"/>
    <w:rsid w:val="00FB7ABF"/>
    <w:rsid w:val="00FB7B22"/>
    <w:rsid w:val="00FB7B6C"/>
    <w:rsid w:val="00FC0F42"/>
    <w:rsid w:val="00FC2DDD"/>
    <w:rsid w:val="00FC30C8"/>
    <w:rsid w:val="00FC38F8"/>
    <w:rsid w:val="00FC3E50"/>
    <w:rsid w:val="00FC55AC"/>
    <w:rsid w:val="00FC5D67"/>
    <w:rsid w:val="00FC66BD"/>
    <w:rsid w:val="00FC711A"/>
    <w:rsid w:val="00FD0D76"/>
    <w:rsid w:val="00FD1FA1"/>
    <w:rsid w:val="00FD25F2"/>
    <w:rsid w:val="00FD393D"/>
    <w:rsid w:val="00FD58F5"/>
    <w:rsid w:val="00FD610F"/>
    <w:rsid w:val="00FD6263"/>
    <w:rsid w:val="00FE053D"/>
    <w:rsid w:val="00FE3248"/>
    <w:rsid w:val="00FE350B"/>
    <w:rsid w:val="00FE3F54"/>
    <w:rsid w:val="00FE4535"/>
    <w:rsid w:val="00FE457C"/>
    <w:rsid w:val="00FE4C8E"/>
    <w:rsid w:val="00FE55C7"/>
    <w:rsid w:val="00FE5CB3"/>
    <w:rsid w:val="00FF086B"/>
    <w:rsid w:val="00FF332E"/>
    <w:rsid w:val="00FF3B0D"/>
    <w:rsid w:val="00FF63A1"/>
    <w:rsid w:val="00FF79CC"/>
    <w:rsid w:val="010997F9"/>
    <w:rsid w:val="01124B0B"/>
    <w:rsid w:val="015AE39C"/>
    <w:rsid w:val="015D7C7E"/>
    <w:rsid w:val="018E05BE"/>
    <w:rsid w:val="01A11F64"/>
    <w:rsid w:val="01B2BCB7"/>
    <w:rsid w:val="01C43184"/>
    <w:rsid w:val="01E07E58"/>
    <w:rsid w:val="01F14723"/>
    <w:rsid w:val="0204B059"/>
    <w:rsid w:val="0207F73C"/>
    <w:rsid w:val="020F3669"/>
    <w:rsid w:val="022F06FA"/>
    <w:rsid w:val="0281FD22"/>
    <w:rsid w:val="02894AA1"/>
    <w:rsid w:val="02F34A5D"/>
    <w:rsid w:val="031D75D2"/>
    <w:rsid w:val="034BAE08"/>
    <w:rsid w:val="03A3618C"/>
    <w:rsid w:val="0401F797"/>
    <w:rsid w:val="0429527C"/>
    <w:rsid w:val="045D9071"/>
    <w:rsid w:val="0475C218"/>
    <w:rsid w:val="047E3392"/>
    <w:rsid w:val="04BCDDF4"/>
    <w:rsid w:val="04F01DF5"/>
    <w:rsid w:val="04F19586"/>
    <w:rsid w:val="04FE9CCA"/>
    <w:rsid w:val="052020D0"/>
    <w:rsid w:val="05780ADC"/>
    <w:rsid w:val="059AB354"/>
    <w:rsid w:val="05A1CB70"/>
    <w:rsid w:val="05A6D396"/>
    <w:rsid w:val="05B6BC68"/>
    <w:rsid w:val="05D4B58A"/>
    <w:rsid w:val="05DCC7B6"/>
    <w:rsid w:val="05FBAD37"/>
    <w:rsid w:val="06176057"/>
    <w:rsid w:val="06180C0B"/>
    <w:rsid w:val="0654CEA9"/>
    <w:rsid w:val="066A5C7A"/>
    <w:rsid w:val="0686A1AA"/>
    <w:rsid w:val="06A60C35"/>
    <w:rsid w:val="06A7C80C"/>
    <w:rsid w:val="06CF7D04"/>
    <w:rsid w:val="06F23C08"/>
    <w:rsid w:val="0728DE47"/>
    <w:rsid w:val="074A9690"/>
    <w:rsid w:val="07A1E377"/>
    <w:rsid w:val="07DDF438"/>
    <w:rsid w:val="07EF1380"/>
    <w:rsid w:val="07F92D2D"/>
    <w:rsid w:val="08036707"/>
    <w:rsid w:val="0851F817"/>
    <w:rsid w:val="088D6113"/>
    <w:rsid w:val="08A776F9"/>
    <w:rsid w:val="09000DAE"/>
    <w:rsid w:val="0988E8CE"/>
    <w:rsid w:val="09926158"/>
    <w:rsid w:val="09C639C4"/>
    <w:rsid w:val="09DCD062"/>
    <w:rsid w:val="09E1685A"/>
    <w:rsid w:val="0A0027F1"/>
    <w:rsid w:val="0AA7E509"/>
    <w:rsid w:val="0AD272F1"/>
    <w:rsid w:val="0ADD94B6"/>
    <w:rsid w:val="0AE862D1"/>
    <w:rsid w:val="0B060151"/>
    <w:rsid w:val="0B70468A"/>
    <w:rsid w:val="0BCFC2F8"/>
    <w:rsid w:val="0BEA3957"/>
    <w:rsid w:val="0C3DC36B"/>
    <w:rsid w:val="0C4A06E8"/>
    <w:rsid w:val="0C6A9B4D"/>
    <w:rsid w:val="0C7CC221"/>
    <w:rsid w:val="0C9C1EC2"/>
    <w:rsid w:val="0CBD2DB5"/>
    <w:rsid w:val="0D2D31E0"/>
    <w:rsid w:val="0D49334C"/>
    <w:rsid w:val="0D574E5D"/>
    <w:rsid w:val="0DDC3748"/>
    <w:rsid w:val="0E319F26"/>
    <w:rsid w:val="0E369AF1"/>
    <w:rsid w:val="0E4D5D42"/>
    <w:rsid w:val="0E4EFD89"/>
    <w:rsid w:val="0E4F8395"/>
    <w:rsid w:val="0E6E1C7E"/>
    <w:rsid w:val="0E7CB0BF"/>
    <w:rsid w:val="0EB2A007"/>
    <w:rsid w:val="0ECE4145"/>
    <w:rsid w:val="0EE2A394"/>
    <w:rsid w:val="0F2F4FE2"/>
    <w:rsid w:val="0F54F4D0"/>
    <w:rsid w:val="0F7D7A08"/>
    <w:rsid w:val="0FC92E35"/>
    <w:rsid w:val="0FCA09D4"/>
    <w:rsid w:val="101CE78C"/>
    <w:rsid w:val="10323E67"/>
    <w:rsid w:val="1051D24A"/>
    <w:rsid w:val="105BF9CA"/>
    <w:rsid w:val="1088C0A3"/>
    <w:rsid w:val="10F953BA"/>
    <w:rsid w:val="1105B9C3"/>
    <w:rsid w:val="1131EFD6"/>
    <w:rsid w:val="113694F7"/>
    <w:rsid w:val="1144B64E"/>
    <w:rsid w:val="1175A96A"/>
    <w:rsid w:val="11BCBBC4"/>
    <w:rsid w:val="120F4FA0"/>
    <w:rsid w:val="1254DDCF"/>
    <w:rsid w:val="12556182"/>
    <w:rsid w:val="1280DA4C"/>
    <w:rsid w:val="128651A8"/>
    <w:rsid w:val="12AE86F1"/>
    <w:rsid w:val="12BB394A"/>
    <w:rsid w:val="12D764F2"/>
    <w:rsid w:val="135711A9"/>
    <w:rsid w:val="1386DD4C"/>
    <w:rsid w:val="1393BCC5"/>
    <w:rsid w:val="13A0DA43"/>
    <w:rsid w:val="13A7E3D2"/>
    <w:rsid w:val="13DAD818"/>
    <w:rsid w:val="13F45557"/>
    <w:rsid w:val="14138153"/>
    <w:rsid w:val="1415882C"/>
    <w:rsid w:val="1449CBAF"/>
    <w:rsid w:val="1455D61D"/>
    <w:rsid w:val="14696D50"/>
    <w:rsid w:val="14E76CE8"/>
    <w:rsid w:val="14EBD521"/>
    <w:rsid w:val="15079DDA"/>
    <w:rsid w:val="151A92F6"/>
    <w:rsid w:val="1533203F"/>
    <w:rsid w:val="155D6C9C"/>
    <w:rsid w:val="15782048"/>
    <w:rsid w:val="1585CA0E"/>
    <w:rsid w:val="15962CC2"/>
    <w:rsid w:val="15990AE9"/>
    <w:rsid w:val="15D01B06"/>
    <w:rsid w:val="15D348C2"/>
    <w:rsid w:val="161905C3"/>
    <w:rsid w:val="1643545C"/>
    <w:rsid w:val="1643D73B"/>
    <w:rsid w:val="1672FE71"/>
    <w:rsid w:val="16740F38"/>
    <w:rsid w:val="1675DBCF"/>
    <w:rsid w:val="16C22CF5"/>
    <w:rsid w:val="16C65135"/>
    <w:rsid w:val="17080E83"/>
    <w:rsid w:val="174DCE11"/>
    <w:rsid w:val="174FACA8"/>
    <w:rsid w:val="177F3158"/>
    <w:rsid w:val="179894B5"/>
    <w:rsid w:val="179D57ED"/>
    <w:rsid w:val="17A9F6C2"/>
    <w:rsid w:val="17B0043B"/>
    <w:rsid w:val="17CD7E80"/>
    <w:rsid w:val="17E0859F"/>
    <w:rsid w:val="17FE7722"/>
    <w:rsid w:val="18066D48"/>
    <w:rsid w:val="18277387"/>
    <w:rsid w:val="186D9500"/>
    <w:rsid w:val="187BC0C4"/>
    <w:rsid w:val="187C105A"/>
    <w:rsid w:val="18AC68A6"/>
    <w:rsid w:val="18B05FC5"/>
    <w:rsid w:val="18B44422"/>
    <w:rsid w:val="18D5D2D2"/>
    <w:rsid w:val="18F3FFB5"/>
    <w:rsid w:val="19250244"/>
    <w:rsid w:val="19B97A27"/>
    <w:rsid w:val="19EE2A82"/>
    <w:rsid w:val="1A22DEE9"/>
    <w:rsid w:val="1A2C9AAA"/>
    <w:rsid w:val="1A32543F"/>
    <w:rsid w:val="1A65B8C5"/>
    <w:rsid w:val="1A710B96"/>
    <w:rsid w:val="1A848F99"/>
    <w:rsid w:val="1A96AA5D"/>
    <w:rsid w:val="1AA2B127"/>
    <w:rsid w:val="1AA79F2E"/>
    <w:rsid w:val="1AAA3AE1"/>
    <w:rsid w:val="1AE24E60"/>
    <w:rsid w:val="1AE62E90"/>
    <w:rsid w:val="1AF51900"/>
    <w:rsid w:val="1AFB24B8"/>
    <w:rsid w:val="1B03A4C6"/>
    <w:rsid w:val="1B1E4DD2"/>
    <w:rsid w:val="1B288E7F"/>
    <w:rsid w:val="1B337FDD"/>
    <w:rsid w:val="1B3F7E27"/>
    <w:rsid w:val="1B6CE512"/>
    <w:rsid w:val="1B98EACC"/>
    <w:rsid w:val="1B9DD5DD"/>
    <w:rsid w:val="1BC172CE"/>
    <w:rsid w:val="1BE3362D"/>
    <w:rsid w:val="1C0C9CDC"/>
    <w:rsid w:val="1C2884B9"/>
    <w:rsid w:val="1C6AC11B"/>
    <w:rsid w:val="1C6DCD06"/>
    <w:rsid w:val="1C79C1C8"/>
    <w:rsid w:val="1C962F80"/>
    <w:rsid w:val="1C96CCCE"/>
    <w:rsid w:val="1CB5A2CE"/>
    <w:rsid w:val="1CB64613"/>
    <w:rsid w:val="1CC716BE"/>
    <w:rsid w:val="1CDFAA8A"/>
    <w:rsid w:val="1D348170"/>
    <w:rsid w:val="1D4D75E2"/>
    <w:rsid w:val="1D5AFAFB"/>
    <w:rsid w:val="1D71C620"/>
    <w:rsid w:val="1D9D3AC9"/>
    <w:rsid w:val="1DA3FEF4"/>
    <w:rsid w:val="1DA50051"/>
    <w:rsid w:val="1DEA2554"/>
    <w:rsid w:val="1E02C8B3"/>
    <w:rsid w:val="1E0FE001"/>
    <w:rsid w:val="1E13C1E9"/>
    <w:rsid w:val="1E2C4876"/>
    <w:rsid w:val="1E2F73A5"/>
    <w:rsid w:val="1F154EA2"/>
    <w:rsid w:val="1F1B93DD"/>
    <w:rsid w:val="1F38BA6F"/>
    <w:rsid w:val="20148B26"/>
    <w:rsid w:val="208C710B"/>
    <w:rsid w:val="2108FC6A"/>
    <w:rsid w:val="2149246D"/>
    <w:rsid w:val="2161EE29"/>
    <w:rsid w:val="2176F057"/>
    <w:rsid w:val="219A5AE9"/>
    <w:rsid w:val="21A2162F"/>
    <w:rsid w:val="21BCD427"/>
    <w:rsid w:val="21C6B36D"/>
    <w:rsid w:val="21FDB280"/>
    <w:rsid w:val="225EF942"/>
    <w:rsid w:val="227648E0"/>
    <w:rsid w:val="22B55FFD"/>
    <w:rsid w:val="22BE4504"/>
    <w:rsid w:val="22DCDF68"/>
    <w:rsid w:val="22F607E9"/>
    <w:rsid w:val="232B37F9"/>
    <w:rsid w:val="2367BBB3"/>
    <w:rsid w:val="238D151C"/>
    <w:rsid w:val="23908071"/>
    <w:rsid w:val="23A1C869"/>
    <w:rsid w:val="240511F4"/>
    <w:rsid w:val="243CBCA3"/>
    <w:rsid w:val="2447DA6F"/>
    <w:rsid w:val="24581B23"/>
    <w:rsid w:val="248AE8D0"/>
    <w:rsid w:val="2502D4C4"/>
    <w:rsid w:val="251FAEFD"/>
    <w:rsid w:val="252C4C18"/>
    <w:rsid w:val="25365286"/>
    <w:rsid w:val="2580A2EC"/>
    <w:rsid w:val="25869F99"/>
    <w:rsid w:val="25A5C1DB"/>
    <w:rsid w:val="25B2873E"/>
    <w:rsid w:val="25ECB2D7"/>
    <w:rsid w:val="26B66819"/>
    <w:rsid w:val="270FE04B"/>
    <w:rsid w:val="2743B7B6"/>
    <w:rsid w:val="276838F6"/>
    <w:rsid w:val="276D17FC"/>
    <w:rsid w:val="277E0B35"/>
    <w:rsid w:val="27939647"/>
    <w:rsid w:val="27AE1127"/>
    <w:rsid w:val="27D265C7"/>
    <w:rsid w:val="2813F6DE"/>
    <w:rsid w:val="283AE1EB"/>
    <w:rsid w:val="286422F9"/>
    <w:rsid w:val="28C31BFF"/>
    <w:rsid w:val="28F35073"/>
    <w:rsid w:val="28F6B546"/>
    <w:rsid w:val="28F85D7C"/>
    <w:rsid w:val="291C1842"/>
    <w:rsid w:val="293C5AD4"/>
    <w:rsid w:val="2999147B"/>
    <w:rsid w:val="29BEA854"/>
    <w:rsid w:val="29F7E172"/>
    <w:rsid w:val="2A544F36"/>
    <w:rsid w:val="2A940148"/>
    <w:rsid w:val="2AAE268B"/>
    <w:rsid w:val="2AF32766"/>
    <w:rsid w:val="2AFAE7CF"/>
    <w:rsid w:val="2B006C7D"/>
    <w:rsid w:val="2B0A6401"/>
    <w:rsid w:val="2B13683D"/>
    <w:rsid w:val="2B2F13C9"/>
    <w:rsid w:val="2B86F1E3"/>
    <w:rsid w:val="2B8B22C0"/>
    <w:rsid w:val="2B95744E"/>
    <w:rsid w:val="2B9F9604"/>
    <w:rsid w:val="2BB5948A"/>
    <w:rsid w:val="2BE998B5"/>
    <w:rsid w:val="2C006522"/>
    <w:rsid w:val="2C0F0D7C"/>
    <w:rsid w:val="2C2BA0E8"/>
    <w:rsid w:val="2C4F0093"/>
    <w:rsid w:val="2C6254E8"/>
    <w:rsid w:val="2C72CB23"/>
    <w:rsid w:val="2C7AB103"/>
    <w:rsid w:val="2C8BDA90"/>
    <w:rsid w:val="2C90D31C"/>
    <w:rsid w:val="2CDFF0A3"/>
    <w:rsid w:val="2CE69B14"/>
    <w:rsid w:val="2D277E44"/>
    <w:rsid w:val="2D6D86F2"/>
    <w:rsid w:val="2DA0F45A"/>
    <w:rsid w:val="2DA188E5"/>
    <w:rsid w:val="2DB34503"/>
    <w:rsid w:val="2DC038DB"/>
    <w:rsid w:val="2E13FD13"/>
    <w:rsid w:val="2E7924B7"/>
    <w:rsid w:val="2EA3A3E8"/>
    <w:rsid w:val="2EA5AEE5"/>
    <w:rsid w:val="2EC1CEB4"/>
    <w:rsid w:val="2EFA2F60"/>
    <w:rsid w:val="2F0FE793"/>
    <w:rsid w:val="2F33060B"/>
    <w:rsid w:val="2F4A5DED"/>
    <w:rsid w:val="2F8553B9"/>
    <w:rsid w:val="2F93E8E3"/>
    <w:rsid w:val="2FA8C6AC"/>
    <w:rsid w:val="2FAB507C"/>
    <w:rsid w:val="306020B6"/>
    <w:rsid w:val="307D33B6"/>
    <w:rsid w:val="30AD6914"/>
    <w:rsid w:val="30B1C684"/>
    <w:rsid w:val="30C9B6B9"/>
    <w:rsid w:val="30E0590C"/>
    <w:rsid w:val="31078E00"/>
    <w:rsid w:val="3113C06C"/>
    <w:rsid w:val="3126F998"/>
    <w:rsid w:val="314CD1D2"/>
    <w:rsid w:val="317F5E75"/>
    <w:rsid w:val="31873D2E"/>
    <w:rsid w:val="319E1B11"/>
    <w:rsid w:val="31A377F7"/>
    <w:rsid w:val="31AFFAA7"/>
    <w:rsid w:val="31B211B3"/>
    <w:rsid w:val="31F14950"/>
    <w:rsid w:val="31FE6EB6"/>
    <w:rsid w:val="325E07D1"/>
    <w:rsid w:val="327A10C7"/>
    <w:rsid w:val="33126315"/>
    <w:rsid w:val="331F3636"/>
    <w:rsid w:val="332D2FF8"/>
    <w:rsid w:val="33374CC0"/>
    <w:rsid w:val="33583EC1"/>
    <w:rsid w:val="3383B249"/>
    <w:rsid w:val="3394F5FC"/>
    <w:rsid w:val="33D89A44"/>
    <w:rsid w:val="33EB9B49"/>
    <w:rsid w:val="343F62FB"/>
    <w:rsid w:val="345827B1"/>
    <w:rsid w:val="3492BE03"/>
    <w:rsid w:val="34B696B3"/>
    <w:rsid w:val="34B9A0D8"/>
    <w:rsid w:val="34D9C9FB"/>
    <w:rsid w:val="350136DD"/>
    <w:rsid w:val="352F6E03"/>
    <w:rsid w:val="35309131"/>
    <w:rsid w:val="35A272ED"/>
    <w:rsid w:val="35AC9063"/>
    <w:rsid w:val="35E9D736"/>
    <w:rsid w:val="3610B45D"/>
    <w:rsid w:val="3639521C"/>
    <w:rsid w:val="3641A424"/>
    <w:rsid w:val="365ED5E5"/>
    <w:rsid w:val="3677F7A1"/>
    <w:rsid w:val="367B5296"/>
    <w:rsid w:val="36B0B2C7"/>
    <w:rsid w:val="36EA0408"/>
    <w:rsid w:val="37626BB4"/>
    <w:rsid w:val="378FAE14"/>
    <w:rsid w:val="37AE6101"/>
    <w:rsid w:val="37B14DF0"/>
    <w:rsid w:val="37D4A8B5"/>
    <w:rsid w:val="38067578"/>
    <w:rsid w:val="3806F11D"/>
    <w:rsid w:val="3818A8C9"/>
    <w:rsid w:val="38213089"/>
    <w:rsid w:val="382738DC"/>
    <w:rsid w:val="38434476"/>
    <w:rsid w:val="385C666C"/>
    <w:rsid w:val="3880EA05"/>
    <w:rsid w:val="38A1D33D"/>
    <w:rsid w:val="38E160FC"/>
    <w:rsid w:val="391692CD"/>
    <w:rsid w:val="39251AE1"/>
    <w:rsid w:val="394F7174"/>
    <w:rsid w:val="3978E0BA"/>
    <w:rsid w:val="39A04AB4"/>
    <w:rsid w:val="39BC3B0C"/>
    <w:rsid w:val="39D12CB3"/>
    <w:rsid w:val="39E62083"/>
    <w:rsid w:val="3A13D1FB"/>
    <w:rsid w:val="3A327679"/>
    <w:rsid w:val="3A416890"/>
    <w:rsid w:val="3A43976E"/>
    <w:rsid w:val="3A4C3411"/>
    <w:rsid w:val="3A73E9DA"/>
    <w:rsid w:val="3A7AC026"/>
    <w:rsid w:val="3A96D053"/>
    <w:rsid w:val="3A984066"/>
    <w:rsid w:val="3AAB8828"/>
    <w:rsid w:val="3ADB67A9"/>
    <w:rsid w:val="3AF5A1A5"/>
    <w:rsid w:val="3B055291"/>
    <w:rsid w:val="3B0D72F6"/>
    <w:rsid w:val="3B118872"/>
    <w:rsid w:val="3B1E45F0"/>
    <w:rsid w:val="3B2219D0"/>
    <w:rsid w:val="3B4EC575"/>
    <w:rsid w:val="3B6B590E"/>
    <w:rsid w:val="3B7DA438"/>
    <w:rsid w:val="3B961E8E"/>
    <w:rsid w:val="3BB532A0"/>
    <w:rsid w:val="3BD2CD2D"/>
    <w:rsid w:val="3C55052C"/>
    <w:rsid w:val="3C9B848E"/>
    <w:rsid w:val="3D0882E6"/>
    <w:rsid w:val="3D726320"/>
    <w:rsid w:val="3D78F153"/>
    <w:rsid w:val="3DA7D166"/>
    <w:rsid w:val="3DADE18A"/>
    <w:rsid w:val="3DD9DBDA"/>
    <w:rsid w:val="3E58029F"/>
    <w:rsid w:val="3E5CA00C"/>
    <w:rsid w:val="3E87CB83"/>
    <w:rsid w:val="3E8B0446"/>
    <w:rsid w:val="3EC10B2E"/>
    <w:rsid w:val="3EC4F951"/>
    <w:rsid w:val="3F135943"/>
    <w:rsid w:val="3F1C2F76"/>
    <w:rsid w:val="3F315EEF"/>
    <w:rsid w:val="3F4826E8"/>
    <w:rsid w:val="3FAD4D9A"/>
    <w:rsid w:val="3FC8369B"/>
    <w:rsid w:val="40108C76"/>
    <w:rsid w:val="401A93FF"/>
    <w:rsid w:val="40883D14"/>
    <w:rsid w:val="40B6FBC1"/>
    <w:rsid w:val="40DA9CF0"/>
    <w:rsid w:val="40DD189A"/>
    <w:rsid w:val="4152418B"/>
    <w:rsid w:val="417EE3B5"/>
    <w:rsid w:val="41CCB1FC"/>
    <w:rsid w:val="424C5246"/>
    <w:rsid w:val="426AF874"/>
    <w:rsid w:val="428E1A5A"/>
    <w:rsid w:val="42941148"/>
    <w:rsid w:val="42A9913E"/>
    <w:rsid w:val="42B1DE04"/>
    <w:rsid w:val="42B36488"/>
    <w:rsid w:val="43683561"/>
    <w:rsid w:val="43A8F622"/>
    <w:rsid w:val="43C48BF8"/>
    <w:rsid w:val="43FE8942"/>
    <w:rsid w:val="4410FB07"/>
    <w:rsid w:val="4428A5F8"/>
    <w:rsid w:val="4444555E"/>
    <w:rsid w:val="4471D649"/>
    <w:rsid w:val="44741858"/>
    <w:rsid w:val="448F81F1"/>
    <w:rsid w:val="44A3A339"/>
    <w:rsid w:val="44BC359A"/>
    <w:rsid w:val="44CB93AF"/>
    <w:rsid w:val="44CE8C14"/>
    <w:rsid w:val="44E8F7B4"/>
    <w:rsid w:val="4506036C"/>
    <w:rsid w:val="4513A9E4"/>
    <w:rsid w:val="4589D06B"/>
    <w:rsid w:val="458D1BA3"/>
    <w:rsid w:val="458E53F8"/>
    <w:rsid w:val="45A57FCD"/>
    <w:rsid w:val="45AC704F"/>
    <w:rsid w:val="45B4CC22"/>
    <w:rsid w:val="45C66045"/>
    <w:rsid w:val="45D1E0DB"/>
    <w:rsid w:val="4620D754"/>
    <w:rsid w:val="462FB37C"/>
    <w:rsid w:val="463161F9"/>
    <w:rsid w:val="463EBE77"/>
    <w:rsid w:val="46946BD5"/>
    <w:rsid w:val="46C1E301"/>
    <w:rsid w:val="46C361C6"/>
    <w:rsid w:val="46CACF1D"/>
    <w:rsid w:val="47573540"/>
    <w:rsid w:val="4760AEE8"/>
    <w:rsid w:val="47741E76"/>
    <w:rsid w:val="47768193"/>
    <w:rsid w:val="4778734C"/>
    <w:rsid w:val="4811D34A"/>
    <w:rsid w:val="48318F99"/>
    <w:rsid w:val="48B690D7"/>
    <w:rsid w:val="48C55C85"/>
    <w:rsid w:val="48D273A8"/>
    <w:rsid w:val="48E9F2ED"/>
    <w:rsid w:val="48F4BD30"/>
    <w:rsid w:val="48FF5468"/>
    <w:rsid w:val="497675F8"/>
    <w:rsid w:val="49BDDDF8"/>
    <w:rsid w:val="49BEFAE4"/>
    <w:rsid w:val="4A3E1EB9"/>
    <w:rsid w:val="4A6EC396"/>
    <w:rsid w:val="4AA01FCC"/>
    <w:rsid w:val="4AC4EA59"/>
    <w:rsid w:val="4AC8DF7A"/>
    <w:rsid w:val="4AD785D1"/>
    <w:rsid w:val="4ADD6355"/>
    <w:rsid w:val="4B06FDC6"/>
    <w:rsid w:val="4B074EC6"/>
    <w:rsid w:val="4B0F0386"/>
    <w:rsid w:val="4B1F4402"/>
    <w:rsid w:val="4B31E656"/>
    <w:rsid w:val="4B4F042C"/>
    <w:rsid w:val="4B711D69"/>
    <w:rsid w:val="4B7385E8"/>
    <w:rsid w:val="4B88263F"/>
    <w:rsid w:val="4BB0E08E"/>
    <w:rsid w:val="4BC8D917"/>
    <w:rsid w:val="4BEEA9D1"/>
    <w:rsid w:val="4BF7DEDB"/>
    <w:rsid w:val="4C9EBE62"/>
    <w:rsid w:val="4CA61570"/>
    <w:rsid w:val="4D0C5077"/>
    <w:rsid w:val="4D144369"/>
    <w:rsid w:val="4D1AC76F"/>
    <w:rsid w:val="4D66BB2D"/>
    <w:rsid w:val="4D7DF286"/>
    <w:rsid w:val="4D9AEA29"/>
    <w:rsid w:val="4DC1FB1A"/>
    <w:rsid w:val="4DC9901F"/>
    <w:rsid w:val="4DDA85F5"/>
    <w:rsid w:val="4DDFB087"/>
    <w:rsid w:val="4E02876A"/>
    <w:rsid w:val="4E0DA1A6"/>
    <w:rsid w:val="4E5C6804"/>
    <w:rsid w:val="4E9DDA69"/>
    <w:rsid w:val="4EB03215"/>
    <w:rsid w:val="4EB80DC0"/>
    <w:rsid w:val="4EE75857"/>
    <w:rsid w:val="4EE8A71B"/>
    <w:rsid w:val="4EF7DD5C"/>
    <w:rsid w:val="4F1DC366"/>
    <w:rsid w:val="4F25FB04"/>
    <w:rsid w:val="4F38FBEA"/>
    <w:rsid w:val="4F46744E"/>
    <w:rsid w:val="4F4A6EB6"/>
    <w:rsid w:val="4F8E0285"/>
    <w:rsid w:val="4F932A15"/>
    <w:rsid w:val="4F9C79E1"/>
    <w:rsid w:val="4FAB58B0"/>
    <w:rsid w:val="4FC9D734"/>
    <w:rsid w:val="4FDF397B"/>
    <w:rsid w:val="50A6A80A"/>
    <w:rsid w:val="50B948AE"/>
    <w:rsid w:val="50E01E41"/>
    <w:rsid w:val="512C7A3F"/>
    <w:rsid w:val="515633E9"/>
    <w:rsid w:val="51753255"/>
    <w:rsid w:val="51A91B02"/>
    <w:rsid w:val="51B3F3A8"/>
    <w:rsid w:val="51EF3117"/>
    <w:rsid w:val="5251DB48"/>
    <w:rsid w:val="52587169"/>
    <w:rsid w:val="52998457"/>
    <w:rsid w:val="529A4C5C"/>
    <w:rsid w:val="52A17AB9"/>
    <w:rsid w:val="52B86CDC"/>
    <w:rsid w:val="52CA3A6B"/>
    <w:rsid w:val="52EFBA06"/>
    <w:rsid w:val="5341511C"/>
    <w:rsid w:val="534DFC6F"/>
    <w:rsid w:val="536B1AD2"/>
    <w:rsid w:val="537FAEFB"/>
    <w:rsid w:val="53CB881D"/>
    <w:rsid w:val="53D24F97"/>
    <w:rsid w:val="53E9E1A8"/>
    <w:rsid w:val="53FD59F9"/>
    <w:rsid w:val="5401516F"/>
    <w:rsid w:val="54419FDE"/>
    <w:rsid w:val="545CE1A9"/>
    <w:rsid w:val="5462894C"/>
    <w:rsid w:val="54A2AA89"/>
    <w:rsid w:val="54EB5ED8"/>
    <w:rsid w:val="54F47971"/>
    <w:rsid w:val="55024EB3"/>
    <w:rsid w:val="550DB71C"/>
    <w:rsid w:val="5531A13A"/>
    <w:rsid w:val="5552EA87"/>
    <w:rsid w:val="558AC495"/>
    <w:rsid w:val="55900712"/>
    <w:rsid w:val="5591F20B"/>
    <w:rsid w:val="55AC4059"/>
    <w:rsid w:val="55F5DD4A"/>
    <w:rsid w:val="55F72B92"/>
    <w:rsid w:val="55F8A334"/>
    <w:rsid w:val="560796EF"/>
    <w:rsid w:val="5648C9BE"/>
    <w:rsid w:val="56D3EBE2"/>
    <w:rsid w:val="56F3AFFF"/>
    <w:rsid w:val="572952AF"/>
    <w:rsid w:val="57346442"/>
    <w:rsid w:val="57368511"/>
    <w:rsid w:val="576FA617"/>
    <w:rsid w:val="5795C8D4"/>
    <w:rsid w:val="579CAC45"/>
    <w:rsid w:val="57D49302"/>
    <w:rsid w:val="57FD3EA1"/>
    <w:rsid w:val="580234CD"/>
    <w:rsid w:val="5821B9AB"/>
    <w:rsid w:val="5877603A"/>
    <w:rsid w:val="589BDC55"/>
    <w:rsid w:val="58A9A0A7"/>
    <w:rsid w:val="58C1A110"/>
    <w:rsid w:val="59526523"/>
    <w:rsid w:val="59592B54"/>
    <w:rsid w:val="596C075B"/>
    <w:rsid w:val="5994F3F3"/>
    <w:rsid w:val="59D40A86"/>
    <w:rsid w:val="59EBA16A"/>
    <w:rsid w:val="59EF2AD3"/>
    <w:rsid w:val="5A03F86C"/>
    <w:rsid w:val="5A258879"/>
    <w:rsid w:val="5A3DCA19"/>
    <w:rsid w:val="5A484277"/>
    <w:rsid w:val="5AD46E27"/>
    <w:rsid w:val="5B201217"/>
    <w:rsid w:val="5B2F5155"/>
    <w:rsid w:val="5B6CECE0"/>
    <w:rsid w:val="5B817444"/>
    <w:rsid w:val="5B84047E"/>
    <w:rsid w:val="5B989CFB"/>
    <w:rsid w:val="5BBE6420"/>
    <w:rsid w:val="5BD3169C"/>
    <w:rsid w:val="5BF6EF0D"/>
    <w:rsid w:val="5C052E10"/>
    <w:rsid w:val="5C130A72"/>
    <w:rsid w:val="5C1E95E0"/>
    <w:rsid w:val="5C3A314F"/>
    <w:rsid w:val="5C712C68"/>
    <w:rsid w:val="5C7DF02F"/>
    <w:rsid w:val="5CA82C89"/>
    <w:rsid w:val="5CF8CE2B"/>
    <w:rsid w:val="5D0104C7"/>
    <w:rsid w:val="5D53268E"/>
    <w:rsid w:val="5D6A131A"/>
    <w:rsid w:val="5D7BF531"/>
    <w:rsid w:val="5D88674B"/>
    <w:rsid w:val="5DBEED58"/>
    <w:rsid w:val="5DC36BB4"/>
    <w:rsid w:val="5DEAFD26"/>
    <w:rsid w:val="5E32D82C"/>
    <w:rsid w:val="5E379C87"/>
    <w:rsid w:val="5E37D8E2"/>
    <w:rsid w:val="5E439967"/>
    <w:rsid w:val="5E7B8178"/>
    <w:rsid w:val="5EAF52E9"/>
    <w:rsid w:val="5ECB9C02"/>
    <w:rsid w:val="5F344646"/>
    <w:rsid w:val="5F40C426"/>
    <w:rsid w:val="5FB9904A"/>
    <w:rsid w:val="5FC36B87"/>
    <w:rsid w:val="5FC6A756"/>
    <w:rsid w:val="5FD94EFC"/>
    <w:rsid w:val="5FDBA680"/>
    <w:rsid w:val="5FFAFFF0"/>
    <w:rsid w:val="600C3FA9"/>
    <w:rsid w:val="603ED4E2"/>
    <w:rsid w:val="6051B2A5"/>
    <w:rsid w:val="605BB9A0"/>
    <w:rsid w:val="607EBD82"/>
    <w:rsid w:val="609555F2"/>
    <w:rsid w:val="60C0E21A"/>
    <w:rsid w:val="60CFFCC4"/>
    <w:rsid w:val="60D7D788"/>
    <w:rsid w:val="60D9C216"/>
    <w:rsid w:val="60E000D6"/>
    <w:rsid w:val="611762EF"/>
    <w:rsid w:val="6127AA80"/>
    <w:rsid w:val="6137D487"/>
    <w:rsid w:val="616F4489"/>
    <w:rsid w:val="61802188"/>
    <w:rsid w:val="6189C433"/>
    <w:rsid w:val="619DC117"/>
    <w:rsid w:val="61CEF089"/>
    <w:rsid w:val="61D4A878"/>
    <w:rsid w:val="62319807"/>
    <w:rsid w:val="623E38FF"/>
    <w:rsid w:val="62435045"/>
    <w:rsid w:val="62589179"/>
    <w:rsid w:val="62A554DB"/>
    <w:rsid w:val="62C8B659"/>
    <w:rsid w:val="6324B51D"/>
    <w:rsid w:val="632942EB"/>
    <w:rsid w:val="634869A6"/>
    <w:rsid w:val="63563147"/>
    <w:rsid w:val="639C41C4"/>
    <w:rsid w:val="63B9986C"/>
    <w:rsid w:val="63CBCA11"/>
    <w:rsid w:val="63EC4E84"/>
    <w:rsid w:val="63EFB5C0"/>
    <w:rsid w:val="641B7F82"/>
    <w:rsid w:val="6436CD7E"/>
    <w:rsid w:val="644E4759"/>
    <w:rsid w:val="649B36A8"/>
    <w:rsid w:val="64B463C4"/>
    <w:rsid w:val="64CD78A6"/>
    <w:rsid w:val="64D29914"/>
    <w:rsid w:val="65169676"/>
    <w:rsid w:val="65478C35"/>
    <w:rsid w:val="654C157A"/>
    <w:rsid w:val="65621DC4"/>
    <w:rsid w:val="657F3262"/>
    <w:rsid w:val="65879586"/>
    <w:rsid w:val="65C67CA9"/>
    <w:rsid w:val="65D77953"/>
    <w:rsid w:val="65D86747"/>
    <w:rsid w:val="65E09A8E"/>
    <w:rsid w:val="65E0A1C5"/>
    <w:rsid w:val="66476750"/>
    <w:rsid w:val="6656DA17"/>
    <w:rsid w:val="66A5ED10"/>
    <w:rsid w:val="66AECE55"/>
    <w:rsid w:val="66B31061"/>
    <w:rsid w:val="66BC87EC"/>
    <w:rsid w:val="67924740"/>
    <w:rsid w:val="67A6E4C2"/>
    <w:rsid w:val="67B197A3"/>
    <w:rsid w:val="67B33509"/>
    <w:rsid w:val="68181953"/>
    <w:rsid w:val="685122D4"/>
    <w:rsid w:val="68743C6C"/>
    <w:rsid w:val="687B8F8F"/>
    <w:rsid w:val="6890FD34"/>
    <w:rsid w:val="689DF67E"/>
    <w:rsid w:val="68B3DF7A"/>
    <w:rsid w:val="69400A7A"/>
    <w:rsid w:val="6A48391E"/>
    <w:rsid w:val="6A899A96"/>
    <w:rsid w:val="6A8B87BC"/>
    <w:rsid w:val="6A9367BA"/>
    <w:rsid w:val="6A93EC3D"/>
    <w:rsid w:val="6A9EE121"/>
    <w:rsid w:val="6AD88792"/>
    <w:rsid w:val="6B18759F"/>
    <w:rsid w:val="6B2508BA"/>
    <w:rsid w:val="6B32B033"/>
    <w:rsid w:val="6B436177"/>
    <w:rsid w:val="6B4C04AD"/>
    <w:rsid w:val="6BBC11B2"/>
    <w:rsid w:val="6C029A23"/>
    <w:rsid w:val="6C6A6C83"/>
    <w:rsid w:val="6C9430DC"/>
    <w:rsid w:val="6CACC8E6"/>
    <w:rsid w:val="6D41E190"/>
    <w:rsid w:val="6D68576A"/>
    <w:rsid w:val="6D92E567"/>
    <w:rsid w:val="6DD0A738"/>
    <w:rsid w:val="6E008E89"/>
    <w:rsid w:val="6E11AED0"/>
    <w:rsid w:val="6E3D7EC3"/>
    <w:rsid w:val="6E6DB1D7"/>
    <w:rsid w:val="6E8E3FB7"/>
    <w:rsid w:val="6EEB13CD"/>
    <w:rsid w:val="6EF31BDD"/>
    <w:rsid w:val="6F163F95"/>
    <w:rsid w:val="6F23FB58"/>
    <w:rsid w:val="6F28C7A3"/>
    <w:rsid w:val="6F3640FC"/>
    <w:rsid w:val="6F3F63DE"/>
    <w:rsid w:val="6F58EE52"/>
    <w:rsid w:val="6F5C85C2"/>
    <w:rsid w:val="6F5EE224"/>
    <w:rsid w:val="6F623AF0"/>
    <w:rsid w:val="6F9ECB6B"/>
    <w:rsid w:val="6FAFD68D"/>
    <w:rsid w:val="6FDD1392"/>
    <w:rsid w:val="70242EC5"/>
    <w:rsid w:val="702FDE7E"/>
    <w:rsid w:val="7036999E"/>
    <w:rsid w:val="707A75D5"/>
    <w:rsid w:val="70850503"/>
    <w:rsid w:val="709FA607"/>
    <w:rsid w:val="70DBF174"/>
    <w:rsid w:val="7144F45E"/>
    <w:rsid w:val="714F9048"/>
    <w:rsid w:val="71A1CC5B"/>
    <w:rsid w:val="71A423A1"/>
    <w:rsid w:val="71B46309"/>
    <w:rsid w:val="72162EAD"/>
    <w:rsid w:val="7218DFC8"/>
    <w:rsid w:val="721FD5A3"/>
    <w:rsid w:val="7226FC8E"/>
    <w:rsid w:val="728A0A65"/>
    <w:rsid w:val="729B616E"/>
    <w:rsid w:val="72A11ABE"/>
    <w:rsid w:val="72E65316"/>
    <w:rsid w:val="72F01B51"/>
    <w:rsid w:val="72F29094"/>
    <w:rsid w:val="730189D9"/>
    <w:rsid w:val="730AF8F7"/>
    <w:rsid w:val="730DEA23"/>
    <w:rsid w:val="731C5244"/>
    <w:rsid w:val="733CD2FC"/>
    <w:rsid w:val="7343752B"/>
    <w:rsid w:val="736D1601"/>
    <w:rsid w:val="737D827E"/>
    <w:rsid w:val="738C9511"/>
    <w:rsid w:val="73948152"/>
    <w:rsid w:val="73B6CEE4"/>
    <w:rsid w:val="73BB0294"/>
    <w:rsid w:val="73D7A590"/>
    <w:rsid w:val="742F641B"/>
    <w:rsid w:val="7438F232"/>
    <w:rsid w:val="74C8C3DF"/>
    <w:rsid w:val="74EA69FB"/>
    <w:rsid w:val="74ECAFF2"/>
    <w:rsid w:val="751FF0C5"/>
    <w:rsid w:val="7553A944"/>
    <w:rsid w:val="75835DC1"/>
    <w:rsid w:val="7598F976"/>
    <w:rsid w:val="75C539E3"/>
    <w:rsid w:val="76006109"/>
    <w:rsid w:val="761FC83E"/>
    <w:rsid w:val="7632CD03"/>
    <w:rsid w:val="76484365"/>
    <w:rsid w:val="764BBF53"/>
    <w:rsid w:val="76BBB1BF"/>
    <w:rsid w:val="77211683"/>
    <w:rsid w:val="772B54B0"/>
    <w:rsid w:val="77378C3B"/>
    <w:rsid w:val="775BB9A8"/>
    <w:rsid w:val="77A45FD7"/>
    <w:rsid w:val="77A73F77"/>
    <w:rsid w:val="77D3A11D"/>
    <w:rsid w:val="77DAECA2"/>
    <w:rsid w:val="780F2989"/>
    <w:rsid w:val="781F3E4D"/>
    <w:rsid w:val="783AC47B"/>
    <w:rsid w:val="7859A022"/>
    <w:rsid w:val="786A547B"/>
    <w:rsid w:val="78BB4466"/>
    <w:rsid w:val="78F428AF"/>
    <w:rsid w:val="79292F94"/>
    <w:rsid w:val="7986DD94"/>
    <w:rsid w:val="79ADD0C7"/>
    <w:rsid w:val="79C0EA0A"/>
    <w:rsid w:val="79E4020E"/>
    <w:rsid w:val="7A7CED80"/>
    <w:rsid w:val="7A9C1864"/>
    <w:rsid w:val="7ABB3691"/>
    <w:rsid w:val="7ADBB2FE"/>
    <w:rsid w:val="7ADEFEF3"/>
    <w:rsid w:val="7B647627"/>
    <w:rsid w:val="7B9132F6"/>
    <w:rsid w:val="7B9C6A49"/>
    <w:rsid w:val="7BC01FE5"/>
    <w:rsid w:val="7BE39981"/>
    <w:rsid w:val="7BFD98AE"/>
    <w:rsid w:val="7C073558"/>
    <w:rsid w:val="7C0CC427"/>
    <w:rsid w:val="7C16335B"/>
    <w:rsid w:val="7C33B5E6"/>
    <w:rsid w:val="7C3DF39C"/>
    <w:rsid w:val="7C504CDC"/>
    <w:rsid w:val="7C63F890"/>
    <w:rsid w:val="7C772800"/>
    <w:rsid w:val="7C79A3BE"/>
    <w:rsid w:val="7C7F7E3C"/>
    <w:rsid w:val="7C95615B"/>
    <w:rsid w:val="7CA49FB5"/>
    <w:rsid w:val="7CB217A3"/>
    <w:rsid w:val="7CFA491A"/>
    <w:rsid w:val="7D0EB013"/>
    <w:rsid w:val="7D4C4308"/>
    <w:rsid w:val="7D7D89DA"/>
    <w:rsid w:val="7D8DC9BF"/>
    <w:rsid w:val="7DCF6457"/>
    <w:rsid w:val="7DD88069"/>
    <w:rsid w:val="7DE14120"/>
    <w:rsid w:val="7E193329"/>
    <w:rsid w:val="7E19A05F"/>
    <w:rsid w:val="7E52D0A2"/>
    <w:rsid w:val="7E85000C"/>
    <w:rsid w:val="7E873A11"/>
    <w:rsid w:val="7E9D1E24"/>
    <w:rsid w:val="7EF33989"/>
    <w:rsid w:val="7EFB0060"/>
    <w:rsid w:val="7F06303E"/>
    <w:rsid w:val="7F109E34"/>
    <w:rsid w:val="7F6ED2EC"/>
    <w:rsid w:val="7F8221DA"/>
    <w:rsid w:val="7FE725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2497"/>
    <w:rPr>
      <w:sz w:val="16"/>
      <w:szCs w:val="16"/>
    </w:rPr>
  </w:style>
  <w:style w:type="paragraph" w:styleId="CommentText">
    <w:name w:val="annotation text"/>
    <w:basedOn w:val="Normal"/>
    <w:link w:val="CommentTextChar"/>
    <w:uiPriority w:val="99"/>
    <w:unhideWhenUsed/>
    <w:rsid w:val="004B2497"/>
    <w:rPr>
      <w:sz w:val="20"/>
      <w:szCs w:val="20"/>
    </w:rPr>
  </w:style>
  <w:style w:type="character" w:customStyle="1" w:styleId="CommentTextChar">
    <w:name w:val="Comment Text Char"/>
    <w:basedOn w:val="DefaultParagraphFont"/>
    <w:link w:val="CommentText"/>
    <w:uiPriority w:val="99"/>
    <w:rsid w:val="004B2497"/>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B2497"/>
    <w:rPr>
      <w:b/>
      <w:bCs/>
    </w:rPr>
  </w:style>
  <w:style w:type="character" w:customStyle="1" w:styleId="CommentSubjectChar">
    <w:name w:val="Comment Subject Char"/>
    <w:basedOn w:val="CommentTextChar"/>
    <w:link w:val="CommentSubject"/>
    <w:uiPriority w:val="99"/>
    <w:semiHidden/>
    <w:rsid w:val="004B2497"/>
    <w:rPr>
      <w:rFonts w:ascii="Times New Roman" w:hAnsi="Times New Roman" w:cs="Times New Roman"/>
      <w:b/>
      <w:bCs/>
      <w:sz w:val="20"/>
      <w:szCs w:val="20"/>
      <w:lang w:val="en-GB"/>
    </w:rPr>
  </w:style>
  <w:style w:type="paragraph" w:styleId="ListBullet">
    <w:name w:val="List Bullet"/>
    <w:basedOn w:val="Normal"/>
    <w:uiPriority w:val="99"/>
    <w:semiHidden/>
    <w:unhideWhenUsed/>
    <w:rsid w:val="00B04339"/>
    <w:pPr>
      <w:numPr>
        <w:numId w:val="1"/>
      </w:numPr>
      <w:contextualSpacing/>
    </w:pPr>
  </w:style>
  <w:style w:type="paragraph" w:styleId="ListBullet2">
    <w:name w:val="List Bullet 2"/>
    <w:basedOn w:val="Normal"/>
    <w:uiPriority w:val="99"/>
    <w:semiHidden/>
    <w:unhideWhenUsed/>
    <w:rsid w:val="00B04339"/>
    <w:pPr>
      <w:numPr>
        <w:numId w:val="2"/>
      </w:numPr>
      <w:contextualSpacing/>
    </w:pPr>
  </w:style>
  <w:style w:type="paragraph" w:styleId="ListBullet3">
    <w:name w:val="List Bullet 3"/>
    <w:basedOn w:val="Normal"/>
    <w:uiPriority w:val="99"/>
    <w:semiHidden/>
    <w:unhideWhenUsed/>
    <w:rsid w:val="00B04339"/>
    <w:pPr>
      <w:numPr>
        <w:numId w:val="3"/>
      </w:numPr>
      <w:contextualSpacing/>
    </w:pPr>
  </w:style>
  <w:style w:type="paragraph" w:styleId="ListBullet4">
    <w:name w:val="List Bullet 4"/>
    <w:basedOn w:val="Normal"/>
    <w:uiPriority w:val="99"/>
    <w:semiHidden/>
    <w:unhideWhenUsed/>
    <w:rsid w:val="00B04339"/>
    <w:pPr>
      <w:numPr>
        <w:numId w:val="4"/>
      </w:numPr>
      <w:contextualSpacing/>
    </w:pPr>
  </w:style>
  <w:style w:type="paragraph" w:styleId="Revision">
    <w:name w:val="Revision"/>
    <w:hidden/>
    <w:uiPriority w:val="99"/>
    <w:semiHidden/>
    <w:rsid w:val="004E2FEA"/>
    <w:pPr>
      <w:spacing w:after="0" w:line="240" w:lineRule="auto"/>
    </w:pPr>
    <w:rPr>
      <w:rFonts w:ascii="Times New Roman" w:hAnsi="Times New Roman" w:cs="Times New Roman"/>
      <w:sz w:val="24"/>
      <w:lang w:val="en-GB"/>
    </w:rPr>
  </w:style>
  <w:style w:type="character" w:styleId="Hyperlink">
    <w:name w:val="Hyperlink"/>
    <w:basedOn w:val="DefaultParagraphFont"/>
    <w:uiPriority w:val="99"/>
    <w:unhideWhenUsed/>
    <w:rsid w:val="008006BD"/>
    <w:rPr>
      <w:color w:val="0000FF" w:themeColor="hyperlink"/>
      <w:u w:val="single"/>
    </w:rPr>
  </w:style>
  <w:style w:type="character" w:customStyle="1" w:styleId="UnresolvedMention">
    <w:name w:val="Unresolved Mention"/>
    <w:basedOn w:val="DefaultParagraphFont"/>
    <w:uiPriority w:val="99"/>
    <w:semiHidden/>
    <w:unhideWhenUsed/>
    <w:rsid w:val="008006BD"/>
    <w:rPr>
      <w:color w:val="605E5C"/>
      <w:shd w:val="clear" w:color="auto" w:fill="E1DFDD"/>
    </w:rPr>
  </w:style>
  <w:style w:type="paragraph" w:styleId="ListParagraph">
    <w:name w:val="List Paragraph"/>
    <w:basedOn w:val="Normal"/>
    <w:uiPriority w:val="34"/>
    <w:qFormat/>
    <w:rsid w:val="003B1C9B"/>
    <w:pPr>
      <w:ind w:left="720"/>
      <w:contextualSpacing/>
    </w:pPr>
  </w:style>
  <w:style w:type="paragraph" w:styleId="EndnoteText">
    <w:name w:val="endnote text"/>
    <w:basedOn w:val="Normal"/>
    <w:link w:val="EndnoteTextChar"/>
    <w:uiPriority w:val="99"/>
    <w:semiHidden/>
    <w:unhideWhenUsed/>
    <w:rsid w:val="00EE5DAE"/>
    <w:pPr>
      <w:spacing w:before="0" w:after="0"/>
    </w:pPr>
    <w:rPr>
      <w:sz w:val="20"/>
      <w:szCs w:val="20"/>
    </w:rPr>
  </w:style>
  <w:style w:type="character" w:customStyle="1" w:styleId="EndnoteTextChar">
    <w:name w:val="Endnote Text Char"/>
    <w:basedOn w:val="DefaultParagraphFont"/>
    <w:link w:val="EndnoteText"/>
    <w:uiPriority w:val="99"/>
    <w:semiHidden/>
    <w:rsid w:val="00EE5DAE"/>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EE5DAE"/>
    <w:rPr>
      <w:vertAlign w:val="superscript"/>
    </w:rPr>
  </w:style>
  <w:style w:type="character" w:customStyle="1" w:styleId="Mention">
    <w:name w:val="Mention"/>
    <w:basedOn w:val="DefaultParagraphFont"/>
    <w:uiPriority w:val="99"/>
    <w:unhideWhenUsed/>
    <w:rsid w:val="00232772"/>
    <w:rPr>
      <w:color w:val="2B579A"/>
      <w:shd w:val="clear" w:color="auto" w:fill="E1DFDD"/>
    </w:rPr>
  </w:style>
  <w:style w:type="character" w:styleId="SubtleReference">
    <w:name w:val="Subtle Reference"/>
    <w:basedOn w:val="DefaultParagraphFont"/>
    <w:uiPriority w:val="31"/>
    <w:qFormat/>
    <w:rsid w:val="00A72830"/>
    <w:rPr>
      <w:smallCaps/>
      <w:color w:val="5A5A5A" w:themeColor="text1" w:themeTint="A5"/>
    </w:rPr>
  </w:style>
  <w:style w:type="character" w:customStyle="1" w:styleId="HeaderChar">
    <w:name w:val="Header Char"/>
    <w:basedOn w:val="DefaultParagraphFont"/>
    <w:link w:val="Header"/>
    <w:uiPriority w:val="99"/>
    <w:rsid w:val="00B239E1"/>
    <w:rPr>
      <w:rFonts w:ascii="Times New Roman" w:hAnsi="Times New Roman" w:cs="Times New Roman"/>
      <w:sz w:val="24"/>
      <w:lang w:val="en-GB"/>
    </w:rPr>
  </w:style>
  <w:style w:type="character" w:customStyle="1" w:styleId="FooterChar">
    <w:name w:val="Footer Char"/>
    <w:basedOn w:val="DefaultParagraphFont"/>
    <w:link w:val="Footer"/>
    <w:uiPriority w:val="99"/>
    <w:rsid w:val="00B239E1"/>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239E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239E1"/>
    <w:pPr>
      <w:spacing w:before="0"/>
      <w:jc w:val="right"/>
    </w:pPr>
    <w:rPr>
      <w:sz w:val="28"/>
    </w:rPr>
  </w:style>
  <w:style w:type="paragraph" w:customStyle="1" w:styleId="FooterSensitivity">
    <w:name w:val="Footer Sensitivity"/>
    <w:basedOn w:val="Normal"/>
    <w:rsid w:val="00B239E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B239E1"/>
    <w:pPr>
      <w:tabs>
        <w:tab w:val="center" w:pos="4535"/>
        <w:tab w:val="right" w:pos="9071"/>
      </w:tabs>
      <w:spacing w:before="0"/>
    </w:pPr>
  </w:style>
  <w:style w:type="paragraph" w:customStyle="1" w:styleId="HeaderLandscape">
    <w:name w:val="HeaderLandscape"/>
    <w:basedOn w:val="Normal"/>
    <w:rsid w:val="00B239E1"/>
    <w:pPr>
      <w:tabs>
        <w:tab w:val="center" w:pos="7285"/>
        <w:tab w:val="right" w:pos="14003"/>
      </w:tabs>
      <w:spacing w:before="0"/>
    </w:pPr>
  </w:style>
  <w:style w:type="paragraph" w:styleId="Footer">
    <w:name w:val="footer"/>
    <w:basedOn w:val="Normal"/>
    <w:link w:val="FooterChar"/>
    <w:uiPriority w:val="99"/>
    <w:unhideWhenUsed/>
    <w:rsid w:val="00B239E1"/>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B239E1"/>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84128">
      <w:bodyDiv w:val="1"/>
      <w:marLeft w:val="0"/>
      <w:marRight w:val="0"/>
      <w:marTop w:val="0"/>
      <w:marBottom w:val="0"/>
      <w:divBdr>
        <w:top w:val="none" w:sz="0" w:space="0" w:color="auto"/>
        <w:left w:val="none" w:sz="0" w:space="0" w:color="auto"/>
        <w:bottom w:val="none" w:sz="0" w:space="0" w:color="auto"/>
        <w:right w:val="none" w:sz="0" w:space="0" w:color="auto"/>
      </w:divBdr>
    </w:div>
    <w:div w:id="316039596">
      <w:bodyDiv w:val="1"/>
      <w:marLeft w:val="0"/>
      <w:marRight w:val="0"/>
      <w:marTop w:val="0"/>
      <w:marBottom w:val="0"/>
      <w:divBdr>
        <w:top w:val="none" w:sz="0" w:space="0" w:color="auto"/>
        <w:left w:val="none" w:sz="0" w:space="0" w:color="auto"/>
        <w:bottom w:val="none" w:sz="0" w:space="0" w:color="auto"/>
        <w:right w:val="none" w:sz="0" w:space="0" w:color="auto"/>
      </w:divBdr>
    </w:div>
    <w:div w:id="690030844">
      <w:bodyDiv w:val="1"/>
      <w:marLeft w:val="0"/>
      <w:marRight w:val="0"/>
      <w:marTop w:val="0"/>
      <w:marBottom w:val="0"/>
      <w:divBdr>
        <w:top w:val="none" w:sz="0" w:space="0" w:color="auto"/>
        <w:left w:val="none" w:sz="0" w:space="0" w:color="auto"/>
        <w:bottom w:val="none" w:sz="0" w:space="0" w:color="auto"/>
        <w:right w:val="none" w:sz="0" w:space="0" w:color="auto"/>
      </w:divBdr>
    </w:div>
    <w:div w:id="1407462217">
      <w:bodyDiv w:val="1"/>
      <w:marLeft w:val="0"/>
      <w:marRight w:val="0"/>
      <w:marTop w:val="0"/>
      <w:marBottom w:val="0"/>
      <w:divBdr>
        <w:top w:val="none" w:sz="0" w:space="0" w:color="auto"/>
        <w:left w:val="none" w:sz="0" w:space="0" w:color="auto"/>
        <w:bottom w:val="none" w:sz="0" w:space="0" w:color="auto"/>
        <w:right w:val="none" w:sz="0" w:space="0" w:color="auto"/>
      </w:divBdr>
    </w:div>
    <w:div w:id="1515149912">
      <w:bodyDiv w:val="1"/>
      <w:marLeft w:val="0"/>
      <w:marRight w:val="0"/>
      <w:marTop w:val="0"/>
      <w:marBottom w:val="0"/>
      <w:divBdr>
        <w:top w:val="none" w:sz="0" w:space="0" w:color="auto"/>
        <w:left w:val="none" w:sz="0" w:space="0" w:color="auto"/>
        <w:bottom w:val="none" w:sz="0" w:space="0" w:color="auto"/>
        <w:right w:val="none" w:sz="0" w:space="0" w:color="auto"/>
      </w:divBdr>
      <w:divsChild>
        <w:div w:id="132069332">
          <w:marLeft w:val="0"/>
          <w:marRight w:val="0"/>
          <w:marTop w:val="0"/>
          <w:marBottom w:val="0"/>
          <w:divBdr>
            <w:top w:val="none" w:sz="0" w:space="0" w:color="auto"/>
            <w:left w:val="none" w:sz="0" w:space="0" w:color="auto"/>
            <w:bottom w:val="none" w:sz="0" w:space="0" w:color="auto"/>
            <w:right w:val="none" w:sz="0" w:space="0" w:color="auto"/>
          </w:divBdr>
        </w:div>
        <w:div w:id="336156155">
          <w:marLeft w:val="0"/>
          <w:marRight w:val="0"/>
          <w:marTop w:val="0"/>
          <w:marBottom w:val="0"/>
          <w:divBdr>
            <w:top w:val="none" w:sz="0" w:space="0" w:color="auto"/>
            <w:left w:val="none" w:sz="0" w:space="0" w:color="auto"/>
            <w:bottom w:val="none" w:sz="0" w:space="0" w:color="auto"/>
            <w:right w:val="none" w:sz="0" w:space="0" w:color="auto"/>
          </w:divBdr>
        </w:div>
        <w:div w:id="487988255">
          <w:marLeft w:val="0"/>
          <w:marRight w:val="0"/>
          <w:marTop w:val="0"/>
          <w:marBottom w:val="0"/>
          <w:divBdr>
            <w:top w:val="none" w:sz="0" w:space="0" w:color="auto"/>
            <w:left w:val="none" w:sz="0" w:space="0" w:color="auto"/>
            <w:bottom w:val="none" w:sz="0" w:space="0" w:color="auto"/>
            <w:right w:val="none" w:sz="0" w:space="0" w:color="auto"/>
          </w:divBdr>
        </w:div>
        <w:div w:id="571431481">
          <w:marLeft w:val="0"/>
          <w:marRight w:val="0"/>
          <w:marTop w:val="0"/>
          <w:marBottom w:val="0"/>
          <w:divBdr>
            <w:top w:val="none" w:sz="0" w:space="0" w:color="auto"/>
            <w:left w:val="none" w:sz="0" w:space="0" w:color="auto"/>
            <w:bottom w:val="none" w:sz="0" w:space="0" w:color="auto"/>
            <w:right w:val="none" w:sz="0" w:space="0" w:color="auto"/>
          </w:divBdr>
        </w:div>
        <w:div w:id="1017775151">
          <w:marLeft w:val="0"/>
          <w:marRight w:val="0"/>
          <w:marTop w:val="0"/>
          <w:marBottom w:val="0"/>
          <w:divBdr>
            <w:top w:val="none" w:sz="0" w:space="0" w:color="auto"/>
            <w:left w:val="none" w:sz="0" w:space="0" w:color="auto"/>
            <w:bottom w:val="none" w:sz="0" w:space="0" w:color="auto"/>
            <w:right w:val="none" w:sz="0" w:space="0" w:color="auto"/>
          </w:divBdr>
        </w:div>
        <w:div w:id="1322540905">
          <w:marLeft w:val="0"/>
          <w:marRight w:val="0"/>
          <w:marTop w:val="0"/>
          <w:marBottom w:val="0"/>
          <w:divBdr>
            <w:top w:val="none" w:sz="0" w:space="0" w:color="auto"/>
            <w:left w:val="none" w:sz="0" w:space="0" w:color="auto"/>
            <w:bottom w:val="none" w:sz="0" w:space="0" w:color="auto"/>
            <w:right w:val="none" w:sz="0" w:space="0" w:color="auto"/>
          </w:divBdr>
        </w:div>
        <w:div w:id="1377779350">
          <w:marLeft w:val="0"/>
          <w:marRight w:val="0"/>
          <w:marTop w:val="0"/>
          <w:marBottom w:val="0"/>
          <w:divBdr>
            <w:top w:val="none" w:sz="0" w:space="0" w:color="auto"/>
            <w:left w:val="none" w:sz="0" w:space="0" w:color="auto"/>
            <w:bottom w:val="none" w:sz="0" w:space="0" w:color="auto"/>
            <w:right w:val="none" w:sz="0" w:space="0" w:color="auto"/>
          </w:divBdr>
        </w:div>
        <w:div w:id="1728068011">
          <w:marLeft w:val="0"/>
          <w:marRight w:val="0"/>
          <w:marTop w:val="0"/>
          <w:marBottom w:val="0"/>
          <w:divBdr>
            <w:top w:val="none" w:sz="0" w:space="0" w:color="auto"/>
            <w:left w:val="none" w:sz="0" w:space="0" w:color="auto"/>
            <w:bottom w:val="none" w:sz="0" w:space="0" w:color="auto"/>
            <w:right w:val="none" w:sz="0" w:space="0" w:color="auto"/>
          </w:divBdr>
        </w:div>
        <w:div w:id="2135587713">
          <w:marLeft w:val="0"/>
          <w:marRight w:val="0"/>
          <w:marTop w:val="0"/>
          <w:marBottom w:val="0"/>
          <w:divBdr>
            <w:top w:val="none" w:sz="0" w:space="0" w:color="auto"/>
            <w:left w:val="none" w:sz="0" w:space="0" w:color="auto"/>
            <w:bottom w:val="none" w:sz="0" w:space="0" w:color="auto"/>
            <w:right w:val="none" w:sz="0" w:space="0" w:color="auto"/>
          </w:divBdr>
        </w:div>
      </w:divsChild>
    </w:div>
    <w:div w:id="200430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7th-plenary-meeting-27-29-june-2023-report/488010b9d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DA1763E5DCF94383754B6D3E5E6622" ma:contentTypeVersion="6" ma:contentTypeDescription="Create a new document." ma:contentTypeScope="" ma:versionID="a28795b85942a266700f3372e1dac522">
  <xsd:schema xmlns:xsd="http://www.w3.org/2001/XMLSchema" xmlns:xs="http://www.w3.org/2001/XMLSchema" xmlns:p="http://schemas.microsoft.com/office/2006/metadata/properties" xmlns:ns2="d74c950a-78ac-4838-92ef-a1426a5f274c" xmlns:ns3="17c60b09-739e-4693-8901-93c6edee2864" targetNamespace="http://schemas.microsoft.com/office/2006/metadata/properties" ma:root="true" ma:fieldsID="ec95179f2c6dc16b9dde1373216b6b22" ns2:_="" ns3:_="">
    <xsd:import namespace="d74c950a-78ac-4838-92ef-a1426a5f274c"/>
    <xsd:import namespace="17c60b09-739e-4693-8901-93c6edee28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c950a-78ac-4838-92ef-a1426a5f2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c60b09-739e-4693-8901-93c6edee28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DA1763E5DCF94383754B6D3E5E6622" ma:contentTypeVersion="6" ma:contentTypeDescription="Create a new document." ma:contentTypeScope="" ma:versionID="a28795b85942a266700f3372e1dac522">
  <xsd:schema xmlns:xsd="http://www.w3.org/2001/XMLSchema" xmlns:xs="http://www.w3.org/2001/XMLSchema" xmlns:p="http://schemas.microsoft.com/office/2006/metadata/properties" xmlns:ns2="d74c950a-78ac-4838-92ef-a1426a5f274c" xmlns:ns3="17c60b09-739e-4693-8901-93c6edee2864" targetNamespace="http://schemas.microsoft.com/office/2006/metadata/properties" ma:root="true" ma:fieldsID="ec95179f2c6dc16b9dde1373216b6b22" ns2:_="" ns3:_="">
    <xsd:import namespace="d74c950a-78ac-4838-92ef-a1426a5f274c"/>
    <xsd:import namespace="17c60b09-739e-4693-8901-93c6edee28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c950a-78ac-4838-92ef-a1426a5f2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c60b09-739e-4693-8901-93c6edee28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C5016-AFDE-4599-B5C9-71A73B712A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0A9813-9BD1-427D-BCD3-FCB550743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c950a-78ac-4838-92ef-a1426a5f274c"/>
    <ds:schemaRef ds:uri="17c60b09-739e-4693-8901-93c6edee2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3D188E-A8E2-4F39-BF66-0DE2D40FE767}">
  <ds:schemaRefs>
    <ds:schemaRef ds:uri="http://schemas.microsoft.com/sharepoint/v3/contenttype/forms"/>
  </ds:schemaRefs>
</ds:datastoreItem>
</file>

<file path=customXml/itemProps4.xml><?xml version="1.0" encoding="utf-8"?>
<ds:datastoreItem xmlns:ds="http://schemas.openxmlformats.org/officeDocument/2006/customXml" ds:itemID="{00469AF8-F7AC-4113-8F27-744C8D26E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c950a-78ac-4838-92ef-a1426a5f274c"/>
    <ds:schemaRef ds:uri="17c60b09-739e-4693-8901-93c6edee2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AB8D8E-438F-41AC-92CC-F9BADD9BB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12</Pages>
  <Words>4282</Words>
  <Characters>24410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2025-09-12T07:57:00Z</dcterms:created>
  <dcterms:modified xsi:type="dcterms:W3CDTF">2025-09-17T07:27:00Z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2025-08-26T14:02:08Z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721c577e-34e0-45d3-9783-a18fe9e6835a</vt:lpwstr>
  </property>
  <property fmtid="{D5CDD505-2E9C-101B-9397-08002B2CF9AE}" pid="9" name="MSIP_Label_6bd9ddd1-4d20-43f6-abfa-fc3c07406f94_ContentBits">
    <vt:lpwstr>0</vt:lpwstr>
  </property>
  <property fmtid="{D5CDD505-2E9C-101B-9397-08002B2CF9AE}" pid="10" name="MSIP_Label_6bd9ddd1-4d20-43f6-abfa-fc3c07406f94_Tag">
    <vt:lpwstr>10, 3, 0, 1</vt:lpwstr>
  </property>
  <property fmtid="{D5CDD505-2E9C-101B-9397-08002B2CF9AE}" pid="11" name="Category">
    <vt:lpwstr>COM/PL/ORG</vt:lpwstr>
  </property>
  <property fmtid="{D5CDD505-2E9C-101B-9397-08002B2CF9AE}" pid="12" name="ContentTypeId">
    <vt:lpwstr>0x010100F3DA1763E5DCF94383754B6D3E5E6622</vt:lpwstr>
  </property>
  <property fmtid="{D5CDD505-2E9C-101B-9397-08002B2CF9AE}" pid="13" name="Level of sensitivity">
    <vt:lpwstr>Standard treatment</vt:lpwstr>
  </property>
  <property fmtid="{D5CDD505-2E9C-101B-9397-08002B2CF9AE}" pid="14" name="Part">
    <vt:lpwstr>1</vt:lpwstr>
  </property>
  <property fmtid="{D5CDD505-2E9C-101B-9397-08002B2CF9AE}" pid="15" name="Total parts">
    <vt:lpwstr>1</vt:lpwstr>
  </property>
  <property fmtid="{D5CDD505-2E9C-101B-9397-08002B2CF9AE}" pid="16" name="LWTemplateID">
    <vt:lpwstr>SJ-043</vt:lpwstr>
  </property>
  <property fmtid="{D5CDD505-2E9C-101B-9397-08002B2CF9AE}" pid="17" name="DQCStatus">
    <vt:lpwstr>Green (DQC version 03)</vt:lpwstr>
  </property>
</Properties>
</file>