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4DC3" w14:textId="6F4824BE" w:rsidR="00123912" w:rsidRPr="00430BD9" w:rsidRDefault="00F25BD8" w:rsidP="004D1E6B">
      <w:pPr>
        <w:pStyle w:val="Pagedecouverture"/>
        <w:rPr>
          <w:noProof/>
          <w:highlight w:val="yellow"/>
        </w:rPr>
      </w:pPr>
      <w:r w:rsidRPr="00F25BD8">
        <w:rPr>
          <w:noProof/>
        </w:rPr>
        <w:pict w14:anchorId="36D09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91A60B9-EEAC-41AC-831E-AD4F7EFB026A" style="width:455.25pt;height:429pt">
            <v:imagedata r:id="rId8" o:title=""/>
          </v:shape>
        </w:pict>
      </w:r>
    </w:p>
    <w:p w14:paraId="2DE3CD79" w14:textId="77777777" w:rsidR="003602E2" w:rsidRPr="00430BD9" w:rsidRDefault="003602E2" w:rsidP="003602E2">
      <w:pPr>
        <w:rPr>
          <w:noProof/>
        </w:rPr>
        <w:sectPr w:rsidR="003602E2" w:rsidRPr="00430BD9" w:rsidSect="004D1E6B">
          <w:footerReference w:type="even" r:id="rId9"/>
          <w:footerReference w:type="default" r:id="rId10"/>
          <w:pgSz w:w="11907" w:h="16839"/>
          <w:pgMar w:top="1134" w:right="1417" w:bottom="1134" w:left="1417" w:header="709" w:footer="709" w:gutter="0"/>
          <w:pgNumType w:start="1"/>
          <w:cols w:space="720"/>
          <w:docGrid w:linePitch="360"/>
        </w:sectPr>
      </w:pPr>
    </w:p>
    <w:p w14:paraId="5E841D16" w14:textId="77777777" w:rsidR="001A34A0" w:rsidRPr="00430BD9" w:rsidRDefault="001C4092" w:rsidP="001C4092">
      <w:pPr>
        <w:pStyle w:val="Annexetitre"/>
        <w:rPr>
          <w:noProof/>
        </w:rPr>
      </w:pPr>
      <w:r w:rsidRPr="00430BD9">
        <w:rPr>
          <w:noProof/>
        </w:rPr>
        <w:lastRenderedPageBreak/>
        <w:t>ΠΑΡΑΡΤΗΜΑ I</w:t>
      </w:r>
    </w:p>
    <w:p w14:paraId="2D08EACF" w14:textId="0E32A6F8" w:rsidR="00551D36" w:rsidRPr="00430BD9" w:rsidRDefault="001A34A0" w:rsidP="001A34A0">
      <w:pPr>
        <w:jc w:val="center"/>
        <w:rPr>
          <w:b/>
          <w:noProof/>
        </w:rPr>
      </w:pPr>
      <w:r w:rsidRPr="00430BD9">
        <w:rPr>
          <w:b/>
          <w:noProof/>
        </w:rPr>
        <w:t>Θέση της Ένωσης όσον αφορά βασικά ζητήματα που θα εξεταστούν στην 20ή σύνοδο της Διάσκεψης των Μερών της σύμβασης για το διεθνές εμπόριο ειδών άγριας πανίδας και χλωρίδας που απειλούνται με εξαφάνιση (CITES)</w:t>
      </w:r>
    </w:p>
    <w:p w14:paraId="1C796618" w14:textId="31DDF074" w:rsidR="000B62EE" w:rsidRPr="00430BD9" w:rsidRDefault="007E2CA0" w:rsidP="001A34A0">
      <w:pPr>
        <w:jc w:val="center"/>
        <w:rPr>
          <w:b/>
          <w:noProof/>
          <w:u w:val="single"/>
        </w:rPr>
      </w:pPr>
      <w:r w:rsidRPr="00430BD9">
        <w:rPr>
          <w:b/>
          <w:noProof/>
        </w:rPr>
        <w:t>(Σαμαρκάνδη, Ουζμπεκιστάν, 24 Νοεμβρίου – 5 Δεκεμβρίου 2025)</w:t>
      </w:r>
    </w:p>
    <w:p w14:paraId="39697F02" w14:textId="77777777" w:rsidR="001A34A0" w:rsidRPr="00430BD9" w:rsidRDefault="001A34A0" w:rsidP="001A34A0">
      <w:pPr>
        <w:pStyle w:val="ManualHeading1"/>
        <w:rPr>
          <w:noProof/>
        </w:rPr>
      </w:pPr>
      <w:r w:rsidRPr="00430BD9">
        <w:rPr>
          <w:noProof/>
        </w:rPr>
        <w:t>A.</w:t>
      </w:r>
      <w:r w:rsidRPr="00430BD9">
        <w:rPr>
          <w:noProof/>
        </w:rPr>
        <w:tab/>
        <w:t>Γενικές παρατηρήσεις</w:t>
      </w:r>
    </w:p>
    <w:p w14:paraId="26F4108A" w14:textId="2A5E683C" w:rsidR="0081142D" w:rsidRPr="00430BD9" w:rsidRDefault="001A34A0" w:rsidP="0081142D">
      <w:pPr>
        <w:pStyle w:val="NumPar1"/>
        <w:numPr>
          <w:ilvl w:val="0"/>
          <w:numId w:val="9"/>
        </w:numPr>
        <w:rPr>
          <w:noProof/>
        </w:rPr>
      </w:pPr>
      <w:r w:rsidRPr="00430BD9">
        <w:rPr>
          <w:noProof/>
        </w:rPr>
        <w:t>Η Ένωση θεωρεί ότι η σύμβαση για το διεθνές εμπόριο ειδών άγριας πανίδας και χλωρίδας που απειλούνται με εξαφάνιση (CITES) αποτελεί βασική διεθνή σύμβαση για τη διατήρηση της βιοποικιλότητας και την καταπολέμηση της παράνομης εμπορίας άγριων ειδών.</w:t>
      </w:r>
    </w:p>
    <w:p w14:paraId="3D5ACE31" w14:textId="5891F88B" w:rsidR="004D117D" w:rsidRPr="00430BD9" w:rsidRDefault="001A34A0" w:rsidP="0081142D">
      <w:pPr>
        <w:pStyle w:val="NumPar1"/>
        <w:numPr>
          <w:ilvl w:val="0"/>
          <w:numId w:val="9"/>
        </w:numPr>
        <w:rPr>
          <w:noProof/>
        </w:rPr>
      </w:pPr>
      <w:r w:rsidRPr="00430BD9">
        <w:rPr>
          <w:noProof/>
        </w:rPr>
        <w:t>Η Ένωση θα πρέπει να λάβει μια φιλόδοξη θέση για την 20ή Διάσκεψη των Μερών της CITES (CoP20), σύμφωνα με τις σχετικές πολιτικές της Ένωσης και τις διεθνείς δεσμεύσεις, ιδίως τους στόχους που συνδέονται με την άγρια ζωή στο πλαίσιο του Στόχου Βιώσιμης Ανάπτυξης 15, το παγκόσμιο πλαίσιο για τη βιοποικιλότητα στο πλαίσιο της Σύμβασης για τη βιολογική ποικιλότητα, το στρατηγικό όραμα της CITES και το ψήφισμα 79/313 της Γενικής Συνέλευσης των Ηνωμένων Εθνών σχετικά με την παράνομη εμπορία άγριων ειδών. Η θέση της Ένωσης θα πρέπει επίσης να εξυπηρετεί τους στόχους που έχουν τεθεί σε ενωσιακό επίπεδο μέσω της στρατηγικής για τη βιοποικιλότητα με ορίζοντα το 2030, του αναθεωρημένου σχεδίου δράσης της ΕΕ για την καταπολέμηση της παράνομης εμπορίας άγριων ειδών</w:t>
      </w:r>
      <w:r w:rsidR="00823684" w:rsidRPr="00430BD9">
        <w:rPr>
          <w:rStyle w:val="FootnoteReference"/>
          <w:noProof/>
        </w:rPr>
        <w:footnoteReference w:id="1"/>
      </w:r>
      <w:r w:rsidRPr="00430BD9">
        <w:rPr>
          <w:noProof/>
        </w:rPr>
        <w:t>, της ενωσιακής προσέγγισης για την προώθηση του εμπορίου και της βιώσιμης ανάπτυξης, και της Ευρωπαϊκής Πράσινης Συμφωνίας.</w:t>
      </w:r>
    </w:p>
    <w:p w14:paraId="13D923CA" w14:textId="09E58C04" w:rsidR="001A34A0" w:rsidRPr="00430BD9" w:rsidRDefault="001A34A0" w:rsidP="00B6446E">
      <w:pPr>
        <w:pStyle w:val="NumPar1"/>
        <w:rPr>
          <w:noProof/>
        </w:rPr>
      </w:pPr>
      <w:r w:rsidRPr="00430BD9">
        <w:rPr>
          <w:noProof/>
        </w:rPr>
        <w:t>Οι προτεραιότητες της Ένωσης στο πλαίσιο της CITES CoP20 θα πρέπει να είναι οι εξής:</w:t>
      </w:r>
    </w:p>
    <w:p w14:paraId="0C3EBEB3" w14:textId="64C7AF60" w:rsidR="001A34A0" w:rsidRPr="00430BD9" w:rsidRDefault="00E96D8C" w:rsidP="00DE3BCB">
      <w:pPr>
        <w:pStyle w:val="Bullet1"/>
        <w:numPr>
          <w:ilvl w:val="0"/>
          <w:numId w:val="10"/>
        </w:numPr>
        <w:rPr>
          <w:noProof/>
        </w:rPr>
      </w:pPr>
      <w:r w:rsidRPr="00430BD9">
        <w:rPr>
          <w:noProof/>
        </w:rPr>
        <w:t>ρύθμιση του διεθνούς εμπορίου απειλούμενων ειδών ζώων και φυτών τα οποία αποτελούν αντικείμενο μη βιώσιμων επιπέδων εμπορίου, βάσει επιστημονικής προσέγγισης· και</w:t>
      </w:r>
    </w:p>
    <w:p w14:paraId="5E2682FC" w14:textId="5B9FDEC6" w:rsidR="001A34A0" w:rsidRPr="00430BD9" w:rsidRDefault="00E96D8C" w:rsidP="00824032">
      <w:pPr>
        <w:pStyle w:val="Bullet1"/>
        <w:rPr>
          <w:noProof/>
        </w:rPr>
      </w:pPr>
      <w:r w:rsidRPr="00430BD9">
        <w:rPr>
          <w:noProof/>
        </w:rPr>
        <w:t>ενίσχυση της αντίδρασης της διεθνούς κοινότητας για την καταπολέμηση της παράνομης εμπορίας άγριων ειδών.</w:t>
      </w:r>
    </w:p>
    <w:p w14:paraId="24C6E4A0" w14:textId="69089D44" w:rsidR="004D117D" w:rsidRPr="00430BD9" w:rsidRDefault="00575F47" w:rsidP="008C5EDF">
      <w:pPr>
        <w:pStyle w:val="NumPar1"/>
        <w:rPr>
          <w:noProof/>
        </w:rPr>
      </w:pPr>
      <w:bookmarkStart w:id="0" w:name="_Hlk204591617"/>
      <w:bookmarkStart w:id="1" w:name="_Hlk204357554"/>
      <w:r w:rsidRPr="00430BD9">
        <w:rPr>
          <w:noProof/>
        </w:rPr>
        <w:t>Στη CITES CoP20, η Ένωση θα πρέπει να διασφαλίσει ότι το καθεστώς και τα δικαιώματα της ΕΕ ως συμβαλλόμενου μέρους της σύμβασης εξακολουθούν να γίνονται πλήρως σεβαστά σύμφωνα με τις διατάξεις της.</w:t>
      </w:r>
      <w:bookmarkEnd w:id="0"/>
    </w:p>
    <w:bookmarkEnd w:id="1"/>
    <w:p w14:paraId="2DA0EE44" w14:textId="33DE47EC" w:rsidR="00646BD2" w:rsidRPr="00430BD9" w:rsidRDefault="00F87949" w:rsidP="008C5EDF">
      <w:pPr>
        <w:pStyle w:val="NumPar1"/>
        <w:rPr>
          <w:noProof/>
        </w:rPr>
      </w:pPr>
      <w:r w:rsidRPr="00430BD9">
        <w:rPr>
          <w:noProof/>
        </w:rPr>
        <w:t>Η θέση της Ένωσης θα πρέπει να λαμβάνει υπόψη τη συμβολή των μηχανισμών της CITES στη βελτίωση της κατάστασης διατήρησης των ειδών και να αναγνωρίζει το έργο των χωρών που έχουν εφαρμόσει αποτελεσματικά μέτρα διατήρησης.</w:t>
      </w:r>
    </w:p>
    <w:p w14:paraId="77241EF0" w14:textId="3208821C" w:rsidR="008C5EDF" w:rsidRPr="00430BD9" w:rsidRDefault="00646BD2" w:rsidP="00646BD2">
      <w:pPr>
        <w:pStyle w:val="NumPar1"/>
        <w:rPr>
          <w:noProof/>
        </w:rPr>
      </w:pPr>
      <w:r w:rsidRPr="00430BD9">
        <w:rPr>
          <w:noProof/>
        </w:rPr>
        <w:t xml:space="preserve">Ο αριθμός των καταχωρίσεων και η πολυπλοκότητα των διαδικασιών της CITES για την εφαρμογή τους έχουν αυξηθεί σημαντικά. Η Ένωση θα πρέπει να διασφαλίσει ότι οι αποφάσεις που λαμβάνονται κατά τη CITES CoP20 επικεντρώνονται στα θεμελιώδη ζητήματα της σύμβασης. Η Ένωση θα πρέπει να διασφαλίσει ότι οι αποφάσεις που θα ληφθούν μεγιστοποιούν την αποδοτικότητα της CITES μέσω της ελαχιστοποίησης του περιττού διοικητικού φόρτου και μέσω της επίτευξης </w:t>
      </w:r>
      <w:r w:rsidRPr="00430BD9">
        <w:rPr>
          <w:noProof/>
        </w:rPr>
        <w:lastRenderedPageBreak/>
        <w:t>πρακτικών, οικονομικά αποδοτικών και πρόσφορων λύσεων σε ζητήματα εφαρμογής, εφαρμογής και παρακολούθησης.</w:t>
      </w:r>
    </w:p>
    <w:p w14:paraId="0229F85F" w14:textId="1DC9E01A" w:rsidR="001A34A0" w:rsidRPr="00430BD9" w:rsidRDefault="00646BD2" w:rsidP="00B6446E">
      <w:pPr>
        <w:pStyle w:val="NumPar1"/>
        <w:rPr>
          <w:noProof/>
        </w:rPr>
      </w:pPr>
      <w:r w:rsidRPr="00430BD9">
        <w:rPr>
          <w:noProof/>
        </w:rPr>
        <w:t>Πολλές αποφάσεις που θα εγκριθούν κατά τη CITES CoP20 θα εφαρμοστούν από τη Μόνιμη Επιτροπή της CITES, η οποία αποτελεί το βασικό επικουρικό όργανο της CoP. Συνεπώς, η θέση της Ένωσης που θα καθοριστεί για τη CITES CoP20 θα πρέπει επίσης να αποτελέσει γνώμονα για την προσέγγιση της ΕΕ στην 79η και την 80ή συνεδρίαση της Μόνιμης Επιτροπής, οι οποίες θα πραγματοποιηθούν αμέσως πριν και αμέσως μετά την CoP20.</w:t>
      </w:r>
    </w:p>
    <w:p w14:paraId="1F2A1327" w14:textId="77777777" w:rsidR="001A34A0" w:rsidRPr="00430BD9" w:rsidRDefault="001A34A0" w:rsidP="001A34A0">
      <w:pPr>
        <w:pStyle w:val="ManualHeading1"/>
        <w:rPr>
          <w:noProof/>
        </w:rPr>
      </w:pPr>
      <w:r w:rsidRPr="00430BD9">
        <w:rPr>
          <w:noProof/>
        </w:rPr>
        <w:t>B.</w:t>
      </w:r>
      <w:r w:rsidRPr="00430BD9">
        <w:rPr>
          <w:noProof/>
        </w:rPr>
        <w:tab/>
        <w:t>Ειδικά ζητήματα</w:t>
      </w:r>
    </w:p>
    <w:p w14:paraId="02B212F6" w14:textId="64A7111F" w:rsidR="004D117D" w:rsidRPr="00430BD9" w:rsidRDefault="006E53AB" w:rsidP="000F0D17">
      <w:pPr>
        <w:pStyle w:val="NumPar1"/>
        <w:rPr>
          <w:noProof/>
        </w:rPr>
      </w:pPr>
      <w:r w:rsidRPr="00430BD9">
        <w:rPr>
          <w:noProof/>
        </w:rPr>
        <w:t>Πενήντα μία προτάσεις τροποποίησης των προσαρτημάτων της CITES έχουν κατατεθεί για εξέταση στη CITES CoP20. Οκτώ από τις προτάσεις αυτές κατατέθηκαν από την Ένωση ως βασικό προτείνοντα ή ως συμπροτείνοντα και η Ένωση θα πρέπει φυσικά να στηρίξει την έγκρισή τους.</w:t>
      </w:r>
    </w:p>
    <w:p w14:paraId="5BB6D5FC" w14:textId="199FD4DC" w:rsidR="004D117D" w:rsidRPr="00430BD9" w:rsidRDefault="001A34A0" w:rsidP="000F0D17">
      <w:pPr>
        <w:pStyle w:val="NumPar1"/>
        <w:rPr>
          <w:noProof/>
        </w:rPr>
      </w:pPr>
      <w:r w:rsidRPr="00430BD9">
        <w:rPr>
          <w:noProof/>
        </w:rPr>
        <w:t>Η θέση της Ένωσης όσον αφορά όλες τις προτάσεις θα πρέπει να βασίζεται στην κατάσταση διατήρησης των συγκεκριμένων ειδών και στις επιπτώσεις που έχει ή μπορεί να έχει το εμπόριο στην κατάσταση των ειδών αυτών. Για τον σκοπό αυτόν, θα πρέπει να λαμβάνονται υπόψη τα πλέον συναφή και αξιόπιστα επιστημονικά στοιχεία σύμφωνα με το ψήφισμα 9.24 της Διάσκεψης σχετικά με τα κριτήρια για την τροποποίηση των προσαρτημάτων I και II.</w:t>
      </w:r>
    </w:p>
    <w:p w14:paraId="034ECACA" w14:textId="582B892E" w:rsidR="00DF1E12" w:rsidRPr="00430BD9" w:rsidRDefault="007073A4" w:rsidP="000F0D17">
      <w:pPr>
        <w:pStyle w:val="NumPar1"/>
        <w:rPr>
          <w:noProof/>
        </w:rPr>
      </w:pPr>
      <w:r w:rsidRPr="00430BD9">
        <w:rPr>
          <w:noProof/>
        </w:rPr>
        <w:t>Ιδιαίτερη προσοχή θα πρέπει να δοθεί στις απόψεις των κρατών της περιοχής διαβίωσης των ειδών που αφορούν οι εκάστοτε προτάσεις. Κατά τον καθορισμό της θέσης της, η Ένωση θα πρέπει να αναγνωρίσει την ουσιαστική συμβολή όσων ζουν σε στενή σχέση με την άγρια πανίδα και εξαρτώνται από αυτή για τα μέσα βιοπορισμού, τις πολιτιστικές πρακτικές και τις τοπικές οικονομίες τους. Οι γνώσεις, η επιστασία και η άμεση συμμετοχή τους στη βιώσιμη χρήση και διατήρηση της βιοποικιλότητας είναι σημαντικές για την αποτελεσματική εφαρμογή της CITES και την επίτευξη των στόχων της.</w:t>
      </w:r>
    </w:p>
    <w:p w14:paraId="2C2D9351" w14:textId="1950B4B2" w:rsidR="00E87851" w:rsidRPr="00430BD9" w:rsidRDefault="001A34A0" w:rsidP="000F0D17">
      <w:pPr>
        <w:pStyle w:val="NumPar1"/>
        <w:rPr>
          <w:noProof/>
        </w:rPr>
      </w:pPr>
      <w:r w:rsidRPr="00430BD9">
        <w:rPr>
          <w:noProof/>
        </w:rPr>
        <w:t>Η Ένωση θεωρεί ότι, κατά γενικό κανόνα, θα πρέπει να στηρίζονται οι προτάσεις τροποποίησης των προσαρτημάτων της CITES όταν αυτές έχουν προκύψει ως αποτέλεσμα των εργασιών των επιτροπών της CITES για τα ζώα και τα φυτά, καθώς και των εργασιών της Μόνιμης Επιτροπής. Θα πρέπει επίσης να λαμβάνονται υπόψη οι αξιολογήσεις των προτάσεων από τη γραμματεία της CITES και την IUCN/TRAFFIC</w:t>
      </w:r>
      <w:r w:rsidR="003847A5" w:rsidRPr="00430BD9">
        <w:rPr>
          <w:rStyle w:val="FootnoteReference"/>
          <w:noProof/>
        </w:rPr>
        <w:footnoteReference w:id="2"/>
      </w:r>
      <w:r w:rsidRPr="00430BD9">
        <w:rPr>
          <w:noProof/>
        </w:rPr>
        <w:t xml:space="preserve"> και, στην περίπτωση θαλάσσιων ειδών που αποτελούν αντικείμενο εμπορικής εκμετάλλευσης, η αξιολόγηση της όγδοης ειδικής επιτροπής εμπειρογνωμόνων του Οργανισμού Τροφίμων και Γεωργίας (FAO), όταν καταστεί διαθέσιμη.</w:t>
      </w:r>
    </w:p>
    <w:p w14:paraId="06C9E92E" w14:textId="22913D02" w:rsidR="00924EC1" w:rsidRPr="00430BD9" w:rsidRDefault="00813DDA" w:rsidP="00A56477">
      <w:pPr>
        <w:pStyle w:val="NumPar1"/>
        <w:rPr>
          <w:noProof/>
        </w:rPr>
      </w:pPr>
      <w:r w:rsidRPr="00430BD9">
        <w:rPr>
          <w:noProof/>
        </w:rPr>
        <w:t>Όπως συμφωνήθηκε στην απόφαση (ΕΕ) 2025/1314 του Συμβουλίου, της 23ης Ιουνίου 2025</w:t>
      </w:r>
      <w:r w:rsidR="005A6A59" w:rsidRPr="00430BD9">
        <w:rPr>
          <w:rStyle w:val="FootnoteReference"/>
          <w:noProof/>
        </w:rPr>
        <w:footnoteReference w:id="3"/>
      </w:r>
      <w:r w:rsidRPr="00430BD9">
        <w:rPr>
          <w:noProof/>
        </w:rPr>
        <w:t>, η Ένωση τάσσεται υπέρ της συμπερίληψης των εξής:</w:t>
      </w:r>
    </w:p>
    <w:p w14:paraId="644AAC16" w14:textId="6416A8DB" w:rsidR="000B62EE" w:rsidRPr="00430BD9" w:rsidRDefault="00924EC1" w:rsidP="00924EC1">
      <w:pPr>
        <w:pStyle w:val="Tiret1"/>
        <w:numPr>
          <w:ilvl w:val="0"/>
          <w:numId w:val="11"/>
        </w:numPr>
        <w:rPr>
          <w:i/>
          <w:noProof/>
        </w:rPr>
      </w:pPr>
      <w:r w:rsidRPr="00430BD9">
        <w:rPr>
          <w:i/>
          <w:noProof/>
        </w:rPr>
        <w:lastRenderedPageBreak/>
        <w:t>Pelophylax epeiroticus</w:t>
      </w:r>
      <w:r w:rsidRPr="00430BD9">
        <w:rPr>
          <w:noProof/>
        </w:rPr>
        <w:t xml:space="preserve">, </w:t>
      </w:r>
      <w:r w:rsidRPr="00430BD9">
        <w:rPr>
          <w:i/>
          <w:noProof/>
        </w:rPr>
        <w:t>Pelophylax shqipericus</w:t>
      </w:r>
      <w:r w:rsidRPr="00430BD9">
        <w:rPr>
          <w:noProof/>
        </w:rPr>
        <w:t xml:space="preserve">, </w:t>
      </w:r>
      <w:r w:rsidRPr="00430BD9">
        <w:rPr>
          <w:i/>
          <w:noProof/>
        </w:rPr>
        <w:t>Pelophylax ridibundus</w:t>
      </w:r>
      <w:r w:rsidRPr="00430BD9">
        <w:rPr>
          <w:noProof/>
        </w:rPr>
        <w:t xml:space="preserve"> και </w:t>
      </w:r>
      <w:r w:rsidRPr="00430BD9">
        <w:rPr>
          <w:i/>
          <w:noProof/>
        </w:rPr>
        <w:t>Pelophylax lessonae</w:t>
      </w:r>
      <w:r w:rsidRPr="00430BD9">
        <w:rPr>
          <w:noProof/>
        </w:rPr>
        <w:t xml:space="preserve"> (υδρόβιοι βάτραχοι) στο προσάρτημα II (με καθυστέρηση 18 μηνών πριν την έναρξη ισχύος)·</w:t>
      </w:r>
    </w:p>
    <w:p w14:paraId="46A57AB9" w14:textId="40ED5E63" w:rsidR="00924EC1" w:rsidRPr="00430BD9" w:rsidRDefault="00924EC1" w:rsidP="00924EC1">
      <w:pPr>
        <w:pStyle w:val="Tiret1"/>
        <w:numPr>
          <w:ilvl w:val="0"/>
          <w:numId w:val="11"/>
        </w:numPr>
        <w:rPr>
          <w:i/>
          <w:noProof/>
        </w:rPr>
      </w:pPr>
      <w:r w:rsidRPr="00430BD9">
        <w:rPr>
          <w:i/>
          <w:noProof/>
        </w:rPr>
        <w:t xml:space="preserve">Anguilla </w:t>
      </w:r>
      <w:r w:rsidRPr="00430BD9">
        <w:rPr>
          <w:noProof/>
        </w:rPr>
        <w:t>spp. (χέλια του γλυκού νερού) στο προσάρτημα II (με καθυστέρηση 18 μηνών πριν την έναρξη ισχύος)·</w:t>
      </w:r>
    </w:p>
    <w:p w14:paraId="1F1271DE" w14:textId="6D4ACCF6" w:rsidR="00924EC1" w:rsidRPr="00430BD9" w:rsidRDefault="00924EC1" w:rsidP="00924EC1">
      <w:pPr>
        <w:pStyle w:val="Tiret1"/>
        <w:numPr>
          <w:ilvl w:val="0"/>
          <w:numId w:val="11"/>
        </w:numPr>
        <w:rPr>
          <w:i/>
          <w:noProof/>
        </w:rPr>
      </w:pPr>
      <w:r w:rsidRPr="00430BD9">
        <w:rPr>
          <w:noProof/>
        </w:rPr>
        <w:t>Centrophoridae (κεντρόνια) στο προσάρτημα II·</w:t>
      </w:r>
    </w:p>
    <w:p w14:paraId="42693AF6" w14:textId="0B73DC71" w:rsidR="00924EC1" w:rsidRPr="00430BD9" w:rsidRDefault="00924EC1" w:rsidP="00924EC1">
      <w:pPr>
        <w:pStyle w:val="Tiret1"/>
        <w:numPr>
          <w:ilvl w:val="0"/>
          <w:numId w:val="11"/>
        </w:numPr>
        <w:rPr>
          <w:i/>
          <w:noProof/>
        </w:rPr>
      </w:pPr>
      <w:r w:rsidRPr="00430BD9">
        <w:rPr>
          <w:i/>
          <w:noProof/>
        </w:rPr>
        <w:t>Holothuria lessoni</w:t>
      </w:r>
      <w:r w:rsidRPr="00430BD9">
        <w:rPr>
          <w:noProof/>
        </w:rPr>
        <w:t xml:space="preserve"> (χρυσό ολοθούριο) στο προσάρτημα II·</w:t>
      </w:r>
    </w:p>
    <w:p w14:paraId="7F647DC5" w14:textId="4B4960B2" w:rsidR="00A56477" w:rsidRPr="00430BD9" w:rsidRDefault="00A56477" w:rsidP="00A56477">
      <w:pPr>
        <w:pStyle w:val="Tiret1"/>
        <w:numPr>
          <w:ilvl w:val="0"/>
          <w:numId w:val="11"/>
        </w:numPr>
        <w:rPr>
          <w:i/>
          <w:noProof/>
        </w:rPr>
      </w:pPr>
      <w:r w:rsidRPr="00430BD9">
        <w:rPr>
          <w:i/>
          <w:noProof/>
        </w:rPr>
        <w:t>Actinopyga echinites, Actinopyga lecanora, Actinopyga mauritiana, Actinopyga miliaris, Actinopyga palauensis</w:t>
      </w:r>
      <w:r w:rsidRPr="00430BD9">
        <w:rPr>
          <w:noProof/>
        </w:rPr>
        <w:t xml:space="preserve"> και </w:t>
      </w:r>
      <w:r w:rsidRPr="00430BD9">
        <w:rPr>
          <w:i/>
          <w:noProof/>
        </w:rPr>
        <w:t>Actinopyga varians</w:t>
      </w:r>
      <w:r w:rsidRPr="00430BD9">
        <w:rPr>
          <w:noProof/>
        </w:rPr>
        <w:t xml:space="preserve"> (ολοθούρια) στο προσάρτημα II· και</w:t>
      </w:r>
    </w:p>
    <w:p w14:paraId="2EF332C9" w14:textId="3AB30CD9" w:rsidR="00A56477" w:rsidRPr="00430BD9" w:rsidRDefault="00924EC1" w:rsidP="00A56477">
      <w:pPr>
        <w:pStyle w:val="Tiret1"/>
        <w:numPr>
          <w:ilvl w:val="0"/>
          <w:numId w:val="11"/>
        </w:numPr>
        <w:rPr>
          <w:i/>
          <w:noProof/>
        </w:rPr>
      </w:pPr>
      <w:r w:rsidRPr="00430BD9">
        <w:rPr>
          <w:i/>
          <w:noProof/>
        </w:rPr>
        <w:t>Commiphora wightii</w:t>
      </w:r>
      <w:r w:rsidRPr="00430BD9">
        <w:rPr>
          <w:noProof/>
        </w:rPr>
        <w:t xml:space="preserve"> (ινδικό βδέλλιο) στο προσάρτημα II.</w:t>
      </w:r>
    </w:p>
    <w:p w14:paraId="1C49286F" w14:textId="264EB724" w:rsidR="0069746A" w:rsidRPr="00430BD9" w:rsidRDefault="00737D30" w:rsidP="00924EC1">
      <w:pPr>
        <w:pStyle w:val="Text1"/>
        <w:rPr>
          <w:noProof/>
        </w:rPr>
      </w:pPr>
      <w:r w:rsidRPr="00430BD9">
        <w:rPr>
          <w:noProof/>
        </w:rPr>
        <w:t xml:space="preserve">Η Ένωση αποφάσισε επίσης να συμπροτείνει και να στηρίξει την πρόταση του Παναμά για τη μεταφορά του </w:t>
      </w:r>
      <w:r w:rsidRPr="00430BD9">
        <w:rPr>
          <w:i/>
          <w:noProof/>
        </w:rPr>
        <w:t>Carcharhinus longimanus</w:t>
      </w:r>
      <w:r w:rsidRPr="00430BD9">
        <w:rPr>
          <w:noProof/>
        </w:rPr>
        <w:t xml:space="preserve"> (λευκοπτέρυγος καρχαρίας) από το προσάρτημα II στο προσάρτημα I και την πρόταση της Βραζιλίας για καταχώριση του </w:t>
      </w:r>
      <w:r w:rsidRPr="00430BD9">
        <w:rPr>
          <w:i/>
          <w:noProof/>
        </w:rPr>
        <w:t>Galeorhinus galeus</w:t>
      </w:r>
      <w:r w:rsidRPr="00430BD9">
        <w:rPr>
          <w:noProof/>
        </w:rPr>
        <w:t xml:space="preserve"> (δροσίτης) και </w:t>
      </w:r>
      <w:r w:rsidRPr="00430BD9">
        <w:rPr>
          <w:i/>
          <w:noProof/>
        </w:rPr>
        <w:t>Mustelus</w:t>
      </w:r>
      <w:r w:rsidRPr="00430BD9">
        <w:rPr>
          <w:noProof/>
        </w:rPr>
        <w:t xml:space="preserve"> spp. (γαλέοι) στο προσάρτημα II.</w:t>
      </w:r>
    </w:p>
    <w:p w14:paraId="5F5E8C20" w14:textId="5BA4CA29" w:rsidR="00EA6E5E" w:rsidRPr="00430BD9" w:rsidRDefault="00B42E9E" w:rsidP="00EA6E5E">
      <w:pPr>
        <w:pStyle w:val="NumPar1"/>
        <w:rPr>
          <w:noProof/>
        </w:rPr>
      </w:pPr>
      <w:r w:rsidRPr="00430BD9">
        <w:rPr>
          <w:noProof/>
        </w:rPr>
        <w:t xml:space="preserve">Όσον αφορά την πρόταση για την καταχώριση των </w:t>
      </w:r>
      <w:r w:rsidRPr="00430BD9">
        <w:rPr>
          <w:i/>
          <w:noProof/>
        </w:rPr>
        <w:t>Anguilla</w:t>
      </w:r>
      <w:r w:rsidRPr="00430BD9">
        <w:rPr>
          <w:noProof/>
        </w:rPr>
        <w:t xml:space="preserve"> spp., η θέση της Ένωσης θα πρέπει να είναι η στήριξη της θέσπισης των αυστηρότερων δυνατών μέτρων για την προστασία του </w:t>
      </w:r>
      <w:r w:rsidRPr="00430BD9">
        <w:rPr>
          <w:i/>
          <w:noProof/>
        </w:rPr>
        <w:t>Anguilla anguilla</w:t>
      </w:r>
      <w:r w:rsidRPr="00430BD9">
        <w:rPr>
          <w:noProof/>
        </w:rPr>
        <w:t xml:space="preserve"> (ευρωπαϊκό χέλι) και άλλων ειδών του γένους </w:t>
      </w:r>
      <w:r w:rsidRPr="00430BD9">
        <w:rPr>
          <w:i/>
          <w:noProof/>
        </w:rPr>
        <w:t>Anguilla</w:t>
      </w:r>
      <w:r w:rsidRPr="00430BD9">
        <w:rPr>
          <w:noProof/>
        </w:rPr>
        <w:t xml:space="preserve"> από περαιτέρω μείωση λόγω μη βιώσιμου εμπορίου, λαμβανομένων υπόψη της συμπληρωματικότητας και των συνεργειών μεταξύ των διαφόρων μέτρων που εξετάζονται από την CoP.</w:t>
      </w:r>
    </w:p>
    <w:p w14:paraId="27B1A0C9" w14:textId="1AE828B0" w:rsidR="008B5D22" w:rsidRPr="00430BD9" w:rsidRDefault="00BA1E69" w:rsidP="00BA1E69">
      <w:pPr>
        <w:pStyle w:val="NumPar1"/>
        <w:rPr>
          <w:noProof/>
        </w:rPr>
      </w:pPr>
      <w:r w:rsidRPr="00430BD9">
        <w:rPr>
          <w:noProof/>
        </w:rPr>
        <w:t>Η Ένωση σημειώνει ότι σημαντικός αριθμός προτάσεων καταχώρισης που υποβλήθηκαν από τα μέρη αφορούν ενδημικά είδη, τα οποία είναι ιδιαίτερα ευάλωτα λόγω της περιορισμένης γεωγραφικής κατανομής τους και του συχνά μικρού μεγέθους των πληθυσμών τους. Αναγνωρίζοντας τις αυξημένες προκλήσεις διατήρησης που αντιμετωπίζουν τα εν λόγω είδη, η Ένωση υποστηρίζει τη συμπερίληψή τους στα προσαρτήματα της CITES, στο μέτρο του δυνατού, όταν οι προτάσεις συνάδουν με τα κριτήρια καταχώρισης της CITES και την προληπτική προσέγγιση.</w:t>
      </w:r>
    </w:p>
    <w:p w14:paraId="031D4805" w14:textId="272312D0" w:rsidR="00F62B4A" w:rsidRPr="00430BD9" w:rsidRDefault="00CE2728" w:rsidP="003E7776">
      <w:pPr>
        <w:pStyle w:val="NumPar1"/>
        <w:rPr>
          <w:noProof/>
        </w:rPr>
      </w:pPr>
      <w:r w:rsidRPr="00430BD9">
        <w:rPr>
          <w:noProof/>
        </w:rPr>
        <w:t>Η θέση της Ένωσης όσον αφορά τις προτάσεις σχετικά με την παράνομη εμπορία άγριων ειδών θα πρέπει να αντικατοπτρίζει τη συνολική προσέγγιση της ΕΕ για την πρόληψη της παράνομης εμπορίας άγριων ειδών με αντιμετώπιση των βαθύτερων αιτιών της, ενίσχυση των νομικών πλαισίων και των πλαισίων πολιτικής για την αντιμετώπιση της παράνομης εμπορίας άγριων ειδών, αποτελεσματική εφαρμογή των υφιστάμενων κανόνων και ενίσχυση της παγκόσμιας συνεργασίας για την καταπολέμηση της παράνομης εμπορίας άγριων ειδών, όπως περιγράφεται στο αναθεωρημένο σχέδιο δράσης της ΕΕ για την καταπολέμηση της παράνομης εμπορίας άγριων ειδών.</w:t>
      </w:r>
    </w:p>
    <w:p w14:paraId="58CE45B9" w14:textId="2D14E13D" w:rsidR="003E7776" w:rsidRPr="00430BD9" w:rsidRDefault="003E7776" w:rsidP="004F0D88">
      <w:pPr>
        <w:pStyle w:val="NumPar1"/>
        <w:rPr>
          <w:noProof/>
        </w:rPr>
      </w:pPr>
      <w:r w:rsidRPr="00430BD9">
        <w:rPr>
          <w:noProof/>
        </w:rPr>
        <w:t>Η Ένωση θα πρέπει επίσης να προωθεί πρωτοβουλίες οι οποίες συμβάλλουν στην αύξηση των ικανοτήτων των αρμόδιων αρχών και στην ανταλλαγή πληροφοριών και βέλτιστων πρακτικών, με στόχο την καλύτερη εφαρμογή της CITES και τη βελτίωση της συνεργασίας μεταξύ των χωρών προέλευσης, διαμετακόμισης και προορισμού.</w:t>
      </w:r>
    </w:p>
    <w:p w14:paraId="1B2FDAE4" w14:textId="5EA2CF44" w:rsidR="00F62B4A" w:rsidRPr="00430BD9" w:rsidRDefault="001A34A0" w:rsidP="00F62B4A">
      <w:pPr>
        <w:pStyle w:val="NumPar1"/>
        <w:rPr>
          <w:noProof/>
        </w:rPr>
      </w:pPr>
      <w:r w:rsidRPr="00430BD9">
        <w:rPr>
          <w:noProof/>
        </w:rPr>
        <w:t xml:space="preserve">Η Ένωση επισημαίνει ότι τα συμβαλλόμενα μέρη έχουν καταθέσει ορισμένες προτάσεις σχετικά με το εμπόριο ελεφαντοστού και κεράτων ρινόκερου. Η Ένωση θεωρεί ότι δεν πληρούνται οι προϋποθέσεις ώστε να επιτραπεί εκ νέου το </w:t>
      </w:r>
      <w:r w:rsidRPr="00430BD9">
        <w:rPr>
          <w:noProof/>
        </w:rPr>
        <w:lastRenderedPageBreak/>
        <w:t>συγκεκριμένο εμπόριο και δεν στηρίζει προτάσεις για την επανέναρξή του στο πλαίσιο της CoP20. Όσον αφορά τις εγχώριες αγορές, η Ένωση θα πρέπει να εξακολουθήσει να στηρίζει αναλογικά και αποτελεσματικά μέτρα με βάση τα βέλτιστα διαθέσιμα στοιχεία, εντός του πεδίου εφαρμογής της σύμβασης.</w:t>
      </w:r>
    </w:p>
    <w:p w14:paraId="17DBEFD4" w14:textId="628AD454" w:rsidR="00D82285" w:rsidRPr="00430BD9" w:rsidRDefault="00BA1E69" w:rsidP="00BA1E69">
      <w:pPr>
        <w:pStyle w:val="NumPar1"/>
        <w:rPr>
          <w:noProof/>
        </w:rPr>
      </w:pPr>
      <w:r w:rsidRPr="00430BD9">
        <w:rPr>
          <w:noProof/>
        </w:rPr>
        <w:t>Η Ένωση σημειώνει ότι η επέκταση της CITES ώστε να συμπεριλάβει πρόσθετα είδη έχει αυξήσει σημαντικά τον όγκο και την πολυπλοκότητα των δραστηριοτήτων στο πλαίσιο της σύμβασης, θέτοντας αυξανόμενες απαιτήσεις στη γραμματεία, τις επιτροπές και τα συμβαλλόμενα μέρη της CITES. Ταυτόχρονα, η χρηματοδότηση δεν συμβαδίζει με αυτή την αύξηση του φόρτου εργασίας. Οι εξελίξεις αυτές θα πρέπει να ληφθούν δεόντως υπόψη από την Ένωση κατά τον καθορισμό των προτεραιοτήτων της για την CoP20 και κατά τις συζητήσεις σχετικά με τον μελλοντικό προϋπολογισμό της γραμματείας CITES.</w:t>
      </w:r>
    </w:p>
    <w:sectPr w:rsidR="00D82285" w:rsidRPr="00430BD9" w:rsidSect="004D1E6B">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030C" w14:textId="77777777" w:rsidR="003616C4" w:rsidRPr="00172C53" w:rsidRDefault="003616C4" w:rsidP="001A34A0">
      <w:pPr>
        <w:spacing w:before="0" w:after="0"/>
      </w:pPr>
      <w:r w:rsidRPr="00172C53">
        <w:separator/>
      </w:r>
    </w:p>
  </w:endnote>
  <w:endnote w:type="continuationSeparator" w:id="0">
    <w:p w14:paraId="6E6EC716" w14:textId="77777777" w:rsidR="003616C4" w:rsidRPr="00172C53" w:rsidRDefault="003616C4" w:rsidP="001A34A0">
      <w:pPr>
        <w:spacing w:before="0" w:after="0"/>
      </w:pPr>
      <w:r w:rsidRPr="00172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B789" w14:textId="33A796C4" w:rsidR="004D1E6B" w:rsidRPr="004D1E6B" w:rsidRDefault="004D1E6B" w:rsidP="004D1E6B">
    <w:pPr>
      <w:pStyle w:val="Footer"/>
      <w:rPr>
        <w:rFonts w:ascii="Arial" w:hAnsi="Arial" w:cs="Arial"/>
        <w:b/>
        <w:sz w:val="48"/>
      </w:rPr>
    </w:pPr>
    <w:r w:rsidRPr="004D1E6B">
      <w:rPr>
        <w:rFonts w:ascii="Arial" w:hAnsi="Arial" w:cs="Arial"/>
        <w:b/>
        <w:sz w:val="48"/>
      </w:rPr>
      <w:t>EL</w:t>
    </w:r>
    <w:r w:rsidRPr="004D1E6B">
      <w:rPr>
        <w:rFonts w:ascii="Arial" w:hAnsi="Arial" w:cs="Arial"/>
        <w:b/>
        <w:sz w:val="48"/>
      </w:rPr>
      <w:tab/>
    </w:r>
    <w:r w:rsidRPr="004D1E6B">
      <w:rPr>
        <w:rFonts w:ascii="Arial" w:hAnsi="Arial" w:cs="Arial"/>
        <w:b/>
        <w:sz w:val="48"/>
      </w:rPr>
      <w:tab/>
    </w:r>
    <w:r w:rsidRPr="004D1E6B">
      <w:tab/>
    </w:r>
    <w:r w:rsidRPr="004D1E6B">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7C8C" w14:textId="4451703A" w:rsidR="004D1E6B" w:rsidRPr="004D1E6B" w:rsidRDefault="004D1E6B" w:rsidP="004D1E6B">
    <w:pPr>
      <w:pStyle w:val="Footer"/>
      <w:rPr>
        <w:rFonts w:ascii="Arial" w:hAnsi="Arial" w:cs="Arial"/>
        <w:b/>
        <w:sz w:val="48"/>
      </w:rPr>
    </w:pPr>
    <w:r w:rsidRPr="004D1E6B">
      <w:rPr>
        <w:rFonts w:ascii="Arial" w:hAnsi="Arial" w:cs="Arial"/>
        <w:b/>
        <w:sz w:val="48"/>
      </w:rPr>
      <w:t>EL</w:t>
    </w:r>
    <w:r w:rsidRPr="004D1E6B">
      <w:rPr>
        <w:rFonts w:ascii="Arial" w:hAnsi="Arial" w:cs="Arial"/>
        <w:b/>
        <w:sz w:val="48"/>
      </w:rPr>
      <w:tab/>
    </w:r>
    <w:r w:rsidRPr="004D1E6B">
      <w:rPr>
        <w:rFonts w:ascii="Arial" w:hAnsi="Arial" w:cs="Arial"/>
        <w:b/>
        <w:sz w:val="48"/>
      </w:rPr>
      <w:tab/>
    </w:r>
    <w:r w:rsidRPr="004D1E6B">
      <w:tab/>
    </w:r>
    <w:r w:rsidRPr="004D1E6B">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F338" w14:textId="77777777" w:rsidR="004D1E6B" w:rsidRDefault="004D1E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B068" w14:textId="29F05467" w:rsidR="004D1E6B" w:rsidRPr="004D1E6B" w:rsidRDefault="004D1E6B" w:rsidP="004D1E6B">
    <w:pPr>
      <w:pStyle w:val="Footer"/>
      <w:rPr>
        <w:rFonts w:ascii="Arial" w:hAnsi="Arial" w:cs="Arial"/>
        <w:b/>
        <w:sz w:val="48"/>
      </w:rPr>
    </w:pPr>
    <w:r w:rsidRPr="004D1E6B">
      <w:rPr>
        <w:rFonts w:ascii="Arial" w:hAnsi="Arial" w:cs="Arial"/>
        <w:b/>
        <w:sz w:val="48"/>
      </w:rPr>
      <w:t>EL</w:t>
    </w:r>
    <w:r w:rsidRPr="004D1E6B">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4D1E6B">
      <w:tab/>
    </w:r>
    <w:r w:rsidRPr="004D1E6B">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4FF" w14:textId="77777777" w:rsidR="004D1E6B" w:rsidRDefault="004D1E6B" w:rsidP="004D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8AC3" w14:textId="77777777" w:rsidR="003616C4" w:rsidRPr="00172C53" w:rsidRDefault="003616C4" w:rsidP="001A34A0">
      <w:pPr>
        <w:spacing w:before="0" w:after="0"/>
      </w:pPr>
      <w:r w:rsidRPr="00172C53">
        <w:separator/>
      </w:r>
    </w:p>
  </w:footnote>
  <w:footnote w:type="continuationSeparator" w:id="0">
    <w:p w14:paraId="6F3B5C35" w14:textId="77777777" w:rsidR="003616C4" w:rsidRPr="00172C53" w:rsidRDefault="003616C4" w:rsidP="001A34A0">
      <w:pPr>
        <w:spacing w:before="0" w:after="0"/>
      </w:pPr>
      <w:r w:rsidRPr="00172C53">
        <w:continuationSeparator/>
      </w:r>
    </w:p>
  </w:footnote>
  <w:footnote w:id="1">
    <w:p w14:paraId="147B6396" w14:textId="3A3BD488" w:rsidR="00823684" w:rsidRPr="00172C53" w:rsidRDefault="00823684">
      <w:pPr>
        <w:pStyle w:val="FootnoteText"/>
      </w:pPr>
      <w:r>
        <w:rPr>
          <w:rStyle w:val="FootnoteReference"/>
        </w:rPr>
        <w:footnoteRef/>
      </w:r>
      <w:r>
        <w:tab/>
      </w:r>
      <w:hyperlink r:id="rId1" w:history="1">
        <w:r>
          <w:rPr>
            <w:rStyle w:val="Hyperlink"/>
          </w:rPr>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με τίτλο «Αναθεώρηση του σχεδίου δράσης της ΕΕ για την καταπολέμηση της παράνομης εμπορίας άγριων ειδών»</w:t>
        </w:r>
      </w:hyperlink>
      <w:r>
        <w:t>.</w:t>
      </w:r>
    </w:p>
  </w:footnote>
  <w:footnote w:id="2">
    <w:p w14:paraId="67C55A74" w14:textId="71E74DE8" w:rsidR="003616C4" w:rsidRPr="00172C53" w:rsidRDefault="003616C4" w:rsidP="00823684">
      <w:pPr>
        <w:pStyle w:val="FootnoteText"/>
      </w:pPr>
      <w:r>
        <w:rPr>
          <w:rStyle w:val="FootnoteReference"/>
        </w:rPr>
        <w:footnoteRef/>
      </w:r>
      <w:r>
        <w:tab/>
        <w:t>Η Διεθνής Ένωση για τη Διατήρηση της Φύσης (IUCN) και η Ανάλυση Εμπορικών Στοιχείων Πανίδας και Χλωρίδας στο Εμπόριο (TRAFFIC) ειδικεύονται σε ζητήματα εμπορίου άγριων ειδών και παρέχουν εμπεριστατωμένη αξιολόγηση των προτάσεων για την τροποποίηση των προσαρτημάτων της CITES πριν από κάθε διάσκεψη των μερών.</w:t>
      </w:r>
    </w:p>
  </w:footnote>
  <w:footnote w:id="3">
    <w:p w14:paraId="53F8D98D" w14:textId="0D46857D" w:rsidR="005A6A59" w:rsidRPr="00172C53" w:rsidRDefault="005A6A59">
      <w:pPr>
        <w:pStyle w:val="FootnoteText"/>
      </w:pPr>
      <w:r>
        <w:rPr>
          <w:rStyle w:val="FootnoteReference"/>
        </w:rPr>
        <w:footnoteRef/>
      </w:r>
      <w:r>
        <w:tab/>
      </w:r>
      <w:hyperlink r:id="rId2" w:tooltip="Παρέχει πρόσβαση στο εν λόγω έγγραφο μέσω του ELI URI." w:history="1">
        <w:r>
          <w:rPr>
            <w:rStyle w:val="Hyperlink"/>
          </w:rPr>
          <w:t>Απόφαση (ΕΕ) 2025/1314 του Συμβουλίου, της 23ης Ιουνίου 2025, σχετικά με την υποβολή, εξ ονόματος της Ευρωπαϊκής Ένωσης, προτάσεων για τροποποιήσεις των προσαρτημάτων της σύμβασης για το διεθνές εμπόριο των ειδών άγριας χλωρίδας και πανίδας που απειλούνται με εξαφάνιση (CITES) και σχετικά με τη θέση που πρέπει να ληφθεί εξ ονόματος της Ευρωπαϊκής Ένωσης κατά την 20ή συνεδρίαση της Συνδιάσκεψης των Μερών της εν λόγω σύμβασης</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149C" w14:textId="77777777" w:rsidR="004D1E6B" w:rsidRDefault="004D1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CD32" w14:textId="77777777" w:rsidR="004D1E6B" w:rsidRDefault="004D1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4EAF8F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C82490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01C63F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93EBC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4C9F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66A716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2ABAB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BB825E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01152404">
    <w:abstractNumId w:val="7"/>
  </w:num>
  <w:num w:numId="2" w16cid:durableId="1694458423">
    <w:abstractNumId w:val="5"/>
  </w:num>
  <w:num w:numId="3" w16cid:durableId="346441260">
    <w:abstractNumId w:val="4"/>
  </w:num>
  <w:num w:numId="4" w16cid:durableId="856698125">
    <w:abstractNumId w:val="3"/>
  </w:num>
  <w:num w:numId="5" w16cid:durableId="753550152">
    <w:abstractNumId w:val="6"/>
  </w:num>
  <w:num w:numId="6" w16cid:durableId="335695267">
    <w:abstractNumId w:val="2"/>
  </w:num>
  <w:num w:numId="7" w16cid:durableId="1339575103">
    <w:abstractNumId w:val="1"/>
  </w:num>
  <w:num w:numId="8" w16cid:durableId="248544397">
    <w:abstractNumId w:val="0"/>
  </w:num>
  <w:num w:numId="9" w16cid:durableId="1560289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320138">
    <w:abstractNumId w:val="17"/>
    <w:lvlOverride w:ilvl="0">
      <w:startOverride w:val="1"/>
    </w:lvlOverride>
  </w:num>
  <w:num w:numId="11" w16cid:durableId="506795621">
    <w:abstractNumId w:val="12"/>
    <w:lvlOverride w:ilvl="0">
      <w:startOverride w:val="1"/>
    </w:lvlOverride>
  </w:num>
  <w:num w:numId="12" w16cid:durableId="1790082815">
    <w:abstractNumId w:val="19"/>
  </w:num>
  <w:num w:numId="13" w16cid:durableId="1518739591">
    <w:abstractNumId w:val="12"/>
  </w:num>
  <w:num w:numId="14" w16cid:durableId="2102752568">
    <w:abstractNumId w:val="21"/>
  </w:num>
  <w:num w:numId="15" w16cid:durableId="291060079">
    <w:abstractNumId w:val="11"/>
  </w:num>
  <w:num w:numId="16" w16cid:durableId="929850345">
    <w:abstractNumId w:val="13"/>
  </w:num>
  <w:num w:numId="17" w16cid:durableId="1778020594">
    <w:abstractNumId w:val="14"/>
  </w:num>
  <w:num w:numId="18" w16cid:durableId="179516284">
    <w:abstractNumId w:val="9"/>
  </w:num>
  <w:num w:numId="19" w16cid:durableId="2068453874">
    <w:abstractNumId w:val="20"/>
  </w:num>
  <w:num w:numId="20" w16cid:durableId="1323000012">
    <w:abstractNumId w:val="8"/>
  </w:num>
  <w:num w:numId="21" w16cid:durableId="499976454">
    <w:abstractNumId w:val="15"/>
  </w:num>
  <w:num w:numId="22" w16cid:durableId="535653848">
    <w:abstractNumId w:val="17"/>
  </w:num>
  <w:num w:numId="23" w16cid:durableId="1820003334">
    <w:abstractNumId w:val="18"/>
  </w:num>
  <w:num w:numId="24" w16cid:durableId="165639191">
    <w:abstractNumId w:val="10"/>
  </w:num>
  <w:num w:numId="25" w16cid:durableId="1685547515">
    <w:abstractNumId w:val="16"/>
  </w:num>
  <w:num w:numId="26" w16cid:durableId="1310550312">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hideSpellingErrors/>
  <w:hideGrammaticalErrors/>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6" w:nlCheck="1" w:checkStyle="1"/>
  <w:activeWritingStyle w:appName="MSWord" w:lang="fr-BE" w:vendorID="64" w:dllVersion="0" w:nlCheck="1" w:checkStyle="0"/>
  <w:activeWritingStyle w:appName="MSWord" w:lang="it-IT" w:vendorID="64" w:dllVersion="0" w:nlCheck="1" w:checkStyle="0"/>
  <w:activeWritingStyle w:appName="MSWord" w:lang="en-IE" w:vendorID="64" w:dllVersion="0" w:nlCheck="1" w:checkStyle="0"/>
  <w:activeWritingStyle w:appName="MSWord" w:lang="pt-PT" w:vendorID="64" w:dllVersion="0" w:nlCheck="1" w:checkStyle="0"/>
  <w:attachedTemplate r:id="rId1"/>
  <w:revisionView w:markup="0"/>
  <w:doNotTrackFormatting/>
  <w:defaultTabStop w:val="720"/>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QCDateTime" w:val="2025-09-23 09:22: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u964?\u951?\u962?"/>
    <w:docVar w:name="LW_ACCOMPAGNANT.CP" w:val="\u964?\u951?\u962?"/>
    <w:docVar w:name="LW_ANNEX_NBR_FIRST" w:val="1"/>
    <w:docVar w:name="LW_ANNEX_NBR_LAST" w:val="1"/>
    <w:docVar w:name="LW_ANNEX_UNIQUE" w:val="0"/>
    <w:docVar w:name="LW_CORRIGENDUM" w:val="&lt;UNUSED&gt;"/>
    <w:docVar w:name="LW_COVERPAGE_EXISTS" w:val="True"/>
    <w:docVar w:name="LW_COVERPAGE_GUID" w:val="391A60B9-EEAC-41AC-831E-AD4F7EFB026A"/>
    <w:docVar w:name="LW_COVERPAGE_TYPE" w:val="1"/>
    <w:docVar w:name="LW_CROSSREFERENCE" w:val="&lt;UNUSED&gt;"/>
    <w:docVar w:name="LW_DocType" w:val="ANNEX"/>
    <w:docVar w:name="LW_EMISSION" w:val="24.9.2025"/>
    <w:docVar w:name="LW_EMISSION_ISODATE" w:val="2025-09-24"/>
    <w:docVar w:name="LW_EMISSION_LOCATION" w:val="BRX"/>
    <w:docVar w:name="LW_EMISSION_PREFIX" w:val="\u914?\u961?\u965?\u958?\u941?\u955?\u955?\u949?\u962?, "/>
    <w:docVar w:name="LW_EMISSION_SUFFIX" w:val=" "/>
    <w:docVar w:name="LW_ID_DOCSTRUCTURE" w:val="COM/ANNEX"/>
    <w:docVar w:name="LW_ID_DOCTYPE" w:val="SG-017"/>
    <w:docVar w:name="LW_LANGUE" w:val="EL"/>
    <w:docVar w:name="LW_LEVEL_OF_SENSITIVITY" w:val="Standard treatment"/>
    <w:docVar w:name="LW_NOM.INST" w:val="\u917?\u933?\u929?\u937?\u928?\u913?\u938?\u922?\u919? \u917?\u928?\u921?\u932?\u929?\u927?\u928?\u919?"/>
    <w:docVar w:name="LW_NOM.INST_JOINTDOC" w:val="&lt;EMPTY&gt;"/>
    <w:docVar w:name="LW_OBJETACTEPRINCIPAL" w:val="&lt;FMT:Font=Aptos Greek&gt; &lt;/FMT&gt;\u963?\u967?\u949?\u964?\u953?\u954?\u940? \u956?\u949? \u964?\u951? \u952?\u941?\u963?\u951? \u951? \u959?\u960?\u959?\u943?\u945? \u952?\u945? \u955?\u951?\u966?\u952?\u949?\u943? \u949?\u958? \u959?\u957?\u972?\u956?\u945?\u964?\u959?\u962? \u964?\u951?\u962? \u904?\u957?\u969?\u963?\u951?\u962? \u963?\u964?\u951?\u957? 20\u942? \u963?\u965?\u957?\u949?\u948?\u961?\u943?\u945?\u963?\u951? \u964?\u951?\u962? \u916?\u953?\u940?\u963?\u954?\u949?\u968?\u951?\u962? \u964?\u969?\u957? \u924?\u949?\u961?\u974?\u957? \u964?\u951?\u962? \u963?\u973?\u956?\u946?\u945?\u963?\u951?\u962? \u947?\u953?\u945? \u964?\u959? \u948?\u953?\u949?\u952?\u957?\u941?\u962? \u949?\u956?\u960?\u972?\u961?\u953?\u959? \u949?\u953?\u948?\u974?\u957? \u940?\u947?\u961?\u953?\u945?\u962? \u960?\u945?\u957?\u943?\u948?\u945?\u962? \u954?\u945?\u953? \u967?\u955?\u969?\u961?\u943?\u948?\u945?\u962? \u960?\u959?\u965? \u945?\u960?\u949?\u953?\u955?\u959?\u973?\u957?\u964?\u945?\u953? \u956?\u949? \u949?\u958?\u945?\u966?\u940?\u957?\u953?\u963?\u951? (CITES CoP20)_x000d__x000b__x000d__x000d__x000b_(\u931?\u945?\u956?\u945?\u961?\u954?\u940?\u957?\u948?\u951?, \u927?\u965?\u950?\u956?\u960?\u949?\u954?\u953?\u963?\u964?\u940?\u957?, 24 \u925?\u959?\u949?\u956?\u946?\u961?\u943?\u959?\u965? \u8211? 5 \u916?\u949?\u954?\u949?\u956?\u946?\u961?\u943?\u959?\u965? 2025)"/>
    <w:docVar w:name="LW_OBJETACTEPRINCIPAL.CP" w:val="&lt;FMT:Font=Aptos Greek&gt; &lt;/FMT&gt;\u963?\u967?\u949?\u964?\u953?\u954?\u940? \u956?\u949? \u964?\u951? \u952?\u941?\u963?\u951? \u951? \u959?\u960?\u959?\u943?\u945? \u952?\u945? \u955?\u951?\u966?\u952?\u949?\u943? \u949?\u958? \u959?\u957?\u972?\u956?\u945?\u964?\u959?\u962? \u964?\u951?\u962? \u904?\u957?\u969?\u963?\u951?\u962? \u963?\u964?\u951?\u957? 20\u942? \u963?\u965?\u957?\u949?\u948?\u961?\u943?\u945?\u963?\u951? \u964?\u951?\u962? \u916?\u953?\u940?\u963?\u954?\u949?\u968?\u951?\u962? \u964?\u969?\u957? \u924?\u949?\u961?\u974?\u957? \u964?\u951?\u962? \u963?\u973?\u956?\u946?\u945?\u963?\u951?\u962? \u947?\u953?\u945? \u964?\u959? \u948?\u953?\u949?\u952?\u957?\u941?\u962? \u949?\u956?\u960?\u972?\u961?\u953?\u959? \u949?\u953?\u948?\u974?\u957? \u940?\u947?\u961?\u953?\u945?\u962? \u960?\u945?\u957?\u943?\u948?\u945?\u962? \u954?\u945?\u953? \u967?\u955?\u969?\u961?\u943?\u948?\u945?\u962? \u960?\u959?\u965? \u945?\u960?\u949?\u953?\u955?\u959?\u973?\u957?\u964?\u945?\u953? \u956?\u949? \u949?\u958?\u945?\u966?\u940?\u957?\u953?\u963?\u951? (CITES CoP20)_x000d__x000b__x000d__x000d__x000b_(\u931?\u945?\u956?\u945?\u961?\u954?\u940?\u957?\u948?\u951?, \u927?\u965?\u950?\u956?\u960?\u949?\u954?\u953?\u963?\u964?\u940?\u957?, 24 \u925?\u959?\u949?\u956?\u946?\u961?\u943?\u959?\u965? \u8211? 5 \u916?\u949?\u954?\u949?\u956?\u946?\u961?\u943?\u959?\u965? 2025)"/>
    <w:docVar w:name="LW_PART_NBR" w:val="1"/>
    <w:docVar w:name="LW_PART_NBR_TOTAL" w:val="1"/>
    <w:docVar w:name="LW_REF.INST.NEW" w:val="COM"/>
    <w:docVar w:name="LW_REF.INST.NEW_ADOPTED" w:val="final"/>
    <w:docVar w:name="LW_REF.INST.NEW_TEXT" w:val="(2025) 5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928?\u913?\u929?\u913?\u929?\u932?\u919?\u924?\u913?"/>
    <w:docVar w:name="LW_TYPE.DOC.CP" w:val="\u928?\u913?\u929?\u913?\u929?\u932?\u919?\u924?\u913?"/>
    <w:docVar w:name="LW_TYPEACTEPRINCIPAL" w:val="\u960?\u961?\u972?\u964?\u945?\u963?\u951?\u962? \u913?\u928?\u927?\u934?\u913?\u931?\u919?\u931? \u932?\u927?\u933? \u931?\u933?\u924?\u914?\u927?\u933?\u923?\u921?\u927?\u933?"/>
    <w:docVar w:name="LW_TYPEACTEPRINCIPAL.CP" w:val="\u960?\u961?\u972?\u964?\u945?\u963?\u951?\u962? \u913?\u928?\u927?\u934?\u913?\u931?\u919?\u931? \u932?\u927?\u933? \u931?\u933?\u924?\u914?\u927?\u933?\u923?\u921?\u927?\u933?"/>
    <w:docVar w:name="LwApiVersions" w:val="LW4CoDe 1.24.5.0; LW 9.0, Build 20240221"/>
  </w:docVars>
  <w:rsids>
    <w:rsidRoot w:val="001A34A0"/>
    <w:rsid w:val="00001A71"/>
    <w:rsid w:val="00004286"/>
    <w:rsid w:val="00005C97"/>
    <w:rsid w:val="000071A0"/>
    <w:rsid w:val="000100DC"/>
    <w:rsid w:val="00011180"/>
    <w:rsid w:val="0001515A"/>
    <w:rsid w:val="000155BF"/>
    <w:rsid w:val="00015743"/>
    <w:rsid w:val="00023BCA"/>
    <w:rsid w:val="000328EC"/>
    <w:rsid w:val="00034452"/>
    <w:rsid w:val="000357E7"/>
    <w:rsid w:val="00045ABD"/>
    <w:rsid w:val="00054848"/>
    <w:rsid w:val="0005509B"/>
    <w:rsid w:val="00055577"/>
    <w:rsid w:val="000622DF"/>
    <w:rsid w:val="000625EE"/>
    <w:rsid w:val="00070FB2"/>
    <w:rsid w:val="00077CE7"/>
    <w:rsid w:val="00081CE6"/>
    <w:rsid w:val="00087436"/>
    <w:rsid w:val="00090BAF"/>
    <w:rsid w:val="000A1695"/>
    <w:rsid w:val="000A3C2E"/>
    <w:rsid w:val="000A6B6A"/>
    <w:rsid w:val="000B06C2"/>
    <w:rsid w:val="000B42AC"/>
    <w:rsid w:val="000B62EE"/>
    <w:rsid w:val="000B64AA"/>
    <w:rsid w:val="000B7C82"/>
    <w:rsid w:val="000C0B30"/>
    <w:rsid w:val="000C17CE"/>
    <w:rsid w:val="000D1B25"/>
    <w:rsid w:val="000D3670"/>
    <w:rsid w:val="000D7D69"/>
    <w:rsid w:val="000E578C"/>
    <w:rsid w:val="000F0D17"/>
    <w:rsid w:val="000F0F96"/>
    <w:rsid w:val="000F264B"/>
    <w:rsid w:val="000F3083"/>
    <w:rsid w:val="001009B2"/>
    <w:rsid w:val="0011057F"/>
    <w:rsid w:val="00114CEF"/>
    <w:rsid w:val="00116FE7"/>
    <w:rsid w:val="00123912"/>
    <w:rsid w:val="001429F8"/>
    <w:rsid w:val="001524E6"/>
    <w:rsid w:val="0016730B"/>
    <w:rsid w:val="00171635"/>
    <w:rsid w:val="00172B18"/>
    <w:rsid w:val="00172C53"/>
    <w:rsid w:val="0017609D"/>
    <w:rsid w:val="001764E5"/>
    <w:rsid w:val="0018170A"/>
    <w:rsid w:val="00184343"/>
    <w:rsid w:val="00187E7E"/>
    <w:rsid w:val="00190E21"/>
    <w:rsid w:val="001A14E6"/>
    <w:rsid w:val="001A34A0"/>
    <w:rsid w:val="001A63E8"/>
    <w:rsid w:val="001A6C4F"/>
    <w:rsid w:val="001B1EE2"/>
    <w:rsid w:val="001C2491"/>
    <w:rsid w:val="001C2ABE"/>
    <w:rsid w:val="001C408D"/>
    <w:rsid w:val="001C4092"/>
    <w:rsid w:val="001C41CB"/>
    <w:rsid w:val="001D04F7"/>
    <w:rsid w:val="001D4893"/>
    <w:rsid w:val="001D7F61"/>
    <w:rsid w:val="001E168B"/>
    <w:rsid w:val="001E1744"/>
    <w:rsid w:val="001E237E"/>
    <w:rsid w:val="001E4756"/>
    <w:rsid w:val="001E56B1"/>
    <w:rsid w:val="001E608C"/>
    <w:rsid w:val="001E7F49"/>
    <w:rsid w:val="001F2EBE"/>
    <w:rsid w:val="001F3129"/>
    <w:rsid w:val="00201021"/>
    <w:rsid w:val="00201992"/>
    <w:rsid w:val="00216150"/>
    <w:rsid w:val="00220BC8"/>
    <w:rsid w:val="002275EF"/>
    <w:rsid w:val="00231C28"/>
    <w:rsid w:val="00241CE2"/>
    <w:rsid w:val="002458EE"/>
    <w:rsid w:val="002478EC"/>
    <w:rsid w:val="00251F92"/>
    <w:rsid w:val="00254393"/>
    <w:rsid w:val="00263A42"/>
    <w:rsid w:val="00265AB3"/>
    <w:rsid w:val="002675C6"/>
    <w:rsid w:val="00273332"/>
    <w:rsid w:val="00276F53"/>
    <w:rsid w:val="00281D41"/>
    <w:rsid w:val="00285916"/>
    <w:rsid w:val="00286478"/>
    <w:rsid w:val="002967CB"/>
    <w:rsid w:val="002A0424"/>
    <w:rsid w:val="002A55FE"/>
    <w:rsid w:val="002B513B"/>
    <w:rsid w:val="002B770C"/>
    <w:rsid w:val="002B7B22"/>
    <w:rsid w:val="002C698A"/>
    <w:rsid w:val="002D1F84"/>
    <w:rsid w:val="002D5251"/>
    <w:rsid w:val="002E37FE"/>
    <w:rsid w:val="002E6D6B"/>
    <w:rsid w:val="00300E41"/>
    <w:rsid w:val="003012CC"/>
    <w:rsid w:val="00302C73"/>
    <w:rsid w:val="00313576"/>
    <w:rsid w:val="00313B8A"/>
    <w:rsid w:val="00315FA9"/>
    <w:rsid w:val="00320BDD"/>
    <w:rsid w:val="00333DBB"/>
    <w:rsid w:val="00335FE2"/>
    <w:rsid w:val="0034445E"/>
    <w:rsid w:val="00344AB2"/>
    <w:rsid w:val="00353398"/>
    <w:rsid w:val="003548EA"/>
    <w:rsid w:val="00355AAD"/>
    <w:rsid w:val="00357782"/>
    <w:rsid w:val="003602E2"/>
    <w:rsid w:val="003616C4"/>
    <w:rsid w:val="003732DA"/>
    <w:rsid w:val="00384519"/>
    <w:rsid w:val="003847A5"/>
    <w:rsid w:val="00391A1C"/>
    <w:rsid w:val="003952A9"/>
    <w:rsid w:val="00397EEC"/>
    <w:rsid w:val="003A39A3"/>
    <w:rsid w:val="003B0611"/>
    <w:rsid w:val="003B09CF"/>
    <w:rsid w:val="003B14E1"/>
    <w:rsid w:val="003B6DDF"/>
    <w:rsid w:val="003C33DE"/>
    <w:rsid w:val="003D01E4"/>
    <w:rsid w:val="003D2F9C"/>
    <w:rsid w:val="003D3C50"/>
    <w:rsid w:val="003E0F14"/>
    <w:rsid w:val="003E31FC"/>
    <w:rsid w:val="003E7776"/>
    <w:rsid w:val="003F1EC4"/>
    <w:rsid w:val="003F1EED"/>
    <w:rsid w:val="003F3902"/>
    <w:rsid w:val="003F3B8C"/>
    <w:rsid w:val="003F4800"/>
    <w:rsid w:val="003F7ABD"/>
    <w:rsid w:val="0040242E"/>
    <w:rsid w:val="00410B43"/>
    <w:rsid w:val="00412C8B"/>
    <w:rsid w:val="00422B61"/>
    <w:rsid w:val="0042778F"/>
    <w:rsid w:val="00430BD9"/>
    <w:rsid w:val="00431682"/>
    <w:rsid w:val="0044639D"/>
    <w:rsid w:val="004502DD"/>
    <w:rsid w:val="00455042"/>
    <w:rsid w:val="00456ECA"/>
    <w:rsid w:val="004574B5"/>
    <w:rsid w:val="00470174"/>
    <w:rsid w:val="00472A4B"/>
    <w:rsid w:val="00473F1E"/>
    <w:rsid w:val="00481CD7"/>
    <w:rsid w:val="00483AC7"/>
    <w:rsid w:val="00491D06"/>
    <w:rsid w:val="00494873"/>
    <w:rsid w:val="004A1B1B"/>
    <w:rsid w:val="004A69F9"/>
    <w:rsid w:val="004C1C9D"/>
    <w:rsid w:val="004D117D"/>
    <w:rsid w:val="004D1E6B"/>
    <w:rsid w:val="004D5CF1"/>
    <w:rsid w:val="004E08E5"/>
    <w:rsid w:val="004F4C05"/>
    <w:rsid w:val="004F6596"/>
    <w:rsid w:val="005049A2"/>
    <w:rsid w:val="0051748F"/>
    <w:rsid w:val="00527A88"/>
    <w:rsid w:val="00533744"/>
    <w:rsid w:val="005338D2"/>
    <w:rsid w:val="005407F3"/>
    <w:rsid w:val="0054143C"/>
    <w:rsid w:val="00542BD9"/>
    <w:rsid w:val="005476E4"/>
    <w:rsid w:val="00550FFF"/>
    <w:rsid w:val="00551D36"/>
    <w:rsid w:val="00567CBB"/>
    <w:rsid w:val="00571CDC"/>
    <w:rsid w:val="00575F47"/>
    <w:rsid w:val="00581846"/>
    <w:rsid w:val="00586EE0"/>
    <w:rsid w:val="0059145D"/>
    <w:rsid w:val="00593DAF"/>
    <w:rsid w:val="005A0219"/>
    <w:rsid w:val="005A0D5B"/>
    <w:rsid w:val="005A24F4"/>
    <w:rsid w:val="005A68F6"/>
    <w:rsid w:val="005A6A59"/>
    <w:rsid w:val="005B28E2"/>
    <w:rsid w:val="005B5D66"/>
    <w:rsid w:val="005C0C25"/>
    <w:rsid w:val="005C3302"/>
    <w:rsid w:val="005C56BB"/>
    <w:rsid w:val="005E0D10"/>
    <w:rsid w:val="005E0D65"/>
    <w:rsid w:val="005E361A"/>
    <w:rsid w:val="005E5C77"/>
    <w:rsid w:val="005E5C7C"/>
    <w:rsid w:val="005F3113"/>
    <w:rsid w:val="00600E9F"/>
    <w:rsid w:val="0060175C"/>
    <w:rsid w:val="006076D1"/>
    <w:rsid w:val="006101CD"/>
    <w:rsid w:val="00621B80"/>
    <w:rsid w:val="00623BED"/>
    <w:rsid w:val="00625CC9"/>
    <w:rsid w:val="00626E07"/>
    <w:rsid w:val="00632D17"/>
    <w:rsid w:val="00632E61"/>
    <w:rsid w:val="00646BD2"/>
    <w:rsid w:val="00647104"/>
    <w:rsid w:val="00652748"/>
    <w:rsid w:val="006528F4"/>
    <w:rsid w:val="00653D2F"/>
    <w:rsid w:val="00660FCA"/>
    <w:rsid w:val="00666862"/>
    <w:rsid w:val="00667A88"/>
    <w:rsid w:val="006718EA"/>
    <w:rsid w:val="00674C0F"/>
    <w:rsid w:val="006801F2"/>
    <w:rsid w:val="00680FFE"/>
    <w:rsid w:val="00687A39"/>
    <w:rsid w:val="00690B51"/>
    <w:rsid w:val="00691320"/>
    <w:rsid w:val="0069746A"/>
    <w:rsid w:val="006A4691"/>
    <w:rsid w:val="006A5A10"/>
    <w:rsid w:val="006A7306"/>
    <w:rsid w:val="006B1EE4"/>
    <w:rsid w:val="006B540E"/>
    <w:rsid w:val="006B5EE7"/>
    <w:rsid w:val="006C4F99"/>
    <w:rsid w:val="006C6F36"/>
    <w:rsid w:val="006C72BF"/>
    <w:rsid w:val="006E3065"/>
    <w:rsid w:val="006E46F3"/>
    <w:rsid w:val="006E53AB"/>
    <w:rsid w:val="006E745E"/>
    <w:rsid w:val="006E7D18"/>
    <w:rsid w:val="006F3050"/>
    <w:rsid w:val="006F61D6"/>
    <w:rsid w:val="00704DF3"/>
    <w:rsid w:val="007073A4"/>
    <w:rsid w:val="007074F8"/>
    <w:rsid w:val="00713A65"/>
    <w:rsid w:val="007155DE"/>
    <w:rsid w:val="00720616"/>
    <w:rsid w:val="00730977"/>
    <w:rsid w:val="007372EB"/>
    <w:rsid w:val="00737D30"/>
    <w:rsid w:val="00742002"/>
    <w:rsid w:val="00753CB0"/>
    <w:rsid w:val="0075484E"/>
    <w:rsid w:val="0075503A"/>
    <w:rsid w:val="007551CA"/>
    <w:rsid w:val="00756FAC"/>
    <w:rsid w:val="007628B8"/>
    <w:rsid w:val="007649B3"/>
    <w:rsid w:val="00765B76"/>
    <w:rsid w:val="00770844"/>
    <w:rsid w:val="00774B21"/>
    <w:rsid w:val="007811AC"/>
    <w:rsid w:val="0078194E"/>
    <w:rsid w:val="007841CA"/>
    <w:rsid w:val="00790393"/>
    <w:rsid w:val="0079438C"/>
    <w:rsid w:val="00794C39"/>
    <w:rsid w:val="007A0D22"/>
    <w:rsid w:val="007A550D"/>
    <w:rsid w:val="007B0EFF"/>
    <w:rsid w:val="007B37FC"/>
    <w:rsid w:val="007B3FC7"/>
    <w:rsid w:val="007C16A5"/>
    <w:rsid w:val="007C47D2"/>
    <w:rsid w:val="007D4C58"/>
    <w:rsid w:val="007D7F0C"/>
    <w:rsid w:val="007E2CA0"/>
    <w:rsid w:val="007E65F0"/>
    <w:rsid w:val="007F4E5B"/>
    <w:rsid w:val="00800AB7"/>
    <w:rsid w:val="008107DF"/>
    <w:rsid w:val="0081142D"/>
    <w:rsid w:val="00813D07"/>
    <w:rsid w:val="00813DDA"/>
    <w:rsid w:val="00816F5C"/>
    <w:rsid w:val="00820B73"/>
    <w:rsid w:val="00823684"/>
    <w:rsid w:val="00823F88"/>
    <w:rsid w:val="00824032"/>
    <w:rsid w:val="0082701A"/>
    <w:rsid w:val="00831401"/>
    <w:rsid w:val="008315B6"/>
    <w:rsid w:val="008344A2"/>
    <w:rsid w:val="00834694"/>
    <w:rsid w:val="0083485E"/>
    <w:rsid w:val="00844143"/>
    <w:rsid w:val="0084637F"/>
    <w:rsid w:val="00847305"/>
    <w:rsid w:val="00854CEC"/>
    <w:rsid w:val="00854D64"/>
    <w:rsid w:val="00856ADE"/>
    <w:rsid w:val="00862AAB"/>
    <w:rsid w:val="008806F5"/>
    <w:rsid w:val="00881E9D"/>
    <w:rsid w:val="00884868"/>
    <w:rsid w:val="00884A18"/>
    <w:rsid w:val="008917FE"/>
    <w:rsid w:val="008A78AD"/>
    <w:rsid w:val="008B30AD"/>
    <w:rsid w:val="008B5D22"/>
    <w:rsid w:val="008C45D1"/>
    <w:rsid w:val="008C5EDF"/>
    <w:rsid w:val="008D51A5"/>
    <w:rsid w:val="008D5DB0"/>
    <w:rsid w:val="008D6A54"/>
    <w:rsid w:val="008D706B"/>
    <w:rsid w:val="008E071D"/>
    <w:rsid w:val="008E2486"/>
    <w:rsid w:val="008E4110"/>
    <w:rsid w:val="008F4EA1"/>
    <w:rsid w:val="008F640D"/>
    <w:rsid w:val="009136E9"/>
    <w:rsid w:val="00914911"/>
    <w:rsid w:val="00924B5A"/>
    <w:rsid w:val="00924EC1"/>
    <w:rsid w:val="00930252"/>
    <w:rsid w:val="00942DC8"/>
    <w:rsid w:val="00947DBE"/>
    <w:rsid w:val="00953A53"/>
    <w:rsid w:val="00963107"/>
    <w:rsid w:val="00965F02"/>
    <w:rsid w:val="00970460"/>
    <w:rsid w:val="00974595"/>
    <w:rsid w:val="009962A9"/>
    <w:rsid w:val="009A005C"/>
    <w:rsid w:val="009A0C80"/>
    <w:rsid w:val="009A48E1"/>
    <w:rsid w:val="009B2128"/>
    <w:rsid w:val="009B7404"/>
    <w:rsid w:val="009C06CD"/>
    <w:rsid w:val="009D3C0D"/>
    <w:rsid w:val="009E23B2"/>
    <w:rsid w:val="009E6208"/>
    <w:rsid w:val="009F014B"/>
    <w:rsid w:val="00A01587"/>
    <w:rsid w:val="00A11FDA"/>
    <w:rsid w:val="00A1748D"/>
    <w:rsid w:val="00A17EDC"/>
    <w:rsid w:val="00A30EC4"/>
    <w:rsid w:val="00A3681E"/>
    <w:rsid w:val="00A41EB8"/>
    <w:rsid w:val="00A42770"/>
    <w:rsid w:val="00A430AA"/>
    <w:rsid w:val="00A46198"/>
    <w:rsid w:val="00A46812"/>
    <w:rsid w:val="00A56477"/>
    <w:rsid w:val="00A617F7"/>
    <w:rsid w:val="00A678DA"/>
    <w:rsid w:val="00A77B60"/>
    <w:rsid w:val="00A80B1A"/>
    <w:rsid w:val="00A86255"/>
    <w:rsid w:val="00A94410"/>
    <w:rsid w:val="00A94647"/>
    <w:rsid w:val="00AA040E"/>
    <w:rsid w:val="00AA588B"/>
    <w:rsid w:val="00AA76E0"/>
    <w:rsid w:val="00AB1096"/>
    <w:rsid w:val="00AB29CA"/>
    <w:rsid w:val="00AB5685"/>
    <w:rsid w:val="00AB61FD"/>
    <w:rsid w:val="00AC2673"/>
    <w:rsid w:val="00AC2A58"/>
    <w:rsid w:val="00AC3953"/>
    <w:rsid w:val="00AC4059"/>
    <w:rsid w:val="00AD210B"/>
    <w:rsid w:val="00AD5A26"/>
    <w:rsid w:val="00AE4341"/>
    <w:rsid w:val="00AF5616"/>
    <w:rsid w:val="00B0069F"/>
    <w:rsid w:val="00B04DCA"/>
    <w:rsid w:val="00B1458C"/>
    <w:rsid w:val="00B1659A"/>
    <w:rsid w:val="00B1667E"/>
    <w:rsid w:val="00B16CC7"/>
    <w:rsid w:val="00B16F14"/>
    <w:rsid w:val="00B25F58"/>
    <w:rsid w:val="00B2681C"/>
    <w:rsid w:val="00B307D0"/>
    <w:rsid w:val="00B348FD"/>
    <w:rsid w:val="00B34BC7"/>
    <w:rsid w:val="00B353E9"/>
    <w:rsid w:val="00B37FC3"/>
    <w:rsid w:val="00B42E9E"/>
    <w:rsid w:val="00B44CFD"/>
    <w:rsid w:val="00B52A2F"/>
    <w:rsid w:val="00B53505"/>
    <w:rsid w:val="00B53F8C"/>
    <w:rsid w:val="00B56B1A"/>
    <w:rsid w:val="00B610B5"/>
    <w:rsid w:val="00B62F5C"/>
    <w:rsid w:val="00B6446E"/>
    <w:rsid w:val="00B64FCC"/>
    <w:rsid w:val="00B67879"/>
    <w:rsid w:val="00B72C58"/>
    <w:rsid w:val="00B77BA0"/>
    <w:rsid w:val="00B85FB1"/>
    <w:rsid w:val="00B90B62"/>
    <w:rsid w:val="00B939D6"/>
    <w:rsid w:val="00BA1E69"/>
    <w:rsid w:val="00BA2FBB"/>
    <w:rsid w:val="00BB1604"/>
    <w:rsid w:val="00BB1F6A"/>
    <w:rsid w:val="00BC06BB"/>
    <w:rsid w:val="00BC2062"/>
    <w:rsid w:val="00BC4078"/>
    <w:rsid w:val="00BD2C81"/>
    <w:rsid w:val="00BD45D5"/>
    <w:rsid w:val="00BE0FC5"/>
    <w:rsid w:val="00BF2360"/>
    <w:rsid w:val="00BF48CC"/>
    <w:rsid w:val="00C001B1"/>
    <w:rsid w:val="00C01411"/>
    <w:rsid w:val="00C0433A"/>
    <w:rsid w:val="00C130FD"/>
    <w:rsid w:val="00C21167"/>
    <w:rsid w:val="00C3368D"/>
    <w:rsid w:val="00C341FD"/>
    <w:rsid w:val="00C34909"/>
    <w:rsid w:val="00C355ED"/>
    <w:rsid w:val="00C377BB"/>
    <w:rsid w:val="00C41208"/>
    <w:rsid w:val="00C43C19"/>
    <w:rsid w:val="00C46A71"/>
    <w:rsid w:val="00C52D6D"/>
    <w:rsid w:val="00C61B5F"/>
    <w:rsid w:val="00C63CC5"/>
    <w:rsid w:val="00C70DA3"/>
    <w:rsid w:val="00C71CF5"/>
    <w:rsid w:val="00C8206E"/>
    <w:rsid w:val="00C8428E"/>
    <w:rsid w:val="00C8479F"/>
    <w:rsid w:val="00C906CB"/>
    <w:rsid w:val="00C9266C"/>
    <w:rsid w:val="00C9598D"/>
    <w:rsid w:val="00CA0919"/>
    <w:rsid w:val="00CB1BB5"/>
    <w:rsid w:val="00CB2B99"/>
    <w:rsid w:val="00CB3885"/>
    <w:rsid w:val="00CB4A49"/>
    <w:rsid w:val="00CC72CF"/>
    <w:rsid w:val="00CC752B"/>
    <w:rsid w:val="00CD072E"/>
    <w:rsid w:val="00CD2CD8"/>
    <w:rsid w:val="00CD4073"/>
    <w:rsid w:val="00CE04EE"/>
    <w:rsid w:val="00CE238B"/>
    <w:rsid w:val="00CE2728"/>
    <w:rsid w:val="00CE4AEC"/>
    <w:rsid w:val="00CE708A"/>
    <w:rsid w:val="00CF009D"/>
    <w:rsid w:val="00CF3D89"/>
    <w:rsid w:val="00CF586F"/>
    <w:rsid w:val="00CF60BB"/>
    <w:rsid w:val="00CF67ED"/>
    <w:rsid w:val="00D06BE7"/>
    <w:rsid w:val="00D106DA"/>
    <w:rsid w:val="00D12971"/>
    <w:rsid w:val="00D12D31"/>
    <w:rsid w:val="00D149B7"/>
    <w:rsid w:val="00D15DC7"/>
    <w:rsid w:val="00D15F75"/>
    <w:rsid w:val="00D17CB4"/>
    <w:rsid w:val="00D21FEA"/>
    <w:rsid w:val="00D35B94"/>
    <w:rsid w:val="00D452DE"/>
    <w:rsid w:val="00D52700"/>
    <w:rsid w:val="00D54F8D"/>
    <w:rsid w:val="00D662A6"/>
    <w:rsid w:val="00D66ECF"/>
    <w:rsid w:val="00D67331"/>
    <w:rsid w:val="00D711AA"/>
    <w:rsid w:val="00D82285"/>
    <w:rsid w:val="00D87690"/>
    <w:rsid w:val="00D87E13"/>
    <w:rsid w:val="00D92237"/>
    <w:rsid w:val="00D95096"/>
    <w:rsid w:val="00DA05F4"/>
    <w:rsid w:val="00DA618C"/>
    <w:rsid w:val="00DB6C9B"/>
    <w:rsid w:val="00DC0099"/>
    <w:rsid w:val="00DC3989"/>
    <w:rsid w:val="00DC54E6"/>
    <w:rsid w:val="00DD1C50"/>
    <w:rsid w:val="00DE30C2"/>
    <w:rsid w:val="00DE3BCB"/>
    <w:rsid w:val="00DF1E12"/>
    <w:rsid w:val="00DF516C"/>
    <w:rsid w:val="00DF6FA8"/>
    <w:rsid w:val="00E0240D"/>
    <w:rsid w:val="00E05B3F"/>
    <w:rsid w:val="00E07474"/>
    <w:rsid w:val="00E20D8A"/>
    <w:rsid w:val="00E24182"/>
    <w:rsid w:val="00E248ED"/>
    <w:rsid w:val="00E31850"/>
    <w:rsid w:val="00E45E52"/>
    <w:rsid w:val="00E4686D"/>
    <w:rsid w:val="00E552CD"/>
    <w:rsid w:val="00E57066"/>
    <w:rsid w:val="00E61E03"/>
    <w:rsid w:val="00E62904"/>
    <w:rsid w:val="00E658C3"/>
    <w:rsid w:val="00E660C8"/>
    <w:rsid w:val="00E6720F"/>
    <w:rsid w:val="00E818FC"/>
    <w:rsid w:val="00E83311"/>
    <w:rsid w:val="00E87851"/>
    <w:rsid w:val="00E87F49"/>
    <w:rsid w:val="00E90314"/>
    <w:rsid w:val="00E92D9C"/>
    <w:rsid w:val="00E95EBA"/>
    <w:rsid w:val="00E96D8C"/>
    <w:rsid w:val="00EA0768"/>
    <w:rsid w:val="00EA36EA"/>
    <w:rsid w:val="00EA67B0"/>
    <w:rsid w:val="00EA6E5E"/>
    <w:rsid w:val="00EC3E53"/>
    <w:rsid w:val="00EC4313"/>
    <w:rsid w:val="00EC4DDB"/>
    <w:rsid w:val="00EC67CA"/>
    <w:rsid w:val="00EC68BD"/>
    <w:rsid w:val="00ED0C89"/>
    <w:rsid w:val="00ED2B1D"/>
    <w:rsid w:val="00ED39A0"/>
    <w:rsid w:val="00EE1B2D"/>
    <w:rsid w:val="00EE24E7"/>
    <w:rsid w:val="00EF0212"/>
    <w:rsid w:val="00EF07AE"/>
    <w:rsid w:val="00EF1FE3"/>
    <w:rsid w:val="00EF37B0"/>
    <w:rsid w:val="00F149C9"/>
    <w:rsid w:val="00F14B8D"/>
    <w:rsid w:val="00F16DB8"/>
    <w:rsid w:val="00F25BD8"/>
    <w:rsid w:val="00F30D09"/>
    <w:rsid w:val="00F32333"/>
    <w:rsid w:val="00F40D76"/>
    <w:rsid w:val="00F46186"/>
    <w:rsid w:val="00F50AF2"/>
    <w:rsid w:val="00F521D0"/>
    <w:rsid w:val="00F54C6A"/>
    <w:rsid w:val="00F56242"/>
    <w:rsid w:val="00F60B77"/>
    <w:rsid w:val="00F62B4A"/>
    <w:rsid w:val="00F676B7"/>
    <w:rsid w:val="00F87183"/>
    <w:rsid w:val="00F87949"/>
    <w:rsid w:val="00F91D05"/>
    <w:rsid w:val="00F92C41"/>
    <w:rsid w:val="00F97859"/>
    <w:rsid w:val="00FA494C"/>
    <w:rsid w:val="00FB213D"/>
    <w:rsid w:val="00FC3840"/>
    <w:rsid w:val="00FC39E1"/>
    <w:rsid w:val="00FC4ECA"/>
    <w:rsid w:val="00FD4B57"/>
    <w:rsid w:val="00FD5F85"/>
    <w:rsid w:val="00FD7CD0"/>
    <w:rsid w:val="00FE2CDE"/>
    <w:rsid w:val="00FE658B"/>
    <w:rsid w:val="00FE6AD1"/>
    <w:rsid w:val="00FF08C7"/>
    <w:rsid w:val="00FF22E8"/>
    <w:rsid w:val="00FF6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2513"/>
    <o:shapelayout v:ext="edit">
      <o:idmap v:ext="edit" data="1"/>
    </o:shapelayout>
  </w:shapeDefaults>
  <w:decimalSymbol w:val=","/>
  <w:listSeparator w:val=";"/>
  <w14:docId w14:val="0DEE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paragraph" w:styleId="ListParagraph">
    <w:name w:val="List Paragraph"/>
    <w:basedOn w:val="Normal"/>
    <w:uiPriority w:val="34"/>
    <w:qFormat/>
    <w:rsid w:val="001A34A0"/>
    <w:pPr>
      <w:ind w:left="720"/>
      <w:contextualSpacing/>
    </w:pPr>
  </w:style>
  <w:style w:type="paragraph" w:styleId="ListBullet">
    <w:name w:val="List Bullet"/>
    <w:basedOn w:val="Normal"/>
    <w:uiPriority w:val="99"/>
    <w:semiHidden/>
    <w:unhideWhenUsed/>
    <w:rsid w:val="00AC2673"/>
    <w:pPr>
      <w:numPr>
        <w:numId w:val="1"/>
      </w:numPr>
      <w:contextualSpacing/>
    </w:pPr>
  </w:style>
  <w:style w:type="paragraph" w:styleId="ListBullet2">
    <w:name w:val="List Bullet 2"/>
    <w:basedOn w:val="Normal"/>
    <w:uiPriority w:val="99"/>
    <w:semiHidden/>
    <w:unhideWhenUsed/>
    <w:rsid w:val="00AC2673"/>
    <w:pPr>
      <w:numPr>
        <w:numId w:val="2"/>
      </w:numPr>
      <w:contextualSpacing/>
    </w:pPr>
  </w:style>
  <w:style w:type="paragraph" w:styleId="ListBullet3">
    <w:name w:val="List Bullet 3"/>
    <w:basedOn w:val="Normal"/>
    <w:uiPriority w:val="99"/>
    <w:semiHidden/>
    <w:unhideWhenUsed/>
    <w:rsid w:val="00AC2673"/>
    <w:pPr>
      <w:numPr>
        <w:numId w:val="3"/>
      </w:numPr>
      <w:contextualSpacing/>
    </w:pPr>
  </w:style>
  <w:style w:type="paragraph" w:styleId="ListBullet4">
    <w:name w:val="List Bullet 4"/>
    <w:basedOn w:val="Normal"/>
    <w:uiPriority w:val="99"/>
    <w:semiHidden/>
    <w:unhideWhenUsed/>
    <w:rsid w:val="00AC2673"/>
    <w:pPr>
      <w:numPr>
        <w:numId w:val="4"/>
      </w:numPr>
      <w:contextualSpacing/>
    </w:pPr>
  </w:style>
  <w:style w:type="paragraph" w:styleId="BalloonText">
    <w:name w:val="Balloon Text"/>
    <w:basedOn w:val="Normal"/>
    <w:link w:val="BalloonTextChar"/>
    <w:uiPriority w:val="99"/>
    <w:semiHidden/>
    <w:unhideWhenUsed/>
    <w:rsid w:val="00FE65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58B"/>
    <w:rPr>
      <w:rFonts w:ascii="Tahoma" w:hAnsi="Tahoma" w:cs="Tahoma"/>
      <w:sz w:val="16"/>
      <w:szCs w:val="16"/>
      <w:lang w:val="el-GR"/>
    </w:rPr>
  </w:style>
  <w:style w:type="character" w:styleId="CommentReference">
    <w:name w:val="annotation reference"/>
    <w:basedOn w:val="DefaultParagraphFont"/>
    <w:uiPriority w:val="99"/>
    <w:semiHidden/>
    <w:unhideWhenUsed/>
    <w:rsid w:val="00CE2728"/>
    <w:rPr>
      <w:sz w:val="16"/>
      <w:szCs w:val="16"/>
    </w:rPr>
  </w:style>
  <w:style w:type="paragraph" w:styleId="CommentText">
    <w:name w:val="annotation text"/>
    <w:basedOn w:val="Normal"/>
    <w:link w:val="CommentTextChar"/>
    <w:uiPriority w:val="99"/>
    <w:unhideWhenUsed/>
    <w:rsid w:val="00CE2728"/>
    <w:rPr>
      <w:sz w:val="20"/>
      <w:szCs w:val="20"/>
    </w:rPr>
  </w:style>
  <w:style w:type="character" w:customStyle="1" w:styleId="CommentTextChar">
    <w:name w:val="Comment Text Char"/>
    <w:basedOn w:val="DefaultParagraphFont"/>
    <w:link w:val="CommentText"/>
    <w:uiPriority w:val="99"/>
    <w:rsid w:val="00CE2728"/>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CE2728"/>
    <w:rPr>
      <w:b/>
      <w:bCs/>
    </w:rPr>
  </w:style>
  <w:style w:type="character" w:customStyle="1" w:styleId="CommentSubjectChar">
    <w:name w:val="Comment Subject Char"/>
    <w:basedOn w:val="CommentTextChar"/>
    <w:link w:val="CommentSubject"/>
    <w:uiPriority w:val="99"/>
    <w:semiHidden/>
    <w:rsid w:val="00CE2728"/>
    <w:rPr>
      <w:rFonts w:ascii="Times New Roman" w:hAnsi="Times New Roman" w:cs="Times New Roman"/>
      <w:b/>
      <w:bCs/>
      <w:sz w:val="20"/>
      <w:szCs w:val="20"/>
      <w:lang w:val="el-GR"/>
    </w:rPr>
  </w:style>
  <w:style w:type="paragraph" w:styleId="Revision">
    <w:name w:val="Revision"/>
    <w:hidden/>
    <w:uiPriority w:val="99"/>
    <w:semiHidden/>
    <w:rsid w:val="006101CD"/>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ED2B1D"/>
    <w:pPr>
      <w:spacing w:before="0" w:after="0"/>
    </w:pPr>
    <w:rPr>
      <w:sz w:val="20"/>
      <w:szCs w:val="20"/>
    </w:rPr>
  </w:style>
  <w:style w:type="character" w:customStyle="1" w:styleId="EndnoteTextChar">
    <w:name w:val="Endnote Text Char"/>
    <w:basedOn w:val="DefaultParagraphFont"/>
    <w:link w:val="EndnoteText"/>
    <w:uiPriority w:val="99"/>
    <w:semiHidden/>
    <w:rsid w:val="00ED2B1D"/>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sid w:val="00ED2B1D"/>
    <w:rPr>
      <w:vertAlign w:val="superscript"/>
    </w:rPr>
  </w:style>
  <w:style w:type="paragraph" w:styleId="Caption">
    <w:name w:val="caption"/>
    <w:basedOn w:val="Normal"/>
    <w:next w:val="Normal"/>
    <w:uiPriority w:val="35"/>
    <w:semiHidden/>
    <w:unhideWhenUsed/>
    <w:qFormat/>
    <w:rsid w:val="007074F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074F8"/>
    <w:pPr>
      <w:spacing w:after="0"/>
    </w:pPr>
  </w:style>
  <w:style w:type="paragraph" w:styleId="ListNumber">
    <w:name w:val="List Number"/>
    <w:basedOn w:val="Normal"/>
    <w:uiPriority w:val="99"/>
    <w:semiHidden/>
    <w:unhideWhenUsed/>
    <w:rsid w:val="007074F8"/>
    <w:pPr>
      <w:numPr>
        <w:numId w:val="5"/>
      </w:numPr>
      <w:contextualSpacing/>
    </w:pPr>
  </w:style>
  <w:style w:type="paragraph" w:styleId="ListNumber2">
    <w:name w:val="List Number 2"/>
    <w:basedOn w:val="Normal"/>
    <w:uiPriority w:val="99"/>
    <w:semiHidden/>
    <w:unhideWhenUsed/>
    <w:rsid w:val="007074F8"/>
    <w:pPr>
      <w:numPr>
        <w:numId w:val="6"/>
      </w:numPr>
      <w:contextualSpacing/>
    </w:pPr>
  </w:style>
  <w:style w:type="paragraph" w:styleId="ListNumber3">
    <w:name w:val="List Number 3"/>
    <w:basedOn w:val="Normal"/>
    <w:uiPriority w:val="99"/>
    <w:semiHidden/>
    <w:unhideWhenUsed/>
    <w:rsid w:val="007074F8"/>
    <w:pPr>
      <w:numPr>
        <w:numId w:val="7"/>
      </w:numPr>
      <w:contextualSpacing/>
    </w:pPr>
  </w:style>
  <w:style w:type="paragraph" w:styleId="ListNumber4">
    <w:name w:val="List Number 4"/>
    <w:basedOn w:val="Normal"/>
    <w:uiPriority w:val="99"/>
    <w:semiHidden/>
    <w:unhideWhenUsed/>
    <w:rsid w:val="007074F8"/>
    <w:pPr>
      <w:numPr>
        <w:numId w:val="8"/>
      </w:numPr>
      <w:contextualSpacing/>
    </w:pPr>
  </w:style>
  <w:style w:type="character" w:styleId="Hyperlink">
    <w:name w:val="Hyperlink"/>
    <w:basedOn w:val="DefaultParagraphFont"/>
    <w:uiPriority w:val="99"/>
    <w:unhideWhenUsed/>
    <w:rsid w:val="00B6446E"/>
    <w:rPr>
      <w:color w:val="0000FF" w:themeColor="hyperlink"/>
      <w:u w:val="single"/>
    </w:rPr>
  </w:style>
  <w:style w:type="character" w:styleId="FollowedHyperlink">
    <w:name w:val="FollowedHyperlink"/>
    <w:basedOn w:val="DefaultParagraphFont"/>
    <w:uiPriority w:val="99"/>
    <w:semiHidden/>
    <w:unhideWhenUsed/>
    <w:rsid w:val="007C16A5"/>
    <w:rPr>
      <w:color w:val="800080" w:themeColor="followedHyperlink"/>
      <w:u w:val="single"/>
    </w:rPr>
  </w:style>
  <w:style w:type="paragraph" w:customStyle="1" w:styleId="docdata">
    <w:name w:val="docdata"/>
    <w:aliases w:val="docy,v5,2501,bqiaagaaeyqcaaagiaiaaamscqaabtojaaaaaaaaaaaaaaaaaaaaaaaaaaaaaaaaaaaaaaaaaaaaaaaaaaaaaaaaaaaaaaaaaaaaaaaaaaaaaaaaaaaaaaaaaaaaaaaaaaaaaaaaaaaaaaaaaaaaaaaaaaaaaaaaaaaaaaaaaaaaaaaaaaaaaaaaaaaaaaaaaaaaaaaaaaaaaaaaaaaaaaaaaaaaaaaaaaaaaaaa"/>
    <w:basedOn w:val="Normal"/>
    <w:rsid w:val="002D5251"/>
    <w:pPr>
      <w:spacing w:before="100" w:beforeAutospacing="1" w:after="100" w:afterAutospacing="1"/>
      <w:jc w:val="left"/>
    </w:pPr>
    <w:rPr>
      <w:rFonts w:eastAsia="Times New Roman"/>
      <w:szCs w:val="24"/>
    </w:rPr>
  </w:style>
  <w:style w:type="paragraph" w:styleId="NormalWeb">
    <w:name w:val="Normal (Web)"/>
    <w:basedOn w:val="Normal"/>
    <w:uiPriority w:val="99"/>
    <w:semiHidden/>
    <w:unhideWhenUsed/>
    <w:rsid w:val="002D5251"/>
    <w:pPr>
      <w:spacing w:before="100" w:beforeAutospacing="1" w:after="100" w:afterAutospacing="1"/>
      <w:jc w:val="left"/>
    </w:pPr>
    <w:rPr>
      <w:rFonts w:eastAsia="Times New Roman"/>
      <w:szCs w:val="24"/>
    </w:rPr>
  </w:style>
  <w:style w:type="character" w:customStyle="1" w:styleId="UnresolvedMention1">
    <w:name w:val="Unresolved Mention1"/>
    <w:basedOn w:val="DefaultParagraphFont"/>
    <w:uiPriority w:val="99"/>
    <w:semiHidden/>
    <w:unhideWhenUsed/>
    <w:rsid w:val="00C46A71"/>
    <w:rPr>
      <w:color w:val="605E5C"/>
      <w:shd w:val="clear" w:color="auto" w:fill="E1DFDD"/>
    </w:rPr>
  </w:style>
  <w:style w:type="character" w:customStyle="1" w:styleId="HeaderChar">
    <w:name w:val="Header Char"/>
    <w:basedOn w:val="DefaultParagraphFont"/>
    <w:link w:val="Header"/>
    <w:uiPriority w:val="99"/>
    <w:rsid w:val="004D1E6B"/>
    <w:rPr>
      <w:rFonts w:ascii="Times New Roman" w:hAnsi="Times New Roman" w:cs="Times New Roman"/>
      <w:sz w:val="24"/>
      <w:lang w:val="el-GR"/>
    </w:rPr>
  </w:style>
  <w:style w:type="character" w:customStyle="1" w:styleId="FooterChar">
    <w:name w:val="Footer Char"/>
    <w:basedOn w:val="DefaultParagraphFont"/>
    <w:link w:val="Footer"/>
    <w:uiPriority w:val="99"/>
    <w:rsid w:val="004D1E6B"/>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D1E6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D1E6B"/>
    <w:pPr>
      <w:spacing w:before="0"/>
      <w:jc w:val="right"/>
    </w:pPr>
    <w:rPr>
      <w:sz w:val="28"/>
    </w:rPr>
  </w:style>
  <w:style w:type="paragraph" w:customStyle="1" w:styleId="FooterSensitivity">
    <w:name w:val="Footer Sensitivity"/>
    <w:basedOn w:val="Normal"/>
    <w:rsid w:val="004D1E6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D1E6B"/>
    <w:pPr>
      <w:tabs>
        <w:tab w:val="center" w:pos="4535"/>
        <w:tab w:val="right" w:pos="9071"/>
      </w:tabs>
      <w:spacing w:before="0"/>
    </w:pPr>
  </w:style>
  <w:style w:type="paragraph" w:customStyle="1" w:styleId="HeaderLandscape">
    <w:name w:val="HeaderLandscape"/>
    <w:basedOn w:val="Normal"/>
    <w:rsid w:val="004D1E6B"/>
    <w:pPr>
      <w:tabs>
        <w:tab w:val="center" w:pos="7285"/>
        <w:tab w:val="right" w:pos="14003"/>
      </w:tabs>
      <w:spacing w:before="0"/>
    </w:pPr>
  </w:style>
  <w:style w:type="paragraph" w:styleId="Footer">
    <w:name w:val="footer"/>
    <w:basedOn w:val="Normal"/>
    <w:link w:val="FooterChar"/>
    <w:uiPriority w:val="99"/>
    <w:unhideWhenUsed/>
    <w:rsid w:val="004D1E6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D1E6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159">
      <w:bodyDiv w:val="1"/>
      <w:marLeft w:val="0"/>
      <w:marRight w:val="0"/>
      <w:marTop w:val="0"/>
      <w:marBottom w:val="0"/>
      <w:divBdr>
        <w:top w:val="none" w:sz="0" w:space="0" w:color="auto"/>
        <w:left w:val="none" w:sz="0" w:space="0" w:color="auto"/>
        <w:bottom w:val="none" w:sz="0" w:space="0" w:color="auto"/>
        <w:right w:val="none" w:sz="0" w:space="0" w:color="auto"/>
      </w:divBdr>
      <w:divsChild>
        <w:div w:id="1023242766">
          <w:marLeft w:val="0"/>
          <w:marRight w:val="0"/>
          <w:marTop w:val="0"/>
          <w:marBottom w:val="0"/>
          <w:divBdr>
            <w:top w:val="none" w:sz="0" w:space="0" w:color="auto"/>
            <w:left w:val="none" w:sz="0" w:space="0" w:color="auto"/>
            <w:bottom w:val="none" w:sz="0" w:space="0" w:color="auto"/>
            <w:right w:val="none" w:sz="0" w:space="0" w:color="auto"/>
          </w:divBdr>
          <w:divsChild>
            <w:div w:id="338124189">
              <w:marLeft w:val="0"/>
              <w:marRight w:val="0"/>
              <w:marTop w:val="0"/>
              <w:marBottom w:val="0"/>
              <w:divBdr>
                <w:top w:val="none" w:sz="0" w:space="0" w:color="auto"/>
                <w:left w:val="none" w:sz="0" w:space="0" w:color="auto"/>
                <w:bottom w:val="none" w:sz="0" w:space="0" w:color="auto"/>
                <w:right w:val="none" w:sz="0" w:space="0" w:color="auto"/>
              </w:divBdr>
            </w:div>
          </w:divsChild>
        </w:div>
        <w:div w:id="619383919">
          <w:marLeft w:val="0"/>
          <w:marRight w:val="0"/>
          <w:marTop w:val="0"/>
          <w:marBottom w:val="0"/>
          <w:divBdr>
            <w:top w:val="none" w:sz="0" w:space="0" w:color="auto"/>
            <w:left w:val="none" w:sz="0" w:space="0" w:color="auto"/>
            <w:bottom w:val="none" w:sz="0" w:space="0" w:color="auto"/>
            <w:right w:val="none" w:sz="0" w:space="0" w:color="auto"/>
          </w:divBdr>
          <w:divsChild>
            <w:div w:id="6836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2476">
      <w:bodyDiv w:val="1"/>
      <w:marLeft w:val="0"/>
      <w:marRight w:val="0"/>
      <w:marTop w:val="0"/>
      <w:marBottom w:val="0"/>
      <w:divBdr>
        <w:top w:val="none" w:sz="0" w:space="0" w:color="auto"/>
        <w:left w:val="none" w:sz="0" w:space="0" w:color="auto"/>
        <w:bottom w:val="none" w:sz="0" w:space="0" w:color="auto"/>
        <w:right w:val="none" w:sz="0" w:space="0" w:color="auto"/>
      </w:divBdr>
    </w:div>
    <w:div w:id="635186358">
      <w:bodyDiv w:val="1"/>
      <w:marLeft w:val="0"/>
      <w:marRight w:val="0"/>
      <w:marTop w:val="0"/>
      <w:marBottom w:val="0"/>
      <w:divBdr>
        <w:top w:val="none" w:sz="0" w:space="0" w:color="auto"/>
        <w:left w:val="none" w:sz="0" w:space="0" w:color="auto"/>
        <w:bottom w:val="none" w:sz="0" w:space="0" w:color="auto"/>
        <w:right w:val="none" w:sz="0" w:space="0" w:color="auto"/>
      </w:divBdr>
    </w:div>
    <w:div w:id="673919209">
      <w:bodyDiv w:val="1"/>
      <w:marLeft w:val="0"/>
      <w:marRight w:val="0"/>
      <w:marTop w:val="0"/>
      <w:marBottom w:val="0"/>
      <w:divBdr>
        <w:top w:val="none" w:sz="0" w:space="0" w:color="auto"/>
        <w:left w:val="none" w:sz="0" w:space="0" w:color="auto"/>
        <w:bottom w:val="none" w:sz="0" w:space="0" w:color="auto"/>
        <w:right w:val="none" w:sz="0" w:space="0" w:color="auto"/>
      </w:divBdr>
    </w:div>
    <w:div w:id="1036001141">
      <w:bodyDiv w:val="1"/>
      <w:marLeft w:val="0"/>
      <w:marRight w:val="0"/>
      <w:marTop w:val="0"/>
      <w:marBottom w:val="0"/>
      <w:divBdr>
        <w:top w:val="none" w:sz="0" w:space="0" w:color="auto"/>
        <w:left w:val="none" w:sz="0" w:space="0" w:color="auto"/>
        <w:bottom w:val="none" w:sz="0" w:space="0" w:color="auto"/>
        <w:right w:val="none" w:sz="0" w:space="0" w:color="auto"/>
      </w:divBdr>
    </w:div>
    <w:div w:id="1328904406">
      <w:bodyDiv w:val="1"/>
      <w:marLeft w:val="0"/>
      <w:marRight w:val="0"/>
      <w:marTop w:val="0"/>
      <w:marBottom w:val="0"/>
      <w:divBdr>
        <w:top w:val="none" w:sz="0" w:space="0" w:color="auto"/>
        <w:left w:val="none" w:sz="0" w:space="0" w:color="auto"/>
        <w:bottom w:val="none" w:sz="0" w:space="0" w:color="auto"/>
        <w:right w:val="none" w:sz="0" w:space="0" w:color="auto"/>
      </w:divBdr>
    </w:div>
    <w:div w:id="1507136529">
      <w:bodyDiv w:val="1"/>
      <w:marLeft w:val="0"/>
      <w:marRight w:val="0"/>
      <w:marTop w:val="0"/>
      <w:marBottom w:val="0"/>
      <w:divBdr>
        <w:top w:val="none" w:sz="0" w:space="0" w:color="auto"/>
        <w:left w:val="none" w:sz="0" w:space="0" w:color="auto"/>
        <w:bottom w:val="none" w:sz="0" w:space="0" w:color="auto"/>
        <w:right w:val="none" w:sz="0" w:space="0" w:color="auto"/>
      </w:divBdr>
    </w:div>
    <w:div w:id="15647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dec/2025/1314/oj" TargetMode="External"/><Relationship Id="rId1" Type="http://schemas.openxmlformats.org/officeDocument/2006/relationships/hyperlink" Target="https://eur-lex.europa.eu/legal-content/EL/TXT/?uri=COM%3A2022%3A581%3AFIN&amp;qid=1667989438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A14D0-397B-448A-94B4-B09172AA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5</Pages>
  <Words>1360</Words>
  <Characters>7685</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2025-08-28T10:26:00Z</dcterms:created>
  <dcterms:modified xsi:type="dcterms:W3CDTF">2025-09-23T08:31:00Z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2025-08-26T08:11:05Z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485a4f42-67e2-4e27-9253-bd5cb948091a</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Category">
    <vt:lpwstr>COM/ANNEX</vt:lpwstr>
  </property>
  <property fmtid="{D5CDD505-2E9C-101B-9397-08002B2CF9AE}" pid="12" name="Last edited using">
    <vt:lpwstr>LW 9.1, Build 20240808</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0</vt:lpwstr>
  </property>
  <property fmtid="{D5CDD505-2E9C-101B-9397-08002B2CF9AE}" pid="16" name="Part">
    <vt:lpwstr>1</vt:lpwstr>
  </property>
  <property fmtid="{D5CDD505-2E9C-101B-9397-08002B2CF9AE}" pid="17" name="Total parts">
    <vt:lpwstr>1</vt:lpwstr>
  </property>
  <property fmtid="{D5CDD505-2E9C-101B-9397-08002B2CF9AE}" pid="18" name="LWTemplateID">
    <vt:lpwstr>SG-017</vt:lpwstr>
  </property>
  <property fmtid="{D5CDD505-2E9C-101B-9397-08002B2CF9AE}" pid="19" name="DQCStatus">
    <vt:lpwstr>Yellow (DQC version 03)</vt:lpwstr>
  </property>
</Properties>
</file>