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B3F8A" w14:textId="5BC6E6FE" w:rsidR="00120609" w:rsidRDefault="003D613E" w:rsidP="003D613E">
      <w:pPr>
        <w:pStyle w:val="Pagedecouverture"/>
        <w:rPr>
          <w:noProof/>
        </w:rPr>
      </w:pPr>
      <w:bookmarkStart w:id="0" w:name="LW_BM_COVERPAGE"/>
      <w:r>
        <w:rPr>
          <w:noProof/>
        </w:rPr>
        <w:pict w14:anchorId="64D92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2CC00AF-8B08-4A3A-B7FD-F47E3824A496" style="width:455.25pt;height:310.5pt">
            <v:imagedata r:id="rId14" o:title=""/>
          </v:shape>
        </w:pict>
      </w:r>
    </w:p>
    <w:bookmarkEnd w:id="0"/>
    <w:p w14:paraId="2F8959F3" w14:textId="77777777" w:rsidR="00120609" w:rsidRDefault="00120609" w:rsidP="00120609">
      <w:pPr>
        <w:rPr>
          <w:noProof/>
        </w:rPr>
        <w:sectPr w:rsidR="00120609" w:rsidSect="003D613E">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134" w:right="1417" w:bottom="1134" w:left="1417" w:header="709" w:footer="709" w:gutter="0"/>
          <w:pgNumType w:start="0"/>
          <w:cols w:space="720"/>
          <w:docGrid w:linePitch="326"/>
        </w:sectPr>
      </w:pPr>
    </w:p>
    <w:bookmarkStart w:id="1" w:name="_GoBack" w:displacedByCustomXml="next"/>
    <w:bookmarkEnd w:id="1" w:displacedByCustomXml="next"/>
    <w:sdt>
      <w:sdtPr>
        <w:rPr>
          <w:noProof/>
        </w:rPr>
        <w:alias w:val="Dato og sted – Dato og sted"/>
        <w:tag w:val="ggweWNz4R2PF8myPezMsmJ-K2Txzjz3BnDlHGLgdXd1g5"/>
        <w:id w:val="2062590895"/>
        <w:showingPlcHdr/>
      </w:sdtPr>
      <w:sdtEndPr/>
      <w:sdtContent>
        <w:p w14:paraId="7A4D95C2" w14:textId="5DC54C81" w:rsidR="00031D8E" w:rsidRDefault="00120609" w:rsidP="00120609">
          <w:pPr>
            <w:pStyle w:val="Date"/>
            <w:rPr>
              <w:noProof/>
            </w:rPr>
          </w:pPr>
          <w:r>
            <w:rPr>
              <w:noProof/>
            </w:rPr>
            <w:t xml:space="preserve"> </w:t>
          </w:r>
        </w:p>
      </w:sdtContent>
    </w:sdt>
    <w:sdt>
      <w:sdtPr>
        <w:rPr>
          <w:rFonts w:ascii="Times New Roman" w:hAnsi="Times New Roman"/>
          <w:b w:val="0"/>
          <w:caps w:val="0"/>
          <w:noProof/>
        </w:rPr>
        <w:id w:val="2075928494"/>
        <w:docPartObj>
          <w:docPartGallery w:val="Table of Contents"/>
          <w:docPartUnique/>
        </w:docPartObj>
      </w:sdtPr>
      <w:sdtEndPr>
        <w:rPr>
          <w:bCs/>
        </w:rPr>
      </w:sdtEndPr>
      <w:sdtContent>
        <w:p w14:paraId="7BDBBF7E" w14:textId="09B69E29" w:rsidR="00CD01C5" w:rsidRDefault="00CD01C5">
          <w:pPr>
            <w:pStyle w:val="TOCHeading"/>
            <w:rPr>
              <w:noProof/>
            </w:rPr>
          </w:pPr>
          <w:r>
            <w:rPr>
              <w:noProof/>
            </w:rPr>
            <w:t>Indholdsfortegnelse</w:t>
          </w:r>
        </w:p>
        <w:p w14:paraId="40DD83A8" w14:textId="74092366" w:rsidR="00531304" w:rsidRDefault="00CD01C5">
          <w:pPr>
            <w:pStyle w:val="TOC1"/>
            <w:rPr>
              <w:rFonts w:asciiTheme="minorHAnsi" w:eastAsiaTheme="minorEastAsia" w:hAnsiTheme="minorHAnsi" w:cstheme="minorBidi"/>
              <w:noProof/>
              <w:kern w:val="2"/>
              <w:szCs w:val="24"/>
              <w:lang w:val="en-IE"/>
              <w14:ligatures w14:val="standardContextual"/>
            </w:rPr>
          </w:pPr>
          <w:r>
            <w:rPr>
              <w:noProof/>
            </w:rPr>
            <w:fldChar w:fldCharType="begin"/>
          </w:r>
          <w:r>
            <w:rPr>
              <w:noProof/>
            </w:rPr>
            <w:instrText xml:space="preserve"> TOC \o "1-3" \h \z \u </w:instrText>
          </w:r>
          <w:r>
            <w:rPr>
              <w:noProof/>
            </w:rPr>
            <w:fldChar w:fldCharType="separate"/>
          </w:r>
          <w:hyperlink w:anchor="_Toc209688070" w:history="1">
            <w:r w:rsidR="00531304" w:rsidRPr="00A45F4D">
              <w:rPr>
                <w:rStyle w:val="Hyperlink"/>
                <w:noProof/>
              </w:rPr>
              <w:t>1.</w:t>
            </w:r>
            <w:r w:rsidR="00531304">
              <w:rPr>
                <w:rFonts w:asciiTheme="minorHAnsi" w:eastAsiaTheme="minorEastAsia" w:hAnsiTheme="minorHAnsi" w:cstheme="minorBidi"/>
                <w:noProof/>
                <w:kern w:val="2"/>
                <w:szCs w:val="24"/>
                <w:lang w:val="en-IE"/>
                <w14:ligatures w14:val="standardContextual"/>
              </w:rPr>
              <w:tab/>
            </w:r>
            <w:r w:rsidR="00531304" w:rsidRPr="00A45F4D">
              <w:rPr>
                <w:rStyle w:val="Hyperlink"/>
                <w:noProof/>
              </w:rPr>
              <w:t>Indledning</w:t>
            </w:r>
            <w:r w:rsidR="00531304">
              <w:rPr>
                <w:noProof/>
                <w:webHidden/>
              </w:rPr>
              <w:tab/>
            </w:r>
            <w:r w:rsidR="00531304">
              <w:rPr>
                <w:noProof/>
                <w:webHidden/>
              </w:rPr>
              <w:fldChar w:fldCharType="begin"/>
            </w:r>
            <w:r w:rsidR="00531304">
              <w:rPr>
                <w:noProof/>
                <w:webHidden/>
              </w:rPr>
              <w:instrText xml:space="preserve"> PAGEREF _Toc209688070 \h </w:instrText>
            </w:r>
            <w:r w:rsidR="00531304">
              <w:rPr>
                <w:noProof/>
                <w:webHidden/>
              </w:rPr>
            </w:r>
            <w:r w:rsidR="00531304">
              <w:rPr>
                <w:noProof/>
                <w:webHidden/>
              </w:rPr>
              <w:fldChar w:fldCharType="separate"/>
            </w:r>
            <w:r w:rsidR="00531304">
              <w:rPr>
                <w:noProof/>
                <w:webHidden/>
              </w:rPr>
              <w:t>2</w:t>
            </w:r>
            <w:r w:rsidR="00531304">
              <w:rPr>
                <w:noProof/>
                <w:webHidden/>
              </w:rPr>
              <w:fldChar w:fldCharType="end"/>
            </w:r>
          </w:hyperlink>
        </w:p>
        <w:p w14:paraId="0D10884B" w14:textId="7D520878" w:rsidR="00531304" w:rsidRDefault="003D613E">
          <w:pPr>
            <w:pStyle w:val="TOC1"/>
            <w:rPr>
              <w:rFonts w:asciiTheme="minorHAnsi" w:eastAsiaTheme="minorEastAsia" w:hAnsiTheme="minorHAnsi" w:cstheme="minorBidi"/>
              <w:noProof/>
              <w:kern w:val="2"/>
              <w:szCs w:val="24"/>
              <w:lang w:val="en-IE"/>
              <w14:ligatures w14:val="standardContextual"/>
            </w:rPr>
          </w:pPr>
          <w:hyperlink w:anchor="_Toc209688071" w:history="1">
            <w:r w:rsidR="00531304" w:rsidRPr="00A45F4D">
              <w:rPr>
                <w:rStyle w:val="Hyperlink"/>
                <w:noProof/>
              </w:rPr>
              <w:t>2.</w:t>
            </w:r>
            <w:r w:rsidR="00531304">
              <w:rPr>
                <w:rFonts w:asciiTheme="minorHAnsi" w:eastAsiaTheme="minorEastAsia" w:hAnsiTheme="minorHAnsi" w:cstheme="minorBidi"/>
                <w:noProof/>
                <w:kern w:val="2"/>
                <w:szCs w:val="24"/>
                <w:lang w:val="en-IE"/>
                <w14:ligatures w14:val="standardContextual"/>
              </w:rPr>
              <w:tab/>
            </w:r>
            <w:r w:rsidR="00531304" w:rsidRPr="00A45F4D">
              <w:rPr>
                <w:rStyle w:val="Hyperlink"/>
                <w:noProof/>
              </w:rPr>
              <w:t>De globale rammer for ydelsen af bistand</w:t>
            </w:r>
            <w:r w:rsidR="00531304">
              <w:rPr>
                <w:noProof/>
                <w:webHidden/>
              </w:rPr>
              <w:tab/>
            </w:r>
            <w:r w:rsidR="00531304">
              <w:rPr>
                <w:noProof/>
                <w:webHidden/>
              </w:rPr>
              <w:fldChar w:fldCharType="begin"/>
            </w:r>
            <w:r w:rsidR="00531304">
              <w:rPr>
                <w:noProof/>
                <w:webHidden/>
              </w:rPr>
              <w:instrText xml:space="preserve"> PAGEREF _Toc209688071 \h </w:instrText>
            </w:r>
            <w:r w:rsidR="00531304">
              <w:rPr>
                <w:noProof/>
                <w:webHidden/>
              </w:rPr>
            </w:r>
            <w:r w:rsidR="00531304">
              <w:rPr>
                <w:noProof/>
                <w:webHidden/>
              </w:rPr>
              <w:fldChar w:fldCharType="separate"/>
            </w:r>
            <w:r w:rsidR="00531304">
              <w:rPr>
                <w:noProof/>
                <w:webHidden/>
              </w:rPr>
              <w:t>2</w:t>
            </w:r>
            <w:r w:rsidR="00531304">
              <w:rPr>
                <w:noProof/>
                <w:webHidden/>
              </w:rPr>
              <w:fldChar w:fldCharType="end"/>
            </w:r>
          </w:hyperlink>
        </w:p>
        <w:p w14:paraId="4E496AEE" w14:textId="69C2A520" w:rsidR="00531304" w:rsidRDefault="003D613E">
          <w:pPr>
            <w:pStyle w:val="TOC2"/>
            <w:tabs>
              <w:tab w:val="left" w:pos="1916"/>
            </w:tabs>
            <w:rPr>
              <w:rFonts w:asciiTheme="minorHAnsi" w:eastAsiaTheme="minorEastAsia" w:hAnsiTheme="minorHAnsi" w:cstheme="minorBidi"/>
              <w:kern w:val="2"/>
              <w:szCs w:val="24"/>
              <w:lang w:val="en-IE"/>
              <w14:ligatures w14:val="standardContextual"/>
            </w:rPr>
          </w:pPr>
          <w:hyperlink w:anchor="_Toc209688072" w:history="1">
            <w:r w:rsidR="00531304" w:rsidRPr="00A45F4D">
              <w:rPr>
                <w:rStyle w:val="Hyperlink"/>
              </w:rPr>
              <w:t>2.1.</w:t>
            </w:r>
            <w:r w:rsidR="00531304">
              <w:rPr>
                <w:rFonts w:asciiTheme="minorHAnsi" w:eastAsiaTheme="minorEastAsia" w:hAnsiTheme="minorHAnsi" w:cstheme="minorBidi"/>
                <w:kern w:val="2"/>
                <w:szCs w:val="24"/>
                <w:lang w:val="en-IE"/>
                <w14:ligatures w14:val="standardContextual"/>
              </w:rPr>
              <w:tab/>
            </w:r>
            <w:r w:rsidR="00531304" w:rsidRPr="00A45F4D">
              <w:rPr>
                <w:rStyle w:val="Hyperlink"/>
              </w:rPr>
              <w:t>Østlige nabolande og Tyrkiet</w:t>
            </w:r>
            <w:r w:rsidR="00531304">
              <w:rPr>
                <w:webHidden/>
              </w:rPr>
              <w:tab/>
            </w:r>
            <w:r w:rsidR="00531304">
              <w:rPr>
                <w:webHidden/>
              </w:rPr>
              <w:fldChar w:fldCharType="begin"/>
            </w:r>
            <w:r w:rsidR="00531304">
              <w:rPr>
                <w:webHidden/>
              </w:rPr>
              <w:instrText xml:space="preserve"> PAGEREF _Toc209688072 \h </w:instrText>
            </w:r>
            <w:r w:rsidR="00531304">
              <w:rPr>
                <w:webHidden/>
              </w:rPr>
            </w:r>
            <w:r w:rsidR="00531304">
              <w:rPr>
                <w:webHidden/>
              </w:rPr>
              <w:fldChar w:fldCharType="separate"/>
            </w:r>
            <w:r w:rsidR="00531304">
              <w:rPr>
                <w:webHidden/>
              </w:rPr>
              <w:t>4</w:t>
            </w:r>
            <w:r w:rsidR="00531304">
              <w:rPr>
                <w:webHidden/>
              </w:rPr>
              <w:fldChar w:fldCharType="end"/>
            </w:r>
          </w:hyperlink>
        </w:p>
        <w:p w14:paraId="71980373" w14:textId="5F41CC88" w:rsidR="00531304" w:rsidRDefault="003D613E">
          <w:pPr>
            <w:pStyle w:val="TOC2"/>
            <w:tabs>
              <w:tab w:val="left" w:pos="1916"/>
            </w:tabs>
            <w:rPr>
              <w:rFonts w:asciiTheme="minorHAnsi" w:eastAsiaTheme="minorEastAsia" w:hAnsiTheme="minorHAnsi" w:cstheme="minorBidi"/>
              <w:kern w:val="2"/>
              <w:szCs w:val="24"/>
              <w:lang w:val="en-IE"/>
              <w14:ligatures w14:val="standardContextual"/>
            </w:rPr>
          </w:pPr>
          <w:hyperlink w:anchor="_Toc209688073" w:history="1">
            <w:r w:rsidR="00531304" w:rsidRPr="00A45F4D">
              <w:rPr>
                <w:rStyle w:val="Hyperlink"/>
              </w:rPr>
              <w:t>2.2.</w:t>
            </w:r>
            <w:r w:rsidR="00531304">
              <w:rPr>
                <w:rFonts w:asciiTheme="minorHAnsi" w:eastAsiaTheme="minorEastAsia" w:hAnsiTheme="minorHAnsi" w:cstheme="minorBidi"/>
                <w:kern w:val="2"/>
                <w:szCs w:val="24"/>
                <w:lang w:val="en-IE"/>
                <w14:ligatures w14:val="standardContextual"/>
              </w:rPr>
              <w:tab/>
            </w:r>
            <w:r w:rsidR="00531304" w:rsidRPr="00A45F4D">
              <w:rPr>
                <w:rStyle w:val="Hyperlink"/>
              </w:rPr>
              <w:t>Mellemøsten og Nordafrika</w:t>
            </w:r>
            <w:r w:rsidR="00531304">
              <w:rPr>
                <w:webHidden/>
              </w:rPr>
              <w:tab/>
            </w:r>
            <w:r w:rsidR="00531304">
              <w:rPr>
                <w:webHidden/>
              </w:rPr>
              <w:fldChar w:fldCharType="begin"/>
            </w:r>
            <w:r w:rsidR="00531304">
              <w:rPr>
                <w:webHidden/>
              </w:rPr>
              <w:instrText xml:space="preserve"> PAGEREF _Toc209688073 \h </w:instrText>
            </w:r>
            <w:r w:rsidR="00531304">
              <w:rPr>
                <w:webHidden/>
              </w:rPr>
            </w:r>
            <w:r w:rsidR="00531304">
              <w:rPr>
                <w:webHidden/>
              </w:rPr>
              <w:fldChar w:fldCharType="separate"/>
            </w:r>
            <w:r w:rsidR="00531304">
              <w:rPr>
                <w:webHidden/>
              </w:rPr>
              <w:t>4</w:t>
            </w:r>
            <w:r w:rsidR="00531304">
              <w:rPr>
                <w:webHidden/>
              </w:rPr>
              <w:fldChar w:fldCharType="end"/>
            </w:r>
          </w:hyperlink>
        </w:p>
        <w:p w14:paraId="6FC94E8E" w14:textId="663DBA4F" w:rsidR="00531304" w:rsidRDefault="003D613E">
          <w:pPr>
            <w:pStyle w:val="TOC2"/>
            <w:tabs>
              <w:tab w:val="left" w:pos="1916"/>
            </w:tabs>
            <w:rPr>
              <w:rFonts w:asciiTheme="minorHAnsi" w:eastAsiaTheme="minorEastAsia" w:hAnsiTheme="minorHAnsi" w:cstheme="minorBidi"/>
              <w:kern w:val="2"/>
              <w:szCs w:val="24"/>
              <w:lang w:val="en-IE"/>
              <w14:ligatures w14:val="standardContextual"/>
            </w:rPr>
          </w:pPr>
          <w:hyperlink w:anchor="_Toc209688074" w:history="1">
            <w:r w:rsidR="00531304" w:rsidRPr="00A45F4D">
              <w:rPr>
                <w:rStyle w:val="Hyperlink"/>
              </w:rPr>
              <w:t>2.3.</w:t>
            </w:r>
            <w:r w:rsidR="00531304">
              <w:rPr>
                <w:rFonts w:asciiTheme="minorHAnsi" w:eastAsiaTheme="minorEastAsia" w:hAnsiTheme="minorHAnsi" w:cstheme="minorBidi"/>
                <w:kern w:val="2"/>
                <w:szCs w:val="24"/>
                <w:lang w:val="en-IE"/>
                <w14:ligatures w14:val="standardContextual"/>
              </w:rPr>
              <w:tab/>
            </w:r>
            <w:r w:rsidR="00531304" w:rsidRPr="00A45F4D">
              <w:rPr>
                <w:rStyle w:val="Hyperlink"/>
              </w:rPr>
              <w:t>Sydvestasien og Den Arabiske Halvø</w:t>
            </w:r>
            <w:r w:rsidR="00531304">
              <w:rPr>
                <w:webHidden/>
              </w:rPr>
              <w:tab/>
            </w:r>
            <w:r w:rsidR="00531304">
              <w:rPr>
                <w:webHidden/>
              </w:rPr>
              <w:fldChar w:fldCharType="begin"/>
            </w:r>
            <w:r w:rsidR="00531304">
              <w:rPr>
                <w:webHidden/>
              </w:rPr>
              <w:instrText xml:space="preserve"> PAGEREF _Toc209688074 \h </w:instrText>
            </w:r>
            <w:r w:rsidR="00531304">
              <w:rPr>
                <w:webHidden/>
              </w:rPr>
            </w:r>
            <w:r w:rsidR="00531304">
              <w:rPr>
                <w:webHidden/>
              </w:rPr>
              <w:fldChar w:fldCharType="separate"/>
            </w:r>
            <w:r w:rsidR="00531304">
              <w:rPr>
                <w:webHidden/>
              </w:rPr>
              <w:t>5</w:t>
            </w:r>
            <w:r w:rsidR="00531304">
              <w:rPr>
                <w:webHidden/>
              </w:rPr>
              <w:fldChar w:fldCharType="end"/>
            </w:r>
          </w:hyperlink>
        </w:p>
        <w:p w14:paraId="18D7A07D" w14:textId="68C02ACD" w:rsidR="00531304" w:rsidRDefault="003D613E">
          <w:pPr>
            <w:pStyle w:val="TOC2"/>
            <w:tabs>
              <w:tab w:val="left" w:pos="1916"/>
            </w:tabs>
            <w:rPr>
              <w:rFonts w:asciiTheme="minorHAnsi" w:eastAsiaTheme="minorEastAsia" w:hAnsiTheme="minorHAnsi" w:cstheme="minorBidi"/>
              <w:kern w:val="2"/>
              <w:szCs w:val="24"/>
              <w:lang w:val="en-IE"/>
              <w14:ligatures w14:val="standardContextual"/>
            </w:rPr>
          </w:pPr>
          <w:hyperlink w:anchor="_Toc209688075" w:history="1">
            <w:r w:rsidR="00531304" w:rsidRPr="00A45F4D">
              <w:rPr>
                <w:rStyle w:val="Hyperlink"/>
              </w:rPr>
              <w:t>2.4.</w:t>
            </w:r>
            <w:r w:rsidR="00531304">
              <w:rPr>
                <w:rFonts w:asciiTheme="minorHAnsi" w:eastAsiaTheme="minorEastAsia" w:hAnsiTheme="minorHAnsi" w:cstheme="minorBidi"/>
                <w:kern w:val="2"/>
                <w:szCs w:val="24"/>
                <w:lang w:val="en-IE"/>
                <w14:ligatures w14:val="standardContextual"/>
              </w:rPr>
              <w:tab/>
            </w:r>
            <w:r w:rsidR="00531304" w:rsidRPr="00A45F4D">
              <w:rPr>
                <w:rStyle w:val="Hyperlink"/>
              </w:rPr>
              <w:t>Det østlige og det sydlige Afrika</w:t>
            </w:r>
            <w:r w:rsidR="00531304">
              <w:rPr>
                <w:webHidden/>
              </w:rPr>
              <w:tab/>
            </w:r>
            <w:r w:rsidR="00531304">
              <w:rPr>
                <w:webHidden/>
              </w:rPr>
              <w:fldChar w:fldCharType="begin"/>
            </w:r>
            <w:r w:rsidR="00531304">
              <w:rPr>
                <w:webHidden/>
              </w:rPr>
              <w:instrText xml:space="preserve"> PAGEREF _Toc209688075 \h </w:instrText>
            </w:r>
            <w:r w:rsidR="00531304">
              <w:rPr>
                <w:webHidden/>
              </w:rPr>
            </w:r>
            <w:r w:rsidR="00531304">
              <w:rPr>
                <w:webHidden/>
              </w:rPr>
              <w:fldChar w:fldCharType="separate"/>
            </w:r>
            <w:r w:rsidR="00531304">
              <w:rPr>
                <w:webHidden/>
              </w:rPr>
              <w:t>5</w:t>
            </w:r>
            <w:r w:rsidR="00531304">
              <w:rPr>
                <w:webHidden/>
              </w:rPr>
              <w:fldChar w:fldCharType="end"/>
            </w:r>
          </w:hyperlink>
        </w:p>
        <w:p w14:paraId="23349B7A" w14:textId="1CCD4E77" w:rsidR="00531304" w:rsidRDefault="003D613E">
          <w:pPr>
            <w:pStyle w:val="TOC2"/>
            <w:tabs>
              <w:tab w:val="left" w:pos="1916"/>
            </w:tabs>
            <w:rPr>
              <w:rFonts w:asciiTheme="minorHAnsi" w:eastAsiaTheme="minorEastAsia" w:hAnsiTheme="minorHAnsi" w:cstheme="minorBidi"/>
              <w:kern w:val="2"/>
              <w:szCs w:val="24"/>
              <w:lang w:val="en-IE"/>
              <w14:ligatures w14:val="standardContextual"/>
            </w:rPr>
          </w:pPr>
          <w:hyperlink w:anchor="_Toc209688076" w:history="1">
            <w:r w:rsidR="00531304" w:rsidRPr="00A45F4D">
              <w:rPr>
                <w:rStyle w:val="Hyperlink"/>
              </w:rPr>
              <w:t>2.5.</w:t>
            </w:r>
            <w:r w:rsidR="00531304">
              <w:rPr>
                <w:rFonts w:asciiTheme="minorHAnsi" w:eastAsiaTheme="minorEastAsia" w:hAnsiTheme="minorHAnsi" w:cstheme="minorBidi"/>
                <w:kern w:val="2"/>
                <w:szCs w:val="24"/>
                <w:lang w:val="en-IE"/>
                <w14:ligatures w14:val="standardContextual"/>
              </w:rPr>
              <w:tab/>
            </w:r>
            <w:r w:rsidR="00531304" w:rsidRPr="00A45F4D">
              <w:rPr>
                <w:rStyle w:val="Hyperlink"/>
              </w:rPr>
              <w:t>Vest- og Centralafrika og De Store Søers Område</w:t>
            </w:r>
            <w:r w:rsidR="00531304">
              <w:rPr>
                <w:webHidden/>
              </w:rPr>
              <w:tab/>
            </w:r>
            <w:r w:rsidR="00531304">
              <w:rPr>
                <w:webHidden/>
              </w:rPr>
              <w:fldChar w:fldCharType="begin"/>
            </w:r>
            <w:r w:rsidR="00531304">
              <w:rPr>
                <w:webHidden/>
              </w:rPr>
              <w:instrText xml:space="preserve"> PAGEREF _Toc209688076 \h </w:instrText>
            </w:r>
            <w:r w:rsidR="00531304">
              <w:rPr>
                <w:webHidden/>
              </w:rPr>
            </w:r>
            <w:r w:rsidR="00531304">
              <w:rPr>
                <w:webHidden/>
              </w:rPr>
              <w:fldChar w:fldCharType="separate"/>
            </w:r>
            <w:r w:rsidR="00531304">
              <w:rPr>
                <w:webHidden/>
              </w:rPr>
              <w:t>5</w:t>
            </w:r>
            <w:r w:rsidR="00531304">
              <w:rPr>
                <w:webHidden/>
              </w:rPr>
              <w:fldChar w:fldCharType="end"/>
            </w:r>
          </w:hyperlink>
        </w:p>
        <w:p w14:paraId="343D5669" w14:textId="60E056C5" w:rsidR="00531304" w:rsidRDefault="003D613E">
          <w:pPr>
            <w:pStyle w:val="TOC2"/>
            <w:tabs>
              <w:tab w:val="left" w:pos="1916"/>
            </w:tabs>
            <w:rPr>
              <w:rFonts w:asciiTheme="minorHAnsi" w:eastAsiaTheme="minorEastAsia" w:hAnsiTheme="minorHAnsi" w:cstheme="minorBidi"/>
              <w:kern w:val="2"/>
              <w:szCs w:val="24"/>
              <w:lang w:val="en-IE"/>
              <w14:ligatures w14:val="standardContextual"/>
            </w:rPr>
          </w:pPr>
          <w:hyperlink w:anchor="_Toc209688077" w:history="1">
            <w:r w:rsidR="00531304" w:rsidRPr="00A45F4D">
              <w:rPr>
                <w:rStyle w:val="Hyperlink"/>
              </w:rPr>
              <w:t>2.6.</w:t>
            </w:r>
            <w:r w:rsidR="00531304">
              <w:rPr>
                <w:rFonts w:asciiTheme="minorHAnsi" w:eastAsiaTheme="minorEastAsia" w:hAnsiTheme="minorHAnsi" w:cstheme="minorBidi"/>
                <w:kern w:val="2"/>
                <w:szCs w:val="24"/>
                <w:lang w:val="en-IE"/>
                <w14:ligatures w14:val="standardContextual"/>
              </w:rPr>
              <w:tab/>
            </w:r>
            <w:r w:rsidR="00531304" w:rsidRPr="00A45F4D">
              <w:rPr>
                <w:rStyle w:val="Hyperlink"/>
              </w:rPr>
              <w:t>Sydøstasien og Stillehavsområdet</w:t>
            </w:r>
            <w:r w:rsidR="00531304">
              <w:rPr>
                <w:webHidden/>
              </w:rPr>
              <w:tab/>
            </w:r>
            <w:r w:rsidR="00531304">
              <w:rPr>
                <w:webHidden/>
              </w:rPr>
              <w:fldChar w:fldCharType="begin"/>
            </w:r>
            <w:r w:rsidR="00531304">
              <w:rPr>
                <w:webHidden/>
              </w:rPr>
              <w:instrText xml:space="preserve"> PAGEREF _Toc209688077 \h </w:instrText>
            </w:r>
            <w:r w:rsidR="00531304">
              <w:rPr>
                <w:webHidden/>
              </w:rPr>
            </w:r>
            <w:r w:rsidR="00531304">
              <w:rPr>
                <w:webHidden/>
              </w:rPr>
              <w:fldChar w:fldCharType="separate"/>
            </w:r>
            <w:r w:rsidR="00531304">
              <w:rPr>
                <w:webHidden/>
              </w:rPr>
              <w:t>6</w:t>
            </w:r>
            <w:r w:rsidR="00531304">
              <w:rPr>
                <w:webHidden/>
              </w:rPr>
              <w:fldChar w:fldCharType="end"/>
            </w:r>
          </w:hyperlink>
        </w:p>
        <w:p w14:paraId="3028D1BD" w14:textId="14D54E66" w:rsidR="00531304" w:rsidRDefault="003D613E">
          <w:pPr>
            <w:pStyle w:val="TOC2"/>
            <w:tabs>
              <w:tab w:val="left" w:pos="1916"/>
            </w:tabs>
            <w:rPr>
              <w:rFonts w:asciiTheme="minorHAnsi" w:eastAsiaTheme="minorEastAsia" w:hAnsiTheme="minorHAnsi" w:cstheme="minorBidi"/>
              <w:kern w:val="2"/>
              <w:szCs w:val="24"/>
              <w:lang w:val="en-IE"/>
              <w14:ligatures w14:val="standardContextual"/>
            </w:rPr>
          </w:pPr>
          <w:hyperlink w:anchor="_Toc209688078" w:history="1">
            <w:r w:rsidR="00531304" w:rsidRPr="00A45F4D">
              <w:rPr>
                <w:rStyle w:val="Hyperlink"/>
              </w:rPr>
              <w:t>2.7.</w:t>
            </w:r>
            <w:r w:rsidR="00531304">
              <w:rPr>
                <w:rFonts w:asciiTheme="minorHAnsi" w:eastAsiaTheme="minorEastAsia" w:hAnsiTheme="minorHAnsi" w:cstheme="minorBidi"/>
                <w:kern w:val="2"/>
                <w:szCs w:val="24"/>
                <w:lang w:val="en-IE"/>
                <w14:ligatures w14:val="standardContextual"/>
              </w:rPr>
              <w:tab/>
            </w:r>
            <w:r w:rsidR="00531304" w:rsidRPr="00A45F4D">
              <w:rPr>
                <w:rStyle w:val="Hyperlink"/>
              </w:rPr>
              <w:t>Nord-, Syd- og Mellemamerika og Caribien</w:t>
            </w:r>
            <w:r w:rsidR="00531304">
              <w:rPr>
                <w:webHidden/>
              </w:rPr>
              <w:tab/>
            </w:r>
            <w:r w:rsidR="00531304">
              <w:rPr>
                <w:webHidden/>
              </w:rPr>
              <w:fldChar w:fldCharType="begin"/>
            </w:r>
            <w:r w:rsidR="00531304">
              <w:rPr>
                <w:webHidden/>
              </w:rPr>
              <w:instrText xml:space="preserve"> PAGEREF _Toc209688078 \h </w:instrText>
            </w:r>
            <w:r w:rsidR="00531304">
              <w:rPr>
                <w:webHidden/>
              </w:rPr>
            </w:r>
            <w:r w:rsidR="00531304">
              <w:rPr>
                <w:webHidden/>
              </w:rPr>
              <w:fldChar w:fldCharType="separate"/>
            </w:r>
            <w:r w:rsidR="00531304">
              <w:rPr>
                <w:webHidden/>
              </w:rPr>
              <w:t>6</w:t>
            </w:r>
            <w:r w:rsidR="00531304">
              <w:rPr>
                <w:webHidden/>
              </w:rPr>
              <w:fldChar w:fldCharType="end"/>
            </w:r>
          </w:hyperlink>
        </w:p>
        <w:p w14:paraId="2903001A" w14:textId="4A06CAEA" w:rsidR="00531304" w:rsidRDefault="003D613E">
          <w:pPr>
            <w:pStyle w:val="TOC1"/>
            <w:rPr>
              <w:rFonts w:asciiTheme="minorHAnsi" w:eastAsiaTheme="minorEastAsia" w:hAnsiTheme="minorHAnsi" w:cstheme="minorBidi"/>
              <w:noProof/>
              <w:kern w:val="2"/>
              <w:szCs w:val="24"/>
              <w:lang w:val="en-IE"/>
              <w14:ligatures w14:val="standardContextual"/>
            </w:rPr>
          </w:pPr>
          <w:hyperlink w:anchor="_Toc209688079" w:history="1">
            <w:r w:rsidR="00531304" w:rsidRPr="00A45F4D">
              <w:rPr>
                <w:rStyle w:val="Hyperlink"/>
                <w:noProof/>
              </w:rPr>
              <w:t>3.</w:t>
            </w:r>
            <w:r w:rsidR="00531304">
              <w:rPr>
                <w:rFonts w:asciiTheme="minorHAnsi" w:eastAsiaTheme="minorEastAsia" w:hAnsiTheme="minorHAnsi" w:cstheme="minorBidi"/>
                <w:noProof/>
                <w:kern w:val="2"/>
                <w:szCs w:val="24"/>
                <w:lang w:val="en-IE"/>
                <w14:ligatures w14:val="standardContextual"/>
              </w:rPr>
              <w:tab/>
            </w:r>
            <w:r w:rsidR="00531304" w:rsidRPr="00A45F4D">
              <w:rPr>
                <w:rStyle w:val="Hyperlink"/>
                <w:noProof/>
              </w:rPr>
              <w:t>Ydelse af passende og effektiv humanitær bistand til berørte befolkningsgrupper</w:t>
            </w:r>
            <w:r w:rsidR="00531304">
              <w:rPr>
                <w:noProof/>
                <w:webHidden/>
              </w:rPr>
              <w:tab/>
            </w:r>
            <w:r w:rsidR="00531304">
              <w:rPr>
                <w:noProof/>
                <w:webHidden/>
              </w:rPr>
              <w:fldChar w:fldCharType="begin"/>
            </w:r>
            <w:r w:rsidR="00531304">
              <w:rPr>
                <w:noProof/>
                <w:webHidden/>
              </w:rPr>
              <w:instrText xml:space="preserve"> PAGEREF _Toc209688079 \h </w:instrText>
            </w:r>
            <w:r w:rsidR="00531304">
              <w:rPr>
                <w:noProof/>
                <w:webHidden/>
              </w:rPr>
            </w:r>
            <w:r w:rsidR="00531304">
              <w:rPr>
                <w:noProof/>
                <w:webHidden/>
              </w:rPr>
              <w:fldChar w:fldCharType="separate"/>
            </w:r>
            <w:r w:rsidR="00531304">
              <w:rPr>
                <w:noProof/>
                <w:webHidden/>
              </w:rPr>
              <w:t>6</w:t>
            </w:r>
            <w:r w:rsidR="00531304">
              <w:rPr>
                <w:noProof/>
                <w:webHidden/>
              </w:rPr>
              <w:fldChar w:fldCharType="end"/>
            </w:r>
          </w:hyperlink>
        </w:p>
        <w:p w14:paraId="7327A103" w14:textId="61739973" w:rsidR="00531304" w:rsidRDefault="003D613E">
          <w:pPr>
            <w:pStyle w:val="TOC1"/>
            <w:rPr>
              <w:rFonts w:asciiTheme="minorHAnsi" w:eastAsiaTheme="minorEastAsia" w:hAnsiTheme="minorHAnsi" w:cstheme="minorBidi"/>
              <w:noProof/>
              <w:kern w:val="2"/>
              <w:szCs w:val="24"/>
              <w:lang w:val="en-IE"/>
              <w14:ligatures w14:val="standardContextual"/>
            </w:rPr>
          </w:pPr>
          <w:hyperlink w:anchor="_Toc209688080" w:history="1">
            <w:r w:rsidR="00531304" w:rsidRPr="00A45F4D">
              <w:rPr>
                <w:rStyle w:val="Hyperlink"/>
                <w:noProof/>
              </w:rPr>
              <w:t>4.</w:t>
            </w:r>
            <w:r w:rsidR="00531304">
              <w:rPr>
                <w:rFonts w:asciiTheme="minorHAnsi" w:eastAsiaTheme="minorEastAsia" w:hAnsiTheme="minorHAnsi" w:cstheme="minorBidi"/>
                <w:noProof/>
                <w:kern w:val="2"/>
                <w:szCs w:val="24"/>
                <w:lang w:val="en-IE"/>
                <w14:ligatures w14:val="standardContextual"/>
              </w:rPr>
              <w:tab/>
            </w:r>
            <w:r w:rsidR="00531304" w:rsidRPr="00A45F4D">
              <w:rPr>
                <w:rStyle w:val="Hyperlink"/>
                <w:noProof/>
              </w:rPr>
              <w:t>Gennemgang af eksterne evalueringer af specifikke foranstaltninger</w:t>
            </w:r>
            <w:r w:rsidR="00531304">
              <w:rPr>
                <w:noProof/>
                <w:webHidden/>
              </w:rPr>
              <w:tab/>
            </w:r>
            <w:r w:rsidR="00531304">
              <w:rPr>
                <w:noProof/>
                <w:webHidden/>
              </w:rPr>
              <w:fldChar w:fldCharType="begin"/>
            </w:r>
            <w:r w:rsidR="00531304">
              <w:rPr>
                <w:noProof/>
                <w:webHidden/>
              </w:rPr>
              <w:instrText xml:space="preserve"> PAGEREF _Toc209688080 \h </w:instrText>
            </w:r>
            <w:r w:rsidR="00531304">
              <w:rPr>
                <w:noProof/>
                <w:webHidden/>
              </w:rPr>
            </w:r>
            <w:r w:rsidR="00531304">
              <w:rPr>
                <w:noProof/>
                <w:webHidden/>
              </w:rPr>
              <w:fldChar w:fldCharType="separate"/>
            </w:r>
            <w:r w:rsidR="00531304">
              <w:rPr>
                <w:noProof/>
                <w:webHidden/>
              </w:rPr>
              <w:t>9</w:t>
            </w:r>
            <w:r w:rsidR="00531304">
              <w:rPr>
                <w:noProof/>
                <w:webHidden/>
              </w:rPr>
              <w:fldChar w:fldCharType="end"/>
            </w:r>
          </w:hyperlink>
        </w:p>
        <w:p w14:paraId="5258D970" w14:textId="294CD511" w:rsidR="00531304" w:rsidRDefault="003D613E">
          <w:pPr>
            <w:pStyle w:val="TOC1"/>
            <w:rPr>
              <w:rFonts w:asciiTheme="minorHAnsi" w:eastAsiaTheme="minorEastAsia" w:hAnsiTheme="minorHAnsi" w:cstheme="minorBidi"/>
              <w:noProof/>
              <w:kern w:val="2"/>
              <w:szCs w:val="24"/>
              <w:lang w:val="en-IE"/>
              <w14:ligatures w14:val="standardContextual"/>
            </w:rPr>
          </w:pPr>
          <w:hyperlink w:anchor="_Toc209688081" w:history="1">
            <w:r w:rsidR="00531304" w:rsidRPr="00A45F4D">
              <w:rPr>
                <w:rStyle w:val="Hyperlink"/>
                <w:noProof/>
              </w:rPr>
              <w:t>5.</w:t>
            </w:r>
            <w:r w:rsidR="00531304">
              <w:rPr>
                <w:rFonts w:asciiTheme="minorHAnsi" w:eastAsiaTheme="minorEastAsia" w:hAnsiTheme="minorHAnsi" w:cstheme="minorBidi"/>
                <w:noProof/>
                <w:kern w:val="2"/>
                <w:szCs w:val="24"/>
                <w:lang w:val="en-IE"/>
                <w14:ligatures w14:val="standardContextual"/>
              </w:rPr>
              <w:tab/>
            </w:r>
            <w:r w:rsidR="00531304" w:rsidRPr="00A45F4D">
              <w:rPr>
                <w:rStyle w:val="Hyperlink"/>
                <w:noProof/>
              </w:rPr>
              <w:t>Relevante link</w:t>
            </w:r>
            <w:r w:rsidR="00531304">
              <w:rPr>
                <w:noProof/>
                <w:webHidden/>
              </w:rPr>
              <w:tab/>
            </w:r>
            <w:r w:rsidR="00531304">
              <w:rPr>
                <w:noProof/>
                <w:webHidden/>
              </w:rPr>
              <w:fldChar w:fldCharType="begin"/>
            </w:r>
            <w:r w:rsidR="00531304">
              <w:rPr>
                <w:noProof/>
                <w:webHidden/>
              </w:rPr>
              <w:instrText xml:space="preserve"> PAGEREF _Toc209688081 \h </w:instrText>
            </w:r>
            <w:r w:rsidR="00531304">
              <w:rPr>
                <w:noProof/>
                <w:webHidden/>
              </w:rPr>
            </w:r>
            <w:r w:rsidR="00531304">
              <w:rPr>
                <w:noProof/>
                <w:webHidden/>
              </w:rPr>
              <w:fldChar w:fldCharType="separate"/>
            </w:r>
            <w:r w:rsidR="00531304">
              <w:rPr>
                <w:noProof/>
                <w:webHidden/>
              </w:rPr>
              <w:t>9</w:t>
            </w:r>
            <w:r w:rsidR="00531304">
              <w:rPr>
                <w:noProof/>
                <w:webHidden/>
              </w:rPr>
              <w:fldChar w:fldCharType="end"/>
            </w:r>
          </w:hyperlink>
        </w:p>
        <w:p w14:paraId="2ED3054F" w14:textId="359A8683" w:rsidR="00031D8E" w:rsidRDefault="00CD01C5">
          <w:pPr>
            <w:rPr>
              <w:noProof/>
            </w:rPr>
          </w:pPr>
          <w:r>
            <w:rPr>
              <w:b/>
              <w:noProof/>
            </w:rPr>
            <w:fldChar w:fldCharType="end"/>
          </w:r>
        </w:p>
      </w:sdtContent>
    </w:sdt>
    <w:p w14:paraId="467D2401" w14:textId="4659B3A5" w:rsidR="00031D8E" w:rsidRDefault="00031D8E">
      <w:pPr>
        <w:spacing w:after="0"/>
        <w:jc w:val="left"/>
        <w:rPr>
          <w:noProof/>
        </w:rPr>
      </w:pPr>
    </w:p>
    <w:p w14:paraId="0ADE0CF6" w14:textId="77777777" w:rsidR="00031D8E" w:rsidRDefault="00031D8E" w:rsidP="35EF8932">
      <w:pPr>
        <w:spacing w:after="0"/>
        <w:jc w:val="left"/>
        <w:rPr>
          <w:b/>
          <w:bCs/>
          <w:smallCaps/>
          <w:noProof/>
          <w:highlight w:val="lightGray"/>
        </w:rPr>
      </w:pPr>
      <w:r>
        <w:rPr>
          <w:noProof/>
        </w:rPr>
        <w:br w:type="page"/>
      </w:r>
    </w:p>
    <w:p w14:paraId="2F4B0898" w14:textId="4FFF293E" w:rsidR="00031D8E" w:rsidRPr="00CD01C5" w:rsidRDefault="00031D8E" w:rsidP="00CD01C5">
      <w:pPr>
        <w:pStyle w:val="Heading1"/>
        <w:rPr>
          <w:noProof/>
        </w:rPr>
      </w:pPr>
      <w:bookmarkStart w:id="2" w:name="_Toc209688070"/>
      <w:r>
        <w:rPr>
          <w:noProof/>
        </w:rPr>
        <w:t>Indledning</w:t>
      </w:r>
      <w:bookmarkEnd w:id="2"/>
    </w:p>
    <w:p w14:paraId="064AB4B8" w14:textId="6D44D9AD" w:rsidR="00727FE6" w:rsidRDefault="00727FE6" w:rsidP="00727FE6">
      <w:pPr>
        <w:rPr>
          <w:noProof/>
        </w:rPr>
      </w:pPr>
      <w:r>
        <w:rPr>
          <w:noProof/>
        </w:rPr>
        <w:t xml:space="preserve">I denne beretning præsenteres Den Europæiske Unions vigtigste aktiviteter og politiske resultater på området for humanitær bistand i 2024, der blev gennemført og opnået gennem Europa-Kommissionens Generaldirektorat for Civilbeskyttelse og Humanitære Bistandsforanstaltninger på Europæisk Plan (GD ECHO). Beretningen er udarbejdet i henhold til artikel 19 i Rådets forordning (EF) nr. 1257/96 af 20. juni 1996 om humanitær bistand, i henhold til hvilken Kommissionen skal forelægge Europa-Parlamentet og Rådet en årsberetning, der indeholder et resumé af de foranstaltninger, som er finansieret i løbet af det foregående år. </w:t>
      </w:r>
    </w:p>
    <w:p w14:paraId="5425FA6E" w14:textId="49CDFC97" w:rsidR="00727FE6" w:rsidRDefault="00727FE6" w:rsidP="00727FE6">
      <w:pPr>
        <w:rPr>
          <w:noProof/>
        </w:rPr>
      </w:pPr>
      <w:r>
        <w:rPr>
          <w:noProof/>
        </w:rPr>
        <w:t xml:space="preserve">GD ECHO's mandat består i </w:t>
      </w:r>
      <w:r>
        <w:rPr>
          <w:b/>
          <w:noProof/>
        </w:rPr>
        <w:t>at bidrage til at redde og bevare liv, forebygge og lindre menneskelig lidelse og beskytte integriteten og den menneskelige værdighed hos befolkninger, der rammes af naturkatastrofer eller menneskeskabte katastrofer</w:t>
      </w:r>
      <w:r>
        <w:rPr>
          <w:noProof/>
        </w:rPr>
        <w:t>, som finder sted i eller uden for EU. Med henblik på at nå dette overordnede mål fungerer GD ECHO både som EU's humanitære bistandsyder og beredskabsorganisation. GD ECHO fungerer også som koordinator og facilitator for civilbeskyttelsesforanstaltninger på EU-plan gennem EU-civilbeskyttelsesmekanismen, der i vid udstrækning er aktiv uden for EU med levering af nødhjælp og humanitær bistand. Dermed supplerer den GD ECHO's humanitære bistandsforanstaltninger som beskrevet i dette dokument. GD ECHO's aktiviteter bidrager til gennemførelsen af Kommissionens politiske prioriteter: i) et stærkere Europa i verden, ii) en europæisk grøn pagt og iii) fremme af vores europæiske levevis, og i fremtiden: i) en ny tid for europæisk forsvar og sikkerhed, ii) opretholdelse af vores livskvalitet: fødevaresikkerhed, vand og natur, iii) et globalt Europa – udnyttelse af vores indflydelse og partnerskaber.</w:t>
      </w:r>
      <w:r w:rsidR="00531304">
        <w:rPr>
          <w:noProof/>
        </w:rPr>
        <w:t xml:space="preserve"> </w:t>
      </w:r>
    </w:p>
    <w:p w14:paraId="23738146" w14:textId="46FE948A" w:rsidR="00031D8E" w:rsidRPr="00031D8E" w:rsidRDefault="00727FE6" w:rsidP="00727FE6">
      <w:pPr>
        <w:rPr>
          <w:noProof/>
        </w:rPr>
      </w:pPr>
      <w:r>
        <w:rPr>
          <w:noProof/>
        </w:rPr>
        <w:t xml:space="preserve">Gennem GD ECHO yder EU humanitær bistand til mennesker i nød rundt om i verden på grundlag af de humanitære principper om </w:t>
      </w:r>
      <w:r>
        <w:rPr>
          <w:b/>
          <w:noProof/>
        </w:rPr>
        <w:t>medmenneskelighed, upartiskhed, uafhængighed, neutralitet</w:t>
      </w:r>
      <w:r>
        <w:rPr>
          <w:noProof/>
        </w:rPr>
        <w:t xml:space="preserve"> og ikkeforskelsbehandling, der er stadfæstet i artikel 214 i traktaten om Den Europæiske Unions funktionsmåde og i den europæiske konsensus om humanitær bistand(</w:t>
      </w:r>
      <w:r>
        <w:rPr>
          <w:rStyle w:val="FootnoteReference"/>
          <w:noProof/>
        </w:rPr>
        <w:footnoteReference w:id="2"/>
      </w:r>
      <w:r>
        <w:rPr>
          <w:noProof/>
        </w:rPr>
        <w:t>). EU's humanitære bistand fordeles med det formål at hjælpe dem, der har mest brug for det, uanset deres nationalitet, religion, køn, etniske oprindelse og politiske tilhørsforhold. Bistanden tager også specifikt sigte på behovene hos kvinder, børn, ældre, syge og personer med handicap (</w:t>
      </w:r>
      <w:r>
        <w:rPr>
          <w:rStyle w:val="FootnoteReference"/>
          <w:noProof/>
        </w:rPr>
        <w:footnoteReference w:id="3"/>
      </w:r>
      <w:r>
        <w:rPr>
          <w:noProof/>
        </w:rPr>
        <w:t>).</w:t>
      </w:r>
      <w:r w:rsidR="00531304">
        <w:rPr>
          <w:noProof/>
        </w:rPr>
        <w:t xml:space="preserve"> </w:t>
      </w:r>
    </w:p>
    <w:p w14:paraId="622BC7A6" w14:textId="63C015C4" w:rsidR="35EF8932" w:rsidRDefault="35EF8932">
      <w:pPr>
        <w:rPr>
          <w:noProof/>
        </w:rPr>
      </w:pPr>
    </w:p>
    <w:p w14:paraId="32381A20" w14:textId="2ED17459" w:rsidR="00031D8E" w:rsidRPr="00CD01C5" w:rsidRDefault="00031D8E" w:rsidP="00CD01C5">
      <w:pPr>
        <w:pStyle w:val="Heading1"/>
        <w:rPr>
          <w:noProof/>
        </w:rPr>
      </w:pPr>
      <w:bookmarkStart w:id="3" w:name="_Toc209688071"/>
      <w:r>
        <w:rPr>
          <w:noProof/>
        </w:rPr>
        <w:t>De globale rammer for ydelsen af bistand</w:t>
      </w:r>
      <w:bookmarkEnd w:id="3"/>
    </w:p>
    <w:p w14:paraId="3662EFE4" w14:textId="0EDDD221" w:rsidR="001731D8" w:rsidRPr="001731D8" w:rsidRDefault="003A13CA" w:rsidP="001731D8">
      <w:pPr>
        <w:pStyle w:val="Text1"/>
        <w:ind w:left="0"/>
        <w:rPr>
          <w:noProof/>
        </w:rPr>
      </w:pPr>
      <w:r>
        <w:rPr>
          <w:noProof/>
        </w:rPr>
        <w:t>2024 var endnu et år præget af omfattende behov for humanitær bistand globalt. Ifølge Global Humanitarian Overview 2024 fra FN's Kontor for Koordination af Humanitære Anliggender (OCHA)(</w:t>
      </w:r>
      <w:r>
        <w:rPr>
          <w:rStyle w:val="FootnoteReference"/>
          <w:noProof/>
          <w:lang w:val="en-IE"/>
        </w:rPr>
        <w:footnoteReference w:id="4"/>
      </w:r>
      <w:r>
        <w:rPr>
          <w:noProof/>
        </w:rPr>
        <w:t xml:space="preserve">) blev det anslået, at næsten </w:t>
      </w:r>
      <w:r>
        <w:rPr>
          <w:b/>
          <w:noProof/>
        </w:rPr>
        <w:t>300 millioner mennesker på verdensplan</w:t>
      </w:r>
      <w:r>
        <w:rPr>
          <w:noProof/>
        </w:rPr>
        <w:t xml:space="preserve"> havde behov for bistand og beskyttelse. Det anslås, at 122,6 millioner mennesker på verdensplan er blevet tvangsforflyttet som følge af voldelige konflikter, menneskeskabte katastrofer, naturkatastrofer og virkningerne af klimaforandringerne. Omkring 295,3 millioner mennesker oplever høje niveauer af akut fødevareusikkerhed i 53 lande eller territorier (</w:t>
      </w:r>
      <w:r>
        <w:rPr>
          <w:rStyle w:val="FootnoteReference"/>
          <w:noProof/>
        </w:rPr>
        <w:footnoteReference w:id="5"/>
      </w:r>
      <w:r>
        <w:rPr>
          <w:noProof/>
        </w:rPr>
        <w:t xml:space="preserve">). Børn er fortsat blandt de mest sårbare grupper, og den stigende tendens til </w:t>
      </w:r>
      <w:r>
        <w:rPr>
          <w:b/>
          <w:noProof/>
        </w:rPr>
        <w:t>alvorlige krænkelser af børn</w:t>
      </w:r>
      <w:r>
        <w:rPr>
          <w:noProof/>
        </w:rPr>
        <w:t xml:space="preserve"> i situationer med væbnede konflikter er særligt bekymrende.</w:t>
      </w:r>
      <w:r w:rsidR="00531304">
        <w:rPr>
          <w:noProof/>
        </w:rPr>
        <w:t xml:space="preserve"> </w:t>
      </w:r>
    </w:p>
    <w:p w14:paraId="6F3FE9AA" w14:textId="304196FC" w:rsidR="001731D8" w:rsidRDefault="15CAA0EE" w:rsidP="0E4A6284">
      <w:pPr>
        <w:pStyle w:val="Text1"/>
        <w:ind w:left="0"/>
        <w:rPr>
          <w:noProof/>
        </w:rPr>
      </w:pPr>
      <w:r>
        <w:rPr>
          <w:noProof/>
        </w:rPr>
        <w:t xml:space="preserve">Ruslands angrebskrig mod Ukraine havde fortsat en ødelæggende indvirkning på civilbefolkningen. Mere end 14,6 millioner ukrainere havde brug for humanitær bistand. I Gazastriben er de humanitære behov enorme i alle sektorer. Hele Gazas befolkning (2,1 millioner) er udsat for sikkerheds- og beskyttelsesrisici, og der er fare for hungersnød. I hele Sudan oplever 24,6 millioner mennesker, svarende til over halvdelen af befolkningen, akut fødevareusikkerhed, og der er hungersnød i mindst fem områder. De komplekse kriser i Myanmar, Afghanistan, Haiti, Den Demokratiske Republik Congo og på Afrikas Horn samt den langvarige krise i Sahelregionen, Yemen, Colombia og Venezuela understreger yderligere de alvorlige udfordringer, som sårbare befolkningsgrupper befinder sig i globalt. Disse konflikter og kriser næres yderligere af skrøbelighed, fejlslagen regeringsførelse, strukturel fattigdom og fortsat udbredte </w:t>
      </w:r>
      <w:r>
        <w:rPr>
          <w:b/>
          <w:noProof/>
        </w:rPr>
        <w:t>overtrædelser af</w:t>
      </w:r>
      <w:r>
        <w:rPr>
          <w:noProof/>
        </w:rPr>
        <w:t xml:space="preserve"> </w:t>
      </w:r>
      <w:r>
        <w:rPr>
          <w:b/>
          <w:noProof/>
        </w:rPr>
        <w:t>den humanitære folkeret.</w:t>
      </w:r>
      <w:r w:rsidR="00531304">
        <w:rPr>
          <w:noProof/>
        </w:rPr>
        <w:t xml:space="preserve"> </w:t>
      </w:r>
    </w:p>
    <w:p w14:paraId="4BB27306" w14:textId="519F6496" w:rsidR="006243DF" w:rsidRDefault="006243DF" w:rsidP="001731D8">
      <w:pPr>
        <w:pStyle w:val="Text1"/>
        <w:ind w:left="0"/>
        <w:rPr>
          <w:noProof/>
        </w:rPr>
      </w:pPr>
      <w:r>
        <w:rPr>
          <w:noProof/>
        </w:rPr>
        <w:t>Det er fortsat en udfordring at levere humanitær bistand på grund af en voksende mangel på finansiering og bekymringer for hjælpearbejderes sikkerhed. Finansieringskløften mellem de humanitære behov og de disponible midler steg fra et underskud på 36,8 mia. USD i 2023 til et underskud på 38,5 mia. USD ved udgangen af 2024(</w:t>
      </w:r>
      <w:r>
        <w:rPr>
          <w:rStyle w:val="FootnoteReference"/>
          <w:noProof/>
        </w:rPr>
        <w:footnoteReference w:id="6"/>
      </w:r>
      <w:r>
        <w:rPr>
          <w:noProof/>
        </w:rPr>
        <w:t xml:space="preserve">). Det humanitære personale oplever også </w:t>
      </w:r>
      <w:r>
        <w:rPr>
          <w:b/>
          <w:noProof/>
        </w:rPr>
        <w:t>uforudsigelighed, volatilitet, usikkerhed og tilsidesættelse af den humanitære folkeret</w:t>
      </w:r>
      <w:r>
        <w:rPr>
          <w:noProof/>
        </w:rPr>
        <w:t>. 2024 var det dødeligste år, der nogensinde er registreret for humanitære hjælpearbejdere, med 281 dræbte hjælpearbejdere på verdensplan (</w:t>
      </w:r>
      <w:r>
        <w:rPr>
          <w:rStyle w:val="FootnoteReference"/>
          <w:noProof/>
        </w:rPr>
        <w:footnoteReference w:id="7"/>
      </w:r>
      <w:r>
        <w:rPr>
          <w:noProof/>
        </w:rPr>
        <w:t xml:space="preserve">). </w:t>
      </w:r>
      <w:r>
        <w:rPr>
          <w:b/>
          <w:noProof/>
        </w:rPr>
        <w:t xml:space="preserve">Begrænset eller nægtet adgang </w:t>
      </w:r>
      <w:r>
        <w:rPr>
          <w:noProof/>
        </w:rPr>
        <w:t xml:space="preserve">hæmmer leveringen af humanitær bistand til mennesker i nød og komplicerer gennemførelsen af nødvendige kontrolforanstaltninger såsom overvågning på stedet og behovsvurderinger. </w:t>
      </w:r>
    </w:p>
    <w:p w14:paraId="574F929D" w14:textId="2864B27F" w:rsidR="00F2198E" w:rsidRDefault="001731D8" w:rsidP="00F2198E">
      <w:pPr>
        <w:pStyle w:val="Text1"/>
        <w:ind w:left="0"/>
        <w:rPr>
          <w:noProof/>
        </w:rPr>
      </w:pPr>
      <w:r>
        <w:rPr>
          <w:noProof/>
        </w:rPr>
        <w:t xml:space="preserve">På trods af disse </w:t>
      </w:r>
      <w:r>
        <w:rPr>
          <w:b/>
          <w:noProof/>
        </w:rPr>
        <w:t>udfordringer</w:t>
      </w:r>
      <w:r>
        <w:rPr>
          <w:noProof/>
        </w:rPr>
        <w:t xml:space="preserve"> lykkedes det Kommissionen </w:t>
      </w:r>
      <w:r>
        <w:rPr>
          <w:b/>
          <w:noProof/>
        </w:rPr>
        <w:t>at nå sine mål</w:t>
      </w:r>
      <w:r>
        <w:rPr>
          <w:noProof/>
        </w:rPr>
        <w:t xml:space="preserve"> i henhold til de prioriteter og nøgleaktioner, der er skitseret i Kommissionens meddelelse om EU's humanitære indsats, som blev vedtaget i marts 2021(</w:t>
      </w:r>
      <w:r>
        <w:rPr>
          <w:rStyle w:val="FootnoteReference"/>
          <w:noProof/>
        </w:rPr>
        <w:footnoteReference w:id="8"/>
      </w:r>
      <w:r>
        <w:rPr>
          <w:noProof/>
        </w:rPr>
        <w:t>). I 2024 ydede EU's humanitære bistand behovsbaseret, principbaseret nødhjælp og katastrofeberedskabsstøtte til mennesker i 116 lande verden over med fokus på de mest sårbare (</w:t>
      </w:r>
      <w:r>
        <w:rPr>
          <w:rStyle w:val="FootnoteReference"/>
          <w:noProof/>
          <w:lang w:val="en-IE"/>
        </w:rPr>
        <w:footnoteReference w:id="9"/>
      </w:r>
      <w:r>
        <w:rPr>
          <w:noProof/>
        </w:rPr>
        <w:t xml:space="preserve">). </w:t>
      </w:r>
    </w:p>
    <w:p w14:paraId="1C4432DF" w14:textId="581B301E" w:rsidR="00F2198E" w:rsidRDefault="7487F03C" w:rsidP="00F2198E">
      <w:pPr>
        <w:pStyle w:val="Text1"/>
        <w:ind w:left="0"/>
        <w:rPr>
          <w:noProof/>
        </w:rPr>
      </w:pPr>
      <w:r>
        <w:rPr>
          <w:noProof/>
        </w:rPr>
        <w:t>Tilsammen er EU og medlemsstaterne en af verdens største donorer af humanitær bistand og tegner sig for ca. 27,4 % af de globale forpligtede humanitære bistandsbidrag. Kommissionen yder 8 % af den globale humanitære finansiering(</w:t>
      </w:r>
      <w:r>
        <w:rPr>
          <w:rStyle w:val="FootnoteReference"/>
          <w:noProof/>
          <w:lang w:val="en-IE"/>
        </w:rPr>
        <w:footnoteReference w:id="10"/>
      </w:r>
      <w:r>
        <w:rPr>
          <w:noProof/>
        </w:rPr>
        <w:t xml:space="preserve">). Det oprindelige budget blev fastsat til </w:t>
      </w:r>
      <w:r>
        <w:rPr>
          <w:b/>
          <w:noProof/>
        </w:rPr>
        <w:t>1,89 mia. EUR</w:t>
      </w:r>
      <w:r>
        <w:rPr>
          <w:noProof/>
        </w:rPr>
        <w:t xml:space="preserve"> i 2024, hvilket gør det muligt for EU at gribe ind i både store humanitære kriser – herunder i Ukraine, Palæstina(</w:t>
      </w:r>
      <w:r>
        <w:rPr>
          <w:rStyle w:val="FootnoteReference"/>
          <w:noProof/>
          <w:lang w:val="en-IE"/>
        </w:rPr>
        <w:footnoteReference w:id="11"/>
      </w:r>
      <w:r>
        <w:rPr>
          <w:noProof/>
        </w:rPr>
        <w:t>) og Sudan – samt at afsætte 22 % af det oprindelige budget til glemte kriser, dvs. kriser af alvorlig og langvarig karakter, hvor den internationale bistand til de berørte befolkninger er utilstrækkelig, f.eks. i Filippinerne, Haiti, Mozambique eller den vestsahariske krise. Efter flere budgetforhøjelser</w:t>
      </w:r>
      <w:r>
        <w:rPr>
          <w:noProof/>
          <w:vertAlign w:val="superscript"/>
        </w:rPr>
        <w:t xml:space="preserve"> (10)</w:t>
      </w:r>
      <w:r>
        <w:rPr>
          <w:noProof/>
        </w:rPr>
        <w:t xml:space="preserve"> oversteg det endelige årlige budget for 2024 </w:t>
      </w:r>
      <w:r>
        <w:rPr>
          <w:b/>
          <w:noProof/>
        </w:rPr>
        <w:t>2,5 mia. EUR</w:t>
      </w:r>
      <w:r>
        <w:rPr>
          <w:noProof/>
        </w:rPr>
        <w:t>. De forhøjelser, der blev modtaget i løbet af året, stammede fra følgende kilder: </w:t>
      </w:r>
    </w:p>
    <w:p w14:paraId="79B01D9B" w14:textId="6CEE5BA5" w:rsidR="7487F03C" w:rsidRDefault="00540A6A" w:rsidP="009E7E49">
      <w:pPr>
        <w:pStyle w:val="Text1"/>
        <w:numPr>
          <w:ilvl w:val="0"/>
          <w:numId w:val="2"/>
        </w:numPr>
        <w:spacing w:after="120"/>
        <w:ind w:left="714" w:hanging="357"/>
        <w:rPr>
          <w:noProof/>
          <w:szCs w:val="24"/>
        </w:rPr>
      </w:pPr>
      <w:r>
        <w:rPr>
          <w:noProof/>
        </w:rPr>
        <w:t xml:space="preserve">Nødhjælpsreserven (EAR) på i alt 573 mio. EUR, hvilket svarer til 23 % af EU's endelige humanitære budget. Disse midler er blevet anvendt til at yde yderligere bistand som reaktion på fødevarekriser i forskellige afrikanske lande og Afghanistan, volden i Mellemøsten, den komplekse krise i Sudan og dens afsmittende virkninger på nabolandene, Ruslands angrebskrig mod Ukraine og fordrivelseskrisen i Venezuela. </w:t>
      </w:r>
    </w:p>
    <w:p w14:paraId="51EEAF78" w14:textId="7627A8A7" w:rsidR="4DE1E180" w:rsidRDefault="00540A6A" w:rsidP="009E7E49">
      <w:pPr>
        <w:pStyle w:val="ListParagraph"/>
        <w:numPr>
          <w:ilvl w:val="0"/>
          <w:numId w:val="2"/>
        </w:numPr>
        <w:spacing w:after="120"/>
        <w:ind w:left="714" w:hanging="357"/>
        <w:contextualSpacing w:val="0"/>
        <w:rPr>
          <w:noProof/>
          <w:szCs w:val="24"/>
        </w:rPr>
      </w:pPr>
      <w:r>
        <w:rPr>
          <w:noProof/>
        </w:rPr>
        <w:t>Omfordelinger fra instrumenter under udgiftsområde VI for at afhjælpe kriserne i Libanon og Sydsudan (10,37 mio. EUR).</w:t>
      </w:r>
    </w:p>
    <w:p w14:paraId="59CE126A" w14:textId="548993A1" w:rsidR="4DE1E180" w:rsidRDefault="4DE1E180" w:rsidP="009E7E49">
      <w:pPr>
        <w:pStyle w:val="ListParagraph"/>
        <w:numPr>
          <w:ilvl w:val="0"/>
          <w:numId w:val="2"/>
        </w:numPr>
        <w:spacing w:after="120"/>
        <w:ind w:left="714" w:hanging="357"/>
        <w:contextualSpacing w:val="0"/>
        <w:rPr>
          <w:noProof/>
          <w:szCs w:val="24"/>
        </w:rPr>
      </w:pPr>
      <w:r>
        <w:rPr>
          <w:noProof/>
        </w:rPr>
        <w:t>VAH – Virement d'Aide Humanitaire (artikel 30, stk. 2, i FR), som er uudnyttede bevillinger fra instrumenter under udgiftsområde VI for at afhjælpe nye kriser efter 1. december 2024. Der blev afsat 3,3 mio. EUR til anvendelse i Syrien efter Assad-regimets sammenbrud.</w:t>
      </w:r>
    </w:p>
    <w:p w14:paraId="643FB832" w14:textId="7E69D112" w:rsidR="4DE1E180" w:rsidRDefault="00540A6A" w:rsidP="009E7E49">
      <w:pPr>
        <w:pStyle w:val="ListParagraph"/>
        <w:numPr>
          <w:ilvl w:val="0"/>
          <w:numId w:val="2"/>
        </w:numPr>
        <w:spacing w:after="120"/>
        <w:ind w:left="714" w:hanging="357"/>
        <w:contextualSpacing w:val="0"/>
        <w:rPr>
          <w:noProof/>
          <w:szCs w:val="24"/>
        </w:rPr>
      </w:pPr>
      <w:r>
        <w:rPr>
          <w:noProof/>
        </w:rPr>
        <w:t>Omfordelte indtægter fra inddrivelser (2,5 mio. EUR).</w:t>
      </w:r>
    </w:p>
    <w:p w14:paraId="39D7FB61" w14:textId="3CDF5B0A" w:rsidR="00F2198E" w:rsidRPr="0077335F" w:rsidRDefault="003579C1" w:rsidP="00F2198E">
      <w:pPr>
        <w:pStyle w:val="Text1"/>
        <w:ind w:left="0"/>
        <w:rPr>
          <w:noProof/>
        </w:rPr>
      </w:pPr>
      <w:r>
        <w:rPr>
          <w:noProof/>
        </w:rPr>
        <w:t xml:space="preserve">Kommissionen samarbejder med </w:t>
      </w:r>
      <w:r>
        <w:rPr>
          <w:b/>
          <w:noProof/>
        </w:rPr>
        <w:t>omkring 220 partnere</w:t>
      </w:r>
      <w:r>
        <w:rPr>
          <w:noProof/>
        </w:rPr>
        <w:t xml:space="preserve"> (hvoraf 127 blev finansieret gennem kontrakter undertegnet i 2024 (listen findes i bilag II). 42 % af midlerne fra 2024 blev fordelt til ikkestatslige organisationer (NGO'er), 47 % til FN-agenturer, 10 % til internationale organisationer og 0,5 % til statslige organisationer. Bilag I indeholder det budget, der blev afsat til de primære kriser, som var genstand for Kommissionens foranstaltninger i 2024. De vigtigste foranstaltninger i de forskellige regioner i verden kan sammenfattes som følger: </w:t>
      </w:r>
    </w:p>
    <w:p w14:paraId="18FA726B" w14:textId="183DCBE7" w:rsidR="004C29FF" w:rsidRPr="00CD01C5" w:rsidRDefault="00EF20DE" w:rsidP="00CD01C5">
      <w:pPr>
        <w:pStyle w:val="Heading2"/>
        <w:rPr>
          <w:noProof/>
        </w:rPr>
      </w:pPr>
      <w:bookmarkStart w:id="4" w:name="_Toc209688072"/>
      <w:r>
        <w:rPr>
          <w:noProof/>
        </w:rPr>
        <w:t>Østlige nabolande og Tyrkiet</w:t>
      </w:r>
      <w:bookmarkEnd w:id="4"/>
    </w:p>
    <w:p w14:paraId="40D25A75" w14:textId="63F1FC09" w:rsidR="00E72031" w:rsidRPr="0020382E" w:rsidRDefault="56D3B443" w:rsidP="00E72031">
      <w:pPr>
        <w:pStyle w:val="Text2"/>
        <w:ind w:left="0"/>
        <w:rPr>
          <w:noProof/>
        </w:rPr>
      </w:pPr>
      <w:r>
        <w:rPr>
          <w:noProof/>
        </w:rPr>
        <w:t xml:space="preserve">Ruslands angrebskrig mod Ukraine har haft en ødelæggende indvirkning på millioner af ukrainske borgere, hvilket har resulteret i civile dødsfald og lidelser, massiv fordrivelse og omfattende ødelæggelse af kritisk infrastruktur. Det har resulteret i omfattende humanitære behov. Situationen i områder tæt på frontlinjerne og områder under Ruslands militære kontrol er fortsat yderst ustabil, og mere end 14,6 millioner mennesker havde behov for humanitær bistand i 2024. Med hensyn til nabolandet Moldova var landet i 2024 vært for ca. 130 000 ukrainske flygtninge. I 2024 var Tyrkiet vært for ca. 3,1 millioner syrere under midlertidig beskyttelse samt 300 000 registrerede flygtninge og asylansøgere fra andre lande, hovedsagelig Afghanistan, Irak, Iran og Somalia. Som reaktion på Ruslands angrebskrig mod Ukraine stillede Kommissionen i alt 165 mio. EUR til rådighed med yderligere 56,2 mio. EUR til Moldova, Tyrkiet, de østlige nabolande, Vestbalkan og Centralasien. </w:t>
      </w:r>
    </w:p>
    <w:p w14:paraId="57BB52A9" w14:textId="15C40E4C" w:rsidR="000E7701" w:rsidRPr="00CD01C5" w:rsidRDefault="000E7701" w:rsidP="00CD01C5">
      <w:pPr>
        <w:pStyle w:val="Heading2"/>
        <w:rPr>
          <w:noProof/>
        </w:rPr>
      </w:pPr>
      <w:bookmarkStart w:id="5" w:name="_Toc209688073"/>
      <w:r>
        <w:rPr>
          <w:noProof/>
        </w:rPr>
        <w:t>Mellemøsten og Nordafrika</w:t>
      </w:r>
      <w:bookmarkEnd w:id="5"/>
    </w:p>
    <w:p w14:paraId="144E6855" w14:textId="163CD668" w:rsidR="00852039" w:rsidRPr="00852039" w:rsidRDefault="0020382E" w:rsidP="0020382E">
      <w:pPr>
        <w:pStyle w:val="Text2"/>
        <w:ind w:left="0"/>
        <w:rPr>
          <w:noProof/>
        </w:rPr>
      </w:pPr>
      <w:r>
        <w:rPr>
          <w:noProof/>
        </w:rPr>
        <w:t>Den massive optrapning af volden i Mellemøsten har ført til omfattende ødelæggelser i Gazastriben og resulteret i en katastrofal humanitær krise af hidtil uset omfang og alvor. I hele 2024 manglede hele befolkningen i Gaza adgang til mad, vand eller basale tjenester såsom sundhedspleje og husly. Intensiveringen af konflikten mellem Hizbollah og Israel førte til omfattende fordrivelser. Desuden fortsatte Kommissionen i 2024 med at afhjælpe de humanitære behov hos den syriske befolkning samt hos syriske flygtninge og sårbare værtssamfund i nabolandene (Tyrkiet, Libanon, Jordan, Egypten og Irak). Nordafrika har ligeledes områder, der er blevet centre for tvangsfordrivelser. De vestsahariske flygtninge, der er samlet i fem lejre omkring Tindouf i den algeriske Saharaørken, er afhængige af ekstern humanitær bistand. Libyen og Egypten er fortsat berørt af flygtningestrømmene efter optrapningen af volden i Sudan. Libyen er desuden fortsat et vigtigt udgangspunkt for blandede migrantstrømme til Europa. Ved udgangen af 2024 havde Kommissionen afsat 526,5 mio. EUR i nødhjælp til Mellemøsten og Nordafrika.</w:t>
      </w:r>
    </w:p>
    <w:p w14:paraId="6A21B3D9" w14:textId="1D6547FD" w:rsidR="00E72031" w:rsidRPr="00CD01C5" w:rsidRDefault="00E72031" w:rsidP="00CD01C5">
      <w:pPr>
        <w:pStyle w:val="Heading2"/>
        <w:rPr>
          <w:noProof/>
        </w:rPr>
      </w:pPr>
      <w:bookmarkStart w:id="6" w:name="_Toc209688074"/>
      <w:r>
        <w:rPr>
          <w:noProof/>
        </w:rPr>
        <w:t>Sydvestasien og Den Arabiske Halvø</w:t>
      </w:r>
      <w:bookmarkEnd w:id="6"/>
    </w:p>
    <w:p w14:paraId="3DC032E2" w14:textId="05BE45F6" w:rsidR="009B5080" w:rsidRPr="009B5080" w:rsidRDefault="00B229A4" w:rsidP="009B5080">
      <w:pPr>
        <w:pStyle w:val="Text2"/>
        <w:ind w:left="0"/>
        <w:rPr>
          <w:noProof/>
        </w:rPr>
      </w:pPr>
      <w:r>
        <w:rPr>
          <w:noProof/>
        </w:rPr>
        <w:t xml:space="preserve">Den humanitære situation i Afghanistan er alvorlig, idet 22,9 millioner mennesker har behov for humanitær bistand, og en tredjedel af befolkningen oplever en høj grad af akut fødevareusikkerhed. Talibans undertrykkende politikker, som i uforholdsmæssig høj grad rammer kvinder og piger, hæmmer fortsat de humanitære organisationers aktiviteter i landet. Krisen i Afghanistan påvirker også nabolandene. Iran huser op til seks millioner afghanere, og Pakistan huser anslået 3,1 millioner afghanere med forskellig status. På Den Arabiske Halvø er konflikten i Yemen gået ind i sit ellevte år, og befolkningen lider under akut fødevareusikkerhed og fejlernæring, tilbagevendende epidemiske udbrud, fordrivelse og andre alvorlige bekymringer med hensyn til beskyttelse. For at reagere på kriserne i de to regioner tildelte Kommissionen 306,9 mio. EUR i 2024. </w:t>
      </w:r>
    </w:p>
    <w:p w14:paraId="2484E7A7" w14:textId="5187683C" w:rsidR="00D024F7" w:rsidRPr="00CD01C5" w:rsidRDefault="00E72031" w:rsidP="00CD01C5">
      <w:pPr>
        <w:pStyle w:val="Heading2"/>
        <w:rPr>
          <w:noProof/>
        </w:rPr>
      </w:pPr>
      <w:bookmarkStart w:id="7" w:name="_Toc209688075"/>
      <w:r>
        <w:rPr>
          <w:noProof/>
        </w:rPr>
        <w:t>Det østlige og det sydlige Afrika</w:t>
      </w:r>
      <w:bookmarkEnd w:id="7"/>
    </w:p>
    <w:p w14:paraId="5B37797E" w14:textId="0DAD9D80" w:rsidR="007D1AB2" w:rsidRPr="007D1AB2" w:rsidRDefault="68D375E4" w:rsidP="00ED18AC">
      <w:pPr>
        <w:pStyle w:val="Text2"/>
        <w:ind w:left="0"/>
        <w:rPr>
          <w:noProof/>
        </w:rPr>
      </w:pPr>
      <w:r>
        <w:rPr>
          <w:noProof/>
        </w:rPr>
        <w:t xml:space="preserve">Det østlige og sydlige Afrika huser 28 % af alle personer med behov for humanitær bistand. Regionen er præget af voldelige konflikter, befolkningsfordrivelser, cyklisk ekstremt vejr og tilbagevendende epidemier. </w:t>
      </w:r>
      <w:bookmarkStart w:id="8" w:name="_Hlk201754981"/>
      <w:r>
        <w:rPr>
          <w:noProof/>
        </w:rPr>
        <w:t xml:space="preserve">Sudan står over for verdens største fordrivelseskrise med over 14,5 millioner mennesker, der er blevet fordrevet fra deres hjem. Mere end halvdelen af befolkningen lider under akut fødevareusikkerhed, og konflikten har udløst udbredt vold, herunder seksuel og etnisk vold, rekruttering af børnesoldater og alvorlige krænkelser af den humanitære folkeret. </w:t>
      </w:r>
      <w:bookmarkEnd w:id="8"/>
      <w:r>
        <w:rPr>
          <w:noProof/>
        </w:rPr>
        <w:t>I regionen omkring Afrikas Horn – i Sydsudan, Djibouti, Etiopien, Kenya og Somalia – har næsten 45 millioner mennesker brug for humanitær bistand. Konflikter og virkningerne af naturkatastrofer såsom lokal tørke, oversvømmelser og jordskred, der forværres af klimaforandringerne, forårsager intern fordrivelse, fødevareusikkerhed og grænseoverskridende folkestrømme. I det sydlige Afrika har en langvarig tørke afledt af El Niño forårsaget, at 30 millioner mennesker i 14 lande oplever akut fødevareusikkerhed. Regionen har fortsat været præget af naturkatastrofer såsom den tropiske cyklon Chido og sygdomsudbrud. Der blev afsat et budget på over 542,8 mio. EUR til at imødekomme disse og andre presserende humanitære behov i regionen i 2024.</w:t>
      </w:r>
    </w:p>
    <w:p w14:paraId="700105FA" w14:textId="52B6AFE5" w:rsidR="000E7701" w:rsidRPr="00CD01C5" w:rsidRDefault="000E7701" w:rsidP="00CD01C5">
      <w:pPr>
        <w:pStyle w:val="Heading2"/>
        <w:rPr>
          <w:noProof/>
        </w:rPr>
      </w:pPr>
      <w:bookmarkStart w:id="9" w:name="_Toc209688076"/>
      <w:r>
        <w:rPr>
          <w:noProof/>
        </w:rPr>
        <w:t>Vest- og Centralafrika og De Store Søers Område</w:t>
      </w:r>
      <w:bookmarkEnd w:id="9"/>
    </w:p>
    <w:p w14:paraId="0CB1B772" w14:textId="1C1F4D24" w:rsidR="00C467E2" w:rsidRPr="00F20C1F" w:rsidRDefault="1DA2E016" w:rsidP="00485FCD">
      <w:pPr>
        <w:pStyle w:val="Text2"/>
        <w:ind w:left="0"/>
        <w:rPr>
          <w:i/>
          <w:iCs/>
          <w:noProof/>
        </w:rPr>
      </w:pPr>
      <w:r>
        <w:rPr>
          <w:noProof/>
        </w:rPr>
        <w:t xml:space="preserve">Flere regionale og indbyrdes forbundne konflikter påvirker Vest- og Centralafrika, og deres virkninger forværres af klimaforandringerne. Krisen i Tchad-sø-bassinet, der påvirker Tchad, Cameroun, Nigeria og Niger, er en presserende men langvarig krise, som nu kører på 15. år. I det centrale Sahel forårsager vold mod civile tvangsfordrivelser internt i regionen og til kystlandene ved Guineabugten. I alt havde 43,3 millioner mennesker behov for humanitær bistand i 2024 i Sahel- og Tchad-sø-regionen. Konflikten i den østlige del af Den Demokratiske Republik Congo, der involverer den congolesiske hær FARDC, forskellige væbnede grupper og M23-oprøret, som støttes af Rwanda, har ført til en dramatisk stigning i de humanitære behov, herunder fordrivelsen af anslået syv millioner mennesker. Krænkelser af menneskerettighederne og den internationale humanitære ret forekommer dagligt, ligesom udbredt seksuel og kønsbaseret vold. Desuden blev De Store Søers Region i 2024 ramt af epidemiske udbrud af både mpox og marburgvirus. Som reaktion på kriserne i Vest- og Centralafrika samt De Store Søers Region tildelte Kommissionen i 2024 et budget på 413,1 mio. EUR med henblik på at afhjælpe fødevareusikkerhed, fejlernæring og tværsektorielle behov. </w:t>
      </w:r>
    </w:p>
    <w:p w14:paraId="65FE87A5" w14:textId="4586C5D3" w:rsidR="00E72031" w:rsidRPr="00CD01C5" w:rsidRDefault="002251A3" w:rsidP="00CD01C5">
      <w:pPr>
        <w:pStyle w:val="Heading2"/>
        <w:rPr>
          <w:noProof/>
        </w:rPr>
      </w:pPr>
      <w:bookmarkStart w:id="10" w:name="_Toc209688077"/>
      <w:r>
        <w:rPr>
          <w:noProof/>
        </w:rPr>
        <w:t>Sydøstasien og Stillehavsområdet</w:t>
      </w:r>
      <w:bookmarkEnd w:id="10"/>
    </w:p>
    <w:p w14:paraId="4E626329" w14:textId="38F277AC" w:rsidR="00BD2183" w:rsidRPr="00BD2183" w:rsidRDefault="002251A3" w:rsidP="00BD2183">
      <w:pPr>
        <w:pStyle w:val="Text2"/>
        <w:ind w:left="0"/>
        <w:rPr>
          <w:noProof/>
        </w:rPr>
      </w:pPr>
      <w:r>
        <w:rPr>
          <w:noProof/>
        </w:rPr>
        <w:t>I 2024 blev den væbnede konflikt i Myanmar intensiveret, hvilket førte til nogle af de alvorligste krænkelser af den humanitære folkeret, der er registreret globalt. Over 20 millioner mennesker i landet (næsten 40 % af befolkningen) har behov for humanitær bistand. Siden Tatmadaw-militærkuppet i 2021 er titusindvis af mennesker flygtet fra Myanmar til nabolandene for at søge beskyttelse. Dette omfatter rohingyaerne, som i stort antal flygter ad de risikable søveje.</w:t>
      </w:r>
      <w:r>
        <w:rPr>
          <w:rFonts w:ascii="Calibri" w:hAnsi="Calibri"/>
          <w:noProof/>
        </w:rPr>
        <w:t xml:space="preserve"> </w:t>
      </w:r>
      <w:r>
        <w:rPr>
          <w:noProof/>
        </w:rPr>
        <w:t>Cox's Bazar i Bangladesh er hjemsted for verdens største flygtningelejr og huser næsten en million bistandsafhængige statsløse rohingya-flygtninge. I Stillehavsområdet ydede EU støtte til det stigende antal klimarelaterede katastrofer. I 2024 var beløbet på 95,6 mio. EUR.</w:t>
      </w:r>
      <w:r w:rsidR="00531304">
        <w:rPr>
          <w:noProof/>
        </w:rPr>
        <w:t xml:space="preserve"> </w:t>
      </w:r>
    </w:p>
    <w:p w14:paraId="5A0CE633" w14:textId="237EADC9" w:rsidR="00E72031" w:rsidRPr="00CD01C5" w:rsidRDefault="00E72031" w:rsidP="00CD01C5">
      <w:pPr>
        <w:pStyle w:val="Heading2"/>
        <w:rPr>
          <w:noProof/>
        </w:rPr>
      </w:pPr>
      <w:bookmarkStart w:id="11" w:name="_Toc209688078"/>
      <w:r>
        <w:rPr>
          <w:noProof/>
        </w:rPr>
        <w:t>Nord-, Syd- og Mellemamerika og Caribien</w:t>
      </w:r>
      <w:bookmarkEnd w:id="11"/>
    </w:p>
    <w:p w14:paraId="2245361B" w14:textId="277CA31B" w:rsidR="000E7701" w:rsidRPr="004C29FF" w:rsidRDefault="00595D8D" w:rsidP="002251A3">
      <w:pPr>
        <w:pStyle w:val="Text1"/>
        <w:ind w:left="0"/>
        <w:rPr>
          <w:noProof/>
        </w:rPr>
      </w:pPr>
      <w:r>
        <w:rPr>
          <w:noProof/>
        </w:rPr>
        <w:t xml:space="preserve">Mellem- og Sydamerika er kendetegnet ved en høj grad af vold, naturkatastrofer, fattigdom og ulighed i en transkontinental blandet migrationskrise. Venezuelas humanitære krise eskalerede betydeligt, efterhånden som den politiske og sociale uro tiltog i 2024, hvilket medførte alvorlige begrænsninger i adgangen til grundlæggende sundhedsydelser, fødevarer og drikkevand. Intern fordrivelse i landet og i hele regionen var fortsat en primær overlevelsesstrategi, og 7,7 millioner venezuelanere er flygtet fra landet. Konsekvenserne af den venezuelanske migrations- og flygtningekrise mærkes i hele regionen i lande som Colombia, Panama, Guatemala, Honduras, El Salvador og Mexico. Mennesker på flugt er blandt de mest sårbare ofre og ofte overlevende efter vold, herunder organiseret kriminalitet. I Haiti kontrollerer bander 80 % af hovedstaden Port-au-Prince, og deres indflydelse rækker dybt ind i mange andre dele af landet. I 2024 kostede krisen i Haiti 5 000 mennesker livet som følge af vold, og 5,5 millioner mennesker lever med fødevareusikkerhed. Kommissionen tildelte 165,3 mio. EUR i nødhjælp til Amerika og Caribien i 2024. </w:t>
      </w:r>
    </w:p>
    <w:p w14:paraId="08BE6C92" w14:textId="5B596DA1" w:rsidR="35EF8932" w:rsidRDefault="35EF8932" w:rsidP="35EF8932">
      <w:pPr>
        <w:pStyle w:val="Text1"/>
        <w:ind w:left="0"/>
        <w:rPr>
          <w:noProof/>
        </w:rPr>
      </w:pPr>
    </w:p>
    <w:p w14:paraId="1365387A" w14:textId="2D2ABC4B" w:rsidR="003579C1" w:rsidRPr="00CD01C5" w:rsidRDefault="00031D8E" w:rsidP="00CD01C5">
      <w:pPr>
        <w:pStyle w:val="Heading1"/>
        <w:rPr>
          <w:noProof/>
        </w:rPr>
      </w:pPr>
      <w:bookmarkStart w:id="12" w:name="_Toc209688079"/>
      <w:r>
        <w:rPr>
          <w:noProof/>
        </w:rPr>
        <w:t>Ydelse af passende og effektiv humanitær bistand til berørte befolkningsgrupper</w:t>
      </w:r>
      <w:bookmarkEnd w:id="12"/>
    </w:p>
    <w:p w14:paraId="4DCD9214" w14:textId="5DB48CA4" w:rsidR="004D2B07" w:rsidRPr="004D2B07" w:rsidRDefault="004D2B07" w:rsidP="004D2B07">
      <w:pPr>
        <w:pStyle w:val="Text1"/>
        <w:ind w:left="0"/>
        <w:rPr>
          <w:noProof/>
        </w:rPr>
      </w:pPr>
      <w:r>
        <w:rPr>
          <w:noProof/>
        </w:rPr>
        <w:t xml:space="preserve">For at </w:t>
      </w:r>
      <w:r>
        <w:rPr>
          <w:b/>
          <w:noProof/>
        </w:rPr>
        <w:t>fremme multilateralisme</w:t>
      </w:r>
      <w:r>
        <w:rPr>
          <w:noProof/>
        </w:rPr>
        <w:t xml:space="preserve"> og en regelbaseret verdensorden gennem en mere aktiv rolle og en stærkere stemme til EU globalt har Kommissionen opretholdt stærke strategiske og operationelle partnerskaber både bilateralt og multilateralt. Kommissionen har arbejdet for en væsentligt øget humanitær finansieringsindsats og en bedre ansvarsfordeling mellem donorerne. Kommissionen fortsatte med at anvende fælles midler(</w:t>
      </w:r>
      <w:r>
        <w:rPr>
          <w:rStyle w:val="FootnoteReference"/>
          <w:noProof/>
        </w:rPr>
        <w:footnoteReference w:id="12"/>
      </w:r>
      <w:r>
        <w:rPr>
          <w:noProof/>
        </w:rPr>
        <w:t xml:space="preserve">) for yderligere at fremme lokalisering og mindre øremærket finansiering samt at arbejde gennem </w:t>
      </w:r>
      <w:r>
        <w:rPr>
          <w:b/>
          <w:noProof/>
        </w:rPr>
        <w:t xml:space="preserve">programpartnerskaber </w:t>
      </w:r>
      <w:r>
        <w:rPr>
          <w:noProof/>
        </w:rPr>
        <w:t>(</w:t>
      </w:r>
      <w:r>
        <w:rPr>
          <w:rStyle w:val="FootnoteReference"/>
          <w:noProof/>
        </w:rPr>
        <w:footnoteReference w:id="13"/>
      </w:r>
      <w:r>
        <w:rPr>
          <w:noProof/>
        </w:rPr>
        <w:t xml:space="preserve">) – flerårige kontrakter til fremme af yderligere fleksibel finansiering – med det formål at gøre det humanitære system mere effektivt og virkningsfuldt. Kommissionen fortsatte med at engagere sig i </w:t>
      </w:r>
      <w:r>
        <w:rPr>
          <w:b/>
          <w:noProof/>
        </w:rPr>
        <w:t xml:space="preserve">Grand Bargain </w:t>
      </w:r>
      <w:r>
        <w:rPr>
          <w:noProof/>
        </w:rPr>
        <w:t>(</w:t>
      </w:r>
      <w:r>
        <w:rPr>
          <w:rStyle w:val="FootnoteReference"/>
          <w:noProof/>
        </w:rPr>
        <w:footnoteReference w:id="14"/>
      </w:r>
      <w:r>
        <w:rPr>
          <w:noProof/>
        </w:rPr>
        <w:t xml:space="preserve">)-processen, navnlig vedrørende gennemførelsen af finansiering af høj kvalitet og lokaliseringsforpligtelser. </w:t>
      </w:r>
    </w:p>
    <w:p w14:paraId="4B7AA796" w14:textId="2307AA9B" w:rsidR="00575408" w:rsidRDefault="004D2B07" w:rsidP="003579C1">
      <w:pPr>
        <w:pStyle w:val="Text1"/>
        <w:ind w:left="0"/>
        <w:rPr>
          <w:noProof/>
        </w:rPr>
      </w:pPr>
      <w:r>
        <w:rPr>
          <w:noProof/>
        </w:rPr>
        <w:t xml:space="preserve">For at supplere EU's humanitære finansiering indsatte Kommissionen sit interne nødhjælpsredskab – </w:t>
      </w:r>
      <w:r>
        <w:rPr>
          <w:b/>
          <w:noProof/>
        </w:rPr>
        <w:t>European Humanitarian Response Capacity (EHRC)</w:t>
      </w:r>
      <w:r>
        <w:rPr>
          <w:noProof/>
        </w:rPr>
        <w:t xml:space="preserve"> (</w:t>
      </w:r>
      <w:r>
        <w:rPr>
          <w:rStyle w:val="FootnoteReference"/>
          <w:noProof/>
        </w:rPr>
        <w:footnoteReference w:id="15"/>
      </w:r>
      <w:r>
        <w:rPr>
          <w:noProof/>
        </w:rPr>
        <w:t>)</w:t>
      </w:r>
      <w:r>
        <w:rPr>
          <w:b/>
          <w:noProof/>
        </w:rPr>
        <w:t xml:space="preserve">, </w:t>
      </w:r>
      <w:r>
        <w:rPr>
          <w:noProof/>
        </w:rPr>
        <w:t>som støttede partnere og lettede humanitær bistand, leverede humanitære varer og transporterede humanitære hjælpearbejdere til svært tilgængelige områder, hvor bistand ellers ikke kunne etableres.</w:t>
      </w:r>
      <w:r>
        <w:rPr>
          <w:b/>
          <w:noProof/>
        </w:rPr>
        <w:t xml:space="preserve"> </w:t>
      </w:r>
      <w:r>
        <w:rPr>
          <w:noProof/>
        </w:rPr>
        <w:t>I 2024 reagerede EHRC på 16 kriser, der berørte 17 lande (</w:t>
      </w:r>
      <w:r>
        <w:rPr>
          <w:rStyle w:val="FootnoteReference"/>
          <w:noProof/>
        </w:rPr>
        <w:footnoteReference w:id="16"/>
      </w:r>
      <w:r>
        <w:rPr>
          <w:noProof/>
        </w:rPr>
        <w:t xml:space="preserve">), ved at indsætte en række transporttjenester, herunder charterfly, samt en række logistiktjenester. </w:t>
      </w:r>
    </w:p>
    <w:p w14:paraId="22990413" w14:textId="4222C8B5" w:rsidR="00575408" w:rsidRDefault="00575408" w:rsidP="005F5AF9">
      <w:pPr>
        <w:pStyle w:val="Text1"/>
        <w:numPr>
          <w:ilvl w:val="0"/>
          <w:numId w:val="27"/>
        </w:numPr>
        <w:spacing w:after="120"/>
        <w:ind w:left="714" w:hanging="357"/>
        <w:rPr>
          <w:noProof/>
        </w:rPr>
      </w:pPr>
      <w:r>
        <w:rPr>
          <w:noProof/>
        </w:rPr>
        <w:t>I alt 5 319 ton humanitært bistandsmateriel blev sendt via 97 chartrede flyvninger samt sø- og landtransport gennem EHRC.</w:t>
      </w:r>
    </w:p>
    <w:p w14:paraId="41C01BE5" w14:textId="5D2FC380" w:rsidR="00575408" w:rsidRDefault="00575408" w:rsidP="005F5AF9">
      <w:pPr>
        <w:pStyle w:val="Text1"/>
        <w:numPr>
          <w:ilvl w:val="0"/>
          <w:numId w:val="27"/>
        </w:numPr>
        <w:spacing w:after="120"/>
        <w:ind w:left="714" w:hanging="357"/>
        <w:rPr>
          <w:noProof/>
        </w:rPr>
      </w:pPr>
      <w:r>
        <w:rPr>
          <w:noProof/>
        </w:rPr>
        <w:t xml:space="preserve">I alt 16 683 personer, der arbejder med humanitær bistand, herunder 13 udsendte EHRC-eksperter, blev transporteret med EU's humanitære bistandsflyvninger (EU HAB). </w:t>
      </w:r>
    </w:p>
    <w:p w14:paraId="20272EA6" w14:textId="051E27BB" w:rsidR="00575408" w:rsidRDefault="002701DA" w:rsidP="00575408">
      <w:pPr>
        <w:pStyle w:val="Text1"/>
        <w:numPr>
          <w:ilvl w:val="0"/>
          <w:numId w:val="27"/>
        </w:numPr>
        <w:rPr>
          <w:noProof/>
        </w:rPr>
      </w:pPr>
      <w:r>
        <w:rPr>
          <w:noProof/>
        </w:rPr>
        <w:t>I alt 851 ton fra EHRC-lagre til en værdi på over 4,66 mio. EUR blev doneret til partnere. </w:t>
      </w:r>
    </w:p>
    <w:p w14:paraId="1FBDE831" w14:textId="70029BBB" w:rsidR="00921FD1" w:rsidRDefault="075D41CE" w:rsidP="00E92F28">
      <w:pPr>
        <w:pStyle w:val="Text1"/>
        <w:ind w:left="0"/>
        <w:rPr>
          <w:noProof/>
        </w:rPr>
      </w:pPr>
      <w:r>
        <w:rPr>
          <w:noProof/>
        </w:rPr>
        <w:t xml:space="preserve">Kommissionen mobiliserede også sit nødfinansieringsværktøj – </w:t>
      </w:r>
      <w:r>
        <w:rPr>
          <w:b/>
          <w:noProof/>
        </w:rPr>
        <w:t>Nødværktøjskassen</w:t>
      </w:r>
      <w:r>
        <w:rPr>
          <w:noProof/>
        </w:rPr>
        <w:t xml:space="preserve">. Den består af det akutte store katastrofeberedskabsværktøj (ALERT), epidemiværktøjet, værktøjet til mindre indsatser og støtte til IFRC's katastrofeberedskabsfond (DREF). Den yder supplerende finansiel støtte til partnere, der reagerer på pludseligt opståede katastrofer, herunder et stigende antal klimarelaterede katastrofer. Nødværktøjskassen ydede ca. </w:t>
      </w:r>
      <w:r>
        <w:rPr>
          <w:b/>
          <w:noProof/>
        </w:rPr>
        <w:t>52,5 mio. EUR</w:t>
      </w:r>
      <w:r>
        <w:rPr>
          <w:noProof/>
        </w:rPr>
        <w:t xml:space="preserve"> til støtte for</w:t>
      </w:r>
      <w:r>
        <w:rPr>
          <w:b/>
          <w:noProof/>
        </w:rPr>
        <w:t xml:space="preserve"> 68 aktiveringer (</w:t>
      </w:r>
      <w:r>
        <w:rPr>
          <w:noProof/>
        </w:rPr>
        <w:t>en stigning på 70 % i forhold til 2023) og 85 DREF-operationer.</w:t>
      </w:r>
    </w:p>
    <w:p w14:paraId="5770B320" w14:textId="343B9AEA" w:rsidR="002701DA" w:rsidRDefault="002701DA" w:rsidP="009F5EDE">
      <w:pPr>
        <w:pStyle w:val="Text1"/>
        <w:numPr>
          <w:ilvl w:val="0"/>
          <w:numId w:val="37"/>
        </w:numPr>
        <w:rPr>
          <w:noProof/>
        </w:rPr>
      </w:pPr>
      <w:r>
        <w:rPr>
          <w:noProof/>
        </w:rPr>
        <w:t>Det mindre værktøj blev aktiveret 34 gange, herunder i forbindelse med indsatsen over for oversvømmelser i Afghanistan, Colombia, Kenya og Mexico samt jordskælv i Vanuatu og Cuba.</w:t>
      </w:r>
      <w:r w:rsidR="00531304">
        <w:rPr>
          <w:noProof/>
        </w:rPr>
        <w:t xml:space="preserve"> </w:t>
      </w:r>
    </w:p>
    <w:p w14:paraId="2B78D7A4" w14:textId="193D41FF" w:rsidR="002701DA" w:rsidRDefault="002701DA" w:rsidP="005F5AF9">
      <w:pPr>
        <w:pStyle w:val="Text1"/>
        <w:numPr>
          <w:ilvl w:val="0"/>
          <w:numId w:val="28"/>
        </w:numPr>
        <w:spacing w:after="120"/>
        <w:ind w:left="714" w:hanging="357"/>
        <w:rPr>
          <w:noProof/>
        </w:rPr>
      </w:pPr>
      <w:r>
        <w:rPr>
          <w:noProof/>
        </w:rPr>
        <w:t xml:space="preserve">ALERT blev udløst 20 gange med henblik på en øjeblikkelig indsats mod oversvømmelser i flere lande, herunder Brasilien, Myanmar, Filippinerne, Nigeria og Vietnam, samt mod tropiske cykloner i Bangladesh og Mozambique. </w:t>
      </w:r>
    </w:p>
    <w:p w14:paraId="1DB32C30" w14:textId="57404320" w:rsidR="00E92F28" w:rsidRDefault="00E92F28" w:rsidP="005F5AF9">
      <w:pPr>
        <w:pStyle w:val="Text1"/>
        <w:numPr>
          <w:ilvl w:val="0"/>
          <w:numId w:val="28"/>
        </w:numPr>
        <w:spacing w:after="120"/>
        <w:ind w:left="714" w:hanging="357"/>
        <w:rPr>
          <w:noProof/>
        </w:rPr>
      </w:pPr>
      <w:r>
        <w:rPr>
          <w:noProof/>
        </w:rPr>
        <w:t>Epidemiværktøjet blev aktiveret 14 gange på grund af: Udbruddet af mpox i Den Demokratiske Republik Congo og Uganda, udbruddet af marburgvirus i Rwanda samt koleraudbruddene i Sydsudan, Somalia og Zambia.</w:t>
      </w:r>
    </w:p>
    <w:p w14:paraId="1264C445" w14:textId="191F8914" w:rsidR="005F5AF9" w:rsidRDefault="191D6FA4" w:rsidP="005F5AF9">
      <w:pPr>
        <w:pStyle w:val="Text1"/>
        <w:numPr>
          <w:ilvl w:val="0"/>
          <w:numId w:val="28"/>
        </w:numPr>
        <w:rPr>
          <w:noProof/>
        </w:rPr>
      </w:pPr>
      <w:r>
        <w:rPr>
          <w:noProof/>
        </w:rPr>
        <w:t xml:space="preserve">Kommissionen understøttede 85 DREF-operationer gennemført i 62 lande af Det Internationale Forbund af Røde Kors- og Røde Halvmåne-selskaber (IFRC), herunder som indsats ved oversvømmelser, tørke, epidemier og befolkningsbevægelser. </w:t>
      </w:r>
    </w:p>
    <w:p w14:paraId="69D720FE" w14:textId="7E2BEC67" w:rsidR="00575408" w:rsidRDefault="005A1544" w:rsidP="005F5AF9">
      <w:pPr>
        <w:pStyle w:val="Text1"/>
        <w:ind w:left="0"/>
        <w:rPr>
          <w:noProof/>
        </w:rPr>
      </w:pPr>
      <w:r>
        <w:rPr>
          <w:noProof/>
        </w:rPr>
        <w:t>Desuden sikrede Kommissionen i 2024 anvendelse og udvikling af politikker og fremsatte anbefalinger til partnere om sammenhængende og ansvarlige EU-finansierede humanitære foranstaltninger af høj kvalitet.</w:t>
      </w:r>
      <w:r w:rsidR="00531304">
        <w:rPr>
          <w:noProof/>
        </w:rPr>
        <w:t xml:space="preserve"> </w:t>
      </w:r>
    </w:p>
    <w:p w14:paraId="202479E8" w14:textId="61B2CEE0" w:rsidR="0077632C" w:rsidRDefault="0071441E" w:rsidP="005F5AF9">
      <w:pPr>
        <w:pStyle w:val="Text1"/>
        <w:ind w:left="0"/>
        <w:rPr>
          <w:noProof/>
        </w:rPr>
      </w:pPr>
      <w:r>
        <w:rPr>
          <w:noProof/>
        </w:rPr>
        <w:t xml:space="preserve">Fødevaresikkerhed og ernæring har stået i centrum for de geopolitiske og geoøkonomiske dagsordener siden begyndelsen af Ruslands angrebskrig mod Ukraine. Med 295,3 millioner mennesker, der oplever akut fødevareusikkerhed i 53 lande eller territorier, og </w:t>
      </w:r>
      <w:r>
        <w:rPr>
          <w:b/>
          <w:noProof/>
        </w:rPr>
        <w:t xml:space="preserve">hungersnød </w:t>
      </w:r>
      <w:r>
        <w:rPr>
          <w:noProof/>
        </w:rPr>
        <w:t>erklæret for første gang siden 2017 (i fem områder i Sudan) er den akutte fødevareusikkerhed på et rekordhøjt niveau. Kommissionen tildelte ca. 720 mio. EUR</w:t>
      </w:r>
      <w:r>
        <w:rPr>
          <w:b/>
          <w:noProof/>
        </w:rPr>
        <w:t xml:space="preserve"> </w:t>
      </w:r>
      <w:r>
        <w:rPr>
          <w:noProof/>
        </w:rPr>
        <w:t xml:space="preserve">til </w:t>
      </w:r>
      <w:r>
        <w:rPr>
          <w:b/>
          <w:noProof/>
        </w:rPr>
        <w:t xml:space="preserve">fødevarebistand og ernæring samt forebyggelse af hungersnød </w:t>
      </w:r>
      <w:r>
        <w:rPr>
          <w:noProof/>
        </w:rPr>
        <w:t xml:space="preserve">i 2024, hvilket er 7 % mere end i 2023. </w:t>
      </w:r>
    </w:p>
    <w:p w14:paraId="5C281C18" w14:textId="12660AC7" w:rsidR="0071441E" w:rsidRDefault="0071441E" w:rsidP="005F5AF9">
      <w:pPr>
        <w:pStyle w:val="Text1"/>
        <w:ind w:left="0"/>
        <w:rPr>
          <w:noProof/>
        </w:rPr>
      </w:pPr>
      <w:r>
        <w:rPr>
          <w:noProof/>
        </w:rPr>
        <w:t xml:space="preserve">Kommissionens </w:t>
      </w:r>
      <w:r>
        <w:rPr>
          <w:b/>
          <w:noProof/>
        </w:rPr>
        <w:t>humanitære sundhedsbistand</w:t>
      </w:r>
      <w:r>
        <w:rPr>
          <w:noProof/>
        </w:rPr>
        <w:t xml:space="preserve"> udgjorde 357 mio. EUR på verdensplan i 2024. Eksempler på livreddende behandling omfattede fremme af adgang til primær og reproduktiv sundhedspleje samt medicinske indsatser mod kønsbaseret vold, mental sundhed og psykosocial støtte, traumebehandling og rehabilitering. I løbet af 2024 reagerede Kommissionen på udbrud af </w:t>
      </w:r>
      <w:r>
        <w:rPr>
          <w:b/>
          <w:noProof/>
        </w:rPr>
        <w:t>kolera, mpox(</w:t>
      </w:r>
      <w:r>
        <w:rPr>
          <w:rStyle w:val="FootnoteReference"/>
          <w:b/>
          <w:bCs/>
          <w:noProof/>
        </w:rPr>
        <w:footnoteReference w:id="17"/>
      </w:r>
      <w:r>
        <w:rPr>
          <w:b/>
          <w:noProof/>
        </w:rPr>
        <w:t>) og marburgvirus</w:t>
      </w:r>
      <w:r>
        <w:rPr>
          <w:noProof/>
        </w:rPr>
        <w:t xml:space="preserve"> på det afrikanske kontinent.</w:t>
      </w:r>
    </w:p>
    <w:p w14:paraId="2BE15058" w14:textId="285F0404" w:rsidR="002379B4" w:rsidRDefault="005A1544" w:rsidP="001549A6">
      <w:pPr>
        <w:pStyle w:val="Text1"/>
        <w:ind w:left="0"/>
        <w:rPr>
          <w:noProof/>
        </w:rPr>
      </w:pPr>
      <w:r>
        <w:rPr>
          <w:noProof/>
        </w:rPr>
        <w:t xml:space="preserve">Kommissionens indsats for at fremme overholdelse af </w:t>
      </w:r>
      <w:r>
        <w:rPr>
          <w:b/>
          <w:noProof/>
        </w:rPr>
        <w:t>den humanitære folkeret</w:t>
      </w:r>
      <w:r>
        <w:rPr>
          <w:noProof/>
        </w:rPr>
        <w:t xml:space="preserve"> og beskyttelsen af bistands- og sundhedspersonale fortsatte gennem offentlige erklæringer og indlæg i multilaterale fora og ved arrangementer på højt plan.</w:t>
      </w:r>
      <w:r>
        <w:rPr>
          <w:rFonts w:ascii="EC Square Sans Pro" w:hAnsi="EC Square Sans Pro"/>
          <w:noProof/>
          <w:color w:val="000000"/>
          <w:shd w:val="clear" w:color="auto" w:fill="FFFFFF"/>
        </w:rPr>
        <w:t xml:space="preserve"> </w:t>
      </w:r>
      <w:r>
        <w:rPr>
          <w:noProof/>
        </w:rPr>
        <w:t>Kommissionen har også ydet støtte til</w:t>
      </w:r>
      <w:r>
        <w:rPr>
          <w:b/>
          <w:noProof/>
        </w:rPr>
        <w:t xml:space="preserve"> projekter vedrørende den humanitære folkeret</w:t>
      </w:r>
      <w:r>
        <w:rPr>
          <w:noProof/>
        </w:rPr>
        <w:t>. Det omfattede støtte til programmet til forebyggelse af krænkelser af den humanitære folkeret under Den Internationale Røde Kors Komité (ICRC) og styrkelse af overvågningen af krænkelser af den humanitære folkeret. Et initiativ blev iværksat for at yde konkret bistand til humanitære hjælpearbejdere (Protect Aid Workers). Mekanismen yder støtte og beskyttelse til humanitære hjælpearbejdere, der er udsatte, eller som har været ude for kritiske hændelser.</w:t>
      </w:r>
    </w:p>
    <w:p w14:paraId="7A3B1F97" w14:textId="05B649D7" w:rsidR="00D317D4" w:rsidRDefault="001549A6" w:rsidP="005F5AF9">
      <w:pPr>
        <w:pStyle w:val="Text1"/>
        <w:ind w:left="0"/>
        <w:rPr>
          <w:noProof/>
        </w:rPr>
      </w:pPr>
      <w:r>
        <w:rPr>
          <w:noProof/>
        </w:rPr>
        <w:t xml:space="preserve">Beskyttelse er fortsat en prioritet på tværs af alle humanitære sektorer, og Kommissionen tildeler </w:t>
      </w:r>
      <w:r>
        <w:rPr>
          <w:b/>
          <w:noProof/>
        </w:rPr>
        <w:t>14 % af den samlede finansieringsramme til sektorbeskyttelsesaktiviteter</w:t>
      </w:r>
      <w:r>
        <w:rPr>
          <w:noProof/>
        </w:rPr>
        <w:t>. Humanitære kriser påvirker kvinder og mænd, piger og drenge forskelligt, og individuelle sårbarheder, såsom at leve med handicap, påvirker den enkeltes oplevelse af en krise. Kommissionen har derfor videreført indsatsen for at integrere inklusion af personer med handicap samt køns- og aldersaspekter på tværs af alle interventionssektorer.</w:t>
      </w:r>
    </w:p>
    <w:p w14:paraId="2C06FB61" w14:textId="09DCEFDA" w:rsidR="00245A16" w:rsidRDefault="00D317D4" w:rsidP="005F5AF9">
      <w:pPr>
        <w:pStyle w:val="Text1"/>
        <w:ind w:left="0"/>
        <w:rPr>
          <w:noProof/>
        </w:rPr>
      </w:pPr>
      <w:r>
        <w:rPr>
          <w:noProof/>
        </w:rPr>
        <w:t xml:space="preserve">Mere end </w:t>
      </w:r>
      <w:r>
        <w:rPr>
          <w:b/>
          <w:noProof/>
        </w:rPr>
        <w:t>234 millioner børn og unge</w:t>
      </w:r>
      <w:r>
        <w:rPr>
          <w:noProof/>
        </w:rPr>
        <w:t>, der er ramt af kriser verden over, har et presserende behov for adgang til læring (</w:t>
      </w:r>
      <w:r>
        <w:rPr>
          <w:rStyle w:val="FootnoteReference"/>
          <w:noProof/>
        </w:rPr>
        <w:footnoteReference w:id="18"/>
      </w:r>
      <w:r>
        <w:rPr>
          <w:noProof/>
        </w:rPr>
        <w:t xml:space="preserve">). Det omfatter 72 millioner børn, der ikke går i skole. I 2024 havde Kommissionen fortsat fokus på </w:t>
      </w:r>
      <w:r>
        <w:rPr>
          <w:b/>
          <w:noProof/>
        </w:rPr>
        <w:t>uddannelse i nødsituationer</w:t>
      </w:r>
      <w:r>
        <w:rPr>
          <w:noProof/>
        </w:rPr>
        <w:t xml:space="preserve"> og fastholdt investeringerne i uddannelse på det ambitiøse niveau på 10 % af EU's oprindelige årlige budget for humanitær bistand, svarende til over 175 mio. EUR.</w:t>
      </w:r>
    </w:p>
    <w:p w14:paraId="2A13D6F6" w14:textId="32A11609" w:rsidR="00245A16" w:rsidRDefault="730CD962" w:rsidP="005F5AF9">
      <w:pPr>
        <w:pStyle w:val="Text1"/>
        <w:ind w:left="0"/>
        <w:rPr>
          <w:noProof/>
        </w:rPr>
      </w:pPr>
      <w:r>
        <w:rPr>
          <w:noProof/>
        </w:rPr>
        <w:t xml:space="preserve">En af de vigtigste årsager til de humanitære behov i dag er klimaforandringerne. Antallet og alvoren af naturkatastrofer stiger som følge af, at kloden bliver varmere. Kommissionen arbejder med både at yde en indsats ved katastrofer og at sikre beredskab forud for katastrofer. En tredjedel af alle de humanitære projekter, der finansieres af Kommissionen, omfatter således en beredskabskomponent, og den udpegede budgetpost til </w:t>
      </w:r>
      <w:r>
        <w:rPr>
          <w:b/>
          <w:noProof/>
        </w:rPr>
        <w:t>katastrofeberedskab</w:t>
      </w:r>
      <w:r>
        <w:rPr>
          <w:noProof/>
        </w:rPr>
        <w:t xml:space="preserve"> var på </w:t>
      </w:r>
      <w:r>
        <w:rPr>
          <w:b/>
          <w:noProof/>
        </w:rPr>
        <w:t>79 mio. EUR</w:t>
      </w:r>
      <w:r>
        <w:rPr>
          <w:noProof/>
        </w:rPr>
        <w:t xml:space="preserve"> i 2024. I maj 2024 underskrev EU og </w:t>
      </w:r>
      <w:r>
        <w:rPr>
          <w:b/>
          <w:noProof/>
        </w:rPr>
        <w:t>LAC-regionen</w:t>
      </w:r>
      <w:r>
        <w:rPr>
          <w:noProof/>
        </w:rPr>
        <w:t xml:space="preserve"> et </w:t>
      </w:r>
      <w:r>
        <w:rPr>
          <w:b/>
          <w:noProof/>
        </w:rPr>
        <w:t>aftalememorandum</w:t>
      </w:r>
      <w:r>
        <w:rPr>
          <w:noProof/>
        </w:rPr>
        <w:t xml:space="preserve"> (</w:t>
      </w:r>
      <w:r>
        <w:rPr>
          <w:rStyle w:val="FootnoteReference"/>
          <w:noProof/>
        </w:rPr>
        <w:footnoteReference w:id="19"/>
      </w:r>
      <w:r>
        <w:rPr>
          <w:noProof/>
        </w:rPr>
        <w:t>)</w:t>
      </w:r>
      <w:r>
        <w:rPr>
          <w:b/>
          <w:noProof/>
        </w:rPr>
        <w:t xml:space="preserve"> </w:t>
      </w:r>
      <w:r>
        <w:rPr>
          <w:noProof/>
        </w:rPr>
        <w:t xml:space="preserve">for at intensivere samarbejdet om integreret katastroferisikostyring og støtte gennemførelsen via IFRC's globale platform for klimamodstandsdygtighed. </w:t>
      </w:r>
    </w:p>
    <w:p w14:paraId="2D31EC2A" w14:textId="6D5D757B" w:rsidR="006036CC" w:rsidRPr="00245A16" w:rsidRDefault="00245A16" w:rsidP="005F5AF9">
      <w:pPr>
        <w:pStyle w:val="Text1"/>
        <w:ind w:left="0"/>
        <w:rPr>
          <w:noProof/>
        </w:rPr>
      </w:pPr>
      <w:r>
        <w:rPr>
          <w:noProof/>
        </w:rPr>
        <w:t>For at reducere CO2-fodaftrykket og miljøskaderne fra humanitær bistand blev miljømæssige minimumskrav obligatoriske i 2023 for alle EU-finansierede humanitære bistandsoperationer. I 2024 blev en række workshopper og kurser for partnere og GD ECHO's personale iværksat. Kommissionen finansierede fortsat innovationsprojekter om</w:t>
      </w:r>
      <w:r>
        <w:rPr>
          <w:b/>
          <w:noProof/>
        </w:rPr>
        <w:t xml:space="preserve"> forgrønnelse af den humanitære bistand </w:t>
      </w:r>
      <w:r>
        <w:rPr>
          <w:noProof/>
        </w:rPr>
        <w:t xml:space="preserve">og fungerede også fortsat som sekretariat for erklæringen om klima og miljø fra donorerne af humanitær bistand. </w:t>
      </w:r>
    </w:p>
    <w:p w14:paraId="04FB3D72" w14:textId="057ED2B9" w:rsidR="35EF8932" w:rsidRDefault="3FA610EE" w:rsidP="35EF8932">
      <w:pPr>
        <w:pStyle w:val="Text1"/>
        <w:ind w:left="0"/>
        <w:rPr>
          <w:noProof/>
        </w:rPr>
      </w:pPr>
      <w:r>
        <w:rPr>
          <w:noProof/>
        </w:rPr>
        <w:t xml:space="preserve">Som informationsindsats og for at øge synligheden af EU's humanitære bistand producerede Kommissionen en række medieprodukter og deltog i en bred vifte af </w:t>
      </w:r>
      <w:r>
        <w:rPr>
          <w:b/>
          <w:noProof/>
        </w:rPr>
        <w:t>kommunikationsaktiviteter</w:t>
      </w:r>
      <w:r>
        <w:rPr>
          <w:noProof/>
        </w:rPr>
        <w:t xml:space="preserve">. Det var især </w:t>
      </w:r>
      <w:r>
        <w:rPr>
          <w:b/>
          <w:noProof/>
        </w:rPr>
        <w:t>humanitærbistandskampagnen #FeedingHope</w:t>
      </w:r>
      <w:r>
        <w:rPr>
          <w:noProof/>
        </w:rPr>
        <w:t>, som nåede ud til over 70 millioner mennesker i 10 medlemsstater, hvilket er mere end en fordobling af tallene fra kampagner i de foregående år. Næsten 1 500 deltagere fra hele verden deltog i den tredje udgave af Det Europæiske Humanitære Forum.</w:t>
      </w:r>
    </w:p>
    <w:p w14:paraId="0EBD736D" w14:textId="2AF74697" w:rsidR="00031D8E" w:rsidRPr="00CD01C5" w:rsidRDefault="00031D8E" w:rsidP="00CD01C5">
      <w:pPr>
        <w:pStyle w:val="Heading1"/>
        <w:rPr>
          <w:noProof/>
        </w:rPr>
      </w:pPr>
      <w:bookmarkStart w:id="13" w:name="_Toc209688080"/>
      <w:r>
        <w:rPr>
          <w:noProof/>
        </w:rPr>
        <w:t>Gennemgang af eksterne evalueringer af specifikke foranstaltninger</w:t>
      </w:r>
      <w:bookmarkEnd w:id="13"/>
    </w:p>
    <w:p w14:paraId="42434A29" w14:textId="570A1621" w:rsidR="00F2198E" w:rsidRDefault="00EF54FF" w:rsidP="35EF8932">
      <w:pPr>
        <w:pStyle w:val="Text1"/>
        <w:ind w:left="0"/>
        <w:rPr>
          <w:noProof/>
        </w:rPr>
      </w:pPr>
      <w:r>
        <w:rPr>
          <w:noProof/>
        </w:rPr>
        <w:t>Kommissionens evalueringstjenester er ansvarlige for at styre, koordinere, overvåge og rapportere om evalueringsfunktionen. Tjenesterne frembringer rettidige evalueringsresultater af høj kvalitet som dokumentation for informeret beslutningstagning og ansvarlighed. Evalueringerne kan være geografiske eller tematiske eller have fokus på et specifikt partnerskab. Bilag III indeholder en liste over de evalueringer, der blev gennemført i 2024, og af igangværende evalueringer. </w:t>
      </w:r>
    </w:p>
    <w:p w14:paraId="690FE1DC" w14:textId="1C4AF1B5" w:rsidR="00031D8E" w:rsidRPr="00CD01C5" w:rsidRDefault="00031D8E" w:rsidP="00CD01C5">
      <w:pPr>
        <w:pStyle w:val="Heading1"/>
        <w:rPr>
          <w:noProof/>
        </w:rPr>
      </w:pPr>
      <w:bookmarkStart w:id="14" w:name="_Toc209688081"/>
      <w:r>
        <w:rPr>
          <w:noProof/>
        </w:rPr>
        <w:t>Relevante link</w:t>
      </w:r>
      <w:bookmarkEnd w:id="14"/>
      <w:r>
        <w:rPr>
          <w:noProof/>
        </w:rPr>
        <w:t xml:space="preserve"> </w:t>
      </w:r>
    </w:p>
    <w:p w14:paraId="65601B15" w14:textId="4FB4A1D9" w:rsidR="0077335F" w:rsidRPr="0077335F" w:rsidRDefault="0077335F" w:rsidP="00DC0A24">
      <w:pPr>
        <w:pStyle w:val="Text1"/>
        <w:numPr>
          <w:ilvl w:val="0"/>
          <w:numId w:val="36"/>
        </w:numPr>
        <w:spacing w:after="120"/>
        <w:ind w:left="714" w:hanging="357"/>
        <w:rPr>
          <w:noProof/>
        </w:rPr>
      </w:pPr>
      <w:r>
        <w:rPr>
          <w:noProof/>
        </w:rPr>
        <w:t xml:space="preserve">Generelle oplysninger om GD ECHO: </w:t>
      </w:r>
    </w:p>
    <w:p w14:paraId="32FBE58C" w14:textId="14A2021D" w:rsidR="0077335F" w:rsidRPr="0077335F" w:rsidRDefault="003D613E" w:rsidP="00DC0A24">
      <w:pPr>
        <w:pStyle w:val="Text1"/>
        <w:spacing w:after="120"/>
        <w:ind w:left="714"/>
        <w:rPr>
          <w:noProof/>
        </w:rPr>
      </w:pPr>
      <w:hyperlink r:id="rId21" w:history="1">
        <w:r w:rsidR="00DC0A24">
          <w:rPr>
            <w:rStyle w:val="Hyperlink"/>
            <w:noProof/>
          </w:rPr>
          <w:t>http://ec.europa.eu/echo/en</w:t>
        </w:r>
      </w:hyperlink>
      <w:r w:rsidR="00DC0A24">
        <w:rPr>
          <w:noProof/>
        </w:rPr>
        <w:t xml:space="preserve"> </w:t>
      </w:r>
    </w:p>
    <w:p w14:paraId="04A1FB70" w14:textId="3D8051F5" w:rsidR="0077335F" w:rsidRPr="0077335F" w:rsidRDefault="0077335F" w:rsidP="00DC0A24">
      <w:pPr>
        <w:pStyle w:val="Text1"/>
        <w:numPr>
          <w:ilvl w:val="0"/>
          <w:numId w:val="36"/>
        </w:numPr>
        <w:spacing w:after="120"/>
        <w:ind w:left="714" w:hanging="357"/>
        <w:rPr>
          <w:noProof/>
        </w:rPr>
      </w:pPr>
      <w:r>
        <w:rPr>
          <w:noProof/>
        </w:rPr>
        <w:t>Finansielle oplysninger om Europa-Kommissionens humanitære bistandsaktiviteter i 2024:</w:t>
      </w:r>
      <w:r w:rsidR="00531304">
        <w:rPr>
          <w:noProof/>
        </w:rPr>
        <w:t xml:space="preserve"> </w:t>
      </w:r>
    </w:p>
    <w:p w14:paraId="71E3E93A" w14:textId="6424EF6E" w:rsidR="00DC0A24" w:rsidRDefault="003D613E" w:rsidP="00DC0A24">
      <w:pPr>
        <w:pStyle w:val="Text1"/>
        <w:spacing w:after="120"/>
        <w:ind w:left="714"/>
        <w:rPr>
          <w:noProof/>
        </w:rPr>
      </w:pPr>
      <w:hyperlink r:id="rId22" w:history="1">
        <w:r w:rsidR="00DC0A24">
          <w:rPr>
            <w:rStyle w:val="Hyperlink"/>
            <w:noProof/>
          </w:rPr>
          <w:t>Financing decisions (HIPs) 2024 – Europa-Kommissionen</w:t>
        </w:r>
      </w:hyperlink>
    </w:p>
    <w:p w14:paraId="531E8265" w14:textId="3E2378F3" w:rsidR="0077335F" w:rsidRPr="0077335F" w:rsidRDefault="0077335F" w:rsidP="00DC0A24">
      <w:pPr>
        <w:pStyle w:val="Text1"/>
        <w:numPr>
          <w:ilvl w:val="0"/>
          <w:numId w:val="36"/>
        </w:numPr>
        <w:spacing w:after="120"/>
        <w:ind w:left="714" w:hanging="357"/>
        <w:rPr>
          <w:noProof/>
        </w:rPr>
      </w:pPr>
      <w:r>
        <w:rPr>
          <w:noProof/>
        </w:rPr>
        <w:t xml:space="preserve">Operationelle oplysninger fra tidligere år: </w:t>
      </w:r>
    </w:p>
    <w:p w14:paraId="547D4451" w14:textId="77777777" w:rsidR="0077335F" w:rsidRPr="00531304" w:rsidRDefault="003D613E" w:rsidP="00DC0A24">
      <w:pPr>
        <w:pStyle w:val="Text1"/>
        <w:spacing w:after="120"/>
        <w:ind w:left="714"/>
        <w:rPr>
          <w:noProof/>
          <w:lang w:val="en-IE"/>
        </w:rPr>
      </w:pPr>
      <w:hyperlink r:id="rId23" w:anchor="department_plans" w:tgtFrame="_blank" w:history="1">
        <w:r w:rsidR="0077335F" w:rsidRPr="00531304">
          <w:rPr>
            <w:rStyle w:val="Hyperlink"/>
            <w:noProof/>
            <w:lang w:val="en-IE"/>
          </w:rPr>
          <w:t>European Civil Protection and Humanitarian Aid Operations |</w:t>
        </w:r>
      </w:hyperlink>
      <w:hyperlink r:id="rId24" w:anchor="department_plans" w:tgtFrame="_blank" w:history="1">
        <w:hyperlink r:id="rId25" w:anchor="department_plans" w:tgtFrame="_blank" w:history="1">
          <w:r w:rsidR="0077335F" w:rsidRPr="00531304">
            <w:rPr>
              <w:rStyle w:val="Hyperlink"/>
              <w:noProof/>
              <w:lang w:val="en-IE"/>
            </w:rPr>
            <w:t>Europa-Kommissionen (europa.eu)</w:t>
          </w:r>
        </w:hyperlink>
      </w:hyperlink>
      <w:r w:rsidR="0077335F" w:rsidRPr="00531304">
        <w:rPr>
          <w:noProof/>
          <w:lang w:val="en-IE"/>
        </w:rPr>
        <w:t xml:space="preserve"> </w:t>
      </w:r>
    </w:p>
    <w:p w14:paraId="64B2B948" w14:textId="4E150261" w:rsidR="0077335F" w:rsidRPr="0077335F" w:rsidRDefault="0077335F" w:rsidP="00DC0A24">
      <w:pPr>
        <w:pStyle w:val="Text1"/>
        <w:numPr>
          <w:ilvl w:val="0"/>
          <w:numId w:val="36"/>
        </w:numPr>
        <w:spacing w:after="120"/>
        <w:ind w:left="714" w:hanging="357"/>
        <w:rPr>
          <w:noProof/>
        </w:rPr>
      </w:pPr>
      <w:r>
        <w:rPr>
          <w:noProof/>
        </w:rPr>
        <w:t>Årlig aktivitetsrapport for 2024:</w:t>
      </w:r>
      <w:r w:rsidR="00531304">
        <w:rPr>
          <w:noProof/>
        </w:rPr>
        <w:t xml:space="preserve"> </w:t>
      </w:r>
    </w:p>
    <w:p w14:paraId="377AE18A" w14:textId="2283AEA9" w:rsidR="0077335F" w:rsidRPr="00531304" w:rsidRDefault="003D613E" w:rsidP="00DC0A24">
      <w:pPr>
        <w:pStyle w:val="Text1"/>
        <w:spacing w:after="120"/>
        <w:ind w:left="714"/>
        <w:rPr>
          <w:noProof/>
          <w:lang w:val="en-IE"/>
        </w:rPr>
      </w:pPr>
      <w:hyperlink r:id="rId26" w:history="1">
        <w:r w:rsidR="00540A6A" w:rsidRPr="00531304">
          <w:rPr>
            <w:rStyle w:val="Hyperlink"/>
            <w:noProof/>
            <w:lang w:val="en-IE"/>
          </w:rPr>
          <w:t>Annual activity report 2024 – European Civil Protection and Humanitarian Aid Operations (ECHO) – Europa-Kommissionen</w:t>
        </w:r>
      </w:hyperlink>
      <w:r w:rsidR="00540A6A" w:rsidRPr="00531304">
        <w:rPr>
          <w:noProof/>
          <w:lang w:val="en-IE"/>
        </w:rPr>
        <w:t xml:space="preserve"> </w:t>
      </w:r>
    </w:p>
    <w:p w14:paraId="002B3192" w14:textId="1390301A" w:rsidR="0077335F" w:rsidRPr="0077335F" w:rsidRDefault="0077335F" w:rsidP="00DC0A24">
      <w:pPr>
        <w:pStyle w:val="Text1"/>
        <w:numPr>
          <w:ilvl w:val="0"/>
          <w:numId w:val="36"/>
        </w:numPr>
        <w:spacing w:after="120"/>
        <w:ind w:left="714" w:hanging="357"/>
        <w:rPr>
          <w:noProof/>
        </w:rPr>
      </w:pPr>
      <w:r>
        <w:rPr>
          <w:noProof/>
        </w:rPr>
        <w:t xml:space="preserve">Årlig forvaltnings- og effektivitetsrapport for 2024: </w:t>
      </w:r>
    </w:p>
    <w:p w14:paraId="010013A7" w14:textId="2C5C652C" w:rsidR="00DC0A24" w:rsidRPr="00531304" w:rsidRDefault="003D613E" w:rsidP="00DC0A24">
      <w:pPr>
        <w:pStyle w:val="Text1"/>
        <w:spacing w:after="120"/>
        <w:ind w:left="714"/>
        <w:rPr>
          <w:noProof/>
          <w:lang w:val="en-IE"/>
        </w:rPr>
      </w:pPr>
      <w:hyperlink r:id="rId27" w:history="1">
        <w:r w:rsidR="00DC0A24" w:rsidRPr="00531304">
          <w:rPr>
            <w:rStyle w:val="Hyperlink"/>
            <w:noProof/>
            <w:lang w:val="en-IE"/>
          </w:rPr>
          <w:t>Management plan 2024 – European Civil Protection and Humanitarian Aid Operations – Europa-Kommissionen</w:t>
        </w:r>
      </w:hyperlink>
    </w:p>
    <w:p w14:paraId="2B4367B3" w14:textId="542BD43F" w:rsidR="0077335F" w:rsidRPr="0077335F" w:rsidRDefault="0077335F" w:rsidP="00DC0A24">
      <w:pPr>
        <w:pStyle w:val="Text1"/>
        <w:numPr>
          <w:ilvl w:val="0"/>
          <w:numId w:val="36"/>
        </w:numPr>
        <w:spacing w:after="120"/>
        <w:ind w:left="714" w:hanging="357"/>
        <w:rPr>
          <w:noProof/>
        </w:rPr>
      </w:pPr>
      <w:r>
        <w:rPr>
          <w:noProof/>
        </w:rPr>
        <w:t>Evalueringsrapporter om GD ECHO:</w:t>
      </w:r>
      <w:r w:rsidR="00531304">
        <w:rPr>
          <w:noProof/>
        </w:rPr>
        <w:t xml:space="preserve"> </w:t>
      </w:r>
    </w:p>
    <w:p w14:paraId="53EE0650" w14:textId="3723BDEE" w:rsidR="0077335F" w:rsidRPr="0077335F" w:rsidRDefault="003D613E" w:rsidP="00DC0A24">
      <w:pPr>
        <w:pStyle w:val="Text1"/>
        <w:spacing w:after="120"/>
        <w:ind w:left="714"/>
        <w:rPr>
          <w:noProof/>
        </w:rPr>
      </w:pPr>
      <w:hyperlink r:id="rId28" w:history="1">
        <w:r w:rsidR="00DC0A24">
          <w:rPr>
            <w:rStyle w:val="Hyperlink"/>
            <w:noProof/>
          </w:rPr>
          <w:t>https://ec.europa.eu/echo/funding-evaluations/evaluations_da</w:t>
        </w:r>
      </w:hyperlink>
      <w:r w:rsidR="00DC0A24">
        <w:rPr>
          <w:noProof/>
        </w:rPr>
        <w:t xml:space="preserve"> </w:t>
      </w:r>
    </w:p>
    <w:p w14:paraId="6D7517A2" w14:textId="60AC35E9" w:rsidR="0077335F" w:rsidRPr="0077335F" w:rsidRDefault="0077335F" w:rsidP="00DC0A24">
      <w:pPr>
        <w:pStyle w:val="Text1"/>
        <w:numPr>
          <w:ilvl w:val="0"/>
          <w:numId w:val="36"/>
        </w:numPr>
        <w:spacing w:after="120"/>
        <w:ind w:left="714" w:hanging="357"/>
        <w:rPr>
          <w:noProof/>
        </w:rPr>
      </w:pPr>
      <w:r>
        <w:rPr>
          <w:noProof/>
        </w:rPr>
        <w:t>Europa-Kommissionens og medlemsstaternes data vedrørende finansiering af humanitær bistand:</w:t>
      </w:r>
      <w:r w:rsidR="00531304">
        <w:rPr>
          <w:noProof/>
        </w:rPr>
        <w:t xml:space="preserve"> </w:t>
      </w:r>
    </w:p>
    <w:p w14:paraId="40188342" w14:textId="2B521068" w:rsidR="0077335F" w:rsidRPr="0077335F" w:rsidRDefault="003D613E" w:rsidP="00DC0A24">
      <w:pPr>
        <w:pStyle w:val="Text1"/>
        <w:spacing w:after="120"/>
        <w:ind w:left="714"/>
        <w:rPr>
          <w:noProof/>
        </w:rPr>
      </w:pPr>
      <w:hyperlink r:id="rId29" w:tgtFrame="_blank" w:history="1">
        <w:r w:rsidR="0077335F">
          <w:rPr>
            <w:rStyle w:val="Hyperlink"/>
            <w:noProof/>
          </w:rPr>
          <w:t>Forside – Europa-Kommissionen (europa.eu)</w:t>
        </w:r>
      </w:hyperlink>
      <w:r w:rsidR="00531304">
        <w:rPr>
          <w:noProof/>
        </w:rPr>
        <w:t xml:space="preserve"> </w:t>
      </w:r>
    </w:p>
    <w:p w14:paraId="077059EA" w14:textId="77777777" w:rsidR="0077335F" w:rsidRPr="0077335F" w:rsidRDefault="0077335F" w:rsidP="0077335F">
      <w:pPr>
        <w:pStyle w:val="Text1"/>
        <w:rPr>
          <w:noProof/>
        </w:rPr>
      </w:pPr>
      <w:r>
        <w:rPr>
          <w:noProof/>
        </w:rPr>
        <w:t xml:space="preserve"> </w:t>
      </w:r>
    </w:p>
    <w:p w14:paraId="7C361ECD" w14:textId="77777777" w:rsidR="0077335F" w:rsidRPr="0077335F" w:rsidRDefault="0077335F" w:rsidP="0077335F">
      <w:pPr>
        <w:pStyle w:val="Text1"/>
        <w:rPr>
          <w:noProof/>
        </w:rPr>
      </w:pPr>
      <w:r>
        <w:rPr>
          <w:noProof/>
        </w:rPr>
        <w:t xml:space="preserve"> </w:t>
      </w:r>
    </w:p>
    <w:p w14:paraId="2D657547" w14:textId="77777777" w:rsidR="0077335F" w:rsidRPr="00531304" w:rsidRDefault="0077335F" w:rsidP="0077335F">
      <w:pPr>
        <w:pStyle w:val="Text1"/>
        <w:ind w:left="0"/>
        <w:rPr>
          <w:noProof/>
        </w:rPr>
      </w:pPr>
    </w:p>
    <w:sectPr w:rsidR="0077335F" w:rsidRPr="00531304" w:rsidSect="00120609">
      <w:headerReference w:type="even" r:id="rId30"/>
      <w:headerReference w:type="default" r:id="rId31"/>
      <w:footerReference w:type="even" r:id="rId32"/>
      <w:footerReference w:type="default" r:id="rId33"/>
      <w:headerReference w:type="first" r:id="rId34"/>
      <w:footerReference w:type="first" r:id="rId35"/>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166FD" w14:textId="77777777" w:rsidR="000F62C1" w:rsidRDefault="000F62C1">
      <w:pPr>
        <w:spacing w:after="0"/>
      </w:pPr>
      <w:r>
        <w:separator/>
      </w:r>
    </w:p>
  </w:endnote>
  <w:endnote w:type="continuationSeparator" w:id="0">
    <w:p w14:paraId="39C67940" w14:textId="77777777" w:rsidR="000F62C1" w:rsidRDefault="000F62C1">
      <w:pPr>
        <w:spacing w:after="0"/>
      </w:pPr>
      <w:r>
        <w:continuationSeparator/>
      </w:r>
    </w:p>
  </w:endnote>
  <w:endnote w:type="continuationNotice" w:id="1">
    <w:p w14:paraId="6E811C0E" w14:textId="77777777" w:rsidR="000F62C1" w:rsidRDefault="000F62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EC Square Sans Pro">
    <w:altName w:val="Bahnschrift Light"/>
    <w:charset w:val="00"/>
    <w:family w:val="swiss"/>
    <w:pitch w:val="variable"/>
    <w:sig w:usb0="00000001"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0C32" w14:textId="56855D8B" w:rsidR="003D613E" w:rsidRPr="003D613E" w:rsidRDefault="003D613E" w:rsidP="003D613E">
    <w:pPr>
      <w:pStyle w:val="FooterCoverPage"/>
      <w:rPr>
        <w:rFonts w:ascii="Arial" w:hAnsi="Arial" w:cs="Arial"/>
        <w:b/>
        <w:sz w:val="48"/>
      </w:rPr>
    </w:pPr>
    <w:r w:rsidRPr="003D613E">
      <w:rPr>
        <w:rFonts w:ascii="Arial" w:hAnsi="Arial" w:cs="Arial"/>
        <w:b/>
        <w:sz w:val="48"/>
      </w:rPr>
      <w:t>DA</w:t>
    </w:r>
    <w:r w:rsidRPr="003D613E">
      <w:rPr>
        <w:rFonts w:ascii="Arial" w:hAnsi="Arial" w:cs="Arial"/>
        <w:b/>
        <w:sz w:val="48"/>
      </w:rPr>
      <w:tab/>
    </w:r>
    <w:r w:rsidRPr="003D613E">
      <w:rPr>
        <w:rFonts w:ascii="Arial" w:hAnsi="Arial" w:cs="Arial"/>
        <w:b/>
        <w:sz w:val="48"/>
      </w:rPr>
      <w:tab/>
    </w:r>
    <w:r w:rsidRPr="003D613E">
      <w:tab/>
    </w:r>
    <w:r w:rsidRPr="003D613E">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9F49" w14:textId="1A576CB0" w:rsidR="003D613E" w:rsidRPr="003D613E" w:rsidRDefault="003D613E" w:rsidP="003D613E">
    <w:pPr>
      <w:pStyle w:val="FooterCoverPage"/>
      <w:rPr>
        <w:rFonts w:ascii="Arial" w:hAnsi="Arial" w:cs="Arial"/>
        <w:b/>
        <w:sz w:val="48"/>
      </w:rPr>
    </w:pPr>
    <w:r w:rsidRPr="003D613E">
      <w:rPr>
        <w:rFonts w:ascii="Arial" w:hAnsi="Arial" w:cs="Arial"/>
        <w:b/>
        <w:sz w:val="48"/>
      </w:rPr>
      <w:t>DA</w:t>
    </w:r>
    <w:r w:rsidRPr="003D613E">
      <w:rPr>
        <w:rFonts w:ascii="Arial" w:hAnsi="Arial" w:cs="Arial"/>
        <w:b/>
        <w:sz w:val="48"/>
      </w:rPr>
      <w:tab/>
    </w:r>
    <w:r w:rsidRPr="003D613E">
      <w:rPr>
        <w:rFonts w:ascii="Arial" w:hAnsi="Arial" w:cs="Arial"/>
        <w:b/>
        <w:sz w:val="48"/>
      </w:rPr>
      <w:tab/>
    </w:r>
    <w:r w:rsidRPr="003D613E">
      <w:tab/>
    </w:r>
    <w:r w:rsidRPr="003D613E">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06E94" w14:textId="77777777" w:rsidR="003D613E" w:rsidRPr="003D613E" w:rsidRDefault="003D613E" w:rsidP="003D613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715D7" w14:textId="77777777" w:rsidR="00120609" w:rsidRDefault="00120609">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0E5D" w14:textId="3312AD84" w:rsidR="00120609" w:rsidRDefault="00120609">
    <w:pPr>
      <w:pStyle w:val="FooterLine"/>
      <w:jc w:val="center"/>
    </w:pPr>
    <w:r>
      <w:fldChar w:fldCharType="begin"/>
    </w:r>
    <w:r>
      <w:instrText>PAGE   \* MERGEFORMAT</w:instrText>
    </w:r>
    <w:r>
      <w:fldChar w:fldCharType="separate"/>
    </w:r>
    <w:r w:rsidR="003D613E">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Footer - Standard "/>
      <w:tag w:val="SVoGAZ38gakDmzcHmLly90-Uz5BECj2qQF70SGAMzDdI0"/>
      <w:id w:val="847363748"/>
    </w:sdtPr>
    <w:sdtEndPr/>
    <w:sdtContent>
      <w:p w14:paraId="1EB42992" w14:textId="77777777" w:rsidR="00120609" w:rsidRDefault="00120609">
        <w:pPr>
          <w:pStyle w:val="Footer"/>
          <w:rPr>
            <w:sz w:val="24"/>
          </w:rPr>
        </w:pPr>
      </w:p>
      <w:p w14:paraId="00AB7639" w14:textId="77777777" w:rsidR="00120609" w:rsidRDefault="003D613E">
        <w:pPr>
          <w:pStyle w:val="Footer"/>
        </w:pPr>
        <w:sdt>
          <w:sdtPr>
            <w:rPr>
              <w:lang w:val="en-IE"/>
            </w:rPr>
            <w:id w:val="-316348330"/>
            <w:dataBinding w:xpath="/Author/Addresses/Address[Id = 'f03b5801-04c9-4931-aa17-c6d6c70bc579']/Footer" w:storeItemID="{E23C0CDB-96F7-443F-9811-F270C618E82A}"/>
            <w:text w:multiLine="1"/>
          </w:sdtPr>
          <w:sdtEndPr/>
          <w:sdtContent>
            <w:r w:rsidR="00E405D3" w:rsidRPr="00531304">
              <w:rPr>
                <w:lang w:val="en-IE"/>
              </w:rPr>
              <w:t>Commission européenne/Europese Commissie, 1049 Bruxelles/Brussel, BELGIQUE/BELGIË – Tlf. +32 22991111</w:t>
            </w:r>
          </w:sdtContent>
        </w:sdt>
      </w:p>
      <w:p w14:paraId="4CE31451" w14:textId="77777777" w:rsidR="00120609" w:rsidRDefault="003D613E">
        <w:pPr>
          <w:pStyle w:val="Footer"/>
        </w:pPr>
        <w:sdt>
          <w:sdtPr>
            <w:id w:val="-1746409009"/>
            <w:dataBinding w:xpath="/Texts/FooterOffice" w:storeItemID="{4EF90DE6-88B6-4264-9629-4D8DFDFE87D2}"/>
            <w:text w:multiLine="1"/>
          </w:sdtPr>
          <w:sdtEndPr/>
          <w:sdtContent>
            <w:r w:rsidR="00E405D3">
              <w:t>Kontor:</w:t>
            </w:r>
          </w:sdtContent>
        </w:sdt>
        <w:r w:rsidR="00E405D3">
          <w:t xml:space="preserve"> </w:t>
        </w:r>
        <w:sdt>
          <w:sdtPr>
            <w:id w:val="500930908"/>
            <w:dataBinding w:xpath="/Author/Workplaces/Workplace[AddressId = 'f03b5801-04c9-4931-aa17-c6d6c70bc579']/Office" w:storeItemID="{E23C0CDB-96F7-443F-9811-F270C618E82A}"/>
            <w:text w:multiLine="1"/>
          </w:sdtPr>
          <w:sdtEndPr/>
          <w:sdtContent>
            <w:r w:rsidR="00E405D3">
              <w:t>L-86 04/024</w:t>
            </w:r>
          </w:sdtContent>
        </w:sdt>
        <w:r w:rsidR="00E405D3">
          <w:t xml:space="preserve"> – </w:t>
        </w:r>
        <w:sdt>
          <w:sdtPr>
            <w:id w:val="-1255286153"/>
            <w:dataBinding w:xpath="/Texts/FooterPhone" w:storeItemID="{4EF90DE6-88B6-4264-9629-4D8DFDFE87D2}"/>
            <w:text w:multiLine="1"/>
          </w:sdtPr>
          <w:sdtEndPr/>
          <w:sdtContent>
            <w:r w:rsidR="00E405D3">
              <w:t>Tlf. direkte</w:t>
            </w:r>
          </w:sdtContent>
        </w:sdt>
        <w:r w:rsidR="00E405D3">
          <w:t xml:space="preserve"> </w:t>
        </w:r>
        <w:sdt>
          <w:sdtPr>
            <w:id w:val="1811206093"/>
            <w:dataBinding w:xpath="/Author/Workplaces/Workplace[AddressId = 'f03b5801-04c9-4931-aa17-c6d6c70bc579']/Phone" w:storeItemID="{E23C0CDB-96F7-443F-9811-F270C618E82A}"/>
            <w:text w:multiLine="1"/>
          </w:sdtPr>
          <w:sdtEndPr/>
          <w:sdtContent>
            <w:r w:rsidR="00E405D3">
              <w:t>+32 229-50911</w:t>
            </w:r>
          </w:sdtContent>
        </w:sdt>
      </w:p>
      <w:p w14:paraId="3E8F3654" w14:textId="77777777" w:rsidR="00120609" w:rsidRDefault="003D613E">
        <w:pPr>
          <w:pStyle w:val="Footer"/>
        </w:pPr>
      </w:p>
    </w:sdtContent>
  </w:sdt>
  <w:p w14:paraId="1723FDB9" w14:textId="77777777" w:rsidR="00120609" w:rsidRDefault="003D613E">
    <w:pPr>
      <w:pStyle w:val="Footer"/>
    </w:pPr>
    <w:sdt>
      <w:sdtPr>
        <w:alias w:val="Email Addresses – Standard"/>
        <w:tag w:val="lzJg88SOkI751vM69s8xi7-MjGgt6e7BqMZJMWY5fWzc6"/>
        <w:id w:val="1418754597"/>
        <w:dataBinding w:xpath="/Author/Email" w:storeItemID="{E23C0CDB-96F7-443F-9811-F270C618E82A}"/>
        <w:text w:multiLine="1"/>
      </w:sdtPr>
      <w:sdtEndPr/>
      <w:sdtContent>
        <w:r w:rsidR="00E405D3">
          <w:t>Rut.KARLSTROM@ec.europa.eu</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7A91" w14:textId="77777777" w:rsidR="000F62C1" w:rsidRDefault="000F62C1">
      <w:pPr>
        <w:spacing w:after="0"/>
      </w:pPr>
      <w:r>
        <w:separator/>
      </w:r>
    </w:p>
  </w:footnote>
  <w:footnote w:type="continuationSeparator" w:id="0">
    <w:p w14:paraId="686A2CDA" w14:textId="77777777" w:rsidR="000F62C1" w:rsidRDefault="000F62C1">
      <w:pPr>
        <w:spacing w:after="0"/>
      </w:pPr>
      <w:r>
        <w:continuationSeparator/>
      </w:r>
    </w:p>
  </w:footnote>
  <w:footnote w:type="continuationNotice" w:id="1">
    <w:p w14:paraId="7280B626" w14:textId="77777777" w:rsidR="000F62C1" w:rsidRDefault="000F62C1">
      <w:pPr>
        <w:spacing w:after="0"/>
      </w:pPr>
    </w:p>
  </w:footnote>
  <w:footnote w:id="2">
    <w:p w14:paraId="58A035A0" w14:textId="6E3E38D8" w:rsidR="00BF0D1E" w:rsidRPr="0094670F" w:rsidRDefault="00BF0D1E" w:rsidP="00F61530">
      <w:pPr>
        <w:pStyle w:val="FootnoteText"/>
        <w:spacing w:after="0"/>
        <w:rPr>
          <w:sz w:val="18"/>
          <w:szCs w:val="18"/>
        </w:rPr>
      </w:pPr>
      <w:r>
        <w:rPr>
          <w:sz w:val="18"/>
        </w:rPr>
        <w:t>(</w:t>
      </w:r>
      <w:r>
        <w:rPr>
          <w:rStyle w:val="FootnoteReference"/>
          <w:sz w:val="18"/>
          <w:szCs w:val="18"/>
        </w:rPr>
        <w:footnoteRef/>
      </w:r>
      <w:r>
        <w:rPr>
          <w:sz w:val="18"/>
        </w:rPr>
        <w:t>)</w:t>
      </w:r>
      <w:r>
        <w:tab/>
      </w:r>
      <w:hyperlink r:id="rId1" w:history="1">
        <w:r>
          <w:rPr>
            <w:rStyle w:val="Hyperlink"/>
            <w:sz w:val="18"/>
          </w:rPr>
          <w:t>Fælles erklæring fra Rådet og repræsentanterne for medlemsstaternes regeringer, forsamlet i Rådet, Europa-Parlamentet og Europa-Kommissionen (2008/C 25/01).</w:t>
        </w:r>
      </w:hyperlink>
      <w:r>
        <w:rPr>
          <w:sz w:val="18"/>
        </w:rPr>
        <w:t xml:space="preserve"> </w:t>
      </w:r>
    </w:p>
  </w:footnote>
  <w:footnote w:id="3">
    <w:p w14:paraId="099F93E8" w14:textId="77579CD8" w:rsidR="005F7DCB" w:rsidRPr="0094670F" w:rsidRDefault="005F7DCB" w:rsidP="007C18E4">
      <w:pPr>
        <w:pStyle w:val="FootnoteText"/>
        <w:spacing w:after="0"/>
        <w:rPr>
          <w:sz w:val="18"/>
          <w:szCs w:val="18"/>
        </w:rPr>
      </w:pPr>
      <w:r>
        <w:rPr>
          <w:sz w:val="18"/>
        </w:rPr>
        <w:t>(</w:t>
      </w:r>
      <w:r>
        <w:rPr>
          <w:rStyle w:val="FootnoteReference"/>
          <w:sz w:val="18"/>
          <w:szCs w:val="18"/>
        </w:rPr>
        <w:footnoteRef/>
      </w:r>
      <w:r>
        <w:rPr>
          <w:sz w:val="18"/>
        </w:rPr>
        <w:t>)</w:t>
      </w:r>
      <w:r>
        <w:tab/>
        <w:t xml:space="preserve">I overensstemmelse med </w:t>
      </w:r>
      <w:hyperlink r:id="rId2" w:history="1">
        <w:r>
          <w:rPr>
            <w:rStyle w:val="Hyperlink"/>
            <w:sz w:val="18"/>
          </w:rPr>
          <w:t>FN's konvention om rettigheder for personer med handicap</w:t>
        </w:r>
      </w:hyperlink>
      <w:r>
        <w:t>, som EU er part i.</w:t>
      </w:r>
    </w:p>
  </w:footnote>
  <w:footnote w:id="4">
    <w:p w14:paraId="7E62CC15" w14:textId="02FC51F7" w:rsidR="008D0767" w:rsidRPr="00531304" w:rsidRDefault="008D0767" w:rsidP="007C18E4">
      <w:pPr>
        <w:pStyle w:val="FootnoteText"/>
        <w:spacing w:after="0"/>
        <w:rPr>
          <w:sz w:val="18"/>
          <w:szCs w:val="18"/>
          <w:lang w:val="en-IE"/>
        </w:rPr>
      </w:pPr>
      <w:r w:rsidRPr="00531304">
        <w:rPr>
          <w:sz w:val="18"/>
          <w:lang w:val="en-IE"/>
        </w:rPr>
        <w:t>(</w:t>
      </w:r>
      <w:r>
        <w:rPr>
          <w:rStyle w:val="FootnoteReference"/>
          <w:sz w:val="18"/>
          <w:szCs w:val="18"/>
        </w:rPr>
        <w:footnoteRef/>
      </w:r>
      <w:r w:rsidRPr="00531304">
        <w:rPr>
          <w:sz w:val="18"/>
          <w:lang w:val="en-IE"/>
        </w:rPr>
        <w:t>)</w:t>
      </w:r>
      <w:r w:rsidRPr="00531304">
        <w:rPr>
          <w:lang w:val="en-IE"/>
        </w:rPr>
        <w:tab/>
      </w:r>
      <w:hyperlink r:id="rId3" w:history="1">
        <w:r w:rsidRPr="00531304">
          <w:rPr>
            <w:rStyle w:val="Hyperlink"/>
            <w:sz w:val="18"/>
            <w:lang w:val="en-IE"/>
          </w:rPr>
          <w:t>Global Humanitarian Overview 2024 [EN/AR/FR/ES] |</w:t>
        </w:r>
      </w:hyperlink>
      <w:hyperlink r:id="rId4" w:history="1">
        <w:r w:rsidRPr="00531304">
          <w:rPr>
            <w:rStyle w:val="Hyperlink"/>
            <w:sz w:val="18"/>
            <w:lang w:val="en-IE"/>
          </w:rPr>
          <w:t xml:space="preserve"> OCHA</w:t>
        </w:r>
      </w:hyperlink>
      <w:r w:rsidRPr="00531304">
        <w:rPr>
          <w:lang w:val="en-IE"/>
        </w:rPr>
        <w:t>.</w:t>
      </w:r>
    </w:p>
  </w:footnote>
  <w:footnote w:id="5">
    <w:p w14:paraId="71067255" w14:textId="325A74AA" w:rsidR="008D0767" w:rsidRPr="00531304" w:rsidRDefault="008D0767" w:rsidP="007C18E4">
      <w:pPr>
        <w:pStyle w:val="FootnoteText"/>
        <w:spacing w:after="0"/>
        <w:rPr>
          <w:lang w:val="en-IE"/>
        </w:rPr>
      </w:pPr>
      <w:r w:rsidRPr="00531304">
        <w:rPr>
          <w:sz w:val="18"/>
          <w:lang w:val="en-IE"/>
        </w:rPr>
        <w:t>(</w:t>
      </w:r>
      <w:r>
        <w:rPr>
          <w:rStyle w:val="FootnoteReference"/>
          <w:sz w:val="18"/>
          <w:szCs w:val="18"/>
        </w:rPr>
        <w:footnoteRef/>
      </w:r>
      <w:r w:rsidRPr="00531304">
        <w:rPr>
          <w:sz w:val="18"/>
          <w:lang w:val="en-IE"/>
        </w:rPr>
        <w:t>)</w:t>
      </w:r>
      <w:r w:rsidRPr="00531304">
        <w:rPr>
          <w:lang w:val="en-IE"/>
        </w:rPr>
        <w:tab/>
      </w:r>
      <w:hyperlink r:id="rId5" w:history="1">
        <w:r w:rsidRPr="00531304">
          <w:rPr>
            <w:rStyle w:val="Hyperlink"/>
            <w:sz w:val="18"/>
            <w:lang w:val="en-IE"/>
          </w:rPr>
          <w:t>2025 Global Report on Food Crises |</w:t>
        </w:r>
      </w:hyperlink>
      <w:hyperlink r:id="rId6" w:history="1">
        <w:r w:rsidRPr="00531304">
          <w:rPr>
            <w:rStyle w:val="Hyperlink"/>
            <w:sz w:val="18"/>
            <w:lang w:val="en-IE"/>
          </w:rPr>
          <w:t xml:space="preserve"> FSIN og GNAFC.</w:t>
        </w:r>
      </w:hyperlink>
      <w:hyperlink r:id="rId7" w:history="1">
        <w:r w:rsidRPr="00531304">
          <w:rPr>
            <w:rStyle w:val="Hyperlink"/>
            <w:sz w:val="18"/>
            <w:lang w:val="en-IE"/>
          </w:rPr>
          <w:t xml:space="preserve"> 2025.</w:t>
        </w:r>
      </w:hyperlink>
      <w:hyperlink r:id="rId8" w:history="1">
        <w:r w:rsidRPr="00531304">
          <w:rPr>
            <w:rStyle w:val="Hyperlink"/>
            <w:sz w:val="18"/>
            <w:lang w:val="en-IE"/>
          </w:rPr>
          <w:t xml:space="preserve"> GRFC 2025.</w:t>
        </w:r>
      </w:hyperlink>
      <w:hyperlink r:id="rId9" w:history="1">
        <w:r w:rsidRPr="00531304">
          <w:rPr>
            <w:rStyle w:val="Hyperlink"/>
            <w:sz w:val="18"/>
            <w:lang w:val="en-IE"/>
          </w:rPr>
          <w:t xml:space="preserve"> Rom</w:t>
        </w:r>
      </w:hyperlink>
      <w:r w:rsidRPr="00531304">
        <w:rPr>
          <w:sz w:val="18"/>
          <w:lang w:val="en-IE"/>
        </w:rPr>
        <w:t>.</w:t>
      </w:r>
    </w:p>
  </w:footnote>
  <w:footnote w:id="6">
    <w:p w14:paraId="24368CD7" w14:textId="2E6701F4" w:rsidR="001C776E" w:rsidRPr="00531304" w:rsidRDefault="001C776E" w:rsidP="001C776E">
      <w:pPr>
        <w:pStyle w:val="FootnoteText"/>
        <w:spacing w:after="0"/>
        <w:rPr>
          <w:sz w:val="18"/>
          <w:szCs w:val="18"/>
          <w:lang w:val="en-IE"/>
        </w:rPr>
      </w:pPr>
      <w:r w:rsidRPr="00531304">
        <w:rPr>
          <w:sz w:val="18"/>
          <w:lang w:val="en-IE"/>
        </w:rPr>
        <w:t>(</w:t>
      </w:r>
      <w:r>
        <w:rPr>
          <w:rStyle w:val="FootnoteReference"/>
          <w:sz w:val="18"/>
          <w:szCs w:val="18"/>
        </w:rPr>
        <w:footnoteRef/>
      </w:r>
      <w:r w:rsidRPr="00531304">
        <w:rPr>
          <w:sz w:val="18"/>
          <w:lang w:val="en-IE"/>
        </w:rPr>
        <w:t>)</w:t>
      </w:r>
      <w:r w:rsidRPr="00531304">
        <w:rPr>
          <w:lang w:val="en-IE"/>
        </w:rPr>
        <w:tab/>
      </w:r>
      <w:r w:rsidRPr="00531304">
        <w:rPr>
          <w:sz w:val="18"/>
          <w:lang w:val="en-IE"/>
        </w:rPr>
        <w:t>Défis Humanitaires &lt;</w:t>
      </w:r>
      <w:hyperlink r:id="rId10" w:anchor=":~:text=Projections%20for%202024%20indicate%20that%20humanitarian%20funding%20could,311%20million%20people%20in%20need%20of%20humanitarian%20aid." w:history="1">
        <w:r w:rsidRPr="00531304">
          <w:rPr>
            <w:rStyle w:val="Hyperlink"/>
            <w:sz w:val="18"/>
            <w:lang w:val="en-IE"/>
          </w:rPr>
          <w:t>Summary :</w:t>
        </w:r>
      </w:hyperlink>
      <w:hyperlink r:id="rId11" w:anchor=":~:text=Projections%20for%202024%20indicate%20that%20humanitarian%20funding%20could,311%20million%20people%20in%20need%20of%20humanitarian%20aid." w:history="1">
        <w:r w:rsidRPr="00531304">
          <w:rPr>
            <w:rStyle w:val="Hyperlink"/>
            <w:sz w:val="18"/>
            <w:lang w:val="en-IE"/>
          </w:rPr>
          <w:t xml:space="preserve"> "Falling short ?</w:t>
        </w:r>
      </w:hyperlink>
      <w:hyperlink r:id="rId12" w:anchor=":~:text=Projections%20for%202024%20indicate%20that%20humanitarian%20funding%20could,311%20million%20people%20in%20need%20of%20humanitarian%20aid." w:history="1">
        <w:r w:rsidRPr="00531304">
          <w:rPr>
            <w:rStyle w:val="Hyperlink"/>
            <w:sz w:val="18"/>
            <w:lang w:val="en-IE"/>
          </w:rPr>
          <w:t xml:space="preserve"> Humanitarian funding and reform" – Défis Humanitaires</w:t>
        </w:r>
      </w:hyperlink>
      <w:r w:rsidRPr="00531304">
        <w:rPr>
          <w:sz w:val="18"/>
          <w:lang w:val="en-IE"/>
        </w:rPr>
        <w:t>&gt;</w:t>
      </w:r>
      <w:r w:rsidRPr="00531304">
        <w:rPr>
          <w:lang w:val="en-IE"/>
        </w:rPr>
        <w:t>.</w:t>
      </w:r>
    </w:p>
  </w:footnote>
  <w:footnote w:id="7">
    <w:p w14:paraId="41A6E4DC" w14:textId="3410124A" w:rsidR="00EF65F5" w:rsidRPr="00531304" w:rsidRDefault="00EF65F5" w:rsidP="00C91A36">
      <w:pPr>
        <w:pStyle w:val="FootnoteText"/>
        <w:spacing w:after="0"/>
        <w:rPr>
          <w:sz w:val="18"/>
          <w:szCs w:val="18"/>
          <w:lang w:val="en-IE"/>
        </w:rPr>
      </w:pPr>
      <w:r w:rsidRPr="00531304">
        <w:rPr>
          <w:sz w:val="18"/>
          <w:lang w:val="en-IE"/>
        </w:rPr>
        <w:t>(</w:t>
      </w:r>
      <w:r>
        <w:rPr>
          <w:rStyle w:val="FootnoteReference"/>
          <w:sz w:val="18"/>
          <w:szCs w:val="18"/>
        </w:rPr>
        <w:footnoteRef/>
      </w:r>
      <w:r w:rsidRPr="00531304">
        <w:rPr>
          <w:sz w:val="18"/>
          <w:lang w:val="en-IE"/>
        </w:rPr>
        <w:t>)</w:t>
      </w:r>
      <w:r w:rsidRPr="00531304">
        <w:rPr>
          <w:lang w:val="en-IE"/>
        </w:rPr>
        <w:tab/>
      </w:r>
      <w:hyperlink r:id="rId13" w:anchor=":~:text=The%20death%20toll%20of%20humanitarian%20workers%20in%202024,Friday.%20The%20grim%20milestone%20has%20surpassed%20previous%20records." w:history="1">
        <w:r w:rsidRPr="00531304">
          <w:rPr>
            <w:rStyle w:val="Hyperlink"/>
            <w:sz w:val="18"/>
            <w:lang w:val="en-IE"/>
          </w:rPr>
          <w:t>2024 deadliest year ever for aid workers, UN humanitarian office reports |</w:t>
        </w:r>
      </w:hyperlink>
      <w:hyperlink r:id="rId14" w:anchor=":~:text=The%20death%20toll%20of%20humanitarian%20workers%20in%202024,Friday.%20The%20grim%20milestone%20has%20surpassed%20previous%20records." w:history="1">
        <w:r w:rsidRPr="00531304">
          <w:rPr>
            <w:rStyle w:val="Hyperlink"/>
            <w:sz w:val="18"/>
            <w:lang w:val="en-IE"/>
          </w:rPr>
          <w:t>UN News</w:t>
        </w:r>
      </w:hyperlink>
      <w:r w:rsidRPr="00531304">
        <w:rPr>
          <w:lang w:val="en-IE"/>
        </w:rPr>
        <w:t>.</w:t>
      </w:r>
    </w:p>
  </w:footnote>
  <w:footnote w:id="8">
    <w:p w14:paraId="187124B3" w14:textId="036FB231" w:rsidR="00BC72A2" w:rsidRPr="0094670F" w:rsidRDefault="00BC72A2" w:rsidP="00C91A36">
      <w:pPr>
        <w:pStyle w:val="FootnoteText"/>
        <w:spacing w:after="0"/>
        <w:rPr>
          <w:sz w:val="18"/>
          <w:szCs w:val="18"/>
        </w:rPr>
      </w:pPr>
      <w:r>
        <w:rPr>
          <w:sz w:val="18"/>
        </w:rPr>
        <w:t>(</w:t>
      </w:r>
      <w:r>
        <w:rPr>
          <w:rStyle w:val="FootnoteReference"/>
          <w:sz w:val="18"/>
          <w:szCs w:val="18"/>
        </w:rPr>
        <w:footnoteRef/>
      </w:r>
      <w:r>
        <w:rPr>
          <w:sz w:val="18"/>
        </w:rPr>
        <w:t>)</w:t>
      </w:r>
      <w:r>
        <w:tab/>
      </w:r>
      <w:r>
        <w:rPr>
          <w:rStyle w:val="Hyperlink"/>
        </w:rPr>
        <w:t>Meddelelse</w:t>
      </w:r>
      <w:r>
        <w:t xml:space="preserve"> fra Kommissionen til Europa-Parlamentet og Rådet </w:t>
      </w:r>
      <w:hyperlink r:id="rId15" w:history="1">
        <w:r>
          <w:rPr>
            <w:rStyle w:val="Hyperlink"/>
            <w:sz w:val="18"/>
          </w:rPr>
          <w:t>om EU's humanitære indsats:</w:t>
        </w:r>
      </w:hyperlink>
      <w:hyperlink r:id="rId16" w:history="1">
        <w:r>
          <w:rPr>
            <w:rStyle w:val="Hyperlink"/>
            <w:sz w:val="18"/>
          </w:rPr>
          <w:t>nye udfordringer, samme principper</w:t>
        </w:r>
      </w:hyperlink>
      <w:r>
        <w:t>.</w:t>
      </w:r>
      <w:r>
        <w:rPr>
          <w:sz w:val="18"/>
        </w:rPr>
        <w:t xml:space="preserve"> COM(2021) 110 final.</w:t>
      </w:r>
    </w:p>
  </w:footnote>
  <w:footnote w:id="9">
    <w:p w14:paraId="03B40150" w14:textId="44F638F3" w:rsidR="00591888" w:rsidRPr="00591888" w:rsidRDefault="00591888" w:rsidP="00591888">
      <w:pPr>
        <w:pStyle w:val="FootnoteText"/>
        <w:spacing w:after="0"/>
      </w:pPr>
      <w:r>
        <w:t>(</w:t>
      </w:r>
      <w:r>
        <w:rPr>
          <w:rStyle w:val="FootnoteReference"/>
        </w:rPr>
        <w:footnoteRef/>
      </w:r>
      <w:r>
        <w:t>)</w:t>
      </w:r>
      <w:r>
        <w:tab/>
        <w:t xml:space="preserve">For at støtte en evidensbaseret tilgang til kortlægning og kontekstuel analyse af risici og behov anvender Kommissionen </w:t>
      </w:r>
      <w:hyperlink r:id="rId17" w:history="1">
        <w:r>
          <w:rPr>
            <w:rStyle w:val="Hyperlink"/>
          </w:rPr>
          <w:t>INFORM</w:t>
        </w:r>
      </w:hyperlink>
      <w:r>
        <w:t>.</w:t>
      </w:r>
    </w:p>
  </w:footnote>
  <w:footnote w:id="10">
    <w:p w14:paraId="6330BF14" w14:textId="1439EDAC" w:rsidR="001C776E" w:rsidRPr="00531304" w:rsidRDefault="001C776E" w:rsidP="001C776E">
      <w:pPr>
        <w:pStyle w:val="FootnoteText"/>
        <w:spacing w:after="0"/>
        <w:rPr>
          <w:sz w:val="18"/>
          <w:szCs w:val="18"/>
          <w:lang w:val="en-IE"/>
        </w:rPr>
      </w:pPr>
      <w:r w:rsidRPr="00531304">
        <w:rPr>
          <w:sz w:val="18"/>
          <w:lang w:val="en-IE"/>
        </w:rPr>
        <w:t>(</w:t>
      </w:r>
      <w:r>
        <w:rPr>
          <w:rStyle w:val="FootnoteReference"/>
          <w:sz w:val="18"/>
          <w:szCs w:val="18"/>
        </w:rPr>
        <w:footnoteRef/>
      </w:r>
      <w:r w:rsidRPr="00531304">
        <w:rPr>
          <w:sz w:val="18"/>
          <w:lang w:val="en-IE"/>
        </w:rPr>
        <w:t>)</w:t>
      </w:r>
      <w:r w:rsidRPr="00531304">
        <w:rPr>
          <w:lang w:val="en-IE"/>
        </w:rPr>
        <w:tab/>
      </w:r>
      <w:r w:rsidRPr="00531304">
        <w:rPr>
          <w:sz w:val="18"/>
          <w:lang w:val="en-IE"/>
        </w:rPr>
        <w:t>OCHA Financial Tracking Service &lt;</w:t>
      </w:r>
      <w:hyperlink r:id="rId18" w:history="1">
        <w:r w:rsidRPr="00531304">
          <w:rPr>
            <w:rStyle w:val="Hyperlink"/>
            <w:sz w:val="18"/>
            <w:lang w:val="en-IE"/>
          </w:rPr>
          <w:t>Financial Tracking Service</w:t>
        </w:r>
      </w:hyperlink>
      <w:r w:rsidRPr="00531304">
        <w:rPr>
          <w:sz w:val="18"/>
          <w:lang w:val="en-IE"/>
        </w:rPr>
        <w:t>&gt;</w:t>
      </w:r>
      <w:r w:rsidRPr="00531304">
        <w:rPr>
          <w:lang w:val="en-IE"/>
        </w:rPr>
        <w:t>.</w:t>
      </w:r>
    </w:p>
  </w:footnote>
  <w:footnote w:id="11">
    <w:p w14:paraId="283B6262" w14:textId="22880362" w:rsidR="00F61530" w:rsidRPr="00F61530" w:rsidRDefault="00F61530">
      <w:pPr>
        <w:pStyle w:val="FootnoteText"/>
      </w:pPr>
      <w:r>
        <w:rPr>
          <w:sz w:val="18"/>
        </w:rPr>
        <w:t>(</w:t>
      </w:r>
      <w:r>
        <w:rPr>
          <w:rStyle w:val="FootnoteReference"/>
          <w:sz w:val="18"/>
          <w:szCs w:val="18"/>
        </w:rPr>
        <w:footnoteRef/>
      </w:r>
      <w:r>
        <w:rPr>
          <w:sz w:val="18"/>
        </w:rPr>
        <w:t>)</w:t>
      </w:r>
      <w:r>
        <w:tab/>
      </w:r>
      <w:r>
        <w:rPr>
          <w:sz w:val="18"/>
        </w:rPr>
        <w:t>Betegnelsen Palæstina må ikke udlægges som en anerkendelse af en palæstinensisk stat og berører ikke de enkelte medlemsstaters holdninger til dette spørgsmål.</w:t>
      </w:r>
    </w:p>
  </w:footnote>
  <w:footnote w:id="12">
    <w:p w14:paraId="328EC83E" w14:textId="6B841E49" w:rsidR="00335276" w:rsidRPr="009E7E49" w:rsidRDefault="00335276" w:rsidP="0036474D">
      <w:pPr>
        <w:pStyle w:val="FootnoteText"/>
        <w:spacing w:after="0"/>
        <w:rPr>
          <w:sz w:val="18"/>
          <w:szCs w:val="18"/>
        </w:rPr>
      </w:pPr>
      <w:r>
        <w:rPr>
          <w:sz w:val="18"/>
        </w:rPr>
        <w:t>(</w:t>
      </w:r>
      <w:r>
        <w:rPr>
          <w:rStyle w:val="FootnoteReference"/>
          <w:sz w:val="18"/>
          <w:szCs w:val="18"/>
        </w:rPr>
        <w:footnoteRef/>
      </w:r>
      <w:r>
        <w:rPr>
          <w:sz w:val="18"/>
        </w:rPr>
        <w:t>)</w:t>
      </w:r>
      <w:r>
        <w:tab/>
      </w:r>
      <w:r>
        <w:rPr>
          <w:sz w:val="18"/>
        </w:rPr>
        <w:t>Sudan, Afghanistan, Ukraine, Venezuela, Colombia og Haiti.</w:t>
      </w:r>
    </w:p>
  </w:footnote>
  <w:footnote w:id="13">
    <w:p w14:paraId="54C679F2" w14:textId="6F3256FF" w:rsidR="005056F1" w:rsidRPr="0094670F" w:rsidRDefault="005056F1" w:rsidP="0036474D">
      <w:pPr>
        <w:pStyle w:val="FootnoteText"/>
        <w:spacing w:after="0"/>
        <w:rPr>
          <w:sz w:val="18"/>
          <w:szCs w:val="18"/>
        </w:rPr>
      </w:pPr>
      <w:r>
        <w:rPr>
          <w:sz w:val="18"/>
        </w:rPr>
        <w:t>(</w:t>
      </w:r>
      <w:r>
        <w:rPr>
          <w:rStyle w:val="FootnoteReference"/>
          <w:sz w:val="18"/>
          <w:szCs w:val="18"/>
        </w:rPr>
        <w:footnoteRef/>
      </w:r>
      <w:r>
        <w:rPr>
          <w:sz w:val="18"/>
        </w:rPr>
        <w:t>)</w:t>
      </w:r>
      <w:r>
        <w:tab/>
      </w:r>
      <w:hyperlink r:id="rId19" w:history="1">
        <w:r>
          <w:rPr>
            <w:rStyle w:val="Hyperlink"/>
            <w:sz w:val="18"/>
          </w:rPr>
          <w:t>Programpartnerskaber</w:t>
        </w:r>
      </w:hyperlink>
      <w:r>
        <w:t>.</w:t>
      </w:r>
    </w:p>
  </w:footnote>
  <w:footnote w:id="14">
    <w:p w14:paraId="7945FFF9" w14:textId="6261609A" w:rsidR="00945542" w:rsidRPr="0094670F" w:rsidRDefault="00945542" w:rsidP="0036474D">
      <w:pPr>
        <w:pStyle w:val="FootnoteText"/>
        <w:spacing w:after="0"/>
        <w:rPr>
          <w:sz w:val="18"/>
          <w:szCs w:val="18"/>
        </w:rPr>
      </w:pPr>
      <w:r>
        <w:rPr>
          <w:sz w:val="18"/>
        </w:rPr>
        <w:t>(</w:t>
      </w:r>
      <w:r>
        <w:rPr>
          <w:rStyle w:val="FootnoteReference"/>
          <w:sz w:val="18"/>
          <w:szCs w:val="18"/>
        </w:rPr>
        <w:footnoteRef/>
      </w:r>
      <w:r>
        <w:rPr>
          <w:sz w:val="18"/>
        </w:rPr>
        <w:t>)</w:t>
      </w:r>
      <w:r>
        <w:tab/>
      </w:r>
      <w:hyperlink r:id="rId20" w:history="1">
        <w:r>
          <w:rPr>
            <w:rStyle w:val="Hyperlink"/>
            <w:sz w:val="18"/>
          </w:rPr>
          <w:t>Grand Bargain-aftalen</w:t>
        </w:r>
      </w:hyperlink>
      <w:r>
        <w:t>.</w:t>
      </w:r>
    </w:p>
  </w:footnote>
  <w:footnote w:id="15">
    <w:p w14:paraId="098EF5EF" w14:textId="154DEDE5" w:rsidR="00D90399" w:rsidRPr="0094670F" w:rsidRDefault="00D90399" w:rsidP="0036474D">
      <w:pPr>
        <w:pStyle w:val="FootnoteText"/>
        <w:spacing w:after="0"/>
        <w:rPr>
          <w:sz w:val="18"/>
          <w:szCs w:val="18"/>
        </w:rPr>
      </w:pPr>
      <w:r>
        <w:rPr>
          <w:sz w:val="18"/>
        </w:rPr>
        <w:t>(</w:t>
      </w:r>
      <w:r>
        <w:rPr>
          <w:rStyle w:val="FootnoteReference"/>
          <w:sz w:val="18"/>
          <w:szCs w:val="18"/>
        </w:rPr>
        <w:footnoteRef/>
      </w:r>
      <w:r>
        <w:rPr>
          <w:sz w:val="18"/>
        </w:rPr>
        <w:t>)</w:t>
      </w:r>
      <w:r>
        <w:tab/>
      </w:r>
      <w:hyperlink r:id="rId21" w:history="1">
        <w:r>
          <w:rPr>
            <w:rStyle w:val="Hyperlink"/>
            <w:sz w:val="18"/>
          </w:rPr>
          <w:t>Europæisk humanitær beredskabskapacitet (EHRC) – Europa-Kommissionen</w:t>
        </w:r>
      </w:hyperlink>
      <w:r>
        <w:t>.</w:t>
      </w:r>
    </w:p>
  </w:footnote>
  <w:footnote w:id="16">
    <w:p w14:paraId="74B770C0" w14:textId="57AD00E1" w:rsidR="004F0A49" w:rsidRPr="0094670F" w:rsidRDefault="004F0A49">
      <w:pPr>
        <w:pStyle w:val="FootnoteText"/>
        <w:rPr>
          <w:sz w:val="18"/>
          <w:szCs w:val="18"/>
        </w:rPr>
      </w:pPr>
      <w:r>
        <w:rPr>
          <w:sz w:val="18"/>
        </w:rPr>
        <w:t>(</w:t>
      </w:r>
      <w:r>
        <w:rPr>
          <w:rStyle w:val="FootnoteReference"/>
          <w:sz w:val="18"/>
          <w:szCs w:val="18"/>
        </w:rPr>
        <w:footnoteRef/>
      </w:r>
      <w:r>
        <w:rPr>
          <w:sz w:val="18"/>
        </w:rPr>
        <w:t>)</w:t>
      </w:r>
      <w:r>
        <w:tab/>
      </w:r>
      <w:r>
        <w:rPr>
          <w:sz w:val="18"/>
        </w:rPr>
        <w:t xml:space="preserve">Afghanistan, Burkina Faso, Tchad, Cuba, Den Demokratiske Republik Congo, Haiti, Laos, Libanon, Mali, Niger, Palæstina, Rwanda, Saint Vincent og Grenadinerne, Somalia, Sudan og Syrien. </w:t>
      </w:r>
    </w:p>
  </w:footnote>
  <w:footnote w:id="17">
    <w:p w14:paraId="28CE98E3" w14:textId="7B73173E" w:rsidR="002E778E" w:rsidRPr="002E778E" w:rsidRDefault="002E778E" w:rsidP="002E778E">
      <w:pPr>
        <w:pStyle w:val="CommentText"/>
        <w:spacing w:after="0"/>
        <w:jc w:val="left"/>
      </w:pPr>
      <w:r>
        <w:t>(</w:t>
      </w:r>
      <w:r>
        <w:rPr>
          <w:rStyle w:val="FootnoteReference"/>
        </w:rPr>
        <w:footnoteRef/>
      </w:r>
      <w:r>
        <w:t>) Indsatsen mod mpox er et godt eksempel på synergier i EU. Operationen omfattede samarbejde med Det Europæiske Center for Forebyggelse af og Kontrol med Sygdomme.</w:t>
      </w:r>
    </w:p>
  </w:footnote>
  <w:footnote w:id="18">
    <w:p w14:paraId="0AAE030B" w14:textId="1437672A" w:rsidR="004F0A49" w:rsidRPr="00531304" w:rsidRDefault="004F0A49" w:rsidP="0094670F">
      <w:pPr>
        <w:pStyle w:val="FootnoteText"/>
        <w:spacing w:after="0"/>
        <w:rPr>
          <w:lang w:val="en-IE"/>
        </w:rPr>
      </w:pPr>
      <w:r w:rsidRPr="00531304">
        <w:rPr>
          <w:sz w:val="18"/>
          <w:lang w:val="en-IE"/>
        </w:rPr>
        <w:t>(</w:t>
      </w:r>
      <w:r>
        <w:rPr>
          <w:rStyle w:val="FootnoteReference"/>
          <w:sz w:val="18"/>
          <w:szCs w:val="18"/>
        </w:rPr>
        <w:footnoteRef/>
      </w:r>
      <w:r w:rsidRPr="00531304">
        <w:rPr>
          <w:sz w:val="18"/>
          <w:lang w:val="en-IE"/>
        </w:rPr>
        <w:t>)</w:t>
      </w:r>
      <w:r w:rsidRPr="00531304">
        <w:rPr>
          <w:lang w:val="en-IE"/>
        </w:rPr>
        <w:tab/>
      </w:r>
      <w:hyperlink r:id="rId22" w:history="1">
        <w:r w:rsidRPr="00531304">
          <w:rPr>
            <w:rStyle w:val="Hyperlink"/>
            <w:sz w:val="18"/>
            <w:lang w:val="en-IE"/>
          </w:rPr>
          <w:t>Global Estimates 2025 Update |</w:t>
        </w:r>
      </w:hyperlink>
      <w:hyperlink r:id="rId23" w:history="1">
        <w:r w:rsidRPr="00531304">
          <w:rPr>
            <w:rStyle w:val="Hyperlink"/>
            <w:sz w:val="18"/>
            <w:lang w:val="en-IE"/>
          </w:rPr>
          <w:t xml:space="preserve"> Education Cannot Wait</w:t>
        </w:r>
      </w:hyperlink>
      <w:r w:rsidRPr="00531304">
        <w:rPr>
          <w:lang w:val="en-IE"/>
        </w:rPr>
        <w:t>.</w:t>
      </w:r>
    </w:p>
  </w:footnote>
  <w:footnote w:id="19">
    <w:p w14:paraId="41C473B0" w14:textId="7773CF91" w:rsidR="00455E03" w:rsidRPr="00180A88" w:rsidRDefault="00455E03">
      <w:pPr>
        <w:pStyle w:val="FootnoteText"/>
      </w:pPr>
      <w:r>
        <w:rPr>
          <w:sz w:val="18"/>
        </w:rPr>
        <w:t>(</w:t>
      </w:r>
      <w:r>
        <w:rPr>
          <w:rStyle w:val="FootnoteReference"/>
          <w:sz w:val="18"/>
          <w:szCs w:val="18"/>
        </w:rPr>
        <w:footnoteRef/>
      </w:r>
      <w:r>
        <w:rPr>
          <w:sz w:val="18"/>
        </w:rPr>
        <w:t>)</w:t>
      </w:r>
      <w:r>
        <w:tab/>
      </w:r>
      <w:hyperlink r:id="rId24" w:history="1">
        <w:r>
          <w:rPr>
            <w:rStyle w:val="Hyperlink"/>
            <w:sz w:val="18"/>
          </w:rPr>
          <w:t>Memorandum of Understanding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C55F" w14:textId="77777777" w:rsidR="003D613E" w:rsidRPr="003D613E" w:rsidRDefault="003D613E" w:rsidP="003D613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1F942" w14:textId="77777777" w:rsidR="003D613E" w:rsidRPr="003D613E" w:rsidRDefault="003D613E" w:rsidP="003D613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9E2E" w14:textId="77777777" w:rsidR="003D613E" w:rsidRPr="003D613E" w:rsidRDefault="003D613E" w:rsidP="003D613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E14BC" w14:textId="77777777" w:rsidR="00120609" w:rsidRDefault="001206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9B986" w14:textId="77777777" w:rsidR="00120609" w:rsidRDefault="001206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30838" w14:textId="77777777" w:rsidR="00120609" w:rsidRDefault="0012060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8C1"/>
    <w:multiLevelType w:val="multilevel"/>
    <w:tmpl w:val="E5E2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90E2F"/>
    <w:multiLevelType w:val="hybridMultilevel"/>
    <w:tmpl w:val="4C28094A"/>
    <w:lvl w:ilvl="0" w:tplc="9530CB7C">
      <w:start w:val="1"/>
      <w:numFmt w:val="decimal"/>
      <w:lvlText w:val="%1."/>
      <w:lvlJc w:val="left"/>
      <w:pPr>
        <w:ind w:left="720" w:hanging="360"/>
      </w:pPr>
    </w:lvl>
    <w:lvl w:ilvl="1" w:tplc="EFB2178C">
      <w:start w:val="1"/>
      <w:numFmt w:val="lowerLetter"/>
      <w:lvlText w:val="%2."/>
      <w:lvlJc w:val="left"/>
      <w:pPr>
        <w:ind w:left="1440" w:hanging="360"/>
      </w:pPr>
    </w:lvl>
    <w:lvl w:ilvl="2" w:tplc="B63C9378">
      <w:start w:val="1"/>
      <w:numFmt w:val="lowerRoman"/>
      <w:lvlText w:val="%3."/>
      <w:lvlJc w:val="right"/>
      <w:pPr>
        <w:ind w:left="2160" w:hanging="180"/>
      </w:pPr>
    </w:lvl>
    <w:lvl w:ilvl="3" w:tplc="E77C245E">
      <w:start w:val="1"/>
      <w:numFmt w:val="decimal"/>
      <w:lvlText w:val="%4."/>
      <w:lvlJc w:val="left"/>
      <w:pPr>
        <w:ind w:left="2880" w:hanging="360"/>
      </w:pPr>
    </w:lvl>
    <w:lvl w:ilvl="4" w:tplc="845AF9FA">
      <w:start w:val="1"/>
      <w:numFmt w:val="lowerLetter"/>
      <w:lvlText w:val="%5."/>
      <w:lvlJc w:val="left"/>
      <w:pPr>
        <w:ind w:left="3600" w:hanging="360"/>
      </w:pPr>
    </w:lvl>
    <w:lvl w:ilvl="5" w:tplc="8EA6DBF4">
      <w:start w:val="1"/>
      <w:numFmt w:val="lowerRoman"/>
      <w:lvlText w:val="%6."/>
      <w:lvlJc w:val="right"/>
      <w:pPr>
        <w:ind w:left="4320" w:hanging="180"/>
      </w:pPr>
    </w:lvl>
    <w:lvl w:ilvl="6" w:tplc="AB6839C4">
      <w:start w:val="1"/>
      <w:numFmt w:val="decimal"/>
      <w:lvlText w:val="%7."/>
      <w:lvlJc w:val="left"/>
      <w:pPr>
        <w:ind w:left="5040" w:hanging="360"/>
      </w:pPr>
    </w:lvl>
    <w:lvl w:ilvl="7" w:tplc="7E108DEE">
      <w:start w:val="1"/>
      <w:numFmt w:val="lowerLetter"/>
      <w:lvlText w:val="%8."/>
      <w:lvlJc w:val="left"/>
      <w:pPr>
        <w:ind w:left="5760" w:hanging="360"/>
      </w:pPr>
    </w:lvl>
    <w:lvl w:ilvl="8" w:tplc="687A8618">
      <w:start w:val="1"/>
      <w:numFmt w:val="lowerRoman"/>
      <w:lvlText w:val="%9."/>
      <w:lvlJc w:val="right"/>
      <w:pPr>
        <w:ind w:left="6480" w:hanging="180"/>
      </w:pPr>
    </w:lvl>
  </w:abstractNum>
  <w:abstractNum w:abstractNumId="2" w15:restartNumberingAfterBreak="0">
    <w:nsid w:val="04210BF7"/>
    <w:multiLevelType w:val="multilevel"/>
    <w:tmpl w:val="56F6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900F7"/>
    <w:multiLevelType w:val="multilevel"/>
    <w:tmpl w:val="2410032E"/>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EFB7115"/>
    <w:multiLevelType w:val="multilevel"/>
    <w:tmpl w:val="6CC4093A"/>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7201"/>
    <w:multiLevelType w:val="multilevel"/>
    <w:tmpl w:val="BD50572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8345"/>
    <w:multiLevelType w:val="multilevel"/>
    <w:tmpl w:val="4B9CF1F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F4DC597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356113A"/>
    <w:multiLevelType w:val="hybridMultilevel"/>
    <w:tmpl w:val="07E08A9E"/>
    <w:lvl w:ilvl="0" w:tplc="08090001">
      <w:start w:val="2029"/>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3D0A16"/>
    <w:multiLevelType w:val="multilevel"/>
    <w:tmpl w:val="B6FA4572"/>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464697C"/>
    <w:multiLevelType w:val="multilevel"/>
    <w:tmpl w:val="208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F0AC5"/>
    <w:multiLevelType w:val="multilevel"/>
    <w:tmpl w:val="B3F6807A"/>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C7B624F"/>
    <w:multiLevelType w:val="multilevel"/>
    <w:tmpl w:val="003C71E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D3C3200"/>
    <w:multiLevelType w:val="hybridMultilevel"/>
    <w:tmpl w:val="ACC69EA4"/>
    <w:lvl w:ilvl="0" w:tplc="08090001">
      <w:start w:val="2029"/>
      <w:numFmt w:val="bullet"/>
      <w:lvlText w:val=""/>
      <w:lvlJc w:val="left"/>
      <w:pPr>
        <w:ind w:left="720" w:hanging="360"/>
      </w:pPr>
      <w:rPr>
        <w:rFonts w:ascii="Symbol" w:eastAsia="Times New Roman" w:hAnsi="Symbol"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AF7BBE"/>
    <w:multiLevelType w:val="hybridMultilevel"/>
    <w:tmpl w:val="E1340B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460A01"/>
    <w:multiLevelType w:val="multilevel"/>
    <w:tmpl w:val="ED40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34D61"/>
    <w:multiLevelType w:val="multilevel"/>
    <w:tmpl w:val="6CF4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1E0A1B"/>
    <w:multiLevelType w:val="hybridMultilevel"/>
    <w:tmpl w:val="97787256"/>
    <w:lvl w:ilvl="0" w:tplc="FFFFFFFF">
      <w:start w:val="1"/>
      <w:numFmt w:val="bullet"/>
      <w:lvlText w:val="Ø"/>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8DFDF8"/>
    <w:multiLevelType w:val="multilevel"/>
    <w:tmpl w:val="E6D63DB0"/>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D293CE3"/>
    <w:multiLevelType w:val="multilevel"/>
    <w:tmpl w:val="A69C47B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D293CF4"/>
    <w:multiLevelType w:val="multilevel"/>
    <w:tmpl w:val="A9803666"/>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2FC14188"/>
    <w:multiLevelType w:val="multilevel"/>
    <w:tmpl w:val="5CB6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324F1E"/>
    <w:multiLevelType w:val="multilevel"/>
    <w:tmpl w:val="42369ABA"/>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6FE7D10"/>
    <w:multiLevelType w:val="multilevel"/>
    <w:tmpl w:val="65F0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CB1E1C"/>
    <w:multiLevelType w:val="multilevel"/>
    <w:tmpl w:val="1E6EA1D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3A7730C4"/>
    <w:multiLevelType w:val="multilevel"/>
    <w:tmpl w:val="CDFA889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429E662A"/>
    <w:multiLevelType w:val="multilevel"/>
    <w:tmpl w:val="705AB97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4E1A63DF"/>
    <w:multiLevelType w:val="multilevel"/>
    <w:tmpl w:val="9732F48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4E1A982C"/>
    <w:multiLevelType w:val="multilevel"/>
    <w:tmpl w:val="CDD84B7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5072619B"/>
    <w:multiLevelType w:val="multilevel"/>
    <w:tmpl w:val="6F0C7BC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50729B52"/>
    <w:multiLevelType w:val="multilevel"/>
    <w:tmpl w:val="E5A0D49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51F0B973"/>
    <w:multiLevelType w:val="hybridMultilevel"/>
    <w:tmpl w:val="A740D258"/>
    <w:lvl w:ilvl="0" w:tplc="00BCA9FC">
      <w:start w:val="1"/>
      <w:numFmt w:val="bullet"/>
      <w:lvlText w:val="–"/>
      <w:lvlJc w:val="left"/>
      <w:pPr>
        <w:ind w:left="720" w:hanging="360"/>
      </w:pPr>
      <w:rPr>
        <w:rFonts w:ascii="Times New Roman" w:hAnsi="Times New Roman" w:hint="default"/>
      </w:rPr>
    </w:lvl>
    <w:lvl w:ilvl="1" w:tplc="B31825D8">
      <w:start w:val="1"/>
      <w:numFmt w:val="bullet"/>
      <w:lvlText w:val="o"/>
      <w:lvlJc w:val="left"/>
      <w:pPr>
        <w:ind w:left="1440" w:hanging="360"/>
      </w:pPr>
      <w:rPr>
        <w:rFonts w:ascii="Courier New" w:hAnsi="Courier New" w:hint="default"/>
      </w:rPr>
    </w:lvl>
    <w:lvl w:ilvl="2" w:tplc="1F4E7922">
      <w:start w:val="1"/>
      <w:numFmt w:val="bullet"/>
      <w:lvlText w:val=""/>
      <w:lvlJc w:val="left"/>
      <w:pPr>
        <w:ind w:left="2160" w:hanging="360"/>
      </w:pPr>
      <w:rPr>
        <w:rFonts w:ascii="Wingdings" w:hAnsi="Wingdings" w:hint="default"/>
      </w:rPr>
    </w:lvl>
    <w:lvl w:ilvl="3" w:tplc="87D6B834">
      <w:start w:val="1"/>
      <w:numFmt w:val="bullet"/>
      <w:lvlText w:val=""/>
      <w:lvlJc w:val="left"/>
      <w:pPr>
        <w:ind w:left="2880" w:hanging="360"/>
      </w:pPr>
      <w:rPr>
        <w:rFonts w:ascii="Symbol" w:hAnsi="Symbol" w:hint="default"/>
      </w:rPr>
    </w:lvl>
    <w:lvl w:ilvl="4" w:tplc="218A1E0A">
      <w:start w:val="1"/>
      <w:numFmt w:val="bullet"/>
      <w:lvlText w:val="o"/>
      <w:lvlJc w:val="left"/>
      <w:pPr>
        <w:ind w:left="3600" w:hanging="360"/>
      </w:pPr>
      <w:rPr>
        <w:rFonts w:ascii="Courier New" w:hAnsi="Courier New" w:hint="default"/>
      </w:rPr>
    </w:lvl>
    <w:lvl w:ilvl="5" w:tplc="CDC82970">
      <w:start w:val="1"/>
      <w:numFmt w:val="bullet"/>
      <w:lvlText w:val=""/>
      <w:lvlJc w:val="left"/>
      <w:pPr>
        <w:ind w:left="4320" w:hanging="360"/>
      </w:pPr>
      <w:rPr>
        <w:rFonts w:ascii="Wingdings" w:hAnsi="Wingdings" w:hint="default"/>
      </w:rPr>
    </w:lvl>
    <w:lvl w:ilvl="6" w:tplc="1AFE013C">
      <w:start w:val="1"/>
      <w:numFmt w:val="bullet"/>
      <w:lvlText w:val=""/>
      <w:lvlJc w:val="left"/>
      <w:pPr>
        <w:ind w:left="5040" w:hanging="360"/>
      </w:pPr>
      <w:rPr>
        <w:rFonts w:ascii="Symbol" w:hAnsi="Symbol" w:hint="default"/>
      </w:rPr>
    </w:lvl>
    <w:lvl w:ilvl="7" w:tplc="BE3A4078">
      <w:start w:val="1"/>
      <w:numFmt w:val="bullet"/>
      <w:lvlText w:val="o"/>
      <w:lvlJc w:val="left"/>
      <w:pPr>
        <w:ind w:left="5760" w:hanging="360"/>
      </w:pPr>
      <w:rPr>
        <w:rFonts w:ascii="Courier New" w:hAnsi="Courier New" w:hint="default"/>
      </w:rPr>
    </w:lvl>
    <w:lvl w:ilvl="8" w:tplc="AC502DE4">
      <w:start w:val="1"/>
      <w:numFmt w:val="bullet"/>
      <w:lvlText w:val=""/>
      <w:lvlJc w:val="left"/>
      <w:pPr>
        <w:ind w:left="6480" w:hanging="360"/>
      </w:pPr>
      <w:rPr>
        <w:rFonts w:ascii="Wingdings" w:hAnsi="Wingdings" w:hint="default"/>
      </w:rPr>
    </w:lvl>
  </w:abstractNum>
  <w:abstractNum w:abstractNumId="32" w15:restartNumberingAfterBreak="0">
    <w:nsid w:val="5B6FB005"/>
    <w:multiLevelType w:val="hybridMultilevel"/>
    <w:tmpl w:val="CFB4D5B8"/>
    <w:lvl w:ilvl="0" w:tplc="6A9EAE9C">
      <w:start w:val="1"/>
      <w:numFmt w:val="bullet"/>
      <w:lvlText w:val=""/>
      <w:lvlJc w:val="left"/>
      <w:pPr>
        <w:ind w:left="720" w:hanging="360"/>
      </w:pPr>
      <w:rPr>
        <w:rFonts w:ascii="Symbol" w:hAnsi="Symbol" w:hint="default"/>
      </w:rPr>
    </w:lvl>
    <w:lvl w:ilvl="1" w:tplc="30DA7772">
      <w:start w:val="1"/>
      <w:numFmt w:val="bullet"/>
      <w:lvlText w:val="o"/>
      <w:lvlJc w:val="left"/>
      <w:pPr>
        <w:ind w:left="1440" w:hanging="360"/>
      </w:pPr>
      <w:rPr>
        <w:rFonts w:ascii="Courier New" w:hAnsi="Courier New" w:hint="default"/>
      </w:rPr>
    </w:lvl>
    <w:lvl w:ilvl="2" w:tplc="F05A2B70">
      <w:start w:val="1"/>
      <w:numFmt w:val="bullet"/>
      <w:lvlText w:val=""/>
      <w:lvlJc w:val="left"/>
      <w:pPr>
        <w:ind w:left="2160" w:hanging="360"/>
      </w:pPr>
      <w:rPr>
        <w:rFonts w:ascii="Wingdings" w:hAnsi="Wingdings" w:hint="default"/>
      </w:rPr>
    </w:lvl>
    <w:lvl w:ilvl="3" w:tplc="B46E79BC">
      <w:start w:val="1"/>
      <w:numFmt w:val="bullet"/>
      <w:lvlText w:val=""/>
      <w:lvlJc w:val="left"/>
      <w:pPr>
        <w:ind w:left="2880" w:hanging="360"/>
      </w:pPr>
      <w:rPr>
        <w:rFonts w:ascii="Symbol" w:hAnsi="Symbol" w:hint="default"/>
      </w:rPr>
    </w:lvl>
    <w:lvl w:ilvl="4" w:tplc="C5921C12">
      <w:start w:val="1"/>
      <w:numFmt w:val="bullet"/>
      <w:lvlText w:val="o"/>
      <w:lvlJc w:val="left"/>
      <w:pPr>
        <w:ind w:left="3600" w:hanging="360"/>
      </w:pPr>
      <w:rPr>
        <w:rFonts w:ascii="Courier New" w:hAnsi="Courier New" w:hint="default"/>
      </w:rPr>
    </w:lvl>
    <w:lvl w:ilvl="5" w:tplc="4FA25F3A">
      <w:start w:val="1"/>
      <w:numFmt w:val="bullet"/>
      <w:lvlText w:val=""/>
      <w:lvlJc w:val="left"/>
      <w:pPr>
        <w:ind w:left="4320" w:hanging="360"/>
      </w:pPr>
      <w:rPr>
        <w:rFonts w:ascii="Wingdings" w:hAnsi="Wingdings" w:hint="default"/>
      </w:rPr>
    </w:lvl>
    <w:lvl w:ilvl="6" w:tplc="BB64677A">
      <w:start w:val="1"/>
      <w:numFmt w:val="bullet"/>
      <w:lvlText w:val=""/>
      <w:lvlJc w:val="left"/>
      <w:pPr>
        <w:ind w:left="5040" w:hanging="360"/>
      </w:pPr>
      <w:rPr>
        <w:rFonts w:ascii="Symbol" w:hAnsi="Symbol" w:hint="default"/>
      </w:rPr>
    </w:lvl>
    <w:lvl w:ilvl="7" w:tplc="29D8B43A">
      <w:start w:val="1"/>
      <w:numFmt w:val="bullet"/>
      <w:lvlText w:val="o"/>
      <w:lvlJc w:val="left"/>
      <w:pPr>
        <w:ind w:left="5760" w:hanging="360"/>
      </w:pPr>
      <w:rPr>
        <w:rFonts w:ascii="Courier New" w:hAnsi="Courier New" w:hint="default"/>
      </w:rPr>
    </w:lvl>
    <w:lvl w:ilvl="8" w:tplc="83A022E8">
      <w:start w:val="1"/>
      <w:numFmt w:val="bullet"/>
      <w:lvlText w:val=""/>
      <w:lvlJc w:val="left"/>
      <w:pPr>
        <w:ind w:left="6480" w:hanging="360"/>
      </w:pPr>
      <w:rPr>
        <w:rFonts w:ascii="Wingdings" w:hAnsi="Wingdings" w:hint="default"/>
      </w:rPr>
    </w:lvl>
  </w:abstractNum>
  <w:abstractNum w:abstractNumId="33" w15:restartNumberingAfterBreak="0">
    <w:nsid w:val="67B4423F"/>
    <w:multiLevelType w:val="hybridMultilevel"/>
    <w:tmpl w:val="65980472"/>
    <w:lvl w:ilvl="0" w:tplc="08090001">
      <w:start w:val="2029"/>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977472E"/>
    <w:multiLevelType w:val="multilevel"/>
    <w:tmpl w:val="514A079C"/>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7C65145E"/>
    <w:multiLevelType w:val="multilevel"/>
    <w:tmpl w:val="6818BE9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2438"/>
        </w:tabs>
        <w:ind w:left="2211" w:hanging="1009"/>
      </w:pPr>
    </w:lvl>
    <w:lvl w:ilvl="3">
      <w:start w:val="1"/>
      <w:numFmt w:val="decimal"/>
      <w:pStyle w:val="Heading4"/>
      <w:lvlText w:val="%1.%2.%3.%4."/>
      <w:lvlJc w:val="left"/>
      <w:pPr>
        <w:tabs>
          <w:tab w:val="num" w:pos="2438"/>
        </w:tabs>
        <w:ind w:left="2211" w:hanging="1009"/>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
  </w:num>
  <w:num w:numId="2">
    <w:abstractNumId w:val="32"/>
  </w:num>
  <w:num w:numId="3">
    <w:abstractNumId w:val="31"/>
  </w:num>
  <w:num w:numId="4">
    <w:abstractNumId w:val="3"/>
  </w:num>
  <w:num w:numId="5">
    <w:abstractNumId w:val="22"/>
  </w:num>
  <w:num w:numId="6">
    <w:abstractNumId w:val="12"/>
  </w:num>
  <w:num w:numId="7">
    <w:abstractNumId w:val="24"/>
  </w:num>
  <w:num w:numId="8">
    <w:abstractNumId w:val="29"/>
  </w:num>
  <w:num w:numId="9">
    <w:abstractNumId w:val="34"/>
  </w:num>
  <w:num w:numId="10">
    <w:abstractNumId w:val="4"/>
  </w:num>
  <w:num w:numId="11">
    <w:abstractNumId w:val="11"/>
  </w:num>
  <w:num w:numId="12">
    <w:abstractNumId w:val="26"/>
  </w:num>
  <w:num w:numId="13">
    <w:abstractNumId w:val="5"/>
  </w:num>
  <w:num w:numId="14">
    <w:abstractNumId w:val="7"/>
  </w:num>
  <w:num w:numId="15">
    <w:abstractNumId w:val="9"/>
  </w:num>
  <w:num w:numId="16">
    <w:abstractNumId w:val="18"/>
  </w:num>
  <w:num w:numId="17">
    <w:abstractNumId w:val="25"/>
  </w:num>
  <w:num w:numId="18">
    <w:abstractNumId w:val="28"/>
  </w:num>
  <w:num w:numId="19">
    <w:abstractNumId w:val="35"/>
  </w:num>
  <w:num w:numId="20">
    <w:abstractNumId w:val="19"/>
  </w:num>
  <w:num w:numId="21">
    <w:abstractNumId w:val="20"/>
  </w:num>
  <w:num w:numId="22">
    <w:abstractNumId w:val="36"/>
  </w:num>
  <w:num w:numId="23">
    <w:abstractNumId w:val="27"/>
  </w:num>
  <w:num w:numId="24">
    <w:abstractNumId w:val="30"/>
  </w:num>
  <w:num w:numId="25">
    <w:abstractNumId w:val="6"/>
  </w:num>
  <w:num w:numId="26">
    <w:abstractNumId w:val="17"/>
  </w:num>
  <w:num w:numId="27">
    <w:abstractNumId w:val="33"/>
  </w:num>
  <w:num w:numId="28">
    <w:abstractNumId w:val="13"/>
  </w:num>
  <w:num w:numId="29">
    <w:abstractNumId w:val="2"/>
  </w:num>
  <w:num w:numId="30">
    <w:abstractNumId w:val="23"/>
  </w:num>
  <w:num w:numId="31">
    <w:abstractNumId w:val="21"/>
  </w:num>
  <w:num w:numId="32">
    <w:abstractNumId w:val="0"/>
  </w:num>
  <w:num w:numId="33">
    <w:abstractNumId w:val="16"/>
  </w:num>
  <w:num w:numId="34">
    <w:abstractNumId w:val="15"/>
  </w:num>
  <w:num w:numId="35">
    <w:abstractNumId w:val="10"/>
  </w:num>
  <w:num w:numId="36">
    <w:abstractNumId w:val="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2CC00AF-8B08-4A3A-B7FD-F47E3824A496"/>
    <w:docVar w:name="LW_COVERPAGE_TYPE" w:val="1"/>
    <w:docVar w:name="LW_CROSSREFERENCE" w:val="&lt;UNUSED&gt;"/>
    <w:docVar w:name="LW_DocType" w:val="EUROLOOK"/>
    <w:docVar w:name="LW_EMISSION" w:val="1.10.2025"/>
    <w:docVar w:name="LW_EMISSION_ISODATE" w:val="2025-10-01"/>
    <w:docVar w:name="LW_EMISSION_LOCATION" w:val="BRX"/>
    <w:docVar w:name="LW_EMISSION_PREFIX" w:val="Bruxelles, den "/>
    <w:docVar w:name="LW_EMISSION_SUFFIX" w:val=" "/>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5) 56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Årsberetning til Europa-Parlamentet og Rådet om de humanitære bistandsforanstaltninger finansieret i 2024"/>
    <w:docVar w:name="LW_TYPE.DOC.CP" w:val="BERETNING FRA KOMMISSIONEN TIL EUROPA-PARLAMENTET OG RÅDET"/>
    <w:docVar w:name="LwApiVersions" w:val="LW4CoDe 1.24.5.0; LW 9.0, Build 20240221"/>
  </w:docVars>
  <w:rsids>
    <w:rsidRoot w:val="00031D8E"/>
    <w:rsid w:val="00001920"/>
    <w:rsid w:val="00001D88"/>
    <w:rsid w:val="00013733"/>
    <w:rsid w:val="0002224D"/>
    <w:rsid w:val="00022EF2"/>
    <w:rsid w:val="000230DE"/>
    <w:rsid w:val="00031D8E"/>
    <w:rsid w:val="00031EB0"/>
    <w:rsid w:val="000331D2"/>
    <w:rsid w:val="000363DE"/>
    <w:rsid w:val="0005379A"/>
    <w:rsid w:val="00055AF6"/>
    <w:rsid w:val="00063F43"/>
    <w:rsid w:val="0006748F"/>
    <w:rsid w:val="00074913"/>
    <w:rsid w:val="00087E8F"/>
    <w:rsid w:val="0009708E"/>
    <w:rsid w:val="000A0D71"/>
    <w:rsid w:val="000A1662"/>
    <w:rsid w:val="000A6A2B"/>
    <w:rsid w:val="000B2C55"/>
    <w:rsid w:val="000C51AC"/>
    <w:rsid w:val="000C594B"/>
    <w:rsid w:val="000C7B40"/>
    <w:rsid w:val="000D0E4C"/>
    <w:rsid w:val="000D477A"/>
    <w:rsid w:val="000E3AA2"/>
    <w:rsid w:val="000E3FD6"/>
    <w:rsid w:val="000E403F"/>
    <w:rsid w:val="000E56EA"/>
    <w:rsid w:val="000E7701"/>
    <w:rsid w:val="000F1FC6"/>
    <w:rsid w:val="000F4202"/>
    <w:rsid w:val="000F62C1"/>
    <w:rsid w:val="00101C7E"/>
    <w:rsid w:val="001038FD"/>
    <w:rsid w:val="00104283"/>
    <w:rsid w:val="0010463A"/>
    <w:rsid w:val="001054A3"/>
    <w:rsid w:val="00107EC3"/>
    <w:rsid w:val="0011216C"/>
    <w:rsid w:val="00112E5B"/>
    <w:rsid w:val="00113904"/>
    <w:rsid w:val="00115520"/>
    <w:rsid w:val="0011553E"/>
    <w:rsid w:val="00115567"/>
    <w:rsid w:val="00116B68"/>
    <w:rsid w:val="00120609"/>
    <w:rsid w:val="001247E3"/>
    <w:rsid w:val="00134D80"/>
    <w:rsid w:val="00137A01"/>
    <w:rsid w:val="001444FD"/>
    <w:rsid w:val="001549A6"/>
    <w:rsid w:val="0016645F"/>
    <w:rsid w:val="001715F8"/>
    <w:rsid w:val="001731D8"/>
    <w:rsid w:val="00174F0E"/>
    <w:rsid w:val="00180A88"/>
    <w:rsid w:val="001913A9"/>
    <w:rsid w:val="00192BC9"/>
    <w:rsid w:val="001A2882"/>
    <w:rsid w:val="001B2815"/>
    <w:rsid w:val="001B3D5C"/>
    <w:rsid w:val="001C776E"/>
    <w:rsid w:val="001D1760"/>
    <w:rsid w:val="001E0618"/>
    <w:rsid w:val="001E09C8"/>
    <w:rsid w:val="001E43CD"/>
    <w:rsid w:val="0020382E"/>
    <w:rsid w:val="00207400"/>
    <w:rsid w:val="00216B86"/>
    <w:rsid w:val="0022311D"/>
    <w:rsid w:val="002251A3"/>
    <w:rsid w:val="00225D76"/>
    <w:rsid w:val="00227BDC"/>
    <w:rsid w:val="0023420E"/>
    <w:rsid w:val="00235BFF"/>
    <w:rsid w:val="002379B4"/>
    <w:rsid w:val="00243D97"/>
    <w:rsid w:val="00245A16"/>
    <w:rsid w:val="00251839"/>
    <w:rsid w:val="00252408"/>
    <w:rsid w:val="00253EF6"/>
    <w:rsid w:val="00256B0C"/>
    <w:rsid w:val="0026116E"/>
    <w:rsid w:val="00262961"/>
    <w:rsid w:val="0026503C"/>
    <w:rsid w:val="002653E4"/>
    <w:rsid w:val="0026568C"/>
    <w:rsid w:val="00266D16"/>
    <w:rsid w:val="002701DA"/>
    <w:rsid w:val="00271E0B"/>
    <w:rsid w:val="0027225C"/>
    <w:rsid w:val="0028798D"/>
    <w:rsid w:val="00291382"/>
    <w:rsid w:val="002A3178"/>
    <w:rsid w:val="002B3196"/>
    <w:rsid w:val="002C0950"/>
    <w:rsid w:val="002C3A5C"/>
    <w:rsid w:val="002C4BA8"/>
    <w:rsid w:val="002C54F9"/>
    <w:rsid w:val="002D6714"/>
    <w:rsid w:val="002E778E"/>
    <w:rsid w:val="002F1758"/>
    <w:rsid w:val="002F558E"/>
    <w:rsid w:val="00303AE0"/>
    <w:rsid w:val="003054E0"/>
    <w:rsid w:val="00307E97"/>
    <w:rsid w:val="0031740F"/>
    <w:rsid w:val="00320907"/>
    <w:rsid w:val="00322317"/>
    <w:rsid w:val="00326FA2"/>
    <w:rsid w:val="0033088A"/>
    <w:rsid w:val="00332E3E"/>
    <w:rsid w:val="00335276"/>
    <w:rsid w:val="0033625C"/>
    <w:rsid w:val="00347A2A"/>
    <w:rsid w:val="003579C1"/>
    <w:rsid w:val="00360CFF"/>
    <w:rsid w:val="00361228"/>
    <w:rsid w:val="0036474D"/>
    <w:rsid w:val="0037476A"/>
    <w:rsid w:val="0037613B"/>
    <w:rsid w:val="00390E83"/>
    <w:rsid w:val="00393125"/>
    <w:rsid w:val="00397569"/>
    <w:rsid w:val="003A13CA"/>
    <w:rsid w:val="003A6391"/>
    <w:rsid w:val="003A744A"/>
    <w:rsid w:val="003B4E77"/>
    <w:rsid w:val="003C2B37"/>
    <w:rsid w:val="003C453B"/>
    <w:rsid w:val="003D0B52"/>
    <w:rsid w:val="003D396B"/>
    <w:rsid w:val="003D613E"/>
    <w:rsid w:val="003D7025"/>
    <w:rsid w:val="003E0B67"/>
    <w:rsid w:val="003E6C67"/>
    <w:rsid w:val="003E7412"/>
    <w:rsid w:val="003E7B7F"/>
    <w:rsid w:val="003F3D38"/>
    <w:rsid w:val="003F65A8"/>
    <w:rsid w:val="003F6734"/>
    <w:rsid w:val="00400310"/>
    <w:rsid w:val="00412618"/>
    <w:rsid w:val="0041402C"/>
    <w:rsid w:val="004144C6"/>
    <w:rsid w:val="00435086"/>
    <w:rsid w:val="004369AA"/>
    <w:rsid w:val="00437259"/>
    <w:rsid w:val="00444D54"/>
    <w:rsid w:val="004517A4"/>
    <w:rsid w:val="00455E03"/>
    <w:rsid w:val="004639F7"/>
    <w:rsid w:val="00472FBD"/>
    <w:rsid w:val="004847B0"/>
    <w:rsid w:val="00484925"/>
    <w:rsid w:val="00485FCD"/>
    <w:rsid w:val="0048654D"/>
    <w:rsid w:val="00493CE9"/>
    <w:rsid w:val="00495518"/>
    <w:rsid w:val="00495655"/>
    <w:rsid w:val="004A5296"/>
    <w:rsid w:val="004A73F9"/>
    <w:rsid w:val="004B43C7"/>
    <w:rsid w:val="004C29FF"/>
    <w:rsid w:val="004C6EC8"/>
    <w:rsid w:val="004C7E15"/>
    <w:rsid w:val="004D1A14"/>
    <w:rsid w:val="004D2B07"/>
    <w:rsid w:val="004D706C"/>
    <w:rsid w:val="004E7FF5"/>
    <w:rsid w:val="004F0A49"/>
    <w:rsid w:val="004F37EA"/>
    <w:rsid w:val="004F687F"/>
    <w:rsid w:val="00503609"/>
    <w:rsid w:val="005056F1"/>
    <w:rsid w:val="00531304"/>
    <w:rsid w:val="005330F2"/>
    <w:rsid w:val="00535B1B"/>
    <w:rsid w:val="005364B5"/>
    <w:rsid w:val="00540A6A"/>
    <w:rsid w:val="005450E6"/>
    <w:rsid w:val="00557B02"/>
    <w:rsid w:val="00560EC8"/>
    <w:rsid w:val="005669DC"/>
    <w:rsid w:val="0057346E"/>
    <w:rsid w:val="00575408"/>
    <w:rsid w:val="00586AF0"/>
    <w:rsid w:val="00591888"/>
    <w:rsid w:val="00595377"/>
    <w:rsid w:val="00595D8D"/>
    <w:rsid w:val="0059751B"/>
    <w:rsid w:val="0059767A"/>
    <w:rsid w:val="005A1544"/>
    <w:rsid w:val="005B0F69"/>
    <w:rsid w:val="005C5469"/>
    <w:rsid w:val="005C630E"/>
    <w:rsid w:val="005C6528"/>
    <w:rsid w:val="005D1276"/>
    <w:rsid w:val="005E5A89"/>
    <w:rsid w:val="005F2A50"/>
    <w:rsid w:val="005F3175"/>
    <w:rsid w:val="005F3332"/>
    <w:rsid w:val="005F4EAD"/>
    <w:rsid w:val="005F5AF9"/>
    <w:rsid w:val="005F7749"/>
    <w:rsid w:val="005F7DCB"/>
    <w:rsid w:val="005F7F66"/>
    <w:rsid w:val="006002B0"/>
    <w:rsid w:val="006036CC"/>
    <w:rsid w:val="00613AC3"/>
    <w:rsid w:val="006146C8"/>
    <w:rsid w:val="00621CE3"/>
    <w:rsid w:val="00622600"/>
    <w:rsid w:val="006243DF"/>
    <w:rsid w:val="0064042A"/>
    <w:rsid w:val="00664A3E"/>
    <w:rsid w:val="00667767"/>
    <w:rsid w:val="00673365"/>
    <w:rsid w:val="00684304"/>
    <w:rsid w:val="00687026"/>
    <w:rsid w:val="00687DA9"/>
    <w:rsid w:val="00690056"/>
    <w:rsid w:val="00695110"/>
    <w:rsid w:val="006977D2"/>
    <w:rsid w:val="006A531B"/>
    <w:rsid w:val="006A5C2C"/>
    <w:rsid w:val="006A7A1B"/>
    <w:rsid w:val="006B1C7B"/>
    <w:rsid w:val="006B5791"/>
    <w:rsid w:val="006C1339"/>
    <w:rsid w:val="006D1F40"/>
    <w:rsid w:val="006D60C8"/>
    <w:rsid w:val="006E1814"/>
    <w:rsid w:val="006F7C3B"/>
    <w:rsid w:val="00704A17"/>
    <w:rsid w:val="0071441E"/>
    <w:rsid w:val="00716C3B"/>
    <w:rsid w:val="00721CAD"/>
    <w:rsid w:val="0072462D"/>
    <w:rsid w:val="00727FE6"/>
    <w:rsid w:val="007313A8"/>
    <w:rsid w:val="00731B70"/>
    <w:rsid w:val="00731E1F"/>
    <w:rsid w:val="007366CF"/>
    <w:rsid w:val="00737355"/>
    <w:rsid w:val="00743A89"/>
    <w:rsid w:val="00760D1F"/>
    <w:rsid w:val="007610B6"/>
    <w:rsid w:val="0077335F"/>
    <w:rsid w:val="00776080"/>
    <w:rsid w:val="0077632C"/>
    <w:rsid w:val="0078230E"/>
    <w:rsid w:val="00783A7A"/>
    <w:rsid w:val="00786E82"/>
    <w:rsid w:val="007913B1"/>
    <w:rsid w:val="0079513F"/>
    <w:rsid w:val="0079577A"/>
    <w:rsid w:val="00795DC1"/>
    <w:rsid w:val="007A0AD5"/>
    <w:rsid w:val="007A35BC"/>
    <w:rsid w:val="007A79A6"/>
    <w:rsid w:val="007B5652"/>
    <w:rsid w:val="007B5ED3"/>
    <w:rsid w:val="007B7EA5"/>
    <w:rsid w:val="007C18E4"/>
    <w:rsid w:val="007C4A91"/>
    <w:rsid w:val="007C7107"/>
    <w:rsid w:val="007D061E"/>
    <w:rsid w:val="007D0F61"/>
    <w:rsid w:val="007D1507"/>
    <w:rsid w:val="007D1976"/>
    <w:rsid w:val="007D1AB2"/>
    <w:rsid w:val="007D2A4F"/>
    <w:rsid w:val="007D5177"/>
    <w:rsid w:val="007E032B"/>
    <w:rsid w:val="00803689"/>
    <w:rsid w:val="0081109A"/>
    <w:rsid w:val="00816F1D"/>
    <w:rsid w:val="0082537C"/>
    <w:rsid w:val="00827454"/>
    <w:rsid w:val="00830ACA"/>
    <w:rsid w:val="0083249B"/>
    <w:rsid w:val="00833D8D"/>
    <w:rsid w:val="0083442C"/>
    <w:rsid w:val="00852039"/>
    <w:rsid w:val="00856C35"/>
    <w:rsid w:val="00860A39"/>
    <w:rsid w:val="00866DDB"/>
    <w:rsid w:val="00870E20"/>
    <w:rsid w:val="00871F06"/>
    <w:rsid w:val="00874AD5"/>
    <w:rsid w:val="00885782"/>
    <w:rsid w:val="008869F5"/>
    <w:rsid w:val="00897452"/>
    <w:rsid w:val="008A0CBA"/>
    <w:rsid w:val="008A6E6D"/>
    <w:rsid w:val="008B2FEC"/>
    <w:rsid w:val="008B429E"/>
    <w:rsid w:val="008D007E"/>
    <w:rsid w:val="008D0767"/>
    <w:rsid w:val="008D076F"/>
    <w:rsid w:val="008D670E"/>
    <w:rsid w:val="008D738C"/>
    <w:rsid w:val="008D79B7"/>
    <w:rsid w:val="008E1259"/>
    <w:rsid w:val="008E25F4"/>
    <w:rsid w:val="008E6076"/>
    <w:rsid w:val="008F2B1A"/>
    <w:rsid w:val="008F4AA8"/>
    <w:rsid w:val="008F4C57"/>
    <w:rsid w:val="008F6706"/>
    <w:rsid w:val="00904C90"/>
    <w:rsid w:val="00907630"/>
    <w:rsid w:val="00920F4B"/>
    <w:rsid w:val="00921FD1"/>
    <w:rsid w:val="00930A31"/>
    <w:rsid w:val="00931B04"/>
    <w:rsid w:val="00931E91"/>
    <w:rsid w:val="00933055"/>
    <w:rsid w:val="0093531B"/>
    <w:rsid w:val="00943DC3"/>
    <w:rsid w:val="00945542"/>
    <w:rsid w:val="0094670F"/>
    <w:rsid w:val="00951DF8"/>
    <w:rsid w:val="009576FF"/>
    <w:rsid w:val="00963F96"/>
    <w:rsid w:val="00967B8C"/>
    <w:rsid w:val="00973D8D"/>
    <w:rsid w:val="00995961"/>
    <w:rsid w:val="00997711"/>
    <w:rsid w:val="00997A52"/>
    <w:rsid w:val="009B0FBA"/>
    <w:rsid w:val="009B2AE4"/>
    <w:rsid w:val="009B5080"/>
    <w:rsid w:val="009B57D7"/>
    <w:rsid w:val="009B7BBA"/>
    <w:rsid w:val="009C1A50"/>
    <w:rsid w:val="009C1FAF"/>
    <w:rsid w:val="009D0530"/>
    <w:rsid w:val="009D2616"/>
    <w:rsid w:val="009D7024"/>
    <w:rsid w:val="009E01BE"/>
    <w:rsid w:val="009E1A6D"/>
    <w:rsid w:val="009E6C49"/>
    <w:rsid w:val="009E7E49"/>
    <w:rsid w:val="009F23F0"/>
    <w:rsid w:val="009F247C"/>
    <w:rsid w:val="009F52EC"/>
    <w:rsid w:val="009F5EDE"/>
    <w:rsid w:val="00A0028F"/>
    <w:rsid w:val="00A059CE"/>
    <w:rsid w:val="00A10C10"/>
    <w:rsid w:val="00A22436"/>
    <w:rsid w:val="00A2548D"/>
    <w:rsid w:val="00A30792"/>
    <w:rsid w:val="00A30B59"/>
    <w:rsid w:val="00A316E5"/>
    <w:rsid w:val="00A31927"/>
    <w:rsid w:val="00A3340F"/>
    <w:rsid w:val="00A5350B"/>
    <w:rsid w:val="00A535A6"/>
    <w:rsid w:val="00A613CF"/>
    <w:rsid w:val="00A67AFC"/>
    <w:rsid w:val="00A7266D"/>
    <w:rsid w:val="00A730AA"/>
    <w:rsid w:val="00A81256"/>
    <w:rsid w:val="00A81A33"/>
    <w:rsid w:val="00A968D4"/>
    <w:rsid w:val="00AA7E0E"/>
    <w:rsid w:val="00AB0E91"/>
    <w:rsid w:val="00AC2430"/>
    <w:rsid w:val="00AC29E9"/>
    <w:rsid w:val="00AC46DE"/>
    <w:rsid w:val="00AC47D6"/>
    <w:rsid w:val="00AC7DF9"/>
    <w:rsid w:val="00AE1802"/>
    <w:rsid w:val="00AE1BCB"/>
    <w:rsid w:val="00AE20B8"/>
    <w:rsid w:val="00AE480B"/>
    <w:rsid w:val="00B00216"/>
    <w:rsid w:val="00B037AB"/>
    <w:rsid w:val="00B04881"/>
    <w:rsid w:val="00B07D9C"/>
    <w:rsid w:val="00B229A4"/>
    <w:rsid w:val="00B409ED"/>
    <w:rsid w:val="00B42BE3"/>
    <w:rsid w:val="00B4630D"/>
    <w:rsid w:val="00B4762F"/>
    <w:rsid w:val="00B56C84"/>
    <w:rsid w:val="00B6770D"/>
    <w:rsid w:val="00B70121"/>
    <w:rsid w:val="00BA1E6F"/>
    <w:rsid w:val="00BA31B0"/>
    <w:rsid w:val="00BA544C"/>
    <w:rsid w:val="00BA5B22"/>
    <w:rsid w:val="00BB2BB2"/>
    <w:rsid w:val="00BB4D54"/>
    <w:rsid w:val="00BB4EF6"/>
    <w:rsid w:val="00BC037D"/>
    <w:rsid w:val="00BC0770"/>
    <w:rsid w:val="00BC4F57"/>
    <w:rsid w:val="00BC5286"/>
    <w:rsid w:val="00BC616E"/>
    <w:rsid w:val="00BC72A2"/>
    <w:rsid w:val="00BD1A49"/>
    <w:rsid w:val="00BD2183"/>
    <w:rsid w:val="00BE7144"/>
    <w:rsid w:val="00BE7243"/>
    <w:rsid w:val="00BF0D1E"/>
    <w:rsid w:val="00C004F3"/>
    <w:rsid w:val="00C031F4"/>
    <w:rsid w:val="00C1145A"/>
    <w:rsid w:val="00C15F2F"/>
    <w:rsid w:val="00C1685B"/>
    <w:rsid w:val="00C27ADF"/>
    <w:rsid w:val="00C29DFF"/>
    <w:rsid w:val="00C3285D"/>
    <w:rsid w:val="00C466B6"/>
    <w:rsid w:val="00C467E2"/>
    <w:rsid w:val="00C46CA1"/>
    <w:rsid w:val="00C52F17"/>
    <w:rsid w:val="00C54E3B"/>
    <w:rsid w:val="00C618E4"/>
    <w:rsid w:val="00C62534"/>
    <w:rsid w:val="00C713D9"/>
    <w:rsid w:val="00C735A0"/>
    <w:rsid w:val="00C7537E"/>
    <w:rsid w:val="00C83610"/>
    <w:rsid w:val="00C91A36"/>
    <w:rsid w:val="00C93E62"/>
    <w:rsid w:val="00CA01E3"/>
    <w:rsid w:val="00CA08B1"/>
    <w:rsid w:val="00CA1B47"/>
    <w:rsid w:val="00CA1BDD"/>
    <w:rsid w:val="00CA43D3"/>
    <w:rsid w:val="00CA44C2"/>
    <w:rsid w:val="00CA45FE"/>
    <w:rsid w:val="00CA537C"/>
    <w:rsid w:val="00CB07C8"/>
    <w:rsid w:val="00CB314D"/>
    <w:rsid w:val="00CB42B6"/>
    <w:rsid w:val="00CB7ADC"/>
    <w:rsid w:val="00CC1057"/>
    <w:rsid w:val="00CD01C5"/>
    <w:rsid w:val="00CD2A7A"/>
    <w:rsid w:val="00CE03AA"/>
    <w:rsid w:val="00CE5ECD"/>
    <w:rsid w:val="00CE7264"/>
    <w:rsid w:val="00CE7F19"/>
    <w:rsid w:val="00CF2683"/>
    <w:rsid w:val="00CF290F"/>
    <w:rsid w:val="00CF669B"/>
    <w:rsid w:val="00D00985"/>
    <w:rsid w:val="00D00A51"/>
    <w:rsid w:val="00D024F7"/>
    <w:rsid w:val="00D04483"/>
    <w:rsid w:val="00D058B6"/>
    <w:rsid w:val="00D317D4"/>
    <w:rsid w:val="00D37387"/>
    <w:rsid w:val="00D605CE"/>
    <w:rsid w:val="00D715F4"/>
    <w:rsid w:val="00D732B3"/>
    <w:rsid w:val="00D80AD7"/>
    <w:rsid w:val="00D80FF9"/>
    <w:rsid w:val="00D8210B"/>
    <w:rsid w:val="00D825E3"/>
    <w:rsid w:val="00D90399"/>
    <w:rsid w:val="00D90D1E"/>
    <w:rsid w:val="00D93E42"/>
    <w:rsid w:val="00DA0458"/>
    <w:rsid w:val="00DA35C6"/>
    <w:rsid w:val="00DA7855"/>
    <w:rsid w:val="00DB15F4"/>
    <w:rsid w:val="00DC0A24"/>
    <w:rsid w:val="00DC3417"/>
    <w:rsid w:val="00DD034B"/>
    <w:rsid w:val="00DD088B"/>
    <w:rsid w:val="00DD1D20"/>
    <w:rsid w:val="00DD341C"/>
    <w:rsid w:val="00DE1A7F"/>
    <w:rsid w:val="00DF561D"/>
    <w:rsid w:val="00E03E56"/>
    <w:rsid w:val="00E050C3"/>
    <w:rsid w:val="00E052B7"/>
    <w:rsid w:val="00E12F25"/>
    <w:rsid w:val="00E1659E"/>
    <w:rsid w:val="00E20D73"/>
    <w:rsid w:val="00E22623"/>
    <w:rsid w:val="00E2785F"/>
    <w:rsid w:val="00E34311"/>
    <w:rsid w:val="00E34A15"/>
    <w:rsid w:val="00E35E4B"/>
    <w:rsid w:val="00E405D3"/>
    <w:rsid w:val="00E41EAA"/>
    <w:rsid w:val="00E43A40"/>
    <w:rsid w:val="00E50620"/>
    <w:rsid w:val="00E51D58"/>
    <w:rsid w:val="00E72031"/>
    <w:rsid w:val="00E75266"/>
    <w:rsid w:val="00E84393"/>
    <w:rsid w:val="00E91725"/>
    <w:rsid w:val="00E92F28"/>
    <w:rsid w:val="00E9510E"/>
    <w:rsid w:val="00EA55A7"/>
    <w:rsid w:val="00EA61EA"/>
    <w:rsid w:val="00EB0AC2"/>
    <w:rsid w:val="00EB2867"/>
    <w:rsid w:val="00EB4461"/>
    <w:rsid w:val="00EB54C6"/>
    <w:rsid w:val="00EC24F6"/>
    <w:rsid w:val="00EC4915"/>
    <w:rsid w:val="00EC5E5F"/>
    <w:rsid w:val="00ED0888"/>
    <w:rsid w:val="00ED18AC"/>
    <w:rsid w:val="00ED6D52"/>
    <w:rsid w:val="00EE349F"/>
    <w:rsid w:val="00EE5F8B"/>
    <w:rsid w:val="00EF20DE"/>
    <w:rsid w:val="00EF3FD3"/>
    <w:rsid w:val="00EF54FF"/>
    <w:rsid w:val="00EF65F5"/>
    <w:rsid w:val="00F00B45"/>
    <w:rsid w:val="00F02CC8"/>
    <w:rsid w:val="00F04AB2"/>
    <w:rsid w:val="00F15894"/>
    <w:rsid w:val="00F1660A"/>
    <w:rsid w:val="00F20C1F"/>
    <w:rsid w:val="00F2198E"/>
    <w:rsid w:val="00F30DFC"/>
    <w:rsid w:val="00F43DB5"/>
    <w:rsid w:val="00F56011"/>
    <w:rsid w:val="00F60C83"/>
    <w:rsid w:val="00F61530"/>
    <w:rsid w:val="00F62D5B"/>
    <w:rsid w:val="00F720B8"/>
    <w:rsid w:val="00F750E7"/>
    <w:rsid w:val="00F85722"/>
    <w:rsid w:val="00F87E55"/>
    <w:rsid w:val="00F917A6"/>
    <w:rsid w:val="00F92228"/>
    <w:rsid w:val="00F92788"/>
    <w:rsid w:val="00F9344D"/>
    <w:rsid w:val="00FA3C97"/>
    <w:rsid w:val="00FA5164"/>
    <w:rsid w:val="00FA521B"/>
    <w:rsid w:val="00FA6F32"/>
    <w:rsid w:val="00FB02BE"/>
    <w:rsid w:val="00FB7160"/>
    <w:rsid w:val="00FC161E"/>
    <w:rsid w:val="00FC2BD2"/>
    <w:rsid w:val="00FD0DAA"/>
    <w:rsid w:val="00FD47A4"/>
    <w:rsid w:val="00FD4F9F"/>
    <w:rsid w:val="00FE05EC"/>
    <w:rsid w:val="00FE7ECC"/>
    <w:rsid w:val="00FF537B"/>
    <w:rsid w:val="01835363"/>
    <w:rsid w:val="0187C751"/>
    <w:rsid w:val="025DF05D"/>
    <w:rsid w:val="02BDAF36"/>
    <w:rsid w:val="02CD3C28"/>
    <w:rsid w:val="02D8640E"/>
    <w:rsid w:val="03473841"/>
    <w:rsid w:val="04ECD54D"/>
    <w:rsid w:val="05AF3CDD"/>
    <w:rsid w:val="05E4B92D"/>
    <w:rsid w:val="0751056B"/>
    <w:rsid w:val="075D41CE"/>
    <w:rsid w:val="0778E2A0"/>
    <w:rsid w:val="0818468B"/>
    <w:rsid w:val="09E54584"/>
    <w:rsid w:val="0A5C7D25"/>
    <w:rsid w:val="0AD089A4"/>
    <w:rsid w:val="0B74B5E2"/>
    <w:rsid w:val="0C2970D9"/>
    <w:rsid w:val="0DD75033"/>
    <w:rsid w:val="0E4A6284"/>
    <w:rsid w:val="0F496C35"/>
    <w:rsid w:val="0F8D46E3"/>
    <w:rsid w:val="0FF4C325"/>
    <w:rsid w:val="10062E7F"/>
    <w:rsid w:val="102ABF32"/>
    <w:rsid w:val="108DCD72"/>
    <w:rsid w:val="10BA58DB"/>
    <w:rsid w:val="10C89FF1"/>
    <w:rsid w:val="11DCADF0"/>
    <w:rsid w:val="12BC3C5F"/>
    <w:rsid w:val="13523E05"/>
    <w:rsid w:val="13B0EB3C"/>
    <w:rsid w:val="13D9E5DA"/>
    <w:rsid w:val="14A518B7"/>
    <w:rsid w:val="153502A0"/>
    <w:rsid w:val="15964350"/>
    <w:rsid w:val="15CAA0EE"/>
    <w:rsid w:val="15D5455D"/>
    <w:rsid w:val="1636D847"/>
    <w:rsid w:val="163A07AB"/>
    <w:rsid w:val="1822BBB4"/>
    <w:rsid w:val="182FDC8C"/>
    <w:rsid w:val="191D6FA4"/>
    <w:rsid w:val="19480D7D"/>
    <w:rsid w:val="19CA0AE8"/>
    <w:rsid w:val="1B8619F8"/>
    <w:rsid w:val="1B99A5C7"/>
    <w:rsid w:val="1C489F19"/>
    <w:rsid w:val="1D7A91A4"/>
    <w:rsid w:val="1DA2E016"/>
    <w:rsid w:val="1E39407B"/>
    <w:rsid w:val="1F030D93"/>
    <w:rsid w:val="206D753C"/>
    <w:rsid w:val="21928DBD"/>
    <w:rsid w:val="21A25316"/>
    <w:rsid w:val="21B6FA81"/>
    <w:rsid w:val="223D7974"/>
    <w:rsid w:val="2269AA8B"/>
    <w:rsid w:val="232370AB"/>
    <w:rsid w:val="243C9E3A"/>
    <w:rsid w:val="24A9B276"/>
    <w:rsid w:val="25B1492D"/>
    <w:rsid w:val="2683FEF8"/>
    <w:rsid w:val="26EB9512"/>
    <w:rsid w:val="2714FAEC"/>
    <w:rsid w:val="272EF390"/>
    <w:rsid w:val="2789C340"/>
    <w:rsid w:val="279F1B57"/>
    <w:rsid w:val="27B849AF"/>
    <w:rsid w:val="282BF1AB"/>
    <w:rsid w:val="29A93842"/>
    <w:rsid w:val="29E44670"/>
    <w:rsid w:val="2B8BA689"/>
    <w:rsid w:val="2C4B52EF"/>
    <w:rsid w:val="2C5DF320"/>
    <w:rsid w:val="2DD5391F"/>
    <w:rsid w:val="30020E21"/>
    <w:rsid w:val="30CEFD5A"/>
    <w:rsid w:val="31B3F514"/>
    <w:rsid w:val="328B578F"/>
    <w:rsid w:val="329825CA"/>
    <w:rsid w:val="32A9AA06"/>
    <w:rsid w:val="33D20E95"/>
    <w:rsid w:val="341A1634"/>
    <w:rsid w:val="3440EA8F"/>
    <w:rsid w:val="34716779"/>
    <w:rsid w:val="34D05444"/>
    <w:rsid w:val="350A0FC8"/>
    <w:rsid w:val="355CCA58"/>
    <w:rsid w:val="35EF8932"/>
    <w:rsid w:val="36A204AF"/>
    <w:rsid w:val="36CC43D8"/>
    <w:rsid w:val="36F87765"/>
    <w:rsid w:val="3801F8EF"/>
    <w:rsid w:val="382BD6A1"/>
    <w:rsid w:val="3863DA9A"/>
    <w:rsid w:val="38866649"/>
    <w:rsid w:val="38F5C341"/>
    <w:rsid w:val="3994900C"/>
    <w:rsid w:val="3A2B2ACE"/>
    <w:rsid w:val="3B09C230"/>
    <w:rsid w:val="3B8AA862"/>
    <w:rsid w:val="3BE6D7C3"/>
    <w:rsid w:val="3C09A9DE"/>
    <w:rsid w:val="3D5448A6"/>
    <w:rsid w:val="3F00510E"/>
    <w:rsid w:val="3FA610EE"/>
    <w:rsid w:val="3FC62E3A"/>
    <w:rsid w:val="402FB99C"/>
    <w:rsid w:val="409AAAAB"/>
    <w:rsid w:val="40AD6E21"/>
    <w:rsid w:val="410EDF1F"/>
    <w:rsid w:val="4118D353"/>
    <w:rsid w:val="416168AE"/>
    <w:rsid w:val="4226AED5"/>
    <w:rsid w:val="43020122"/>
    <w:rsid w:val="45D20F5F"/>
    <w:rsid w:val="4627A83D"/>
    <w:rsid w:val="46725AC7"/>
    <w:rsid w:val="474CE6FC"/>
    <w:rsid w:val="47DB8885"/>
    <w:rsid w:val="493C2473"/>
    <w:rsid w:val="495CFD35"/>
    <w:rsid w:val="49767BA1"/>
    <w:rsid w:val="4AAF52DC"/>
    <w:rsid w:val="4ACF03F2"/>
    <w:rsid w:val="4D85D1D8"/>
    <w:rsid w:val="4DE1E180"/>
    <w:rsid w:val="4E22E049"/>
    <w:rsid w:val="4F4B13CB"/>
    <w:rsid w:val="4FCD2F74"/>
    <w:rsid w:val="4FF49091"/>
    <w:rsid w:val="501FFFBA"/>
    <w:rsid w:val="51F1CD78"/>
    <w:rsid w:val="524A4201"/>
    <w:rsid w:val="528A8487"/>
    <w:rsid w:val="532A1385"/>
    <w:rsid w:val="534819EB"/>
    <w:rsid w:val="5392A5A4"/>
    <w:rsid w:val="53E303CC"/>
    <w:rsid w:val="562917BB"/>
    <w:rsid w:val="56D3B443"/>
    <w:rsid w:val="57181E8B"/>
    <w:rsid w:val="57C2C233"/>
    <w:rsid w:val="5A45797B"/>
    <w:rsid w:val="5B9D68BD"/>
    <w:rsid w:val="5BD63F96"/>
    <w:rsid w:val="5CF24BEB"/>
    <w:rsid w:val="5D0A2936"/>
    <w:rsid w:val="5DA16CD5"/>
    <w:rsid w:val="5F80CB2F"/>
    <w:rsid w:val="609AE5DA"/>
    <w:rsid w:val="620E33C8"/>
    <w:rsid w:val="62AA7721"/>
    <w:rsid w:val="6368A6AD"/>
    <w:rsid w:val="64425317"/>
    <w:rsid w:val="64DC8AB5"/>
    <w:rsid w:val="657483F9"/>
    <w:rsid w:val="661F540F"/>
    <w:rsid w:val="67411456"/>
    <w:rsid w:val="682E11C5"/>
    <w:rsid w:val="68D375E4"/>
    <w:rsid w:val="68DFAFE6"/>
    <w:rsid w:val="6A789D21"/>
    <w:rsid w:val="6A8744FD"/>
    <w:rsid w:val="6AE7A063"/>
    <w:rsid w:val="6B2CCC78"/>
    <w:rsid w:val="6C73D610"/>
    <w:rsid w:val="6D45FCC2"/>
    <w:rsid w:val="6D7BE369"/>
    <w:rsid w:val="6E7A1F69"/>
    <w:rsid w:val="6E8F95AA"/>
    <w:rsid w:val="6F2CEC54"/>
    <w:rsid w:val="6F2F7580"/>
    <w:rsid w:val="6FEF065A"/>
    <w:rsid w:val="705DE61C"/>
    <w:rsid w:val="71315FED"/>
    <w:rsid w:val="730CD962"/>
    <w:rsid w:val="739CFDCD"/>
    <w:rsid w:val="7487F03C"/>
    <w:rsid w:val="766A2232"/>
    <w:rsid w:val="77FB93AA"/>
    <w:rsid w:val="78640CA8"/>
    <w:rsid w:val="79BBC2FC"/>
    <w:rsid w:val="7A2EB971"/>
    <w:rsid w:val="7B94D7BF"/>
    <w:rsid w:val="7C1D649A"/>
    <w:rsid w:val="7C865999"/>
    <w:rsid w:val="7C980726"/>
    <w:rsid w:val="7C9E920C"/>
    <w:rsid w:val="7DB5BD88"/>
    <w:rsid w:val="7DB71972"/>
    <w:rsid w:val="7E17E384"/>
    <w:rsid w:val="7E95E6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D55C08"/>
  <w15:docId w15:val="{560A8C93-C081-418C-A045-3999FFEF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da-DK" w:eastAsia="en-IE" w:bidi="ar-SA"/>
      </w:rPr>
    </w:rPrDefault>
    <w:pPrDefault/>
  </w:docDefaults>
  <w:latentStyles w:defLockedState="0" w:defUIPriority="99" w:defSemiHidden="0" w:defUnhideWhenUsed="0" w:defQFormat="0" w:count="371">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uiPriority="4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style>
  <w:style w:type="paragraph" w:styleId="Heading1">
    <w:name w:val="heading 1"/>
    <w:basedOn w:val="Normal"/>
    <w:next w:val="Text1"/>
    <w:uiPriority w:val="10"/>
    <w:qFormat/>
    <w:pPr>
      <w:keepNext/>
      <w:numPr>
        <w:numId w:val="19"/>
      </w:numPr>
      <w:spacing w:before="240"/>
      <w:outlineLvl w:val="0"/>
    </w:pPr>
    <w:rPr>
      <w:b/>
      <w:smallCaps/>
    </w:rPr>
  </w:style>
  <w:style w:type="paragraph" w:styleId="Heading2">
    <w:name w:val="heading 2"/>
    <w:basedOn w:val="Normal"/>
    <w:next w:val="Text2"/>
    <w:uiPriority w:val="10"/>
    <w:qFormat/>
    <w:pPr>
      <w:keepNext/>
      <w:numPr>
        <w:ilvl w:val="1"/>
        <w:numId w:val="19"/>
      </w:numPr>
      <w:outlineLvl w:val="1"/>
    </w:pPr>
    <w:rPr>
      <w:b/>
    </w:rPr>
  </w:style>
  <w:style w:type="paragraph" w:styleId="Heading3">
    <w:name w:val="heading 3"/>
    <w:basedOn w:val="Normal"/>
    <w:next w:val="Text3"/>
    <w:uiPriority w:val="10"/>
    <w:qFormat/>
    <w:pPr>
      <w:keepNext/>
      <w:numPr>
        <w:ilvl w:val="2"/>
        <w:numId w:val="19"/>
      </w:numPr>
      <w:outlineLvl w:val="2"/>
    </w:pPr>
    <w:rPr>
      <w:i/>
    </w:rPr>
  </w:style>
  <w:style w:type="paragraph" w:styleId="Heading4">
    <w:name w:val="heading 4"/>
    <w:basedOn w:val="Normal"/>
    <w:next w:val="Text4"/>
    <w:uiPriority w:val="10"/>
    <w:qFormat/>
    <w:pPr>
      <w:keepNext/>
      <w:numPr>
        <w:ilvl w:val="3"/>
        <w:numId w:val="19"/>
      </w:numPr>
      <w:outlineLvl w:val="3"/>
    </w:pPr>
  </w:style>
  <w:style w:type="paragraph" w:styleId="Heading5">
    <w:name w:val="heading 5"/>
    <w:basedOn w:val="Normal"/>
    <w:next w:val="Normal"/>
    <w:semiHidden/>
    <w:pPr>
      <w:keepNext/>
      <w:numPr>
        <w:ilvl w:val="4"/>
        <w:numId w:val="19"/>
      </w:numPr>
      <w:outlineLvl w:val="4"/>
    </w:pPr>
  </w:style>
  <w:style w:type="paragraph" w:styleId="Heading6">
    <w:name w:val="heading 6"/>
    <w:basedOn w:val="Normal"/>
    <w:next w:val="Normal"/>
    <w:semiHidden/>
    <w:pPr>
      <w:keepNext/>
      <w:numPr>
        <w:ilvl w:val="5"/>
        <w:numId w:val="19"/>
      </w:numPr>
      <w:outlineLvl w:val="5"/>
    </w:pPr>
  </w:style>
  <w:style w:type="paragraph" w:styleId="Heading7">
    <w:name w:val="heading 7"/>
    <w:basedOn w:val="Normal"/>
    <w:next w:val="Normal"/>
    <w:semiHidden/>
    <w:pPr>
      <w:keepNext/>
      <w:numPr>
        <w:ilvl w:val="6"/>
        <w:numId w:val="19"/>
      </w:numPr>
      <w:outlineLvl w:val="6"/>
    </w:pPr>
  </w:style>
  <w:style w:type="paragraph" w:styleId="Heading8">
    <w:name w:val="heading 8"/>
    <w:basedOn w:val="Normal"/>
    <w:next w:val="Normal"/>
    <w:semiHidden/>
    <w:pPr>
      <w:keepNext/>
      <w:numPr>
        <w:ilvl w:val="7"/>
        <w:numId w:val="19"/>
      </w:numPr>
      <w:outlineLvl w:val="7"/>
    </w:pPr>
  </w:style>
  <w:style w:type="paragraph" w:styleId="Heading9">
    <w:name w:val="heading 9"/>
    <w:basedOn w:val="Normal"/>
    <w:next w:val="Normal"/>
    <w:semiHidden/>
    <w:pPr>
      <w:keepNext/>
      <w:numPr>
        <w:ilvl w:val="8"/>
        <w:numId w:val="19"/>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22"/>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43"/>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1"/>
      </w:numPr>
    </w:pPr>
  </w:style>
  <w:style w:type="paragraph" w:customStyle="1" w:styleId="ContNumLevel2">
    <w:name w:val="ContNum (Level 2)"/>
    <w:basedOn w:val="Normal"/>
    <w:uiPriority w:val="20"/>
    <w:pPr>
      <w:numPr>
        <w:ilvl w:val="1"/>
        <w:numId w:val="21"/>
      </w:numPr>
    </w:pPr>
  </w:style>
  <w:style w:type="paragraph" w:customStyle="1" w:styleId="ContNumLevel3">
    <w:name w:val="ContNum (Level 3)"/>
    <w:basedOn w:val="Normal"/>
    <w:uiPriority w:val="20"/>
    <w:pPr>
      <w:numPr>
        <w:ilvl w:val="2"/>
        <w:numId w:val="21"/>
      </w:numPr>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semiHidden/>
    <w:pPr>
      <w:spacing w:after="0"/>
      <w:ind w:right="-567"/>
      <w:jc w:val="left"/>
    </w:pPr>
    <w:rPr>
      <w:sz w:val="16"/>
    </w:rPr>
  </w:style>
  <w:style w:type="paragraph" w:customStyle="1" w:styleId="FooterLine">
    <w:name w:val="Footer Line"/>
    <w:basedOn w:val="Footer"/>
    <w:next w:val="Footer"/>
    <w:semiHidden/>
    <w:pPr>
      <w:tabs>
        <w:tab w:val="right" w:pos="8646"/>
      </w:tabs>
      <w:spacing w:before="120" w:line="264" w:lineRule="auto"/>
      <w:ind w:right="0"/>
      <w:jc w:val="both"/>
    </w:pPr>
  </w:style>
  <w:style w:type="paragraph" w:styleId="FootnoteText">
    <w:name w:val="footnote text"/>
    <w:basedOn w:val="Normal"/>
    <w:semiHidden/>
    <w:pPr>
      <w:spacing w:after="120"/>
      <w:ind w:left="357" w:hanging="357"/>
    </w:pPr>
    <w:rPr>
      <w:sz w:val="20"/>
    </w:rPr>
  </w:style>
  <w:style w:type="paragraph" w:customStyle="1" w:styleId="HistoryTable">
    <w:name w:val="HistoryTable"/>
    <w:basedOn w:val="Normal"/>
    <w:semiHidden/>
    <w:pPr>
      <w:spacing w:before="60" w:after="60"/>
      <w:jc w:val="left"/>
    </w:pPr>
    <w:rPr>
      <w:sz w:val="20"/>
    </w:rPr>
  </w:style>
  <w:style w:type="paragraph" w:customStyle="1" w:styleId="HistTableHeading">
    <w:name w:val="HistTableHeading"/>
    <w:basedOn w:val="Normal"/>
    <w:next w:val="HistoryTable"/>
    <w:semiHidden/>
    <w:pPr>
      <w:spacing w:before="240"/>
      <w:jc w:val="center"/>
    </w:pPr>
    <w:rPr>
      <w:rFonts w:ascii="Times New Roman Bold" w:hAnsi="Times New Roman Bold"/>
      <w:b/>
      <w:caps/>
    </w:rPr>
  </w:style>
  <w:style w:type="paragraph" w:customStyle="1" w:styleId="LegalNumPar">
    <w:name w:val="LegalNumPar"/>
    <w:basedOn w:val="Normal"/>
    <w:uiPriority w:val="20"/>
    <w:qFormat/>
    <w:pPr>
      <w:numPr>
        <w:numId w:val="20"/>
      </w:numPr>
      <w:spacing w:line="360" w:lineRule="auto"/>
    </w:pPr>
  </w:style>
  <w:style w:type="paragraph" w:customStyle="1" w:styleId="LegalNumPar2">
    <w:name w:val="LegalNumPar2"/>
    <w:basedOn w:val="Normal"/>
    <w:uiPriority w:val="20"/>
    <w:pPr>
      <w:numPr>
        <w:ilvl w:val="1"/>
        <w:numId w:val="20"/>
      </w:numPr>
      <w:spacing w:line="360" w:lineRule="auto"/>
    </w:pPr>
  </w:style>
  <w:style w:type="paragraph" w:customStyle="1" w:styleId="LegalNumPar3">
    <w:name w:val="LegalNumPar3"/>
    <w:basedOn w:val="Normal"/>
    <w:uiPriority w:val="20"/>
    <w:pPr>
      <w:numPr>
        <w:ilvl w:val="2"/>
        <w:numId w:val="20"/>
      </w:numPr>
      <w:spacing w:line="360" w:lineRule="auto"/>
    </w:pPr>
  </w:style>
  <w:style w:type="paragraph" w:styleId="ListBullet">
    <w:name w:val="List Bullet"/>
    <w:basedOn w:val="Normal"/>
    <w:uiPriority w:val="35"/>
    <w:pPr>
      <w:numPr>
        <w:numId w:val="18"/>
      </w:numPr>
    </w:pPr>
  </w:style>
  <w:style w:type="paragraph" w:customStyle="1" w:styleId="ListBulletLevel2">
    <w:name w:val="List Bullet (Level 2)"/>
    <w:basedOn w:val="Normal"/>
    <w:uiPriority w:val="35"/>
    <w:semiHidden/>
    <w:unhideWhenUsed/>
    <w:pPr>
      <w:numPr>
        <w:ilvl w:val="1"/>
        <w:numId w:val="18"/>
      </w:numPr>
    </w:pPr>
  </w:style>
  <w:style w:type="paragraph" w:customStyle="1" w:styleId="ListBulletLevel3">
    <w:name w:val="List Bullet (Level 3)"/>
    <w:basedOn w:val="Normal"/>
    <w:uiPriority w:val="35"/>
    <w:semiHidden/>
    <w:unhideWhenUsed/>
    <w:pPr>
      <w:numPr>
        <w:ilvl w:val="2"/>
        <w:numId w:val="18"/>
      </w:numPr>
    </w:pPr>
  </w:style>
  <w:style w:type="paragraph" w:customStyle="1" w:styleId="ListBulletLevel4">
    <w:name w:val="List Bullet (Level 4)"/>
    <w:basedOn w:val="Normal"/>
    <w:uiPriority w:val="35"/>
    <w:semiHidden/>
    <w:unhideWhenUsed/>
    <w:pPr>
      <w:numPr>
        <w:ilvl w:val="3"/>
        <w:numId w:val="18"/>
      </w:numPr>
    </w:pPr>
  </w:style>
  <w:style w:type="paragraph" w:customStyle="1" w:styleId="ListBullet1">
    <w:name w:val="List Bullet 1"/>
    <w:basedOn w:val="Text1"/>
    <w:uiPriority w:val="35"/>
    <w:pPr>
      <w:numPr>
        <w:numId w:val="17"/>
      </w:numPr>
    </w:pPr>
  </w:style>
  <w:style w:type="paragraph" w:customStyle="1" w:styleId="ListBullet1Level2">
    <w:name w:val="List Bullet 1 (Level 2)"/>
    <w:basedOn w:val="Text1"/>
    <w:uiPriority w:val="35"/>
    <w:semiHidden/>
    <w:unhideWhenUsed/>
    <w:pPr>
      <w:numPr>
        <w:ilvl w:val="1"/>
        <w:numId w:val="17"/>
      </w:numPr>
    </w:pPr>
  </w:style>
  <w:style w:type="paragraph" w:customStyle="1" w:styleId="ListBullet1Level3">
    <w:name w:val="List Bullet 1 (Level 3)"/>
    <w:basedOn w:val="Text1"/>
    <w:uiPriority w:val="35"/>
    <w:semiHidden/>
    <w:unhideWhenUsed/>
    <w:pPr>
      <w:numPr>
        <w:ilvl w:val="2"/>
        <w:numId w:val="17"/>
      </w:numPr>
    </w:pPr>
  </w:style>
  <w:style w:type="paragraph" w:customStyle="1" w:styleId="ListBullet1Level4">
    <w:name w:val="List Bullet 1 (Level 4)"/>
    <w:basedOn w:val="Text1"/>
    <w:uiPriority w:val="35"/>
    <w:semiHidden/>
    <w:unhideWhenUsed/>
    <w:pPr>
      <w:numPr>
        <w:ilvl w:val="3"/>
        <w:numId w:val="17"/>
      </w:numPr>
    </w:pPr>
  </w:style>
  <w:style w:type="paragraph" w:styleId="ListBullet2">
    <w:name w:val="List Bullet 2"/>
    <w:basedOn w:val="Text2"/>
    <w:uiPriority w:val="35"/>
    <w:pPr>
      <w:numPr>
        <w:numId w:val="16"/>
      </w:numPr>
    </w:pPr>
  </w:style>
  <w:style w:type="paragraph" w:customStyle="1" w:styleId="ListBullet2Level2">
    <w:name w:val="List Bullet 2 (Level 2)"/>
    <w:basedOn w:val="Text2"/>
    <w:uiPriority w:val="35"/>
    <w:semiHidden/>
    <w:unhideWhenUsed/>
    <w:pPr>
      <w:numPr>
        <w:ilvl w:val="1"/>
        <w:numId w:val="16"/>
      </w:numPr>
    </w:pPr>
  </w:style>
  <w:style w:type="paragraph" w:customStyle="1" w:styleId="ListBullet2Level3">
    <w:name w:val="List Bullet 2 (Level 3)"/>
    <w:basedOn w:val="Text2"/>
    <w:uiPriority w:val="35"/>
    <w:semiHidden/>
    <w:unhideWhenUsed/>
    <w:pPr>
      <w:numPr>
        <w:ilvl w:val="2"/>
        <w:numId w:val="16"/>
      </w:numPr>
    </w:pPr>
  </w:style>
  <w:style w:type="paragraph" w:customStyle="1" w:styleId="ListBullet2Level4">
    <w:name w:val="List Bullet 2 (Level 4)"/>
    <w:basedOn w:val="Text2"/>
    <w:uiPriority w:val="35"/>
    <w:semiHidden/>
    <w:unhideWhenUsed/>
    <w:pPr>
      <w:numPr>
        <w:ilvl w:val="3"/>
        <w:numId w:val="16"/>
      </w:numPr>
    </w:pPr>
  </w:style>
  <w:style w:type="paragraph" w:styleId="ListBullet3">
    <w:name w:val="List Bullet 3"/>
    <w:basedOn w:val="Text3"/>
    <w:uiPriority w:val="35"/>
    <w:pPr>
      <w:numPr>
        <w:numId w:val="15"/>
      </w:numPr>
    </w:pPr>
  </w:style>
  <w:style w:type="paragraph" w:customStyle="1" w:styleId="ListBullet3Level2">
    <w:name w:val="List Bullet 3 (Level 2)"/>
    <w:basedOn w:val="Text3"/>
    <w:uiPriority w:val="35"/>
    <w:semiHidden/>
    <w:unhideWhenUsed/>
    <w:pPr>
      <w:numPr>
        <w:ilvl w:val="1"/>
        <w:numId w:val="15"/>
      </w:numPr>
    </w:pPr>
  </w:style>
  <w:style w:type="paragraph" w:customStyle="1" w:styleId="ListBullet3Level3">
    <w:name w:val="List Bullet 3 (Level 3)"/>
    <w:basedOn w:val="Text3"/>
    <w:uiPriority w:val="35"/>
    <w:semiHidden/>
    <w:unhideWhenUsed/>
    <w:pPr>
      <w:numPr>
        <w:ilvl w:val="2"/>
        <w:numId w:val="15"/>
      </w:numPr>
    </w:pPr>
  </w:style>
  <w:style w:type="paragraph" w:customStyle="1" w:styleId="ListBullet3Level4">
    <w:name w:val="List Bullet 3 (Level 4)"/>
    <w:basedOn w:val="Text3"/>
    <w:uiPriority w:val="35"/>
    <w:semiHidden/>
    <w:unhideWhenUsed/>
    <w:pPr>
      <w:numPr>
        <w:ilvl w:val="3"/>
        <w:numId w:val="15"/>
      </w:numPr>
    </w:pPr>
  </w:style>
  <w:style w:type="paragraph" w:styleId="ListBullet4">
    <w:name w:val="List Bullet 4"/>
    <w:basedOn w:val="Text4"/>
    <w:uiPriority w:val="35"/>
    <w:pPr>
      <w:numPr>
        <w:numId w:val="14"/>
      </w:numPr>
    </w:pPr>
  </w:style>
  <w:style w:type="paragraph" w:customStyle="1" w:styleId="ListBullet4Level2">
    <w:name w:val="List Bullet 4 (Level 2)"/>
    <w:basedOn w:val="Text4"/>
    <w:uiPriority w:val="35"/>
    <w:semiHidden/>
    <w:unhideWhenUsed/>
    <w:pPr>
      <w:numPr>
        <w:ilvl w:val="1"/>
        <w:numId w:val="14"/>
      </w:numPr>
    </w:pPr>
  </w:style>
  <w:style w:type="paragraph" w:customStyle="1" w:styleId="ListBullet4Level3">
    <w:name w:val="List Bullet 4 (Level 3)"/>
    <w:basedOn w:val="Text4"/>
    <w:uiPriority w:val="35"/>
    <w:semiHidden/>
    <w:unhideWhenUsed/>
    <w:pPr>
      <w:numPr>
        <w:ilvl w:val="2"/>
        <w:numId w:val="14"/>
      </w:numPr>
    </w:pPr>
  </w:style>
  <w:style w:type="paragraph" w:customStyle="1" w:styleId="ListBullet4Level4">
    <w:name w:val="List Bullet 4 (Level 4)"/>
    <w:basedOn w:val="Text4"/>
    <w:uiPriority w:val="35"/>
    <w:semiHidden/>
    <w:unhideWhenUsed/>
    <w:pPr>
      <w:numPr>
        <w:ilvl w:val="3"/>
        <w:numId w:val="14"/>
      </w:numPr>
    </w:pPr>
  </w:style>
  <w:style w:type="paragraph" w:customStyle="1" w:styleId="ListDash">
    <w:name w:val="List Dash"/>
    <w:basedOn w:val="Normal"/>
    <w:uiPriority w:val="35"/>
    <w:pPr>
      <w:numPr>
        <w:numId w:val="8"/>
      </w:numPr>
    </w:pPr>
  </w:style>
  <w:style w:type="paragraph" w:customStyle="1" w:styleId="ListDashLevel2">
    <w:name w:val="List Dash (Level 2)"/>
    <w:basedOn w:val="Normal"/>
    <w:semiHidden/>
    <w:unhideWhenUsed/>
    <w:pPr>
      <w:numPr>
        <w:ilvl w:val="1"/>
        <w:numId w:val="8"/>
      </w:numPr>
    </w:pPr>
  </w:style>
  <w:style w:type="paragraph" w:customStyle="1" w:styleId="ListDashLevel3">
    <w:name w:val="List Dash (Level 3)"/>
    <w:basedOn w:val="Normal"/>
    <w:semiHidden/>
    <w:unhideWhenUsed/>
    <w:pPr>
      <w:numPr>
        <w:ilvl w:val="2"/>
        <w:numId w:val="8"/>
      </w:numPr>
    </w:pPr>
  </w:style>
  <w:style w:type="paragraph" w:customStyle="1" w:styleId="ListDashLevel4">
    <w:name w:val="List Dash (Level 4)"/>
    <w:basedOn w:val="Normal"/>
    <w:semiHidden/>
    <w:unhideWhenUsed/>
    <w:pPr>
      <w:numPr>
        <w:ilvl w:val="3"/>
        <w:numId w:val="8"/>
      </w:numPr>
    </w:pPr>
  </w:style>
  <w:style w:type="paragraph" w:customStyle="1" w:styleId="ListDash1">
    <w:name w:val="List Dash 1"/>
    <w:basedOn w:val="Text1"/>
    <w:uiPriority w:val="35"/>
    <w:pPr>
      <w:numPr>
        <w:numId w:val="7"/>
      </w:numPr>
    </w:pPr>
  </w:style>
  <w:style w:type="paragraph" w:customStyle="1" w:styleId="ListDash1Level2">
    <w:name w:val="List Dash 1 (Level 2)"/>
    <w:basedOn w:val="Text1"/>
    <w:uiPriority w:val="35"/>
    <w:semiHidden/>
    <w:unhideWhenUsed/>
    <w:pPr>
      <w:numPr>
        <w:ilvl w:val="1"/>
        <w:numId w:val="7"/>
      </w:numPr>
    </w:pPr>
  </w:style>
  <w:style w:type="paragraph" w:customStyle="1" w:styleId="ListDash1Level3">
    <w:name w:val="List Dash 1 (Level 3)"/>
    <w:basedOn w:val="Text1"/>
    <w:uiPriority w:val="35"/>
    <w:semiHidden/>
    <w:unhideWhenUsed/>
    <w:pPr>
      <w:numPr>
        <w:ilvl w:val="2"/>
        <w:numId w:val="7"/>
      </w:numPr>
    </w:pPr>
  </w:style>
  <w:style w:type="paragraph" w:customStyle="1" w:styleId="ListDash1Level4">
    <w:name w:val="List Dash 1 (Level 4)"/>
    <w:basedOn w:val="Text1"/>
    <w:uiPriority w:val="35"/>
    <w:semiHidden/>
    <w:unhideWhenUsed/>
    <w:pPr>
      <w:numPr>
        <w:ilvl w:val="3"/>
        <w:numId w:val="7"/>
      </w:numPr>
    </w:pPr>
  </w:style>
  <w:style w:type="paragraph" w:customStyle="1" w:styleId="ListDash2">
    <w:name w:val="List Dash 2"/>
    <w:basedOn w:val="Text2"/>
    <w:uiPriority w:val="35"/>
    <w:pPr>
      <w:numPr>
        <w:numId w:val="6"/>
      </w:numPr>
    </w:pPr>
  </w:style>
  <w:style w:type="paragraph" w:customStyle="1" w:styleId="ListDash2Level2">
    <w:name w:val="List Dash 2 (Level 2)"/>
    <w:basedOn w:val="Text2"/>
    <w:uiPriority w:val="35"/>
    <w:semiHidden/>
    <w:unhideWhenUsed/>
    <w:pPr>
      <w:numPr>
        <w:ilvl w:val="1"/>
        <w:numId w:val="6"/>
      </w:numPr>
    </w:pPr>
  </w:style>
  <w:style w:type="paragraph" w:customStyle="1" w:styleId="ListDash2Level3">
    <w:name w:val="List Dash 2 (Level 3)"/>
    <w:basedOn w:val="Text2"/>
    <w:uiPriority w:val="35"/>
    <w:semiHidden/>
    <w:unhideWhenUsed/>
    <w:pPr>
      <w:numPr>
        <w:ilvl w:val="2"/>
        <w:numId w:val="6"/>
      </w:numPr>
    </w:pPr>
  </w:style>
  <w:style w:type="paragraph" w:customStyle="1" w:styleId="ListDash2Level4">
    <w:name w:val="List Dash 2 (Level 4)"/>
    <w:basedOn w:val="Text2"/>
    <w:uiPriority w:val="35"/>
    <w:semiHidden/>
    <w:unhideWhenUsed/>
    <w:pPr>
      <w:numPr>
        <w:ilvl w:val="3"/>
        <w:numId w:val="6"/>
      </w:numPr>
    </w:pPr>
  </w:style>
  <w:style w:type="paragraph" w:customStyle="1" w:styleId="ListDash3">
    <w:name w:val="List Dash 3"/>
    <w:basedOn w:val="Text3"/>
    <w:uiPriority w:val="35"/>
    <w:pPr>
      <w:numPr>
        <w:numId w:val="5"/>
      </w:numPr>
    </w:pPr>
  </w:style>
  <w:style w:type="paragraph" w:customStyle="1" w:styleId="ListDash3Level2">
    <w:name w:val="List Dash 3 (Level 2)"/>
    <w:basedOn w:val="Text3"/>
    <w:uiPriority w:val="35"/>
    <w:semiHidden/>
    <w:unhideWhenUsed/>
    <w:pPr>
      <w:numPr>
        <w:ilvl w:val="1"/>
        <w:numId w:val="5"/>
      </w:numPr>
    </w:pPr>
  </w:style>
  <w:style w:type="paragraph" w:customStyle="1" w:styleId="ListDash3Level3">
    <w:name w:val="List Dash 3 (Level 3)"/>
    <w:basedOn w:val="Text3"/>
    <w:uiPriority w:val="35"/>
    <w:semiHidden/>
    <w:unhideWhenUsed/>
    <w:pPr>
      <w:numPr>
        <w:ilvl w:val="2"/>
        <w:numId w:val="5"/>
      </w:numPr>
    </w:pPr>
  </w:style>
  <w:style w:type="paragraph" w:customStyle="1" w:styleId="ListDash3Level4">
    <w:name w:val="List Dash 3 (Level 4)"/>
    <w:basedOn w:val="Text3"/>
    <w:uiPriority w:val="35"/>
    <w:semiHidden/>
    <w:unhideWhenUsed/>
    <w:pPr>
      <w:numPr>
        <w:ilvl w:val="3"/>
        <w:numId w:val="5"/>
      </w:numPr>
    </w:pPr>
  </w:style>
  <w:style w:type="paragraph" w:customStyle="1" w:styleId="ListDash4">
    <w:name w:val="List Dash 4"/>
    <w:basedOn w:val="Text4"/>
    <w:uiPriority w:val="35"/>
    <w:pPr>
      <w:numPr>
        <w:numId w:val="4"/>
      </w:numPr>
    </w:pPr>
  </w:style>
  <w:style w:type="paragraph" w:customStyle="1" w:styleId="ListDash4Level2">
    <w:name w:val="List Dash 4 (Level 2)"/>
    <w:basedOn w:val="Text4"/>
    <w:uiPriority w:val="35"/>
    <w:semiHidden/>
    <w:unhideWhenUsed/>
    <w:pPr>
      <w:numPr>
        <w:ilvl w:val="1"/>
        <w:numId w:val="4"/>
      </w:numPr>
    </w:pPr>
  </w:style>
  <w:style w:type="paragraph" w:customStyle="1" w:styleId="ListDash4Level3">
    <w:name w:val="List Dash 4 (Level 3)"/>
    <w:basedOn w:val="Text4"/>
    <w:uiPriority w:val="35"/>
    <w:semiHidden/>
    <w:unhideWhenUsed/>
    <w:pPr>
      <w:numPr>
        <w:ilvl w:val="2"/>
        <w:numId w:val="4"/>
      </w:numPr>
    </w:pPr>
  </w:style>
  <w:style w:type="paragraph" w:customStyle="1" w:styleId="ListDash4Level4">
    <w:name w:val="List Dash 4 (Level 4)"/>
    <w:basedOn w:val="Text4"/>
    <w:uiPriority w:val="35"/>
    <w:semiHidden/>
    <w:unhideWhenUsed/>
    <w:pPr>
      <w:numPr>
        <w:ilvl w:val="3"/>
        <w:numId w:val="4"/>
      </w:numPr>
    </w:pPr>
  </w:style>
  <w:style w:type="paragraph" w:styleId="ListNumber">
    <w:name w:val="List Number"/>
    <w:basedOn w:val="Normal"/>
    <w:uiPriority w:val="30"/>
    <w:pPr>
      <w:numPr>
        <w:numId w:val="13"/>
      </w:numPr>
    </w:pPr>
  </w:style>
  <w:style w:type="paragraph" w:customStyle="1" w:styleId="ListNumberLevel2">
    <w:name w:val="List Number (Level 2)"/>
    <w:basedOn w:val="Normal"/>
    <w:uiPriority w:val="30"/>
    <w:pPr>
      <w:numPr>
        <w:ilvl w:val="1"/>
        <w:numId w:val="13"/>
      </w:numPr>
    </w:pPr>
  </w:style>
  <w:style w:type="paragraph" w:customStyle="1" w:styleId="ListNumberLevel3">
    <w:name w:val="List Number (Level 3)"/>
    <w:basedOn w:val="Normal"/>
    <w:uiPriority w:val="30"/>
    <w:pPr>
      <w:numPr>
        <w:ilvl w:val="2"/>
        <w:numId w:val="13"/>
      </w:numPr>
    </w:pPr>
  </w:style>
  <w:style w:type="paragraph" w:customStyle="1" w:styleId="ListNumberLevel4">
    <w:name w:val="List Number (Level 4)"/>
    <w:basedOn w:val="Normal"/>
    <w:uiPriority w:val="30"/>
    <w:pPr>
      <w:numPr>
        <w:ilvl w:val="3"/>
        <w:numId w:val="13"/>
      </w:numPr>
    </w:pPr>
  </w:style>
  <w:style w:type="paragraph" w:customStyle="1" w:styleId="ListNumber1">
    <w:name w:val="List Number 1"/>
    <w:basedOn w:val="Text1"/>
    <w:uiPriority w:val="30"/>
    <w:pPr>
      <w:numPr>
        <w:numId w:val="12"/>
      </w:numPr>
    </w:pPr>
  </w:style>
  <w:style w:type="paragraph" w:customStyle="1" w:styleId="ListNumber1Level2">
    <w:name w:val="List Number 1 (Level 2)"/>
    <w:basedOn w:val="Text1"/>
    <w:uiPriority w:val="30"/>
    <w:semiHidden/>
    <w:unhideWhenUsed/>
    <w:pPr>
      <w:numPr>
        <w:ilvl w:val="1"/>
        <w:numId w:val="12"/>
      </w:numPr>
    </w:pPr>
  </w:style>
  <w:style w:type="paragraph" w:customStyle="1" w:styleId="ListNumber1Level3">
    <w:name w:val="List Number 1 (Level 3)"/>
    <w:basedOn w:val="Text1"/>
    <w:uiPriority w:val="30"/>
    <w:semiHidden/>
    <w:unhideWhenUsed/>
    <w:pPr>
      <w:numPr>
        <w:ilvl w:val="2"/>
        <w:numId w:val="12"/>
      </w:numPr>
    </w:pPr>
  </w:style>
  <w:style w:type="paragraph" w:customStyle="1" w:styleId="ListNumber1Level4">
    <w:name w:val="List Number 1 (Level 4)"/>
    <w:basedOn w:val="Text1"/>
    <w:uiPriority w:val="30"/>
    <w:semiHidden/>
    <w:unhideWhenUsed/>
    <w:pPr>
      <w:numPr>
        <w:ilvl w:val="3"/>
        <w:numId w:val="12"/>
      </w:numPr>
    </w:pPr>
  </w:style>
  <w:style w:type="paragraph" w:styleId="ListNumber2">
    <w:name w:val="List Number 2"/>
    <w:basedOn w:val="Text2"/>
    <w:uiPriority w:val="30"/>
    <w:pPr>
      <w:numPr>
        <w:numId w:val="11"/>
      </w:numPr>
    </w:pPr>
  </w:style>
  <w:style w:type="paragraph" w:customStyle="1" w:styleId="ListNumber2Level2">
    <w:name w:val="List Number 2 (Level 2)"/>
    <w:basedOn w:val="Text2"/>
    <w:uiPriority w:val="30"/>
    <w:semiHidden/>
    <w:unhideWhenUsed/>
    <w:pPr>
      <w:numPr>
        <w:ilvl w:val="1"/>
        <w:numId w:val="11"/>
      </w:numPr>
    </w:pPr>
  </w:style>
  <w:style w:type="paragraph" w:customStyle="1" w:styleId="ListNumber2Level3">
    <w:name w:val="List Number 2 (Level 3)"/>
    <w:basedOn w:val="Text2"/>
    <w:uiPriority w:val="30"/>
    <w:semiHidden/>
    <w:unhideWhenUsed/>
    <w:pPr>
      <w:numPr>
        <w:ilvl w:val="2"/>
        <w:numId w:val="11"/>
      </w:numPr>
    </w:pPr>
  </w:style>
  <w:style w:type="paragraph" w:customStyle="1" w:styleId="ListNumber2Level4">
    <w:name w:val="List Number 2 (Level 4)"/>
    <w:basedOn w:val="Text2"/>
    <w:uiPriority w:val="30"/>
    <w:semiHidden/>
    <w:unhideWhenUsed/>
    <w:pPr>
      <w:numPr>
        <w:ilvl w:val="3"/>
        <w:numId w:val="11"/>
      </w:numPr>
    </w:pPr>
  </w:style>
  <w:style w:type="paragraph" w:styleId="ListNumber3">
    <w:name w:val="List Number 3"/>
    <w:basedOn w:val="Text3"/>
    <w:uiPriority w:val="30"/>
    <w:pPr>
      <w:numPr>
        <w:numId w:val="10"/>
      </w:numPr>
    </w:pPr>
  </w:style>
  <w:style w:type="paragraph" w:customStyle="1" w:styleId="ListNumber3Level2">
    <w:name w:val="List Number 3 (Level 2)"/>
    <w:basedOn w:val="Text3"/>
    <w:uiPriority w:val="30"/>
    <w:semiHidden/>
    <w:unhideWhenUsed/>
    <w:pPr>
      <w:numPr>
        <w:ilvl w:val="1"/>
        <w:numId w:val="10"/>
      </w:numPr>
    </w:pPr>
  </w:style>
  <w:style w:type="paragraph" w:customStyle="1" w:styleId="ListNumber3Level3">
    <w:name w:val="List Number 3 (Level 3)"/>
    <w:basedOn w:val="Text3"/>
    <w:uiPriority w:val="30"/>
    <w:semiHidden/>
    <w:unhideWhenUsed/>
    <w:pPr>
      <w:numPr>
        <w:ilvl w:val="2"/>
        <w:numId w:val="10"/>
      </w:numPr>
    </w:pPr>
  </w:style>
  <w:style w:type="paragraph" w:customStyle="1" w:styleId="ListNumber3Level4">
    <w:name w:val="List Number 3 (Level 4)"/>
    <w:basedOn w:val="Text3"/>
    <w:uiPriority w:val="30"/>
    <w:semiHidden/>
    <w:unhideWhenUsed/>
    <w:pPr>
      <w:numPr>
        <w:ilvl w:val="3"/>
        <w:numId w:val="10"/>
      </w:numPr>
    </w:pPr>
  </w:style>
  <w:style w:type="paragraph" w:styleId="ListNumber4">
    <w:name w:val="List Number 4"/>
    <w:basedOn w:val="Text4"/>
    <w:uiPriority w:val="30"/>
    <w:pPr>
      <w:numPr>
        <w:numId w:val="9"/>
      </w:numPr>
    </w:pPr>
  </w:style>
  <w:style w:type="paragraph" w:customStyle="1" w:styleId="ListNumber4Level2">
    <w:name w:val="List Number 4 (Level 2)"/>
    <w:basedOn w:val="Text4"/>
    <w:uiPriority w:val="30"/>
    <w:semiHidden/>
    <w:unhideWhenUsed/>
    <w:pPr>
      <w:numPr>
        <w:ilvl w:val="1"/>
        <w:numId w:val="9"/>
      </w:numPr>
    </w:pPr>
  </w:style>
  <w:style w:type="paragraph" w:customStyle="1" w:styleId="ListNumber4Level3">
    <w:name w:val="List Number 4 (Level 3)"/>
    <w:basedOn w:val="Text4"/>
    <w:uiPriority w:val="30"/>
    <w:semiHidden/>
    <w:unhideWhenUsed/>
    <w:pPr>
      <w:numPr>
        <w:ilvl w:val="2"/>
        <w:numId w:val="9"/>
      </w:numPr>
    </w:pPr>
  </w:style>
  <w:style w:type="paragraph" w:customStyle="1" w:styleId="ListNumber4Level4">
    <w:name w:val="List Number 4 (Level 4)"/>
    <w:basedOn w:val="Text4"/>
    <w:uiPriority w:val="30"/>
    <w:semiHidden/>
    <w:unhideWhenUsed/>
    <w:pPr>
      <w:numPr>
        <w:ilvl w:val="3"/>
        <w:numId w:val="9"/>
      </w:numPr>
    </w:pPr>
  </w:style>
  <w:style w:type="paragraph" w:customStyle="1" w:styleId="Marking">
    <w:name w:val="Marking"/>
    <w:basedOn w:val="Normal"/>
    <w:semiHidden/>
    <w:rsid w:val="00031D8E"/>
    <w:pPr>
      <w:ind w:left="5102" w:right="-680"/>
      <w:contextualSpacing/>
      <w:jc w:val="left"/>
    </w:pPr>
    <w:rPr>
      <w:sz w:val="28"/>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Title">
    <w:name w:val="PartTitle"/>
    <w:basedOn w:val="Normal"/>
    <w:next w:val="ChapterTitle"/>
    <w:uiPriority w:val="42"/>
    <w:qFormat/>
    <w:pPr>
      <w:keepNext/>
      <w:pageBreakBefore/>
      <w:spacing w:after="480"/>
      <w:jc w:val="center"/>
      <w:outlineLvl w:val="0"/>
    </w:pPr>
    <w:rPr>
      <w:b/>
      <w:sz w:val="36"/>
    </w:r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44"/>
    <w:qFormat/>
    <w:pPr>
      <w:keepNext/>
      <w:spacing w:after="480"/>
      <w:jc w:val="center"/>
      <w:outlineLvl w:val="0"/>
    </w:pPr>
    <w:rPr>
      <w:b/>
      <w:smallCaps/>
      <w:sz w:val="28"/>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Title1">
    <w:name w:val="SubTitle 1"/>
    <w:basedOn w:val="Normal"/>
    <w:next w:val="SubTitle2"/>
    <w:uiPriority w:val="41"/>
    <w:qFormat/>
    <w:pPr>
      <w:jc w:val="center"/>
    </w:pPr>
    <w:rPr>
      <w:b/>
      <w:sz w:val="40"/>
    </w:rPr>
  </w:style>
  <w:style w:type="paragraph" w:customStyle="1" w:styleId="SubTitle2">
    <w:name w:val="SubTitle 2"/>
    <w:basedOn w:val="Normal"/>
    <w:uiPriority w:val="41"/>
    <w:qFormat/>
    <w:pPr>
      <w:jc w:val="center"/>
    </w:pPr>
    <w:rPr>
      <w:b/>
      <w:sz w:val="32"/>
    </w:rPr>
  </w:style>
  <w:style w:type="paragraph" w:customStyle="1" w:styleId="TableListBullet">
    <w:name w:val="Table List Bullet"/>
    <w:basedOn w:val="TableText"/>
    <w:uiPriority w:val="55"/>
    <w:pPr>
      <w:numPr>
        <w:numId w:val="23"/>
      </w:numPr>
    </w:pPr>
  </w:style>
  <w:style w:type="paragraph" w:customStyle="1" w:styleId="TableListBulletLevel2">
    <w:name w:val="Table List Bullet (Level 2)"/>
    <w:basedOn w:val="TableText"/>
    <w:uiPriority w:val="55"/>
    <w:semiHidden/>
    <w:unhideWhenUsed/>
    <w:pPr>
      <w:numPr>
        <w:ilvl w:val="1"/>
        <w:numId w:val="23"/>
      </w:numPr>
    </w:pPr>
  </w:style>
  <w:style w:type="paragraph" w:customStyle="1" w:styleId="TableListBulletLevel3">
    <w:name w:val="Table List Bullet (Level 3)"/>
    <w:basedOn w:val="TableText"/>
    <w:uiPriority w:val="55"/>
    <w:semiHidden/>
    <w:unhideWhenUsed/>
    <w:pPr>
      <w:numPr>
        <w:ilvl w:val="2"/>
        <w:numId w:val="23"/>
      </w:numPr>
    </w:pPr>
  </w:style>
  <w:style w:type="paragraph" w:customStyle="1" w:styleId="TableListBulletLevel4">
    <w:name w:val="Table List Bullet (Level 4)"/>
    <w:basedOn w:val="TableText"/>
    <w:uiPriority w:val="55"/>
    <w:semiHidden/>
    <w:unhideWhenUsed/>
    <w:pPr>
      <w:numPr>
        <w:ilvl w:val="3"/>
        <w:numId w:val="23"/>
      </w:numPr>
    </w:pPr>
  </w:style>
  <w:style w:type="paragraph" w:customStyle="1" w:styleId="TableListDash">
    <w:name w:val="Table List Dash"/>
    <w:basedOn w:val="TableText"/>
    <w:uiPriority w:val="55"/>
    <w:pPr>
      <w:numPr>
        <w:numId w:val="24"/>
      </w:numPr>
    </w:pPr>
  </w:style>
  <w:style w:type="paragraph" w:customStyle="1" w:styleId="TableListDashLevel2">
    <w:name w:val="Table List Dash (Level 2)"/>
    <w:basedOn w:val="TableText"/>
    <w:uiPriority w:val="55"/>
    <w:semiHidden/>
    <w:unhideWhenUsed/>
    <w:pPr>
      <w:numPr>
        <w:ilvl w:val="1"/>
        <w:numId w:val="24"/>
      </w:numPr>
    </w:pPr>
  </w:style>
  <w:style w:type="paragraph" w:customStyle="1" w:styleId="TableListDashLevel3">
    <w:name w:val="Table List Dash (Level 3)"/>
    <w:basedOn w:val="TableText"/>
    <w:uiPriority w:val="55"/>
    <w:semiHidden/>
    <w:unhideWhenUsed/>
    <w:pPr>
      <w:numPr>
        <w:ilvl w:val="2"/>
        <w:numId w:val="24"/>
      </w:numPr>
    </w:pPr>
  </w:style>
  <w:style w:type="paragraph" w:customStyle="1" w:styleId="TableListDashLevel4">
    <w:name w:val="Table List Dash (Level 4)"/>
    <w:basedOn w:val="TableText"/>
    <w:uiPriority w:val="55"/>
    <w:semiHidden/>
    <w:unhideWhenUsed/>
    <w:pPr>
      <w:numPr>
        <w:ilvl w:val="3"/>
        <w:numId w:val="24"/>
      </w:numPr>
    </w:pPr>
  </w:style>
  <w:style w:type="paragraph" w:customStyle="1" w:styleId="TableListNumber">
    <w:name w:val="Table List Number"/>
    <w:basedOn w:val="TableText"/>
    <w:uiPriority w:val="55"/>
    <w:pPr>
      <w:numPr>
        <w:numId w:val="25"/>
      </w:numPr>
    </w:pPr>
  </w:style>
  <w:style w:type="paragraph" w:customStyle="1" w:styleId="TableListNumberLevel2">
    <w:name w:val="Table List Number (Level 2)"/>
    <w:basedOn w:val="TableText"/>
    <w:uiPriority w:val="55"/>
    <w:semiHidden/>
    <w:unhideWhenUsed/>
    <w:pPr>
      <w:numPr>
        <w:ilvl w:val="1"/>
        <w:numId w:val="25"/>
      </w:numPr>
    </w:pPr>
  </w:style>
  <w:style w:type="paragraph" w:customStyle="1" w:styleId="TableListNumberLevel3">
    <w:name w:val="Table List Number (Level 3)"/>
    <w:basedOn w:val="TableText"/>
    <w:uiPriority w:val="55"/>
    <w:semiHidden/>
    <w:unhideWhenUsed/>
    <w:pPr>
      <w:numPr>
        <w:ilvl w:val="2"/>
        <w:numId w:val="25"/>
      </w:numPr>
    </w:pPr>
  </w:style>
  <w:style w:type="paragraph" w:customStyle="1" w:styleId="TableListNumberLevel4">
    <w:name w:val="Table List Number (Level 4)"/>
    <w:basedOn w:val="TableText"/>
    <w:uiPriority w:val="55"/>
    <w:semiHidden/>
    <w:unhideWhenUsed/>
    <w:pPr>
      <w:numPr>
        <w:ilvl w:val="3"/>
        <w:numId w:val="25"/>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202"/>
    </w:pPr>
  </w:style>
  <w:style w:type="paragraph" w:customStyle="1" w:styleId="Text3">
    <w:name w:val="Text 3"/>
    <w:basedOn w:val="Normal"/>
    <w:qFormat/>
    <w:pPr>
      <w:ind w:left="1202"/>
    </w:pPr>
  </w:style>
  <w:style w:type="paragraph" w:customStyle="1" w:styleId="Text4">
    <w:name w:val="Text 4"/>
    <w:basedOn w:val="Normal"/>
    <w:qFormat/>
    <w:pPr>
      <w:ind w:left="1202"/>
    </w:pPr>
  </w:style>
  <w:style w:type="paragraph" w:styleId="Title">
    <w:name w:val="Title"/>
    <w:basedOn w:val="Normal"/>
    <w:next w:val="SubTitle1"/>
    <w:uiPriority w:val="40"/>
    <w:qFormat/>
    <w:pPr>
      <w:spacing w:after="480"/>
      <w:jc w:val="center"/>
    </w:pPr>
    <w:rPr>
      <w:b/>
      <w:kern w:val="28"/>
      <w:sz w:val="48"/>
    </w:rPr>
  </w:style>
  <w:style w:type="paragraph" w:styleId="TOC1">
    <w:name w:val="toc 1"/>
    <w:basedOn w:val="Normal"/>
    <w:next w:val="Normal"/>
    <w:uiPriority w:val="39"/>
    <w:pPr>
      <w:tabs>
        <w:tab w:val="right" w:leader="dot" w:pos="8640"/>
      </w:tabs>
      <w:spacing w:before="120" w:after="120"/>
      <w:ind w:left="482" w:right="720" w:hanging="482"/>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202" w:type="dxa"/>
    </w:tblPr>
    <w:tblStylePr w:type="firstRow">
      <w:rPr>
        <w:b/>
      </w:rPr>
      <w:tblPr/>
      <w:trPr>
        <w:cantSplit/>
        <w:tblHeader/>
      </w:trPr>
    </w:tblStylePr>
  </w:style>
  <w:style w:type="table" w:customStyle="1" w:styleId="EurolookTable3">
    <w:name w:val="Eurolook Table 3"/>
    <w:basedOn w:val="EurolookTable"/>
    <w:semiHidden/>
    <w:tblPr>
      <w:tblInd w:w="1202" w:type="dxa"/>
    </w:tblPr>
    <w:tblStylePr w:type="firstRow">
      <w:rPr>
        <w:b/>
      </w:rPr>
      <w:tblPr/>
      <w:trPr>
        <w:cantSplit/>
        <w:tblHeader/>
      </w:trPr>
    </w:tblStylePr>
  </w:style>
  <w:style w:type="table" w:customStyle="1" w:styleId="EurolookTable4">
    <w:name w:val="Eurolook Table 4"/>
    <w:basedOn w:val="EurolookTable"/>
    <w:semiHidden/>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rsid w:val="00031D8E"/>
    <w:rPr>
      <w:color w:val="467886" w:themeColor="hyperlink"/>
      <w:u w:val="single"/>
    </w:rPr>
  </w:style>
  <w:style w:type="paragraph" w:customStyle="1" w:styleId="paragraph">
    <w:name w:val="paragraph"/>
    <w:basedOn w:val="Normal"/>
    <w:rsid w:val="006A7A1B"/>
    <w:pPr>
      <w:spacing w:before="100" w:beforeAutospacing="1" w:after="100" w:afterAutospacing="1"/>
      <w:jc w:val="left"/>
    </w:pPr>
    <w:rPr>
      <w:szCs w:val="24"/>
    </w:rPr>
  </w:style>
  <w:style w:type="character" w:customStyle="1" w:styleId="normaltextrun">
    <w:name w:val="normaltextrun"/>
    <w:basedOn w:val="DefaultParagraphFont"/>
    <w:rsid w:val="006A7A1B"/>
  </w:style>
  <w:style w:type="character" w:customStyle="1" w:styleId="eop">
    <w:name w:val="eop"/>
    <w:basedOn w:val="DefaultParagraphFont"/>
    <w:rsid w:val="006A7A1B"/>
  </w:style>
  <w:style w:type="character" w:customStyle="1" w:styleId="UnresolvedMention">
    <w:name w:val="Unresolved Mention"/>
    <w:basedOn w:val="DefaultParagraphFont"/>
    <w:uiPriority w:val="99"/>
    <w:semiHidden/>
    <w:unhideWhenUsed/>
    <w:rsid w:val="003A13CA"/>
    <w:rPr>
      <w:color w:val="605E5C"/>
      <w:shd w:val="clear" w:color="auto" w:fill="E1DFDD"/>
    </w:rPr>
  </w:style>
  <w:style w:type="character" w:styleId="FollowedHyperlink">
    <w:name w:val="FollowedHyperlink"/>
    <w:basedOn w:val="DefaultParagraphFont"/>
    <w:uiPriority w:val="99"/>
    <w:semiHidden/>
    <w:rsid w:val="0077335F"/>
    <w:rPr>
      <w:color w:val="96607D" w:themeColor="followedHyperlink"/>
      <w:u w:val="single"/>
    </w:rPr>
  </w:style>
  <w:style w:type="paragraph" w:styleId="ListParagraph">
    <w:name w:val="List Paragraph"/>
    <w:basedOn w:val="Normal"/>
    <w:uiPriority w:val="34"/>
    <w:qFormat/>
    <w:rsid w:val="2683FEF8"/>
    <w:pPr>
      <w:ind w:left="720"/>
      <w:contextualSpacing/>
    </w:pPr>
  </w:style>
  <w:style w:type="character" w:styleId="CommentReference">
    <w:name w:val="annotation reference"/>
    <w:basedOn w:val="DefaultParagraphFont"/>
    <w:uiPriority w:val="99"/>
    <w:semiHidden/>
    <w:rsid w:val="00904C90"/>
    <w:rPr>
      <w:sz w:val="16"/>
      <w:szCs w:val="16"/>
    </w:rPr>
  </w:style>
  <w:style w:type="paragraph" w:styleId="CommentText">
    <w:name w:val="annotation text"/>
    <w:basedOn w:val="Normal"/>
    <w:link w:val="CommentTextChar"/>
    <w:uiPriority w:val="99"/>
    <w:semiHidden/>
    <w:rsid w:val="00904C90"/>
    <w:rPr>
      <w:sz w:val="20"/>
    </w:rPr>
  </w:style>
  <w:style w:type="character" w:customStyle="1" w:styleId="CommentTextChar">
    <w:name w:val="Comment Text Char"/>
    <w:basedOn w:val="DefaultParagraphFont"/>
    <w:link w:val="CommentText"/>
    <w:uiPriority w:val="99"/>
    <w:semiHidden/>
    <w:rsid w:val="00904C90"/>
    <w:rPr>
      <w:sz w:val="20"/>
    </w:rPr>
  </w:style>
  <w:style w:type="paragraph" w:styleId="CommentSubject">
    <w:name w:val="annotation subject"/>
    <w:basedOn w:val="CommentText"/>
    <w:next w:val="CommentText"/>
    <w:link w:val="CommentSubjectChar"/>
    <w:uiPriority w:val="99"/>
    <w:semiHidden/>
    <w:rsid w:val="00904C90"/>
    <w:rPr>
      <w:b/>
      <w:bCs/>
    </w:rPr>
  </w:style>
  <w:style w:type="character" w:customStyle="1" w:styleId="CommentSubjectChar">
    <w:name w:val="Comment Subject Char"/>
    <w:basedOn w:val="CommentTextChar"/>
    <w:link w:val="CommentSubject"/>
    <w:uiPriority w:val="99"/>
    <w:semiHidden/>
    <w:rsid w:val="00904C90"/>
    <w:rPr>
      <w:b/>
      <w:bCs/>
      <w:sz w:val="20"/>
    </w:rPr>
  </w:style>
  <w:style w:type="paragraph" w:styleId="Revision">
    <w:name w:val="Revision"/>
    <w:hidden/>
    <w:uiPriority w:val="99"/>
    <w:semiHidden/>
    <w:rsid w:val="00D80AD7"/>
  </w:style>
  <w:style w:type="character" w:customStyle="1" w:styleId="Marker">
    <w:name w:val="Marker"/>
    <w:basedOn w:val="DefaultParagraphFont"/>
    <w:rsid w:val="00120609"/>
    <w:rPr>
      <w:color w:val="0000FF"/>
      <w:shd w:val="clear" w:color="auto" w:fill="auto"/>
    </w:rPr>
  </w:style>
  <w:style w:type="paragraph" w:customStyle="1" w:styleId="Pagedecouverture">
    <w:name w:val="Page de couverture"/>
    <w:basedOn w:val="Normal"/>
    <w:next w:val="Normal"/>
    <w:link w:val="PagedecouvertureChar"/>
    <w:rsid w:val="00120609"/>
    <w:pPr>
      <w:spacing w:after="0"/>
    </w:pPr>
    <w:rPr>
      <w:rFonts w:eastAsiaTheme="minorHAnsi"/>
      <w:szCs w:val="22"/>
      <w:lang w:eastAsia="en-US"/>
    </w:rPr>
  </w:style>
  <w:style w:type="paragraph" w:customStyle="1" w:styleId="FooterCoverPage">
    <w:name w:val="Footer Cover Page"/>
    <w:basedOn w:val="Normal"/>
    <w:link w:val="FooterCoverPageChar"/>
    <w:rsid w:val="00120609"/>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120609"/>
    <w:rPr>
      <w:rFonts w:eastAsiaTheme="minorHAnsi"/>
      <w:szCs w:val="22"/>
      <w:lang w:eastAsia="en-US"/>
    </w:rPr>
  </w:style>
  <w:style w:type="character" w:customStyle="1" w:styleId="FooterCoverPageChar">
    <w:name w:val="Footer Cover Page Char"/>
    <w:basedOn w:val="PagedecouvertureChar"/>
    <w:link w:val="FooterCoverPage"/>
    <w:rsid w:val="00120609"/>
    <w:rPr>
      <w:rFonts w:eastAsiaTheme="minorHAnsi"/>
      <w:szCs w:val="22"/>
      <w:lang w:eastAsia="en-US"/>
    </w:rPr>
  </w:style>
  <w:style w:type="paragraph" w:customStyle="1" w:styleId="FooterSensitivity">
    <w:name w:val="Footer Sensitivity"/>
    <w:basedOn w:val="Normal"/>
    <w:link w:val="FooterSensitivityChar"/>
    <w:rsid w:val="0012060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120609"/>
    <w:rPr>
      <w:rFonts w:eastAsiaTheme="minorHAnsi"/>
      <w:b/>
      <w:sz w:val="32"/>
      <w:szCs w:val="22"/>
      <w:lang w:eastAsia="en-US"/>
    </w:rPr>
  </w:style>
  <w:style w:type="paragraph" w:customStyle="1" w:styleId="HeaderCoverPage">
    <w:name w:val="Header Cover Page"/>
    <w:basedOn w:val="Normal"/>
    <w:link w:val="HeaderCoverPageChar"/>
    <w:rsid w:val="00120609"/>
    <w:pPr>
      <w:tabs>
        <w:tab w:val="center" w:pos="4535"/>
        <w:tab w:val="right" w:pos="9071"/>
      </w:tabs>
      <w:spacing w:after="120"/>
    </w:pPr>
  </w:style>
  <w:style w:type="character" w:customStyle="1" w:styleId="HeaderCoverPageChar">
    <w:name w:val="Header Cover Page Char"/>
    <w:basedOn w:val="PagedecouvertureChar"/>
    <w:link w:val="HeaderCoverPage"/>
    <w:rsid w:val="00120609"/>
    <w:rPr>
      <w:rFonts w:eastAsiaTheme="minorHAnsi"/>
      <w:szCs w:val="22"/>
      <w:lang w:eastAsia="en-US"/>
    </w:rPr>
  </w:style>
  <w:style w:type="paragraph" w:customStyle="1" w:styleId="HeaderSensitivity">
    <w:name w:val="Header Sensitivity"/>
    <w:basedOn w:val="Normal"/>
    <w:link w:val="HeaderSensitivityChar"/>
    <w:rsid w:val="00120609"/>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120609"/>
    <w:rPr>
      <w:rFonts w:eastAsiaTheme="minorHAnsi"/>
      <w:b/>
      <w:sz w:val="32"/>
      <w:szCs w:val="22"/>
      <w:lang w:eastAsia="en-US"/>
    </w:rPr>
  </w:style>
  <w:style w:type="paragraph" w:customStyle="1" w:styleId="HeaderSensitivityRight">
    <w:name w:val="Header Sensitivity Right"/>
    <w:basedOn w:val="Normal"/>
    <w:link w:val="HeaderSensitivityRightChar"/>
    <w:rsid w:val="00120609"/>
    <w:pPr>
      <w:spacing w:after="120"/>
      <w:jc w:val="right"/>
    </w:pPr>
    <w:rPr>
      <w:sz w:val="28"/>
    </w:rPr>
  </w:style>
  <w:style w:type="character" w:customStyle="1" w:styleId="HeaderSensitivityRightChar">
    <w:name w:val="Header Sensitivity Right Char"/>
    <w:basedOn w:val="PagedecouvertureChar"/>
    <w:link w:val="HeaderSensitivityRight"/>
    <w:rsid w:val="00120609"/>
    <w:rPr>
      <w:rFonts w:eastAsiaTheme="minorHAnsi"/>
      <w:sz w:val="28"/>
      <w:szCs w:val="22"/>
      <w:lang w:eastAsia="en-US"/>
    </w:rPr>
  </w:style>
  <w:style w:type="character" w:customStyle="1" w:styleId="Mention">
    <w:name w:val="Mention"/>
    <w:basedOn w:val="DefaultParagraphFont"/>
    <w:uiPriority w:val="99"/>
    <w:unhideWhenUsed/>
    <w:rsid w:val="00A968D4"/>
    <w:rPr>
      <w:color w:val="2B579A"/>
      <w:shd w:val="clear" w:color="auto" w:fill="E1DFDD"/>
    </w:rPr>
  </w:style>
  <w:style w:type="character" w:styleId="EndnoteReference">
    <w:name w:val="endnote reference"/>
    <w:basedOn w:val="DefaultParagraphFont"/>
    <w:uiPriority w:val="99"/>
    <w:semiHidden/>
    <w:rsid w:val="002E7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5446">
      <w:bodyDiv w:val="1"/>
      <w:marLeft w:val="0"/>
      <w:marRight w:val="0"/>
      <w:marTop w:val="0"/>
      <w:marBottom w:val="0"/>
      <w:divBdr>
        <w:top w:val="none" w:sz="0" w:space="0" w:color="auto"/>
        <w:left w:val="none" w:sz="0" w:space="0" w:color="auto"/>
        <w:bottom w:val="none" w:sz="0" w:space="0" w:color="auto"/>
        <w:right w:val="none" w:sz="0" w:space="0" w:color="auto"/>
      </w:divBdr>
      <w:divsChild>
        <w:div w:id="323093441">
          <w:marLeft w:val="0"/>
          <w:marRight w:val="0"/>
          <w:marTop w:val="0"/>
          <w:marBottom w:val="0"/>
          <w:divBdr>
            <w:top w:val="none" w:sz="0" w:space="0" w:color="auto"/>
            <w:left w:val="none" w:sz="0" w:space="0" w:color="auto"/>
            <w:bottom w:val="none" w:sz="0" w:space="0" w:color="auto"/>
            <w:right w:val="none" w:sz="0" w:space="0" w:color="auto"/>
          </w:divBdr>
        </w:div>
        <w:div w:id="1490826354">
          <w:marLeft w:val="0"/>
          <w:marRight w:val="0"/>
          <w:marTop w:val="0"/>
          <w:marBottom w:val="0"/>
          <w:divBdr>
            <w:top w:val="none" w:sz="0" w:space="0" w:color="auto"/>
            <w:left w:val="none" w:sz="0" w:space="0" w:color="auto"/>
            <w:bottom w:val="none" w:sz="0" w:space="0" w:color="auto"/>
            <w:right w:val="none" w:sz="0" w:space="0" w:color="auto"/>
          </w:divBdr>
        </w:div>
      </w:divsChild>
    </w:div>
    <w:div w:id="42559408">
      <w:bodyDiv w:val="1"/>
      <w:marLeft w:val="0"/>
      <w:marRight w:val="0"/>
      <w:marTop w:val="0"/>
      <w:marBottom w:val="0"/>
      <w:divBdr>
        <w:top w:val="none" w:sz="0" w:space="0" w:color="auto"/>
        <w:left w:val="none" w:sz="0" w:space="0" w:color="auto"/>
        <w:bottom w:val="none" w:sz="0" w:space="0" w:color="auto"/>
        <w:right w:val="none" w:sz="0" w:space="0" w:color="auto"/>
      </w:divBdr>
      <w:divsChild>
        <w:div w:id="646666936">
          <w:marLeft w:val="0"/>
          <w:marRight w:val="0"/>
          <w:marTop w:val="0"/>
          <w:marBottom w:val="0"/>
          <w:divBdr>
            <w:top w:val="none" w:sz="0" w:space="0" w:color="auto"/>
            <w:left w:val="none" w:sz="0" w:space="0" w:color="auto"/>
            <w:bottom w:val="none" w:sz="0" w:space="0" w:color="auto"/>
            <w:right w:val="none" w:sz="0" w:space="0" w:color="auto"/>
          </w:divBdr>
        </w:div>
        <w:div w:id="1569920259">
          <w:marLeft w:val="0"/>
          <w:marRight w:val="0"/>
          <w:marTop w:val="0"/>
          <w:marBottom w:val="0"/>
          <w:divBdr>
            <w:top w:val="none" w:sz="0" w:space="0" w:color="auto"/>
            <w:left w:val="none" w:sz="0" w:space="0" w:color="auto"/>
            <w:bottom w:val="none" w:sz="0" w:space="0" w:color="auto"/>
            <w:right w:val="none" w:sz="0" w:space="0" w:color="auto"/>
          </w:divBdr>
        </w:div>
        <w:div w:id="1586959435">
          <w:marLeft w:val="0"/>
          <w:marRight w:val="0"/>
          <w:marTop w:val="0"/>
          <w:marBottom w:val="0"/>
          <w:divBdr>
            <w:top w:val="none" w:sz="0" w:space="0" w:color="auto"/>
            <w:left w:val="none" w:sz="0" w:space="0" w:color="auto"/>
            <w:bottom w:val="none" w:sz="0" w:space="0" w:color="auto"/>
            <w:right w:val="none" w:sz="0" w:space="0" w:color="auto"/>
          </w:divBdr>
        </w:div>
      </w:divsChild>
    </w:div>
    <w:div w:id="85883214">
      <w:bodyDiv w:val="1"/>
      <w:marLeft w:val="0"/>
      <w:marRight w:val="0"/>
      <w:marTop w:val="0"/>
      <w:marBottom w:val="0"/>
      <w:divBdr>
        <w:top w:val="none" w:sz="0" w:space="0" w:color="auto"/>
        <w:left w:val="none" w:sz="0" w:space="0" w:color="auto"/>
        <w:bottom w:val="none" w:sz="0" w:space="0" w:color="auto"/>
        <w:right w:val="none" w:sz="0" w:space="0" w:color="auto"/>
      </w:divBdr>
      <w:divsChild>
        <w:div w:id="525364091">
          <w:marLeft w:val="0"/>
          <w:marRight w:val="0"/>
          <w:marTop w:val="0"/>
          <w:marBottom w:val="0"/>
          <w:divBdr>
            <w:top w:val="none" w:sz="0" w:space="0" w:color="auto"/>
            <w:left w:val="none" w:sz="0" w:space="0" w:color="auto"/>
            <w:bottom w:val="none" w:sz="0" w:space="0" w:color="auto"/>
            <w:right w:val="none" w:sz="0" w:space="0" w:color="auto"/>
          </w:divBdr>
        </w:div>
        <w:div w:id="2123111820">
          <w:marLeft w:val="0"/>
          <w:marRight w:val="0"/>
          <w:marTop w:val="0"/>
          <w:marBottom w:val="0"/>
          <w:divBdr>
            <w:top w:val="none" w:sz="0" w:space="0" w:color="auto"/>
            <w:left w:val="none" w:sz="0" w:space="0" w:color="auto"/>
            <w:bottom w:val="none" w:sz="0" w:space="0" w:color="auto"/>
            <w:right w:val="none" w:sz="0" w:space="0" w:color="auto"/>
          </w:divBdr>
        </w:div>
      </w:divsChild>
    </w:div>
    <w:div w:id="220336471">
      <w:bodyDiv w:val="1"/>
      <w:marLeft w:val="0"/>
      <w:marRight w:val="0"/>
      <w:marTop w:val="0"/>
      <w:marBottom w:val="0"/>
      <w:divBdr>
        <w:top w:val="none" w:sz="0" w:space="0" w:color="auto"/>
        <w:left w:val="none" w:sz="0" w:space="0" w:color="auto"/>
        <w:bottom w:val="none" w:sz="0" w:space="0" w:color="auto"/>
        <w:right w:val="none" w:sz="0" w:space="0" w:color="auto"/>
      </w:divBdr>
    </w:div>
    <w:div w:id="1081414015">
      <w:bodyDiv w:val="1"/>
      <w:marLeft w:val="0"/>
      <w:marRight w:val="0"/>
      <w:marTop w:val="0"/>
      <w:marBottom w:val="0"/>
      <w:divBdr>
        <w:top w:val="none" w:sz="0" w:space="0" w:color="auto"/>
        <w:left w:val="none" w:sz="0" w:space="0" w:color="auto"/>
        <w:bottom w:val="none" w:sz="0" w:space="0" w:color="auto"/>
        <w:right w:val="none" w:sz="0" w:space="0" w:color="auto"/>
      </w:divBdr>
    </w:div>
    <w:div w:id="1115709952">
      <w:bodyDiv w:val="1"/>
      <w:marLeft w:val="0"/>
      <w:marRight w:val="0"/>
      <w:marTop w:val="0"/>
      <w:marBottom w:val="0"/>
      <w:divBdr>
        <w:top w:val="none" w:sz="0" w:space="0" w:color="auto"/>
        <w:left w:val="none" w:sz="0" w:space="0" w:color="auto"/>
        <w:bottom w:val="none" w:sz="0" w:space="0" w:color="auto"/>
        <w:right w:val="none" w:sz="0" w:space="0" w:color="auto"/>
      </w:divBdr>
    </w:div>
    <w:div w:id="1842230493">
      <w:bodyDiv w:val="1"/>
      <w:marLeft w:val="0"/>
      <w:marRight w:val="0"/>
      <w:marTop w:val="0"/>
      <w:marBottom w:val="0"/>
      <w:divBdr>
        <w:top w:val="none" w:sz="0" w:space="0" w:color="auto"/>
        <w:left w:val="none" w:sz="0" w:space="0" w:color="auto"/>
        <w:bottom w:val="none" w:sz="0" w:space="0" w:color="auto"/>
        <w:right w:val="none" w:sz="0" w:space="0" w:color="auto"/>
      </w:divBdr>
      <w:divsChild>
        <w:div w:id="1580481159">
          <w:marLeft w:val="0"/>
          <w:marRight w:val="0"/>
          <w:marTop w:val="0"/>
          <w:marBottom w:val="0"/>
          <w:divBdr>
            <w:top w:val="none" w:sz="0" w:space="0" w:color="auto"/>
            <w:left w:val="none" w:sz="0" w:space="0" w:color="auto"/>
            <w:bottom w:val="none" w:sz="0" w:space="0" w:color="auto"/>
            <w:right w:val="none" w:sz="0" w:space="0" w:color="auto"/>
          </w:divBdr>
          <w:divsChild>
            <w:div w:id="157886629">
              <w:marLeft w:val="0"/>
              <w:marRight w:val="0"/>
              <w:marTop w:val="0"/>
              <w:marBottom w:val="0"/>
              <w:divBdr>
                <w:top w:val="none" w:sz="0" w:space="0" w:color="auto"/>
                <w:left w:val="none" w:sz="0" w:space="0" w:color="auto"/>
                <w:bottom w:val="none" w:sz="0" w:space="0" w:color="auto"/>
                <w:right w:val="none" w:sz="0" w:space="0" w:color="auto"/>
              </w:divBdr>
            </w:div>
            <w:div w:id="426728459">
              <w:marLeft w:val="0"/>
              <w:marRight w:val="0"/>
              <w:marTop w:val="0"/>
              <w:marBottom w:val="0"/>
              <w:divBdr>
                <w:top w:val="none" w:sz="0" w:space="0" w:color="auto"/>
                <w:left w:val="none" w:sz="0" w:space="0" w:color="auto"/>
                <w:bottom w:val="none" w:sz="0" w:space="0" w:color="auto"/>
                <w:right w:val="none" w:sz="0" w:space="0" w:color="auto"/>
              </w:divBdr>
            </w:div>
            <w:div w:id="814370572">
              <w:marLeft w:val="0"/>
              <w:marRight w:val="0"/>
              <w:marTop w:val="0"/>
              <w:marBottom w:val="0"/>
              <w:divBdr>
                <w:top w:val="none" w:sz="0" w:space="0" w:color="auto"/>
                <w:left w:val="none" w:sz="0" w:space="0" w:color="auto"/>
                <w:bottom w:val="none" w:sz="0" w:space="0" w:color="auto"/>
                <w:right w:val="none" w:sz="0" w:space="0" w:color="auto"/>
              </w:divBdr>
            </w:div>
            <w:div w:id="1040321276">
              <w:marLeft w:val="0"/>
              <w:marRight w:val="0"/>
              <w:marTop w:val="0"/>
              <w:marBottom w:val="0"/>
              <w:divBdr>
                <w:top w:val="none" w:sz="0" w:space="0" w:color="auto"/>
                <w:left w:val="none" w:sz="0" w:space="0" w:color="auto"/>
                <w:bottom w:val="none" w:sz="0" w:space="0" w:color="auto"/>
                <w:right w:val="none" w:sz="0" w:space="0" w:color="auto"/>
              </w:divBdr>
            </w:div>
            <w:div w:id="1168326968">
              <w:marLeft w:val="0"/>
              <w:marRight w:val="0"/>
              <w:marTop w:val="0"/>
              <w:marBottom w:val="0"/>
              <w:divBdr>
                <w:top w:val="none" w:sz="0" w:space="0" w:color="auto"/>
                <w:left w:val="none" w:sz="0" w:space="0" w:color="auto"/>
                <w:bottom w:val="none" w:sz="0" w:space="0" w:color="auto"/>
                <w:right w:val="none" w:sz="0" w:space="0" w:color="auto"/>
              </w:divBdr>
            </w:div>
            <w:div w:id="1623804916">
              <w:marLeft w:val="0"/>
              <w:marRight w:val="0"/>
              <w:marTop w:val="0"/>
              <w:marBottom w:val="0"/>
              <w:divBdr>
                <w:top w:val="none" w:sz="0" w:space="0" w:color="auto"/>
                <w:left w:val="none" w:sz="0" w:space="0" w:color="auto"/>
                <w:bottom w:val="none" w:sz="0" w:space="0" w:color="auto"/>
                <w:right w:val="none" w:sz="0" w:space="0" w:color="auto"/>
              </w:divBdr>
            </w:div>
            <w:div w:id="1772772217">
              <w:marLeft w:val="0"/>
              <w:marRight w:val="0"/>
              <w:marTop w:val="0"/>
              <w:marBottom w:val="0"/>
              <w:divBdr>
                <w:top w:val="none" w:sz="0" w:space="0" w:color="auto"/>
                <w:left w:val="none" w:sz="0" w:space="0" w:color="auto"/>
                <w:bottom w:val="none" w:sz="0" w:space="0" w:color="auto"/>
                <w:right w:val="none" w:sz="0" w:space="0" w:color="auto"/>
              </w:divBdr>
            </w:div>
          </w:divsChild>
        </w:div>
        <w:div w:id="1716543626">
          <w:marLeft w:val="0"/>
          <w:marRight w:val="0"/>
          <w:marTop w:val="0"/>
          <w:marBottom w:val="0"/>
          <w:divBdr>
            <w:top w:val="none" w:sz="0" w:space="0" w:color="auto"/>
            <w:left w:val="none" w:sz="0" w:space="0" w:color="auto"/>
            <w:bottom w:val="none" w:sz="0" w:space="0" w:color="auto"/>
            <w:right w:val="none" w:sz="0" w:space="0" w:color="auto"/>
          </w:divBdr>
          <w:divsChild>
            <w:div w:id="54937423">
              <w:marLeft w:val="0"/>
              <w:marRight w:val="0"/>
              <w:marTop w:val="0"/>
              <w:marBottom w:val="0"/>
              <w:divBdr>
                <w:top w:val="none" w:sz="0" w:space="0" w:color="auto"/>
                <w:left w:val="none" w:sz="0" w:space="0" w:color="auto"/>
                <w:bottom w:val="none" w:sz="0" w:space="0" w:color="auto"/>
                <w:right w:val="none" w:sz="0" w:space="0" w:color="auto"/>
              </w:divBdr>
            </w:div>
            <w:div w:id="560019906">
              <w:marLeft w:val="0"/>
              <w:marRight w:val="0"/>
              <w:marTop w:val="0"/>
              <w:marBottom w:val="0"/>
              <w:divBdr>
                <w:top w:val="none" w:sz="0" w:space="0" w:color="auto"/>
                <w:left w:val="none" w:sz="0" w:space="0" w:color="auto"/>
                <w:bottom w:val="none" w:sz="0" w:space="0" w:color="auto"/>
                <w:right w:val="none" w:sz="0" w:space="0" w:color="auto"/>
              </w:divBdr>
            </w:div>
            <w:div w:id="764031125">
              <w:marLeft w:val="0"/>
              <w:marRight w:val="0"/>
              <w:marTop w:val="0"/>
              <w:marBottom w:val="0"/>
              <w:divBdr>
                <w:top w:val="none" w:sz="0" w:space="0" w:color="auto"/>
                <w:left w:val="none" w:sz="0" w:space="0" w:color="auto"/>
                <w:bottom w:val="none" w:sz="0" w:space="0" w:color="auto"/>
                <w:right w:val="none" w:sz="0" w:space="0" w:color="auto"/>
              </w:divBdr>
            </w:div>
            <w:div w:id="961612017">
              <w:marLeft w:val="0"/>
              <w:marRight w:val="0"/>
              <w:marTop w:val="0"/>
              <w:marBottom w:val="0"/>
              <w:divBdr>
                <w:top w:val="none" w:sz="0" w:space="0" w:color="auto"/>
                <w:left w:val="none" w:sz="0" w:space="0" w:color="auto"/>
                <w:bottom w:val="none" w:sz="0" w:space="0" w:color="auto"/>
                <w:right w:val="none" w:sz="0" w:space="0" w:color="auto"/>
              </w:divBdr>
            </w:div>
            <w:div w:id="989166571">
              <w:marLeft w:val="0"/>
              <w:marRight w:val="0"/>
              <w:marTop w:val="0"/>
              <w:marBottom w:val="0"/>
              <w:divBdr>
                <w:top w:val="none" w:sz="0" w:space="0" w:color="auto"/>
                <w:left w:val="none" w:sz="0" w:space="0" w:color="auto"/>
                <w:bottom w:val="none" w:sz="0" w:space="0" w:color="auto"/>
                <w:right w:val="none" w:sz="0" w:space="0" w:color="auto"/>
              </w:divBdr>
            </w:div>
            <w:div w:id="1451241101">
              <w:marLeft w:val="0"/>
              <w:marRight w:val="0"/>
              <w:marTop w:val="0"/>
              <w:marBottom w:val="0"/>
              <w:divBdr>
                <w:top w:val="none" w:sz="0" w:space="0" w:color="auto"/>
                <w:left w:val="none" w:sz="0" w:space="0" w:color="auto"/>
                <w:bottom w:val="none" w:sz="0" w:space="0" w:color="auto"/>
                <w:right w:val="none" w:sz="0" w:space="0" w:color="auto"/>
              </w:divBdr>
            </w:div>
            <w:div w:id="1608153191">
              <w:marLeft w:val="0"/>
              <w:marRight w:val="0"/>
              <w:marTop w:val="0"/>
              <w:marBottom w:val="0"/>
              <w:divBdr>
                <w:top w:val="none" w:sz="0" w:space="0" w:color="auto"/>
                <w:left w:val="none" w:sz="0" w:space="0" w:color="auto"/>
                <w:bottom w:val="none" w:sz="0" w:space="0" w:color="auto"/>
                <w:right w:val="none" w:sz="0" w:space="0" w:color="auto"/>
              </w:divBdr>
            </w:div>
            <w:div w:id="1870945557">
              <w:marLeft w:val="0"/>
              <w:marRight w:val="0"/>
              <w:marTop w:val="0"/>
              <w:marBottom w:val="0"/>
              <w:divBdr>
                <w:top w:val="none" w:sz="0" w:space="0" w:color="auto"/>
                <w:left w:val="none" w:sz="0" w:space="0" w:color="auto"/>
                <w:bottom w:val="none" w:sz="0" w:space="0" w:color="auto"/>
                <w:right w:val="none" w:sz="0" w:space="0" w:color="auto"/>
              </w:divBdr>
            </w:div>
            <w:div w:id="1888489410">
              <w:marLeft w:val="0"/>
              <w:marRight w:val="0"/>
              <w:marTop w:val="0"/>
              <w:marBottom w:val="0"/>
              <w:divBdr>
                <w:top w:val="none" w:sz="0" w:space="0" w:color="auto"/>
                <w:left w:val="none" w:sz="0" w:space="0" w:color="auto"/>
                <w:bottom w:val="none" w:sz="0" w:space="0" w:color="auto"/>
                <w:right w:val="none" w:sz="0" w:space="0" w:color="auto"/>
              </w:divBdr>
            </w:div>
            <w:div w:id="21419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1684">
      <w:bodyDiv w:val="1"/>
      <w:marLeft w:val="0"/>
      <w:marRight w:val="0"/>
      <w:marTop w:val="0"/>
      <w:marBottom w:val="0"/>
      <w:divBdr>
        <w:top w:val="none" w:sz="0" w:space="0" w:color="auto"/>
        <w:left w:val="none" w:sz="0" w:space="0" w:color="auto"/>
        <w:bottom w:val="none" w:sz="0" w:space="0" w:color="auto"/>
        <w:right w:val="none" w:sz="0" w:space="0" w:color="auto"/>
      </w:divBdr>
      <w:divsChild>
        <w:div w:id="1828937991">
          <w:marLeft w:val="0"/>
          <w:marRight w:val="0"/>
          <w:marTop w:val="0"/>
          <w:marBottom w:val="0"/>
          <w:divBdr>
            <w:top w:val="none" w:sz="0" w:space="0" w:color="auto"/>
            <w:left w:val="none" w:sz="0" w:space="0" w:color="auto"/>
            <w:bottom w:val="none" w:sz="0" w:space="0" w:color="auto"/>
            <w:right w:val="none" w:sz="0" w:space="0" w:color="auto"/>
          </w:divBdr>
          <w:divsChild>
            <w:div w:id="206991705">
              <w:marLeft w:val="0"/>
              <w:marRight w:val="0"/>
              <w:marTop w:val="0"/>
              <w:marBottom w:val="0"/>
              <w:divBdr>
                <w:top w:val="none" w:sz="0" w:space="0" w:color="auto"/>
                <w:left w:val="none" w:sz="0" w:space="0" w:color="auto"/>
                <w:bottom w:val="none" w:sz="0" w:space="0" w:color="auto"/>
                <w:right w:val="none" w:sz="0" w:space="0" w:color="auto"/>
              </w:divBdr>
            </w:div>
            <w:div w:id="515964950">
              <w:marLeft w:val="0"/>
              <w:marRight w:val="0"/>
              <w:marTop w:val="0"/>
              <w:marBottom w:val="0"/>
              <w:divBdr>
                <w:top w:val="none" w:sz="0" w:space="0" w:color="auto"/>
                <w:left w:val="none" w:sz="0" w:space="0" w:color="auto"/>
                <w:bottom w:val="none" w:sz="0" w:space="0" w:color="auto"/>
                <w:right w:val="none" w:sz="0" w:space="0" w:color="auto"/>
              </w:divBdr>
            </w:div>
            <w:div w:id="779955316">
              <w:marLeft w:val="0"/>
              <w:marRight w:val="0"/>
              <w:marTop w:val="0"/>
              <w:marBottom w:val="0"/>
              <w:divBdr>
                <w:top w:val="none" w:sz="0" w:space="0" w:color="auto"/>
                <w:left w:val="none" w:sz="0" w:space="0" w:color="auto"/>
                <w:bottom w:val="none" w:sz="0" w:space="0" w:color="auto"/>
                <w:right w:val="none" w:sz="0" w:space="0" w:color="auto"/>
              </w:divBdr>
            </w:div>
            <w:div w:id="984117917">
              <w:marLeft w:val="0"/>
              <w:marRight w:val="0"/>
              <w:marTop w:val="0"/>
              <w:marBottom w:val="0"/>
              <w:divBdr>
                <w:top w:val="none" w:sz="0" w:space="0" w:color="auto"/>
                <w:left w:val="none" w:sz="0" w:space="0" w:color="auto"/>
                <w:bottom w:val="none" w:sz="0" w:space="0" w:color="auto"/>
                <w:right w:val="none" w:sz="0" w:space="0" w:color="auto"/>
              </w:divBdr>
            </w:div>
            <w:div w:id="1127158229">
              <w:marLeft w:val="0"/>
              <w:marRight w:val="0"/>
              <w:marTop w:val="0"/>
              <w:marBottom w:val="0"/>
              <w:divBdr>
                <w:top w:val="none" w:sz="0" w:space="0" w:color="auto"/>
                <w:left w:val="none" w:sz="0" w:space="0" w:color="auto"/>
                <w:bottom w:val="none" w:sz="0" w:space="0" w:color="auto"/>
                <w:right w:val="none" w:sz="0" w:space="0" w:color="auto"/>
              </w:divBdr>
            </w:div>
            <w:div w:id="1243563642">
              <w:marLeft w:val="0"/>
              <w:marRight w:val="0"/>
              <w:marTop w:val="0"/>
              <w:marBottom w:val="0"/>
              <w:divBdr>
                <w:top w:val="none" w:sz="0" w:space="0" w:color="auto"/>
                <w:left w:val="none" w:sz="0" w:space="0" w:color="auto"/>
                <w:bottom w:val="none" w:sz="0" w:space="0" w:color="auto"/>
                <w:right w:val="none" w:sz="0" w:space="0" w:color="auto"/>
              </w:divBdr>
            </w:div>
            <w:div w:id="1525971312">
              <w:marLeft w:val="0"/>
              <w:marRight w:val="0"/>
              <w:marTop w:val="0"/>
              <w:marBottom w:val="0"/>
              <w:divBdr>
                <w:top w:val="none" w:sz="0" w:space="0" w:color="auto"/>
                <w:left w:val="none" w:sz="0" w:space="0" w:color="auto"/>
                <w:bottom w:val="none" w:sz="0" w:space="0" w:color="auto"/>
                <w:right w:val="none" w:sz="0" w:space="0" w:color="auto"/>
              </w:divBdr>
            </w:div>
          </w:divsChild>
        </w:div>
        <w:div w:id="1899242314">
          <w:marLeft w:val="0"/>
          <w:marRight w:val="0"/>
          <w:marTop w:val="0"/>
          <w:marBottom w:val="0"/>
          <w:divBdr>
            <w:top w:val="none" w:sz="0" w:space="0" w:color="auto"/>
            <w:left w:val="none" w:sz="0" w:space="0" w:color="auto"/>
            <w:bottom w:val="none" w:sz="0" w:space="0" w:color="auto"/>
            <w:right w:val="none" w:sz="0" w:space="0" w:color="auto"/>
          </w:divBdr>
          <w:divsChild>
            <w:div w:id="90394322">
              <w:marLeft w:val="0"/>
              <w:marRight w:val="0"/>
              <w:marTop w:val="0"/>
              <w:marBottom w:val="0"/>
              <w:divBdr>
                <w:top w:val="none" w:sz="0" w:space="0" w:color="auto"/>
                <w:left w:val="none" w:sz="0" w:space="0" w:color="auto"/>
                <w:bottom w:val="none" w:sz="0" w:space="0" w:color="auto"/>
                <w:right w:val="none" w:sz="0" w:space="0" w:color="auto"/>
              </w:divBdr>
            </w:div>
            <w:div w:id="156458656">
              <w:marLeft w:val="0"/>
              <w:marRight w:val="0"/>
              <w:marTop w:val="0"/>
              <w:marBottom w:val="0"/>
              <w:divBdr>
                <w:top w:val="none" w:sz="0" w:space="0" w:color="auto"/>
                <w:left w:val="none" w:sz="0" w:space="0" w:color="auto"/>
                <w:bottom w:val="none" w:sz="0" w:space="0" w:color="auto"/>
                <w:right w:val="none" w:sz="0" w:space="0" w:color="auto"/>
              </w:divBdr>
            </w:div>
            <w:div w:id="1015418476">
              <w:marLeft w:val="0"/>
              <w:marRight w:val="0"/>
              <w:marTop w:val="0"/>
              <w:marBottom w:val="0"/>
              <w:divBdr>
                <w:top w:val="none" w:sz="0" w:space="0" w:color="auto"/>
                <w:left w:val="none" w:sz="0" w:space="0" w:color="auto"/>
                <w:bottom w:val="none" w:sz="0" w:space="0" w:color="auto"/>
                <w:right w:val="none" w:sz="0" w:space="0" w:color="auto"/>
              </w:divBdr>
            </w:div>
            <w:div w:id="1126777190">
              <w:marLeft w:val="0"/>
              <w:marRight w:val="0"/>
              <w:marTop w:val="0"/>
              <w:marBottom w:val="0"/>
              <w:divBdr>
                <w:top w:val="none" w:sz="0" w:space="0" w:color="auto"/>
                <w:left w:val="none" w:sz="0" w:space="0" w:color="auto"/>
                <w:bottom w:val="none" w:sz="0" w:space="0" w:color="auto"/>
                <w:right w:val="none" w:sz="0" w:space="0" w:color="auto"/>
              </w:divBdr>
            </w:div>
            <w:div w:id="1235773394">
              <w:marLeft w:val="0"/>
              <w:marRight w:val="0"/>
              <w:marTop w:val="0"/>
              <w:marBottom w:val="0"/>
              <w:divBdr>
                <w:top w:val="none" w:sz="0" w:space="0" w:color="auto"/>
                <w:left w:val="none" w:sz="0" w:space="0" w:color="auto"/>
                <w:bottom w:val="none" w:sz="0" w:space="0" w:color="auto"/>
                <w:right w:val="none" w:sz="0" w:space="0" w:color="auto"/>
              </w:divBdr>
            </w:div>
            <w:div w:id="1321079038">
              <w:marLeft w:val="0"/>
              <w:marRight w:val="0"/>
              <w:marTop w:val="0"/>
              <w:marBottom w:val="0"/>
              <w:divBdr>
                <w:top w:val="none" w:sz="0" w:space="0" w:color="auto"/>
                <w:left w:val="none" w:sz="0" w:space="0" w:color="auto"/>
                <w:bottom w:val="none" w:sz="0" w:space="0" w:color="auto"/>
                <w:right w:val="none" w:sz="0" w:space="0" w:color="auto"/>
              </w:divBdr>
            </w:div>
            <w:div w:id="1468476049">
              <w:marLeft w:val="0"/>
              <w:marRight w:val="0"/>
              <w:marTop w:val="0"/>
              <w:marBottom w:val="0"/>
              <w:divBdr>
                <w:top w:val="none" w:sz="0" w:space="0" w:color="auto"/>
                <w:left w:val="none" w:sz="0" w:space="0" w:color="auto"/>
                <w:bottom w:val="none" w:sz="0" w:space="0" w:color="auto"/>
                <w:right w:val="none" w:sz="0" w:space="0" w:color="auto"/>
              </w:divBdr>
            </w:div>
            <w:div w:id="1602447390">
              <w:marLeft w:val="0"/>
              <w:marRight w:val="0"/>
              <w:marTop w:val="0"/>
              <w:marBottom w:val="0"/>
              <w:divBdr>
                <w:top w:val="none" w:sz="0" w:space="0" w:color="auto"/>
                <w:left w:val="none" w:sz="0" w:space="0" w:color="auto"/>
                <w:bottom w:val="none" w:sz="0" w:space="0" w:color="auto"/>
                <w:right w:val="none" w:sz="0" w:space="0" w:color="auto"/>
              </w:divBdr>
            </w:div>
            <w:div w:id="1987858974">
              <w:marLeft w:val="0"/>
              <w:marRight w:val="0"/>
              <w:marTop w:val="0"/>
              <w:marBottom w:val="0"/>
              <w:divBdr>
                <w:top w:val="none" w:sz="0" w:space="0" w:color="auto"/>
                <w:left w:val="none" w:sz="0" w:space="0" w:color="auto"/>
                <w:bottom w:val="none" w:sz="0" w:space="0" w:color="auto"/>
                <w:right w:val="none" w:sz="0" w:space="0" w:color="auto"/>
              </w:divBdr>
            </w:div>
            <w:div w:id="21186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commission.europa.eu/publications/annual-activity-report-2024-european-civil-protection-and-humanitarian-aid-operations-echo_en" TargetMode="External"/><Relationship Id="rId3" Type="http://schemas.openxmlformats.org/officeDocument/2006/relationships/customXml" Target="../customXml/item3.xml"/><Relationship Id="rId21" Type="http://schemas.openxmlformats.org/officeDocument/2006/relationships/hyperlink" Target="http://ec.europa.eu/echo/en" TargetMode="External"/><Relationship Id="rId34"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ec.europa.eu/info/departments/european-civil-protection-and-humanitarian-aid-operations_da" TargetMode="External"/><Relationship Id="rId33" Type="http://schemas.openxmlformats.org/officeDocument/2006/relationships/footer" Target="footer5.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uaidexplorer.ec.europa.eu/index_d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c.europa.eu/info/departments/european-civil-protection-and-humanitarian-aid-operations_da"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c.europa.eu/info/departments/european-civil-protection-and-humanitarian-aid-operations_da" TargetMode="External"/><Relationship Id="rId28" Type="http://schemas.openxmlformats.org/officeDocument/2006/relationships/hyperlink" Target="https://ec.europa.eu/echo/funding-evaluations/evaluations_da"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civil-protection-humanitarian-aid.ec.europa.eu/funding-evaluations/funding-humanitarian-aid/financing-decisions-hips-2024_en" TargetMode="External"/><Relationship Id="rId27" Type="http://schemas.openxmlformats.org/officeDocument/2006/relationships/hyperlink" Target="https://commission.europa.eu/publications/management-plan-2024-european-civil-protection-and-humanitarian-aid-operations_en" TargetMode="External"/><Relationship Id="rId30" Type="http://schemas.openxmlformats.org/officeDocument/2006/relationships/header" Target="header4.xm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fsinplatform.org/report/global-report-food-crises-2025/" TargetMode="External"/><Relationship Id="rId13" Type="http://schemas.openxmlformats.org/officeDocument/2006/relationships/hyperlink" Target="https://news.un.org/en/story/2024/11/1157371" TargetMode="External"/><Relationship Id="rId18" Type="http://schemas.openxmlformats.org/officeDocument/2006/relationships/hyperlink" Target="https://fts.unocha.org/home/2024/donors" TargetMode="External"/><Relationship Id="rId3" Type="http://schemas.openxmlformats.org/officeDocument/2006/relationships/hyperlink" Target="https://www.unocha.org/publications/report/world/global-humanitarian-overview-2024-enarfrsp" TargetMode="External"/><Relationship Id="rId21" Type="http://schemas.openxmlformats.org/officeDocument/2006/relationships/hyperlink" Target="https://civil-protection-humanitarian-aid.ec.europa.eu/what/humanitarian-aid/european-humanitarian-response-capacity-ehrc_da" TargetMode="External"/><Relationship Id="rId7" Type="http://schemas.openxmlformats.org/officeDocument/2006/relationships/hyperlink" Target="https://www.fsinplatform.org/report/global-report-food-crises-2025/" TargetMode="External"/><Relationship Id="rId12" Type="http://schemas.openxmlformats.org/officeDocument/2006/relationships/hyperlink" Target="https://defishumanitaires.com/en/2024/10/29/summary-humanitarian-funding-and-reform/" TargetMode="External"/><Relationship Id="rId17" Type="http://schemas.openxmlformats.org/officeDocument/2006/relationships/hyperlink" Target="https://drmkc.jrc.ec.europa.eu/inform-index" TargetMode="External"/><Relationship Id="rId2" Type="http://schemas.openxmlformats.org/officeDocument/2006/relationships/hyperlink" Target="https://www.un.org/development/desa/disabilities/convention-on-the-rights-of-persons-with-disabilities-html" TargetMode="External"/><Relationship Id="rId16" Type="http://schemas.openxmlformats.org/officeDocument/2006/relationships/hyperlink" Target="https://eur-lex.europa.eu/legal-content/DA/TXT/?uri=CELEX%3A52021DC0110" TargetMode="External"/><Relationship Id="rId20" Type="http://schemas.openxmlformats.org/officeDocument/2006/relationships/hyperlink" Target="https://interagencystandingcommittee.org/grand-bargain" TargetMode="External"/><Relationship Id="rId1" Type="http://schemas.openxmlformats.org/officeDocument/2006/relationships/hyperlink" Target="https://eur-lex.europa.eu/legal-content/DA/TXT/?uri=oj:JOC_2008_025_R_0001_01" TargetMode="External"/><Relationship Id="rId6" Type="http://schemas.openxmlformats.org/officeDocument/2006/relationships/hyperlink" Target="https://www.fsinplatform.org/report/global-report-food-crises-2025/" TargetMode="External"/><Relationship Id="rId11" Type="http://schemas.openxmlformats.org/officeDocument/2006/relationships/hyperlink" Target="https://defishumanitaires.com/en/2024/10/29/summary-humanitarian-funding-and-reform/" TargetMode="External"/><Relationship Id="rId24" Type="http://schemas.openxmlformats.org/officeDocument/2006/relationships/hyperlink" Target="https://civil-protection-humanitarian-aid.ec.europa.eu/document/download/dd075983-a8ea-47a4-a590-4e2d1735a4e9_en?filename=MoU_LAC_3.pdf" TargetMode="External"/><Relationship Id="rId5" Type="http://schemas.openxmlformats.org/officeDocument/2006/relationships/hyperlink" Target="https://www.fsinplatform.org/report/global-report-food-crises-2025/" TargetMode="External"/><Relationship Id="rId15" Type="http://schemas.openxmlformats.org/officeDocument/2006/relationships/hyperlink" Target="https://eur-lex.europa.eu/legal-content/DA/TXT/?uri=CELEX%3A52021DC0110" TargetMode="External"/><Relationship Id="rId23" Type="http://schemas.openxmlformats.org/officeDocument/2006/relationships/hyperlink" Target="https://www.educationcannotwait.org/sites/default/files/2025-01/global_estimates_report_2025.pdf" TargetMode="External"/><Relationship Id="rId10" Type="http://schemas.openxmlformats.org/officeDocument/2006/relationships/hyperlink" Target="https://defishumanitaires.com/en/2024/10/29/summary-humanitarian-funding-and-reform/" TargetMode="External"/><Relationship Id="rId19" Type="http://schemas.openxmlformats.org/officeDocument/2006/relationships/hyperlink" Target="https://www.dgecho-partners-helpdesk.eu/programmatic-partnership/programmatic-partnership" TargetMode="External"/><Relationship Id="rId4" Type="http://schemas.openxmlformats.org/officeDocument/2006/relationships/hyperlink" Target="https://www.unocha.org/publications/report/world/global-humanitarian-overview-2024-enarfrsp" TargetMode="External"/><Relationship Id="rId9" Type="http://schemas.openxmlformats.org/officeDocument/2006/relationships/hyperlink" Target="https://www.fsinplatform.org/report/global-report-food-crises-2025/" TargetMode="External"/><Relationship Id="rId14" Type="http://schemas.openxmlformats.org/officeDocument/2006/relationships/hyperlink" Target="https://news.un.org/en/story/2024/11/1157371" TargetMode="External"/><Relationship Id="rId22" Type="http://schemas.openxmlformats.org/officeDocument/2006/relationships/hyperlink" Target="https://www.educationcannotwait.org/sites/default/files/2025-01/global_estimates_report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73B92739F164A87503671B268037B" ma:contentTypeVersion="17" ma:contentTypeDescription="Create a new document." ma:contentTypeScope="" ma:versionID="4b3517e1378738f5f6fb1c1fb8f770a0">
  <xsd:schema xmlns:xsd="http://www.w3.org/2001/XMLSchema" xmlns:xs="http://www.w3.org/2001/XMLSchema" xmlns:p="http://schemas.microsoft.com/office/2006/metadata/properties" xmlns:ns2="3e3bd0fe-9713-4d48-a3f0-3507babf4162" xmlns:ns3="4cca3cb3-cbc1-4ea6-8f56-24c9b4d79f76" targetNamespace="http://schemas.microsoft.com/office/2006/metadata/properties" ma:root="true" ma:fieldsID="eb0b20a028e6c5c99aa9a75dea5d73e4" ns2:_="" ns3:_="">
    <xsd:import namespace="3e3bd0fe-9713-4d48-a3f0-3507babf4162"/>
    <xsd:import namespace="4cca3cb3-cbc1-4ea6-8f56-24c9b4d79f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bd0fe-9713-4d48-a3f0-3507babf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ca3cb3-cbc1-4ea6-8f56-24c9b4d79f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49779b1-caef-4311-81b2-bd78cb4e2d24}" ma:internalName="TaxCatchAll" ma:showField="CatchAllData" ma:web="4cca3cb3-cbc1-4ea6-8f56-24c9b4d79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10.0.47654.0</Version>
    <Date>2025-04-01T12:19:07</Date>
    <Language>EN</Language>
    <Note/>
  </Created>
  <Edited>
    <Version/>
    <Date/>
  </Edited>
  <DocumentModel>
    <Id>6cbda13a-4db2-46c6-876a-ef72275827ef</Id>
    <Name>Report</Name>
  </DocumentModel>
  <CustomTemplate>
    <Id/>
    <Name/>
  </CustomTemplate>
  <DocumentDate>2025-04-01T12:19:07</DocumentDate>
  <DocumentVersion>0.1</DocumentVersion>
  <CompatibilityMode>Eurolook10</CompatibilityMode>
  <DocumentMetadata>
    <EC_SecurityDateMarkingDate MetadataSerializationType="SimpleValue"/>
    <EC_SecurityDistributionDG MetadataSerializationType="SimpleValue"/>
    <EC_SecurityDateMarkingEvent MetadataSerializationType="SimpleValue"/>
    <EC_SecurityDistributionSpecialHandling MetadataSerializationType="SimpleValue"/>
    <EC_SecurityDistributionWorkingGroup MetadataSerializationType="SimpleValue"/>
    <EC_SecurityReleasability MetadataSerializationType="SimpleValue"/>
    <EC_SecurityDateMarking MetadataSerializationType="SimpleValue"/>
    <EC_SecurityDistributionSensitive MetadataSerializationType="SimpleValue"/>
    <EC_SecurityMarking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Tlf. direkte</FooterPhone>
  <FooterFax>Fax</FooterFax>
  <FooterOffice>Kontor:</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4.xml><?xml version="1.0" encoding="utf-8"?>
<Author Role="Creator" AuthorRoleName="Writer" AuthorRoleId="a4fbaff4-b07c-48b4-a21e-e7b9eedf3796">
  <Id>a8cf0659-3cb6-46fb-999b-c2c236b1f504</Id>
  <Names>
    <Latin>
      <FirstName>Rut</FirstName>
      <LastName>KARLSTROM</LastName>
    </Latin>
    <Greek>
      <FirstName/>
      <LastName/>
    </Greek>
    <Cyrillic>
      <FirstName/>
      <LastName/>
    </Cyrillic>
    <DocumentScript>
      <FirstName>Rut</FirstName>
      <LastName>KARLSTROM</LastName>
      <FullName>Rut KARLSTROM</FullName>
    </DocumentScript>
  </Names>
  <Initials>RK</Initials>
  <Gender>f</Gender>
  <Email>Rut.KARLSTROM@ec.europa.eu</Email>
  <Service>ECHO.E.2</Service>
  <Function ADCode="" ShowInSignature="true" ShowInHeader="false" HeaderText=""/>
  <WebAddress/>
  <FunctionalMailbox/>
  <InheritedWebAddress>WebAddress</InheritedWebAddress>
  <OrgaEntity1>
    <Id>c91964bb-675a-43ed-8363-154a0252b52d</Id>
    <LogicalLevel>1</LogicalLevel>
    <Name>ECHO</Name>
    <HeadLine1>DIRECTORATE-GENERAL FOR EUROPEAN CIVIL PROTECTION AND HUMANITARIAN AID</HeadLine1>
    <HeadLine2>OPERATIONS (ECHO)</HeadLine2>
    <PrimaryAddressId>f03b5801-04c9-4931-aa17-c6d6c70bc579</PrimaryAddressId>
    <SecondaryAddressId/>
    <WebAddress>WebAddress</WebAddress>
    <InheritedWebAddress>WebAddress</InheritedWebAddress>
    <ShowInHeader>true</ShowInHeader>
  </OrgaEntity1>
  <OrgaEntity2>
    <Id>e6395c89-3d79-4b56-99aa-b1d1d13483ca</Id>
    <LogicalLevel>2</LogicalLevel>
    <Name>ECHO.E</Name>
    <HeadLine1>Resources</HeadLine1>
    <HeadLine2/>
    <PrimaryAddressId>f03b5801-04c9-4931-aa17-c6d6c70bc579</PrimaryAddressId>
    <SecondaryAddressId/>
    <WebAddress/>
    <InheritedWebAddress>WebAddress</InheritedWebAddress>
    <ShowInHeader>true</ShowInHeader>
  </OrgaEntity2>
  <OrgaEntity3>
    <Id>f39cdbcb-92e5-4160-9f57-ef160638b34f</Id>
    <LogicalLevel>3</LogicalLevel>
    <Name>ECHO.E.2</Name>
    <HeadLine1>Programming, Control and Reporting</HeadLine1>
    <HeadLine2/>
    <PrimaryAddressId>f03b5801-04c9-4931-aa17-c6d6c70bc579</PrimaryAddressId>
    <SecondaryAddressId/>
    <WebAddress/>
    <InheritedWebAddress>WebAddress</InheritedWebAddress>
    <ShowInHeader>true</ShowInHeader>
  </OrgaEntity3>
  <Hierarchy>
    <OrgaEntity>
      <Id>c91964bb-675a-43ed-8363-154a0252b52d</Id>
      <LogicalLevel>1</LogicalLevel>
      <Name>ECHO</Name>
      <HeadLine1>DIRECTORATE-GENERAL FOR EUROPEAN CIVIL PROTECTION AND HUMANITARIAN AID</HeadLine1>
      <HeadLine2>OPERATIONS (ECHO)</HeadLine2>
      <PrimaryAddressId>f03b5801-04c9-4931-aa17-c6d6c70bc579</PrimaryAddressId>
      <SecondaryAddressId/>
      <WebAddress>WebAddress</WebAddress>
      <InheritedWebAddress>WebAddress</InheritedWebAddress>
      <ShowInHeader>true</ShowInHeader>
    </OrgaEntity>
    <OrgaEntity>
      <Id>e6395c89-3d79-4b56-99aa-b1d1d13483ca</Id>
      <LogicalLevel>2</LogicalLevel>
      <Name>ECHO.E</Name>
      <HeadLine1>Resources</HeadLine1>
      <HeadLine2/>
      <PrimaryAddressId>f03b5801-04c9-4931-aa17-c6d6c70bc579</PrimaryAddressId>
      <SecondaryAddressId/>
      <WebAddress/>
      <InheritedWebAddress>WebAddress</InheritedWebAddress>
      <ShowInHeader>true</ShowInHeader>
    </OrgaEntity>
    <OrgaEntity>
      <Id>f39cdbcb-92e5-4160-9f57-ef160638b34f</Id>
      <LogicalLevel>3</LogicalLevel>
      <Name>ECHO.E.2</Name>
      <HeadLine1>Programming, Control and Reporting</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Tlf. +32 22991111</Footer>
    </Address>
  </Addresses>
  <JobAssignmentId/>
  <MainWorkplace IsMain="true">
    <AddressId>f03b5801-04c9-4931-aa17-c6d6c70bc579</AddressId>
    <Fax/>
    <Phone>+32 229-50911</Phone>
    <Office>L-86 04/024</Office>
  </MainWorkplace>
  <Workplaces>
    <Workplace IsMain="true">
      <AddressId>f03b5801-04c9-4931-aa17-c6d6c70bc579</AddressId>
      <Fax/>
      <Phone>+32 229-50911</Phone>
      <Office>L-86 04/024</Office>
    </Workplace>
  </Workplaces>
</Author>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3bd0fe-9713-4d48-a3f0-3507babf416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cca3cb3-cbc1-4ea6-8f56-24c9b4d79f7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A92E-F153-41C3-B833-EB7FE23AC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bd0fe-9713-4d48-a3f0-3507babf4162"/>
    <ds:schemaRef ds:uri="4cca3cb3-cbc1-4ea6-8f56-24c9b4d79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E23C0CDB-96F7-443F-9811-F270C618E82A}">
  <ds:schemaRefs/>
</ds:datastoreItem>
</file>

<file path=customXml/itemProps5.xml><?xml version="1.0" encoding="utf-8"?>
<ds:datastoreItem xmlns:ds="http://schemas.openxmlformats.org/officeDocument/2006/customXml" ds:itemID="{77EF8C49-03A6-4F0F-A553-671BDE23B418}">
  <ds:schemaRefs>
    <ds:schemaRef ds:uri="http://schemas.microsoft.com/office/2006/metadata/properties"/>
    <ds:schemaRef ds:uri="http://schemas.microsoft.com/office/infopath/2007/PartnerControls"/>
    <ds:schemaRef ds:uri="3e3bd0fe-9713-4d48-a3f0-3507babf4162"/>
    <ds:schemaRef ds:uri="4cca3cb3-cbc1-4ea6-8f56-24c9b4d79f76"/>
  </ds:schemaRefs>
</ds:datastoreItem>
</file>

<file path=customXml/itemProps6.xml><?xml version="1.0" encoding="utf-8"?>
<ds:datastoreItem xmlns:ds="http://schemas.openxmlformats.org/officeDocument/2006/customXml" ds:itemID="{45264D5E-59E6-40C1-B9E9-9C12F7923CC1}">
  <ds:schemaRefs>
    <ds:schemaRef ds:uri="http://schemas.microsoft.com/sharepoint/v3/contenttype/forms"/>
  </ds:schemaRefs>
</ds:datastoreItem>
</file>

<file path=customXml/itemProps7.xml><?xml version="1.0" encoding="utf-8"?>
<ds:datastoreItem xmlns:ds="http://schemas.openxmlformats.org/officeDocument/2006/customXml" ds:itemID="{C6947EEE-52E5-455E-BEB3-3521FEE8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4015</Words>
  <Characters>22888</Characters>
  <Application>Microsoft Office Word</Application>
  <DocSecurity>0</DocSecurity>
  <PresentationFormat>Microsoft Word 14.0</PresentationFormat>
  <Lines>190</Lines>
  <Paragraphs>53</Paragraphs>
  <ScaleCrop>true</ScaleCrop>
  <HeadingPairs>
    <vt:vector size="2" baseType="variant">
      <vt:variant>
        <vt:lpstr>Title</vt:lpstr>
      </vt:variant>
      <vt:variant>
        <vt:i4>1</vt:i4>
      </vt:variant>
    </vt:vector>
  </HeadingPairs>
  <TitlesOfParts>
    <vt:vector size="1" baseType="lpstr">
      <vt:lpstr>REPORT FROM THE COMMISSION TO THE EUROPEAN PARLIAMENT AND THE COUNCIL</vt:lpstr>
    </vt:vector>
  </TitlesOfParts>
  <Manager/>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EUROPEAN PARLIAMENT AND THE COUNCIL</dc:title>
  <dc:subject>Annual Report on the European Union’s humanitarian aid operations financed in 2024</dc:subject>
  <dc:creator/>
  <cp:keywords/>
  <dc:description/>
  <cp:lastModifiedBy>EC CoDe</cp:lastModifiedBy>
  <cp:revision>7</cp:revision>
  <dcterms:created xsi:type="dcterms:W3CDTF">2025-09-19T09:26:00Z</dcterms:created>
  <dcterms:modified xsi:type="dcterms:W3CDTF">2025-09-30T14:52:00Z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2025-04-01T10:28:19Z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a0a37599-3cae-4967-9a8d-2072a1e01205</vt:lpwstr>
  </property>
  <property fmtid="{D5CDD505-2E9C-101B-9397-08002B2CF9AE}" pid="8" name="MSIP_Label_6bd9ddd1-4d20-43f6-abfa-fc3c07406f94_ContentBits">
    <vt:lpwstr>0</vt:lpwstr>
  </property>
  <property fmtid="{D5CDD505-2E9C-101B-9397-08002B2CF9AE}" pid="9" name="ContentTypeId">
    <vt:lpwstr>0x010100E6A73B92739F164A87503671B268037B</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_LW_INVALIDATED_EurolookVersion">
    <vt:lpwstr>10.0</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CP-006</vt:lpwstr>
  </property>
  <property fmtid="{D5CDD505-2E9C-101B-9397-08002B2CF9AE}" pid="17" name="Last edited using">
    <vt:lpwstr>LW 9.1, Build 20240808</vt:lpwstr>
  </property>
  <property fmtid="{D5CDD505-2E9C-101B-9397-08002B2CF9AE}" pid="18" name="Created using">
    <vt:lpwstr>LW 9.1, Build 20240808</vt:lpwstr>
  </property>
</Properties>
</file>