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2F9" w:rsidRPr="00D446EA" w:rsidRDefault="00AE139B" w:rsidP="00AE139B">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2A0918B7-8F88-47B6-92C3-34EBBB19931A" style="width:455.25pt;height:383.25pt">
            <v:imagedata r:id="rId7" o:title=""/>
          </v:shape>
        </w:pict>
      </w:r>
    </w:p>
    <w:p w:rsidR="009302F9" w:rsidRPr="00D446EA" w:rsidRDefault="009302F9" w:rsidP="009302F9">
      <w:pPr>
        <w:rPr>
          <w:noProof/>
        </w:rPr>
        <w:sectPr w:rsidR="009302F9" w:rsidRPr="00D446EA" w:rsidSect="00AE139B">
          <w:footerReference w:type="even" r:id="rId8"/>
          <w:footerReference w:type="default" r:id="rId9"/>
          <w:pgSz w:w="11907" w:h="16839"/>
          <w:pgMar w:top="1134" w:right="1417" w:bottom="1134" w:left="1417" w:header="709" w:footer="709" w:gutter="0"/>
          <w:pgNumType w:start="0"/>
          <w:cols w:space="720"/>
          <w:docGrid w:linePitch="360"/>
        </w:sectPr>
      </w:pPr>
    </w:p>
    <w:p w:rsidR="009302F9" w:rsidRPr="00D446EA" w:rsidRDefault="009302F9" w:rsidP="00BB6B30">
      <w:pPr>
        <w:pStyle w:val="Exposdesmotifstitre"/>
        <w:rPr>
          <w:noProof/>
        </w:rPr>
      </w:pPr>
      <w:bookmarkStart w:id="0" w:name="_GoBack"/>
      <w:bookmarkEnd w:id="0"/>
      <w:r w:rsidRPr="00D446EA">
        <w:rPr>
          <w:noProof/>
        </w:rPr>
        <w:lastRenderedPageBreak/>
        <w:t>AIŠKINAMASIS MEMORANDUMAS</w:t>
      </w:r>
    </w:p>
    <w:p w:rsidR="009302F9" w:rsidRPr="00D446EA" w:rsidRDefault="000A0239" w:rsidP="000A0239">
      <w:pPr>
        <w:pStyle w:val="ManualHeading1"/>
        <w:rPr>
          <w:rFonts w:eastAsia="Arial Unicode MS"/>
          <w:noProof/>
        </w:rPr>
      </w:pPr>
      <w:r w:rsidRPr="000A0239">
        <w:rPr>
          <w:noProof/>
        </w:rPr>
        <w:t>1.</w:t>
      </w:r>
      <w:r w:rsidRPr="000A0239">
        <w:rPr>
          <w:noProof/>
        </w:rPr>
        <w:tab/>
      </w:r>
      <w:r w:rsidR="009302F9" w:rsidRPr="00D446EA">
        <w:rPr>
          <w:noProof/>
        </w:rPr>
        <w:t>Pasiūlymo dalykas</w:t>
      </w:r>
    </w:p>
    <w:p w:rsidR="00121EE7" w:rsidRPr="00D446EA" w:rsidRDefault="00121EE7" w:rsidP="00121EE7">
      <w:pPr>
        <w:rPr>
          <w:noProof/>
        </w:rPr>
      </w:pPr>
      <w:r w:rsidRPr="00D446EA">
        <w:rPr>
          <w:noProof/>
        </w:rPr>
        <w:t>Šis pasiūlymas teikiamas dės sprendimo, kuriuo nustatoma pozicija, kurios Europos Sąjungos (ES) vardu turi būti laikomasi šeštajame Minamatos konvencijos dėl gyvsidabrio (toliau – Susitarimas) šalių konferencijos susitikime (toliau – COP6), dėl numatomo sprendimų dėl prekybos gyvsidabrio junginiais priėmimo ir Susitarimo A ir B priedų dalinio pakeitimo. Šiuose prieduose nustatytas produktų, kurių sudėtyje yra gyvsidabrio, sąrašas, gamybos procesų, kuriuose naudojamas gyvsidabris arba gyvsidabrio junginiai, (toliau – gyvsidabrio procesai) sąrašas ir jiems taikomos laipsniško jų atsisakymo datos arba gyvsidabrio naudojimą reguliuojančios</w:t>
      </w:r>
      <w:r w:rsidRPr="00D446EA">
        <w:rPr>
          <w:rStyle w:val="FootnoteReference"/>
          <w:noProof/>
        </w:rPr>
        <w:footnoteReference w:id="1"/>
      </w:r>
      <w:r w:rsidRPr="00D446EA">
        <w:rPr>
          <w:noProof/>
        </w:rPr>
        <w:t xml:space="preserve"> nuostatos.</w:t>
      </w:r>
    </w:p>
    <w:p w:rsidR="009302F9" w:rsidRPr="00D446EA" w:rsidRDefault="000A0239" w:rsidP="000A0239">
      <w:pPr>
        <w:pStyle w:val="ManualHeading1"/>
        <w:rPr>
          <w:noProof/>
        </w:rPr>
      </w:pPr>
      <w:r w:rsidRPr="000A0239">
        <w:rPr>
          <w:noProof/>
        </w:rPr>
        <w:t>2.</w:t>
      </w:r>
      <w:r w:rsidRPr="000A0239">
        <w:rPr>
          <w:noProof/>
        </w:rPr>
        <w:tab/>
      </w:r>
      <w:r w:rsidR="009302F9" w:rsidRPr="00D446EA">
        <w:rPr>
          <w:noProof/>
        </w:rPr>
        <w:t>Pasiūlymo aplinkybės</w:t>
      </w:r>
    </w:p>
    <w:p w:rsidR="009302F9" w:rsidRPr="00D446EA" w:rsidRDefault="000A0239" w:rsidP="000A0239">
      <w:pPr>
        <w:pStyle w:val="ManualHeading2"/>
        <w:rPr>
          <w:noProof/>
        </w:rPr>
      </w:pPr>
      <w:r w:rsidRPr="000A0239">
        <w:rPr>
          <w:noProof/>
        </w:rPr>
        <w:t>2.1.</w:t>
      </w:r>
      <w:r w:rsidRPr="000A0239">
        <w:rPr>
          <w:noProof/>
        </w:rPr>
        <w:tab/>
      </w:r>
      <w:r w:rsidR="009302F9" w:rsidRPr="00D446EA">
        <w:rPr>
          <w:noProof/>
        </w:rPr>
        <w:t>Minamatos konvencija dėl gyvsidabrio (Susitarimas)</w:t>
      </w:r>
    </w:p>
    <w:p w:rsidR="00121EE7" w:rsidRPr="00D446EA" w:rsidRDefault="00121EE7" w:rsidP="00121EE7">
      <w:pPr>
        <w:rPr>
          <w:noProof/>
        </w:rPr>
      </w:pPr>
      <w:r w:rsidRPr="00D446EA">
        <w:rPr>
          <w:noProof/>
        </w:rPr>
        <w:t>Susitarimas yra pagrindinė tarptautinė teisinė sistema, kuria siekiama apsaugoti žmonių sveikatą ir aplinką nuo gyvsidabrio ir gyvsidabrio junginių, dėl žmogaus veiklos išmetamų į orą ir išleidžiamų į vandenį bei žemę. Jis apima visą gyvsidabrio gyvavimo ciklą nuo pirminės gyvsidabrio kasybos iki gyvsidabrio atliekų šalinimo. Susitarimas įsigaliojo 2017 m. rugpjūčio 16 d. Europos Sąjunga yra Susitarimo šalis</w:t>
      </w:r>
      <w:r w:rsidRPr="00D446EA">
        <w:rPr>
          <w:rStyle w:val="FootnoteReference"/>
          <w:noProof/>
        </w:rPr>
        <w:footnoteReference w:id="2"/>
      </w:r>
      <w:r w:rsidRPr="00D446EA">
        <w:rPr>
          <w:noProof/>
        </w:rPr>
        <w:t>.</w:t>
      </w:r>
      <w:r w:rsidRPr="00D446EA">
        <w:rPr>
          <w:noProof/>
          <w:sz w:val="20"/>
        </w:rPr>
        <w:t xml:space="preserve"> </w:t>
      </w:r>
      <w:r w:rsidRPr="00D446EA">
        <w:rPr>
          <w:noProof/>
        </w:rPr>
        <w:t>Šalys yra ir visos valstybės narės.</w:t>
      </w:r>
    </w:p>
    <w:p w:rsidR="00121EE7" w:rsidRPr="00D446EA" w:rsidRDefault="00121EE7" w:rsidP="00121EE7">
      <w:pPr>
        <w:rPr>
          <w:noProof/>
        </w:rPr>
      </w:pPr>
      <w:r w:rsidRPr="00D446EA">
        <w:rPr>
          <w:noProof/>
        </w:rPr>
        <w:t>Pagal Susitarimo 3 straipsnio 13 dalį reikalaujama, kad Šalių konferencija (toliau – COP) įvertintų, ar dėl prekybos tam tikrais gyvsidabrio junginiais nepažeidžiamas Susitarimo tikslas, ir apsvarstytų, ar tam tikriems gyvsidabrio junginiams, juos įrašius į papildomą pagal Susitarimo 27 straipsnį priimtą priedą, reikėtų taikyti Susitarimo 3 straipsnio 6 ir 8 dalių nuostatas.</w:t>
      </w:r>
    </w:p>
    <w:p w:rsidR="00121EE7" w:rsidRPr="00D446EA" w:rsidRDefault="00121EE7" w:rsidP="00121EE7">
      <w:pPr>
        <w:rPr>
          <w:noProof/>
        </w:rPr>
      </w:pPr>
      <w:r w:rsidRPr="00D446EA">
        <w:rPr>
          <w:noProof/>
        </w:rPr>
        <w:t>Pagal Susitarimo 3 straipsnio 6 dalį, nė viena Šalis neleidžia gyvsidabrio eksportuoti, išskyrus į Šalį, kuri pateikė eksportuojančiajai Šaliai rašytinį sutikimą, arba į valstybę, kuri nėra Šalis ir kuri pateikė eksportuojančiajai Šaliai rašytinį sutikimą.</w:t>
      </w:r>
    </w:p>
    <w:p w:rsidR="00121EE7" w:rsidRPr="00D446EA" w:rsidRDefault="00121EE7" w:rsidP="00121EE7">
      <w:pPr>
        <w:rPr>
          <w:noProof/>
        </w:rPr>
      </w:pPr>
      <w:r w:rsidRPr="00D446EA">
        <w:rPr>
          <w:noProof/>
        </w:rPr>
        <w:t>Pagal Susitarimo 3 straipsnio 8 dalį, „nė viena Šalis neleidžia importuoti gyvsidabrio iš valstybės, kuri nėra šios Konvencijos Šalis ir kuriai Šalis suteikia rašytinį sutikimą, išskyrus tuo atveju, jei valstybė, kuri nėra šios Konvencijos Šalis, pateikė patvirtinimą, kad gyvsidabris nėra gautas iš šaltinių, kurie pagal 3 dalį ar 5 dalies b punktą laikomi neleidžiamais“.</w:t>
      </w:r>
    </w:p>
    <w:p w:rsidR="00121EE7" w:rsidRPr="00D446EA" w:rsidRDefault="00121EE7" w:rsidP="00121EE7">
      <w:pPr>
        <w:rPr>
          <w:noProof/>
        </w:rPr>
      </w:pPr>
      <w:r w:rsidRPr="00D446EA">
        <w:rPr>
          <w:noProof/>
        </w:rPr>
        <w:t>Pagal Susitarimo 4 straipsnio 1 dalį, A priedo I dalyje išvardyti produktai, kurių sudėtyje yra gyvsidabrio, (pvz., tam tikros kompaktinės fluorescencinės lempos) po toje dalyje nustatytų laipsniško jų atsisakymo datų nebegali būti gaminami, importuojami ar eksportuojami.</w:t>
      </w:r>
    </w:p>
    <w:p w:rsidR="00121EE7" w:rsidRPr="00D446EA" w:rsidRDefault="00121EE7" w:rsidP="00121EE7">
      <w:pPr>
        <w:rPr>
          <w:noProof/>
        </w:rPr>
      </w:pPr>
      <w:r w:rsidRPr="00D446EA">
        <w:rPr>
          <w:noProof/>
        </w:rPr>
        <w:t>Pagal 4 straipsnio 3 dalį, Šalys imasi priemonių A priedo II dalyje išvardytų produktų, kurių sudėtyje yra gyvsidabrio, naudojimui reguliuoti.</w:t>
      </w:r>
    </w:p>
    <w:p w:rsidR="00121EE7" w:rsidRPr="00D446EA" w:rsidRDefault="00121EE7" w:rsidP="00121EE7">
      <w:pPr>
        <w:rPr>
          <w:noProof/>
        </w:rPr>
      </w:pPr>
      <w:r w:rsidRPr="00D446EA">
        <w:rPr>
          <w:noProof/>
        </w:rPr>
        <w:t>Pagal 5 straipsnio 2 dalį, B priedo I dalyje išvardytuose gyvsidabrio procesuose (pvz., chloro ir šarmų gamyboje) gyvsidabris ir jo junginiai po tame priede nustatytų laipsniško jų atsisakymo datų nebegali būti naudojami.</w:t>
      </w:r>
    </w:p>
    <w:p w:rsidR="00121EE7" w:rsidRPr="00D446EA" w:rsidRDefault="00121EE7" w:rsidP="00121EE7">
      <w:pPr>
        <w:rPr>
          <w:noProof/>
        </w:rPr>
      </w:pPr>
      <w:r w:rsidRPr="00D446EA">
        <w:rPr>
          <w:noProof/>
        </w:rPr>
        <w:t>Pagal 5 straipsnio 3 dalį, Šalys turi imtis priemonių gyvsidabrio naudojimui B priedo II dalyje išvardytuose gyvsidabrio procesuose reguliuoti, įskaitant perėjimą prie procesų be gyvsidabrio, kai tai ekonomiškai ir techniškai įgyvendinama.</w:t>
      </w:r>
    </w:p>
    <w:p w:rsidR="00121EE7" w:rsidRPr="00D446EA" w:rsidRDefault="00121EE7" w:rsidP="00121EE7">
      <w:pPr>
        <w:rPr>
          <w:noProof/>
        </w:rPr>
      </w:pPr>
      <w:r w:rsidRPr="00D446EA">
        <w:rPr>
          <w:noProof/>
        </w:rPr>
        <w:t xml:space="preserve">26 ir 27 straipsniuose nustatytos pagrindinės taisyklės, susijusios, </w:t>
      </w:r>
      <w:r w:rsidRPr="00D446EA">
        <w:rPr>
          <w:i/>
          <w:iCs/>
          <w:noProof/>
        </w:rPr>
        <w:t>inter alia</w:t>
      </w:r>
      <w:r w:rsidRPr="00D446EA">
        <w:rPr>
          <w:noProof/>
        </w:rPr>
        <w:t>, su Šalių pasiūlymų iš dalies pakeisti Susitarimo priedus teikimu, taip pat su iš dalies pakeistų priedų priėmimu ir įsigaliojimu. Pasiūlymus iš dalies pakeisti priedus Susitarimo sekretoriatas (toliau – Sekretoriatas) visoms Šalims turi pateikti likus ne mažiau kaip šešiems mėnesiams iki COP, per kurią siūloma juos priimti. Siūlomi priedų pakeitimai priimami pagal balsavimo taisykles, nustatytas 26 straipsnio 3 dalyje ir per pirmąjį COP susitikimą (2017 m. rugsėjo 24–29 d.) priimtame Sprendime MC-1/1 dėl darbo tvarkos taisyklių</w:t>
      </w:r>
      <w:r w:rsidRPr="00D446EA">
        <w:rPr>
          <w:rStyle w:val="FootnoteReference"/>
          <w:noProof/>
        </w:rPr>
        <w:footnoteReference w:id="3"/>
      </w:r>
      <w:r w:rsidRPr="00D446EA">
        <w:rPr>
          <w:noProof/>
        </w:rPr>
        <w:t>. Sekretoriatas tokių per COP6 svarstytinų pasiūlymų negavo.</w:t>
      </w:r>
    </w:p>
    <w:p w:rsidR="00121EE7" w:rsidRPr="00D446EA" w:rsidRDefault="00121EE7" w:rsidP="00121EE7">
      <w:pPr>
        <w:rPr>
          <w:noProof/>
        </w:rPr>
      </w:pPr>
      <w:r w:rsidRPr="00D446EA">
        <w:rPr>
          <w:noProof/>
        </w:rPr>
        <w:t>Tačiau Sprendime MC-5/4 COP nusprendė per COP6 svarstyti pasiūlymą iš dalies pakeisti A priedo I ir II dalis dėl dantų amalgamos. Tame sprendime pateiktas siūlomas tekstas, parengtas COP apsvarsčius pirminį pasiūlymą, kurį Afrikos regiono vardu pateikė Botsvana ir Burkina Fasas ir kuris Šalims buvo perduotas 2023 m. balandžio 27 d., likus šešiems mėnesiams iki COP5.</w:t>
      </w:r>
    </w:p>
    <w:p w:rsidR="00121EE7" w:rsidRPr="00D446EA" w:rsidRDefault="00121EE7" w:rsidP="00121EE7">
      <w:pPr>
        <w:rPr>
          <w:noProof/>
        </w:rPr>
      </w:pPr>
      <w:r w:rsidRPr="00D446EA">
        <w:rPr>
          <w:noProof/>
        </w:rPr>
        <w:t xml:space="preserve">Per COP5 buvo priimtas Sprendimas MC-5/6. Šiuo sprendimu Šalys ir atitinkamos organizacijos paragintos iki 2025 m. kovo 31 d. savanoriškai pateikti informaciją apie techniškai ir ekonomiškai įgyvendinamas gyvsidabrio ir gyvsidabrio junginių naudojimo vinilchlorido monomerų gamyboje alternatyvas pagal Susitarimo 5 straipsnio 8 dalį ir 17 straipsnio 1 dalį. </w:t>
      </w:r>
    </w:p>
    <w:p w:rsidR="00121EE7" w:rsidRPr="00D446EA" w:rsidRDefault="00121EE7" w:rsidP="00121EE7">
      <w:pPr>
        <w:rPr>
          <w:noProof/>
        </w:rPr>
      </w:pPr>
      <w:r w:rsidRPr="00D446EA">
        <w:rPr>
          <w:noProof/>
        </w:rPr>
        <w:t>Dalinis priedo pakeitimas visoms Šalims, išskyrus tas, kurios pateikė atitinkamą pareiškimą pagal 30 straipsnio 5 dalį, įsigalioja praėjus vieniems metams po to, kai Susitarimo depozitaras praneša apie jo priėmimą. Sąjunga tokio pareiškimo nepateikė, taigi jai taikoma bendroji taisyklė dėl iš dalies pakeistų arba naujų priedų įsigaliojimo.</w:t>
      </w:r>
    </w:p>
    <w:p w:rsidR="00121EE7" w:rsidRPr="00D446EA" w:rsidRDefault="00121EE7" w:rsidP="00121EE7">
      <w:pPr>
        <w:rPr>
          <w:noProof/>
        </w:rPr>
      </w:pPr>
    </w:p>
    <w:p w:rsidR="009302F9" w:rsidRPr="00D446EA" w:rsidRDefault="000A0239" w:rsidP="000A0239">
      <w:pPr>
        <w:pStyle w:val="ManualHeading2"/>
        <w:rPr>
          <w:rFonts w:eastAsia="Arial Unicode MS"/>
          <w:noProof/>
        </w:rPr>
      </w:pPr>
      <w:r w:rsidRPr="000A0239">
        <w:rPr>
          <w:noProof/>
        </w:rPr>
        <w:t>2.2.</w:t>
      </w:r>
      <w:r w:rsidRPr="000A0239">
        <w:rPr>
          <w:noProof/>
        </w:rPr>
        <w:tab/>
      </w:r>
      <w:r w:rsidR="009302F9" w:rsidRPr="00D446EA">
        <w:rPr>
          <w:noProof/>
        </w:rPr>
        <w:t xml:space="preserve">Šalių konferencija (COP) </w:t>
      </w:r>
    </w:p>
    <w:p w:rsidR="00121EE7" w:rsidRPr="00D446EA" w:rsidRDefault="00121EE7" w:rsidP="00121EE7">
      <w:pPr>
        <w:pStyle w:val="Text1"/>
        <w:ind w:left="0"/>
        <w:rPr>
          <w:noProof/>
        </w:rPr>
      </w:pPr>
      <w:r w:rsidRPr="00D446EA">
        <w:rPr>
          <w:noProof/>
        </w:rPr>
        <w:t xml:space="preserve">COP vykdo jai pagal Susitarimą pavestas funkcijas. Tuo tikslu ji svarsto ir imasi, </w:t>
      </w:r>
      <w:r w:rsidRPr="00D446EA">
        <w:rPr>
          <w:i/>
          <w:iCs/>
          <w:noProof/>
        </w:rPr>
        <w:t>inter alia</w:t>
      </w:r>
      <w:r w:rsidRPr="00D446EA">
        <w:rPr>
          <w:noProof/>
        </w:rPr>
        <w:t>, bet kokių veiksmų, kurių gali prireikti Susitarimo tikslams pasiekti, įskaitant atitinkamų gairių priėmimą.</w:t>
      </w:r>
    </w:p>
    <w:p w:rsidR="00121EE7" w:rsidRPr="00D446EA" w:rsidRDefault="00121EE7" w:rsidP="00121EE7">
      <w:pPr>
        <w:pStyle w:val="Text1"/>
        <w:ind w:left="0"/>
        <w:rPr>
          <w:noProof/>
        </w:rPr>
      </w:pPr>
      <w:r w:rsidRPr="00D446EA">
        <w:rPr>
          <w:noProof/>
        </w:rPr>
        <w:t>Pagal Susitarimo 28 straipsnį ir pirmiau minėtą Sprendimą MC-1/1, kiekviena Šalis turi po vieną balsą. Tačiau Sąjunga, kaip regioninė ekonominės integracijos organizacija, kai sprendžiami jos kompetencijai priskirti klausimai, savo teisę balsuoti įgyvendina turėdama tiek balsų, kiek jos valstybių narių yra Susitarimo šalys. Sąjunga neturi teisės balsuoti, jei kuri nors jos valstybė narė pasinaudoja savo teise balsuoti, ir atvirkščiai.</w:t>
      </w:r>
    </w:p>
    <w:p w:rsidR="00121EE7" w:rsidRPr="00D446EA" w:rsidRDefault="00121EE7" w:rsidP="00121EE7">
      <w:pPr>
        <w:pStyle w:val="Text1"/>
        <w:ind w:left="0"/>
        <w:rPr>
          <w:noProof/>
        </w:rPr>
      </w:pPr>
    </w:p>
    <w:p w:rsidR="009302F9" w:rsidRPr="00D446EA" w:rsidRDefault="000A0239" w:rsidP="000A0239">
      <w:pPr>
        <w:pStyle w:val="ManualHeading2"/>
        <w:rPr>
          <w:noProof/>
        </w:rPr>
      </w:pPr>
      <w:r w:rsidRPr="000A0239">
        <w:rPr>
          <w:noProof/>
        </w:rPr>
        <w:t>2.3.</w:t>
      </w:r>
      <w:r w:rsidRPr="000A0239">
        <w:rPr>
          <w:noProof/>
        </w:rPr>
        <w:tab/>
      </w:r>
      <w:r w:rsidR="00121EE7" w:rsidRPr="00D446EA">
        <w:rPr>
          <w:noProof/>
        </w:rPr>
        <w:t>Galimi COP6 sprendimai</w:t>
      </w:r>
    </w:p>
    <w:p w:rsidR="00121EE7" w:rsidRPr="00D446EA" w:rsidRDefault="00121EE7" w:rsidP="00121EE7">
      <w:pPr>
        <w:spacing w:before="0" w:after="0"/>
        <w:rPr>
          <w:noProof/>
        </w:rPr>
      </w:pPr>
      <w:bookmarkStart w:id="1" w:name="_Hlk208481937"/>
      <w:r w:rsidRPr="00D446EA">
        <w:rPr>
          <w:noProof/>
        </w:rPr>
        <w:t>Tikimasi, kad per COP6 bus priimtas sprendimas dėl gyvsidabrio junginių tiekimo ir prekybos jais.</w:t>
      </w:r>
    </w:p>
    <w:p w:rsidR="00121EE7" w:rsidRPr="00D446EA" w:rsidRDefault="00121EE7" w:rsidP="00121EE7">
      <w:pPr>
        <w:spacing w:before="0" w:after="0"/>
        <w:rPr>
          <w:noProof/>
        </w:rPr>
      </w:pPr>
    </w:p>
    <w:p w:rsidR="00121EE7" w:rsidRPr="00D446EA" w:rsidRDefault="00121EE7" w:rsidP="00121EE7">
      <w:pPr>
        <w:spacing w:before="0" w:after="0"/>
        <w:rPr>
          <w:noProof/>
        </w:rPr>
      </w:pPr>
      <w:r w:rsidRPr="00D446EA">
        <w:rPr>
          <w:noProof/>
        </w:rPr>
        <w:t>Per COP6 taip pat bus svarstoma galimybė priimti sprendimą, susijusį su prekyba gyvsidabrio junginiais. Numatomu aktu galėtų būti įtrauktas papildomas Susitarimo priedas, į kurį būtų įrašyti gyvsidabrio junginiai, kuriems pagal Susitarimo 3 straipsnio 6 ir 8 dalis būtų taikomos rašytinio sutikimo procedūros. Gyvsidabrio junginių, kuriuos būtų galima įrašyti į priedą, sąraše yra:</w:t>
      </w:r>
    </w:p>
    <w:p w:rsidR="00121EE7" w:rsidRPr="00D446EA" w:rsidRDefault="00121EE7" w:rsidP="00121EE7">
      <w:pPr>
        <w:spacing w:before="0" w:after="0"/>
        <w:rPr>
          <w:noProof/>
        </w:rPr>
      </w:pPr>
    </w:p>
    <w:p w:rsidR="00121EE7" w:rsidRPr="00D446EA" w:rsidRDefault="000A0239" w:rsidP="000A0239">
      <w:pPr>
        <w:pStyle w:val="Point0"/>
        <w:rPr>
          <w:noProof/>
        </w:rPr>
      </w:pPr>
      <w:r w:rsidRPr="000A0239">
        <w:rPr>
          <w:noProof/>
        </w:rPr>
        <w:t>(1)</w:t>
      </w:r>
      <w:r w:rsidRPr="000A0239">
        <w:rPr>
          <w:noProof/>
        </w:rPr>
        <w:tab/>
      </w:r>
      <w:r w:rsidR="00121EE7" w:rsidRPr="00D446EA">
        <w:rPr>
          <w:noProof/>
        </w:rPr>
        <w:t>gyvsidabrio (I) chloridas,</w:t>
      </w:r>
    </w:p>
    <w:p w:rsidR="00121EE7" w:rsidRPr="00D446EA" w:rsidRDefault="000A0239" w:rsidP="000A0239">
      <w:pPr>
        <w:pStyle w:val="Point0"/>
        <w:rPr>
          <w:noProof/>
        </w:rPr>
      </w:pPr>
      <w:r w:rsidRPr="000A0239">
        <w:rPr>
          <w:noProof/>
        </w:rPr>
        <w:t>(2)</w:t>
      </w:r>
      <w:r w:rsidRPr="000A0239">
        <w:rPr>
          <w:noProof/>
        </w:rPr>
        <w:tab/>
      </w:r>
      <w:r w:rsidR="00121EE7" w:rsidRPr="00D446EA">
        <w:rPr>
          <w:noProof/>
        </w:rPr>
        <w:t>gyvsidabrio (II) sulfidas,</w:t>
      </w:r>
    </w:p>
    <w:p w:rsidR="00121EE7" w:rsidRPr="00D446EA" w:rsidRDefault="000A0239" w:rsidP="000A0239">
      <w:pPr>
        <w:pStyle w:val="Point0"/>
        <w:rPr>
          <w:noProof/>
        </w:rPr>
      </w:pPr>
      <w:r w:rsidRPr="000A0239">
        <w:rPr>
          <w:noProof/>
        </w:rPr>
        <w:t>(3)</w:t>
      </w:r>
      <w:r w:rsidRPr="000A0239">
        <w:rPr>
          <w:noProof/>
        </w:rPr>
        <w:tab/>
      </w:r>
      <w:r w:rsidR="00121EE7" w:rsidRPr="00D446EA">
        <w:rPr>
          <w:noProof/>
        </w:rPr>
        <w:t>cinoberis,</w:t>
      </w:r>
    </w:p>
    <w:p w:rsidR="00121EE7" w:rsidRPr="00D446EA" w:rsidRDefault="000A0239" w:rsidP="000A0239">
      <w:pPr>
        <w:pStyle w:val="Point0"/>
        <w:rPr>
          <w:noProof/>
        </w:rPr>
      </w:pPr>
      <w:r w:rsidRPr="000A0239">
        <w:rPr>
          <w:noProof/>
        </w:rPr>
        <w:t>(4)</w:t>
      </w:r>
      <w:r w:rsidRPr="000A0239">
        <w:rPr>
          <w:noProof/>
        </w:rPr>
        <w:tab/>
      </w:r>
      <w:r w:rsidR="00121EE7" w:rsidRPr="00D446EA">
        <w:rPr>
          <w:noProof/>
        </w:rPr>
        <w:t>gyvsidabrio (II) oksidas,</w:t>
      </w:r>
    </w:p>
    <w:p w:rsidR="00121EE7" w:rsidRPr="00D446EA" w:rsidRDefault="000A0239" w:rsidP="000A0239">
      <w:pPr>
        <w:pStyle w:val="Point0"/>
        <w:rPr>
          <w:noProof/>
        </w:rPr>
      </w:pPr>
      <w:r w:rsidRPr="000A0239">
        <w:rPr>
          <w:noProof/>
        </w:rPr>
        <w:t>(5)</w:t>
      </w:r>
      <w:r w:rsidRPr="000A0239">
        <w:rPr>
          <w:noProof/>
        </w:rPr>
        <w:tab/>
      </w:r>
      <w:r w:rsidR="00121EE7" w:rsidRPr="00D446EA">
        <w:rPr>
          <w:noProof/>
        </w:rPr>
        <w:t>gyvsidabrio (II) sulfatas,</w:t>
      </w:r>
    </w:p>
    <w:p w:rsidR="00121EE7" w:rsidRPr="00D446EA" w:rsidRDefault="000A0239" w:rsidP="000A0239">
      <w:pPr>
        <w:pStyle w:val="Point0"/>
        <w:rPr>
          <w:noProof/>
        </w:rPr>
      </w:pPr>
      <w:r w:rsidRPr="000A0239">
        <w:rPr>
          <w:noProof/>
        </w:rPr>
        <w:t>(6)</w:t>
      </w:r>
      <w:r w:rsidRPr="000A0239">
        <w:rPr>
          <w:noProof/>
        </w:rPr>
        <w:tab/>
      </w:r>
      <w:r w:rsidR="00121EE7" w:rsidRPr="00D446EA">
        <w:rPr>
          <w:noProof/>
        </w:rPr>
        <w:t>gyvsidabrio (II) nitratas,</w:t>
      </w:r>
    </w:p>
    <w:p w:rsidR="00121EE7" w:rsidRPr="00D446EA" w:rsidRDefault="000A0239" w:rsidP="000A0239">
      <w:pPr>
        <w:pStyle w:val="Point0"/>
        <w:rPr>
          <w:noProof/>
        </w:rPr>
      </w:pPr>
      <w:r w:rsidRPr="000A0239">
        <w:rPr>
          <w:noProof/>
        </w:rPr>
        <w:t>(7)</w:t>
      </w:r>
      <w:r w:rsidRPr="000A0239">
        <w:rPr>
          <w:noProof/>
        </w:rPr>
        <w:tab/>
      </w:r>
      <w:r w:rsidR="00121EE7" w:rsidRPr="00D446EA">
        <w:rPr>
          <w:noProof/>
        </w:rPr>
        <w:t>gyvsidabrio (II) acetatas,</w:t>
      </w:r>
    </w:p>
    <w:p w:rsidR="00121EE7" w:rsidRPr="00D446EA" w:rsidRDefault="000A0239" w:rsidP="000A0239">
      <w:pPr>
        <w:pStyle w:val="Point0"/>
        <w:rPr>
          <w:noProof/>
        </w:rPr>
      </w:pPr>
      <w:r w:rsidRPr="000A0239">
        <w:rPr>
          <w:noProof/>
        </w:rPr>
        <w:t>(8)</w:t>
      </w:r>
      <w:r w:rsidRPr="000A0239">
        <w:rPr>
          <w:noProof/>
        </w:rPr>
        <w:tab/>
      </w:r>
      <w:r w:rsidR="00121EE7" w:rsidRPr="00D446EA">
        <w:rPr>
          <w:noProof/>
        </w:rPr>
        <w:t>gyvsidabrio (II) chloridas,</w:t>
      </w:r>
    </w:p>
    <w:p w:rsidR="00121EE7" w:rsidRPr="00D446EA" w:rsidRDefault="000A0239" w:rsidP="000A0239">
      <w:pPr>
        <w:pStyle w:val="Point0"/>
        <w:rPr>
          <w:noProof/>
        </w:rPr>
      </w:pPr>
      <w:r w:rsidRPr="000A0239">
        <w:rPr>
          <w:noProof/>
        </w:rPr>
        <w:t>(9)</w:t>
      </w:r>
      <w:r w:rsidRPr="000A0239">
        <w:rPr>
          <w:noProof/>
        </w:rPr>
        <w:tab/>
      </w:r>
      <w:r w:rsidR="00121EE7" w:rsidRPr="00D446EA">
        <w:rPr>
          <w:noProof/>
        </w:rPr>
        <w:t>gyvsidabrio (II) jodidas,</w:t>
      </w:r>
    </w:p>
    <w:p w:rsidR="00121EE7" w:rsidRPr="00D446EA" w:rsidRDefault="000A0239" w:rsidP="000A0239">
      <w:pPr>
        <w:pStyle w:val="Point0"/>
        <w:rPr>
          <w:noProof/>
        </w:rPr>
      </w:pPr>
      <w:r w:rsidRPr="000A0239">
        <w:rPr>
          <w:noProof/>
        </w:rPr>
        <w:t>(10)</w:t>
      </w:r>
      <w:r w:rsidRPr="000A0239">
        <w:rPr>
          <w:noProof/>
        </w:rPr>
        <w:tab/>
      </w:r>
      <w:r w:rsidR="00121EE7" w:rsidRPr="00D446EA">
        <w:rPr>
          <w:noProof/>
        </w:rPr>
        <w:t>gyvsidabrio (II) amido chloridas.</w:t>
      </w:r>
    </w:p>
    <w:p w:rsidR="00121EE7" w:rsidRPr="00D446EA" w:rsidRDefault="00121EE7" w:rsidP="00121EE7">
      <w:pPr>
        <w:spacing w:before="0" w:after="0"/>
        <w:rPr>
          <w:noProof/>
        </w:rPr>
      </w:pPr>
    </w:p>
    <w:p w:rsidR="00121EE7" w:rsidRPr="00D446EA" w:rsidRDefault="00121EE7" w:rsidP="00121EE7">
      <w:pPr>
        <w:spacing w:before="0" w:after="0"/>
        <w:rPr>
          <w:noProof/>
        </w:rPr>
      </w:pPr>
      <w:r w:rsidRPr="00D446EA">
        <w:rPr>
          <w:noProof/>
        </w:rPr>
        <w:t>Be to, tikimasi, kad per COP6 bus priimtas vienas ar daugiau sprendimų iš dalies pakeisti Susitarimo A ir B priedus.</w:t>
      </w:r>
    </w:p>
    <w:bookmarkEnd w:id="1"/>
    <w:p w:rsidR="00121EE7" w:rsidRPr="00D446EA" w:rsidRDefault="00121EE7" w:rsidP="00121EE7">
      <w:pPr>
        <w:spacing w:before="0" w:after="0"/>
        <w:rPr>
          <w:noProof/>
        </w:rPr>
      </w:pPr>
    </w:p>
    <w:p w:rsidR="00121EE7" w:rsidRPr="00D446EA" w:rsidRDefault="00121EE7" w:rsidP="00121EE7">
      <w:pPr>
        <w:spacing w:before="0" w:after="0"/>
        <w:rPr>
          <w:noProof/>
        </w:rPr>
      </w:pPr>
      <w:r w:rsidRPr="00D446EA">
        <w:rPr>
          <w:noProof/>
        </w:rPr>
        <w:t xml:space="preserve">Pirma, per COP6 bus svarstomi siūlomi </w:t>
      </w:r>
      <w:r w:rsidRPr="00D446EA">
        <w:rPr>
          <w:b/>
          <w:noProof/>
        </w:rPr>
        <w:t>A priedo I dalies</w:t>
      </w:r>
      <w:r w:rsidRPr="00D446EA">
        <w:rPr>
          <w:noProof/>
        </w:rPr>
        <w:t xml:space="preserve"> daliniai pakeitimai, kad prireikus dėl jų būtų galima priimti sprendimą. Tais pakeitimais būtų išbraukti skliaustai, apskliaudžiantys </w:t>
      </w:r>
      <w:r w:rsidRPr="00D446EA">
        <w:rPr>
          <w:b/>
          <w:noProof/>
        </w:rPr>
        <w:t>dantų amalgamos</w:t>
      </w:r>
      <w:r w:rsidRPr="00D446EA">
        <w:rPr>
          <w:noProof/>
        </w:rPr>
        <w:t xml:space="preserve"> įrašą, taip pat atitinkama laipsniško atsisakymo data (2030 m.). Todėl įraše nurodytą medžiagą turėtų būti draudžiama gaminti, importuoti ir eksportuoti po nustatytų laipsniško atsisakymo datų arba jai turėtų būti taikomos gyvsidabrio naudojimą reguliuojančios priemonės. Per COP6 taip pat bus svarstomas pasiūlymas iš dalies pakeisti ir </w:t>
      </w:r>
      <w:r w:rsidRPr="00D446EA">
        <w:rPr>
          <w:b/>
          <w:bCs/>
          <w:noProof/>
        </w:rPr>
        <w:t>A priedo II dalį</w:t>
      </w:r>
      <w:r w:rsidRPr="00D446EA">
        <w:rPr>
          <w:noProof/>
        </w:rPr>
        <w:t xml:space="preserve"> įtraukiant papildomas nuostatas dėl dantų amalgamos.</w:t>
      </w:r>
    </w:p>
    <w:p w:rsidR="00121EE7" w:rsidRPr="00D446EA" w:rsidRDefault="00121EE7" w:rsidP="00121EE7">
      <w:pPr>
        <w:spacing w:before="0" w:after="0"/>
        <w:rPr>
          <w:noProof/>
        </w:rPr>
      </w:pPr>
    </w:p>
    <w:p w:rsidR="00121EE7" w:rsidRPr="00D446EA" w:rsidRDefault="00121EE7" w:rsidP="00121EE7">
      <w:pPr>
        <w:spacing w:before="0" w:after="0"/>
        <w:rPr>
          <w:noProof/>
        </w:rPr>
      </w:pPr>
      <w:r w:rsidRPr="00D446EA">
        <w:rPr>
          <w:noProof/>
        </w:rPr>
        <w:t xml:space="preserve">Antra, per COP6 bus svarstoma galimybė atitinkamai priimti sprendimą, pagrįstą galutine Sekretoriato ataskaita dėl problemų, kylančių siekiant užkirsti kelią į </w:t>
      </w:r>
      <w:r w:rsidRPr="00D446EA">
        <w:rPr>
          <w:b/>
          <w:noProof/>
        </w:rPr>
        <w:t>A priedo I dalį</w:t>
      </w:r>
      <w:r w:rsidRPr="00D446EA">
        <w:rPr>
          <w:noProof/>
        </w:rPr>
        <w:t xml:space="preserve"> įrašytų </w:t>
      </w:r>
      <w:r w:rsidRPr="00D446EA">
        <w:rPr>
          <w:b/>
          <w:noProof/>
        </w:rPr>
        <w:t>kosmetikos gaminių</w:t>
      </w:r>
      <w:r w:rsidRPr="00D446EA">
        <w:rPr>
          <w:noProof/>
        </w:rPr>
        <w:t xml:space="preserve"> gamybai, importui ir eksportui, taip pat dėl esamų ar siūlomų priemonių, kurių Šalys ėmėsi toms problemoms spręsti. </w:t>
      </w:r>
    </w:p>
    <w:p w:rsidR="00AB1DB8" w:rsidRPr="00D446EA" w:rsidRDefault="00AB1DB8" w:rsidP="00121EE7">
      <w:pPr>
        <w:spacing w:before="0" w:after="0"/>
        <w:rPr>
          <w:noProof/>
        </w:rPr>
      </w:pPr>
    </w:p>
    <w:p w:rsidR="009302F9" w:rsidRPr="00D446EA" w:rsidRDefault="00121EE7" w:rsidP="00AB1DB8">
      <w:pPr>
        <w:rPr>
          <w:rFonts w:eastAsia="Arial Unicode MS"/>
          <w:noProof/>
        </w:rPr>
      </w:pPr>
      <w:r w:rsidRPr="00D446EA">
        <w:rPr>
          <w:noProof/>
        </w:rPr>
        <w:t>Trečia, per COP6 bus svarstoma galimybė iš dalies pakeisti B priedą siekiant nustatyti, kad jau yra techniškai ir ekonomiškai pagrįsta naudoti esamais procesais pagrįstus katalizatorius be gyvsidabrio ir tai būtų naudinga žmonių sveikatai ir aplinkai. Tai reikštų, kad būtų automatiškai pritaikyta laipsniško atsisakymo data, ne vėlesnė kaip penkeri metai po COP6 (t. y. iki 2030 m.), ir kad būtų siekiama priimti atitinkamą sprendimą. Šis dalinis pakeitimas paremtas Sekretoriato ataskaita, pagal kurią vinilchlorido monomerų (VCM) gamyboje techniškai ir ekonomiškai pagrįsta naudoti katalizatorius be gyvsidabrio. Ataskaita grindžiama Šalių ir atitinkamų organizacijų pateikta informacija ir išdėstyta dokumente UNEP/MC/COP.6/INF/9.</w:t>
      </w:r>
    </w:p>
    <w:p w:rsidR="00121EE7" w:rsidRPr="00D446EA" w:rsidRDefault="00121EE7" w:rsidP="00121EE7">
      <w:pPr>
        <w:pStyle w:val="ManualHeading2"/>
        <w:rPr>
          <w:noProof/>
        </w:rPr>
      </w:pPr>
      <w:r w:rsidRPr="00D446EA">
        <w:rPr>
          <w:noProof/>
        </w:rPr>
        <w:t>3. Pozicija, kurios turi būti laikomasi Sąjungos vardu</w:t>
      </w:r>
    </w:p>
    <w:p w:rsidR="00121EE7" w:rsidRPr="00D446EA" w:rsidRDefault="00121EE7" w:rsidP="00121EE7">
      <w:pPr>
        <w:spacing w:before="0" w:after="0"/>
        <w:rPr>
          <w:noProof/>
        </w:rPr>
      </w:pPr>
      <w:r w:rsidRPr="00D446EA">
        <w:rPr>
          <w:noProof/>
        </w:rPr>
        <w:t>Sąjungos tikslas – kuo greičiau ir visapusiškiau nutraukti gyvsidabrio naudojimą Sąjungoje ir pasaulyje, jei tik yra tinkamų alternatyvų</w:t>
      </w:r>
      <w:r w:rsidRPr="00D446EA">
        <w:rPr>
          <w:rStyle w:val="FootnoteReference"/>
          <w:noProof/>
        </w:rPr>
        <w:footnoteReference w:id="4"/>
      </w:r>
      <w:r w:rsidRPr="00D446EA">
        <w:rPr>
          <w:noProof/>
        </w:rPr>
        <w:t>. Norint jį pasiekti visų pirma reikės laipsniškai atsisakyti produktų, kurių sudėtyje yra gyvsidabrio, o gyvsidabrio procesus pakeisti kitais procesais, kuriuose gyvsidabris nenaudojamas, jei jie perspektyvūs, techniškai įgyvendinami ir naudingi žmonių sveikatai bei aplinkai.</w:t>
      </w:r>
    </w:p>
    <w:p w:rsidR="00121EE7" w:rsidRPr="00D446EA" w:rsidRDefault="00121EE7" w:rsidP="00121EE7">
      <w:pPr>
        <w:spacing w:before="0" w:after="0"/>
        <w:rPr>
          <w:noProof/>
        </w:rPr>
      </w:pPr>
    </w:p>
    <w:p w:rsidR="00121EE7" w:rsidRPr="00D446EA" w:rsidRDefault="00121EE7" w:rsidP="00121EE7">
      <w:pPr>
        <w:rPr>
          <w:noProof/>
        </w:rPr>
      </w:pPr>
      <w:r w:rsidRPr="00D446EA">
        <w:rPr>
          <w:noProof/>
        </w:rPr>
        <w:t>Visuotinė pažanga siekiant šio tikslo padėtų įgyvendinti Europos žaliojo kurso komunikate nustatytą nulinės taršos tikslą, kuriuo siekiama, kad aplinkoje nebūtų toksinių medžiagų</w:t>
      </w:r>
      <w:r w:rsidRPr="00D446EA">
        <w:rPr>
          <w:rStyle w:val="FootnoteReference"/>
          <w:noProof/>
        </w:rPr>
        <w:footnoteReference w:id="5"/>
      </w:r>
      <w:r w:rsidRPr="00D446EA">
        <w:rPr>
          <w:noProof/>
        </w:rPr>
        <w:t>. Ji taip pat padėtų įgyvendinti 2020 m. priimtą ES cheminių medžiagų strategiją tvarumui</w:t>
      </w:r>
      <w:r w:rsidRPr="00D446EA">
        <w:rPr>
          <w:rStyle w:val="FootnoteReference"/>
          <w:noProof/>
        </w:rPr>
        <w:footnoteReference w:id="6"/>
      </w:r>
      <w:r w:rsidRPr="00D446EA">
        <w:rPr>
          <w:noProof/>
        </w:rPr>
        <w:t xml:space="preserve"> užtikrinti, kurioje Europos Komisija įsipareigojo išlaikyti lyderystę tarptautiniu lygmeniu patikimo cheminių medžiagų tvarkymo srityje, be kita ko, visame pasaulyje propaguodama ES standartus. Tai taip pat atitiktų persvarstytus ES užmojus, susijusius su švariu ir žiediniu konkurencingumu, įtvirtintus, be kita ko, Švarios pramonės kurso komunikate</w:t>
      </w:r>
      <w:r w:rsidRPr="00D446EA">
        <w:rPr>
          <w:rStyle w:val="FootnoteReference"/>
          <w:noProof/>
        </w:rPr>
        <w:footnoteReference w:id="7"/>
      </w:r>
      <w:r w:rsidRPr="00D446EA">
        <w:rPr>
          <w:noProof/>
        </w:rPr>
        <w:t xml:space="preserve"> ir Hidrologinio atsparumo strategijoje</w:t>
      </w:r>
      <w:r w:rsidRPr="00D446EA">
        <w:rPr>
          <w:rStyle w:val="FootnoteReference"/>
          <w:noProof/>
        </w:rPr>
        <w:footnoteReference w:id="8"/>
      </w:r>
      <w:r w:rsidRPr="00D446EA">
        <w:rPr>
          <w:noProof/>
        </w:rPr>
        <w:t>.</w:t>
      </w:r>
    </w:p>
    <w:p w:rsidR="00121EE7" w:rsidRPr="00D446EA" w:rsidRDefault="00121EE7" w:rsidP="00121EE7">
      <w:pPr>
        <w:pStyle w:val="Default"/>
        <w:jc w:val="both"/>
        <w:rPr>
          <w:i/>
          <w:noProof/>
        </w:rPr>
      </w:pPr>
    </w:p>
    <w:p w:rsidR="00121EE7" w:rsidRPr="00D446EA" w:rsidRDefault="00121EE7" w:rsidP="00121EE7">
      <w:pPr>
        <w:pStyle w:val="Default"/>
        <w:jc w:val="both"/>
        <w:rPr>
          <w:b/>
          <w:i/>
          <w:noProof/>
        </w:rPr>
      </w:pPr>
      <w:r w:rsidRPr="00D446EA">
        <w:rPr>
          <w:b/>
          <w:i/>
          <w:noProof/>
        </w:rPr>
        <w:t>Gyvsidabrio junginių tiekimas ir prekyba jais</w:t>
      </w:r>
    </w:p>
    <w:p w:rsidR="00121EE7" w:rsidRPr="00D446EA" w:rsidRDefault="00121EE7" w:rsidP="00121EE7">
      <w:pPr>
        <w:pStyle w:val="Default"/>
        <w:jc w:val="both"/>
        <w:rPr>
          <w:b/>
          <w:i/>
          <w:noProof/>
        </w:rPr>
      </w:pPr>
    </w:p>
    <w:p w:rsidR="00121EE7" w:rsidRPr="00D446EA" w:rsidRDefault="00121EE7" w:rsidP="00121EE7">
      <w:pPr>
        <w:pStyle w:val="Default"/>
        <w:jc w:val="both"/>
        <w:rPr>
          <w:noProof/>
        </w:rPr>
      </w:pPr>
      <w:r w:rsidRPr="00D446EA">
        <w:rPr>
          <w:noProof/>
        </w:rPr>
        <w:t xml:space="preserve">Pozicija, kurios Sąjungos vardu turi būti laikomasi per COP6, yra pritarti tam, kad būtų priimtas papildomas Susitarimo priedas, į kurį būtų įrašyti gyvsidabrio junginiai, dėl kurių reikalingas rašytinis sutikimas pagal Susitarimo 3 straipsnio 6 ir 8 dalis, jei tai atitinka Sąjungos </w:t>
      </w:r>
      <w:r w:rsidRPr="00D446EA">
        <w:rPr>
          <w:i/>
          <w:iCs/>
          <w:noProof/>
        </w:rPr>
        <w:t>acquis</w:t>
      </w:r>
      <w:r w:rsidRPr="00D446EA">
        <w:rPr>
          <w:noProof/>
        </w:rPr>
        <w:t xml:space="preserve">, (t. y. įrašyti gyvsidabrio junginiai, kuriems jau taikomas eksporto draudimas pagal Gyvsidabrio reglamento III priedą). </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Pozicija, kurios turi būti laikomasi Sąjungos vardu, grindžiama tuo, kad Gyvsidabrio reglamentu</w:t>
      </w:r>
      <w:r w:rsidRPr="00D446EA">
        <w:rPr>
          <w:rStyle w:val="FootnoteReference"/>
          <w:noProof/>
        </w:rPr>
        <w:footnoteReference w:id="9"/>
      </w:r>
      <w:r w:rsidRPr="00D446EA">
        <w:rPr>
          <w:noProof/>
        </w:rPr>
        <w:t xml:space="preserve"> draudžiama eksportuoti tam tikrus gyvsidabrio junginius pagal III priedą dėl gyvsidabrio junginių, kuriems taikomos 3 straipsnio 2 ir 3 dalys ir 7 straipsnio 3 dalis. Gyvsidabrio junginiai, kuriems taikomas eksporto draudimas, apima:</w:t>
      </w:r>
    </w:p>
    <w:p w:rsidR="00121EE7" w:rsidRPr="00D446EA" w:rsidRDefault="00121EE7" w:rsidP="00121EE7">
      <w:pPr>
        <w:pStyle w:val="Default"/>
        <w:jc w:val="both"/>
        <w:rPr>
          <w:noProof/>
        </w:rPr>
      </w:pPr>
    </w:p>
    <w:p w:rsidR="00121EE7" w:rsidRPr="00D446EA" w:rsidRDefault="00121EE7" w:rsidP="00740C5F">
      <w:pPr>
        <w:pStyle w:val="Default"/>
        <w:numPr>
          <w:ilvl w:val="0"/>
          <w:numId w:val="2"/>
        </w:numPr>
        <w:jc w:val="both"/>
        <w:rPr>
          <w:noProof/>
        </w:rPr>
      </w:pPr>
      <w:r w:rsidRPr="00D446EA">
        <w:rPr>
          <w:noProof/>
        </w:rPr>
        <w:t>gyvsidabrio (I) chloridą (Hg2Cl2, CAS RN 10112-91-1);</w:t>
      </w:r>
    </w:p>
    <w:p w:rsidR="00121EE7" w:rsidRPr="00D446EA" w:rsidRDefault="00121EE7" w:rsidP="00740C5F">
      <w:pPr>
        <w:pStyle w:val="Default"/>
        <w:numPr>
          <w:ilvl w:val="0"/>
          <w:numId w:val="2"/>
        </w:numPr>
        <w:jc w:val="both"/>
        <w:rPr>
          <w:noProof/>
        </w:rPr>
      </w:pPr>
      <w:r w:rsidRPr="00D446EA">
        <w:rPr>
          <w:noProof/>
        </w:rPr>
        <w:t>gyvsidabrio (II) oksidą (HgO, CAS RN 21908-53-2);</w:t>
      </w:r>
    </w:p>
    <w:p w:rsidR="00121EE7" w:rsidRPr="00D446EA" w:rsidRDefault="00121EE7" w:rsidP="00740C5F">
      <w:pPr>
        <w:pStyle w:val="Default"/>
        <w:numPr>
          <w:ilvl w:val="0"/>
          <w:numId w:val="2"/>
        </w:numPr>
        <w:jc w:val="both"/>
        <w:rPr>
          <w:noProof/>
        </w:rPr>
      </w:pPr>
      <w:r w:rsidRPr="00D446EA">
        <w:rPr>
          <w:noProof/>
        </w:rPr>
        <w:t>cinoberio rūdą;</w:t>
      </w:r>
    </w:p>
    <w:p w:rsidR="00121EE7" w:rsidRPr="00D446EA" w:rsidRDefault="00121EE7" w:rsidP="00740C5F">
      <w:pPr>
        <w:pStyle w:val="Default"/>
        <w:numPr>
          <w:ilvl w:val="0"/>
          <w:numId w:val="2"/>
        </w:numPr>
        <w:jc w:val="both"/>
        <w:rPr>
          <w:noProof/>
        </w:rPr>
      </w:pPr>
      <w:r w:rsidRPr="00D446EA">
        <w:rPr>
          <w:noProof/>
        </w:rPr>
        <w:t xml:space="preserve">gyvsidabrio sulfidą (HgS, CAS RN 1344-48-5); </w:t>
      </w:r>
    </w:p>
    <w:p w:rsidR="00121EE7" w:rsidRPr="00D446EA" w:rsidRDefault="00121EE7" w:rsidP="00740C5F">
      <w:pPr>
        <w:pStyle w:val="Default"/>
        <w:numPr>
          <w:ilvl w:val="0"/>
          <w:numId w:val="2"/>
        </w:numPr>
        <w:jc w:val="both"/>
        <w:rPr>
          <w:noProof/>
        </w:rPr>
      </w:pPr>
      <w:r w:rsidRPr="00D446EA">
        <w:rPr>
          <w:noProof/>
        </w:rPr>
        <w:t>gyvsidabrio (II) sulfatą (HgSO4, CAS RN 7783-35-9);</w:t>
      </w:r>
    </w:p>
    <w:p w:rsidR="00121EE7" w:rsidRPr="00D446EA" w:rsidRDefault="00121EE7" w:rsidP="00740C5F">
      <w:pPr>
        <w:pStyle w:val="Default"/>
        <w:numPr>
          <w:ilvl w:val="0"/>
          <w:numId w:val="2"/>
        </w:numPr>
        <w:jc w:val="both"/>
        <w:rPr>
          <w:noProof/>
        </w:rPr>
      </w:pPr>
      <w:r w:rsidRPr="00D446EA">
        <w:rPr>
          <w:noProof/>
        </w:rPr>
        <w:t>gyvsidabrio (II) nitratą (Hg(NO3)2, CAS RN 10045-94-0).</w:t>
      </w:r>
    </w:p>
    <w:p w:rsidR="00121EE7" w:rsidRPr="00D446EA" w:rsidRDefault="00121EE7" w:rsidP="00121EE7">
      <w:pPr>
        <w:pStyle w:val="Default"/>
        <w:jc w:val="both"/>
        <w:rPr>
          <w:b/>
          <w:i/>
          <w:noProof/>
        </w:rPr>
      </w:pPr>
    </w:p>
    <w:p w:rsidR="00121EE7" w:rsidRPr="00D446EA" w:rsidRDefault="00121EE7" w:rsidP="00121EE7">
      <w:pPr>
        <w:pStyle w:val="Default"/>
        <w:jc w:val="both"/>
        <w:rPr>
          <w:b/>
          <w:i/>
          <w:noProof/>
        </w:rPr>
      </w:pPr>
      <w:r w:rsidRPr="00D446EA">
        <w:rPr>
          <w:b/>
          <w:i/>
          <w:noProof/>
        </w:rPr>
        <w:t xml:space="preserve">Susitarimo A priedo, kuriame pateiktas produktų, kurių sudėtyje yra gyvsidabrio ir kuriems taikomas gamybos, importo ir eksporto draudimas arba reikalavimai dėl gyvsidabrio naudojimo, sąrašas, peržiūra </w:t>
      </w:r>
    </w:p>
    <w:p w:rsidR="00121EE7" w:rsidRPr="00D446EA" w:rsidRDefault="00121EE7" w:rsidP="00121EE7">
      <w:pPr>
        <w:pStyle w:val="Default"/>
        <w:jc w:val="both"/>
        <w:rPr>
          <w:b/>
          <w:noProof/>
        </w:rPr>
      </w:pPr>
    </w:p>
    <w:p w:rsidR="00121EE7" w:rsidRPr="00D446EA" w:rsidRDefault="00121EE7" w:rsidP="00121EE7">
      <w:pPr>
        <w:pStyle w:val="Default"/>
        <w:jc w:val="both"/>
        <w:rPr>
          <w:noProof/>
        </w:rPr>
      </w:pPr>
      <w:r w:rsidRPr="00D446EA">
        <w:rPr>
          <w:noProof/>
        </w:rPr>
        <w:t xml:space="preserve">Sąjungos pozicija per COP6 yra pritarti tam, kad būtų priimtas numatomas aktas, kuris derėtų su Sąjungos </w:t>
      </w:r>
      <w:r w:rsidRPr="00D446EA">
        <w:rPr>
          <w:i/>
          <w:noProof/>
        </w:rPr>
        <w:t>acquis</w:t>
      </w:r>
      <w:r w:rsidRPr="00D446EA">
        <w:rPr>
          <w:noProof/>
        </w:rPr>
        <w:t xml:space="preserve"> dėl produktų, kurių sudėtyje yra gyvsidabrio ir kuriuos jau draudžiama tiekti Sąjungos rinkai, ir kurie gali būti pakeisti ekonomiškai ir techniškai pagrįstomis alternatyvomis be gyvsidabrio, kurios yra naudingos aplinkai ir žmonių sveikatai.</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 xml:space="preserve">Sąjungos pozicija grindžiama dviem toliau nurodytais elementais. </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Peržiūrėto Gyvsidabrio reglamento 10 straipsnio 7 dalimi draudžiama naudoti ir eksportuoti iš ES dantų amalgamą. Dantų amalgamos importas ir gamyba draudžiami nuo 2026 m. liepos 1 d. Taikant išimtį, dantų amalgamą leidžiama importuoti ir gaminti atsižvelgiant į specialius pacientų medicininius poreikius.</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Gyvsidabrio reglamento II priedu draudžiama eksportuoti, importuoti ir gaminti kosmetikos gaminius, kuriuose yra gyvsidabrio ir gyvsidabrio junginių, išskyrus ypatingus atvejus, įtrauktus į Kosmetikos gaminių reglamento</w:t>
      </w:r>
      <w:r w:rsidRPr="00D446EA">
        <w:rPr>
          <w:rStyle w:val="FootnoteReference"/>
          <w:noProof/>
        </w:rPr>
        <w:footnoteReference w:id="10"/>
      </w:r>
      <w:r w:rsidRPr="00D446EA">
        <w:rPr>
          <w:noProof/>
        </w:rPr>
        <w:t xml:space="preserve"> V priedo 16 ir 17 įrašus.</w:t>
      </w:r>
    </w:p>
    <w:p w:rsidR="00121EE7" w:rsidRPr="00D446EA" w:rsidRDefault="00121EE7" w:rsidP="00121EE7">
      <w:pPr>
        <w:pStyle w:val="Default"/>
        <w:rPr>
          <w:noProof/>
        </w:rPr>
      </w:pPr>
    </w:p>
    <w:p w:rsidR="00121EE7" w:rsidRPr="00D446EA" w:rsidRDefault="00121EE7" w:rsidP="00121EE7">
      <w:pPr>
        <w:pStyle w:val="Default"/>
        <w:jc w:val="both"/>
        <w:rPr>
          <w:b/>
          <w:i/>
          <w:noProof/>
        </w:rPr>
      </w:pPr>
      <w:r w:rsidRPr="00D446EA">
        <w:rPr>
          <w:b/>
          <w:i/>
          <w:noProof/>
        </w:rPr>
        <w:t xml:space="preserve">Susitarimo B priedo, kuriame pateiktas gyvsidabrio procesų, kuriems taikomos nutraukimo datos arba reikalavimai dėl gyvsidabrio naudojimo, sąrašas, peržiūra. </w:t>
      </w:r>
    </w:p>
    <w:p w:rsidR="00121EE7" w:rsidRPr="00D446EA" w:rsidRDefault="00121EE7" w:rsidP="00121EE7">
      <w:pPr>
        <w:spacing w:before="0" w:after="0"/>
        <w:rPr>
          <w:noProof/>
        </w:rPr>
      </w:pPr>
    </w:p>
    <w:p w:rsidR="00121EE7" w:rsidRPr="00D446EA" w:rsidRDefault="00121EE7" w:rsidP="00121EE7">
      <w:pPr>
        <w:pStyle w:val="Default"/>
        <w:jc w:val="both"/>
        <w:rPr>
          <w:noProof/>
        </w:rPr>
      </w:pPr>
      <w:r w:rsidRPr="00D446EA">
        <w:rPr>
          <w:noProof/>
        </w:rPr>
        <w:t>Pozicija, kurios Sąjungos vardu turi būti laikomasi per COP6, yra pritarti tam, kad būtų priimtas aktas, kuriuo nustatoma VCM proceso laipsniško nutraukimo data ir sugriežtinamos gyvsidabrio naudojimą reguliuojančios nuostatos, visų pirma nustatant įpareigojimą iki atitinkamos nutraukimo datos nepadidinti gamybos pajėgumų.</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 xml:space="preserve">Ši pozicija, kurios turi būti laikomasi Sąjungos vardu, grindžiama toliau nurodytais trimis elementais. </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 xml:space="preserve">Susitarimo 5 straipsnio 2 ir 3 dalys ir B priedas į Sąjungos teisę perkelti visų pirma griežtesnėmis Gyvsidabrio reglamento 7 straipsnio 1 ir 3 dalių ir III priedo nuostatomis. </w:t>
      </w:r>
    </w:p>
    <w:p w:rsidR="00121EE7" w:rsidRPr="00D446EA" w:rsidRDefault="00121EE7" w:rsidP="00121EE7">
      <w:pPr>
        <w:pStyle w:val="Default"/>
        <w:ind w:left="426"/>
        <w:jc w:val="both"/>
        <w:rPr>
          <w:noProof/>
        </w:rPr>
      </w:pPr>
    </w:p>
    <w:p w:rsidR="00121EE7" w:rsidRPr="00D446EA" w:rsidRDefault="00121EE7" w:rsidP="00121EE7">
      <w:pPr>
        <w:pStyle w:val="Default"/>
        <w:jc w:val="both"/>
        <w:rPr>
          <w:noProof/>
        </w:rPr>
      </w:pPr>
      <w:r w:rsidRPr="00D446EA">
        <w:rPr>
          <w:noProof/>
        </w:rPr>
        <w:t>Susitarimo B priedas apima penkis konkrečius gyvsidabrio procesus (chloro ir šarmų gamybą, acetaldehido gamybą, VCM gamybą, alkoholiatų gamybą ir poliuretano gamybą), tačiau Gyvsidabrio reglamento III priede yra visa apimanti nuostata, pagal kurią draudžiama po nustatytų laipsniško nutraukimo datų Sąjungoje naudoti gyvsidabrį ir gyvsidabrio junginius visuose gamybos procesuose, t. y. nuo 2018 m. sausio 1 d. draudžiama juos naudoti kaip katalizatorius, o nuo 2022 m. sausio 1 d. – kaip elektrodus. Taigi pagal Sąjungos teisę šio draudimo taikymo sritis yra neribota.</w:t>
      </w:r>
    </w:p>
    <w:p w:rsidR="00121EE7" w:rsidRPr="00D446EA" w:rsidRDefault="00121EE7" w:rsidP="00121EE7">
      <w:pPr>
        <w:pStyle w:val="Default"/>
        <w:jc w:val="both"/>
        <w:rPr>
          <w:noProof/>
        </w:rPr>
      </w:pPr>
    </w:p>
    <w:p w:rsidR="00121EE7" w:rsidRPr="00D446EA" w:rsidRDefault="00121EE7" w:rsidP="00121EE7">
      <w:pPr>
        <w:pStyle w:val="Default"/>
        <w:jc w:val="both"/>
        <w:rPr>
          <w:noProof/>
        </w:rPr>
      </w:pPr>
      <w:r w:rsidRPr="00D446EA">
        <w:rPr>
          <w:noProof/>
        </w:rPr>
        <w:t xml:space="preserve">Gyvsidabrio reglamento III priede nustatytos kelios išimtys dėl VCM, alkoholiatų ir poliuretano gamybos laipsniško nutraukimo datų, tačiau šios nuostatos yra griežtesnės nei Susitarimo B priedo nuostatos. Nors pagal Gyvsidabrio reglamentą gyvsidabrį naudoti VCM gamyboje </w:t>
      </w:r>
      <w:r w:rsidRPr="00D446EA">
        <w:rPr>
          <w:noProof/>
          <w:u w:val="single"/>
        </w:rPr>
        <w:t>uždrausta</w:t>
      </w:r>
      <w:r w:rsidRPr="00D446EA">
        <w:rPr>
          <w:noProof/>
        </w:rPr>
        <w:t xml:space="preserve"> nuo 2022 m. sausio 1 d., Susitarime nustatytas tik gyvsidabrio naudojimo </w:t>
      </w:r>
      <w:r w:rsidRPr="00D446EA">
        <w:rPr>
          <w:noProof/>
          <w:u w:val="single"/>
        </w:rPr>
        <w:t>apribojimas</w:t>
      </w:r>
      <w:r w:rsidRPr="00D446EA">
        <w:rPr>
          <w:noProof/>
        </w:rPr>
        <w:t xml:space="preserve"> ir nurodyta, kad Šalys turi siekti laipsniškai jo atsisakyti per penkerius metus nuo tada, kai COP nustato, kad alternatyvos be gyvsidabrio tapo techniškai ir ekonomiškai pagrįstos (VCM atveju). B priedo peržiūra suteikia galimybę sumažinti atotrūkį tarp dabartinės griežtesnės Sąjungos teisės ir ne tokio griežto Susitarimo. Tai būtų pasiekta į B priedą įtraukus laipsniško VCM gamybos naudojant gyvsidabrį nutraukimo datas, laikantis Sąjungos </w:t>
      </w:r>
      <w:r w:rsidRPr="00D446EA">
        <w:rPr>
          <w:i/>
          <w:noProof/>
        </w:rPr>
        <w:t>acquis</w:t>
      </w:r>
      <w:r w:rsidRPr="00D446EA">
        <w:rPr>
          <w:noProof/>
        </w:rPr>
        <w:t xml:space="preserve"> ir atsižvelgiant į esamus techniškai ir ekonomiškai pagrįstus alternatyvius procesus be gyvsidabrio. </w:t>
      </w:r>
    </w:p>
    <w:p w:rsidR="00121EE7" w:rsidRPr="00D446EA" w:rsidRDefault="00121EE7" w:rsidP="00121EE7">
      <w:pPr>
        <w:pStyle w:val="ManualHeading1"/>
        <w:rPr>
          <w:noProof/>
        </w:rPr>
      </w:pPr>
      <w:r w:rsidRPr="00D446EA">
        <w:rPr>
          <w:noProof/>
        </w:rPr>
        <w:t>4.</w:t>
      </w:r>
      <w:r w:rsidRPr="00D446EA">
        <w:rPr>
          <w:noProof/>
        </w:rPr>
        <w:tab/>
        <w:t>Teisinis pagrindas</w:t>
      </w:r>
    </w:p>
    <w:p w:rsidR="00121EE7" w:rsidRPr="00D446EA" w:rsidRDefault="00121EE7" w:rsidP="00121EE7">
      <w:pPr>
        <w:pStyle w:val="ManualHeading2"/>
        <w:rPr>
          <w:noProof/>
        </w:rPr>
      </w:pPr>
      <w:r w:rsidRPr="00D446EA">
        <w:rPr>
          <w:noProof/>
        </w:rPr>
        <w:t>4.1.</w:t>
      </w:r>
      <w:r w:rsidRPr="00D446EA">
        <w:rPr>
          <w:noProof/>
        </w:rPr>
        <w:tab/>
        <w:t>Procedūrinis teisinis pagrindas</w:t>
      </w:r>
    </w:p>
    <w:p w:rsidR="00121EE7" w:rsidRPr="00D446EA" w:rsidRDefault="00121EE7" w:rsidP="00121EE7">
      <w:pPr>
        <w:pStyle w:val="ManualHeading3"/>
        <w:rPr>
          <w:noProof/>
        </w:rPr>
      </w:pPr>
      <w:r w:rsidRPr="00D446EA">
        <w:rPr>
          <w:noProof/>
        </w:rPr>
        <w:t>4.1.1.</w:t>
      </w:r>
      <w:r w:rsidRPr="00D446EA">
        <w:rPr>
          <w:noProof/>
        </w:rPr>
        <w:tab/>
        <w:t>Principai</w:t>
      </w:r>
    </w:p>
    <w:p w:rsidR="00121EE7" w:rsidRPr="00D446EA" w:rsidRDefault="00121EE7" w:rsidP="00121EE7">
      <w:pPr>
        <w:rPr>
          <w:noProof/>
        </w:rPr>
      </w:pPr>
      <w:r w:rsidRPr="00D446EA">
        <w:rPr>
          <w:noProof/>
        </w:rPr>
        <w:t>Sutarties dėl Europos Sąjungos veikimo (SESV) 218 straipsnio 9 dalyje reglamentuojami sprendimai, kuriais „nustatomos pozicijos, kurios Sąjungos vardu priimamos susitarimu įsteigtame organe, kai tam organui reikia priimti teisinę galią turinčius aktus, išskyrus aktus, papildančius arba pakeičiančius susitarimo institucinę struktūrą“.</w:t>
      </w:r>
    </w:p>
    <w:p w:rsidR="00121EE7" w:rsidRPr="00D446EA" w:rsidRDefault="00121EE7" w:rsidP="00121EE7">
      <w:pPr>
        <w:rPr>
          <w:noProof/>
        </w:rPr>
      </w:pPr>
      <w:r w:rsidRPr="00D446EA">
        <w:rPr>
          <w:noProof/>
        </w:rPr>
        <w:t>Sąvoka „teisinę galią turintys aktai“ apima aktus, turinčius teisinę galią pagal aptariamą organą reglamentuojančias tarptautinės teisės normas. Ji taip pat apima priemones, kurios nėra privalomos pagal tarptautinę teisę, tačiau „gali stipriai paveikti Sąjungos teisės akto leidėjo priimamų teisės aktų [...] turinį“</w:t>
      </w:r>
      <w:r w:rsidRPr="00D446EA">
        <w:rPr>
          <w:rStyle w:val="FootnoteReference"/>
          <w:noProof/>
        </w:rPr>
        <w:footnoteReference w:id="11"/>
      </w:r>
      <w:r w:rsidRPr="00D446EA">
        <w:rPr>
          <w:noProof/>
        </w:rPr>
        <w:t>.</w:t>
      </w:r>
    </w:p>
    <w:p w:rsidR="00121EE7" w:rsidRPr="00D446EA" w:rsidRDefault="00121EE7" w:rsidP="00121EE7">
      <w:pPr>
        <w:pStyle w:val="ManualHeading3"/>
        <w:rPr>
          <w:noProof/>
        </w:rPr>
      </w:pPr>
      <w:r w:rsidRPr="00D446EA">
        <w:rPr>
          <w:noProof/>
        </w:rPr>
        <w:t>4.1.2.</w:t>
      </w:r>
      <w:r w:rsidRPr="00D446EA">
        <w:rPr>
          <w:noProof/>
        </w:rPr>
        <w:tab/>
        <w:t>Taikymas aptariamuoju atveju</w:t>
      </w:r>
    </w:p>
    <w:p w:rsidR="00121EE7" w:rsidRPr="00D446EA" w:rsidRDefault="00121EE7" w:rsidP="00121EE7">
      <w:pPr>
        <w:rPr>
          <w:noProof/>
        </w:rPr>
      </w:pPr>
      <w:r w:rsidRPr="00D446EA">
        <w:rPr>
          <w:noProof/>
        </w:rPr>
        <w:t>COP yra įsteigta susitarimu, būtent Minamatos konvencija dėl gyvsidabrio.</w:t>
      </w:r>
    </w:p>
    <w:p w:rsidR="00121EE7" w:rsidRPr="00D446EA" w:rsidRDefault="00121EE7" w:rsidP="00121EE7">
      <w:pPr>
        <w:rPr>
          <w:noProof/>
        </w:rPr>
      </w:pPr>
      <w:r w:rsidRPr="00D446EA">
        <w:rPr>
          <w:noProof/>
        </w:rPr>
        <w:t xml:space="preserve">Aktai, kuriuos turi priimti COP, yra susiję su galimu Minamatos konvencijos dėl gyvsidabrio naujo priedo priėmimu ir galimu dviejų esamų priedų daliniu pakeitimu. Kadangi pagal Minamatos konvencijos dėl gyvsidabrio 27 straipsnio 1 dalį priedai yra neatskiriama Konvencijos dalis, numatomi aktai yra teisinę galią turintys aktai, nes jie yra teisiškai privalomi Šalims pagal tarptautinę teisę. </w:t>
      </w:r>
    </w:p>
    <w:p w:rsidR="00121EE7" w:rsidRPr="00D446EA" w:rsidRDefault="00121EE7" w:rsidP="00121EE7">
      <w:pPr>
        <w:rPr>
          <w:noProof/>
        </w:rPr>
      </w:pPr>
      <w:r w:rsidRPr="00D446EA">
        <w:rPr>
          <w:noProof/>
        </w:rPr>
        <w:t>Numatomais aktais Susitarimo institucinė struktūra nepapildoma ir nekeičiama.</w:t>
      </w:r>
    </w:p>
    <w:p w:rsidR="00121EE7" w:rsidRPr="00D446EA" w:rsidRDefault="00121EE7" w:rsidP="00121EE7">
      <w:pPr>
        <w:rPr>
          <w:noProof/>
        </w:rPr>
      </w:pPr>
      <w:r w:rsidRPr="00D446EA">
        <w:rPr>
          <w:noProof/>
        </w:rPr>
        <w:t>Todėl siūlomo sprendimo procedūrinis teisinis pagrindas yra SESV 218 straipsnio 9 dalis.</w:t>
      </w:r>
    </w:p>
    <w:p w:rsidR="00121EE7" w:rsidRPr="00D446EA" w:rsidRDefault="00121EE7" w:rsidP="00121EE7">
      <w:pPr>
        <w:pStyle w:val="ManualHeading2"/>
        <w:rPr>
          <w:noProof/>
        </w:rPr>
      </w:pPr>
      <w:r w:rsidRPr="00D446EA">
        <w:rPr>
          <w:noProof/>
        </w:rPr>
        <w:t>4.2.</w:t>
      </w:r>
      <w:r w:rsidRPr="00D446EA">
        <w:rPr>
          <w:noProof/>
        </w:rPr>
        <w:tab/>
        <w:t>Materialinis teisinis pagrindas</w:t>
      </w:r>
    </w:p>
    <w:p w:rsidR="00121EE7" w:rsidRPr="00D446EA" w:rsidRDefault="00121EE7" w:rsidP="00121EE7">
      <w:pPr>
        <w:pStyle w:val="ManualHeading3"/>
        <w:rPr>
          <w:noProof/>
        </w:rPr>
      </w:pPr>
      <w:r w:rsidRPr="00D446EA">
        <w:rPr>
          <w:noProof/>
        </w:rPr>
        <w:t>4.2.1.</w:t>
      </w:r>
      <w:r w:rsidRPr="00D446EA">
        <w:rPr>
          <w:noProof/>
        </w:rPr>
        <w:tab/>
        <w:t>Principai</w:t>
      </w:r>
    </w:p>
    <w:p w:rsidR="00121EE7" w:rsidRPr="00D446EA" w:rsidRDefault="00121EE7" w:rsidP="00121EE7">
      <w:pPr>
        <w:rPr>
          <w:noProof/>
        </w:rPr>
      </w:pPr>
      <w:r w:rsidRPr="00D446EA">
        <w:rPr>
          <w:noProof/>
        </w:rPr>
        <w:t>Sprendimo pagal SESV 218 straipsnio 9 dalį materialinis teisinis pagrindas pirmiausia priklauso nuo numatomo akto, dėl kurio Sąjungos vardu nustatoma pozicija, tikslo ir turinio. Jeigu i) numatomu aktu siekiama dviejų tikslų arba jį sudaro dvi dalys ir ii) vieną iš tų tikslų ar dalių galima laikyti pagrindiniu tikslu arba pagrindine dalimi, o kita dalis ar kiti tikslai yra tik papildomi, sprendimas pagal SESV 218 straipsnio 9 dalį turi būti grindžiamas tik vienu materialiniu teisiniu pagrindu – tuo, kurio reikalauja pagrindinis ar svarbesnis tikslas arba dalis.</w:t>
      </w:r>
    </w:p>
    <w:p w:rsidR="00121EE7" w:rsidRPr="00D446EA" w:rsidRDefault="00121EE7" w:rsidP="00121EE7">
      <w:pPr>
        <w:pStyle w:val="ManualHeading3"/>
        <w:rPr>
          <w:noProof/>
        </w:rPr>
      </w:pPr>
      <w:r w:rsidRPr="00D446EA">
        <w:rPr>
          <w:noProof/>
        </w:rPr>
        <w:t>4.2.2.</w:t>
      </w:r>
      <w:r w:rsidRPr="00D446EA">
        <w:rPr>
          <w:noProof/>
        </w:rPr>
        <w:tab/>
        <w:t>Taikymas aptariamuoju atveju</w:t>
      </w:r>
    </w:p>
    <w:p w:rsidR="00121EE7" w:rsidRPr="00D446EA" w:rsidRDefault="00121EE7" w:rsidP="00121EE7">
      <w:pPr>
        <w:rPr>
          <w:noProof/>
        </w:rPr>
      </w:pPr>
      <w:r w:rsidRPr="00D446EA">
        <w:rPr>
          <w:noProof/>
        </w:rPr>
        <w:t>Pagrindinis numatomų aktų tikslas ir turinys yra susiję su aplinkos ir žmonių sveikatos apsauga.</w:t>
      </w:r>
    </w:p>
    <w:p w:rsidR="00121EE7" w:rsidRPr="00D446EA" w:rsidRDefault="00121EE7" w:rsidP="00121EE7">
      <w:pPr>
        <w:rPr>
          <w:i/>
          <w:noProof/>
        </w:rPr>
      </w:pPr>
      <w:r w:rsidRPr="00D446EA">
        <w:rPr>
          <w:noProof/>
        </w:rPr>
        <w:t>Todėl siūlomo sprendimo materialinis teisinis pagrindas yra SESV 192 straipsnio 1 dalis.</w:t>
      </w:r>
    </w:p>
    <w:p w:rsidR="00121EE7" w:rsidRPr="00D446EA" w:rsidRDefault="00121EE7" w:rsidP="00121EE7">
      <w:pPr>
        <w:pStyle w:val="ManualHeading2"/>
        <w:rPr>
          <w:noProof/>
        </w:rPr>
      </w:pPr>
      <w:r w:rsidRPr="00D446EA">
        <w:rPr>
          <w:noProof/>
        </w:rPr>
        <w:t>4.3.</w:t>
      </w:r>
      <w:r w:rsidRPr="00D446EA">
        <w:rPr>
          <w:noProof/>
        </w:rPr>
        <w:tab/>
        <w:t>Išvada</w:t>
      </w:r>
    </w:p>
    <w:p w:rsidR="00121EE7" w:rsidRPr="00D446EA" w:rsidRDefault="00121EE7" w:rsidP="00121EE7">
      <w:pPr>
        <w:rPr>
          <w:noProof/>
        </w:rPr>
      </w:pPr>
      <w:r w:rsidRPr="00D446EA">
        <w:rPr>
          <w:noProof/>
        </w:rPr>
        <w:t>Siūlomo sprendimo teisinis pagrindas turėtų būti SESV 192 straipsnio 1 dalis kartu su SESV 218 straipsnio 9 dalimi.</w:t>
      </w:r>
    </w:p>
    <w:p w:rsidR="009302F9" w:rsidRPr="00D446EA" w:rsidRDefault="009302F9" w:rsidP="00FD40BA">
      <w:pPr>
        <w:rPr>
          <w:noProof/>
        </w:rPr>
        <w:sectPr w:rsidR="009302F9" w:rsidRPr="00D446EA" w:rsidSect="00AE139B">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08"/>
          <w:docGrid w:linePitch="360"/>
        </w:sectPr>
      </w:pPr>
    </w:p>
    <w:p w:rsidR="0004658D" w:rsidRDefault="005839CA">
      <w:pPr>
        <w:pStyle w:val="Rfrenceinterinstitutionnelle"/>
        <w:rPr>
          <w:noProof/>
        </w:rPr>
      </w:pPr>
      <w:r>
        <w:rPr>
          <w:noProof/>
        </w:rPr>
        <w:t>2025/0320 (NLE)</w:t>
      </w:r>
    </w:p>
    <w:p w:rsidR="009302F9" w:rsidRPr="00D446EA" w:rsidRDefault="00D446EA" w:rsidP="00D446EA">
      <w:pPr>
        <w:pStyle w:val="Statut"/>
        <w:rPr>
          <w:noProof/>
        </w:rPr>
      </w:pPr>
      <w:r w:rsidRPr="00D446EA">
        <w:rPr>
          <w:noProof/>
        </w:rPr>
        <w:t>Pasiūlymas</w:t>
      </w:r>
    </w:p>
    <w:p w:rsidR="009302F9" w:rsidRPr="00D446EA" w:rsidRDefault="00D446EA" w:rsidP="00D446EA">
      <w:pPr>
        <w:pStyle w:val="Typedudocument"/>
        <w:rPr>
          <w:noProof/>
        </w:rPr>
      </w:pPr>
      <w:r w:rsidRPr="00D446EA">
        <w:rPr>
          <w:noProof/>
        </w:rPr>
        <w:t>TARYBOS SPRENDIMAS</w:t>
      </w:r>
    </w:p>
    <w:p w:rsidR="009302F9" w:rsidRPr="00D446EA" w:rsidRDefault="00D446EA" w:rsidP="00D446EA">
      <w:pPr>
        <w:pStyle w:val="Titreobjet"/>
        <w:rPr>
          <w:noProof/>
        </w:rPr>
      </w:pPr>
      <w:r w:rsidRPr="00D446EA">
        <w:rPr>
          <w:noProof/>
        </w:rPr>
        <w:t>dėl pozicijos, kurios Europos Sąjungos vardu turi būti laikomasi šeštajame Minamatos konvencijos dėl gyvsidabrio šalių konferencijos susitikime, dėl sprendimų, kuriais ta konvencija iš dalies keičiama dėl produktų, kurių sudėtyje yra gyvsidabrio, ir gamybos procesų, kuriuose naudojamas gyvsidabris arba gyvsidabrio junginiai, priėmimo</w:t>
      </w:r>
    </w:p>
    <w:p w:rsidR="00121EE7" w:rsidRPr="00D446EA" w:rsidRDefault="00121EE7" w:rsidP="00121EE7">
      <w:pPr>
        <w:pStyle w:val="Institutionquiagit"/>
        <w:rPr>
          <w:b/>
          <w:noProof/>
        </w:rPr>
      </w:pPr>
      <w:r w:rsidRPr="00D446EA">
        <w:rPr>
          <w:b/>
          <w:noProof/>
        </w:rPr>
        <w:t>EUROPOS SĄJUNGOS TARYBA,</w:t>
      </w:r>
    </w:p>
    <w:p w:rsidR="00121EE7" w:rsidRPr="00D446EA" w:rsidRDefault="00121EE7" w:rsidP="00121EE7">
      <w:pPr>
        <w:rPr>
          <w:noProof/>
        </w:rPr>
      </w:pPr>
      <w:r w:rsidRPr="00D446EA">
        <w:rPr>
          <w:noProof/>
        </w:rPr>
        <w:t>atsižvelgdama į Sutartį dėl Europos Sąjungos veikimo, ypač į jos 192 straipsnio 1 dalį kartu su 218 straipsnio 9 dalimi,</w:t>
      </w:r>
    </w:p>
    <w:p w:rsidR="00121EE7" w:rsidRPr="00D446EA" w:rsidRDefault="00121EE7" w:rsidP="00121EE7">
      <w:pPr>
        <w:rPr>
          <w:noProof/>
        </w:rPr>
      </w:pPr>
      <w:r w:rsidRPr="00D446EA">
        <w:rPr>
          <w:noProof/>
        </w:rPr>
        <w:t>atsižvelgdama į Europos Komisijos pasiūlymą,</w:t>
      </w:r>
    </w:p>
    <w:p w:rsidR="00121EE7" w:rsidRPr="00D446EA" w:rsidRDefault="00121EE7" w:rsidP="00121EE7">
      <w:pPr>
        <w:rPr>
          <w:noProof/>
        </w:rPr>
      </w:pPr>
      <w:r w:rsidRPr="00D446EA">
        <w:rPr>
          <w:noProof/>
        </w:rPr>
        <w:t>kadangi:</w:t>
      </w:r>
    </w:p>
    <w:p w:rsidR="00121EE7" w:rsidRPr="00D446EA" w:rsidRDefault="00121EE7" w:rsidP="00121EE7">
      <w:pPr>
        <w:pStyle w:val="ManualConsidrant"/>
        <w:rPr>
          <w:noProof/>
        </w:rPr>
      </w:pPr>
      <w:r w:rsidRPr="00D446EA">
        <w:rPr>
          <w:noProof/>
        </w:rPr>
        <w:t>(1)</w:t>
      </w:r>
      <w:r w:rsidRPr="00D446EA">
        <w:rPr>
          <w:noProof/>
        </w:rPr>
        <w:tab/>
        <w:t>Minamatos konvencija dėl gyvsidabrio</w:t>
      </w:r>
      <w:r w:rsidRPr="00D446EA">
        <w:rPr>
          <w:rStyle w:val="FootnoteReference"/>
          <w:noProof/>
        </w:rPr>
        <w:footnoteReference w:id="12"/>
      </w:r>
      <w:r w:rsidRPr="00D446EA">
        <w:rPr>
          <w:noProof/>
        </w:rPr>
        <w:t xml:space="preserve"> (toliau – Susitarimas) buvo Sąjungos sudaryta Tarybos sprendimu (ES) 2017/939</w:t>
      </w:r>
      <w:r w:rsidRPr="00D446EA">
        <w:rPr>
          <w:rStyle w:val="FootnoteReference"/>
          <w:noProof/>
        </w:rPr>
        <w:footnoteReference w:id="13"/>
      </w:r>
      <w:r w:rsidRPr="00D446EA">
        <w:rPr>
          <w:noProof/>
        </w:rPr>
        <w:t xml:space="preserve"> ir įsigaliojo 2017 m. rugpjūčio 16 d.; </w:t>
      </w:r>
    </w:p>
    <w:p w:rsidR="00121EE7" w:rsidRPr="00D446EA" w:rsidRDefault="00121EE7" w:rsidP="00121EE7">
      <w:pPr>
        <w:pStyle w:val="ManualConsidrant"/>
        <w:rPr>
          <w:noProof/>
          <w:color w:val="000000" w:themeColor="text1"/>
        </w:rPr>
      </w:pPr>
      <w:r w:rsidRPr="00D446EA">
        <w:rPr>
          <w:noProof/>
        </w:rPr>
        <w:t>(2)</w:t>
      </w:r>
      <w:r w:rsidRPr="00D446EA">
        <w:rPr>
          <w:noProof/>
        </w:rPr>
        <w:tab/>
        <w:t>pagal Susitarimo 27 straipsnį kartu su 26 straipsniu, Šalių konferencija gali priimti sprendimus, kuriais priimami nauji arba iš dalies keičiami esami Susitarimo priedai;</w:t>
      </w:r>
    </w:p>
    <w:p w:rsidR="00121EE7" w:rsidRPr="00D446EA" w:rsidRDefault="00121EE7" w:rsidP="00121EE7">
      <w:pPr>
        <w:pStyle w:val="ManualConsidrant"/>
        <w:rPr>
          <w:noProof/>
          <w:color w:val="000000" w:themeColor="text1"/>
        </w:rPr>
      </w:pPr>
      <w:r w:rsidRPr="00D446EA">
        <w:rPr>
          <w:noProof/>
          <w:color w:val="000000" w:themeColor="text1"/>
        </w:rPr>
        <w:t>(3)</w:t>
      </w:r>
      <w:r w:rsidRPr="00D446EA">
        <w:rPr>
          <w:noProof/>
        </w:rPr>
        <w:tab/>
        <w:t>Šalių konferencija 2025 m. lapkričio 3–7 d. vyksiančiame 6-ajame susitikime pagal Susitarimo 3 straipsnio 6 ir 8 dalis gali priimti naują Susitarimo priedą, į kurį būtų įrašyti gyvsidabrio junginiai, kuriems reikalingas rašytinis sutikimas dėl eksporto;</w:t>
      </w:r>
    </w:p>
    <w:p w:rsidR="00121EE7" w:rsidRPr="00D446EA" w:rsidRDefault="00121EE7" w:rsidP="00121EE7">
      <w:pPr>
        <w:pStyle w:val="ManualConsidrant"/>
        <w:rPr>
          <w:noProof/>
        </w:rPr>
      </w:pPr>
      <w:r w:rsidRPr="00D446EA">
        <w:rPr>
          <w:noProof/>
        </w:rPr>
        <w:t>(4)</w:t>
      </w:r>
      <w:r w:rsidRPr="00D446EA">
        <w:rPr>
          <w:noProof/>
        </w:rPr>
        <w:tab/>
        <w:t>be to, tikimasi, kad Susitarimo šalių konferencija priims vieną ar daugiau sprendimų iš dalies pakeisti Susitarimo A ir B priedus. A priede pateiktas produktų, kurių sudėtyje yra gyvsidabrio ir kuriuos draudžiama gaminti, importuoti ir eksportuoti po nurodytos datos arba kuriems taikomos gyvsidabrio reguliavimo priemonės, sąrašas. B priede pateiktas gamybos procesų, kuriuose naudojamas gyvsidabris ar gyvsidabrio junginiai, (toliau – gyvsidabrio procesai) ir kurių atžvilgiu taikomas įpareigojimas nutraukti gyvsidabrio naudojimą nuo tam tikros datos arba gyvsidabrio reguliavimo reikalavimai, sąrašas;</w:t>
      </w:r>
    </w:p>
    <w:p w:rsidR="00121EE7" w:rsidRPr="00D446EA" w:rsidRDefault="00121EE7" w:rsidP="00121EE7">
      <w:pPr>
        <w:pStyle w:val="ManualConsidrant"/>
        <w:rPr>
          <w:noProof/>
        </w:rPr>
      </w:pPr>
      <w:r w:rsidRPr="00D446EA">
        <w:rPr>
          <w:noProof/>
        </w:rPr>
        <w:t>(5)</w:t>
      </w:r>
      <w:r w:rsidRPr="00D446EA">
        <w:rPr>
          <w:noProof/>
        </w:rPr>
        <w:tab/>
        <w:t>numatomi Šalių konferencijos aktai turės teisinę galią;</w:t>
      </w:r>
    </w:p>
    <w:p w:rsidR="00121EE7" w:rsidRPr="00D446EA" w:rsidRDefault="00121EE7" w:rsidP="00121EE7">
      <w:pPr>
        <w:pStyle w:val="ManualConsidrant"/>
        <w:rPr>
          <w:noProof/>
        </w:rPr>
      </w:pPr>
      <w:r w:rsidRPr="00D446EA">
        <w:rPr>
          <w:noProof/>
        </w:rPr>
        <w:t>(6)</w:t>
      </w:r>
      <w:r w:rsidRPr="00D446EA">
        <w:rPr>
          <w:noProof/>
        </w:rPr>
        <w:tab/>
        <w:t xml:space="preserve">tikslinga nustatyti poziciją, kurios Sąjungos vardu turi būti laikomasi Susitarimo šalių konferencijoje; </w:t>
      </w:r>
    </w:p>
    <w:p w:rsidR="00121EE7" w:rsidRPr="00D446EA" w:rsidRDefault="00121EE7" w:rsidP="00121EE7">
      <w:pPr>
        <w:pStyle w:val="ManualConsidrant"/>
        <w:rPr>
          <w:rFonts w:eastAsia="Calibri"/>
          <w:noProof/>
        </w:rPr>
      </w:pPr>
      <w:r w:rsidRPr="00D446EA">
        <w:rPr>
          <w:noProof/>
        </w:rPr>
        <w:t>(7)</w:t>
      </w:r>
      <w:r w:rsidRPr="00D446EA">
        <w:rPr>
          <w:noProof/>
        </w:rPr>
        <w:tab/>
        <w:t xml:space="preserve">Sąjunga turėtų pritarti tam, kad Susitarimo šalių konferencija priimtų sprendimus, kuriais būtų sudarytos sąlygos sumažinti atotrūkį tarp Sąjungos teisės ir Susitarimo ir kurie derėtų su Sąjungos </w:t>
      </w:r>
      <w:r w:rsidRPr="00D446EA">
        <w:rPr>
          <w:i/>
          <w:iCs/>
          <w:noProof/>
        </w:rPr>
        <w:t>acquis</w:t>
      </w:r>
      <w:r w:rsidRPr="00D446EA">
        <w:rPr>
          <w:noProof/>
        </w:rPr>
        <w:t xml:space="preserve"> dėl:</w:t>
      </w:r>
    </w:p>
    <w:p w:rsidR="00121EE7" w:rsidRPr="00D446EA" w:rsidRDefault="000A0239" w:rsidP="000A0239">
      <w:pPr>
        <w:pStyle w:val="Point0"/>
        <w:rPr>
          <w:rFonts w:eastAsia="Calibri"/>
          <w:noProof/>
        </w:rPr>
      </w:pPr>
      <w:r w:rsidRPr="000A0239">
        <w:rPr>
          <w:noProof/>
        </w:rPr>
        <w:t>(11)</w:t>
      </w:r>
      <w:r w:rsidRPr="000A0239">
        <w:rPr>
          <w:noProof/>
        </w:rPr>
        <w:tab/>
      </w:r>
      <w:r w:rsidR="00121EE7" w:rsidRPr="00D446EA">
        <w:rPr>
          <w:noProof/>
        </w:rPr>
        <w:t>gyvsidabrio junginių, kuriems jau taikomas Reglamentas (ES) 2017/852</w:t>
      </w:r>
      <w:r w:rsidR="00121EE7" w:rsidRPr="00D446EA">
        <w:rPr>
          <w:rStyle w:val="FootnoteReference"/>
          <w:rFonts w:eastAsia="Calibri"/>
          <w:noProof/>
        </w:rPr>
        <w:footnoteReference w:id="14"/>
      </w:r>
      <w:r w:rsidR="00121EE7" w:rsidRPr="00D446EA">
        <w:rPr>
          <w:noProof/>
        </w:rPr>
        <w:t>, eksporto;</w:t>
      </w:r>
    </w:p>
    <w:p w:rsidR="00121EE7" w:rsidRPr="00D446EA" w:rsidRDefault="000A0239" w:rsidP="000A0239">
      <w:pPr>
        <w:pStyle w:val="Point0"/>
        <w:rPr>
          <w:noProof/>
        </w:rPr>
      </w:pPr>
      <w:r w:rsidRPr="000A0239">
        <w:rPr>
          <w:noProof/>
        </w:rPr>
        <w:t>(12)</w:t>
      </w:r>
      <w:r w:rsidRPr="000A0239">
        <w:rPr>
          <w:noProof/>
        </w:rPr>
        <w:tab/>
      </w:r>
      <w:r w:rsidR="00121EE7" w:rsidRPr="00D446EA">
        <w:rPr>
          <w:noProof/>
        </w:rPr>
        <w:t xml:space="preserve">dantų amalgamos draudimo, kartu išlaikant išimtį dantų amalgamai, kuri būtina dėl specialių medicininių poreikių, laikantis Reglamento (ES) 2017/852 dėl gyvsidabrio 10 straipsnio 2a dalies; </w:t>
      </w:r>
    </w:p>
    <w:p w:rsidR="00121EE7" w:rsidRPr="00D446EA" w:rsidRDefault="000A0239" w:rsidP="000A0239">
      <w:pPr>
        <w:pStyle w:val="Point0"/>
        <w:rPr>
          <w:noProof/>
        </w:rPr>
      </w:pPr>
      <w:r w:rsidRPr="000A0239">
        <w:rPr>
          <w:noProof/>
        </w:rPr>
        <w:t>(13)</w:t>
      </w:r>
      <w:r w:rsidRPr="000A0239">
        <w:rPr>
          <w:noProof/>
        </w:rPr>
        <w:tab/>
      </w:r>
      <w:r w:rsidR="00121EE7" w:rsidRPr="00D446EA">
        <w:rPr>
          <w:noProof/>
        </w:rPr>
        <w:t>gyvsidabrio procesų, kurie jau uždrausti pagal Reglamentą (ES) 2017/852 dėl gyvsidabrio nuo nurodytų datų arba kuriems taikomi griežtesni gyvsidabrio naudojimą reguliuojantys reikalavimai, draudimo,</w:t>
      </w:r>
    </w:p>
    <w:p w:rsidR="00121EE7" w:rsidRPr="00D446EA" w:rsidRDefault="00121EE7" w:rsidP="00CF5842">
      <w:pPr>
        <w:rPr>
          <w:noProof/>
        </w:rPr>
      </w:pPr>
    </w:p>
    <w:p w:rsidR="00121EE7" w:rsidRPr="00D446EA" w:rsidRDefault="00121EE7" w:rsidP="00121EE7">
      <w:pPr>
        <w:pStyle w:val="Formuledadoption"/>
        <w:rPr>
          <w:noProof/>
        </w:rPr>
      </w:pPr>
      <w:r w:rsidRPr="00D446EA">
        <w:rPr>
          <w:noProof/>
        </w:rPr>
        <w:t>PRIĖMĖ ŠĮ SPRENDIMĄ:</w:t>
      </w:r>
    </w:p>
    <w:p w:rsidR="00121EE7" w:rsidRPr="00D446EA" w:rsidRDefault="00121EE7" w:rsidP="00121EE7">
      <w:pPr>
        <w:pStyle w:val="Titrearticle"/>
        <w:rPr>
          <w:noProof/>
        </w:rPr>
      </w:pPr>
      <w:r w:rsidRPr="00D446EA">
        <w:rPr>
          <w:noProof/>
        </w:rPr>
        <w:t>1 straipsnis</w:t>
      </w:r>
    </w:p>
    <w:p w:rsidR="00121EE7" w:rsidRPr="00D446EA" w:rsidRDefault="00121EE7" w:rsidP="00121EE7">
      <w:pPr>
        <w:rPr>
          <w:noProof/>
        </w:rPr>
      </w:pPr>
      <w:r w:rsidRPr="00D446EA">
        <w:rPr>
          <w:noProof/>
        </w:rPr>
        <w:t xml:space="preserve">Pozicija, kurios Sąjungos vardu turi būti laikomasi šeštajame Susitarimo šalių konferencijos susitikime, yra pritarti tam, kad būtų priimti: </w:t>
      </w:r>
    </w:p>
    <w:p w:rsidR="00121EE7" w:rsidRPr="00D446EA" w:rsidRDefault="00121EE7" w:rsidP="00121EE7">
      <w:pPr>
        <w:rPr>
          <w:noProof/>
        </w:rPr>
      </w:pPr>
      <w:r w:rsidRPr="00D446EA">
        <w:rPr>
          <w:noProof/>
        </w:rPr>
        <w:t>i) sprendimas, kuriuo įtraukiamas naujas Susitarimo priedas, kuriame išvardyti gyvsidabrio junginiai, kuriems taikomi eksporto apribojimai pagal Susitarimo 3 straipsnio 6 ir 8 dalis;</w:t>
      </w:r>
    </w:p>
    <w:p w:rsidR="00121EE7" w:rsidRPr="00D446EA" w:rsidRDefault="00121EE7" w:rsidP="00121EE7">
      <w:pPr>
        <w:rPr>
          <w:noProof/>
        </w:rPr>
      </w:pPr>
      <w:r w:rsidRPr="00D446EA">
        <w:rPr>
          <w:noProof/>
        </w:rPr>
        <w:t xml:space="preserve">ii) sprendimai, kuriais iš dalies keičiamas A priedas ir kurie dera su Sąjungos </w:t>
      </w:r>
      <w:r w:rsidRPr="00D446EA">
        <w:rPr>
          <w:i/>
          <w:iCs/>
          <w:noProof/>
        </w:rPr>
        <w:t>acquis</w:t>
      </w:r>
      <w:r w:rsidRPr="00D446EA">
        <w:rPr>
          <w:noProof/>
        </w:rPr>
        <w:t xml:space="preserve"> dėl dantų amalgamos ir kosmetikos gaminių; </w:t>
      </w:r>
    </w:p>
    <w:p w:rsidR="00121EE7" w:rsidRPr="00D446EA" w:rsidRDefault="00121EE7" w:rsidP="00121EE7">
      <w:pPr>
        <w:rPr>
          <w:strike/>
          <w:noProof/>
          <w:color w:val="000000"/>
        </w:rPr>
      </w:pPr>
      <w:r w:rsidRPr="00D446EA">
        <w:rPr>
          <w:noProof/>
        </w:rPr>
        <w:t>iii) sprendimas, kuriuo iš dalies keičiamas B priedas siekiant užtikrinti, kad pagal Reglamentą (ES) 2017/852 dėl gyvsidabrio jau uždraustų gyvsidabrio procesų būtų palaipsniui atsisakyta iki nurodytų datų arba kad jiems būtų taikomi griežtesni gyvsidabrio naudojimą reguliuojantys reikalavimai.</w:t>
      </w:r>
    </w:p>
    <w:p w:rsidR="00121EE7" w:rsidRPr="00D446EA" w:rsidRDefault="00121EE7" w:rsidP="00121EE7">
      <w:pPr>
        <w:pStyle w:val="Titrearticle"/>
        <w:rPr>
          <w:noProof/>
        </w:rPr>
      </w:pPr>
      <w:r w:rsidRPr="00D446EA">
        <w:rPr>
          <w:noProof/>
        </w:rPr>
        <w:t>2 straipsnis</w:t>
      </w:r>
    </w:p>
    <w:p w:rsidR="00121EE7" w:rsidRPr="00D446EA" w:rsidRDefault="00121EE7" w:rsidP="00121EE7">
      <w:pPr>
        <w:rPr>
          <w:noProof/>
        </w:rPr>
      </w:pPr>
      <w:r w:rsidRPr="00D446EA">
        <w:rPr>
          <w:noProof/>
        </w:rPr>
        <w:t>Dėl nedidelių techninių 1 straipsnyje nurodytos pozicijos pakeitimų galima susitarti be papildomo Tarybos sprendimo.</w:t>
      </w:r>
    </w:p>
    <w:p w:rsidR="00121EE7" w:rsidRPr="00D446EA" w:rsidRDefault="00121EE7" w:rsidP="00121EE7">
      <w:pPr>
        <w:pStyle w:val="Titrearticle"/>
        <w:rPr>
          <w:noProof/>
        </w:rPr>
      </w:pPr>
      <w:r w:rsidRPr="00D446EA">
        <w:rPr>
          <w:noProof/>
        </w:rPr>
        <w:t>3 straipsnis</w:t>
      </w:r>
    </w:p>
    <w:p w:rsidR="00121EE7" w:rsidRPr="00D446EA" w:rsidRDefault="00121EE7" w:rsidP="00121EE7">
      <w:pPr>
        <w:rPr>
          <w:noProof/>
        </w:rPr>
      </w:pPr>
      <w:r w:rsidRPr="00D446EA">
        <w:rPr>
          <w:noProof/>
        </w:rPr>
        <w:t>Šis sprendimas įsigalioja jo priėmimo dieną.</w:t>
      </w:r>
    </w:p>
    <w:p w:rsidR="00121EE7" w:rsidRPr="00D446EA" w:rsidRDefault="00121EE7" w:rsidP="00121EE7">
      <w:pPr>
        <w:rPr>
          <w:noProof/>
        </w:rPr>
      </w:pPr>
    </w:p>
    <w:p w:rsidR="00121EE7" w:rsidRPr="00D446EA" w:rsidRDefault="00D446EA" w:rsidP="00113A0F">
      <w:pPr>
        <w:pStyle w:val="Fait"/>
        <w:rPr>
          <w:noProof/>
        </w:rPr>
      </w:pPr>
      <w:r>
        <w:rPr>
          <w:noProof/>
        </w:rPr>
        <w:t>Priimta Briuselyje</w:t>
      </w:r>
    </w:p>
    <w:p w:rsidR="00121EE7" w:rsidRPr="00D446EA" w:rsidRDefault="00121EE7" w:rsidP="00113A0F">
      <w:pPr>
        <w:pStyle w:val="Institutionquisigne"/>
        <w:rPr>
          <w:noProof/>
        </w:rPr>
      </w:pPr>
      <w:r w:rsidRPr="00D446EA">
        <w:rPr>
          <w:noProof/>
        </w:rPr>
        <w:tab/>
      </w:r>
      <w:r w:rsidRPr="00D446EA">
        <w:rPr>
          <w:noProof/>
        </w:rPr>
        <w:tab/>
        <w:t>Tarybos vardu</w:t>
      </w:r>
    </w:p>
    <w:p w:rsidR="009302F9" w:rsidRPr="00D446EA" w:rsidRDefault="00121EE7" w:rsidP="00121EE7">
      <w:pPr>
        <w:pStyle w:val="Personnequisigne"/>
        <w:keepNext/>
        <w:rPr>
          <w:noProof/>
        </w:rPr>
      </w:pPr>
      <w:r w:rsidRPr="00D446EA">
        <w:rPr>
          <w:noProof/>
        </w:rPr>
        <w:tab/>
        <w:t>Pirmininkas / Pirmininkė</w:t>
      </w:r>
    </w:p>
    <w:sectPr w:rsidR="009302F9" w:rsidRPr="00D446EA" w:rsidSect="00AE139B">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2F9" w:rsidRDefault="009302F9" w:rsidP="009302F9">
      <w:pPr>
        <w:spacing w:before="0" w:after="0"/>
      </w:pPr>
      <w:r>
        <w:separator/>
      </w:r>
    </w:p>
  </w:endnote>
  <w:endnote w:type="continuationSeparator" w:id="0">
    <w:p w:rsidR="009302F9" w:rsidRDefault="009302F9" w:rsidP="009302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Pr="00AE139B" w:rsidRDefault="00AE139B" w:rsidP="00AE139B">
    <w:pPr>
      <w:pStyle w:val="Footer"/>
      <w:rPr>
        <w:rFonts w:ascii="Arial" w:hAnsi="Arial" w:cs="Arial"/>
        <w:b/>
        <w:sz w:val="48"/>
      </w:rPr>
    </w:pPr>
    <w:r w:rsidRPr="00AE139B">
      <w:rPr>
        <w:rFonts w:ascii="Arial" w:hAnsi="Arial" w:cs="Arial"/>
        <w:b/>
        <w:sz w:val="48"/>
      </w:rPr>
      <w:t>LT</w:t>
    </w:r>
    <w:r w:rsidRPr="00AE139B">
      <w:rPr>
        <w:rFonts w:ascii="Arial" w:hAnsi="Arial" w:cs="Arial"/>
        <w:b/>
        <w:sz w:val="48"/>
      </w:rPr>
      <w:tab/>
    </w:r>
    <w:r w:rsidRPr="00AE139B">
      <w:rPr>
        <w:rFonts w:ascii="Arial" w:hAnsi="Arial" w:cs="Arial"/>
        <w:b/>
        <w:sz w:val="48"/>
      </w:rPr>
      <w:tab/>
    </w:r>
    <w:r w:rsidRPr="00AE139B">
      <w:tab/>
    </w:r>
    <w:r w:rsidRPr="00AE139B">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Pr="00AE139B" w:rsidRDefault="00AE139B" w:rsidP="00AE139B">
    <w:pPr>
      <w:pStyle w:val="Footer"/>
      <w:rPr>
        <w:rFonts w:ascii="Arial" w:hAnsi="Arial" w:cs="Arial"/>
        <w:b/>
        <w:sz w:val="48"/>
      </w:rPr>
    </w:pPr>
    <w:r w:rsidRPr="00AE139B">
      <w:rPr>
        <w:rFonts w:ascii="Arial" w:hAnsi="Arial" w:cs="Arial"/>
        <w:b/>
        <w:sz w:val="48"/>
      </w:rPr>
      <w:t>LT</w:t>
    </w:r>
    <w:r w:rsidRPr="00AE139B">
      <w:rPr>
        <w:rFonts w:ascii="Arial" w:hAnsi="Arial" w:cs="Arial"/>
        <w:b/>
        <w:sz w:val="48"/>
      </w:rPr>
      <w:tab/>
    </w:r>
    <w:r w:rsidRPr="00AE139B">
      <w:rPr>
        <w:rFonts w:ascii="Arial" w:hAnsi="Arial" w:cs="Arial"/>
        <w:b/>
        <w:sz w:val="48"/>
      </w:rPr>
      <w:tab/>
    </w:r>
    <w:r w:rsidRPr="00AE139B">
      <w:tab/>
    </w:r>
    <w:r w:rsidRPr="00AE139B">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Default="00AE13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Pr="00AE139B" w:rsidRDefault="00AE139B" w:rsidP="00AE139B">
    <w:pPr>
      <w:pStyle w:val="Footer"/>
      <w:rPr>
        <w:rFonts w:ascii="Arial" w:hAnsi="Arial" w:cs="Arial"/>
        <w:b/>
        <w:sz w:val="48"/>
      </w:rPr>
    </w:pPr>
    <w:r w:rsidRPr="00AE139B">
      <w:rPr>
        <w:rFonts w:ascii="Arial" w:hAnsi="Arial" w:cs="Arial"/>
        <w:b/>
        <w:sz w:val="48"/>
      </w:rPr>
      <w:t>LT</w:t>
    </w:r>
    <w:r w:rsidRPr="00AE139B">
      <w:rPr>
        <w:rFonts w:ascii="Arial" w:hAnsi="Arial" w:cs="Arial"/>
        <w:b/>
        <w:sz w:val="48"/>
      </w:rPr>
      <w:tab/>
    </w:r>
    <w:r>
      <w:fldChar w:fldCharType="begin"/>
    </w:r>
    <w:r>
      <w:instrText xml:space="preserve"> PAGE  \* MERGEFORMAT </w:instrText>
    </w:r>
    <w:r>
      <w:fldChar w:fldCharType="separate"/>
    </w:r>
    <w:r w:rsidR="00113A0F">
      <w:rPr>
        <w:noProof/>
      </w:rPr>
      <w:t>8</w:t>
    </w:r>
    <w:r>
      <w:fldChar w:fldCharType="end"/>
    </w:r>
    <w:r>
      <w:tab/>
    </w:r>
    <w:r w:rsidRPr="00AE139B">
      <w:tab/>
    </w:r>
    <w:r w:rsidRPr="00AE139B">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Default="00AE139B" w:rsidP="00AE1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2F9" w:rsidRDefault="009302F9" w:rsidP="009302F9">
      <w:pPr>
        <w:spacing w:before="0" w:after="0"/>
      </w:pPr>
      <w:r>
        <w:separator/>
      </w:r>
    </w:p>
  </w:footnote>
  <w:footnote w:type="continuationSeparator" w:id="0">
    <w:p w:rsidR="009302F9" w:rsidRDefault="009302F9" w:rsidP="009302F9">
      <w:pPr>
        <w:spacing w:before="0" w:after="0"/>
      </w:pPr>
      <w:r>
        <w:continuationSeparator/>
      </w:r>
    </w:p>
  </w:footnote>
  <w:footnote w:id="1">
    <w:p w:rsidR="00121EE7" w:rsidRPr="004F6654" w:rsidRDefault="00121EE7" w:rsidP="00121EE7">
      <w:pPr>
        <w:pStyle w:val="FootnoteText"/>
        <w:ind w:left="0" w:firstLine="0"/>
      </w:pPr>
      <w:r>
        <w:rPr>
          <w:rStyle w:val="FootnoteReference"/>
        </w:rPr>
        <w:footnoteRef/>
      </w:r>
      <w:r>
        <w:tab/>
        <w:t>Šiame dokumente sąvoka „gyvsidabrio naudojimo reguliavimas“ apima tokius bendruosius reikalavimus, kaip nustatytieji Susitarimo A ir B priedų II dalyse.</w:t>
      </w:r>
    </w:p>
  </w:footnote>
  <w:footnote w:id="2">
    <w:p w:rsidR="00121EE7" w:rsidRPr="00BB0F63" w:rsidRDefault="00121EE7" w:rsidP="00121EE7">
      <w:pPr>
        <w:pStyle w:val="FootnoteText"/>
        <w:ind w:left="0" w:firstLine="0"/>
      </w:pPr>
      <w:r>
        <w:rPr>
          <w:rStyle w:val="FootnoteReference"/>
        </w:rPr>
        <w:footnoteRef/>
      </w:r>
      <w:r>
        <w:tab/>
        <w:t>2017 m. gegužės 11 d. Tarybos sprendimas (ES) 2017/939 dėl Minamatos konvencijos dėl gyvsidabrio sudarymo Europos Sąjungos vardu (OL L 142, 2017 6 2, p. 4).</w:t>
      </w:r>
    </w:p>
  </w:footnote>
  <w:footnote w:id="3">
    <w:p w:rsidR="00121EE7" w:rsidRPr="00E65FB1" w:rsidRDefault="00121EE7" w:rsidP="00121EE7">
      <w:pPr>
        <w:pStyle w:val="FootnoteText"/>
        <w:ind w:left="0" w:firstLine="0"/>
      </w:pPr>
      <w:r>
        <w:rPr>
          <w:rStyle w:val="FootnoteReference"/>
        </w:rPr>
        <w:footnoteRef/>
      </w:r>
      <w:r>
        <w:tab/>
        <w:t xml:space="preserve">Sprendimas MC-1/1 </w:t>
      </w:r>
      <w:r>
        <w:rPr>
          <w:i/>
        </w:rPr>
        <w:t>Rules of procedure</w:t>
      </w:r>
      <w:r>
        <w:t xml:space="preserve">, UNEP/MC/COP1/Dec. 1, pateikiamas adresu </w:t>
      </w:r>
      <w:hyperlink r:id="rId1" w:history="1">
        <w:r>
          <w:rPr>
            <w:rStyle w:val="Hyperlink"/>
          </w:rPr>
          <w:t>http://www.mercuryconvention.org/Meetings/COP1/Decisions/tabid/8648/language/en-US/Default.aspx</w:t>
        </w:r>
      </w:hyperlink>
      <w:r>
        <w:t>).</w:t>
      </w:r>
    </w:p>
  </w:footnote>
  <w:footnote w:id="4">
    <w:p w:rsidR="00121EE7" w:rsidRPr="00126E85" w:rsidRDefault="00121EE7" w:rsidP="00121EE7">
      <w:pPr>
        <w:pStyle w:val="Default"/>
        <w:jc w:val="both"/>
        <w:rPr>
          <w:sz w:val="20"/>
          <w:szCs w:val="20"/>
        </w:rPr>
      </w:pPr>
      <w:r>
        <w:rPr>
          <w:rStyle w:val="FootnoteReference"/>
        </w:rPr>
        <w:footnoteRef/>
      </w:r>
      <w:r>
        <w:tab/>
      </w:r>
      <w:r>
        <w:rPr>
          <w:sz w:val="20"/>
        </w:rPr>
        <w:t>Žr.</w:t>
      </w:r>
      <w:r>
        <w:t xml:space="preserve"> </w:t>
      </w:r>
      <w:hyperlink r:id="rId2" w:history="1">
        <w:r>
          <w:rPr>
            <w:rStyle w:val="Hyperlink"/>
            <w:sz w:val="20"/>
          </w:rPr>
          <w:t>2011 m. kovo 14 d. Tarybos išvadas „Bendrijos strategijos dėl gyvsidabrio peržiūra“</w:t>
        </w:r>
      </w:hyperlink>
      <w:r>
        <w:t>.</w:t>
      </w:r>
    </w:p>
  </w:footnote>
  <w:footnote w:id="5">
    <w:p w:rsidR="00121EE7" w:rsidRPr="00126E85" w:rsidRDefault="00121EE7" w:rsidP="00121EE7">
      <w:pPr>
        <w:pStyle w:val="Default"/>
        <w:jc w:val="both"/>
        <w:rPr>
          <w:sz w:val="20"/>
          <w:szCs w:val="20"/>
        </w:rPr>
      </w:pPr>
      <w:r>
        <w:rPr>
          <w:rStyle w:val="FootnoteReference"/>
        </w:rPr>
        <w:footnoteRef/>
      </w:r>
      <w:r>
        <w:tab/>
      </w:r>
      <w:r>
        <w:rPr>
          <w:sz w:val="20"/>
        </w:rPr>
        <w:t>2019 m. gruodžio 11 d. Komisijos komunikatas Europos Parlamentui, Europos Vadovų Tarybai, Tarybai, Europos ekonomikos ir socialinių reikalų komitetui ir Regionų komitetui „Europos žaliasis kursas“, COM(2019) 640 </w:t>
      </w:r>
      <w:r>
        <w:rPr>
          <w:i/>
          <w:iCs/>
          <w:sz w:val="20"/>
        </w:rPr>
        <w:t>final</w:t>
      </w:r>
      <w:r>
        <w:rPr>
          <w:sz w:val="20"/>
        </w:rPr>
        <w:t>.</w:t>
      </w:r>
    </w:p>
  </w:footnote>
  <w:footnote w:id="6">
    <w:p w:rsidR="00121EE7" w:rsidRPr="00126E85" w:rsidRDefault="00121EE7" w:rsidP="00121EE7">
      <w:pPr>
        <w:pStyle w:val="Default"/>
        <w:jc w:val="both"/>
        <w:rPr>
          <w:sz w:val="20"/>
          <w:szCs w:val="20"/>
        </w:rPr>
      </w:pPr>
      <w:r>
        <w:rPr>
          <w:rStyle w:val="FootnoteReference"/>
        </w:rPr>
        <w:footnoteRef/>
      </w:r>
      <w:r>
        <w:tab/>
      </w:r>
      <w:r>
        <w:rPr>
          <w:sz w:val="20"/>
        </w:rPr>
        <w:t>2020 m. spalio 14 d. Komisijos komunikatas Europos Parlamentui, Tarybai, Europos ekonomikos ir socialinių reikalų komitetui ir Regionų komitetui „Cheminių medžiagų strategija tvarumui užtikrinti. Aplinkos be toksinių medžiagų kūrimas“, COM(2020) 667 </w:t>
      </w:r>
      <w:r>
        <w:rPr>
          <w:i/>
          <w:iCs/>
          <w:sz w:val="20"/>
        </w:rPr>
        <w:t>final</w:t>
      </w:r>
      <w:r>
        <w:rPr>
          <w:sz w:val="20"/>
        </w:rPr>
        <w:t>.</w:t>
      </w:r>
    </w:p>
  </w:footnote>
  <w:footnote w:id="7">
    <w:p w:rsidR="00121EE7" w:rsidRPr="00D446EA" w:rsidRDefault="00121EE7" w:rsidP="00121EE7">
      <w:pPr>
        <w:pStyle w:val="FootnoteText"/>
        <w:ind w:left="0" w:firstLine="0"/>
      </w:pPr>
      <w:r>
        <w:rPr>
          <w:rStyle w:val="FootnoteReference"/>
        </w:rPr>
        <w:footnoteRef/>
      </w:r>
      <w:r w:rsidRPr="00D446EA">
        <w:tab/>
        <w:t>2025 m. vasario 26 d. Komisijos komunikatas Europos Parlamentui, Tarybai, Europos ekonomikos ir socialinių reikalų komitetui ir Regionų komitetui „Švarios pramonės kursas.</w:t>
      </w:r>
      <w:r w:rsidRPr="00D446EA">
        <w:rPr>
          <w:i/>
        </w:rPr>
        <w:t xml:space="preserve"> </w:t>
      </w:r>
      <w:r w:rsidRPr="00D446EA">
        <w:t>Bendros konkurencingumo ir priklausomybės nuo iškastinio kuro mažinimo veiksmų gairės“, COM(2025) 85 </w:t>
      </w:r>
      <w:r w:rsidRPr="00D446EA">
        <w:rPr>
          <w:i/>
          <w:iCs/>
        </w:rPr>
        <w:t>final</w:t>
      </w:r>
      <w:r w:rsidRPr="00D446EA">
        <w:t>.</w:t>
      </w:r>
    </w:p>
  </w:footnote>
  <w:footnote w:id="8">
    <w:p w:rsidR="00121EE7" w:rsidRPr="00D446EA" w:rsidRDefault="00121EE7" w:rsidP="00121EE7">
      <w:pPr>
        <w:pStyle w:val="FootnoteText"/>
        <w:ind w:left="0" w:firstLine="0"/>
      </w:pPr>
      <w:r>
        <w:rPr>
          <w:rStyle w:val="FootnoteReference"/>
        </w:rPr>
        <w:footnoteRef/>
      </w:r>
      <w:r w:rsidRPr="00D446EA">
        <w:tab/>
        <w:t xml:space="preserve">2025 m. birželio 4 d. Komisijos komunikatas Europos Parlamentui ir Tarybai, Europos ekonomikos ir socialinių reikalų komitetui ir Regionų komitetui „Europos hidrologinio atsparumo strategija“ (COM(2025) 280 </w:t>
      </w:r>
      <w:r w:rsidRPr="00D446EA">
        <w:rPr>
          <w:i/>
          <w:iCs/>
        </w:rPr>
        <w:t>final</w:t>
      </w:r>
      <w:r w:rsidRPr="00D446EA">
        <w:t>).</w:t>
      </w:r>
    </w:p>
  </w:footnote>
  <w:footnote w:id="9">
    <w:p w:rsidR="00121EE7" w:rsidRPr="00D446EA" w:rsidRDefault="00121EE7" w:rsidP="00121EE7">
      <w:pPr>
        <w:pStyle w:val="FootnoteText"/>
        <w:ind w:left="0" w:firstLine="0"/>
      </w:pPr>
      <w:r>
        <w:rPr>
          <w:rStyle w:val="FootnoteReference"/>
        </w:rPr>
        <w:footnoteRef/>
      </w:r>
      <w:r w:rsidRPr="00D446EA">
        <w:tab/>
        <w:t>2017 m. gegužės 17 d. Europos Parlamento ir Tarybos reglamentas (ES) 2017/852 dėl gyvsidabrio, kuriuo panaikinamas Reglamentas (EB) Nr. 1102/2008, (OL L 137, 2017 5 24, p. 1).</w:t>
      </w:r>
    </w:p>
  </w:footnote>
  <w:footnote w:id="10">
    <w:p w:rsidR="00121EE7" w:rsidRPr="00D446EA" w:rsidRDefault="00121EE7" w:rsidP="00121EE7">
      <w:pPr>
        <w:pStyle w:val="FootnoteText"/>
        <w:ind w:left="0" w:firstLine="0"/>
      </w:pPr>
      <w:r>
        <w:rPr>
          <w:rStyle w:val="FootnoteReference"/>
        </w:rPr>
        <w:footnoteRef/>
      </w:r>
      <w:r w:rsidRPr="00D446EA">
        <w:tab/>
        <w:t>2009 m. lapkričio 30 d. Europos Parlamento ir Tarybos reglamentas (EB) Nr. 1223/2009 dėl kosmetikos gaminių (OL L 342, 2009 12 22, p. 59).</w:t>
      </w:r>
    </w:p>
  </w:footnote>
  <w:footnote w:id="11">
    <w:p w:rsidR="00121EE7" w:rsidRPr="00D446EA" w:rsidRDefault="00121EE7" w:rsidP="00121EE7">
      <w:pPr>
        <w:pStyle w:val="FootnoteText"/>
        <w:ind w:left="0" w:firstLine="0"/>
      </w:pPr>
      <w:r>
        <w:rPr>
          <w:rStyle w:val="FootnoteReference"/>
        </w:rPr>
        <w:footnoteRef/>
      </w:r>
      <w:r w:rsidRPr="00D446EA">
        <w:tab/>
        <w:t xml:space="preserve">2014 m. spalio 7 d. Teisingumo Teismo sprendimas </w:t>
      </w:r>
      <w:r w:rsidRPr="00D446EA">
        <w:rPr>
          <w:i/>
        </w:rPr>
        <w:t>Vokietija / Taryba</w:t>
      </w:r>
      <w:r w:rsidRPr="00D446EA">
        <w:t>, C-399/12, ECLI:EU:C:2014:2258, 61–64 punktai.</w:t>
      </w:r>
    </w:p>
  </w:footnote>
  <w:footnote w:id="12">
    <w:p w:rsidR="00121EE7" w:rsidRPr="00D446EA" w:rsidRDefault="00121EE7" w:rsidP="00121EE7">
      <w:pPr>
        <w:pStyle w:val="FootnoteText"/>
        <w:ind w:left="0" w:firstLine="0"/>
      </w:pPr>
      <w:r>
        <w:rPr>
          <w:rStyle w:val="FootnoteReference"/>
        </w:rPr>
        <w:footnoteRef/>
      </w:r>
      <w:r w:rsidRPr="00D446EA">
        <w:tab/>
        <w:t xml:space="preserve">Minamatos konvencijos dėl gyvsidabrio patvirtinta kopija pateikiama adresu </w:t>
      </w:r>
      <w:hyperlink r:id="rId3" w:history="1">
        <w:r w:rsidRPr="00D446EA">
          <w:rPr>
            <w:rStyle w:val="Hyperlink"/>
          </w:rPr>
          <w:t>https://treaties.un.org/doc/Treaties/2013/10/20131010%2011-16%20AM/CTC-XXVII-17.pdf</w:t>
        </w:r>
      </w:hyperlink>
      <w:r w:rsidRPr="00D446EA">
        <w:t>.</w:t>
      </w:r>
    </w:p>
  </w:footnote>
  <w:footnote w:id="13">
    <w:p w:rsidR="00121EE7" w:rsidRDefault="00121EE7" w:rsidP="00121EE7">
      <w:pPr>
        <w:pStyle w:val="Default"/>
        <w:jc w:val="both"/>
        <w:rPr>
          <w:sz w:val="20"/>
          <w:szCs w:val="20"/>
        </w:rPr>
      </w:pPr>
      <w:r>
        <w:rPr>
          <w:rStyle w:val="FootnoteReference"/>
        </w:rPr>
        <w:footnoteRef/>
      </w:r>
      <w:r>
        <w:tab/>
      </w:r>
      <w:r>
        <w:rPr>
          <w:sz w:val="20"/>
        </w:rPr>
        <w:t xml:space="preserve">2017 m. gegužės 11 d. Tarybos sprendimas (ES) 2017/939 dėl Minamatos konvencijos dėl gyvsidabrio sudarymo Europos Sąjungos vardu (OL L 142, 2017 6 2, p. 4). </w:t>
      </w:r>
    </w:p>
  </w:footnote>
  <w:footnote w:id="14">
    <w:p w:rsidR="00121EE7" w:rsidRPr="00D446EA" w:rsidRDefault="00121EE7" w:rsidP="00121EE7">
      <w:pPr>
        <w:pStyle w:val="FootnoteText"/>
      </w:pPr>
      <w:r>
        <w:rPr>
          <w:rStyle w:val="FootnoteReference"/>
        </w:rPr>
        <w:footnoteRef/>
      </w:r>
      <w:r w:rsidRPr="00D446EA">
        <w:tab/>
        <w:t>2017 m. gegužės 17 d. Europos Parlamento ir Tarybos reglamentas (ES) 2017/852 dėl gyvsidabrio, kuriuo panaikinamas Reglamentas (EB) Nr. 1102/2008, (OL L 137, 2017 5 24,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Default="00AE1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39B" w:rsidRDefault="00AE1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8BA0F4C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A6675D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84276D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CFED77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DD062CC"/>
    <w:multiLevelType w:val="hybridMultilevel"/>
    <w:tmpl w:val="06F0A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1"/>
  </w:num>
  <w:num w:numId="9">
    <w:abstractNumId w:val="17"/>
  </w:num>
  <w:num w:numId="10">
    <w:abstractNumId w:val="10"/>
  </w:num>
  <w:num w:numId="11">
    <w:abstractNumId w:val="19"/>
  </w:num>
  <w:num w:numId="12">
    <w:abstractNumId w:val="9"/>
  </w:num>
  <w:num w:numId="13">
    <w:abstractNumId w:val="11"/>
  </w:num>
  <w:num w:numId="14">
    <w:abstractNumId w:val="12"/>
  </w:num>
  <w:num w:numId="15">
    <w:abstractNumId w:val="7"/>
  </w:num>
  <w:num w:numId="16">
    <w:abstractNumId w:val="18"/>
  </w:num>
  <w:num w:numId="17">
    <w:abstractNumId w:val="5"/>
  </w:num>
  <w:num w:numId="18">
    <w:abstractNumId w:val="13"/>
  </w:num>
  <w:num w:numId="19">
    <w:abstractNumId w:val="15"/>
  </w:num>
  <w:num w:numId="20">
    <w:abstractNumId w:val="16"/>
  </w:num>
  <w:num w:numId="21">
    <w:abstractNumId w:val="8"/>
  </w:num>
  <w:num w:numId="22">
    <w:abstractNumId w:val="14"/>
  </w:num>
  <w:num w:numId="23">
    <w:abstractNumId w:val="20"/>
  </w:num>
  <w:num w:numId="24">
    <w:abstractNumId w:val="17"/>
  </w:num>
  <w:num w:numId="25">
    <w:abstractNumId w:val="10"/>
  </w:num>
  <w:num w:numId="26">
    <w:abstractNumId w:val="19"/>
  </w:num>
  <w:num w:numId="27">
    <w:abstractNumId w:val="9"/>
  </w:num>
  <w:num w:numId="28">
    <w:abstractNumId w:val="11"/>
  </w:num>
  <w:num w:numId="29">
    <w:abstractNumId w:val="12"/>
  </w:num>
  <w:num w:numId="30">
    <w:abstractNumId w:val="7"/>
  </w:num>
  <w:num w:numId="31">
    <w:abstractNumId w:val="18"/>
  </w:num>
  <w:num w:numId="32">
    <w:abstractNumId w:val="5"/>
  </w:num>
  <w:num w:numId="33">
    <w:abstractNumId w:val="13"/>
  </w:num>
  <w:num w:numId="34">
    <w:abstractNumId w:val="15"/>
  </w:num>
  <w:num w:numId="35">
    <w:abstractNumId w:val="16"/>
  </w:num>
  <w:num w:numId="36">
    <w:abstractNumId w:val="8"/>
  </w:num>
  <w:num w:numId="37">
    <w:abstractNumId w:val="14"/>
  </w:num>
  <w:num w:numId="3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0-16 07:53:2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A0918B7-8F88-47B6-92C3-34EBBB19931A"/>
    <w:docVar w:name="LW_COVERPAGE_TYPE" w:val="1"/>
    <w:docVar w:name="LW_CreatedUtc" w:val="2025-09-30T08:54:08.1440414Z"/>
    <w:docVar w:name="LW_CROSSREFERENCE" w:val="&lt;UNUSED&gt;"/>
    <w:docVar w:name="LW_DocType" w:val="COM"/>
    <w:docVar w:name="LW_EMISSION" w:val="2025 10 03"/>
    <w:docVar w:name="LW_EMISSION_ISODATE" w:val="2025-10-03"/>
    <w:docVar w:name="LW_EMISSION_LOCATION" w:val="BRX"/>
    <w:docVar w:name="LW_EMISSION_PREFIX" w:val="Briuselis,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NLE"/>
    <w:docVar w:name="LW_REF.II.NEW.CP_NUMBER" w:val="0320"/>
    <w:docVar w:name="LW_REF.II.NEW.CP_YEAR" w:val="2025"/>
    <w:docVar w:name="LW_REF.INST.NEW" w:val="COM"/>
    <w:docVar w:name="LW_REF.INST.NEW_ADOPTED" w:val="final"/>
    <w:docVar w:name="LW_REF.INST.NEW_TEXT" w:val="(2025) 6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d\u279?l pozicijos, kurios Europos S\u261?jungos vardu turi b\u363?ti laikomasi \u353?e\u353?tajame Minamatos konvencijos d\u279?l gyvsidabrio \u353?ali\u371? konferencijos susitikime, d\u279?l sprendim\u371?, kuriais ta konvencija i\u353? dalies kei\u269?iama d\u279?l produkt\u371?, kuri\u371? sud\u279?tyje yra gyvsidabrio, ir gamybos proces\u371?, kuriuose naudojamas gyvsidabris arba gyvsidabrio junginiai, pri\u279?mimo"/>
    <w:docVar w:name="LW_TYPE.DOC.CP" w:val="TARYBOS SPRENDIMAS"/>
    <w:docVar w:name="LwApiVersions" w:val="LW4CoDe 1.24.5.0; LW 9.0, Build 20240221"/>
  </w:docVars>
  <w:rsids>
    <w:rsidRoot w:val="009302F9"/>
    <w:rsid w:val="00030E94"/>
    <w:rsid w:val="0004658D"/>
    <w:rsid w:val="000A0239"/>
    <w:rsid w:val="000F555E"/>
    <w:rsid w:val="001065F5"/>
    <w:rsid w:val="00113A0F"/>
    <w:rsid w:val="00121EE7"/>
    <w:rsid w:val="001238EF"/>
    <w:rsid w:val="00194C33"/>
    <w:rsid w:val="00197613"/>
    <w:rsid w:val="00233DC7"/>
    <w:rsid w:val="00247779"/>
    <w:rsid w:val="00285BEE"/>
    <w:rsid w:val="0029533F"/>
    <w:rsid w:val="002B1155"/>
    <w:rsid w:val="002B30AF"/>
    <w:rsid w:val="0032668F"/>
    <w:rsid w:val="0033344A"/>
    <w:rsid w:val="003438A0"/>
    <w:rsid w:val="003626B5"/>
    <w:rsid w:val="003645ED"/>
    <w:rsid w:val="00415502"/>
    <w:rsid w:val="0042648E"/>
    <w:rsid w:val="004641D1"/>
    <w:rsid w:val="004936D2"/>
    <w:rsid w:val="004A7435"/>
    <w:rsid w:val="00530D28"/>
    <w:rsid w:val="005633C4"/>
    <w:rsid w:val="005B1EB6"/>
    <w:rsid w:val="006448C2"/>
    <w:rsid w:val="00727A6D"/>
    <w:rsid w:val="00740C5F"/>
    <w:rsid w:val="007509B6"/>
    <w:rsid w:val="00753DB0"/>
    <w:rsid w:val="00773331"/>
    <w:rsid w:val="007932EF"/>
    <w:rsid w:val="007B63F9"/>
    <w:rsid w:val="007E05B0"/>
    <w:rsid w:val="0087025D"/>
    <w:rsid w:val="00874D22"/>
    <w:rsid w:val="008A2914"/>
    <w:rsid w:val="008E4D8E"/>
    <w:rsid w:val="00911DE6"/>
    <w:rsid w:val="009302F9"/>
    <w:rsid w:val="009E747A"/>
    <w:rsid w:val="00AB1DB8"/>
    <w:rsid w:val="00AE139B"/>
    <w:rsid w:val="00B30801"/>
    <w:rsid w:val="00B63DDA"/>
    <w:rsid w:val="00B71074"/>
    <w:rsid w:val="00BA5C3E"/>
    <w:rsid w:val="00BB2F27"/>
    <w:rsid w:val="00BE1330"/>
    <w:rsid w:val="00C12301"/>
    <w:rsid w:val="00C14009"/>
    <w:rsid w:val="00CA5CA8"/>
    <w:rsid w:val="00CB6D15"/>
    <w:rsid w:val="00CE7EE4"/>
    <w:rsid w:val="00CF041A"/>
    <w:rsid w:val="00CF5842"/>
    <w:rsid w:val="00D20381"/>
    <w:rsid w:val="00D446EA"/>
    <w:rsid w:val="00D855A9"/>
    <w:rsid w:val="00D922DA"/>
    <w:rsid w:val="00E06375"/>
    <w:rsid w:val="00E86BD0"/>
    <w:rsid w:val="00F267E0"/>
    <w:rsid w:val="00F37082"/>
    <w:rsid w:val="00F666FB"/>
    <w:rsid w:val="00FC0A1D"/>
    <w:rsid w:val="00FC38F8"/>
    <w:rsid w:val="00FE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64B1B89-0257-422A-AAC5-57863FC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1EE7"/>
    <w:rPr>
      <w:color w:val="0000FF"/>
      <w:u w:val="single"/>
      <w:shd w:val="clear" w:color="auto" w:fill="auto"/>
    </w:rPr>
  </w:style>
  <w:style w:type="paragraph" w:styleId="ListNumber4">
    <w:name w:val="List Number 4"/>
    <w:basedOn w:val="Normal"/>
    <w:rsid w:val="00121EE7"/>
    <w:pPr>
      <w:numPr>
        <w:numId w:val="1"/>
      </w:numPr>
    </w:pPr>
  </w:style>
  <w:style w:type="paragraph" w:styleId="ListParagraph">
    <w:name w:val="List Paragraph"/>
    <w:aliases w:val="Numbered Para 1,Dot pt,No Spacing1,List Paragraph Char Char Char,Indicator Text,List Paragraph1,Bullet Points,MAIN CONTENT,List Paragraph12,F5 List Paragraph,Heading 2_sj,1st level - Bullet List Paragraph,Lettre d'introduction,L"/>
    <w:basedOn w:val="Normal"/>
    <w:link w:val="ListParagraphChar"/>
    <w:uiPriority w:val="34"/>
    <w:qFormat/>
    <w:rsid w:val="00121EE7"/>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Heading 2_sj Char,L Char"/>
    <w:basedOn w:val="DefaultParagraphFont"/>
    <w:link w:val="ListParagraph"/>
    <w:uiPriority w:val="34"/>
    <w:qFormat/>
    <w:rsid w:val="00121EE7"/>
    <w:rPr>
      <w:rFonts w:ascii="Times New Roman" w:hAnsi="Times New Roman" w:cs="Times New Roman"/>
      <w:sz w:val="24"/>
      <w:lang w:val="lt-LT"/>
    </w:rPr>
  </w:style>
  <w:style w:type="paragraph" w:customStyle="1" w:styleId="Default">
    <w:name w:val="Default"/>
    <w:rsid w:val="00121E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B1155"/>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F5842"/>
    <w:rPr>
      <w:b/>
      <w:bCs/>
    </w:rPr>
  </w:style>
  <w:style w:type="character" w:customStyle="1" w:styleId="CommentSubjectChar">
    <w:name w:val="Comment Subject Char"/>
    <w:basedOn w:val="CommentTextChar"/>
    <w:link w:val="CommentSubject"/>
    <w:uiPriority w:val="99"/>
    <w:semiHidden/>
    <w:rsid w:val="00CF5842"/>
    <w:rPr>
      <w:rFonts w:ascii="Times New Roman" w:hAnsi="Times New Roman" w:cs="Times New Roman"/>
      <w:b/>
      <w:bCs/>
      <w:sz w:val="20"/>
      <w:szCs w:val="20"/>
      <w:lang w:val="lt-LT"/>
    </w:rPr>
  </w:style>
  <w:style w:type="character" w:customStyle="1" w:styleId="UnresolvedMention">
    <w:name w:val="Unresolved Mention"/>
    <w:basedOn w:val="DefaultParagraphFont"/>
    <w:uiPriority w:val="99"/>
    <w:semiHidden/>
    <w:unhideWhenUsed/>
    <w:rsid w:val="00CF5842"/>
    <w:rPr>
      <w:color w:val="605E5C"/>
      <w:shd w:val="clear" w:color="auto" w:fill="E1DFDD"/>
    </w:rPr>
  </w:style>
  <w:style w:type="paragraph" w:styleId="ListBullet">
    <w:name w:val="List Bullet"/>
    <w:basedOn w:val="Normal"/>
    <w:uiPriority w:val="99"/>
    <w:semiHidden/>
    <w:unhideWhenUsed/>
    <w:rsid w:val="00E86BD0"/>
    <w:pPr>
      <w:numPr>
        <w:numId w:val="5"/>
      </w:numPr>
      <w:contextualSpacing/>
    </w:pPr>
  </w:style>
  <w:style w:type="paragraph" w:styleId="ListBullet2">
    <w:name w:val="List Bullet 2"/>
    <w:basedOn w:val="Normal"/>
    <w:uiPriority w:val="99"/>
    <w:semiHidden/>
    <w:unhideWhenUsed/>
    <w:rsid w:val="00E86BD0"/>
    <w:pPr>
      <w:numPr>
        <w:numId w:val="6"/>
      </w:numPr>
      <w:contextualSpacing/>
    </w:pPr>
  </w:style>
  <w:style w:type="paragraph" w:styleId="ListBullet3">
    <w:name w:val="List Bullet 3"/>
    <w:basedOn w:val="Normal"/>
    <w:uiPriority w:val="99"/>
    <w:semiHidden/>
    <w:unhideWhenUsed/>
    <w:rsid w:val="00E86BD0"/>
    <w:pPr>
      <w:numPr>
        <w:numId w:val="7"/>
      </w:numPr>
      <w:contextualSpacing/>
    </w:pPr>
  </w:style>
  <w:style w:type="paragraph" w:styleId="ListBullet4">
    <w:name w:val="List Bullet 4"/>
    <w:basedOn w:val="Normal"/>
    <w:uiPriority w:val="99"/>
    <w:semiHidden/>
    <w:unhideWhenUsed/>
    <w:rsid w:val="00E86BD0"/>
    <w:pPr>
      <w:numPr>
        <w:numId w:val="8"/>
      </w:numPr>
      <w:contextualSpacing/>
    </w:pPr>
  </w:style>
  <w:style w:type="character" w:customStyle="1" w:styleId="HeaderChar">
    <w:name w:val="Header Char"/>
    <w:basedOn w:val="DefaultParagraphFont"/>
    <w:link w:val="Header"/>
    <w:uiPriority w:val="99"/>
    <w:rsid w:val="00AE139B"/>
    <w:rPr>
      <w:rFonts w:ascii="Times New Roman" w:hAnsi="Times New Roman" w:cs="Times New Roman"/>
      <w:sz w:val="24"/>
      <w:lang w:val="lt-LT"/>
    </w:rPr>
  </w:style>
  <w:style w:type="character" w:customStyle="1" w:styleId="FooterChar">
    <w:name w:val="Footer Char"/>
    <w:basedOn w:val="DefaultParagraphFont"/>
    <w:link w:val="Footer"/>
    <w:uiPriority w:val="99"/>
    <w:rsid w:val="00AE139B"/>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E139B"/>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E139B"/>
    <w:pPr>
      <w:spacing w:before="0"/>
      <w:jc w:val="right"/>
    </w:pPr>
    <w:rPr>
      <w:sz w:val="28"/>
    </w:rPr>
  </w:style>
  <w:style w:type="paragraph" w:customStyle="1" w:styleId="FooterSensitivity">
    <w:name w:val="Footer Sensitivity"/>
    <w:basedOn w:val="Normal"/>
    <w:rsid w:val="00AE139B"/>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Tiret5">
    <w:name w:val="Tiret 5"/>
    <w:basedOn w:val="Point5"/>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NumPar5">
    <w:name w:val="NumPar 5"/>
    <w:basedOn w:val="Normal"/>
    <w:next w:val="Text2"/>
    <w:pPr>
      <w:numPr>
        <w:ilvl w:val="4"/>
        <w:numId w:val="30"/>
      </w:numPr>
    </w:pPr>
  </w:style>
  <w:style w:type="paragraph" w:customStyle="1" w:styleId="NumPar6">
    <w:name w:val="NumPar 6"/>
    <w:basedOn w:val="Normal"/>
    <w:next w:val="Text2"/>
    <w:pPr>
      <w:numPr>
        <w:ilvl w:val="5"/>
        <w:numId w:val="30"/>
      </w:numPr>
    </w:pPr>
  </w:style>
  <w:style w:type="paragraph" w:customStyle="1" w:styleId="NumPar7">
    <w:name w:val="NumPar 7"/>
    <w:basedOn w:val="Normal"/>
    <w:next w:val="Text2"/>
    <w:pPr>
      <w:numPr>
        <w:ilvl w:val="6"/>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E139B"/>
    <w:pPr>
      <w:tabs>
        <w:tab w:val="center" w:pos="4535"/>
        <w:tab w:val="right" w:pos="9071"/>
      </w:tabs>
      <w:spacing w:before="0"/>
    </w:pPr>
  </w:style>
  <w:style w:type="paragraph" w:customStyle="1" w:styleId="HeaderLandscape">
    <w:name w:val="HeaderLandscape"/>
    <w:basedOn w:val="Normal"/>
    <w:rsid w:val="00AE139B"/>
    <w:pPr>
      <w:tabs>
        <w:tab w:val="center" w:pos="7285"/>
        <w:tab w:val="right" w:pos="14003"/>
      </w:tabs>
      <w:spacing w:before="0"/>
    </w:pPr>
  </w:style>
  <w:style w:type="paragraph" w:styleId="Footer">
    <w:name w:val="footer"/>
    <w:basedOn w:val="Normal"/>
    <w:link w:val="FooterChar"/>
    <w:uiPriority w:val="99"/>
    <w:unhideWhenUsed/>
    <w:rsid w:val="00AE139B"/>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E139B"/>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treaties.un.org/doc/Treaties/2013/10/20131010%2011-16%20AM/CTC-XXVII-17.pdf" TargetMode="External"/><Relationship Id="rId2" Type="http://schemas.openxmlformats.org/officeDocument/2006/relationships/hyperlink" Target="https://www.consilium.europa.eu/uedocs/cms_data/docs/pressdata/en/envir/119867.pdf" TargetMode="External"/><Relationship Id="rId1" Type="http://schemas.openxmlformats.org/officeDocument/2006/relationships/hyperlink" Target="http://www.mercuryconvention.org/Meetings/COP1/Decisions/tabid/8648/language/en-U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101</TotalTime>
  <Pages>9</Pages>
  <Words>2963</Words>
  <Characters>16895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38</cp:revision>
  <dcterms:created xsi:type="dcterms:W3CDTF">2025-09-30T08:54:00Z</dcterms:created>
  <dcterms:modified xsi:type="dcterms:W3CDTF">2025-10-16T05:53:00Z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2025-09-30T08:55:36Z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39d35414-a5bb-4569-bba8-ac5a1f38b85d</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ies>
</file>