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326" w:rsidRPr="0011641B" w:rsidRDefault="00657AAB" w:rsidP="00657AA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84EB25C-7BD8-42DA-9DEF-6895A34C1731" style="width:455.25pt;height:383.25pt">
            <v:imagedata r:id="rId11" o:title=""/>
          </v:shape>
        </w:pict>
      </w:r>
    </w:p>
    <w:p w:rsidR="00427F25" w:rsidRPr="0011641B" w:rsidRDefault="00427F25" w:rsidP="00427F25">
      <w:pPr>
        <w:rPr>
          <w:noProof/>
        </w:rPr>
        <w:sectPr w:rsidR="00427F25" w:rsidRPr="0011641B" w:rsidSect="00657AAB">
          <w:footerReference w:type="even" r:id="rId12"/>
          <w:footerReference w:type="default" r:id="rId13"/>
          <w:footnotePr>
            <w:numRestart w:val="eachSect"/>
          </w:footnotePr>
          <w:pgSz w:w="11907" w:h="16839"/>
          <w:pgMar w:top="1134" w:right="1417" w:bottom="1134" w:left="1417" w:header="709" w:footer="709" w:gutter="0"/>
          <w:pgNumType w:start="1"/>
          <w:cols w:space="720"/>
          <w:docGrid w:linePitch="360"/>
        </w:sectPr>
      </w:pPr>
    </w:p>
    <w:p w:rsidR="004A5E08" w:rsidRPr="0011641B" w:rsidRDefault="004A5E08" w:rsidP="00B85326">
      <w:pPr>
        <w:pStyle w:val="Exposdesmotifstitre"/>
        <w:rPr>
          <w:noProof/>
        </w:rPr>
      </w:pPr>
      <w:bookmarkStart w:id="0" w:name="_GoBack"/>
      <w:bookmarkEnd w:id="0"/>
      <w:r w:rsidRPr="0011641B">
        <w:rPr>
          <w:noProof/>
        </w:rPr>
        <w:lastRenderedPageBreak/>
        <w:t>ОБЯСНИТЕЛЕН МЕМОРАНДУМ</w:t>
      </w:r>
    </w:p>
    <w:p w:rsidR="004A5E08" w:rsidRPr="0011641B" w:rsidRDefault="004A5E08" w:rsidP="004A5E08">
      <w:pPr>
        <w:pStyle w:val="ManualHeading1"/>
        <w:rPr>
          <w:noProof/>
        </w:rPr>
      </w:pPr>
      <w:r w:rsidRPr="0011641B">
        <w:rPr>
          <w:noProof/>
        </w:rPr>
        <w:t>1.</w:t>
      </w:r>
      <w:r w:rsidRPr="0011641B">
        <w:rPr>
          <w:noProof/>
        </w:rPr>
        <w:tab/>
        <w:t>КОНТЕКСТ НА ПРЕДЛОЖЕНИЕТО</w:t>
      </w:r>
    </w:p>
    <w:p w:rsidR="004A5E08" w:rsidRPr="0011641B" w:rsidRDefault="004A5E08" w:rsidP="004A5E08">
      <w:pPr>
        <w:pStyle w:val="ManualHeading2"/>
        <w:rPr>
          <w:rFonts w:eastAsia="Arial Unicode MS"/>
          <w:noProof/>
        </w:rPr>
      </w:pPr>
      <w:r w:rsidRPr="0011641B">
        <w:rPr>
          <w:noProof/>
          <w:color w:val="000000"/>
          <w:u w:color="000000"/>
          <w:bdr w:val="nil"/>
        </w:rPr>
        <w:t>•</w:t>
      </w:r>
      <w:r w:rsidRPr="0011641B">
        <w:rPr>
          <w:noProof/>
        </w:rPr>
        <w:tab/>
        <w:t>Основания и цели на предложението</w:t>
      </w:r>
    </w:p>
    <w:p w:rsidR="004A5E08" w:rsidRPr="0011641B" w:rsidRDefault="004A5E08" w:rsidP="004A5E08">
      <w:pPr>
        <w:rPr>
          <w:noProof/>
        </w:rPr>
      </w:pPr>
      <w:r w:rsidRPr="0011641B">
        <w:rPr>
          <w:noProof/>
        </w:rPr>
        <w:t>С цел да се осигури достатъчно и непрекъснато снабдяване с определени селскостопански и промишлени продукти, които в Съюза се произвеждат в недостатъчни количества или не се произвеждат изобщо, и за да се избегнат евентуални смущения на пазара на тези продукти, с Регламент (ЕС) 2021/2278 на Съвета (наричан по-нататък „регламентът“)</w:t>
      </w:r>
      <w:r w:rsidRPr="0011641B">
        <w:rPr>
          <w:rStyle w:val="FootnoteReference"/>
          <w:noProof/>
        </w:rPr>
        <w:footnoteReference w:id="2"/>
      </w:r>
      <w:r w:rsidRPr="0011641B">
        <w:rPr>
          <w:noProof/>
        </w:rPr>
        <w:t xml:space="preserve"> бяха частично или изцяло суспендирани някои мита по Общата митническа тарифа, без ограничения по отношение на тяхното количество.</w:t>
      </w:r>
    </w:p>
    <w:p w:rsidR="00DF2C0E" w:rsidRPr="0011641B" w:rsidRDefault="004A5E08" w:rsidP="004A5E08">
      <w:pPr>
        <w:rPr>
          <w:noProof/>
        </w:rPr>
      </w:pPr>
      <w:r w:rsidRPr="0011641B">
        <w:rPr>
          <w:noProof/>
        </w:rPr>
        <w:t xml:space="preserve">Регламентът се актуализира на всеки шест месеца, за да отговаря на потребностите на промишлеността на Съюза. </w:t>
      </w:r>
    </w:p>
    <w:p w:rsidR="004A5E08" w:rsidRPr="0011641B" w:rsidRDefault="004A5E08" w:rsidP="004A5E08">
      <w:pPr>
        <w:rPr>
          <w:noProof/>
        </w:rPr>
      </w:pPr>
      <w:r w:rsidRPr="0011641B">
        <w:rPr>
          <w:noProof/>
        </w:rPr>
        <w:t>Комисията, подпомагана от Групата по икономически и тарифни въпроси (ГИТВ), разгледа всички искания на държавите членки за суспендиране на автономни мита.</w:t>
      </w:r>
    </w:p>
    <w:p w:rsidR="004A5E08" w:rsidRPr="0011641B" w:rsidRDefault="004A5E08" w:rsidP="004A5E08">
      <w:pPr>
        <w:rPr>
          <w:noProof/>
        </w:rPr>
      </w:pPr>
      <w:r w:rsidRPr="0011641B">
        <w:rPr>
          <w:noProof/>
        </w:rPr>
        <w:t>Вследствие на разглеждането Комисията смята, че суспендирането на мита е обосновано за някои нови продукти, които сега не са посочени в приложението към регламента. По отношение на някои други продукти е необходимо да се променят условията във връзка с тяхното описание, класиране, изискването за специфична употреба и/или предвиждана дата за задължително преразглеждане. Предлага се да се заличат от приложението продуктите, за които суспендирането на митата вече не отговаря на икономическите интереси на Съюза.</w:t>
      </w:r>
    </w:p>
    <w:p w:rsidR="004A5E08" w:rsidRPr="0011641B" w:rsidRDefault="004A5E08" w:rsidP="004A5E08">
      <w:pPr>
        <w:pStyle w:val="ManualHeading2"/>
        <w:rPr>
          <w:rFonts w:eastAsia="Arial Unicode MS"/>
          <w:noProof/>
          <w:color w:val="000000"/>
          <w:u w:color="000000"/>
          <w:bdr w:val="nil"/>
        </w:rPr>
      </w:pPr>
      <w:r w:rsidRPr="0011641B">
        <w:rPr>
          <w:noProof/>
          <w:color w:val="000000"/>
          <w:u w:color="000000"/>
          <w:bdr w:val="nil"/>
        </w:rPr>
        <w:t>•</w:t>
      </w:r>
      <w:r w:rsidRPr="0011641B">
        <w:rPr>
          <w:noProof/>
        </w:rPr>
        <w:tab/>
        <w:t>Съгласуваност с действащите разпоредби в тази област на политиката</w:t>
      </w:r>
    </w:p>
    <w:p w:rsidR="004A5E08" w:rsidRPr="0011641B" w:rsidRDefault="004A5E08" w:rsidP="004A5E08">
      <w:pPr>
        <w:rPr>
          <w:noProof/>
        </w:rPr>
      </w:pPr>
      <w:r w:rsidRPr="0011641B">
        <w:rPr>
          <w:noProof/>
        </w:rPr>
        <w:t>Настоящото предложение не засяга държавите, които имат преференциално търговско споразумение със Съюза, нито държавите — кандидатки или потенциални кандидатки за преференциални споразумения със Съюза (например Общата система за преференции; търговския режим с групата на държавите от Африка, Карибите и Тихоокеанския басейн; споразуменията за свободна търговия).</w:t>
      </w:r>
    </w:p>
    <w:p w:rsidR="004A5E08" w:rsidRPr="0011641B" w:rsidRDefault="004A5E08" w:rsidP="004A5E08">
      <w:pPr>
        <w:pStyle w:val="ManualHeading2"/>
        <w:rPr>
          <w:rFonts w:eastAsia="Arial Unicode MS"/>
          <w:noProof/>
        </w:rPr>
      </w:pPr>
      <w:r w:rsidRPr="0011641B">
        <w:rPr>
          <w:noProof/>
          <w:color w:val="000000"/>
          <w:u w:color="000000"/>
          <w:bdr w:val="nil"/>
        </w:rPr>
        <w:t>•</w:t>
      </w:r>
      <w:r w:rsidRPr="0011641B">
        <w:rPr>
          <w:noProof/>
        </w:rPr>
        <w:tab/>
        <w:t>Съгласуваност с други политики на Съюза</w:t>
      </w:r>
    </w:p>
    <w:p w:rsidR="004A5E08" w:rsidRPr="0011641B" w:rsidRDefault="004A5E08" w:rsidP="004A5E08">
      <w:pPr>
        <w:rPr>
          <w:noProof/>
        </w:rPr>
      </w:pPr>
      <w:r w:rsidRPr="0011641B">
        <w:rPr>
          <w:noProof/>
        </w:rPr>
        <w:t>Предложението е съобразено с политиките на Съюза в областта на селското стопанство, търговията, предприемачеството, околната среда, развитието и външните отношения.</w:t>
      </w:r>
    </w:p>
    <w:p w:rsidR="004A5E08" w:rsidRPr="0011641B" w:rsidRDefault="004A5E08" w:rsidP="004A5E08">
      <w:pPr>
        <w:pStyle w:val="ManualHeading1"/>
        <w:rPr>
          <w:noProof/>
        </w:rPr>
      </w:pPr>
      <w:r w:rsidRPr="0011641B">
        <w:rPr>
          <w:noProof/>
        </w:rPr>
        <w:t>2.</w:t>
      </w:r>
      <w:r w:rsidRPr="0011641B">
        <w:rPr>
          <w:noProof/>
        </w:rPr>
        <w:tab/>
        <w:t>ПРАВНО ОСНОВАНИЕ, СУБСИДИАРНОСТ И ПРОПОРЦИОНАЛНОСТ</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Правно основание</w:t>
      </w:r>
    </w:p>
    <w:p w:rsidR="004A5E08" w:rsidRPr="0011641B" w:rsidRDefault="004A5E08" w:rsidP="004A5E08">
      <w:pPr>
        <w:rPr>
          <w:noProof/>
        </w:rPr>
      </w:pPr>
      <w:r w:rsidRPr="0011641B">
        <w:rPr>
          <w:noProof/>
        </w:rPr>
        <w:t>Правното основание на настоящото предложение е член 31 от Договора за функционирането на Европейския съюз (ДФЕС).</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 xml:space="preserve">Субсидиарност (при неизключителна компетентност) </w:t>
      </w:r>
    </w:p>
    <w:p w:rsidR="004A5E08" w:rsidRPr="0011641B" w:rsidRDefault="004A5E08" w:rsidP="004A5E08">
      <w:pPr>
        <w:rPr>
          <w:noProof/>
        </w:rPr>
      </w:pPr>
      <w:r w:rsidRPr="0011641B">
        <w:rPr>
          <w:noProof/>
        </w:rPr>
        <w:t>Предложението е от изключителната компетентност на Съюза. Следователно принципът на субсидиарност не се прилага.</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Пропорционалност</w:t>
      </w:r>
    </w:p>
    <w:p w:rsidR="004A5E08" w:rsidRPr="0011641B" w:rsidRDefault="004A5E08" w:rsidP="004A5E08">
      <w:pPr>
        <w:rPr>
          <w:noProof/>
        </w:rPr>
      </w:pPr>
      <w:r w:rsidRPr="0011641B">
        <w:rPr>
          <w:noProof/>
        </w:rPr>
        <w:t>Предложението е съобразено с принципа на пропорционалност. Предвидените мерки съответстват на принципите за опростяване на процедурите за икономическите оператори с предмет на дейност във външната търговия, както е посочено в Съобщението на Комисията относно суспендирането на автономни мита и относно автономните тарифни квоти</w:t>
      </w:r>
      <w:r w:rsidRPr="0011641B">
        <w:rPr>
          <w:rStyle w:val="FootnoteReference"/>
          <w:noProof/>
        </w:rPr>
        <w:footnoteReference w:id="3"/>
      </w:r>
      <w:r w:rsidRPr="0011641B">
        <w:rPr>
          <w:noProof/>
        </w:rPr>
        <w:t>. С настоящия регламент не се надхвърля необходимото за постигането на поставените цели в съответствие с член 5, параграф 4 от Договора за Европейския съюз (ДЕС).</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Избор на инструмент</w:t>
      </w:r>
    </w:p>
    <w:p w:rsidR="004A5E08" w:rsidRPr="0011641B" w:rsidRDefault="004A5E08" w:rsidP="004A5E08">
      <w:pPr>
        <w:rPr>
          <w:noProof/>
        </w:rPr>
      </w:pPr>
      <w:r w:rsidRPr="0011641B">
        <w:rPr>
          <w:noProof/>
        </w:rPr>
        <w:t>По силата на член 31 от ДФЕС „митата от Общата митническа тарифа се определят от Съвета, по предложение на Комисията“. Поради това подходящият инструмент е регламент на Съвета.</w:t>
      </w:r>
    </w:p>
    <w:p w:rsidR="004A5E08" w:rsidRPr="0011641B" w:rsidRDefault="004A5E08" w:rsidP="004A5E08">
      <w:pPr>
        <w:pStyle w:val="ManualHeading1"/>
        <w:rPr>
          <w:noProof/>
        </w:rPr>
      </w:pPr>
      <w:r w:rsidRPr="0011641B">
        <w:rPr>
          <w:noProof/>
        </w:rPr>
        <w:t>3.</w:t>
      </w:r>
      <w:r w:rsidRPr="0011641B">
        <w:rPr>
          <w:noProof/>
        </w:rPr>
        <w:tab/>
        <w:t>РЕЗУЛТАТИ ОТ ПОСЛЕДВАЩИТЕ ОЦЕНКИ, КОНСУЛТАЦИИТЕ СЪС ЗАИНТЕРЕСОВАНИТЕ СТРАНИ И ОЦЕНКИТЕ НА ВЪЗДЕЙСТВИЕТО</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Последващи оценки/проверки за пригодност на действащото законодателство</w:t>
      </w:r>
    </w:p>
    <w:p w:rsidR="004A5E08" w:rsidRPr="0011641B" w:rsidRDefault="004A5E08" w:rsidP="004A5E08">
      <w:pPr>
        <w:rPr>
          <w:noProof/>
        </w:rPr>
      </w:pPr>
      <w:r w:rsidRPr="0011641B">
        <w:rPr>
          <w:noProof/>
        </w:rPr>
        <w:t>Схемата за суспендиране на автономни мита беше подложена на оценка през 2013 г.</w:t>
      </w:r>
      <w:r w:rsidRPr="0011641B">
        <w:rPr>
          <w:rStyle w:val="FootnoteReference"/>
          <w:noProof/>
        </w:rPr>
        <w:footnoteReference w:id="4"/>
      </w:r>
      <w:r w:rsidRPr="0011641B">
        <w:rPr>
          <w:noProof/>
        </w:rPr>
        <w:t xml:space="preserve"> Въз основа на оценката бе направено заключението, че главната причина за съществуването на схемата продължава да е в сила. Предприятията от ЕС, внасящи стоки по схемата, могат да икономисват значителни разходи. На свой ред тези икономии на разходи могат да създадат — в зависимост от продукта, дружеството и отрасъла — по-широки ползи, като например повишение на конкурентоспособността, увеличение на ефективността на производствените методи, създаване или запазване на работни места в Съюза. Подробна информация относно икономиите, произтичащи от настоящия регламент, може да бъде намерена в приложената законодателна финансова обосновка.</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Консултации със заинтересованите страни</w:t>
      </w:r>
    </w:p>
    <w:p w:rsidR="004A5E08" w:rsidRPr="0011641B" w:rsidRDefault="004A5E08" w:rsidP="004A5E08">
      <w:pPr>
        <w:rPr>
          <w:noProof/>
        </w:rPr>
      </w:pPr>
      <w:r w:rsidRPr="0011641B">
        <w:rPr>
          <w:noProof/>
        </w:rPr>
        <w:t xml:space="preserve">При подготовката на предложението Комисията беше подпомогната от Групата по икономически и тарифни въпроси (ГИТВ), която се състои от представители на всички държави членки и на Турция. </w:t>
      </w:r>
    </w:p>
    <w:p w:rsidR="004A5E08" w:rsidRPr="0011641B" w:rsidRDefault="004A5E08" w:rsidP="004A5E08">
      <w:pPr>
        <w:rPr>
          <w:noProof/>
        </w:rPr>
      </w:pPr>
      <w:r w:rsidRPr="0011641B">
        <w:rPr>
          <w:noProof/>
        </w:rPr>
        <w:t>ГИТВ разгледа внимателно всяко едно искане, за да се увери, че не се причиняват вреди на предприятията от Съюза и че се повишава и консолидира конкурентоспособността на производството на Съюза. Членовете на ГИТВ извършиха оценката чрез обсъждания, а от своя страна държавите членки се консултираха със засегнатите промишлени отрасли, сдружения, търговски камари и други заинтересовани страни.</w:t>
      </w:r>
    </w:p>
    <w:p w:rsidR="004A5E08" w:rsidRPr="0011641B" w:rsidRDefault="00DF2C0E" w:rsidP="004A5E08">
      <w:pPr>
        <w:rPr>
          <w:noProof/>
        </w:rPr>
      </w:pPr>
      <w:r w:rsidRPr="0011641B">
        <w:rPr>
          <w:noProof/>
        </w:rPr>
        <w:t xml:space="preserve">Всички изброени суспендирания са съобразени със споразуменията или компромисите, постигнати по време на обсъжданията в ГИТВ. Не бяха установени потенциално значими рискове с необратими последици. </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Оценка на въздействието</w:t>
      </w:r>
    </w:p>
    <w:p w:rsidR="004A5E08" w:rsidRPr="0011641B" w:rsidRDefault="004A5E08" w:rsidP="004A5E08">
      <w:pPr>
        <w:rPr>
          <w:noProof/>
        </w:rPr>
      </w:pPr>
      <w:r w:rsidRPr="0011641B">
        <w:rPr>
          <w:noProof/>
        </w:rPr>
        <w:t>Предложеното изменение е от чисто техническо естество и се отнася само до обхвата на суспендиранията, включени понастоящем в приложението към Регламент (ЕС) 2021/2278 на Съвета. Не бе извършена оценка на въздействието, тъй като не се очаква предложените промени в списъка на продуктите, които биха се ползвали от суспендирането на автономни мита по Общата митническа тарифа, да окажат значително въздействие.</w:t>
      </w:r>
    </w:p>
    <w:p w:rsidR="004A5E08" w:rsidRPr="0011641B" w:rsidRDefault="004A5E08" w:rsidP="004A5E08">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Основни права</w:t>
      </w:r>
    </w:p>
    <w:p w:rsidR="004A5E08" w:rsidRPr="0011641B" w:rsidRDefault="004A5E08" w:rsidP="004A5E08">
      <w:pPr>
        <w:rPr>
          <w:noProof/>
        </w:rPr>
      </w:pPr>
      <w:r w:rsidRPr="0011641B">
        <w:rPr>
          <w:noProof/>
        </w:rPr>
        <w:t>Предложението няма отражение върху основните права.</w:t>
      </w:r>
    </w:p>
    <w:p w:rsidR="004A5E08" w:rsidRPr="0011641B" w:rsidRDefault="004A5E08" w:rsidP="004A5E08">
      <w:pPr>
        <w:pStyle w:val="ManualHeading1"/>
        <w:rPr>
          <w:noProof/>
        </w:rPr>
      </w:pPr>
      <w:r w:rsidRPr="0011641B">
        <w:rPr>
          <w:noProof/>
        </w:rPr>
        <w:t>4.</w:t>
      </w:r>
      <w:r w:rsidRPr="0011641B">
        <w:rPr>
          <w:noProof/>
        </w:rPr>
        <w:tab/>
        <w:t>ОТРАЖЕНИЕ ВЪРХУ БЮДЖЕТА</w:t>
      </w:r>
    </w:p>
    <w:p w:rsidR="00E92306" w:rsidRPr="0011641B" w:rsidRDefault="00E92306" w:rsidP="00C153E2">
      <w:pPr>
        <w:rPr>
          <w:noProof/>
        </w:rPr>
      </w:pPr>
      <w:bookmarkStart w:id="1" w:name="_Hlk191656121"/>
      <w:r w:rsidRPr="0011641B">
        <w:rPr>
          <w:noProof/>
        </w:rPr>
        <w:t>Предложението няма финансово отражение върху разходите, но има финансово отражение върху приходите. Съответстващите на тези суспендирания несъбрани мита ще възлизат на около 205 059 EUR годишно. Отрицателното въздействие върху традиционните собствени ресурси на бюджета е в размер на 153 794 EUR годишно (т.е. 75 % от общия размер). Отражението върху бюджета, което ще окаже настоящото предложение, е изложено с повече подробности в законодателната финансова обосновка.</w:t>
      </w:r>
    </w:p>
    <w:p w:rsidR="004A5E08" w:rsidRPr="0011641B" w:rsidRDefault="004A5E08" w:rsidP="00151F04">
      <w:pPr>
        <w:rPr>
          <w:noProof/>
        </w:rPr>
      </w:pPr>
      <w:r w:rsidRPr="0011641B">
        <w:rPr>
          <w:noProof/>
        </w:rPr>
        <w:t>Загубата на приходи от традиционните собствени ресурси се компенсира от вноските на държавите членки въз основа на брутния национален доход (БНД).</w:t>
      </w:r>
    </w:p>
    <w:bookmarkEnd w:id="1"/>
    <w:p w:rsidR="004A5E08" w:rsidRPr="0011641B" w:rsidRDefault="004A5E08" w:rsidP="00151F04">
      <w:pPr>
        <w:pStyle w:val="ManualHeading1"/>
        <w:rPr>
          <w:noProof/>
        </w:rPr>
      </w:pPr>
      <w:r w:rsidRPr="0011641B">
        <w:rPr>
          <w:noProof/>
        </w:rPr>
        <w:t>5.</w:t>
      </w:r>
      <w:r w:rsidRPr="0011641B">
        <w:rPr>
          <w:noProof/>
        </w:rPr>
        <w:tab/>
        <w:t>ДРУГИ ЕЛЕМЕНТИ</w:t>
      </w:r>
    </w:p>
    <w:p w:rsidR="004A5E08" w:rsidRPr="0011641B" w:rsidRDefault="004A5E08" w:rsidP="00151F04">
      <w:pPr>
        <w:pStyle w:val="ManualHeading2"/>
        <w:rPr>
          <w:rFonts w:eastAsia="Arial Unicode MS"/>
          <w:noProof/>
          <w:u w:color="000000"/>
          <w:bdr w:val="nil"/>
        </w:rPr>
      </w:pPr>
      <w:r w:rsidRPr="0011641B">
        <w:rPr>
          <w:noProof/>
          <w:u w:color="000000"/>
          <w:bdr w:val="nil"/>
        </w:rPr>
        <w:t>•</w:t>
      </w:r>
      <w:r w:rsidRPr="0011641B">
        <w:rPr>
          <w:noProof/>
        </w:rPr>
        <w:tab/>
      </w:r>
      <w:r w:rsidRPr="0011641B">
        <w:rPr>
          <w:noProof/>
          <w:u w:color="000000"/>
          <w:bdr w:val="nil"/>
        </w:rPr>
        <w:t>Планове за изпълнение и механизъм за мониторинг, оценка и докладване</w:t>
      </w:r>
    </w:p>
    <w:p w:rsidR="004A5E08" w:rsidRPr="0011641B" w:rsidRDefault="004A5E08" w:rsidP="00151F04">
      <w:pPr>
        <w:rPr>
          <w:noProof/>
        </w:rPr>
      </w:pPr>
      <w:r w:rsidRPr="0011641B">
        <w:rPr>
          <w:noProof/>
        </w:rPr>
        <w:t>Предложените мерки се управляват в рамките на Интегрираната тарифа на Европейския съюз (ТАРИК) и се прилагат от митническите администрации на държавите членки.</w:t>
      </w:r>
    </w:p>
    <w:p w:rsidR="004A5E08" w:rsidRPr="0011641B" w:rsidRDefault="004A5E08" w:rsidP="00151F04">
      <w:pPr>
        <w:rPr>
          <w:noProof/>
          <w:lang w:eastAsia="en-GB"/>
        </w:rPr>
        <w:sectPr w:rsidR="004A5E08" w:rsidRPr="0011641B" w:rsidSect="00657AAB">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pgNumType w:start="1"/>
          <w:cols w:space="708"/>
          <w:docGrid w:linePitch="360"/>
        </w:sectPr>
      </w:pPr>
    </w:p>
    <w:p w:rsidR="00DE5BBB" w:rsidRDefault="00F83749">
      <w:pPr>
        <w:pStyle w:val="Rfrenceinterinstitutionnelle"/>
        <w:rPr>
          <w:noProof/>
        </w:rPr>
      </w:pPr>
      <w:r>
        <w:rPr>
          <w:noProof/>
        </w:rPr>
        <w:t>2025/0337 (NLE)</w:t>
      </w:r>
    </w:p>
    <w:p w:rsidR="004A5E08" w:rsidRPr="0011641B" w:rsidRDefault="0011641B" w:rsidP="0011641B">
      <w:pPr>
        <w:pStyle w:val="Statut"/>
        <w:rPr>
          <w:noProof/>
        </w:rPr>
      </w:pPr>
      <w:r w:rsidRPr="0011641B">
        <w:rPr>
          <w:noProof/>
        </w:rPr>
        <w:t>Предложение за</w:t>
      </w:r>
    </w:p>
    <w:p w:rsidR="004A5E08" w:rsidRPr="0011641B" w:rsidRDefault="0011641B" w:rsidP="0011641B">
      <w:pPr>
        <w:pStyle w:val="Typedudocument"/>
        <w:rPr>
          <w:noProof/>
        </w:rPr>
      </w:pPr>
      <w:r w:rsidRPr="0011641B">
        <w:rPr>
          <w:noProof/>
        </w:rPr>
        <w:t>РЕГЛАМЕНТ НА СЪВЕТА</w:t>
      </w:r>
    </w:p>
    <w:p w:rsidR="00F72A3C" w:rsidRPr="0011641B" w:rsidRDefault="0011641B" w:rsidP="0011641B">
      <w:pPr>
        <w:pStyle w:val="Titreobjet"/>
        <w:rPr>
          <w:noProof/>
        </w:rPr>
      </w:pPr>
      <w:r w:rsidRPr="0011641B">
        <w:rPr>
          <w:noProof/>
        </w:rPr>
        <w:t>за изменение на Регламент (ЕС) 2021/2278 за суспендиране на митата по Общата митническа тарифа, посочени в член 56, параграф 2, буква в) от Регламент (ЕС) № 952/2013 на Европейския парламент и на Съвета, за някои селскостопански и промишлени продукти</w:t>
      </w:r>
    </w:p>
    <w:p w:rsidR="004A5E08" w:rsidRPr="0011641B" w:rsidRDefault="004A5E08" w:rsidP="00151F04">
      <w:pPr>
        <w:pStyle w:val="Institutionquiagit"/>
        <w:rPr>
          <w:noProof/>
        </w:rPr>
      </w:pPr>
      <w:r w:rsidRPr="0011641B">
        <w:rPr>
          <w:noProof/>
        </w:rPr>
        <w:t>СЪВЕТЪТ НА ЕВРОПЕЙСКИЯ СЪЮЗ,</w:t>
      </w:r>
    </w:p>
    <w:p w:rsidR="004A5E08" w:rsidRPr="0011641B" w:rsidRDefault="004A5E08" w:rsidP="00151F04">
      <w:pPr>
        <w:rPr>
          <w:noProof/>
        </w:rPr>
      </w:pPr>
      <w:r w:rsidRPr="0011641B">
        <w:rPr>
          <w:noProof/>
        </w:rPr>
        <w:t>като взе предвид Договора за функционирането на Европейския съюз, и по-специално член 31 от него,</w:t>
      </w:r>
    </w:p>
    <w:p w:rsidR="004A5E08" w:rsidRPr="0011641B" w:rsidRDefault="004A5E08" w:rsidP="00151F04">
      <w:pPr>
        <w:rPr>
          <w:noProof/>
        </w:rPr>
      </w:pPr>
      <w:r w:rsidRPr="0011641B">
        <w:rPr>
          <w:noProof/>
        </w:rPr>
        <w:t>като взе предвид предложението на Европейската комисия,</w:t>
      </w:r>
    </w:p>
    <w:p w:rsidR="004A5E08" w:rsidRPr="0011641B" w:rsidRDefault="004A5E08" w:rsidP="00151F04">
      <w:pPr>
        <w:rPr>
          <w:noProof/>
        </w:rPr>
      </w:pPr>
      <w:r w:rsidRPr="0011641B">
        <w:rPr>
          <w:noProof/>
        </w:rPr>
        <w:t>като има предвид, че:</w:t>
      </w:r>
    </w:p>
    <w:p w:rsidR="0075670A" w:rsidRPr="0011641B" w:rsidRDefault="00E27441" w:rsidP="00E27441">
      <w:pPr>
        <w:pStyle w:val="ManualConsidrant"/>
        <w:rPr>
          <w:noProof/>
        </w:rPr>
      </w:pPr>
      <w:r w:rsidRPr="00E27441">
        <w:rPr>
          <w:noProof/>
        </w:rPr>
        <w:t>(1)</w:t>
      </w:r>
      <w:r w:rsidRPr="00E27441">
        <w:rPr>
          <w:noProof/>
        </w:rPr>
        <w:tab/>
      </w:r>
      <w:r w:rsidR="0075670A" w:rsidRPr="0011641B">
        <w:rPr>
          <w:noProof/>
        </w:rPr>
        <w:t>С цел да се осигури достатъчно и непрекъснато снабдяване с определени селскостопански и промишлени продукти, които не се произвеждат в Съюза, и по този начин да се избегнат евентуални смущения на пазара на тези продукти, митата по Общата митническа тарифа от вида, посочен в член 56, параграф 2, буква в) от Регламент (ЕС) № 952/2013 на Европейския парламент и на Съвета</w:t>
      </w:r>
      <w:r w:rsidR="0075670A" w:rsidRPr="0011641B">
        <w:rPr>
          <w:rStyle w:val="FootnoteReference"/>
          <w:noProof/>
        </w:rPr>
        <w:footnoteReference w:id="5"/>
      </w:r>
      <w:r w:rsidR="0075670A" w:rsidRPr="0011641B">
        <w:rPr>
          <w:noProof/>
        </w:rPr>
        <w:t xml:space="preserve"> („митата по ОМТ“), за тези продукти бяха суспендирани с Регламент (ЕС) 2021/2278 на Съвета</w:t>
      </w:r>
      <w:r w:rsidR="0075670A" w:rsidRPr="0011641B">
        <w:rPr>
          <w:rStyle w:val="FootnoteReference"/>
          <w:noProof/>
        </w:rPr>
        <w:footnoteReference w:id="6"/>
      </w:r>
      <w:r w:rsidR="0075670A" w:rsidRPr="0011641B">
        <w:rPr>
          <w:noProof/>
        </w:rPr>
        <w:t>. В резултат на това продуктите, включени в приложението към Регламент (ЕС) 2021/2278, може да бъдат внасяни в Съюза при намалени или нулеви ставки на митото без ограничения по отношение на тяхното количество.</w:t>
      </w:r>
    </w:p>
    <w:p w:rsidR="0075670A" w:rsidRPr="0011641B" w:rsidRDefault="00E27441" w:rsidP="00E27441">
      <w:pPr>
        <w:pStyle w:val="ManualConsidrant"/>
        <w:rPr>
          <w:noProof/>
        </w:rPr>
      </w:pPr>
      <w:r w:rsidRPr="00E27441">
        <w:rPr>
          <w:noProof/>
        </w:rPr>
        <w:t>(2)</w:t>
      </w:r>
      <w:r w:rsidRPr="00E27441">
        <w:rPr>
          <w:noProof/>
        </w:rPr>
        <w:tab/>
      </w:r>
      <w:r w:rsidR="0075670A" w:rsidRPr="0011641B">
        <w:rPr>
          <w:noProof/>
        </w:rPr>
        <w:t>Производството в Съюза на определени продукти, които не са включени в приложението към Регламент (ЕС) 2021/2278, е недостатъчно, за да отговори на специфичните изисквания на потребяващите ги отрасли в Съюза. Тъй като е в интерес на Съюза да се гарантира адекватното снабдяване с определени продукти и като се има предвид фактът, че в Съюза не се произвеждат в достатъчни количества идентични, еквивалентни или заместващи продукти, е необходимо да се предостави пълно суспендиране на митата по ОМТ за тези продукти.</w:t>
      </w:r>
    </w:p>
    <w:p w:rsidR="00742DC2" w:rsidRPr="0011641B" w:rsidRDefault="00E27441" w:rsidP="00E27441">
      <w:pPr>
        <w:pStyle w:val="ManualConsidrant"/>
        <w:rPr>
          <w:noProof/>
          <w:sz w:val="22"/>
        </w:rPr>
      </w:pPr>
      <w:r w:rsidRPr="00E27441">
        <w:rPr>
          <w:noProof/>
        </w:rPr>
        <w:t>(3)</w:t>
      </w:r>
      <w:r w:rsidRPr="00E27441">
        <w:rPr>
          <w:noProof/>
        </w:rPr>
        <w:tab/>
      </w:r>
      <w:r w:rsidR="00742DC2" w:rsidRPr="0011641B">
        <w:rPr>
          <w:noProof/>
        </w:rPr>
        <w:t>С цел да се насърчи производството на вградени акумулаторни батерии в Съюза, следва да бъде предоставено частично суспендиране на митата по ОМТ за определени продукти, свързани с производството на акумулаторни батерии, които продукти не са включени понастоящем в приложението към Регламент (ЕС) 2021/2278 и за които производството в Съюза е недостатъчно за покриване на специфичните изисквания на потребяващите ги отрасли в Съюза. Датата за задължителното преразглеждане на това суспендиране следва да бъде 31 декември 2026 г., за да може при преразглеждането да се вземе предвид краткосрочното развитие на отрасъла на акумулаторните батерии в Съюза.</w:t>
      </w:r>
    </w:p>
    <w:p w:rsidR="0075670A" w:rsidRPr="0011641B" w:rsidRDefault="00E27441" w:rsidP="00E27441">
      <w:pPr>
        <w:pStyle w:val="ManualConsidrant"/>
        <w:rPr>
          <w:noProof/>
        </w:rPr>
      </w:pPr>
      <w:r w:rsidRPr="00E27441">
        <w:rPr>
          <w:noProof/>
        </w:rPr>
        <w:t>(4)</w:t>
      </w:r>
      <w:r w:rsidRPr="00E27441">
        <w:rPr>
          <w:noProof/>
        </w:rPr>
        <w:tab/>
      </w:r>
      <w:r w:rsidR="00742DC2" w:rsidRPr="0011641B">
        <w:rPr>
          <w:noProof/>
        </w:rPr>
        <w:t xml:space="preserve">За определени продукти, които са включени в приложението към Регламент (ЕС) 2021/2278, е необходимо да се изменят описанието, класирането или изискването за специфична употреба, за да се отчетат техническите промени в продуктите и икономическите тенденции на пазара. </w:t>
      </w:r>
    </w:p>
    <w:p w:rsidR="004B4AF5" w:rsidRPr="0011641B" w:rsidRDefault="00E27441" w:rsidP="00E27441">
      <w:pPr>
        <w:pStyle w:val="ManualConsidrant"/>
        <w:rPr>
          <w:noProof/>
        </w:rPr>
      </w:pPr>
      <w:r w:rsidRPr="00E27441">
        <w:rPr>
          <w:noProof/>
        </w:rPr>
        <w:t>(5)</w:t>
      </w:r>
      <w:r w:rsidRPr="00E27441">
        <w:rPr>
          <w:noProof/>
        </w:rPr>
        <w:tab/>
      </w:r>
      <w:r w:rsidR="004B4AF5" w:rsidRPr="0011641B">
        <w:rPr>
          <w:noProof/>
        </w:rPr>
        <w:t>Комисията преразгледа някои суспендирания на мита по ОМТ за продукти, включени в приложението към Регламент (ЕС) 2021/2278, в съответствие с член 2, параграф 2 от същия регламент. Тъй като е в интерес на Съюза да се запазят суспендиранията за някои от тези продукти, следва да се определят нови дати за следващото им задължително преразглеждане.</w:t>
      </w:r>
    </w:p>
    <w:p w:rsidR="0075670A" w:rsidRPr="0011641B" w:rsidRDefault="00E27441" w:rsidP="00E27441">
      <w:pPr>
        <w:pStyle w:val="ManualConsidrant"/>
        <w:rPr>
          <w:noProof/>
        </w:rPr>
      </w:pPr>
      <w:r w:rsidRPr="00E27441">
        <w:rPr>
          <w:noProof/>
        </w:rPr>
        <w:t>(6)</w:t>
      </w:r>
      <w:r w:rsidRPr="00E27441">
        <w:rPr>
          <w:noProof/>
        </w:rPr>
        <w:tab/>
      </w:r>
      <w:r w:rsidR="0075670A" w:rsidRPr="0011641B">
        <w:rPr>
          <w:noProof/>
        </w:rPr>
        <w:t xml:space="preserve">Съюзът вече няма интерес да поддържа суспендирането на митата по ОМТ за определени продукти, които са включени в приложението към Регламент (ЕС) 2021/2278. Затова суспендиранията за тези продукти следва да бъдат заличени от посоченото приложение, считано от 1 януари 2026 г. </w:t>
      </w:r>
    </w:p>
    <w:p w:rsidR="0075670A" w:rsidRPr="0011641B" w:rsidRDefault="00E27441" w:rsidP="00E27441">
      <w:pPr>
        <w:pStyle w:val="ManualConsidrant"/>
        <w:rPr>
          <w:noProof/>
        </w:rPr>
      </w:pPr>
      <w:r w:rsidRPr="00E27441">
        <w:rPr>
          <w:noProof/>
        </w:rPr>
        <w:t>(7)</w:t>
      </w:r>
      <w:r w:rsidRPr="00E27441">
        <w:rPr>
          <w:noProof/>
        </w:rPr>
        <w:tab/>
      </w:r>
      <w:r w:rsidR="0075670A" w:rsidRPr="0011641B">
        <w:rPr>
          <w:noProof/>
        </w:rPr>
        <w:t>Поради това Регламент (ЕС) 2021/2278 следва да бъде съответно изменен.</w:t>
      </w:r>
    </w:p>
    <w:p w:rsidR="0075670A" w:rsidRPr="0011641B" w:rsidRDefault="00E27441" w:rsidP="00E27441">
      <w:pPr>
        <w:pStyle w:val="ManualConsidrant"/>
        <w:rPr>
          <w:noProof/>
        </w:rPr>
      </w:pPr>
      <w:r w:rsidRPr="00E27441">
        <w:rPr>
          <w:noProof/>
        </w:rPr>
        <w:t>(8)</w:t>
      </w:r>
      <w:r w:rsidRPr="00E27441">
        <w:rPr>
          <w:noProof/>
        </w:rPr>
        <w:tab/>
      </w:r>
      <w:r w:rsidR="0075670A" w:rsidRPr="0011641B">
        <w:rPr>
          <w:noProof/>
        </w:rPr>
        <w:t>За да се избегне евентуално прекъсване на прилагането на схемата за суспендиране на автономни мита и за да бъдат изпълнени насоките, определени в Съобщението на Комисията от 13 декември 2011 г. относно суспендирането на автономни мита и относно автономните тарифни квоти, предвидените в настоящия регламент промени по отношение на суспендиранията на митата за съответните продукти следва да се прилагат от 1 януари 2026 г. Поради това настоящият регламент следва да влезе в сила по спешност,</w:t>
      </w:r>
    </w:p>
    <w:p w:rsidR="004A5E08" w:rsidRPr="0011641B" w:rsidRDefault="004A5E08" w:rsidP="00151F04">
      <w:pPr>
        <w:pStyle w:val="Formuledadoption"/>
        <w:rPr>
          <w:noProof/>
        </w:rPr>
      </w:pPr>
      <w:r w:rsidRPr="0011641B">
        <w:rPr>
          <w:noProof/>
        </w:rPr>
        <w:t>ПРИЕ НАСТОЯЩИЯ РЕГЛАМЕНТ:</w:t>
      </w:r>
    </w:p>
    <w:p w:rsidR="004A5E08" w:rsidRPr="0011641B" w:rsidRDefault="004A5E08" w:rsidP="00151F04">
      <w:pPr>
        <w:pStyle w:val="Titrearticle"/>
        <w:rPr>
          <w:noProof/>
        </w:rPr>
      </w:pPr>
      <w:r w:rsidRPr="0011641B">
        <w:rPr>
          <w:noProof/>
        </w:rPr>
        <w:t>Член 1</w:t>
      </w:r>
    </w:p>
    <w:p w:rsidR="00A07FFB" w:rsidRPr="0011641B" w:rsidRDefault="004A5E08" w:rsidP="00151F04">
      <w:pPr>
        <w:rPr>
          <w:noProof/>
        </w:rPr>
      </w:pPr>
      <w:r w:rsidRPr="0011641B">
        <w:rPr>
          <w:noProof/>
        </w:rPr>
        <w:t>Приложението към Регламент (ЕС) 2021/2278 се заменя с текста в приложението към настоящия регламент.</w:t>
      </w:r>
    </w:p>
    <w:p w:rsidR="004A5E08" w:rsidRPr="0011641B" w:rsidRDefault="004A5E08" w:rsidP="00151F04">
      <w:pPr>
        <w:pStyle w:val="Titrearticle"/>
        <w:rPr>
          <w:noProof/>
        </w:rPr>
      </w:pPr>
      <w:r w:rsidRPr="0011641B">
        <w:rPr>
          <w:noProof/>
        </w:rPr>
        <w:t>Член 2</w:t>
      </w:r>
    </w:p>
    <w:p w:rsidR="004A5E08" w:rsidRPr="0011641B" w:rsidRDefault="004A5E08" w:rsidP="00151F04">
      <w:pPr>
        <w:rPr>
          <w:noProof/>
        </w:rPr>
      </w:pPr>
      <w:r w:rsidRPr="0011641B">
        <w:rPr>
          <w:noProof/>
        </w:rPr>
        <w:t xml:space="preserve">Настоящият регламент влиза в сила в деня след деня на публикуването му в </w:t>
      </w:r>
      <w:r w:rsidRPr="0011641B">
        <w:rPr>
          <w:i/>
          <w:noProof/>
        </w:rPr>
        <w:t>Официален вестник на Европейския съюз</w:t>
      </w:r>
      <w:r w:rsidRPr="0011641B">
        <w:rPr>
          <w:noProof/>
        </w:rPr>
        <w:t xml:space="preserve">. </w:t>
      </w:r>
    </w:p>
    <w:p w:rsidR="004A5E08" w:rsidRPr="0011641B" w:rsidRDefault="004A5E08" w:rsidP="00151F04">
      <w:pPr>
        <w:rPr>
          <w:noProof/>
        </w:rPr>
      </w:pPr>
      <w:r w:rsidRPr="0011641B">
        <w:rPr>
          <w:noProof/>
        </w:rPr>
        <w:t>Той се прилага от 1 януари 2026 г.</w:t>
      </w:r>
    </w:p>
    <w:p w:rsidR="004A5E08" w:rsidRPr="0011641B" w:rsidRDefault="004A5E08" w:rsidP="00151F04">
      <w:pPr>
        <w:pStyle w:val="Applicationdirecte"/>
        <w:rPr>
          <w:noProof/>
        </w:rPr>
      </w:pPr>
      <w:r w:rsidRPr="0011641B">
        <w:rPr>
          <w:noProof/>
        </w:rPr>
        <w:t>Настоящият регламент е задължителен в своята цялост и се прилага пряко във всички държави членки.</w:t>
      </w:r>
    </w:p>
    <w:p w:rsidR="004A5E08" w:rsidRPr="0011641B" w:rsidRDefault="0011641B" w:rsidP="001E2127">
      <w:pPr>
        <w:pStyle w:val="Fait"/>
        <w:rPr>
          <w:noProof/>
        </w:rPr>
      </w:pPr>
      <w:r>
        <w:rPr>
          <w:noProof/>
        </w:rPr>
        <w:t>Съставено в Брюксел на  година.</w:t>
      </w:r>
    </w:p>
    <w:p w:rsidR="004A5E08" w:rsidRPr="0011641B" w:rsidRDefault="004A5E08" w:rsidP="001E2127">
      <w:pPr>
        <w:pStyle w:val="Institutionquisigne"/>
        <w:rPr>
          <w:noProof/>
        </w:rPr>
      </w:pPr>
      <w:r w:rsidRPr="0011641B">
        <w:rPr>
          <w:noProof/>
        </w:rPr>
        <w:tab/>
        <w:t>За Съвета</w:t>
      </w:r>
    </w:p>
    <w:p w:rsidR="004A5E08" w:rsidRPr="0011641B" w:rsidRDefault="004A5E08" w:rsidP="00151F04">
      <w:pPr>
        <w:pStyle w:val="Personnequisigne"/>
        <w:rPr>
          <w:noProof/>
        </w:rPr>
      </w:pPr>
      <w:r w:rsidRPr="0011641B">
        <w:rPr>
          <w:noProof/>
        </w:rPr>
        <w:tab/>
        <w:t>Председател</w:t>
      </w:r>
    </w:p>
    <w:p w:rsidR="004A5E08" w:rsidRPr="0011641B" w:rsidRDefault="004A5E08" w:rsidP="00151F04">
      <w:pPr>
        <w:rPr>
          <w:noProof/>
        </w:rPr>
        <w:sectPr w:rsidR="004A5E08" w:rsidRPr="0011641B" w:rsidSect="00657AAB">
          <w:footnotePr>
            <w:numRestart w:val="eachSect"/>
          </w:footnotePr>
          <w:pgSz w:w="11907" w:h="16839"/>
          <w:pgMar w:top="1134" w:right="1417" w:bottom="1134" w:left="1417" w:header="709" w:footer="709" w:gutter="0"/>
          <w:cols w:space="708"/>
          <w:docGrid w:linePitch="360"/>
        </w:sectPr>
      </w:pPr>
    </w:p>
    <w:p w:rsidR="004A5E08" w:rsidRPr="0011641B" w:rsidRDefault="004A5E08" w:rsidP="00151F04">
      <w:pPr>
        <w:pStyle w:val="Fichefinanciretitre"/>
        <w:rPr>
          <w:noProof/>
        </w:rPr>
      </w:pPr>
      <w:r w:rsidRPr="0011641B">
        <w:rPr>
          <w:noProof/>
        </w:rPr>
        <w:t>ЗАКОНОДАТЕЛНА ФИНАНСОВА ОБОСНОВКА</w:t>
      </w:r>
    </w:p>
    <w:p w:rsidR="004A5E08" w:rsidRPr="0011641B" w:rsidRDefault="00E27441" w:rsidP="00E27441">
      <w:pPr>
        <w:pStyle w:val="ManualHeading1"/>
        <w:rPr>
          <w:bCs/>
          <w:noProof/>
          <w:szCs w:val="24"/>
        </w:rPr>
      </w:pPr>
      <w:r w:rsidRPr="00E27441">
        <w:rPr>
          <w:noProof/>
        </w:rPr>
        <w:t>1.</w:t>
      </w:r>
      <w:r w:rsidRPr="00E27441">
        <w:rPr>
          <w:noProof/>
        </w:rPr>
        <w:tab/>
      </w:r>
      <w:r w:rsidR="004A5E08" w:rsidRPr="0011641B">
        <w:rPr>
          <w:noProof/>
        </w:rPr>
        <w:t>НАИМЕНОВАНИЕ НА ПРЕДЛОЖЕНИЕТО:</w:t>
      </w:r>
    </w:p>
    <w:p w:rsidR="004A5E08" w:rsidRPr="0011641B" w:rsidRDefault="004A5E08" w:rsidP="00151F04">
      <w:pPr>
        <w:pStyle w:val="Text1"/>
        <w:rPr>
          <w:noProof/>
        </w:rPr>
      </w:pPr>
      <w:r w:rsidRPr="0011641B">
        <w:rPr>
          <w:noProof/>
        </w:rPr>
        <w:t>Предложение за изменение на Регламент (ЕС) 2021/2278 за суспендиране на митата по Общата митническа тарифа, посочени в член 56, параграф 2, буква в) от Регламент (ЕС) № 952/2013 на Европейския парламент и на Съвета, за някои селскостопански и промишлени продукти</w:t>
      </w:r>
    </w:p>
    <w:p w:rsidR="004A5E08" w:rsidRPr="0011641B" w:rsidRDefault="00E27441" w:rsidP="00E27441">
      <w:pPr>
        <w:pStyle w:val="ManualHeading1"/>
        <w:rPr>
          <w:noProof/>
          <w:szCs w:val="24"/>
        </w:rPr>
      </w:pPr>
      <w:r w:rsidRPr="00E27441">
        <w:rPr>
          <w:noProof/>
        </w:rPr>
        <w:t>2.</w:t>
      </w:r>
      <w:r w:rsidRPr="00E27441">
        <w:rPr>
          <w:noProof/>
        </w:rPr>
        <w:tab/>
      </w:r>
      <w:r w:rsidR="004A5E08" w:rsidRPr="0011641B">
        <w:rPr>
          <w:noProof/>
        </w:rPr>
        <w:t>БЮДЖЕТНИ РЕДОВЕ:</w:t>
      </w:r>
    </w:p>
    <w:p w:rsidR="004A5E08" w:rsidRPr="0011641B" w:rsidRDefault="004A5E08" w:rsidP="00151F04">
      <w:pPr>
        <w:pStyle w:val="Text1"/>
        <w:rPr>
          <w:noProof/>
        </w:rPr>
      </w:pPr>
      <w:r w:rsidRPr="0011641B">
        <w:rPr>
          <w:noProof/>
        </w:rPr>
        <w:t>Глава и статия: глава 12, статия 120</w:t>
      </w:r>
    </w:p>
    <w:p w:rsidR="004A5E08" w:rsidRPr="0011641B" w:rsidRDefault="004A5E08" w:rsidP="00151F04">
      <w:pPr>
        <w:pStyle w:val="Text1"/>
        <w:rPr>
          <w:noProof/>
        </w:rPr>
      </w:pPr>
      <w:r w:rsidRPr="0011641B">
        <w:rPr>
          <w:noProof/>
        </w:rPr>
        <w:t>Сума, предвидена в бюджета за 2026 г.: 21 368 300 000 EUR</w:t>
      </w:r>
    </w:p>
    <w:p w:rsidR="004A5E08" w:rsidRPr="0011641B" w:rsidRDefault="00E27441" w:rsidP="00E27441">
      <w:pPr>
        <w:pStyle w:val="ManualHeading1"/>
        <w:rPr>
          <w:bCs/>
          <w:noProof/>
          <w:szCs w:val="24"/>
        </w:rPr>
      </w:pPr>
      <w:r w:rsidRPr="00E27441">
        <w:rPr>
          <w:noProof/>
        </w:rPr>
        <w:t>3.</w:t>
      </w:r>
      <w:r w:rsidRPr="00E27441">
        <w:rPr>
          <w:noProof/>
        </w:rPr>
        <w:tab/>
      </w:r>
      <w:r w:rsidR="004A5E08" w:rsidRPr="0011641B">
        <w:rPr>
          <w:noProof/>
        </w:rPr>
        <w:t>ФИНАНСОВО ОТРАЖЕНИЕ</w:t>
      </w:r>
    </w:p>
    <w:p w:rsidR="004A5E08" w:rsidRPr="0011641B" w:rsidRDefault="004A5E08" w:rsidP="00151F04">
      <w:pPr>
        <w:pStyle w:val="Text1"/>
        <w:rPr>
          <w:noProof/>
        </w:rPr>
      </w:pPr>
      <w:r w:rsidRPr="0011641B">
        <w:rPr>
          <w:noProof/>
        </w:rPr>
        <w:sym w:font="Wingdings" w:char="F0A8"/>
      </w:r>
      <w:r w:rsidRPr="0011641B">
        <w:rPr>
          <w:noProof/>
        </w:rPr>
        <w:tab/>
        <w:t>Предложението няма финансово отражение</w:t>
      </w:r>
    </w:p>
    <w:p w:rsidR="004A5E08" w:rsidRPr="0011641B" w:rsidRDefault="004A5E08" w:rsidP="00151F04">
      <w:pPr>
        <w:pStyle w:val="Text1"/>
        <w:rPr>
          <w:noProof/>
        </w:rPr>
      </w:pPr>
      <w:r w:rsidRPr="0011641B">
        <w:rPr>
          <w:noProof/>
        </w:rPr>
        <w:t>X Предложението няма финансово отражение върху разходите, но финансовото отражение върху приходите е следното:</w:t>
      </w:r>
    </w:p>
    <w:p w:rsidR="004A5E08" w:rsidRPr="0011641B" w:rsidRDefault="004A5E08" w:rsidP="00151F04">
      <w:pPr>
        <w:jc w:val="right"/>
        <w:rPr>
          <w:noProof/>
        </w:rPr>
      </w:pPr>
      <w:bookmarkStart w:id="2" w:name="_Hlk191656785"/>
      <w:r w:rsidRPr="0011641B">
        <w:rPr>
          <w:noProof/>
        </w:rPr>
        <w:t>(в млн. евро до един знак след десетичната запетая)</w:t>
      </w:r>
    </w:p>
    <w:bookmarkEnd w:id="2"/>
    <w:tbl>
      <w:tblPr>
        <w:tblW w:w="83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2"/>
        <w:gridCol w:w="2880"/>
        <w:gridCol w:w="2070"/>
        <w:gridCol w:w="2070"/>
      </w:tblGrid>
      <w:tr w:rsidR="004A5E08" w:rsidRPr="0011641B" w:rsidTr="006560DF">
        <w:trPr>
          <w:gridAfter w:val="2"/>
          <w:wAfter w:w="4140" w:type="dxa"/>
          <w:cantSplit/>
        </w:trPr>
        <w:tc>
          <w:tcPr>
            <w:tcW w:w="1322" w:type="dxa"/>
          </w:tcPr>
          <w:p w:rsidR="004A5E08" w:rsidRPr="0011641B" w:rsidRDefault="004A5E08" w:rsidP="00151F04">
            <w:pPr>
              <w:spacing w:before="0" w:after="0"/>
              <w:jc w:val="left"/>
              <w:rPr>
                <w:noProof/>
                <w:snapToGrid w:val="0"/>
                <w:sz w:val="18"/>
              </w:rPr>
            </w:pPr>
          </w:p>
        </w:tc>
        <w:tc>
          <w:tcPr>
            <w:tcW w:w="2880" w:type="dxa"/>
          </w:tcPr>
          <w:p w:rsidR="004A5E08" w:rsidRPr="0011641B" w:rsidRDefault="004A5E08" w:rsidP="00151F04">
            <w:pPr>
              <w:spacing w:before="0" w:after="0"/>
              <w:jc w:val="left"/>
              <w:rPr>
                <w:noProof/>
                <w:snapToGrid w:val="0"/>
                <w:sz w:val="18"/>
              </w:rPr>
            </w:pPr>
          </w:p>
        </w:tc>
      </w:tr>
      <w:tr w:rsidR="004A5E08" w:rsidRPr="0011641B" w:rsidTr="006560DF">
        <w:trPr>
          <w:cantSplit/>
        </w:trPr>
        <w:tc>
          <w:tcPr>
            <w:tcW w:w="1322" w:type="dxa"/>
          </w:tcPr>
          <w:p w:rsidR="004A5E08" w:rsidRPr="0011641B" w:rsidRDefault="004A5E08" w:rsidP="00151F04">
            <w:pPr>
              <w:spacing w:before="0" w:after="0"/>
              <w:jc w:val="left"/>
              <w:rPr>
                <w:noProof/>
                <w:snapToGrid w:val="0"/>
              </w:rPr>
            </w:pPr>
            <w:r w:rsidRPr="0011641B">
              <w:rPr>
                <w:noProof/>
              </w:rPr>
              <w:t>Бюджетен ред</w:t>
            </w:r>
          </w:p>
        </w:tc>
        <w:tc>
          <w:tcPr>
            <w:tcW w:w="2880" w:type="dxa"/>
          </w:tcPr>
          <w:p w:rsidR="004A5E08" w:rsidRPr="0011641B" w:rsidRDefault="004A5E08" w:rsidP="00151F04">
            <w:pPr>
              <w:spacing w:before="0" w:after="0"/>
              <w:jc w:val="center"/>
              <w:rPr>
                <w:noProof/>
                <w:snapToGrid w:val="0"/>
              </w:rPr>
            </w:pPr>
            <w:r w:rsidRPr="0011641B">
              <w:rPr>
                <w:noProof/>
              </w:rPr>
              <w:t>Приходи</w:t>
            </w:r>
          </w:p>
        </w:tc>
        <w:tc>
          <w:tcPr>
            <w:tcW w:w="2070" w:type="dxa"/>
            <w:shd w:val="clear" w:color="auto" w:fill="auto"/>
          </w:tcPr>
          <w:p w:rsidR="004A5E08" w:rsidRPr="0011641B" w:rsidRDefault="00151C93" w:rsidP="00151F04">
            <w:pPr>
              <w:spacing w:before="0" w:after="0"/>
              <w:jc w:val="center"/>
              <w:rPr>
                <w:noProof/>
                <w:snapToGrid w:val="0"/>
              </w:rPr>
            </w:pPr>
            <w:r w:rsidRPr="0011641B">
              <w:rPr>
                <w:noProof/>
              </w:rPr>
              <w:t>12-месечен период, считано от дд/мм/гггг</w:t>
            </w:r>
          </w:p>
        </w:tc>
        <w:tc>
          <w:tcPr>
            <w:tcW w:w="2070" w:type="dxa"/>
            <w:shd w:val="clear" w:color="auto" w:fill="auto"/>
          </w:tcPr>
          <w:p w:rsidR="004A5E08" w:rsidRPr="0011641B" w:rsidRDefault="004A5E08" w:rsidP="00151F04">
            <w:pPr>
              <w:spacing w:before="0" w:after="0"/>
              <w:jc w:val="center"/>
              <w:rPr>
                <w:noProof/>
                <w:snapToGrid w:val="0"/>
              </w:rPr>
            </w:pPr>
            <w:r w:rsidRPr="0011641B">
              <w:rPr>
                <w:noProof/>
              </w:rPr>
              <w:t>[Година: 2026]</w:t>
            </w:r>
          </w:p>
        </w:tc>
      </w:tr>
      <w:tr w:rsidR="004A5E08" w:rsidRPr="0011641B" w:rsidTr="006560DF">
        <w:trPr>
          <w:cantSplit/>
        </w:trPr>
        <w:tc>
          <w:tcPr>
            <w:tcW w:w="1322" w:type="dxa"/>
            <w:shd w:val="clear" w:color="auto" w:fill="auto"/>
          </w:tcPr>
          <w:p w:rsidR="004A5E08" w:rsidRPr="0011641B" w:rsidRDefault="004A5E08" w:rsidP="00151F04">
            <w:pPr>
              <w:spacing w:before="0" w:after="0"/>
              <w:jc w:val="left"/>
              <w:rPr>
                <w:noProof/>
              </w:rPr>
            </w:pPr>
            <w:r w:rsidRPr="0011641B">
              <w:rPr>
                <w:noProof/>
              </w:rPr>
              <w:t xml:space="preserve">Член 120 </w:t>
            </w:r>
          </w:p>
          <w:p w:rsidR="004A5E08" w:rsidRPr="0011641B" w:rsidRDefault="004A5E08" w:rsidP="00151F04">
            <w:pPr>
              <w:spacing w:before="0" w:after="0"/>
              <w:jc w:val="left"/>
              <w:rPr>
                <w:noProof/>
                <w:snapToGrid w:val="0"/>
              </w:rPr>
            </w:pPr>
          </w:p>
        </w:tc>
        <w:tc>
          <w:tcPr>
            <w:tcW w:w="2880" w:type="dxa"/>
          </w:tcPr>
          <w:p w:rsidR="004A5E08" w:rsidRPr="0011641B" w:rsidRDefault="004A5E08" w:rsidP="00151F04">
            <w:pPr>
              <w:spacing w:before="0" w:after="0"/>
              <w:jc w:val="left"/>
              <w:rPr>
                <w:i/>
                <w:noProof/>
                <w:snapToGrid w:val="0"/>
              </w:rPr>
            </w:pPr>
            <w:r w:rsidRPr="0011641B">
              <w:rPr>
                <w:i/>
                <w:noProof/>
              </w:rPr>
              <w:t>Отражение върху собствените ресурси</w:t>
            </w:r>
          </w:p>
        </w:tc>
        <w:tc>
          <w:tcPr>
            <w:tcW w:w="2070" w:type="dxa"/>
            <w:shd w:val="clear" w:color="auto" w:fill="auto"/>
          </w:tcPr>
          <w:p w:rsidR="004A5E08" w:rsidRPr="0011641B" w:rsidRDefault="004A5E08" w:rsidP="00151F04">
            <w:pPr>
              <w:spacing w:before="0" w:after="0"/>
              <w:jc w:val="left"/>
              <w:rPr>
                <w:noProof/>
                <w:snapToGrid w:val="0"/>
              </w:rPr>
            </w:pPr>
            <w:r w:rsidRPr="0011641B">
              <w:rPr>
                <w:noProof/>
                <w:snapToGrid w:val="0"/>
              </w:rPr>
              <w:t xml:space="preserve">      1.1.2026 г.</w:t>
            </w:r>
          </w:p>
        </w:tc>
        <w:tc>
          <w:tcPr>
            <w:tcW w:w="2070" w:type="dxa"/>
            <w:shd w:val="clear" w:color="auto" w:fill="auto"/>
          </w:tcPr>
          <w:p w:rsidR="004A5E08" w:rsidRPr="0011641B" w:rsidRDefault="00782F28" w:rsidP="00151F04">
            <w:pPr>
              <w:spacing w:before="0" w:after="0"/>
              <w:jc w:val="center"/>
              <w:rPr>
                <w:noProof/>
                <w:snapToGrid w:val="0"/>
              </w:rPr>
            </w:pPr>
            <w:r w:rsidRPr="0011641B">
              <w:rPr>
                <w:noProof/>
                <w:snapToGrid w:val="0"/>
              </w:rPr>
              <w:t>-0,15</w:t>
            </w:r>
          </w:p>
        </w:tc>
      </w:tr>
    </w:tbl>
    <w:p w:rsidR="004A5E08" w:rsidRPr="0011641B" w:rsidRDefault="004A5E08" w:rsidP="00151F04">
      <w:pPr>
        <w:rPr>
          <w:b/>
          <w:i/>
          <w:noProof/>
          <w:snapToGrid w:val="0"/>
        </w:rPr>
      </w:pPr>
    </w:p>
    <w:tbl>
      <w:tblPr>
        <w:tblW w:w="84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
        <w:gridCol w:w="1321"/>
        <w:gridCol w:w="823"/>
        <w:gridCol w:w="2144"/>
        <w:gridCol w:w="4106"/>
      </w:tblGrid>
      <w:tr w:rsidR="004A5E08" w:rsidRPr="0011641B" w:rsidTr="006560DF">
        <w:trPr>
          <w:gridBefore w:val="1"/>
          <w:wBefore w:w="6" w:type="dxa"/>
          <w:cantSplit/>
        </w:trPr>
        <w:tc>
          <w:tcPr>
            <w:tcW w:w="8394" w:type="dxa"/>
            <w:gridSpan w:val="4"/>
            <w:tcBorders>
              <w:top w:val="single" w:sz="4" w:space="0" w:color="auto"/>
              <w:left w:val="single" w:sz="4" w:space="0" w:color="auto"/>
              <w:bottom w:val="single" w:sz="4" w:space="0" w:color="auto"/>
              <w:right w:val="single" w:sz="4" w:space="0" w:color="auto"/>
            </w:tcBorders>
          </w:tcPr>
          <w:p w:rsidR="004A5E08" w:rsidRPr="0011641B" w:rsidRDefault="004A5E08" w:rsidP="00151F04">
            <w:pPr>
              <w:spacing w:line="276" w:lineRule="auto"/>
              <w:jc w:val="center"/>
              <w:rPr>
                <w:noProof/>
                <w:szCs w:val="24"/>
              </w:rPr>
            </w:pPr>
            <w:r w:rsidRPr="0011641B">
              <w:rPr>
                <w:noProof/>
              </w:rPr>
              <w:t>Положение след действието</w:t>
            </w:r>
          </w:p>
        </w:tc>
      </w:tr>
      <w:tr w:rsidR="004A5E08" w:rsidRPr="0011641B" w:rsidTr="006560DF">
        <w:trPr>
          <w:gridBefore w:val="1"/>
          <w:wBefore w:w="6" w:type="dxa"/>
          <w:cantSplit/>
        </w:trPr>
        <w:tc>
          <w:tcPr>
            <w:tcW w:w="1321" w:type="dxa"/>
            <w:tcBorders>
              <w:top w:val="single" w:sz="4" w:space="0" w:color="auto"/>
              <w:left w:val="single" w:sz="4" w:space="0" w:color="auto"/>
              <w:bottom w:val="single" w:sz="4" w:space="0" w:color="auto"/>
              <w:right w:val="single" w:sz="4" w:space="0" w:color="auto"/>
            </w:tcBorders>
          </w:tcPr>
          <w:p w:rsidR="004A5E08" w:rsidRPr="0011641B" w:rsidRDefault="004A5E08" w:rsidP="00151F04">
            <w:pPr>
              <w:spacing w:line="276" w:lineRule="auto"/>
              <w:jc w:val="center"/>
              <w:rPr>
                <w:noProof/>
                <w:szCs w:val="24"/>
              </w:rPr>
            </w:pPr>
          </w:p>
        </w:tc>
        <w:tc>
          <w:tcPr>
            <w:tcW w:w="7073" w:type="dxa"/>
            <w:gridSpan w:val="3"/>
            <w:tcBorders>
              <w:top w:val="single" w:sz="4" w:space="0" w:color="auto"/>
              <w:left w:val="single" w:sz="4" w:space="0" w:color="auto"/>
              <w:bottom w:val="single" w:sz="4" w:space="0" w:color="auto"/>
              <w:right w:val="single" w:sz="4" w:space="0" w:color="auto"/>
            </w:tcBorders>
          </w:tcPr>
          <w:p w:rsidR="004A5E08" w:rsidRPr="0011641B" w:rsidRDefault="004A5E08" w:rsidP="00151F04">
            <w:pPr>
              <w:spacing w:line="276" w:lineRule="auto"/>
              <w:jc w:val="center"/>
              <w:rPr>
                <w:noProof/>
                <w:szCs w:val="24"/>
              </w:rPr>
            </w:pPr>
            <w:r w:rsidRPr="0011641B">
              <w:rPr>
                <w:noProof/>
              </w:rPr>
              <w:t>[2026—2030 г.]</w:t>
            </w:r>
          </w:p>
        </w:tc>
      </w:tr>
      <w:tr w:rsidR="004A5E08" w:rsidRPr="0011641B" w:rsidTr="006560DF">
        <w:trPr>
          <w:gridBefore w:val="1"/>
          <w:wBefore w:w="6" w:type="dxa"/>
          <w:cantSplit/>
        </w:trPr>
        <w:tc>
          <w:tcPr>
            <w:tcW w:w="1321" w:type="dxa"/>
            <w:tcBorders>
              <w:top w:val="single" w:sz="4" w:space="0" w:color="auto"/>
              <w:left w:val="single" w:sz="4" w:space="0" w:color="auto"/>
              <w:bottom w:val="single" w:sz="4" w:space="0" w:color="auto"/>
              <w:right w:val="single" w:sz="4" w:space="0" w:color="auto"/>
            </w:tcBorders>
          </w:tcPr>
          <w:p w:rsidR="004A5E08" w:rsidRPr="0011641B" w:rsidRDefault="004A5E08" w:rsidP="00151F04">
            <w:pPr>
              <w:spacing w:line="276" w:lineRule="auto"/>
              <w:rPr>
                <w:noProof/>
                <w:szCs w:val="24"/>
              </w:rPr>
            </w:pPr>
            <w:r w:rsidRPr="0011641B">
              <w:rPr>
                <w:noProof/>
              </w:rPr>
              <w:t>Статия 120</w:t>
            </w:r>
          </w:p>
        </w:tc>
        <w:tc>
          <w:tcPr>
            <w:tcW w:w="7073" w:type="dxa"/>
            <w:gridSpan w:val="3"/>
            <w:tcBorders>
              <w:top w:val="single" w:sz="4" w:space="0" w:color="auto"/>
              <w:left w:val="single" w:sz="4" w:space="0" w:color="auto"/>
              <w:bottom w:val="single" w:sz="4" w:space="0" w:color="auto"/>
              <w:right w:val="single" w:sz="4" w:space="0" w:color="auto"/>
            </w:tcBorders>
          </w:tcPr>
          <w:p w:rsidR="004A5E08" w:rsidRPr="0011641B" w:rsidRDefault="00782F28" w:rsidP="00151F04">
            <w:pPr>
              <w:spacing w:line="276" w:lineRule="auto"/>
              <w:jc w:val="center"/>
              <w:rPr>
                <w:noProof/>
                <w:szCs w:val="24"/>
              </w:rPr>
            </w:pPr>
            <w:r w:rsidRPr="0011641B">
              <w:rPr>
                <w:noProof/>
              </w:rPr>
              <w:t>-0,15 млн. евро годишно</w:t>
            </w:r>
          </w:p>
        </w:tc>
      </w:tr>
      <w:tr w:rsidR="004A5E08" w:rsidRPr="0011641B" w:rsidTr="00656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106" w:type="dxa"/>
        </w:trPr>
        <w:tc>
          <w:tcPr>
            <w:tcW w:w="215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A5E08" w:rsidRPr="0011641B" w:rsidRDefault="004A5E08" w:rsidP="00151F04">
            <w:pPr>
              <w:pStyle w:val="Text1"/>
              <w:rPr>
                <w:noProof/>
              </w:rPr>
            </w:pPr>
          </w:p>
        </w:tc>
        <w:tc>
          <w:tcPr>
            <w:tcW w:w="21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4A5E08" w:rsidRPr="0011641B" w:rsidRDefault="004A5E08" w:rsidP="00151F04">
            <w:pPr>
              <w:pStyle w:val="Text1"/>
              <w:rPr>
                <w:noProof/>
              </w:rPr>
            </w:pPr>
          </w:p>
        </w:tc>
      </w:tr>
    </w:tbl>
    <w:p w:rsidR="00CE64C9" w:rsidRPr="0011641B" w:rsidRDefault="00CE64C9" w:rsidP="00151F04">
      <w:pPr>
        <w:pStyle w:val="Text1"/>
        <w:rPr>
          <w:noProof/>
        </w:rPr>
      </w:pPr>
      <w:r w:rsidRPr="0011641B">
        <w:rPr>
          <w:noProof/>
        </w:rPr>
        <w:t>Приложението съдържа 62 нови продукта. Съответстващите на тези суспендирания несъбрани мита, изчислени въз основа на прогнозите на подалите искания държави членки за периода 2026—2030 г., възлизат на 15 332 530 EUR годишно.</w:t>
      </w:r>
    </w:p>
    <w:p w:rsidR="00CE64C9" w:rsidRPr="0011641B" w:rsidRDefault="004A5E08" w:rsidP="00151F04">
      <w:pPr>
        <w:pStyle w:val="Text1"/>
        <w:rPr>
          <w:noProof/>
        </w:rPr>
      </w:pPr>
      <w:r w:rsidRPr="0011641B">
        <w:rPr>
          <w:noProof/>
        </w:rPr>
        <w:t>Въз основа на съществуващите статистически данни за предходните години обаче изглежда, че тази сума трябва да се увеличи, като се умножи със среден коефициент, изчислен на 1,8, за да се отчете вносът в други държави членки, които прилагат същите суспендирания. Това означава несъбрани мита на стойност около 27 598 554 EUR годишно.</w:t>
      </w:r>
    </w:p>
    <w:p w:rsidR="004A5E08" w:rsidRPr="0011641B" w:rsidRDefault="00AB2152" w:rsidP="00151F04">
      <w:pPr>
        <w:pStyle w:val="Text1"/>
        <w:rPr>
          <w:noProof/>
        </w:rPr>
      </w:pPr>
      <w:r w:rsidRPr="0011641B">
        <w:rPr>
          <w:noProof/>
        </w:rPr>
        <w:t xml:space="preserve">От приложението са заличени 131 продукта, тъй като върху тях отново са наложени мита. Това представлява увеличение на събираните мита с </w:t>
      </w:r>
      <w:bookmarkStart w:id="3" w:name="_Hlk208307212"/>
      <w:r w:rsidRPr="0011641B">
        <w:rPr>
          <w:noProof/>
        </w:rPr>
        <w:t>27 393 495</w:t>
      </w:r>
      <w:bookmarkEnd w:id="3"/>
      <w:r w:rsidRPr="0011641B">
        <w:rPr>
          <w:noProof/>
        </w:rPr>
        <w:t xml:space="preserve"> EUR годишно, изчислено въз основа на статистическите данни за 2024 г.</w:t>
      </w:r>
    </w:p>
    <w:p w:rsidR="004A5E08" w:rsidRPr="0011641B" w:rsidRDefault="004A5E08" w:rsidP="00151F04">
      <w:pPr>
        <w:pStyle w:val="Text1"/>
        <w:rPr>
          <w:noProof/>
        </w:rPr>
      </w:pPr>
      <w:bookmarkStart w:id="4" w:name="_Hlk191656742"/>
      <w:r w:rsidRPr="0011641B">
        <w:rPr>
          <w:noProof/>
        </w:rPr>
        <w:t>Въз основа на гореизложеното отражението на настоящия регламент върху загубата на приходи за бюджета на ЕС се оценява на 27 598 554 – 27 393 495 = 205 059 EUR (брутна сума, включително разходите по събирането) x 0,75 = 153 794 EUR годишно.</w:t>
      </w:r>
    </w:p>
    <w:bookmarkEnd w:id="4"/>
    <w:p w:rsidR="004A5E08" w:rsidRPr="0011641B" w:rsidRDefault="00E27441" w:rsidP="00E27441">
      <w:pPr>
        <w:pStyle w:val="ManualHeading1"/>
        <w:rPr>
          <w:bCs/>
          <w:noProof/>
          <w:szCs w:val="24"/>
        </w:rPr>
      </w:pPr>
      <w:r w:rsidRPr="00E27441">
        <w:rPr>
          <w:noProof/>
        </w:rPr>
        <w:t>4.</w:t>
      </w:r>
      <w:r w:rsidRPr="00E27441">
        <w:rPr>
          <w:noProof/>
        </w:rPr>
        <w:tab/>
      </w:r>
      <w:r w:rsidR="004A5E08" w:rsidRPr="0011641B">
        <w:rPr>
          <w:noProof/>
        </w:rPr>
        <w:t>МЕРКИ ЗА БОРБА С ИЗМАМИТЕ</w:t>
      </w:r>
    </w:p>
    <w:p w:rsidR="004A5E08" w:rsidRPr="0011641B" w:rsidRDefault="004A5E08" w:rsidP="00151F04">
      <w:pPr>
        <w:pStyle w:val="Text1"/>
        <w:rPr>
          <w:noProof/>
        </w:rPr>
      </w:pPr>
      <w:r w:rsidRPr="0011641B">
        <w:rPr>
          <w:noProof/>
        </w:rPr>
        <w:t>В съответствие с член 254 от Регламент (ЕС) № 952/2013 ще се провеждат проверки за специфичната употреба на някои от продуктите, обхванати от настоящия регламент на Съвета.</w:t>
      </w:r>
    </w:p>
    <w:p w:rsidR="004A5E08" w:rsidRPr="0011641B" w:rsidRDefault="004A5E08" w:rsidP="00151F04">
      <w:pPr>
        <w:pStyle w:val="Text1"/>
        <w:rPr>
          <w:noProof/>
        </w:rPr>
      </w:pPr>
      <w:r w:rsidRPr="0011641B">
        <w:rPr>
          <w:noProof/>
        </w:rPr>
        <w:t>Освен това държавите членки имат право да извършват всякакъв митнически контрол, който считат за подходящ в рамките на управлението на риска, което предприемат, както е предвидено в член 46 от Регламент (ЕС) № 952/2013.</w:t>
      </w:r>
    </w:p>
    <w:sectPr w:rsidR="004A5E08" w:rsidRPr="0011641B" w:rsidSect="00657AAB">
      <w:footnotePr>
        <w:numRestart w:val="eachSect"/>
      </w:footnotePr>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A39" w:rsidRDefault="007A2A39">
      <w:r>
        <w:separator/>
      </w:r>
    </w:p>
  </w:endnote>
  <w:endnote w:type="continuationSeparator" w:id="0">
    <w:p w:rsidR="007A2A39" w:rsidRDefault="007A2A39">
      <w:r>
        <w:continuationSeparator/>
      </w:r>
    </w:p>
  </w:endnote>
  <w:endnote w:type="continuationNotice" w:id="1">
    <w:p w:rsidR="007A2A39" w:rsidRDefault="007A2A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Pr="00657AAB" w:rsidRDefault="00657AAB" w:rsidP="00657AAB">
    <w:pPr>
      <w:pStyle w:val="Footer"/>
      <w:rPr>
        <w:rFonts w:ascii="Arial" w:hAnsi="Arial" w:cs="Arial"/>
        <w:b/>
        <w:sz w:val="48"/>
      </w:rPr>
    </w:pPr>
    <w:r w:rsidRPr="00657AAB">
      <w:rPr>
        <w:rFonts w:ascii="Arial" w:hAnsi="Arial" w:cs="Arial"/>
        <w:b/>
        <w:sz w:val="48"/>
      </w:rPr>
      <w:t>BG</w:t>
    </w:r>
    <w:r w:rsidRPr="00657AAB">
      <w:rPr>
        <w:rFonts w:ascii="Arial" w:hAnsi="Arial" w:cs="Arial"/>
        <w:b/>
        <w:sz w:val="48"/>
      </w:rPr>
      <w:tab/>
    </w:r>
    <w:r w:rsidRPr="00657AAB">
      <w:rPr>
        <w:rFonts w:ascii="Arial" w:hAnsi="Arial" w:cs="Arial"/>
        <w:b/>
        <w:sz w:val="48"/>
      </w:rPr>
      <w:tab/>
    </w:r>
    <w:r w:rsidRPr="00657AAB">
      <w:tab/>
    </w:r>
    <w:r w:rsidRPr="00657AAB">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Pr="00657AAB" w:rsidRDefault="00657AAB" w:rsidP="00657AAB">
    <w:pPr>
      <w:pStyle w:val="Footer"/>
      <w:rPr>
        <w:rFonts w:ascii="Arial" w:hAnsi="Arial" w:cs="Arial"/>
        <w:b/>
        <w:sz w:val="48"/>
      </w:rPr>
    </w:pPr>
    <w:r w:rsidRPr="00657AAB">
      <w:rPr>
        <w:rFonts w:ascii="Arial" w:hAnsi="Arial" w:cs="Arial"/>
        <w:b/>
        <w:sz w:val="48"/>
      </w:rPr>
      <w:t>BG</w:t>
    </w:r>
    <w:r w:rsidRPr="00657AAB">
      <w:rPr>
        <w:rFonts w:ascii="Arial" w:hAnsi="Arial" w:cs="Arial"/>
        <w:b/>
        <w:sz w:val="48"/>
      </w:rPr>
      <w:tab/>
    </w:r>
    <w:r w:rsidRPr="00657AAB">
      <w:rPr>
        <w:rFonts w:ascii="Arial" w:hAnsi="Arial" w:cs="Arial"/>
        <w:b/>
        <w:sz w:val="48"/>
      </w:rPr>
      <w:tab/>
    </w:r>
    <w:r w:rsidRPr="00657AAB">
      <w:tab/>
    </w:r>
    <w:r w:rsidRPr="00657AAB">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Default="00657A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Pr="00657AAB" w:rsidRDefault="00657AAB" w:rsidP="00657AAB">
    <w:pPr>
      <w:pStyle w:val="Footer"/>
      <w:rPr>
        <w:rFonts w:ascii="Arial" w:hAnsi="Arial" w:cs="Arial"/>
        <w:b/>
        <w:sz w:val="48"/>
      </w:rPr>
    </w:pPr>
    <w:r w:rsidRPr="00657AAB">
      <w:rPr>
        <w:rFonts w:ascii="Arial" w:hAnsi="Arial" w:cs="Arial"/>
        <w:b/>
        <w:sz w:val="48"/>
      </w:rPr>
      <w:t>BG</w:t>
    </w:r>
    <w:r w:rsidRPr="00657AAB">
      <w:rPr>
        <w:rFonts w:ascii="Arial" w:hAnsi="Arial" w:cs="Arial"/>
        <w:b/>
        <w:sz w:val="48"/>
      </w:rPr>
      <w:tab/>
    </w:r>
    <w:r>
      <w:fldChar w:fldCharType="begin"/>
    </w:r>
    <w:r>
      <w:instrText xml:space="preserve"> PAGE  \* MERGEFORMAT </w:instrText>
    </w:r>
    <w:r>
      <w:fldChar w:fldCharType="separate"/>
    </w:r>
    <w:r w:rsidR="001E2127">
      <w:rPr>
        <w:noProof/>
      </w:rPr>
      <w:t>6</w:t>
    </w:r>
    <w:r>
      <w:fldChar w:fldCharType="end"/>
    </w:r>
    <w:r>
      <w:tab/>
    </w:r>
    <w:r w:rsidRPr="00657AAB">
      <w:tab/>
    </w:r>
    <w:r w:rsidRPr="00657AAB">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Default="00657AAB" w:rsidP="0065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A39" w:rsidRDefault="007A2A39">
      <w:r>
        <w:separator/>
      </w:r>
    </w:p>
  </w:footnote>
  <w:footnote w:type="continuationSeparator" w:id="0">
    <w:p w:rsidR="007A2A39" w:rsidRDefault="007A2A39">
      <w:r>
        <w:continuationSeparator/>
      </w:r>
    </w:p>
  </w:footnote>
  <w:footnote w:type="continuationNotice" w:id="1">
    <w:p w:rsidR="007A2A39" w:rsidRDefault="007A2A39">
      <w:pPr>
        <w:spacing w:before="0" w:after="0"/>
      </w:pPr>
    </w:p>
  </w:footnote>
  <w:footnote w:id="2">
    <w:p w:rsidR="00F97099" w:rsidRPr="002B24EA" w:rsidRDefault="00F97099">
      <w:pPr>
        <w:pStyle w:val="FootnoteText"/>
      </w:pPr>
      <w:r>
        <w:rPr>
          <w:rStyle w:val="FootnoteReference"/>
        </w:rPr>
        <w:footnoteRef/>
      </w:r>
      <w:r>
        <w:tab/>
        <w:t>ОВ L 466, 29.12.2021 г., стр. 1.</w:t>
      </w:r>
    </w:p>
  </w:footnote>
  <w:footnote w:id="3">
    <w:p w:rsidR="004A5E08" w:rsidRPr="002B24EA" w:rsidRDefault="004A5E08" w:rsidP="004A5E08">
      <w:pPr>
        <w:pStyle w:val="FootnoteText"/>
      </w:pPr>
      <w:r>
        <w:rPr>
          <w:rStyle w:val="FootnoteReference"/>
        </w:rPr>
        <w:footnoteRef/>
      </w:r>
      <w:r>
        <w:tab/>
        <w:t>OВ C 363, 13.12.2011 г., стр. 6.</w:t>
      </w:r>
    </w:p>
  </w:footnote>
  <w:footnote w:id="4">
    <w:p w:rsidR="00DD4CE4" w:rsidRPr="002B24EA" w:rsidRDefault="00DD4CE4">
      <w:pPr>
        <w:pStyle w:val="FootnoteText"/>
      </w:pPr>
      <w:r>
        <w:rPr>
          <w:rStyle w:val="FootnoteReference"/>
        </w:rPr>
        <w:footnoteRef/>
      </w:r>
      <w:r>
        <w:tab/>
        <w:t>https://taxation-customs.ec.europa.eu/system/files/2016-09/evaluation_suspensions_duties.pdf</w:t>
      </w:r>
    </w:p>
  </w:footnote>
  <w:footnote w:id="5">
    <w:p w:rsidR="0075670A" w:rsidRPr="00F41A39" w:rsidRDefault="0075670A" w:rsidP="0075670A">
      <w:pPr>
        <w:pStyle w:val="FootnoteText"/>
      </w:pPr>
      <w:r>
        <w:rPr>
          <w:rStyle w:val="FootnoteReference"/>
        </w:rPr>
        <w:footnoteRef/>
      </w:r>
      <w:r>
        <w:tab/>
        <w:t>Регламент (ЕС) № 952/2013 на Европейския парламент и на Съвета от 9 октомври 2013 г. за създаване на Митнически кодекс на Съюза (ОВ L 269, 10.10.2013 г., стр. 1, ELI: </w:t>
      </w:r>
      <w:hyperlink r:id="rId1" w:tooltip="Gives access to this document through its ELI URI." w:history="1">
        <w:r>
          <w:rPr>
            <w:rStyle w:val="Hyperlink"/>
          </w:rPr>
          <w:t>http://data.europa.eu/eli/reg/2013/952/oj</w:t>
        </w:r>
      </w:hyperlink>
      <w:r>
        <w:t>).</w:t>
      </w:r>
    </w:p>
  </w:footnote>
  <w:footnote w:id="6">
    <w:p w:rsidR="003A5FBC" w:rsidRPr="00605EE7" w:rsidRDefault="0075670A" w:rsidP="003A5FBC">
      <w:pPr>
        <w:pStyle w:val="FootnoteText"/>
      </w:pPr>
      <w:r>
        <w:rPr>
          <w:rStyle w:val="FootnoteReference"/>
        </w:rPr>
        <w:footnoteRef/>
      </w:r>
      <w:r>
        <w:tab/>
        <w:t>Регламент (ЕС) 2021/2278 на Съвета от 20 декември 2021 г. за суспендиране на митата по Общата митническа тарифа, посочени в член 56, параграф 2, буква в) от Регламент (ЕС) № 952/2013, за някои селскостопански и промишлени продукти, както и за отмяна на Регламент (ЕС) № 1387/2013 (ОВ L 466, 29.12.2021 г., стр. 1, ELI: </w:t>
      </w:r>
      <w:hyperlink r:id="rId2" w:tooltip="Gives access to this document through its ELI URI." w:history="1">
        <w:r>
          <w:t>http://data.europa.eu/eli/reg/2021/2278/oj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Default="0065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AAB" w:rsidRDefault="0065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B2CA9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4326C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B8E816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F20F3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D24F1C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54259A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A1E91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2E11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20"/>
  </w:num>
  <w:num w:numId="12">
    <w:abstractNumId w:val="22"/>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fi-FI" w:vendorID="64" w:dllVersion="6" w:nlCheck="1" w:checkStyle="0"/>
  <w:activeWritingStyle w:appName="MSWord" w:lang="fi-FI"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nsidérant" w:val="Considérant__1"/>
    <w:docVar w:name="Copylist_Path" w:val="\\at100\user\wk\SEILEG\Lw5x\Copylist\CecCons\Template"/>
    <w:docVar w:name="DQCDateTime" w:val="2025-11-11 17:32: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84EB25C-7BD8-42DA-9DEF-6895A34C1731"/>
    <w:docVar w:name="LW_COVERPAGE_TYPE" w:val="1"/>
    <w:docVar w:name="LW_CROSSREFERENCE" w:val="&lt;UNUSED&gt;"/>
    <w:docVar w:name="LW_DocType" w:val="COM"/>
    <w:docVar w:name="LW_EMISSION" w:val="30.10.2025"/>
    <w:docVar w:name="LW_EMISSION_ISODATE" w:val="2025-10-30"/>
    <w:docVar w:name="LW_EMISSION_LOCATION" w:val="BRX"/>
    <w:docVar w:name="LW_EMISSION_PREFIX" w:val="\u1041?\u1088?\u1102?\u1082?\u1089?\u1077?\u1083?, "/>
    <w:docVar w:name="LW_EMISSION_SUFFIX" w:val=" \u1075?."/>
    <w:docVar w:name="LW_ID_DOCMODEL" w:val="b01"/>
    <w:docVar w:name="LW_ID_DOCSIGNATURE" w:val="SJ-016"/>
    <w:docVar w:name="LW_ID_DOCSTRUCTURE" w:val="COM/PL/ORG"/>
    <w:docVar w:name="LW_ID_DOCTYPE" w:val="SJ-016"/>
    <w:docVar w:name="LW_ID_STATUT" w:val="PROPOSAL"/>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37"/>
    <w:docVar w:name="LW_REF.II.NEW.CP_YEAR" w:val="2025"/>
    <w:docVar w:name="LW_REF.INST.NEW" w:val="COM"/>
    <w:docVar w:name="LW_REF.INST.NEW_ADOPTED" w:val="final"/>
    <w:docVar w:name="LW_REF.INST.NEW_TEXT" w:val="(2025) 6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2021/2278 \u1079?\u1072? \u1089?\u1091?\u1089?\u1087?\u1077?\u1085?\u1076?\u1080?\u1088?\u1072?\u1085?\u1077? \u1085?\u1072? \u1084?\u1080?\u1090?\u1072?\u1090?\u1072? \u1087?\u1086? \u1054?\u1073?\u1097?\u1072?\u1090?\u1072? \u1084?\u1080?\u1090?\u1085?\u1080?\u1095?\u1077?\u1089?\u1082?\u1072? \u1090?\u1072?\u1088?\u1080?\u1092?\u1072?, \u1087?\u1086?\u1089?\u1086?\u1095?\u1077?\u1085?\u1080? \u1074? \u1095?\u1083?\u1077?\u1085? 56, \u1087?\u1072?\u1088?\u1072?\u1075?\u1088?\u1072?\u1092? 2, \u1073?\u1091?\u1082?\u1074?\u1072? \u1074?) \u1086?\u1090? \u1056?\u1077?\u1075?\u1083?\u1072?\u1084?\u1077?\u1085?\u1090? (\u1045?\u1057?) \u8470? 952/2013 \u1085?\u1072? \u1045?\u1074?\u1088?\u1086?\u1087?\u1077?\u1081?\u1089?\u1082?\u1080?\u1103? \u1087?\u1072?\u1088?\u1083?\u1072?\u1084?\u1077?\u1085?\u1090? \u1080? \u1085?\u1072? \u1057?\u1098?\u1074?\u1077?\u1090?\u1072?, \u1079?\u1072? \u1085?\u1103?\u1082?\u1086?\u1080? \u1089?\u1077?\u1083?\u1089?\u1082?\u1086?\u1089?\u1090?\u1086?\u1087?\u1072?\u1085?\u1089?\u1082?\u1080? \u1080? \u1087?\u1088?\u1086?\u1084?\u1080?\u1096?\u1083?\u1077?\u1085?\u1080? \u1087?\u1088?\u1086?\u1076?\u1091?\u1082?\u1090?\u1080?"/>
    <w:docVar w:name="LW_TITRE.OBJ.CP_PREVIOUS" w:val="&lt;UNUSED&gt;"/>
    <w:docVar w:name="LW_TYPE.DOC.CP" w:val="\u1056?\u1045?\u1043?\u1051?\u1040?\u1052?\u1045?\u1053?\u1058? \u1053?\u1040? \u1057?\u1066?\u1042?\u1045?\u1058?\u1040?"/>
    <w:docVar w:name="LwApiVersions" w:val="LW4CoDe 1.24.5.0; LW 9.0, Build 20240221"/>
    <w:docVar w:name="VSSDB_IniPath" w:val="\\at100\user\wovo\SEILEG\vss\srcsafe.ini"/>
    <w:docVar w:name="VSSDB_ProjectPath" w:val="$/LegisWrite/DOT/COM"/>
  </w:docVars>
  <w:rsids>
    <w:rsidRoot w:val="00D34740"/>
    <w:rsid w:val="00004B01"/>
    <w:rsid w:val="00004CD3"/>
    <w:rsid w:val="00005907"/>
    <w:rsid w:val="0000704F"/>
    <w:rsid w:val="0000758D"/>
    <w:rsid w:val="00011B3F"/>
    <w:rsid w:val="00012F6C"/>
    <w:rsid w:val="00013EED"/>
    <w:rsid w:val="00014925"/>
    <w:rsid w:val="00015B39"/>
    <w:rsid w:val="00027C1B"/>
    <w:rsid w:val="00030E2C"/>
    <w:rsid w:val="00036EF7"/>
    <w:rsid w:val="00043514"/>
    <w:rsid w:val="00043D79"/>
    <w:rsid w:val="00052BDF"/>
    <w:rsid w:val="00057E8A"/>
    <w:rsid w:val="000628EE"/>
    <w:rsid w:val="00062957"/>
    <w:rsid w:val="0006316B"/>
    <w:rsid w:val="0006339B"/>
    <w:rsid w:val="00063BFE"/>
    <w:rsid w:val="00065769"/>
    <w:rsid w:val="00066EE5"/>
    <w:rsid w:val="00074F2F"/>
    <w:rsid w:val="000753F0"/>
    <w:rsid w:val="00077AC1"/>
    <w:rsid w:val="0008014F"/>
    <w:rsid w:val="00080A36"/>
    <w:rsid w:val="00082AF2"/>
    <w:rsid w:val="00082CC3"/>
    <w:rsid w:val="00084185"/>
    <w:rsid w:val="000849C8"/>
    <w:rsid w:val="0008763E"/>
    <w:rsid w:val="000908B3"/>
    <w:rsid w:val="00092294"/>
    <w:rsid w:val="000926F7"/>
    <w:rsid w:val="000937A5"/>
    <w:rsid w:val="000A22D5"/>
    <w:rsid w:val="000A51B0"/>
    <w:rsid w:val="000B0DC4"/>
    <w:rsid w:val="000B3B35"/>
    <w:rsid w:val="000B7E7B"/>
    <w:rsid w:val="000C2192"/>
    <w:rsid w:val="000C3019"/>
    <w:rsid w:val="000C52AD"/>
    <w:rsid w:val="000D351A"/>
    <w:rsid w:val="000D5E7C"/>
    <w:rsid w:val="000D71B5"/>
    <w:rsid w:val="000D74CE"/>
    <w:rsid w:val="000E030F"/>
    <w:rsid w:val="000E2825"/>
    <w:rsid w:val="000E3141"/>
    <w:rsid w:val="000E4433"/>
    <w:rsid w:val="000F0140"/>
    <w:rsid w:val="000F1B4C"/>
    <w:rsid w:val="000F6CCD"/>
    <w:rsid w:val="00102D23"/>
    <w:rsid w:val="001048E2"/>
    <w:rsid w:val="00105CF0"/>
    <w:rsid w:val="00106175"/>
    <w:rsid w:val="00106B04"/>
    <w:rsid w:val="001104FD"/>
    <w:rsid w:val="00110F44"/>
    <w:rsid w:val="00113872"/>
    <w:rsid w:val="00114503"/>
    <w:rsid w:val="00115AC1"/>
    <w:rsid w:val="001163B3"/>
    <w:rsid w:val="0011641B"/>
    <w:rsid w:val="001167B1"/>
    <w:rsid w:val="00124213"/>
    <w:rsid w:val="00125406"/>
    <w:rsid w:val="00131343"/>
    <w:rsid w:val="00132626"/>
    <w:rsid w:val="0013507F"/>
    <w:rsid w:val="00137F38"/>
    <w:rsid w:val="00140418"/>
    <w:rsid w:val="00141685"/>
    <w:rsid w:val="00141F5E"/>
    <w:rsid w:val="001469B9"/>
    <w:rsid w:val="00151B11"/>
    <w:rsid w:val="00151C93"/>
    <w:rsid w:val="00151F04"/>
    <w:rsid w:val="001522A0"/>
    <w:rsid w:val="001536A7"/>
    <w:rsid w:val="001570EF"/>
    <w:rsid w:val="00160BC2"/>
    <w:rsid w:val="00160DBF"/>
    <w:rsid w:val="001614B1"/>
    <w:rsid w:val="00162E5B"/>
    <w:rsid w:val="00166C69"/>
    <w:rsid w:val="00167B43"/>
    <w:rsid w:val="001721B8"/>
    <w:rsid w:val="001730F9"/>
    <w:rsid w:val="00173B7F"/>
    <w:rsid w:val="00176841"/>
    <w:rsid w:val="00176AA4"/>
    <w:rsid w:val="001777E5"/>
    <w:rsid w:val="00180CB6"/>
    <w:rsid w:val="00181A9B"/>
    <w:rsid w:val="00185618"/>
    <w:rsid w:val="0018661C"/>
    <w:rsid w:val="00193527"/>
    <w:rsid w:val="001940D8"/>
    <w:rsid w:val="00195D99"/>
    <w:rsid w:val="001A0AB5"/>
    <w:rsid w:val="001A39BD"/>
    <w:rsid w:val="001A47F7"/>
    <w:rsid w:val="001A680C"/>
    <w:rsid w:val="001B20C7"/>
    <w:rsid w:val="001B2D61"/>
    <w:rsid w:val="001B31DC"/>
    <w:rsid w:val="001B5DC5"/>
    <w:rsid w:val="001C19F7"/>
    <w:rsid w:val="001C1CD7"/>
    <w:rsid w:val="001C3802"/>
    <w:rsid w:val="001D1A88"/>
    <w:rsid w:val="001D1F4F"/>
    <w:rsid w:val="001D28EB"/>
    <w:rsid w:val="001D7621"/>
    <w:rsid w:val="001E0B23"/>
    <w:rsid w:val="001E0B57"/>
    <w:rsid w:val="001E1216"/>
    <w:rsid w:val="001E2127"/>
    <w:rsid w:val="001E3BBE"/>
    <w:rsid w:val="001E5809"/>
    <w:rsid w:val="001E5A41"/>
    <w:rsid w:val="001E6B33"/>
    <w:rsid w:val="001E7CF8"/>
    <w:rsid w:val="001F1AC9"/>
    <w:rsid w:val="001F2AE3"/>
    <w:rsid w:val="001F5821"/>
    <w:rsid w:val="00200E6D"/>
    <w:rsid w:val="002019B6"/>
    <w:rsid w:val="00204F34"/>
    <w:rsid w:val="00206290"/>
    <w:rsid w:val="00206B9C"/>
    <w:rsid w:val="00210953"/>
    <w:rsid w:val="002133F8"/>
    <w:rsid w:val="002167F3"/>
    <w:rsid w:val="00216850"/>
    <w:rsid w:val="0021793A"/>
    <w:rsid w:val="00220003"/>
    <w:rsid w:val="00222A8F"/>
    <w:rsid w:val="00223ABB"/>
    <w:rsid w:val="0022487F"/>
    <w:rsid w:val="00231491"/>
    <w:rsid w:val="00234FA1"/>
    <w:rsid w:val="002372EF"/>
    <w:rsid w:val="00242C1C"/>
    <w:rsid w:val="00244BEA"/>
    <w:rsid w:val="00246810"/>
    <w:rsid w:val="00250E99"/>
    <w:rsid w:val="00257A1A"/>
    <w:rsid w:val="00263C2D"/>
    <w:rsid w:val="00265CB7"/>
    <w:rsid w:val="00267429"/>
    <w:rsid w:val="0027008B"/>
    <w:rsid w:val="00272122"/>
    <w:rsid w:val="002727E3"/>
    <w:rsid w:val="0027443F"/>
    <w:rsid w:val="00281975"/>
    <w:rsid w:val="00281F80"/>
    <w:rsid w:val="0028347A"/>
    <w:rsid w:val="00284102"/>
    <w:rsid w:val="00285D45"/>
    <w:rsid w:val="002867EA"/>
    <w:rsid w:val="0029182F"/>
    <w:rsid w:val="002948B6"/>
    <w:rsid w:val="0029517E"/>
    <w:rsid w:val="00296450"/>
    <w:rsid w:val="002A0D37"/>
    <w:rsid w:val="002A674C"/>
    <w:rsid w:val="002A71FD"/>
    <w:rsid w:val="002A75C0"/>
    <w:rsid w:val="002B1FAD"/>
    <w:rsid w:val="002B24EA"/>
    <w:rsid w:val="002B2C9C"/>
    <w:rsid w:val="002B630D"/>
    <w:rsid w:val="002C5B26"/>
    <w:rsid w:val="002C5DFE"/>
    <w:rsid w:val="002C7D0C"/>
    <w:rsid w:val="002D097B"/>
    <w:rsid w:val="002D23B5"/>
    <w:rsid w:val="002D4F29"/>
    <w:rsid w:val="002D730C"/>
    <w:rsid w:val="002E055D"/>
    <w:rsid w:val="002E061F"/>
    <w:rsid w:val="002E3DEA"/>
    <w:rsid w:val="002F0044"/>
    <w:rsid w:val="002F0128"/>
    <w:rsid w:val="002F0C0A"/>
    <w:rsid w:val="002F41D8"/>
    <w:rsid w:val="002F7C22"/>
    <w:rsid w:val="00305B90"/>
    <w:rsid w:val="00307B89"/>
    <w:rsid w:val="0031113D"/>
    <w:rsid w:val="00311487"/>
    <w:rsid w:val="00314D3A"/>
    <w:rsid w:val="00316660"/>
    <w:rsid w:val="00316B51"/>
    <w:rsid w:val="00316D2F"/>
    <w:rsid w:val="0031712C"/>
    <w:rsid w:val="00321631"/>
    <w:rsid w:val="0032242D"/>
    <w:rsid w:val="00333C0D"/>
    <w:rsid w:val="00335BA8"/>
    <w:rsid w:val="00340A3C"/>
    <w:rsid w:val="003425B7"/>
    <w:rsid w:val="00342FAD"/>
    <w:rsid w:val="00343141"/>
    <w:rsid w:val="00343EE8"/>
    <w:rsid w:val="0034460A"/>
    <w:rsid w:val="00344C1C"/>
    <w:rsid w:val="00347CCE"/>
    <w:rsid w:val="0036432E"/>
    <w:rsid w:val="003670A2"/>
    <w:rsid w:val="00371CA8"/>
    <w:rsid w:val="00371EA7"/>
    <w:rsid w:val="00377F02"/>
    <w:rsid w:val="00380AB5"/>
    <w:rsid w:val="00381EDF"/>
    <w:rsid w:val="003821F7"/>
    <w:rsid w:val="00384C7B"/>
    <w:rsid w:val="00390288"/>
    <w:rsid w:val="00397612"/>
    <w:rsid w:val="00397A94"/>
    <w:rsid w:val="003A5FBC"/>
    <w:rsid w:val="003B0BDD"/>
    <w:rsid w:val="003B20A1"/>
    <w:rsid w:val="003B29D1"/>
    <w:rsid w:val="003B3585"/>
    <w:rsid w:val="003B37D9"/>
    <w:rsid w:val="003B49E4"/>
    <w:rsid w:val="003B57DD"/>
    <w:rsid w:val="003B5C98"/>
    <w:rsid w:val="003B6B9F"/>
    <w:rsid w:val="003C191B"/>
    <w:rsid w:val="003C2A9D"/>
    <w:rsid w:val="003C3D52"/>
    <w:rsid w:val="003C4FD7"/>
    <w:rsid w:val="003C51EE"/>
    <w:rsid w:val="003D2939"/>
    <w:rsid w:val="003D2BFA"/>
    <w:rsid w:val="003D5212"/>
    <w:rsid w:val="003D5AE4"/>
    <w:rsid w:val="003E0841"/>
    <w:rsid w:val="003E0C68"/>
    <w:rsid w:val="003E2851"/>
    <w:rsid w:val="003E296E"/>
    <w:rsid w:val="003E3F32"/>
    <w:rsid w:val="003E4445"/>
    <w:rsid w:val="003F0950"/>
    <w:rsid w:val="003F0F7B"/>
    <w:rsid w:val="003F29BB"/>
    <w:rsid w:val="003F49FA"/>
    <w:rsid w:val="003F6B03"/>
    <w:rsid w:val="003F77DB"/>
    <w:rsid w:val="004021C9"/>
    <w:rsid w:val="004027DA"/>
    <w:rsid w:val="0040317C"/>
    <w:rsid w:val="004046C0"/>
    <w:rsid w:val="004104B5"/>
    <w:rsid w:val="00417EA9"/>
    <w:rsid w:val="00420619"/>
    <w:rsid w:val="00422DD6"/>
    <w:rsid w:val="004243B9"/>
    <w:rsid w:val="00424639"/>
    <w:rsid w:val="00427F25"/>
    <w:rsid w:val="00431600"/>
    <w:rsid w:val="0043214B"/>
    <w:rsid w:val="00434F7E"/>
    <w:rsid w:val="00435A09"/>
    <w:rsid w:val="00437683"/>
    <w:rsid w:val="00446BC1"/>
    <w:rsid w:val="0044783B"/>
    <w:rsid w:val="00447C0A"/>
    <w:rsid w:val="00451B0E"/>
    <w:rsid w:val="0045495F"/>
    <w:rsid w:val="00456421"/>
    <w:rsid w:val="00457F26"/>
    <w:rsid w:val="00462844"/>
    <w:rsid w:val="0046295A"/>
    <w:rsid w:val="00470147"/>
    <w:rsid w:val="004743C8"/>
    <w:rsid w:val="004750DE"/>
    <w:rsid w:val="004765E7"/>
    <w:rsid w:val="00482DC9"/>
    <w:rsid w:val="00483B09"/>
    <w:rsid w:val="00485790"/>
    <w:rsid w:val="00490BB0"/>
    <w:rsid w:val="004928A8"/>
    <w:rsid w:val="004948C9"/>
    <w:rsid w:val="00494D5B"/>
    <w:rsid w:val="004950F3"/>
    <w:rsid w:val="004967C1"/>
    <w:rsid w:val="004A1AED"/>
    <w:rsid w:val="004A4F82"/>
    <w:rsid w:val="004A5E08"/>
    <w:rsid w:val="004A68DF"/>
    <w:rsid w:val="004A68F4"/>
    <w:rsid w:val="004B0E69"/>
    <w:rsid w:val="004B1233"/>
    <w:rsid w:val="004B173F"/>
    <w:rsid w:val="004B19B8"/>
    <w:rsid w:val="004B2A79"/>
    <w:rsid w:val="004B3151"/>
    <w:rsid w:val="004B42D0"/>
    <w:rsid w:val="004B4585"/>
    <w:rsid w:val="004B4AF5"/>
    <w:rsid w:val="004B7413"/>
    <w:rsid w:val="004C17AC"/>
    <w:rsid w:val="004C4D12"/>
    <w:rsid w:val="004D7BE5"/>
    <w:rsid w:val="004E3C1E"/>
    <w:rsid w:val="004E3F2A"/>
    <w:rsid w:val="004E5227"/>
    <w:rsid w:val="004E5B9A"/>
    <w:rsid w:val="004E798F"/>
    <w:rsid w:val="004F27CB"/>
    <w:rsid w:val="004F4174"/>
    <w:rsid w:val="004F52B3"/>
    <w:rsid w:val="005032E0"/>
    <w:rsid w:val="00505534"/>
    <w:rsid w:val="00505C2B"/>
    <w:rsid w:val="00513B6A"/>
    <w:rsid w:val="00515022"/>
    <w:rsid w:val="00516CC3"/>
    <w:rsid w:val="00525F03"/>
    <w:rsid w:val="00526D91"/>
    <w:rsid w:val="005306DC"/>
    <w:rsid w:val="00532594"/>
    <w:rsid w:val="00533BB7"/>
    <w:rsid w:val="00533EC0"/>
    <w:rsid w:val="00534E79"/>
    <w:rsid w:val="00536360"/>
    <w:rsid w:val="0053677C"/>
    <w:rsid w:val="00536CDE"/>
    <w:rsid w:val="00536EB8"/>
    <w:rsid w:val="0054341B"/>
    <w:rsid w:val="00545F54"/>
    <w:rsid w:val="00552A61"/>
    <w:rsid w:val="00554427"/>
    <w:rsid w:val="00556131"/>
    <w:rsid w:val="00556C2A"/>
    <w:rsid w:val="00557303"/>
    <w:rsid w:val="00557D17"/>
    <w:rsid w:val="00557E41"/>
    <w:rsid w:val="0056212B"/>
    <w:rsid w:val="005630B4"/>
    <w:rsid w:val="00565626"/>
    <w:rsid w:val="00570620"/>
    <w:rsid w:val="0057183F"/>
    <w:rsid w:val="00572309"/>
    <w:rsid w:val="00572D0C"/>
    <w:rsid w:val="00573773"/>
    <w:rsid w:val="00575D28"/>
    <w:rsid w:val="005800A7"/>
    <w:rsid w:val="005827F4"/>
    <w:rsid w:val="0058302E"/>
    <w:rsid w:val="00584EBF"/>
    <w:rsid w:val="005858B0"/>
    <w:rsid w:val="0058713A"/>
    <w:rsid w:val="005917C2"/>
    <w:rsid w:val="00593AE2"/>
    <w:rsid w:val="005A22CC"/>
    <w:rsid w:val="005A3B25"/>
    <w:rsid w:val="005C6E62"/>
    <w:rsid w:val="005D0223"/>
    <w:rsid w:val="005D7536"/>
    <w:rsid w:val="005E3D26"/>
    <w:rsid w:val="005E4AC4"/>
    <w:rsid w:val="005E7631"/>
    <w:rsid w:val="005F02CA"/>
    <w:rsid w:val="005F14DD"/>
    <w:rsid w:val="005F15E1"/>
    <w:rsid w:val="005F7E7F"/>
    <w:rsid w:val="00603B2F"/>
    <w:rsid w:val="00604044"/>
    <w:rsid w:val="00610D5A"/>
    <w:rsid w:val="0061133F"/>
    <w:rsid w:val="00611F43"/>
    <w:rsid w:val="006124EC"/>
    <w:rsid w:val="00613068"/>
    <w:rsid w:val="00616511"/>
    <w:rsid w:val="00620999"/>
    <w:rsid w:val="00622EB3"/>
    <w:rsid w:val="00623896"/>
    <w:rsid w:val="006247F7"/>
    <w:rsid w:val="006260FC"/>
    <w:rsid w:val="006263FB"/>
    <w:rsid w:val="0063443A"/>
    <w:rsid w:val="00636A74"/>
    <w:rsid w:val="0064473F"/>
    <w:rsid w:val="00644E4D"/>
    <w:rsid w:val="00645F44"/>
    <w:rsid w:val="006471B5"/>
    <w:rsid w:val="006509F9"/>
    <w:rsid w:val="00650A66"/>
    <w:rsid w:val="0065201D"/>
    <w:rsid w:val="006520A2"/>
    <w:rsid w:val="006557D7"/>
    <w:rsid w:val="00657AAB"/>
    <w:rsid w:val="00665B88"/>
    <w:rsid w:val="0066641C"/>
    <w:rsid w:val="006701F7"/>
    <w:rsid w:val="00672651"/>
    <w:rsid w:val="0068045C"/>
    <w:rsid w:val="006907A5"/>
    <w:rsid w:val="006918CD"/>
    <w:rsid w:val="00692799"/>
    <w:rsid w:val="006944B0"/>
    <w:rsid w:val="00697FD8"/>
    <w:rsid w:val="006A0903"/>
    <w:rsid w:val="006A1313"/>
    <w:rsid w:val="006A25CD"/>
    <w:rsid w:val="006A5FFA"/>
    <w:rsid w:val="006B1B18"/>
    <w:rsid w:val="006B1C39"/>
    <w:rsid w:val="006B3BB4"/>
    <w:rsid w:val="006B7E98"/>
    <w:rsid w:val="006D3622"/>
    <w:rsid w:val="006D6253"/>
    <w:rsid w:val="006D6918"/>
    <w:rsid w:val="006D6D1C"/>
    <w:rsid w:val="006E7AE9"/>
    <w:rsid w:val="006F170F"/>
    <w:rsid w:val="006F49F9"/>
    <w:rsid w:val="006F6209"/>
    <w:rsid w:val="006F6E13"/>
    <w:rsid w:val="00701A9C"/>
    <w:rsid w:val="007028D1"/>
    <w:rsid w:val="00703F74"/>
    <w:rsid w:val="00706050"/>
    <w:rsid w:val="007067C4"/>
    <w:rsid w:val="00711F38"/>
    <w:rsid w:val="007171BB"/>
    <w:rsid w:val="007205AC"/>
    <w:rsid w:val="0072315B"/>
    <w:rsid w:val="0072318B"/>
    <w:rsid w:val="0072364D"/>
    <w:rsid w:val="00724273"/>
    <w:rsid w:val="00726715"/>
    <w:rsid w:val="00727F7C"/>
    <w:rsid w:val="00731923"/>
    <w:rsid w:val="00742DC2"/>
    <w:rsid w:val="00752CEB"/>
    <w:rsid w:val="00754351"/>
    <w:rsid w:val="00755F39"/>
    <w:rsid w:val="0075670A"/>
    <w:rsid w:val="007569E6"/>
    <w:rsid w:val="007577A7"/>
    <w:rsid w:val="00757D83"/>
    <w:rsid w:val="0076036C"/>
    <w:rsid w:val="00760956"/>
    <w:rsid w:val="00760E08"/>
    <w:rsid w:val="00761438"/>
    <w:rsid w:val="00762B15"/>
    <w:rsid w:val="007714BE"/>
    <w:rsid w:val="0077213A"/>
    <w:rsid w:val="00775CB6"/>
    <w:rsid w:val="007769F3"/>
    <w:rsid w:val="00777822"/>
    <w:rsid w:val="00780263"/>
    <w:rsid w:val="00780BD6"/>
    <w:rsid w:val="00781842"/>
    <w:rsid w:val="00781FC8"/>
    <w:rsid w:val="00782F28"/>
    <w:rsid w:val="00783A4B"/>
    <w:rsid w:val="007849F3"/>
    <w:rsid w:val="0078685C"/>
    <w:rsid w:val="00790B93"/>
    <w:rsid w:val="00791D87"/>
    <w:rsid w:val="0079248F"/>
    <w:rsid w:val="0079387C"/>
    <w:rsid w:val="0079613F"/>
    <w:rsid w:val="007A1945"/>
    <w:rsid w:val="007A2A39"/>
    <w:rsid w:val="007A3BD4"/>
    <w:rsid w:val="007A5FED"/>
    <w:rsid w:val="007B0476"/>
    <w:rsid w:val="007B2090"/>
    <w:rsid w:val="007B47BA"/>
    <w:rsid w:val="007B57A2"/>
    <w:rsid w:val="007B7F96"/>
    <w:rsid w:val="007C01C2"/>
    <w:rsid w:val="007C0777"/>
    <w:rsid w:val="007C24D6"/>
    <w:rsid w:val="007C3E79"/>
    <w:rsid w:val="007C4C57"/>
    <w:rsid w:val="007C502C"/>
    <w:rsid w:val="007C5CC2"/>
    <w:rsid w:val="007C64ED"/>
    <w:rsid w:val="007D3734"/>
    <w:rsid w:val="007D6879"/>
    <w:rsid w:val="007D7EEF"/>
    <w:rsid w:val="007E042C"/>
    <w:rsid w:val="007E2A4E"/>
    <w:rsid w:val="007E30A2"/>
    <w:rsid w:val="007E4D8A"/>
    <w:rsid w:val="007F011E"/>
    <w:rsid w:val="007F218A"/>
    <w:rsid w:val="007F3711"/>
    <w:rsid w:val="007F51A2"/>
    <w:rsid w:val="007F6D7A"/>
    <w:rsid w:val="007F7CC3"/>
    <w:rsid w:val="00802137"/>
    <w:rsid w:val="0080307B"/>
    <w:rsid w:val="008036BE"/>
    <w:rsid w:val="0080600E"/>
    <w:rsid w:val="0080618D"/>
    <w:rsid w:val="00806F97"/>
    <w:rsid w:val="0081054B"/>
    <w:rsid w:val="008124C1"/>
    <w:rsid w:val="008134CA"/>
    <w:rsid w:val="00816652"/>
    <w:rsid w:val="008221E8"/>
    <w:rsid w:val="00825EF3"/>
    <w:rsid w:val="00826FEB"/>
    <w:rsid w:val="008317E0"/>
    <w:rsid w:val="008349E9"/>
    <w:rsid w:val="00835AD9"/>
    <w:rsid w:val="00836076"/>
    <w:rsid w:val="00836529"/>
    <w:rsid w:val="0084080D"/>
    <w:rsid w:val="00840C8B"/>
    <w:rsid w:val="00842942"/>
    <w:rsid w:val="008429C3"/>
    <w:rsid w:val="00851DBA"/>
    <w:rsid w:val="00851ED3"/>
    <w:rsid w:val="00851EEE"/>
    <w:rsid w:val="00854F65"/>
    <w:rsid w:val="00855046"/>
    <w:rsid w:val="00856B93"/>
    <w:rsid w:val="00857CB1"/>
    <w:rsid w:val="00860906"/>
    <w:rsid w:val="008620FD"/>
    <w:rsid w:val="0086293C"/>
    <w:rsid w:val="00863324"/>
    <w:rsid w:val="00866201"/>
    <w:rsid w:val="00866B33"/>
    <w:rsid w:val="00871287"/>
    <w:rsid w:val="00871F3D"/>
    <w:rsid w:val="00872DBE"/>
    <w:rsid w:val="00873254"/>
    <w:rsid w:val="00884D6C"/>
    <w:rsid w:val="0088623A"/>
    <w:rsid w:val="0089086D"/>
    <w:rsid w:val="008920A9"/>
    <w:rsid w:val="00892E17"/>
    <w:rsid w:val="00894A80"/>
    <w:rsid w:val="008958A4"/>
    <w:rsid w:val="00896BFE"/>
    <w:rsid w:val="008A2478"/>
    <w:rsid w:val="008A2A08"/>
    <w:rsid w:val="008B21CE"/>
    <w:rsid w:val="008B59D0"/>
    <w:rsid w:val="008B6A0E"/>
    <w:rsid w:val="008B6D24"/>
    <w:rsid w:val="008B7DF7"/>
    <w:rsid w:val="008C2662"/>
    <w:rsid w:val="008C31CB"/>
    <w:rsid w:val="008C58CA"/>
    <w:rsid w:val="008C7DB4"/>
    <w:rsid w:val="008D00C3"/>
    <w:rsid w:val="008D0100"/>
    <w:rsid w:val="008D1EDF"/>
    <w:rsid w:val="008D7631"/>
    <w:rsid w:val="008E049B"/>
    <w:rsid w:val="008E2415"/>
    <w:rsid w:val="008E2C6F"/>
    <w:rsid w:val="008E3D8A"/>
    <w:rsid w:val="008E465A"/>
    <w:rsid w:val="008F0B64"/>
    <w:rsid w:val="008F5BD0"/>
    <w:rsid w:val="008F5E16"/>
    <w:rsid w:val="008F7630"/>
    <w:rsid w:val="008F7D83"/>
    <w:rsid w:val="00901BAB"/>
    <w:rsid w:val="00901CBD"/>
    <w:rsid w:val="00902B30"/>
    <w:rsid w:val="00906C7A"/>
    <w:rsid w:val="00927729"/>
    <w:rsid w:val="009278B8"/>
    <w:rsid w:val="00930752"/>
    <w:rsid w:val="00932115"/>
    <w:rsid w:val="0093577A"/>
    <w:rsid w:val="00936276"/>
    <w:rsid w:val="00936B19"/>
    <w:rsid w:val="009403B5"/>
    <w:rsid w:val="00940C71"/>
    <w:rsid w:val="00943DE8"/>
    <w:rsid w:val="00945B2C"/>
    <w:rsid w:val="00950A7C"/>
    <w:rsid w:val="00952991"/>
    <w:rsid w:val="0095367B"/>
    <w:rsid w:val="00954308"/>
    <w:rsid w:val="009568C6"/>
    <w:rsid w:val="00960033"/>
    <w:rsid w:val="00960263"/>
    <w:rsid w:val="00960908"/>
    <w:rsid w:val="00961A8D"/>
    <w:rsid w:val="00963B28"/>
    <w:rsid w:val="00965095"/>
    <w:rsid w:val="00970DCB"/>
    <w:rsid w:val="0098355C"/>
    <w:rsid w:val="00983710"/>
    <w:rsid w:val="00990EF1"/>
    <w:rsid w:val="009923B6"/>
    <w:rsid w:val="00995446"/>
    <w:rsid w:val="009A1D49"/>
    <w:rsid w:val="009A1DC7"/>
    <w:rsid w:val="009A2916"/>
    <w:rsid w:val="009A5A68"/>
    <w:rsid w:val="009A5CFD"/>
    <w:rsid w:val="009A7260"/>
    <w:rsid w:val="009B0F67"/>
    <w:rsid w:val="009B3C6D"/>
    <w:rsid w:val="009B6CD5"/>
    <w:rsid w:val="009C0100"/>
    <w:rsid w:val="009C1252"/>
    <w:rsid w:val="009C1423"/>
    <w:rsid w:val="009D3103"/>
    <w:rsid w:val="009F4C40"/>
    <w:rsid w:val="009F52A7"/>
    <w:rsid w:val="009F5BF7"/>
    <w:rsid w:val="009F5CDC"/>
    <w:rsid w:val="009F7181"/>
    <w:rsid w:val="00A021CA"/>
    <w:rsid w:val="00A0250F"/>
    <w:rsid w:val="00A027A8"/>
    <w:rsid w:val="00A0391A"/>
    <w:rsid w:val="00A0574D"/>
    <w:rsid w:val="00A05E26"/>
    <w:rsid w:val="00A07FFB"/>
    <w:rsid w:val="00A138FE"/>
    <w:rsid w:val="00A164C9"/>
    <w:rsid w:val="00A22594"/>
    <w:rsid w:val="00A26947"/>
    <w:rsid w:val="00A27765"/>
    <w:rsid w:val="00A30574"/>
    <w:rsid w:val="00A30AC9"/>
    <w:rsid w:val="00A30B22"/>
    <w:rsid w:val="00A3307A"/>
    <w:rsid w:val="00A33393"/>
    <w:rsid w:val="00A3578E"/>
    <w:rsid w:val="00A425D5"/>
    <w:rsid w:val="00A42CE9"/>
    <w:rsid w:val="00A4392F"/>
    <w:rsid w:val="00A43B63"/>
    <w:rsid w:val="00A44866"/>
    <w:rsid w:val="00A5189C"/>
    <w:rsid w:val="00A52375"/>
    <w:rsid w:val="00A52C47"/>
    <w:rsid w:val="00A5358D"/>
    <w:rsid w:val="00A54779"/>
    <w:rsid w:val="00A55403"/>
    <w:rsid w:val="00A56163"/>
    <w:rsid w:val="00A56DFD"/>
    <w:rsid w:val="00A57894"/>
    <w:rsid w:val="00A60B84"/>
    <w:rsid w:val="00A6591C"/>
    <w:rsid w:val="00A70276"/>
    <w:rsid w:val="00A70D0A"/>
    <w:rsid w:val="00A723F6"/>
    <w:rsid w:val="00A73910"/>
    <w:rsid w:val="00A7753A"/>
    <w:rsid w:val="00A802C8"/>
    <w:rsid w:val="00A81B19"/>
    <w:rsid w:val="00A8462B"/>
    <w:rsid w:val="00A84AF4"/>
    <w:rsid w:val="00A851DC"/>
    <w:rsid w:val="00A8593B"/>
    <w:rsid w:val="00A86B3D"/>
    <w:rsid w:val="00A9172A"/>
    <w:rsid w:val="00A91A8D"/>
    <w:rsid w:val="00A950AA"/>
    <w:rsid w:val="00A9528B"/>
    <w:rsid w:val="00AA2E40"/>
    <w:rsid w:val="00AA5FC8"/>
    <w:rsid w:val="00AA6EE4"/>
    <w:rsid w:val="00AA7D4E"/>
    <w:rsid w:val="00AB00FF"/>
    <w:rsid w:val="00AB0E8F"/>
    <w:rsid w:val="00AB2152"/>
    <w:rsid w:val="00AB21FF"/>
    <w:rsid w:val="00AB2A22"/>
    <w:rsid w:val="00AB4C0E"/>
    <w:rsid w:val="00AB5685"/>
    <w:rsid w:val="00AB5D9B"/>
    <w:rsid w:val="00AD11B8"/>
    <w:rsid w:val="00AD5549"/>
    <w:rsid w:val="00AE36D6"/>
    <w:rsid w:val="00AE399E"/>
    <w:rsid w:val="00AE3C96"/>
    <w:rsid w:val="00AE7D0E"/>
    <w:rsid w:val="00AF53CB"/>
    <w:rsid w:val="00AF5977"/>
    <w:rsid w:val="00AF72B9"/>
    <w:rsid w:val="00B0129E"/>
    <w:rsid w:val="00B155CE"/>
    <w:rsid w:val="00B155EB"/>
    <w:rsid w:val="00B22750"/>
    <w:rsid w:val="00B23B2B"/>
    <w:rsid w:val="00B24603"/>
    <w:rsid w:val="00B261B2"/>
    <w:rsid w:val="00B266F7"/>
    <w:rsid w:val="00B2731D"/>
    <w:rsid w:val="00B31C05"/>
    <w:rsid w:val="00B32F27"/>
    <w:rsid w:val="00B32FDA"/>
    <w:rsid w:val="00B341C4"/>
    <w:rsid w:val="00B401EA"/>
    <w:rsid w:val="00B4136B"/>
    <w:rsid w:val="00B4201D"/>
    <w:rsid w:val="00B42348"/>
    <w:rsid w:val="00B4287B"/>
    <w:rsid w:val="00B4328F"/>
    <w:rsid w:val="00B43B45"/>
    <w:rsid w:val="00B43E9B"/>
    <w:rsid w:val="00B46FCF"/>
    <w:rsid w:val="00B47313"/>
    <w:rsid w:val="00B47979"/>
    <w:rsid w:val="00B47A18"/>
    <w:rsid w:val="00B54F37"/>
    <w:rsid w:val="00B5716B"/>
    <w:rsid w:val="00B57432"/>
    <w:rsid w:val="00B60D09"/>
    <w:rsid w:val="00B60FB7"/>
    <w:rsid w:val="00B611EF"/>
    <w:rsid w:val="00B64D8A"/>
    <w:rsid w:val="00B65F09"/>
    <w:rsid w:val="00B7062A"/>
    <w:rsid w:val="00B7170A"/>
    <w:rsid w:val="00B74903"/>
    <w:rsid w:val="00B75A68"/>
    <w:rsid w:val="00B776B8"/>
    <w:rsid w:val="00B82B5A"/>
    <w:rsid w:val="00B83D46"/>
    <w:rsid w:val="00B840C6"/>
    <w:rsid w:val="00B85326"/>
    <w:rsid w:val="00B937B8"/>
    <w:rsid w:val="00B93F30"/>
    <w:rsid w:val="00B94832"/>
    <w:rsid w:val="00BA1435"/>
    <w:rsid w:val="00BA301D"/>
    <w:rsid w:val="00BA5259"/>
    <w:rsid w:val="00BA5F70"/>
    <w:rsid w:val="00BA733D"/>
    <w:rsid w:val="00BB0A88"/>
    <w:rsid w:val="00BB311D"/>
    <w:rsid w:val="00BB3D2D"/>
    <w:rsid w:val="00BB5DB5"/>
    <w:rsid w:val="00BC02BA"/>
    <w:rsid w:val="00BC08E3"/>
    <w:rsid w:val="00BC370E"/>
    <w:rsid w:val="00BD190A"/>
    <w:rsid w:val="00BD2AC1"/>
    <w:rsid w:val="00BD745C"/>
    <w:rsid w:val="00BE01B6"/>
    <w:rsid w:val="00BE07C7"/>
    <w:rsid w:val="00BE16FB"/>
    <w:rsid w:val="00BE1EB0"/>
    <w:rsid w:val="00BE2DB8"/>
    <w:rsid w:val="00BE5B18"/>
    <w:rsid w:val="00BE5D08"/>
    <w:rsid w:val="00BE6896"/>
    <w:rsid w:val="00BE77C0"/>
    <w:rsid w:val="00BF3900"/>
    <w:rsid w:val="00BF4AD0"/>
    <w:rsid w:val="00BF4B0F"/>
    <w:rsid w:val="00BF4D44"/>
    <w:rsid w:val="00BF5C41"/>
    <w:rsid w:val="00BF6FCE"/>
    <w:rsid w:val="00BF7E71"/>
    <w:rsid w:val="00C005C9"/>
    <w:rsid w:val="00C01915"/>
    <w:rsid w:val="00C02C2E"/>
    <w:rsid w:val="00C05AF8"/>
    <w:rsid w:val="00C0757D"/>
    <w:rsid w:val="00C153E2"/>
    <w:rsid w:val="00C16017"/>
    <w:rsid w:val="00C17924"/>
    <w:rsid w:val="00C20B67"/>
    <w:rsid w:val="00C212A2"/>
    <w:rsid w:val="00C23A12"/>
    <w:rsid w:val="00C26331"/>
    <w:rsid w:val="00C301DF"/>
    <w:rsid w:val="00C303AF"/>
    <w:rsid w:val="00C346DA"/>
    <w:rsid w:val="00C44844"/>
    <w:rsid w:val="00C44E4A"/>
    <w:rsid w:val="00C44EFF"/>
    <w:rsid w:val="00C46E32"/>
    <w:rsid w:val="00C47746"/>
    <w:rsid w:val="00C47DCE"/>
    <w:rsid w:val="00C559E0"/>
    <w:rsid w:val="00C56AC3"/>
    <w:rsid w:val="00C5701C"/>
    <w:rsid w:val="00C636D2"/>
    <w:rsid w:val="00C643E3"/>
    <w:rsid w:val="00C66EC6"/>
    <w:rsid w:val="00C76333"/>
    <w:rsid w:val="00C7676A"/>
    <w:rsid w:val="00C76C18"/>
    <w:rsid w:val="00C7719F"/>
    <w:rsid w:val="00C801BC"/>
    <w:rsid w:val="00C813FA"/>
    <w:rsid w:val="00C82195"/>
    <w:rsid w:val="00C82685"/>
    <w:rsid w:val="00C83C12"/>
    <w:rsid w:val="00C83DEA"/>
    <w:rsid w:val="00C850A5"/>
    <w:rsid w:val="00C91910"/>
    <w:rsid w:val="00C93292"/>
    <w:rsid w:val="00CA04EB"/>
    <w:rsid w:val="00CA0E5E"/>
    <w:rsid w:val="00CA38E5"/>
    <w:rsid w:val="00CA5A78"/>
    <w:rsid w:val="00CA67F5"/>
    <w:rsid w:val="00CB23CB"/>
    <w:rsid w:val="00CB4B1C"/>
    <w:rsid w:val="00CB4ED8"/>
    <w:rsid w:val="00CB5DD2"/>
    <w:rsid w:val="00CB64A7"/>
    <w:rsid w:val="00CB756F"/>
    <w:rsid w:val="00CC47E0"/>
    <w:rsid w:val="00CC6612"/>
    <w:rsid w:val="00CC7AB4"/>
    <w:rsid w:val="00CC7B4C"/>
    <w:rsid w:val="00CD0D5E"/>
    <w:rsid w:val="00CD0F95"/>
    <w:rsid w:val="00CD392B"/>
    <w:rsid w:val="00CD5F9D"/>
    <w:rsid w:val="00CE24DF"/>
    <w:rsid w:val="00CE5433"/>
    <w:rsid w:val="00CE64C9"/>
    <w:rsid w:val="00CE7CAD"/>
    <w:rsid w:val="00CE7CCF"/>
    <w:rsid w:val="00CF0DA3"/>
    <w:rsid w:val="00CF50D3"/>
    <w:rsid w:val="00CF5E9C"/>
    <w:rsid w:val="00CF6F79"/>
    <w:rsid w:val="00D0301E"/>
    <w:rsid w:val="00D03045"/>
    <w:rsid w:val="00D0440A"/>
    <w:rsid w:val="00D048D6"/>
    <w:rsid w:val="00D11892"/>
    <w:rsid w:val="00D12D4F"/>
    <w:rsid w:val="00D151BF"/>
    <w:rsid w:val="00D15A81"/>
    <w:rsid w:val="00D20B42"/>
    <w:rsid w:val="00D2112D"/>
    <w:rsid w:val="00D22681"/>
    <w:rsid w:val="00D23638"/>
    <w:rsid w:val="00D25A0E"/>
    <w:rsid w:val="00D25FE0"/>
    <w:rsid w:val="00D2716F"/>
    <w:rsid w:val="00D27289"/>
    <w:rsid w:val="00D31E8E"/>
    <w:rsid w:val="00D34740"/>
    <w:rsid w:val="00D35332"/>
    <w:rsid w:val="00D36BB8"/>
    <w:rsid w:val="00D37A30"/>
    <w:rsid w:val="00D42C2F"/>
    <w:rsid w:val="00D4568B"/>
    <w:rsid w:val="00D46619"/>
    <w:rsid w:val="00D56237"/>
    <w:rsid w:val="00D578FB"/>
    <w:rsid w:val="00D6126D"/>
    <w:rsid w:val="00D667D1"/>
    <w:rsid w:val="00D7227E"/>
    <w:rsid w:val="00D735B9"/>
    <w:rsid w:val="00D7536D"/>
    <w:rsid w:val="00D7668A"/>
    <w:rsid w:val="00D77352"/>
    <w:rsid w:val="00D77730"/>
    <w:rsid w:val="00D802BE"/>
    <w:rsid w:val="00D8044D"/>
    <w:rsid w:val="00D810AA"/>
    <w:rsid w:val="00D877E2"/>
    <w:rsid w:val="00D975F5"/>
    <w:rsid w:val="00DA0D7B"/>
    <w:rsid w:val="00DA15D4"/>
    <w:rsid w:val="00DA1FB4"/>
    <w:rsid w:val="00DA1FDA"/>
    <w:rsid w:val="00DB2594"/>
    <w:rsid w:val="00DB38D5"/>
    <w:rsid w:val="00DB6547"/>
    <w:rsid w:val="00DB6563"/>
    <w:rsid w:val="00DB7940"/>
    <w:rsid w:val="00DC02DC"/>
    <w:rsid w:val="00DC2A80"/>
    <w:rsid w:val="00DC38CE"/>
    <w:rsid w:val="00DC3900"/>
    <w:rsid w:val="00DC5450"/>
    <w:rsid w:val="00DD03E9"/>
    <w:rsid w:val="00DD0A09"/>
    <w:rsid w:val="00DD200E"/>
    <w:rsid w:val="00DD2D29"/>
    <w:rsid w:val="00DD3A2A"/>
    <w:rsid w:val="00DD49CE"/>
    <w:rsid w:val="00DD4CE4"/>
    <w:rsid w:val="00DE1FAD"/>
    <w:rsid w:val="00DE3550"/>
    <w:rsid w:val="00DE5BBB"/>
    <w:rsid w:val="00DE62E2"/>
    <w:rsid w:val="00DF2C0E"/>
    <w:rsid w:val="00DF376B"/>
    <w:rsid w:val="00DF3FC7"/>
    <w:rsid w:val="00DF59FD"/>
    <w:rsid w:val="00DF735C"/>
    <w:rsid w:val="00E013AC"/>
    <w:rsid w:val="00E03173"/>
    <w:rsid w:val="00E03A45"/>
    <w:rsid w:val="00E0734E"/>
    <w:rsid w:val="00E07881"/>
    <w:rsid w:val="00E13D01"/>
    <w:rsid w:val="00E14B05"/>
    <w:rsid w:val="00E15D9A"/>
    <w:rsid w:val="00E16D71"/>
    <w:rsid w:val="00E20858"/>
    <w:rsid w:val="00E22789"/>
    <w:rsid w:val="00E2454B"/>
    <w:rsid w:val="00E27441"/>
    <w:rsid w:val="00E3019E"/>
    <w:rsid w:val="00E352C3"/>
    <w:rsid w:val="00E3599C"/>
    <w:rsid w:val="00E36AAF"/>
    <w:rsid w:val="00E37CCB"/>
    <w:rsid w:val="00E4079C"/>
    <w:rsid w:val="00E44150"/>
    <w:rsid w:val="00E45608"/>
    <w:rsid w:val="00E45777"/>
    <w:rsid w:val="00E614DC"/>
    <w:rsid w:val="00E62DE2"/>
    <w:rsid w:val="00E64044"/>
    <w:rsid w:val="00E64A55"/>
    <w:rsid w:val="00E6668F"/>
    <w:rsid w:val="00E705F1"/>
    <w:rsid w:val="00E75B44"/>
    <w:rsid w:val="00E76EA5"/>
    <w:rsid w:val="00E8310C"/>
    <w:rsid w:val="00E85CA4"/>
    <w:rsid w:val="00E90BBB"/>
    <w:rsid w:val="00E92306"/>
    <w:rsid w:val="00E93A3D"/>
    <w:rsid w:val="00E942BB"/>
    <w:rsid w:val="00E94D8C"/>
    <w:rsid w:val="00E950CB"/>
    <w:rsid w:val="00E959D3"/>
    <w:rsid w:val="00EA02FB"/>
    <w:rsid w:val="00EA2C9C"/>
    <w:rsid w:val="00EA4A5C"/>
    <w:rsid w:val="00EA7595"/>
    <w:rsid w:val="00EA7EC3"/>
    <w:rsid w:val="00EB242F"/>
    <w:rsid w:val="00EB4532"/>
    <w:rsid w:val="00EB4EB3"/>
    <w:rsid w:val="00EB77D1"/>
    <w:rsid w:val="00EC1365"/>
    <w:rsid w:val="00EC1E31"/>
    <w:rsid w:val="00EC2B11"/>
    <w:rsid w:val="00EC6683"/>
    <w:rsid w:val="00ED208E"/>
    <w:rsid w:val="00ED6BF1"/>
    <w:rsid w:val="00EE5089"/>
    <w:rsid w:val="00EF0969"/>
    <w:rsid w:val="00EF229C"/>
    <w:rsid w:val="00EF467D"/>
    <w:rsid w:val="00EF4F29"/>
    <w:rsid w:val="00F019F2"/>
    <w:rsid w:val="00F04026"/>
    <w:rsid w:val="00F06101"/>
    <w:rsid w:val="00F071A2"/>
    <w:rsid w:val="00F15542"/>
    <w:rsid w:val="00F163E5"/>
    <w:rsid w:val="00F16F1C"/>
    <w:rsid w:val="00F16F6D"/>
    <w:rsid w:val="00F21594"/>
    <w:rsid w:val="00F25212"/>
    <w:rsid w:val="00F25717"/>
    <w:rsid w:val="00F25B9E"/>
    <w:rsid w:val="00F31EF9"/>
    <w:rsid w:val="00F32FFE"/>
    <w:rsid w:val="00F351B1"/>
    <w:rsid w:val="00F42165"/>
    <w:rsid w:val="00F43AC6"/>
    <w:rsid w:val="00F50460"/>
    <w:rsid w:val="00F507AB"/>
    <w:rsid w:val="00F531BE"/>
    <w:rsid w:val="00F65DE7"/>
    <w:rsid w:val="00F67431"/>
    <w:rsid w:val="00F67C8F"/>
    <w:rsid w:val="00F71381"/>
    <w:rsid w:val="00F71C68"/>
    <w:rsid w:val="00F72A3C"/>
    <w:rsid w:val="00F72FAE"/>
    <w:rsid w:val="00F74B82"/>
    <w:rsid w:val="00F74D1D"/>
    <w:rsid w:val="00F74F6D"/>
    <w:rsid w:val="00F75DDC"/>
    <w:rsid w:val="00F77019"/>
    <w:rsid w:val="00F8337A"/>
    <w:rsid w:val="00F836B0"/>
    <w:rsid w:val="00F8417A"/>
    <w:rsid w:val="00F8689B"/>
    <w:rsid w:val="00F87288"/>
    <w:rsid w:val="00F90352"/>
    <w:rsid w:val="00F95448"/>
    <w:rsid w:val="00F9569F"/>
    <w:rsid w:val="00F97099"/>
    <w:rsid w:val="00FA06FF"/>
    <w:rsid w:val="00FA07F3"/>
    <w:rsid w:val="00FB1C8F"/>
    <w:rsid w:val="00FB41DA"/>
    <w:rsid w:val="00FB56D3"/>
    <w:rsid w:val="00FB6459"/>
    <w:rsid w:val="00FB6D44"/>
    <w:rsid w:val="00FC0E6B"/>
    <w:rsid w:val="00FC282A"/>
    <w:rsid w:val="00FC3B7A"/>
    <w:rsid w:val="00FD1229"/>
    <w:rsid w:val="00FD27F2"/>
    <w:rsid w:val="00FD3916"/>
    <w:rsid w:val="00FD54F8"/>
    <w:rsid w:val="00FD6576"/>
    <w:rsid w:val="00FE443F"/>
    <w:rsid w:val="00FE4851"/>
    <w:rsid w:val="00FE4936"/>
    <w:rsid w:val="00FE4BE5"/>
    <w:rsid w:val="00FE554E"/>
    <w:rsid w:val="00FF05F7"/>
    <w:rsid w:val="00FF0AD5"/>
    <w:rsid w:val="00FF24C1"/>
    <w:rsid w:val="00FF7684"/>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5:chartTrackingRefBased/>
  <w15:docId w15:val="{2F7C8438-7F84-4E74-960E-A527F580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rsid w:val="00CE7CAD"/>
    <w:pPr>
      <w:spacing w:before="0" w:after="0"/>
      <w:jc w:val="center"/>
    </w:pPr>
    <w:rPr>
      <w:b/>
    </w:rPr>
  </w:style>
  <w:style w:type="paragraph" w:customStyle="1" w:styleId="Sous-titreobjetPagedecouverture">
    <w:name w:val="Sous-titre objet (Page de couverture)"/>
    <w:basedOn w:val="Sous-titreobjet"/>
    <w:rsid w:val="00CE7CAD"/>
  </w:style>
  <w:style w:type="paragraph" w:styleId="ListBullet">
    <w:name w:val="List Bullet"/>
    <w:basedOn w:val="Normal"/>
    <w:rsid w:val="004A1AED"/>
    <w:pPr>
      <w:numPr>
        <w:numId w:val="1"/>
      </w:numPr>
    </w:pPr>
  </w:style>
  <w:style w:type="paragraph" w:styleId="ListBullet2">
    <w:name w:val="List Bullet 2"/>
    <w:basedOn w:val="Normal"/>
    <w:rsid w:val="004A1AED"/>
    <w:pPr>
      <w:numPr>
        <w:numId w:val="2"/>
      </w:numPr>
    </w:pPr>
  </w:style>
  <w:style w:type="paragraph" w:styleId="ListBullet3">
    <w:name w:val="List Bullet 3"/>
    <w:basedOn w:val="Normal"/>
    <w:rsid w:val="004A1AED"/>
    <w:pPr>
      <w:numPr>
        <w:numId w:val="3"/>
      </w:numPr>
    </w:pPr>
  </w:style>
  <w:style w:type="paragraph" w:styleId="ListBullet4">
    <w:name w:val="List Bullet 4"/>
    <w:basedOn w:val="Normal"/>
    <w:rsid w:val="004A1AED"/>
    <w:pPr>
      <w:numPr>
        <w:numId w:val="4"/>
      </w:numPr>
    </w:pPr>
  </w:style>
  <w:style w:type="table" w:customStyle="1" w:styleId="Listtable">
    <w:name w:val="List table"/>
    <w:next w:val="TableNormal"/>
    <w:rsid w:val="0000704F"/>
    <w:rPr>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character" w:styleId="CommentReference">
    <w:name w:val="annotation reference"/>
    <w:semiHidden/>
    <w:rsid w:val="0056212B"/>
    <w:rPr>
      <w:rFonts w:cs="Times New Roman"/>
      <w:sz w:val="16"/>
      <w:szCs w:val="16"/>
      <w:shd w:val="clear" w:color="auto" w:fill="auto"/>
    </w:rPr>
  </w:style>
  <w:style w:type="paragraph" w:customStyle="1" w:styleId="Paragraph">
    <w:name w:val="Paragraph"/>
    <w:basedOn w:val="Text"/>
    <w:rsid w:val="00B64D8A"/>
    <w:pPr>
      <w:jc w:val="both"/>
    </w:pPr>
  </w:style>
  <w:style w:type="paragraph" w:customStyle="1" w:styleId="Text">
    <w:name w:val="Text"/>
    <w:hidden/>
    <w:rsid w:val="00B64D8A"/>
    <w:rPr>
      <w:sz w:val="16"/>
    </w:rPr>
  </w:style>
  <w:style w:type="paragraph" w:customStyle="1" w:styleId="SUSPparagraph">
    <w:name w:val="SUSP paragraph"/>
    <w:basedOn w:val="Paragraph"/>
    <w:rsid w:val="00B64D8A"/>
    <w:pPr>
      <w:spacing w:before="60" w:after="60"/>
    </w:pPr>
  </w:style>
  <w:style w:type="table" w:customStyle="1" w:styleId="Notestable">
    <w:name w:val="Notes table"/>
    <w:rsid w:val="00B64D8A"/>
    <w:rPr>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B64D8A"/>
    <w:pPr>
      <w:keepNext/>
      <w:spacing w:before="120" w:after="120"/>
      <w:jc w:val="center"/>
    </w:pPr>
    <w:rPr>
      <w:sz w:val="24"/>
    </w:rPr>
  </w:style>
  <w:style w:type="paragraph" w:customStyle="1" w:styleId="Subtitle1">
    <w:name w:val="Subtitle1"/>
    <w:aliases w:val="CONTENT.TITLE.TI"/>
    <w:basedOn w:val="SUSPparagraph"/>
    <w:rsid w:val="00B64D8A"/>
    <w:pPr>
      <w:keepNext/>
      <w:spacing w:before="120" w:after="120"/>
      <w:jc w:val="center"/>
    </w:pPr>
    <w:rPr>
      <w:sz w:val="24"/>
    </w:rPr>
  </w:style>
  <w:style w:type="character" w:customStyle="1" w:styleId="FootnoteReference1">
    <w:name w:val="Footnote Reference1"/>
    <w:hidden/>
    <w:rsid w:val="00B64D8A"/>
    <w:rPr>
      <w:sz w:val="16"/>
      <w:szCs w:val="16"/>
    </w:rPr>
  </w:style>
  <w:style w:type="table" w:customStyle="1" w:styleId="Listdash">
    <w:name w:val="List dash"/>
    <w:basedOn w:val="Listtable"/>
    <w:rsid w:val="00B64D8A"/>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qFormat/>
    <w:rsid w:val="00552A61"/>
    <w:rPr>
      <w:b/>
      <w:bCs/>
      <w:sz w:val="20"/>
      <w:szCs w:val="20"/>
    </w:rPr>
  </w:style>
  <w:style w:type="paragraph" w:styleId="TableofFigures">
    <w:name w:val="table of figures"/>
    <w:basedOn w:val="Normal"/>
    <w:next w:val="Normal"/>
    <w:semiHidden/>
    <w:rsid w:val="00552A61"/>
  </w:style>
  <w:style w:type="paragraph" w:styleId="ListNumber">
    <w:name w:val="List Number"/>
    <w:basedOn w:val="Normal"/>
    <w:rsid w:val="00552A61"/>
    <w:pPr>
      <w:numPr>
        <w:numId w:val="5"/>
      </w:numPr>
    </w:pPr>
  </w:style>
  <w:style w:type="paragraph" w:styleId="ListNumber2">
    <w:name w:val="List Number 2"/>
    <w:basedOn w:val="Normal"/>
    <w:rsid w:val="00552A61"/>
    <w:pPr>
      <w:numPr>
        <w:numId w:val="6"/>
      </w:numPr>
    </w:pPr>
  </w:style>
  <w:style w:type="paragraph" w:styleId="ListNumber3">
    <w:name w:val="List Number 3"/>
    <w:basedOn w:val="Normal"/>
    <w:rsid w:val="00552A61"/>
    <w:pPr>
      <w:numPr>
        <w:numId w:val="7"/>
      </w:numPr>
    </w:pPr>
  </w:style>
  <w:style w:type="paragraph" w:styleId="ListNumber4">
    <w:name w:val="List Number 4"/>
    <w:basedOn w:val="Normal"/>
    <w:rsid w:val="00552A61"/>
    <w:pPr>
      <w:numPr>
        <w:numId w:val="8"/>
      </w:numPr>
    </w:pPr>
  </w:style>
  <w:style w:type="paragraph" w:styleId="CommentText">
    <w:name w:val="annotation text"/>
    <w:basedOn w:val="Normal"/>
    <w:semiHidden/>
    <w:rsid w:val="00552A61"/>
    <w:rPr>
      <w:sz w:val="20"/>
      <w:szCs w:val="20"/>
    </w:rPr>
  </w:style>
  <w:style w:type="paragraph" w:styleId="CommentSubject">
    <w:name w:val="annotation subject"/>
    <w:basedOn w:val="CommentText"/>
    <w:next w:val="CommentText"/>
    <w:semiHidden/>
    <w:rsid w:val="00552A61"/>
    <w:rPr>
      <w:b/>
      <w:bCs/>
    </w:rPr>
  </w:style>
  <w:style w:type="character" w:styleId="Hyperlink">
    <w:name w:val="Hyperlink"/>
    <w:rsid w:val="00552A61"/>
    <w:rPr>
      <w:color w:val="0000FF"/>
      <w:u w:val="single"/>
      <w:shd w:val="clear" w:color="auto" w:fill="auto"/>
    </w:rPr>
  </w:style>
  <w:style w:type="paragraph" w:styleId="BalloonText">
    <w:name w:val="Balloon Text"/>
    <w:basedOn w:val="Normal"/>
    <w:semiHidden/>
    <w:rsid w:val="00552A61"/>
    <w:rPr>
      <w:rFonts w:ascii="Tahoma" w:hAnsi="Tahoma" w:cs="Tahoma"/>
      <w:sz w:val="16"/>
      <w:szCs w:val="16"/>
    </w:rPr>
  </w:style>
  <w:style w:type="paragraph" w:customStyle="1" w:styleId="Note">
    <w:name w:val="Note"/>
    <w:aliases w:val="NOTE"/>
    <w:basedOn w:val="SUSPparagraph"/>
    <w:rsid w:val="00FC0E6B"/>
    <w:rPr>
      <w:szCs w:val="16"/>
    </w:rPr>
  </w:style>
  <w:style w:type="paragraph" w:styleId="EndnoteText">
    <w:name w:val="endnote text"/>
    <w:basedOn w:val="Normal"/>
    <w:link w:val="EndnoteTextChar"/>
    <w:rsid w:val="000F6CCD"/>
    <w:rPr>
      <w:sz w:val="20"/>
      <w:szCs w:val="20"/>
    </w:rPr>
  </w:style>
  <w:style w:type="character" w:customStyle="1" w:styleId="EndnoteTextChar">
    <w:name w:val="Endnote Text Char"/>
    <w:link w:val="EndnoteText"/>
    <w:rsid w:val="000F6CCD"/>
    <w:rPr>
      <w:shd w:val="clear" w:color="auto" w:fill="auto"/>
      <w:lang w:eastAsia="en-US"/>
    </w:rPr>
  </w:style>
  <w:style w:type="character" w:styleId="EndnoteReference">
    <w:name w:val="endnote reference"/>
    <w:rsid w:val="000F6CCD"/>
    <w:rPr>
      <w:shd w:val="clear" w:color="auto" w:fill="auto"/>
      <w:vertAlign w:val="superscript"/>
    </w:rPr>
  </w:style>
  <w:style w:type="paragraph" w:customStyle="1" w:styleId="CM1">
    <w:name w:val="CM1"/>
    <w:basedOn w:val="Normal"/>
    <w:next w:val="Normal"/>
    <w:rsid w:val="00347CCE"/>
    <w:pPr>
      <w:autoSpaceDE w:val="0"/>
      <w:autoSpaceDN w:val="0"/>
      <w:adjustRightInd w:val="0"/>
      <w:spacing w:before="0" w:after="0"/>
      <w:jc w:val="left"/>
    </w:pPr>
    <w:rPr>
      <w:rFonts w:ascii="EUAlbertina" w:hAnsi="EUAlbertina"/>
      <w:lang w:eastAsia="en-GB"/>
    </w:rPr>
  </w:style>
  <w:style w:type="table" w:customStyle="1" w:styleId="Notestablewithoutborder">
    <w:name w:val="Notes table without border"/>
    <w:rsid w:val="00424639"/>
    <w:rPr>
      <w:sz w:val="16"/>
      <w:szCs w:val="16"/>
    </w:rPr>
    <w:tblPr>
      <w:tblCellSpacing w:w="0" w:type="dxa"/>
      <w:tblInd w:w="0" w:type="dxa"/>
      <w:tblCellMar>
        <w:top w:w="60" w:type="dxa"/>
        <w:left w:w="60" w:type="dxa"/>
        <w:bottom w:w="60" w:type="dxa"/>
        <w:right w:w="60" w:type="dxa"/>
      </w:tblCellMar>
    </w:tblPr>
    <w:trPr>
      <w:tblCellSpacing w:w="0" w:type="dxa"/>
    </w:trPr>
  </w:style>
  <w:style w:type="paragraph" w:styleId="Subtitle">
    <w:name w:val="Subtitle"/>
    <w:basedOn w:val="SUSPparagraph"/>
    <w:link w:val="SubtitleChar"/>
    <w:qFormat/>
    <w:rsid w:val="00424639"/>
    <w:pPr>
      <w:keepNext/>
      <w:spacing w:before="120" w:after="120"/>
      <w:jc w:val="center"/>
    </w:pPr>
    <w:rPr>
      <w:sz w:val="24"/>
    </w:rPr>
  </w:style>
  <w:style w:type="character" w:customStyle="1" w:styleId="SubtitleChar">
    <w:name w:val="Subtitle Char"/>
    <w:link w:val="Subtitle"/>
    <w:rsid w:val="00424639"/>
    <w:rPr>
      <w:sz w:val="24"/>
      <w:shd w:val="clear" w:color="auto" w:fill="auto"/>
    </w:rPr>
  </w:style>
  <w:style w:type="table" w:customStyle="1" w:styleId="ListBullet1">
    <w:name w:val="List Bullet1"/>
    <w:basedOn w:val="Listtable"/>
    <w:rsid w:val="00424639"/>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24639"/>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customStyle="1" w:styleId="oj-normal">
    <w:name w:val="oj-normal"/>
    <w:basedOn w:val="Normal"/>
    <w:rsid w:val="005F02CA"/>
    <w:pPr>
      <w:spacing w:before="100" w:beforeAutospacing="1" w:after="100" w:afterAutospacing="1"/>
      <w:jc w:val="left"/>
    </w:pPr>
  </w:style>
  <w:style w:type="character" w:customStyle="1" w:styleId="oj-super">
    <w:name w:val="oj-super"/>
    <w:rsid w:val="005F02CA"/>
  </w:style>
  <w:style w:type="paragraph" w:customStyle="1" w:styleId="Normal1">
    <w:name w:val="Normal1"/>
    <w:basedOn w:val="Normal"/>
    <w:rsid w:val="00851EEE"/>
    <w:pPr>
      <w:spacing w:before="100" w:beforeAutospacing="1" w:after="100" w:afterAutospacing="1"/>
      <w:jc w:val="left"/>
    </w:pPr>
  </w:style>
  <w:style w:type="character" w:customStyle="1" w:styleId="super">
    <w:name w:val="super"/>
    <w:rsid w:val="00930752"/>
  </w:style>
  <w:style w:type="character" w:customStyle="1" w:styleId="italic">
    <w:name w:val="italic"/>
    <w:rsid w:val="00D2716F"/>
  </w:style>
  <w:style w:type="character" w:customStyle="1" w:styleId="oj-italic">
    <w:name w:val="oj-italic"/>
    <w:rsid w:val="00762B15"/>
  </w:style>
  <w:style w:type="character" w:customStyle="1" w:styleId="boldface">
    <w:name w:val="boldface"/>
    <w:rsid w:val="00063BFE"/>
  </w:style>
  <w:style w:type="paragraph" w:customStyle="1" w:styleId="title-article-norm">
    <w:name w:val="title-article-norm"/>
    <w:basedOn w:val="Normal"/>
    <w:rsid w:val="00AF72B9"/>
    <w:pPr>
      <w:spacing w:before="100" w:beforeAutospacing="1" w:after="100" w:afterAutospacing="1"/>
      <w:jc w:val="left"/>
    </w:pPr>
  </w:style>
  <w:style w:type="character" w:customStyle="1" w:styleId="no-parag">
    <w:name w:val="no-parag"/>
    <w:rsid w:val="00AF72B9"/>
  </w:style>
  <w:style w:type="paragraph" w:customStyle="1" w:styleId="modref">
    <w:name w:val="modref"/>
    <w:basedOn w:val="Normal"/>
    <w:rsid w:val="00AF72B9"/>
    <w:pPr>
      <w:spacing w:before="100" w:beforeAutospacing="1" w:after="100" w:afterAutospacing="1"/>
      <w:jc w:val="left"/>
    </w:pPr>
  </w:style>
  <w:style w:type="paragraph" w:customStyle="1" w:styleId="norm">
    <w:name w:val="norm"/>
    <w:basedOn w:val="Normal"/>
    <w:rsid w:val="00AF72B9"/>
    <w:pPr>
      <w:spacing w:before="100" w:beforeAutospacing="1" w:after="100" w:afterAutospacing="1"/>
      <w:jc w:val="left"/>
    </w:pPr>
  </w:style>
  <w:style w:type="character" w:customStyle="1" w:styleId="italics">
    <w:name w:val="italics"/>
    <w:rsid w:val="00AF72B9"/>
  </w:style>
  <w:style w:type="paragraph" w:styleId="Revision">
    <w:name w:val="Revision"/>
    <w:hidden/>
    <w:uiPriority w:val="99"/>
    <w:semiHidden/>
    <w:rsid w:val="00B82B5A"/>
    <w:rPr>
      <w:sz w:val="24"/>
      <w:szCs w:val="24"/>
    </w:rPr>
  </w:style>
  <w:style w:type="character" w:styleId="FollowedHyperlink">
    <w:name w:val="FollowedHyperlink"/>
    <w:rsid w:val="00B85326"/>
    <w:rPr>
      <w:color w:val="954F72"/>
      <w:u w:val="single"/>
    </w:rPr>
  </w:style>
  <w:style w:type="character" w:styleId="Emphasis">
    <w:name w:val="Emphasis"/>
    <w:uiPriority w:val="20"/>
    <w:qFormat/>
    <w:rsid w:val="00F72A3C"/>
    <w:rPr>
      <w:i/>
      <w:iCs/>
    </w:rPr>
  </w:style>
  <w:style w:type="character" w:customStyle="1" w:styleId="UnresolvedMention">
    <w:name w:val="Unresolved Mention"/>
    <w:uiPriority w:val="99"/>
    <w:semiHidden/>
    <w:unhideWhenUsed/>
    <w:rsid w:val="00835AD9"/>
    <w:rPr>
      <w:color w:val="605E5C"/>
      <w:shd w:val="clear" w:color="auto" w:fill="E1DFDD"/>
    </w:rPr>
  </w:style>
  <w:style w:type="character" w:customStyle="1" w:styleId="HeaderChar">
    <w:name w:val="Header Char"/>
    <w:basedOn w:val="DefaultParagraphFont"/>
    <w:link w:val="Header"/>
    <w:uiPriority w:val="99"/>
    <w:rsid w:val="00657AAB"/>
    <w:rPr>
      <w:rFonts w:ascii="Times New Roman" w:hAnsi="Times New Roman" w:cs="Times New Roman"/>
      <w:sz w:val="24"/>
      <w:lang w:val="bg-BG"/>
    </w:rPr>
  </w:style>
  <w:style w:type="character" w:customStyle="1" w:styleId="FooterChar">
    <w:name w:val="Footer Char"/>
    <w:basedOn w:val="DefaultParagraphFont"/>
    <w:link w:val="Footer"/>
    <w:uiPriority w:val="99"/>
    <w:rsid w:val="00657AAB"/>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57AA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7AAB"/>
    <w:pPr>
      <w:spacing w:before="0"/>
      <w:jc w:val="right"/>
    </w:pPr>
    <w:rPr>
      <w:sz w:val="28"/>
    </w:rPr>
  </w:style>
  <w:style w:type="paragraph" w:customStyle="1" w:styleId="FooterSensitivity">
    <w:name w:val="Footer Sensitivity"/>
    <w:basedOn w:val="Normal"/>
    <w:rsid w:val="00657AA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57AAB"/>
    <w:pPr>
      <w:tabs>
        <w:tab w:val="center" w:pos="4535"/>
        <w:tab w:val="right" w:pos="9071"/>
      </w:tabs>
      <w:spacing w:before="0"/>
    </w:pPr>
  </w:style>
  <w:style w:type="paragraph" w:customStyle="1" w:styleId="HeaderLandscape">
    <w:name w:val="HeaderLandscape"/>
    <w:basedOn w:val="Normal"/>
    <w:rsid w:val="00657AAB"/>
    <w:pPr>
      <w:tabs>
        <w:tab w:val="center" w:pos="7285"/>
        <w:tab w:val="right" w:pos="14003"/>
      </w:tabs>
      <w:spacing w:before="0"/>
    </w:pPr>
  </w:style>
  <w:style w:type="paragraph" w:styleId="Footer">
    <w:name w:val="footer"/>
    <w:basedOn w:val="Normal"/>
    <w:link w:val="FooterChar"/>
    <w:uiPriority w:val="99"/>
    <w:unhideWhenUsed/>
    <w:rsid w:val="00657AA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57AA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7476">
      <w:bodyDiv w:val="1"/>
      <w:marLeft w:val="0"/>
      <w:marRight w:val="0"/>
      <w:marTop w:val="0"/>
      <w:marBottom w:val="0"/>
      <w:divBdr>
        <w:top w:val="none" w:sz="0" w:space="0" w:color="auto"/>
        <w:left w:val="none" w:sz="0" w:space="0" w:color="auto"/>
        <w:bottom w:val="none" w:sz="0" w:space="0" w:color="auto"/>
        <w:right w:val="none" w:sz="0" w:space="0" w:color="auto"/>
      </w:divBdr>
    </w:div>
    <w:div w:id="175120516">
      <w:bodyDiv w:val="1"/>
      <w:marLeft w:val="0"/>
      <w:marRight w:val="0"/>
      <w:marTop w:val="0"/>
      <w:marBottom w:val="0"/>
      <w:divBdr>
        <w:top w:val="none" w:sz="0" w:space="0" w:color="auto"/>
        <w:left w:val="none" w:sz="0" w:space="0" w:color="auto"/>
        <w:bottom w:val="none" w:sz="0" w:space="0" w:color="auto"/>
        <w:right w:val="none" w:sz="0" w:space="0" w:color="auto"/>
      </w:divBdr>
    </w:div>
    <w:div w:id="186069492">
      <w:bodyDiv w:val="1"/>
      <w:marLeft w:val="0"/>
      <w:marRight w:val="0"/>
      <w:marTop w:val="0"/>
      <w:marBottom w:val="0"/>
      <w:divBdr>
        <w:top w:val="none" w:sz="0" w:space="0" w:color="auto"/>
        <w:left w:val="none" w:sz="0" w:space="0" w:color="auto"/>
        <w:bottom w:val="none" w:sz="0" w:space="0" w:color="auto"/>
        <w:right w:val="none" w:sz="0" w:space="0" w:color="auto"/>
      </w:divBdr>
    </w:div>
    <w:div w:id="260526819">
      <w:bodyDiv w:val="1"/>
      <w:marLeft w:val="0"/>
      <w:marRight w:val="0"/>
      <w:marTop w:val="0"/>
      <w:marBottom w:val="0"/>
      <w:divBdr>
        <w:top w:val="none" w:sz="0" w:space="0" w:color="auto"/>
        <w:left w:val="none" w:sz="0" w:space="0" w:color="auto"/>
        <w:bottom w:val="none" w:sz="0" w:space="0" w:color="auto"/>
        <w:right w:val="none" w:sz="0" w:space="0" w:color="auto"/>
      </w:divBdr>
    </w:div>
    <w:div w:id="263652237">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3">
          <w:marLeft w:val="0"/>
          <w:marRight w:val="0"/>
          <w:marTop w:val="0"/>
          <w:marBottom w:val="0"/>
          <w:divBdr>
            <w:top w:val="none" w:sz="0" w:space="0" w:color="auto"/>
            <w:left w:val="none" w:sz="0" w:space="0" w:color="auto"/>
            <w:bottom w:val="none" w:sz="0" w:space="0" w:color="auto"/>
            <w:right w:val="none" w:sz="0" w:space="0" w:color="auto"/>
          </w:divBdr>
        </w:div>
        <w:div w:id="1252660394">
          <w:marLeft w:val="0"/>
          <w:marRight w:val="0"/>
          <w:marTop w:val="0"/>
          <w:marBottom w:val="0"/>
          <w:divBdr>
            <w:top w:val="none" w:sz="0" w:space="0" w:color="auto"/>
            <w:left w:val="none" w:sz="0" w:space="0" w:color="auto"/>
            <w:bottom w:val="none" w:sz="0" w:space="0" w:color="auto"/>
            <w:right w:val="none" w:sz="0" w:space="0" w:color="auto"/>
          </w:divBdr>
        </w:div>
        <w:div w:id="803742202">
          <w:marLeft w:val="0"/>
          <w:marRight w:val="0"/>
          <w:marTop w:val="0"/>
          <w:marBottom w:val="0"/>
          <w:divBdr>
            <w:top w:val="none" w:sz="0" w:space="0" w:color="auto"/>
            <w:left w:val="none" w:sz="0" w:space="0" w:color="auto"/>
            <w:bottom w:val="none" w:sz="0" w:space="0" w:color="auto"/>
            <w:right w:val="none" w:sz="0" w:space="0" w:color="auto"/>
          </w:divBdr>
        </w:div>
      </w:divsChild>
    </w:div>
    <w:div w:id="341665352">
      <w:bodyDiv w:val="1"/>
      <w:marLeft w:val="0"/>
      <w:marRight w:val="0"/>
      <w:marTop w:val="0"/>
      <w:marBottom w:val="0"/>
      <w:divBdr>
        <w:top w:val="none" w:sz="0" w:space="0" w:color="auto"/>
        <w:left w:val="none" w:sz="0" w:space="0" w:color="auto"/>
        <w:bottom w:val="none" w:sz="0" w:space="0" w:color="auto"/>
        <w:right w:val="none" w:sz="0" w:space="0" w:color="auto"/>
      </w:divBdr>
    </w:div>
    <w:div w:id="414863011">
      <w:bodyDiv w:val="1"/>
      <w:marLeft w:val="0"/>
      <w:marRight w:val="0"/>
      <w:marTop w:val="0"/>
      <w:marBottom w:val="0"/>
      <w:divBdr>
        <w:top w:val="none" w:sz="0" w:space="0" w:color="auto"/>
        <w:left w:val="none" w:sz="0" w:space="0" w:color="auto"/>
        <w:bottom w:val="none" w:sz="0" w:space="0" w:color="auto"/>
        <w:right w:val="none" w:sz="0" w:space="0" w:color="auto"/>
      </w:divBdr>
    </w:div>
    <w:div w:id="475336672">
      <w:bodyDiv w:val="1"/>
      <w:marLeft w:val="0"/>
      <w:marRight w:val="0"/>
      <w:marTop w:val="0"/>
      <w:marBottom w:val="0"/>
      <w:divBdr>
        <w:top w:val="none" w:sz="0" w:space="0" w:color="auto"/>
        <w:left w:val="none" w:sz="0" w:space="0" w:color="auto"/>
        <w:bottom w:val="none" w:sz="0" w:space="0" w:color="auto"/>
        <w:right w:val="none" w:sz="0" w:space="0" w:color="auto"/>
      </w:divBdr>
    </w:div>
    <w:div w:id="576478520">
      <w:bodyDiv w:val="1"/>
      <w:marLeft w:val="0"/>
      <w:marRight w:val="0"/>
      <w:marTop w:val="0"/>
      <w:marBottom w:val="0"/>
      <w:divBdr>
        <w:top w:val="none" w:sz="0" w:space="0" w:color="auto"/>
        <w:left w:val="none" w:sz="0" w:space="0" w:color="auto"/>
        <w:bottom w:val="none" w:sz="0" w:space="0" w:color="auto"/>
        <w:right w:val="none" w:sz="0" w:space="0" w:color="auto"/>
      </w:divBdr>
    </w:div>
    <w:div w:id="708267042">
      <w:bodyDiv w:val="1"/>
      <w:marLeft w:val="0"/>
      <w:marRight w:val="0"/>
      <w:marTop w:val="0"/>
      <w:marBottom w:val="0"/>
      <w:divBdr>
        <w:top w:val="none" w:sz="0" w:space="0" w:color="auto"/>
        <w:left w:val="none" w:sz="0" w:space="0" w:color="auto"/>
        <w:bottom w:val="none" w:sz="0" w:space="0" w:color="auto"/>
        <w:right w:val="none" w:sz="0" w:space="0" w:color="auto"/>
      </w:divBdr>
    </w:div>
    <w:div w:id="727651878">
      <w:bodyDiv w:val="1"/>
      <w:marLeft w:val="0"/>
      <w:marRight w:val="0"/>
      <w:marTop w:val="0"/>
      <w:marBottom w:val="0"/>
      <w:divBdr>
        <w:top w:val="none" w:sz="0" w:space="0" w:color="auto"/>
        <w:left w:val="none" w:sz="0" w:space="0" w:color="auto"/>
        <w:bottom w:val="none" w:sz="0" w:space="0" w:color="auto"/>
        <w:right w:val="none" w:sz="0" w:space="0" w:color="auto"/>
      </w:divBdr>
    </w:div>
    <w:div w:id="904492970">
      <w:bodyDiv w:val="1"/>
      <w:marLeft w:val="0"/>
      <w:marRight w:val="0"/>
      <w:marTop w:val="0"/>
      <w:marBottom w:val="0"/>
      <w:divBdr>
        <w:top w:val="none" w:sz="0" w:space="0" w:color="auto"/>
        <w:left w:val="none" w:sz="0" w:space="0" w:color="auto"/>
        <w:bottom w:val="none" w:sz="0" w:space="0" w:color="auto"/>
        <w:right w:val="none" w:sz="0" w:space="0" w:color="auto"/>
      </w:divBdr>
    </w:div>
    <w:div w:id="1176648093">
      <w:bodyDiv w:val="1"/>
      <w:marLeft w:val="0"/>
      <w:marRight w:val="0"/>
      <w:marTop w:val="0"/>
      <w:marBottom w:val="0"/>
      <w:divBdr>
        <w:top w:val="none" w:sz="0" w:space="0" w:color="auto"/>
        <w:left w:val="none" w:sz="0" w:space="0" w:color="auto"/>
        <w:bottom w:val="none" w:sz="0" w:space="0" w:color="auto"/>
        <w:right w:val="none" w:sz="0" w:space="0" w:color="auto"/>
      </w:divBdr>
    </w:div>
    <w:div w:id="1189024647">
      <w:bodyDiv w:val="1"/>
      <w:marLeft w:val="0"/>
      <w:marRight w:val="0"/>
      <w:marTop w:val="0"/>
      <w:marBottom w:val="0"/>
      <w:divBdr>
        <w:top w:val="none" w:sz="0" w:space="0" w:color="auto"/>
        <w:left w:val="none" w:sz="0" w:space="0" w:color="auto"/>
        <w:bottom w:val="none" w:sz="0" w:space="0" w:color="auto"/>
        <w:right w:val="none" w:sz="0" w:space="0" w:color="auto"/>
      </w:divBdr>
    </w:div>
    <w:div w:id="1213078640">
      <w:bodyDiv w:val="1"/>
      <w:marLeft w:val="0"/>
      <w:marRight w:val="0"/>
      <w:marTop w:val="0"/>
      <w:marBottom w:val="0"/>
      <w:divBdr>
        <w:top w:val="none" w:sz="0" w:space="0" w:color="auto"/>
        <w:left w:val="none" w:sz="0" w:space="0" w:color="auto"/>
        <w:bottom w:val="none" w:sz="0" w:space="0" w:color="auto"/>
        <w:right w:val="none" w:sz="0" w:space="0" w:color="auto"/>
      </w:divBdr>
    </w:div>
    <w:div w:id="1272325032">
      <w:bodyDiv w:val="1"/>
      <w:marLeft w:val="0"/>
      <w:marRight w:val="0"/>
      <w:marTop w:val="0"/>
      <w:marBottom w:val="0"/>
      <w:divBdr>
        <w:top w:val="none" w:sz="0" w:space="0" w:color="auto"/>
        <w:left w:val="none" w:sz="0" w:space="0" w:color="auto"/>
        <w:bottom w:val="none" w:sz="0" w:space="0" w:color="auto"/>
        <w:right w:val="none" w:sz="0" w:space="0" w:color="auto"/>
      </w:divBdr>
    </w:div>
    <w:div w:id="1314213732">
      <w:bodyDiv w:val="1"/>
      <w:marLeft w:val="0"/>
      <w:marRight w:val="0"/>
      <w:marTop w:val="0"/>
      <w:marBottom w:val="0"/>
      <w:divBdr>
        <w:top w:val="none" w:sz="0" w:space="0" w:color="auto"/>
        <w:left w:val="none" w:sz="0" w:space="0" w:color="auto"/>
        <w:bottom w:val="none" w:sz="0" w:space="0" w:color="auto"/>
        <w:right w:val="none" w:sz="0" w:space="0" w:color="auto"/>
      </w:divBdr>
    </w:div>
    <w:div w:id="1329140099">
      <w:bodyDiv w:val="1"/>
      <w:marLeft w:val="0"/>
      <w:marRight w:val="0"/>
      <w:marTop w:val="0"/>
      <w:marBottom w:val="0"/>
      <w:divBdr>
        <w:top w:val="none" w:sz="0" w:space="0" w:color="auto"/>
        <w:left w:val="none" w:sz="0" w:space="0" w:color="auto"/>
        <w:bottom w:val="none" w:sz="0" w:space="0" w:color="auto"/>
        <w:right w:val="none" w:sz="0" w:space="0" w:color="auto"/>
      </w:divBdr>
    </w:div>
    <w:div w:id="1346862491">
      <w:bodyDiv w:val="1"/>
      <w:marLeft w:val="0"/>
      <w:marRight w:val="0"/>
      <w:marTop w:val="0"/>
      <w:marBottom w:val="0"/>
      <w:divBdr>
        <w:top w:val="none" w:sz="0" w:space="0" w:color="auto"/>
        <w:left w:val="none" w:sz="0" w:space="0" w:color="auto"/>
        <w:bottom w:val="none" w:sz="0" w:space="0" w:color="auto"/>
        <w:right w:val="none" w:sz="0" w:space="0" w:color="auto"/>
      </w:divBdr>
    </w:div>
    <w:div w:id="1349411148">
      <w:bodyDiv w:val="1"/>
      <w:marLeft w:val="0"/>
      <w:marRight w:val="0"/>
      <w:marTop w:val="0"/>
      <w:marBottom w:val="0"/>
      <w:divBdr>
        <w:top w:val="none" w:sz="0" w:space="0" w:color="auto"/>
        <w:left w:val="none" w:sz="0" w:space="0" w:color="auto"/>
        <w:bottom w:val="none" w:sz="0" w:space="0" w:color="auto"/>
        <w:right w:val="none" w:sz="0" w:space="0" w:color="auto"/>
      </w:divBdr>
    </w:div>
    <w:div w:id="1349789633">
      <w:bodyDiv w:val="1"/>
      <w:marLeft w:val="0"/>
      <w:marRight w:val="0"/>
      <w:marTop w:val="0"/>
      <w:marBottom w:val="0"/>
      <w:divBdr>
        <w:top w:val="none" w:sz="0" w:space="0" w:color="auto"/>
        <w:left w:val="none" w:sz="0" w:space="0" w:color="auto"/>
        <w:bottom w:val="none" w:sz="0" w:space="0" w:color="auto"/>
        <w:right w:val="none" w:sz="0" w:space="0" w:color="auto"/>
      </w:divBdr>
    </w:div>
    <w:div w:id="1354768929">
      <w:bodyDiv w:val="1"/>
      <w:marLeft w:val="0"/>
      <w:marRight w:val="0"/>
      <w:marTop w:val="0"/>
      <w:marBottom w:val="0"/>
      <w:divBdr>
        <w:top w:val="none" w:sz="0" w:space="0" w:color="auto"/>
        <w:left w:val="none" w:sz="0" w:space="0" w:color="auto"/>
        <w:bottom w:val="none" w:sz="0" w:space="0" w:color="auto"/>
        <w:right w:val="none" w:sz="0" w:space="0" w:color="auto"/>
      </w:divBdr>
      <w:divsChild>
        <w:div w:id="1793935717">
          <w:marLeft w:val="0"/>
          <w:marRight w:val="0"/>
          <w:marTop w:val="0"/>
          <w:marBottom w:val="0"/>
          <w:divBdr>
            <w:top w:val="none" w:sz="0" w:space="0" w:color="auto"/>
            <w:left w:val="none" w:sz="0" w:space="0" w:color="auto"/>
            <w:bottom w:val="none" w:sz="0" w:space="0" w:color="auto"/>
            <w:right w:val="none" w:sz="0" w:space="0" w:color="auto"/>
          </w:divBdr>
          <w:divsChild>
            <w:div w:id="1008604074">
              <w:marLeft w:val="0"/>
              <w:marRight w:val="0"/>
              <w:marTop w:val="0"/>
              <w:marBottom w:val="0"/>
              <w:divBdr>
                <w:top w:val="none" w:sz="0" w:space="0" w:color="auto"/>
                <w:left w:val="none" w:sz="0" w:space="0" w:color="auto"/>
                <w:bottom w:val="none" w:sz="0" w:space="0" w:color="auto"/>
                <w:right w:val="none" w:sz="0" w:space="0" w:color="auto"/>
              </w:divBdr>
            </w:div>
          </w:divsChild>
        </w:div>
        <w:div w:id="100076607">
          <w:marLeft w:val="0"/>
          <w:marRight w:val="0"/>
          <w:marTop w:val="0"/>
          <w:marBottom w:val="0"/>
          <w:divBdr>
            <w:top w:val="none" w:sz="0" w:space="0" w:color="auto"/>
            <w:left w:val="none" w:sz="0" w:space="0" w:color="auto"/>
            <w:bottom w:val="none" w:sz="0" w:space="0" w:color="auto"/>
            <w:right w:val="none" w:sz="0" w:space="0" w:color="auto"/>
          </w:divBdr>
          <w:divsChild>
            <w:div w:id="1234853668">
              <w:marLeft w:val="0"/>
              <w:marRight w:val="0"/>
              <w:marTop w:val="0"/>
              <w:marBottom w:val="0"/>
              <w:divBdr>
                <w:top w:val="none" w:sz="0" w:space="0" w:color="auto"/>
                <w:left w:val="none" w:sz="0" w:space="0" w:color="auto"/>
                <w:bottom w:val="none" w:sz="0" w:space="0" w:color="auto"/>
                <w:right w:val="none" w:sz="0" w:space="0" w:color="auto"/>
              </w:divBdr>
            </w:div>
          </w:divsChild>
        </w:div>
        <w:div w:id="2041083619">
          <w:marLeft w:val="0"/>
          <w:marRight w:val="0"/>
          <w:marTop w:val="0"/>
          <w:marBottom w:val="0"/>
          <w:divBdr>
            <w:top w:val="none" w:sz="0" w:space="0" w:color="auto"/>
            <w:left w:val="none" w:sz="0" w:space="0" w:color="auto"/>
            <w:bottom w:val="none" w:sz="0" w:space="0" w:color="auto"/>
            <w:right w:val="none" w:sz="0" w:space="0" w:color="auto"/>
          </w:divBdr>
          <w:divsChild>
            <w:div w:id="1379277966">
              <w:marLeft w:val="0"/>
              <w:marRight w:val="0"/>
              <w:marTop w:val="0"/>
              <w:marBottom w:val="0"/>
              <w:divBdr>
                <w:top w:val="none" w:sz="0" w:space="0" w:color="auto"/>
                <w:left w:val="none" w:sz="0" w:space="0" w:color="auto"/>
                <w:bottom w:val="none" w:sz="0" w:space="0" w:color="auto"/>
                <w:right w:val="none" w:sz="0" w:space="0" w:color="auto"/>
              </w:divBdr>
              <w:divsChild>
                <w:div w:id="1016158117">
                  <w:marLeft w:val="0"/>
                  <w:marRight w:val="0"/>
                  <w:marTop w:val="0"/>
                  <w:marBottom w:val="0"/>
                  <w:divBdr>
                    <w:top w:val="none" w:sz="0" w:space="0" w:color="auto"/>
                    <w:left w:val="none" w:sz="0" w:space="0" w:color="auto"/>
                    <w:bottom w:val="none" w:sz="0" w:space="0" w:color="auto"/>
                    <w:right w:val="none" w:sz="0" w:space="0" w:color="auto"/>
                  </w:divBdr>
                  <w:divsChild>
                    <w:div w:id="1267273570">
                      <w:marLeft w:val="0"/>
                      <w:marRight w:val="0"/>
                      <w:marTop w:val="120"/>
                      <w:marBottom w:val="0"/>
                      <w:divBdr>
                        <w:top w:val="none" w:sz="0" w:space="0" w:color="auto"/>
                        <w:left w:val="none" w:sz="0" w:space="0" w:color="auto"/>
                        <w:bottom w:val="none" w:sz="0" w:space="0" w:color="auto"/>
                        <w:right w:val="none" w:sz="0" w:space="0" w:color="auto"/>
                      </w:divBdr>
                    </w:div>
                    <w:div w:id="1050378047">
                      <w:marLeft w:val="0"/>
                      <w:marRight w:val="0"/>
                      <w:marTop w:val="0"/>
                      <w:marBottom w:val="0"/>
                      <w:divBdr>
                        <w:top w:val="none" w:sz="0" w:space="0" w:color="auto"/>
                        <w:left w:val="none" w:sz="0" w:space="0" w:color="auto"/>
                        <w:bottom w:val="none" w:sz="0" w:space="0" w:color="auto"/>
                        <w:right w:val="none" w:sz="0" w:space="0" w:color="auto"/>
                      </w:divBdr>
                    </w:div>
                  </w:divsChild>
                </w:div>
                <w:div w:id="530068789">
                  <w:marLeft w:val="0"/>
                  <w:marRight w:val="0"/>
                  <w:marTop w:val="0"/>
                  <w:marBottom w:val="0"/>
                  <w:divBdr>
                    <w:top w:val="none" w:sz="0" w:space="0" w:color="auto"/>
                    <w:left w:val="none" w:sz="0" w:space="0" w:color="auto"/>
                    <w:bottom w:val="none" w:sz="0" w:space="0" w:color="auto"/>
                    <w:right w:val="none" w:sz="0" w:space="0" w:color="auto"/>
                  </w:divBdr>
                  <w:divsChild>
                    <w:div w:id="14354204">
                      <w:marLeft w:val="0"/>
                      <w:marRight w:val="0"/>
                      <w:marTop w:val="120"/>
                      <w:marBottom w:val="0"/>
                      <w:divBdr>
                        <w:top w:val="none" w:sz="0" w:space="0" w:color="auto"/>
                        <w:left w:val="none" w:sz="0" w:space="0" w:color="auto"/>
                        <w:bottom w:val="none" w:sz="0" w:space="0" w:color="auto"/>
                        <w:right w:val="none" w:sz="0" w:space="0" w:color="auto"/>
                      </w:divBdr>
                    </w:div>
                    <w:div w:id="12701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3936">
          <w:marLeft w:val="0"/>
          <w:marRight w:val="0"/>
          <w:marTop w:val="0"/>
          <w:marBottom w:val="0"/>
          <w:divBdr>
            <w:top w:val="none" w:sz="0" w:space="0" w:color="auto"/>
            <w:left w:val="none" w:sz="0" w:space="0" w:color="auto"/>
            <w:bottom w:val="none" w:sz="0" w:space="0" w:color="auto"/>
            <w:right w:val="none" w:sz="0" w:space="0" w:color="auto"/>
          </w:divBdr>
          <w:divsChild>
            <w:div w:id="921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9027">
      <w:bodyDiv w:val="1"/>
      <w:marLeft w:val="0"/>
      <w:marRight w:val="0"/>
      <w:marTop w:val="0"/>
      <w:marBottom w:val="0"/>
      <w:divBdr>
        <w:top w:val="none" w:sz="0" w:space="0" w:color="auto"/>
        <w:left w:val="none" w:sz="0" w:space="0" w:color="auto"/>
        <w:bottom w:val="none" w:sz="0" w:space="0" w:color="auto"/>
        <w:right w:val="none" w:sz="0" w:space="0" w:color="auto"/>
      </w:divBdr>
    </w:div>
    <w:div w:id="1794714405">
      <w:bodyDiv w:val="1"/>
      <w:marLeft w:val="0"/>
      <w:marRight w:val="0"/>
      <w:marTop w:val="0"/>
      <w:marBottom w:val="0"/>
      <w:divBdr>
        <w:top w:val="none" w:sz="0" w:space="0" w:color="auto"/>
        <w:left w:val="none" w:sz="0" w:space="0" w:color="auto"/>
        <w:bottom w:val="none" w:sz="0" w:space="0" w:color="auto"/>
        <w:right w:val="none" w:sz="0" w:space="0" w:color="auto"/>
      </w:divBdr>
    </w:div>
    <w:div w:id="1903060017">
      <w:bodyDiv w:val="1"/>
      <w:marLeft w:val="0"/>
      <w:marRight w:val="0"/>
      <w:marTop w:val="0"/>
      <w:marBottom w:val="0"/>
      <w:divBdr>
        <w:top w:val="none" w:sz="0" w:space="0" w:color="auto"/>
        <w:left w:val="none" w:sz="0" w:space="0" w:color="auto"/>
        <w:bottom w:val="none" w:sz="0" w:space="0" w:color="auto"/>
        <w:right w:val="none" w:sz="0" w:space="0" w:color="auto"/>
      </w:divBdr>
    </w:div>
    <w:div w:id="1926038205">
      <w:bodyDiv w:val="1"/>
      <w:marLeft w:val="0"/>
      <w:marRight w:val="0"/>
      <w:marTop w:val="0"/>
      <w:marBottom w:val="0"/>
      <w:divBdr>
        <w:top w:val="none" w:sz="0" w:space="0" w:color="auto"/>
        <w:left w:val="none" w:sz="0" w:space="0" w:color="auto"/>
        <w:bottom w:val="none" w:sz="0" w:space="0" w:color="auto"/>
        <w:right w:val="none" w:sz="0" w:space="0" w:color="auto"/>
      </w:divBdr>
    </w:div>
    <w:div w:id="1988581762">
      <w:bodyDiv w:val="1"/>
      <w:marLeft w:val="0"/>
      <w:marRight w:val="0"/>
      <w:marTop w:val="0"/>
      <w:marBottom w:val="0"/>
      <w:divBdr>
        <w:top w:val="none" w:sz="0" w:space="0" w:color="auto"/>
        <w:left w:val="none" w:sz="0" w:space="0" w:color="auto"/>
        <w:bottom w:val="none" w:sz="0" w:space="0" w:color="auto"/>
        <w:right w:val="none" w:sz="0" w:space="0" w:color="auto"/>
      </w:divBdr>
    </w:div>
    <w:div w:id="1990669079">
      <w:bodyDiv w:val="1"/>
      <w:marLeft w:val="0"/>
      <w:marRight w:val="0"/>
      <w:marTop w:val="0"/>
      <w:marBottom w:val="0"/>
      <w:divBdr>
        <w:top w:val="none" w:sz="0" w:space="0" w:color="auto"/>
        <w:left w:val="none" w:sz="0" w:space="0" w:color="auto"/>
        <w:bottom w:val="none" w:sz="0" w:space="0" w:color="auto"/>
        <w:right w:val="none" w:sz="0" w:space="0" w:color="auto"/>
      </w:divBdr>
    </w:div>
    <w:div w:id="2097172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1/2278/oj" TargetMode="External"/><Relationship Id="rId1" Type="http://schemas.openxmlformats.org/officeDocument/2006/relationships/hyperlink" Target="http://data.europa.eu/eli/reg/2013/95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144c03d0-0f03-451f-9d46-5279004462a4">EN</EC_Collab_DocumentLanguage>
    <EC_Collab_Reference xmlns="144c03d0-0f03-451f-9d46-5279004462a4">-</EC_Collab_Reference>
    <EC_Collab_Status xmlns="144c03d0-0f03-451f-9d46-5279004462a4">Not Started</EC_Collab_Status>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B415-8585-464D-9199-97E4920DB1A3}">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sharepoint/v3/fields"/>
    <ds:schemaRef ds:uri="http://purl.org/dc/dcmitype/"/>
    <ds:schemaRef ds:uri="f7bb8512-91eb-4bfd-be42-d6f021407e9a"/>
    <ds:schemaRef ds:uri="144c03d0-0f03-451f-9d46-5279004462a4"/>
    <ds:schemaRef ds:uri="http://schemas.microsoft.com/office/2006/metadata/properties"/>
  </ds:schemaRefs>
</ds:datastoreItem>
</file>

<file path=customXml/itemProps2.xml><?xml version="1.0" encoding="utf-8"?>
<ds:datastoreItem xmlns:ds="http://schemas.openxmlformats.org/officeDocument/2006/customXml" ds:itemID="{2CCB5D24-82D4-4A7D-89DF-4B20E577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848C-0FCB-4BEC-8327-BF4A5A664386}">
  <ds:schemaRefs>
    <ds:schemaRef ds:uri="http://schemas.microsoft.com/sharepoint/v3/contenttype/forms"/>
  </ds:schemaRefs>
</ds:datastoreItem>
</file>

<file path=customXml/itemProps4.xml><?xml version="1.0" encoding="utf-8"?>
<ds:datastoreItem xmlns:ds="http://schemas.openxmlformats.org/officeDocument/2006/customXml" ds:itemID="{8FE7502B-0B53-4127-828C-33561396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9</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21</cp:revision>
  <cp:lastPrinted>2022-03-24T18:14:00Z</cp:lastPrinted>
  <dcterms:created xsi:type="dcterms:W3CDTF">2025-10-20T10:31:00Z</dcterms:created>
  <dcterms:modified xsi:type="dcterms:W3CDTF">2025-11-11T16:32:00Z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5.8.22.0</vt:lpwstr>
  </property>
  <property fmtid="{D5CDD505-2E9C-101B-9397-08002B2CF9AE}" pid="4" name="Created using">
    <vt:lpwstr>LW 5.8, Build 20110311</vt:lpwstr>
  </property>
  <property fmtid="{D5CDD505-2E9C-101B-9397-08002B2CF9AE}" pid="5" name="Last edited using">
    <vt:lpwstr>LW 9.2, Build 20250828</vt:lpwstr>
  </property>
  <property fmtid="{D5CDD505-2E9C-101B-9397-08002B2CF9AE}" pid="6" name="_NewReviewCycle">
    <vt:lpwstr/>
  </property>
  <property fmtid="{D5CDD505-2E9C-101B-9397-08002B2CF9AE}" pid="7" name="LWTemplateID">
    <vt:lpwstr>SJ-016</vt:lpwstr>
  </property>
  <property fmtid="{D5CDD505-2E9C-101B-9397-08002B2CF9AE}" pid="8" name="Level of sensitivity">
    <vt:lpwstr>Standard treatment</vt:lpwstr>
  </property>
  <property fmtid="{D5CDD505-2E9C-101B-9397-08002B2CF9AE}" pid="9" name="Part">
    <vt:lpwstr>1</vt:lpwstr>
  </property>
  <property fmtid="{D5CDD505-2E9C-101B-9397-08002B2CF9AE}" pid="10" name="Total parts">
    <vt:lpwstr>1</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2023-02-10T11:40:19Z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e750f0b3-1c54-4a71-a94a-bbdb734d8802</vt:lpwstr>
  </property>
  <property fmtid="{D5CDD505-2E9C-101B-9397-08002B2CF9AE}" pid="17" name="MSIP_Label_6bd9ddd1-4d20-43f6-abfa-fc3c07406f94_ContentBits">
    <vt:lpwstr>0</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y fmtid="{D5CDD505-2E9C-101B-9397-08002B2CF9AE}" pid="20" name="DQCStatus">
    <vt:lpwstr>Green (DQC version 03)</vt:lpwstr>
  </property>
</Properties>
</file>