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3EE2" w:rsidRPr="00F81955" w:rsidRDefault="004623B1" w:rsidP="004623B1">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51FF9F9C-D95E-4B6E-8CCE-A9916AF64E2E" style="width:455.65pt;height:403.2pt">
            <v:imagedata r:id="rId11" o:title=""/>
          </v:shape>
        </w:pict>
      </w:r>
    </w:p>
    <w:p w:rsidR="009C3EE2" w:rsidRPr="00F81955" w:rsidRDefault="009C3EE2" w:rsidP="009C3EE2">
      <w:pPr>
        <w:rPr>
          <w:noProof/>
        </w:rPr>
        <w:sectPr w:rsidR="009C3EE2" w:rsidRPr="00F81955" w:rsidSect="004623B1">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rsidR="009C3EE2" w:rsidRPr="00F81955" w:rsidRDefault="009C3EE2" w:rsidP="0002735A">
      <w:pPr>
        <w:pStyle w:val="Exposdesmotifstitre"/>
        <w:rPr>
          <w:noProof/>
        </w:rPr>
      </w:pPr>
      <w:r w:rsidRPr="00F81955">
        <w:rPr>
          <w:noProof/>
        </w:rPr>
        <w:lastRenderedPageBreak/>
        <w:t>EXPLANATORY MEMORANDUM</w:t>
      </w:r>
    </w:p>
    <w:p w:rsidR="009C3EE2" w:rsidRPr="00F81955" w:rsidRDefault="009C3EE2" w:rsidP="0002735A">
      <w:pPr>
        <w:pStyle w:val="ManualHeading1"/>
        <w:rPr>
          <w:noProof/>
        </w:rPr>
      </w:pPr>
      <w:r w:rsidRPr="00F81955">
        <w:rPr>
          <w:noProof/>
        </w:rPr>
        <w:t>1.</w:t>
      </w:r>
      <w:r w:rsidRPr="00F81955">
        <w:rPr>
          <w:noProof/>
        </w:rPr>
        <w:tab/>
        <w:t>CONTEXT OF THE PROPOSAL</w:t>
      </w:r>
    </w:p>
    <w:p w:rsidR="009C3EE2" w:rsidRPr="00F81955" w:rsidRDefault="009C3EE2" w:rsidP="0002735A">
      <w:pPr>
        <w:pStyle w:val="ManualHeading2"/>
        <w:rPr>
          <w:rFonts w:eastAsia="Arial Unicode MS"/>
          <w:noProof/>
        </w:rPr>
      </w:pPr>
      <w:r w:rsidRPr="00F81955">
        <w:rPr>
          <w:rFonts w:eastAsia="Arial Unicode MS"/>
          <w:noProof/>
          <w:color w:val="000000"/>
          <w:u w:color="000000"/>
          <w:bdr w:val="nil"/>
          <w:lang w:eastAsia="en-GB"/>
        </w:rPr>
        <w:t>•</w:t>
      </w:r>
      <w:r w:rsidRPr="00F81955">
        <w:rPr>
          <w:rFonts w:eastAsia="Arial Unicode MS"/>
          <w:noProof/>
          <w:color w:val="000000"/>
          <w:u w:color="000000"/>
          <w:bdr w:val="nil"/>
          <w:lang w:eastAsia="en-GB"/>
        </w:rPr>
        <w:tab/>
      </w:r>
      <w:r w:rsidRPr="00F81955">
        <w:rPr>
          <w:rFonts w:eastAsia="Arial Unicode MS"/>
          <w:noProof/>
        </w:rPr>
        <w:t>Reasons for and objectives of the proposal</w:t>
      </w:r>
    </w:p>
    <w:p w:rsidR="0027691B" w:rsidRPr="00F81955" w:rsidRDefault="00A711D1" w:rsidP="00120F49">
      <w:pPr>
        <w:rPr>
          <w:noProof/>
        </w:rPr>
      </w:pPr>
      <w:r w:rsidRPr="00F81955">
        <w:rPr>
          <w:noProof/>
        </w:rPr>
        <w:t xml:space="preserve">In its </w:t>
      </w:r>
      <w:r w:rsidR="0027691B" w:rsidRPr="00F81955">
        <w:rPr>
          <w:noProof/>
        </w:rPr>
        <w:t>Communication on a Simpler and Faster Europe</w:t>
      </w:r>
      <w:r w:rsidR="001C38B2" w:rsidRPr="00F81955">
        <w:rPr>
          <w:noProof/>
        </w:rPr>
        <w:t xml:space="preserve"> (</w:t>
      </w:r>
      <w:r w:rsidR="0027691B" w:rsidRPr="00F81955">
        <w:rPr>
          <w:rStyle w:val="FootnoteReference"/>
          <w:noProof/>
        </w:rPr>
        <w:footnoteReference w:id="2"/>
      </w:r>
      <w:r w:rsidR="001C38B2" w:rsidRPr="00F81955">
        <w:rPr>
          <w:noProof/>
        </w:rPr>
        <w:t>)</w:t>
      </w:r>
      <w:r w:rsidRPr="00F81955">
        <w:rPr>
          <w:noProof/>
        </w:rPr>
        <w:t xml:space="preserve">, </w:t>
      </w:r>
      <w:r w:rsidR="00BD2613" w:rsidRPr="00F81955">
        <w:rPr>
          <w:noProof/>
        </w:rPr>
        <w:t>t</w:t>
      </w:r>
      <w:r w:rsidRPr="00F81955">
        <w:rPr>
          <w:noProof/>
        </w:rPr>
        <w:t>he Commission announced its commitment to an ambitious programme</w:t>
      </w:r>
      <w:r w:rsidR="0027691B" w:rsidRPr="00F81955">
        <w:rPr>
          <w:noProof/>
        </w:rPr>
        <w:t xml:space="preserve"> to promote forward-looking, innovative policies that strengthen the </w:t>
      </w:r>
      <w:r w:rsidR="001C38B2" w:rsidRPr="00F81955">
        <w:rPr>
          <w:noProof/>
        </w:rPr>
        <w:t xml:space="preserve">European </w:t>
      </w:r>
      <w:r w:rsidR="0027691B" w:rsidRPr="00F81955">
        <w:rPr>
          <w:noProof/>
        </w:rPr>
        <w:t xml:space="preserve">Union’s </w:t>
      </w:r>
      <w:r w:rsidR="001C38B2" w:rsidRPr="00F81955">
        <w:rPr>
          <w:noProof/>
        </w:rPr>
        <w:t xml:space="preserve">(EU) </w:t>
      </w:r>
      <w:r w:rsidR="0027691B" w:rsidRPr="00F81955">
        <w:rPr>
          <w:noProof/>
        </w:rPr>
        <w:t xml:space="preserve">competitiveness and lighten the regulatory </w:t>
      </w:r>
      <w:r w:rsidRPr="00F81955">
        <w:rPr>
          <w:noProof/>
        </w:rPr>
        <w:t>burdens on</w:t>
      </w:r>
      <w:r w:rsidR="0027691B" w:rsidRPr="00F81955">
        <w:rPr>
          <w:noProof/>
        </w:rPr>
        <w:t xml:space="preserve"> people, businesses and administrations, while maintaining the highest standard in promoting </w:t>
      </w:r>
      <w:r w:rsidR="001C38B2" w:rsidRPr="00F81955">
        <w:rPr>
          <w:noProof/>
        </w:rPr>
        <w:t>its</w:t>
      </w:r>
      <w:r w:rsidR="0027691B" w:rsidRPr="00F81955">
        <w:rPr>
          <w:noProof/>
        </w:rPr>
        <w:t xml:space="preserve"> values.</w:t>
      </w:r>
    </w:p>
    <w:p w:rsidR="00A27256" w:rsidRPr="00F81955" w:rsidRDefault="00C83463" w:rsidP="00A27256">
      <w:pPr>
        <w:rPr>
          <w:noProof/>
        </w:rPr>
      </w:pPr>
      <w:r w:rsidRPr="00F81955">
        <w:rPr>
          <w:noProof/>
        </w:rPr>
        <w:t>Regulation (EU) 2024/1689 of the European Parliament and of the Council of 13 June 2024 laying down harmonised rules on artificial intelligence (‘AI Act’)</w:t>
      </w:r>
      <w:r w:rsidR="001659A5" w:rsidRPr="00F81955">
        <w:rPr>
          <w:noProof/>
        </w:rPr>
        <w:t xml:space="preserve">, </w:t>
      </w:r>
      <w:r w:rsidR="00A27256" w:rsidRPr="00F81955">
        <w:rPr>
          <w:noProof/>
        </w:rPr>
        <w:t>which entered into force on 1 August 2024, establishes a single market for trustworthy and human-centric artificial intelligence</w:t>
      </w:r>
      <w:r w:rsidR="004A5C26" w:rsidRPr="00F81955">
        <w:rPr>
          <w:noProof/>
        </w:rPr>
        <w:t xml:space="preserve"> (‘AI’)</w:t>
      </w:r>
      <w:r w:rsidR="00A27256" w:rsidRPr="00F81955">
        <w:rPr>
          <w:noProof/>
        </w:rPr>
        <w:t xml:space="preserve"> across the </w:t>
      </w:r>
      <w:r w:rsidR="001C38B2" w:rsidRPr="00F81955">
        <w:rPr>
          <w:noProof/>
        </w:rPr>
        <w:t>EU</w:t>
      </w:r>
      <w:r w:rsidR="00A27256" w:rsidRPr="00F81955">
        <w:rPr>
          <w:noProof/>
        </w:rPr>
        <w:t>. Its purpose is to promote innovation and the uptake of AI while ensuring a high level of protection for health, safety, and fundamental rights, including democracy and the rule of law.</w:t>
      </w:r>
    </w:p>
    <w:p w:rsidR="00A27256" w:rsidRPr="00F81955" w:rsidRDefault="00A27256" w:rsidP="00A27256">
      <w:pPr>
        <w:rPr>
          <w:noProof/>
        </w:rPr>
      </w:pPr>
      <w:r w:rsidRPr="00F81955">
        <w:rPr>
          <w:noProof/>
        </w:rPr>
        <w:t xml:space="preserve">The </w:t>
      </w:r>
      <w:r w:rsidR="004D5AB8" w:rsidRPr="00F81955">
        <w:rPr>
          <w:noProof/>
        </w:rPr>
        <w:t xml:space="preserve">AI </w:t>
      </w:r>
      <w:r w:rsidRPr="00F81955">
        <w:rPr>
          <w:noProof/>
        </w:rPr>
        <w:t>Act</w:t>
      </w:r>
      <w:r w:rsidR="005502C6" w:rsidRPr="00F81955">
        <w:rPr>
          <w:noProof/>
        </w:rPr>
        <w:t>’s</w:t>
      </w:r>
      <w:r w:rsidRPr="00F81955">
        <w:rPr>
          <w:noProof/>
        </w:rPr>
        <w:t xml:space="preserve"> </w:t>
      </w:r>
      <w:r w:rsidR="005502C6" w:rsidRPr="00F81955">
        <w:rPr>
          <w:noProof/>
        </w:rPr>
        <w:t>entry into application occurs in stages, with all rules entering into application by</w:t>
      </w:r>
      <w:r w:rsidRPr="00F81955">
        <w:rPr>
          <w:noProof/>
        </w:rPr>
        <w:t xml:space="preserve"> 2 August 2027</w:t>
      </w:r>
      <w:r w:rsidR="005502C6" w:rsidRPr="00F81955">
        <w:rPr>
          <w:noProof/>
        </w:rPr>
        <w:t>.</w:t>
      </w:r>
      <w:r w:rsidRPr="00F81955">
        <w:rPr>
          <w:noProof/>
        </w:rPr>
        <w:t xml:space="preserve"> </w:t>
      </w:r>
      <w:r w:rsidR="000A2773" w:rsidRPr="00F81955">
        <w:rPr>
          <w:noProof/>
        </w:rPr>
        <w:t xml:space="preserve">The prohibitions on AI practices with unacceptable risks and the obligations for general-purpose AI models are already applicable. However, </w:t>
      </w:r>
      <w:r w:rsidRPr="00F81955">
        <w:rPr>
          <w:noProof/>
        </w:rPr>
        <w:t xml:space="preserve">most provisions </w:t>
      </w:r>
      <w:r w:rsidR="00575D9E" w:rsidRPr="00F81955">
        <w:rPr>
          <w:noProof/>
        </w:rPr>
        <w:t>–</w:t>
      </w:r>
      <w:r w:rsidRPr="00F81955">
        <w:rPr>
          <w:noProof/>
        </w:rPr>
        <w:t xml:space="preserve"> </w:t>
      </w:r>
      <w:r w:rsidR="000A2773" w:rsidRPr="00F81955">
        <w:rPr>
          <w:noProof/>
        </w:rPr>
        <w:t xml:space="preserve">in particular </w:t>
      </w:r>
      <w:r w:rsidRPr="00F81955">
        <w:rPr>
          <w:noProof/>
        </w:rPr>
        <w:t xml:space="preserve">those governing high-risk AI systems </w:t>
      </w:r>
      <w:r w:rsidR="00575D9E" w:rsidRPr="00F81955">
        <w:rPr>
          <w:noProof/>
        </w:rPr>
        <w:t>–</w:t>
      </w:r>
      <w:r w:rsidRPr="00F81955">
        <w:rPr>
          <w:noProof/>
        </w:rPr>
        <w:t xml:space="preserve"> will </w:t>
      </w:r>
      <w:r w:rsidR="000A2773" w:rsidRPr="00F81955">
        <w:rPr>
          <w:noProof/>
        </w:rPr>
        <w:t xml:space="preserve">only start to </w:t>
      </w:r>
      <w:r w:rsidRPr="00F81955">
        <w:rPr>
          <w:noProof/>
        </w:rPr>
        <w:t xml:space="preserve">apply from 2 August 2026 </w:t>
      </w:r>
      <w:r w:rsidR="000A2773" w:rsidRPr="00F81955">
        <w:rPr>
          <w:noProof/>
        </w:rPr>
        <w:t>or</w:t>
      </w:r>
      <w:r w:rsidR="00A00137" w:rsidRPr="00F81955">
        <w:rPr>
          <w:noProof/>
        </w:rPr>
        <w:t xml:space="preserve"> </w:t>
      </w:r>
      <w:r w:rsidRPr="00F81955">
        <w:rPr>
          <w:noProof/>
        </w:rPr>
        <w:t xml:space="preserve">2 August 2027. These </w:t>
      </w:r>
      <w:r w:rsidR="000A2773" w:rsidRPr="00F81955">
        <w:rPr>
          <w:noProof/>
        </w:rPr>
        <w:t xml:space="preserve">provisions </w:t>
      </w:r>
      <w:r w:rsidRPr="00F81955">
        <w:rPr>
          <w:noProof/>
        </w:rPr>
        <w:t xml:space="preserve">include detailed requirements for data governance, transparency, documentation, human oversight, and robustness, </w:t>
      </w:r>
      <w:r w:rsidR="000A2773" w:rsidRPr="00F81955">
        <w:rPr>
          <w:noProof/>
        </w:rPr>
        <w:t xml:space="preserve">so as to </w:t>
      </w:r>
      <w:r w:rsidRPr="00F81955">
        <w:rPr>
          <w:noProof/>
        </w:rPr>
        <w:t>ensur</w:t>
      </w:r>
      <w:r w:rsidR="000A2773" w:rsidRPr="00F81955">
        <w:rPr>
          <w:noProof/>
        </w:rPr>
        <w:t>e</w:t>
      </w:r>
      <w:r w:rsidRPr="00F81955">
        <w:rPr>
          <w:noProof/>
        </w:rPr>
        <w:t xml:space="preserve"> that AI systems placed on the EU market are safe, transparent, and reliable.</w:t>
      </w:r>
    </w:p>
    <w:p w:rsidR="00A27256" w:rsidRPr="00F81955" w:rsidRDefault="00A27256" w:rsidP="00A27256">
      <w:pPr>
        <w:rPr>
          <w:noProof/>
        </w:rPr>
      </w:pPr>
      <w:r w:rsidRPr="00F81955">
        <w:rPr>
          <w:noProof/>
        </w:rPr>
        <w:t xml:space="preserve">The Commission </w:t>
      </w:r>
      <w:r w:rsidR="005502C6" w:rsidRPr="00F81955">
        <w:rPr>
          <w:noProof/>
        </w:rPr>
        <w:t xml:space="preserve">is </w:t>
      </w:r>
      <w:r w:rsidRPr="00F81955">
        <w:rPr>
          <w:noProof/>
        </w:rPr>
        <w:t xml:space="preserve">committed to a clear, simple, and innovation-friendly implementation of the AI Act, as set out in the </w:t>
      </w:r>
      <w:r w:rsidRPr="00F81955">
        <w:rPr>
          <w:b/>
          <w:bCs/>
          <w:noProof/>
        </w:rPr>
        <w:t>AI Continent Action Plan</w:t>
      </w:r>
      <w:r w:rsidR="00A00137" w:rsidRPr="00F81955">
        <w:rPr>
          <w:noProof/>
        </w:rPr>
        <w:t xml:space="preserve"> (</w:t>
      </w:r>
      <w:r w:rsidR="001B474A" w:rsidRPr="00F81955">
        <w:rPr>
          <w:rStyle w:val="FootnoteReference"/>
          <w:noProof/>
        </w:rPr>
        <w:footnoteReference w:id="3"/>
      </w:r>
      <w:r w:rsidR="00A00137" w:rsidRPr="00F81955">
        <w:rPr>
          <w:noProof/>
        </w:rPr>
        <w:t>)</w:t>
      </w:r>
      <w:r w:rsidRPr="00F81955">
        <w:rPr>
          <w:noProof/>
        </w:rPr>
        <w:t xml:space="preserve"> and the </w:t>
      </w:r>
      <w:r w:rsidRPr="00F81955">
        <w:rPr>
          <w:b/>
          <w:bCs/>
          <w:noProof/>
        </w:rPr>
        <w:t>Apply AI Strategy</w:t>
      </w:r>
      <w:r w:rsidR="00DB07D1" w:rsidRPr="00F81955">
        <w:rPr>
          <w:noProof/>
        </w:rPr>
        <w:t xml:space="preserve"> (</w:t>
      </w:r>
      <w:r w:rsidR="00CE678D" w:rsidRPr="00F81955">
        <w:rPr>
          <w:rStyle w:val="FootnoteReference"/>
          <w:noProof/>
        </w:rPr>
        <w:footnoteReference w:id="4"/>
      </w:r>
      <w:r w:rsidR="00DB07D1" w:rsidRPr="00F81955">
        <w:rPr>
          <w:noProof/>
        </w:rPr>
        <w:t>)</w:t>
      </w:r>
      <w:r w:rsidRPr="00F81955">
        <w:rPr>
          <w:noProof/>
        </w:rPr>
        <w:t>.</w:t>
      </w:r>
      <w:r w:rsidR="002564B8" w:rsidRPr="00F81955">
        <w:rPr>
          <w:noProof/>
        </w:rPr>
        <w:t xml:space="preserve"> </w:t>
      </w:r>
      <w:r w:rsidRPr="00F81955">
        <w:rPr>
          <w:noProof/>
        </w:rPr>
        <w:t>Initiatives such as the General-Purpose AI Code of Practice, Commission guidelines and template</w:t>
      </w:r>
      <w:r w:rsidR="000408B9" w:rsidRPr="00F81955">
        <w:rPr>
          <w:noProof/>
        </w:rPr>
        <w:t>s</w:t>
      </w:r>
      <w:r w:rsidRPr="00F81955">
        <w:rPr>
          <w:noProof/>
        </w:rPr>
        <w:t xml:space="preserve">, the AI Pact and the launch of the AI Act Service Desk </w:t>
      </w:r>
      <w:r w:rsidR="00DB07D1" w:rsidRPr="00F81955">
        <w:rPr>
          <w:noProof/>
        </w:rPr>
        <w:t xml:space="preserve">build </w:t>
      </w:r>
      <w:r w:rsidRPr="00F81955">
        <w:rPr>
          <w:noProof/>
        </w:rPr>
        <w:t xml:space="preserve">clarity regarding the applicable rules and support for their application. </w:t>
      </w:r>
      <w:r w:rsidR="00413775" w:rsidRPr="00F81955">
        <w:rPr>
          <w:noProof/>
        </w:rPr>
        <w:t xml:space="preserve">In particular, the </w:t>
      </w:r>
      <w:r w:rsidR="001A0A1F" w:rsidRPr="00F81955">
        <w:rPr>
          <w:noProof/>
        </w:rPr>
        <w:t>website through which the AI Act Service Desk is provided offers a single information platform</w:t>
      </w:r>
      <w:r w:rsidR="00DA4870" w:rsidRPr="00F81955">
        <w:rPr>
          <w:noProof/>
        </w:rPr>
        <w:t xml:space="preserve"> (</w:t>
      </w:r>
      <w:r w:rsidR="00DA4870" w:rsidRPr="00F81955">
        <w:rPr>
          <w:rStyle w:val="FootnoteReference"/>
          <w:noProof/>
        </w:rPr>
        <w:footnoteReference w:id="5"/>
      </w:r>
      <w:r w:rsidR="00DA4870" w:rsidRPr="00F81955">
        <w:rPr>
          <w:noProof/>
        </w:rPr>
        <w:t>)</w:t>
      </w:r>
      <w:r w:rsidR="001A0A1F" w:rsidRPr="00F81955">
        <w:rPr>
          <w:noProof/>
        </w:rPr>
        <w:t xml:space="preserve"> o</w:t>
      </w:r>
      <w:r w:rsidR="00047D49" w:rsidRPr="00F81955">
        <w:rPr>
          <w:noProof/>
        </w:rPr>
        <w:t>n all resources available to stakeholders to navigate the AI Act</w:t>
      </w:r>
      <w:r w:rsidR="00ED74BF" w:rsidRPr="00F81955">
        <w:rPr>
          <w:noProof/>
        </w:rPr>
        <w:t xml:space="preserve">, including guidelines, </w:t>
      </w:r>
      <w:r w:rsidR="002A3B9F" w:rsidRPr="00F81955">
        <w:rPr>
          <w:noProof/>
        </w:rPr>
        <w:t xml:space="preserve">national authorities and support initiatives, </w:t>
      </w:r>
      <w:r w:rsidR="00ED74BF" w:rsidRPr="00F81955">
        <w:rPr>
          <w:noProof/>
        </w:rPr>
        <w:t xml:space="preserve">webinars, </w:t>
      </w:r>
      <w:r w:rsidR="00A3444A" w:rsidRPr="00F81955">
        <w:rPr>
          <w:noProof/>
        </w:rPr>
        <w:t>and harmonised standards</w:t>
      </w:r>
      <w:r w:rsidR="000D6042" w:rsidRPr="00F81955">
        <w:rPr>
          <w:noProof/>
        </w:rPr>
        <w:t xml:space="preserve">. </w:t>
      </w:r>
      <w:r w:rsidRPr="00F81955">
        <w:rPr>
          <w:noProof/>
        </w:rPr>
        <w:t>These efforts will continue, with further guidance and digital tools under preparation.</w:t>
      </w:r>
    </w:p>
    <w:p w:rsidR="00A27256" w:rsidRPr="00F81955" w:rsidRDefault="00A27256" w:rsidP="00A27256">
      <w:pPr>
        <w:rPr>
          <w:noProof/>
        </w:rPr>
      </w:pPr>
      <w:r w:rsidRPr="00F81955">
        <w:rPr>
          <w:noProof/>
        </w:rPr>
        <w:t xml:space="preserve">Building on </w:t>
      </w:r>
      <w:r w:rsidR="00E01D74" w:rsidRPr="00F81955">
        <w:rPr>
          <w:noProof/>
        </w:rPr>
        <w:t>experience gained from the implementation of already applicable provisions</w:t>
      </w:r>
      <w:r w:rsidRPr="00F81955">
        <w:rPr>
          <w:noProof/>
        </w:rPr>
        <w:t xml:space="preserve">, the Commission </w:t>
      </w:r>
      <w:r w:rsidR="00E01D74" w:rsidRPr="00F81955">
        <w:rPr>
          <w:noProof/>
        </w:rPr>
        <w:t>held</w:t>
      </w:r>
      <w:r w:rsidRPr="00F81955">
        <w:rPr>
          <w:noProof/>
        </w:rPr>
        <w:t xml:space="preserve"> a series of consultation</w:t>
      </w:r>
      <w:r w:rsidR="00DB07D1" w:rsidRPr="00F81955">
        <w:rPr>
          <w:noProof/>
        </w:rPr>
        <w:t>s</w:t>
      </w:r>
      <w:r w:rsidRPr="00F81955">
        <w:rPr>
          <w:noProof/>
        </w:rPr>
        <w:t>, including a public consultation</w:t>
      </w:r>
      <w:r w:rsidRPr="00F81955">
        <w:rPr>
          <w:noProof/>
          <w:vertAlign w:val="superscript"/>
        </w:rPr>
        <w:t xml:space="preserve"> </w:t>
      </w:r>
      <w:r w:rsidRPr="00F81955">
        <w:rPr>
          <w:noProof/>
        </w:rPr>
        <w:t xml:space="preserve">to identify </w:t>
      </w:r>
      <w:r w:rsidR="00E01D74" w:rsidRPr="00F81955">
        <w:rPr>
          <w:noProof/>
        </w:rPr>
        <w:t xml:space="preserve">potential </w:t>
      </w:r>
      <w:r w:rsidRPr="00F81955">
        <w:rPr>
          <w:noProof/>
        </w:rPr>
        <w:t xml:space="preserve">challenges with </w:t>
      </w:r>
      <w:r w:rsidR="00E01D74" w:rsidRPr="00F81955">
        <w:rPr>
          <w:noProof/>
        </w:rPr>
        <w:t xml:space="preserve">implementing </w:t>
      </w:r>
      <w:r w:rsidRPr="00F81955">
        <w:rPr>
          <w:noProof/>
        </w:rPr>
        <w:t>the AI Act</w:t>
      </w:r>
      <w:r w:rsidR="00E01D74" w:rsidRPr="00F81955">
        <w:rPr>
          <w:noProof/>
        </w:rPr>
        <w:t>’s provisions</w:t>
      </w:r>
      <w:r w:rsidRPr="00F81955">
        <w:rPr>
          <w:noProof/>
        </w:rPr>
        <w:t xml:space="preserve">, a </w:t>
      </w:r>
      <w:r w:rsidR="00DB07D1" w:rsidRPr="00F81955">
        <w:rPr>
          <w:noProof/>
        </w:rPr>
        <w:t xml:space="preserve">call </w:t>
      </w:r>
      <w:r w:rsidRPr="00F81955">
        <w:rPr>
          <w:noProof/>
        </w:rPr>
        <w:t xml:space="preserve">for </w:t>
      </w:r>
      <w:r w:rsidR="00DB07D1" w:rsidRPr="00F81955">
        <w:rPr>
          <w:noProof/>
        </w:rPr>
        <w:t xml:space="preserve">evidence </w:t>
      </w:r>
      <w:r w:rsidRPr="00F81955">
        <w:rPr>
          <w:noProof/>
        </w:rPr>
        <w:t xml:space="preserve">in preparation of the Digital Omnibus, a </w:t>
      </w:r>
      <w:r w:rsidR="00DB07D1" w:rsidRPr="00F81955">
        <w:rPr>
          <w:noProof/>
        </w:rPr>
        <w:t xml:space="preserve">reality check </w:t>
      </w:r>
      <w:r w:rsidRPr="00F81955">
        <w:rPr>
          <w:noProof/>
        </w:rPr>
        <w:t xml:space="preserve">allowing stakeholders to directly share their </w:t>
      </w:r>
      <w:r w:rsidR="00DB07D1" w:rsidRPr="00F81955">
        <w:rPr>
          <w:noProof/>
        </w:rPr>
        <w:t xml:space="preserve">implementation </w:t>
      </w:r>
      <w:r w:rsidRPr="00F81955">
        <w:rPr>
          <w:noProof/>
        </w:rPr>
        <w:t>experiences and an SME panel to identify their particular needs in the implementation</w:t>
      </w:r>
      <w:r w:rsidR="00E01D74" w:rsidRPr="00F81955">
        <w:rPr>
          <w:noProof/>
        </w:rPr>
        <w:t xml:space="preserve"> of the AI Act</w:t>
      </w:r>
      <w:r w:rsidRPr="00F81955">
        <w:rPr>
          <w:noProof/>
        </w:rPr>
        <w:t xml:space="preserve">. </w:t>
      </w:r>
    </w:p>
    <w:p w:rsidR="00A27256" w:rsidRPr="00F81955" w:rsidRDefault="00A27256" w:rsidP="00A27256">
      <w:pPr>
        <w:rPr>
          <w:noProof/>
        </w:rPr>
      </w:pPr>
      <w:r w:rsidRPr="00F81955">
        <w:rPr>
          <w:noProof/>
        </w:rPr>
        <w:lastRenderedPageBreak/>
        <w:t xml:space="preserve">These consultations reveal </w:t>
      </w:r>
      <w:r w:rsidRPr="00F81955">
        <w:rPr>
          <w:b/>
          <w:bCs/>
          <w:noProof/>
        </w:rPr>
        <w:t>implementation challenges</w:t>
      </w:r>
      <w:r w:rsidRPr="00F81955">
        <w:rPr>
          <w:noProof/>
        </w:rPr>
        <w:t xml:space="preserve"> that could </w:t>
      </w:r>
      <w:r w:rsidR="0062086A" w:rsidRPr="00F81955">
        <w:rPr>
          <w:noProof/>
        </w:rPr>
        <w:t xml:space="preserve">jeopardise </w:t>
      </w:r>
      <w:r w:rsidRPr="00F81955">
        <w:rPr>
          <w:noProof/>
        </w:rPr>
        <w:t>the effective entry into application of key provisions</w:t>
      </w:r>
      <w:r w:rsidR="00E01D74" w:rsidRPr="00F81955">
        <w:rPr>
          <w:noProof/>
        </w:rPr>
        <w:t xml:space="preserve"> of the AI Act</w:t>
      </w:r>
      <w:r w:rsidRPr="00F81955">
        <w:rPr>
          <w:noProof/>
        </w:rPr>
        <w:t xml:space="preserve">. These include </w:t>
      </w:r>
      <w:r w:rsidR="00E01D74" w:rsidRPr="00F81955">
        <w:rPr>
          <w:noProof/>
        </w:rPr>
        <w:t xml:space="preserve">delays in designating </w:t>
      </w:r>
      <w:r w:rsidRPr="00F81955">
        <w:rPr>
          <w:noProof/>
        </w:rPr>
        <w:t xml:space="preserve">national competent authorities and conformity assessment bodies, as well as a lack of harmonised standards for the AI Act’s high-risk requirements, guidance, and compliance tools. Such delays risk </w:t>
      </w:r>
      <w:r w:rsidR="000408B9" w:rsidRPr="00F81955">
        <w:rPr>
          <w:noProof/>
        </w:rPr>
        <w:t xml:space="preserve">significantly </w:t>
      </w:r>
      <w:r w:rsidRPr="00F81955">
        <w:rPr>
          <w:noProof/>
        </w:rPr>
        <w:t>increasing</w:t>
      </w:r>
      <w:r w:rsidR="000408B9" w:rsidRPr="00F81955">
        <w:rPr>
          <w:noProof/>
        </w:rPr>
        <w:t xml:space="preserve"> the compliance</w:t>
      </w:r>
      <w:r w:rsidRPr="00F81955">
        <w:rPr>
          <w:noProof/>
        </w:rPr>
        <w:t xml:space="preserve"> costs for businesses</w:t>
      </w:r>
      <w:r w:rsidR="000408B9" w:rsidRPr="00F81955">
        <w:rPr>
          <w:noProof/>
        </w:rPr>
        <w:t xml:space="preserve"> and public authorities</w:t>
      </w:r>
      <w:r w:rsidRPr="00F81955">
        <w:rPr>
          <w:noProof/>
        </w:rPr>
        <w:t xml:space="preserve"> and slowing</w:t>
      </w:r>
      <w:r w:rsidR="0062086A" w:rsidRPr="00F81955">
        <w:rPr>
          <w:noProof/>
        </w:rPr>
        <w:t xml:space="preserve"> down</w:t>
      </w:r>
      <w:r w:rsidRPr="00F81955">
        <w:rPr>
          <w:noProof/>
        </w:rPr>
        <w:t xml:space="preserve"> innovation.</w:t>
      </w:r>
    </w:p>
    <w:p w:rsidR="00A27256" w:rsidRPr="00F81955" w:rsidRDefault="00A27256" w:rsidP="00A27256">
      <w:pPr>
        <w:rPr>
          <w:noProof/>
        </w:rPr>
      </w:pPr>
      <w:r w:rsidRPr="00F81955">
        <w:rPr>
          <w:noProof/>
        </w:rPr>
        <w:t xml:space="preserve">To address these challenges, the Commission is proposing </w:t>
      </w:r>
      <w:r w:rsidRPr="00F81955">
        <w:rPr>
          <w:b/>
          <w:bCs/>
          <w:noProof/>
        </w:rPr>
        <w:t>targeted simplification measures</w:t>
      </w:r>
      <w:r w:rsidRPr="00F81955">
        <w:rPr>
          <w:noProof/>
        </w:rPr>
        <w:t xml:space="preserve"> </w:t>
      </w:r>
      <w:r w:rsidR="0062086A" w:rsidRPr="00F81955">
        <w:rPr>
          <w:noProof/>
        </w:rPr>
        <w:t xml:space="preserve">to </w:t>
      </w:r>
      <w:r w:rsidRPr="00F81955">
        <w:rPr>
          <w:noProof/>
        </w:rPr>
        <w:t>ensur</w:t>
      </w:r>
      <w:r w:rsidR="0062086A" w:rsidRPr="00F81955">
        <w:rPr>
          <w:noProof/>
        </w:rPr>
        <w:t>e</w:t>
      </w:r>
      <w:r w:rsidRPr="00F81955">
        <w:rPr>
          <w:noProof/>
        </w:rPr>
        <w:t xml:space="preserve"> timely, smooth, and proportionate implementation</w:t>
      </w:r>
      <w:r w:rsidR="00E01D74" w:rsidRPr="00F81955">
        <w:rPr>
          <w:noProof/>
        </w:rPr>
        <w:t xml:space="preserve"> of certain of the AI Act’s provisions</w:t>
      </w:r>
      <w:r w:rsidRPr="00F81955">
        <w:rPr>
          <w:noProof/>
        </w:rPr>
        <w:t>. These include:</w:t>
      </w:r>
    </w:p>
    <w:p w:rsidR="00001AD4" w:rsidRPr="00F81955" w:rsidRDefault="001E5B87" w:rsidP="00594141">
      <w:pPr>
        <w:pStyle w:val="Bullet0"/>
        <w:numPr>
          <w:ilvl w:val="0"/>
          <w:numId w:val="21"/>
        </w:numPr>
        <w:rPr>
          <w:noProof/>
        </w:rPr>
      </w:pPr>
      <w:r w:rsidRPr="00F81955">
        <w:rPr>
          <w:b/>
          <w:noProof/>
        </w:rPr>
        <w:t>linking</w:t>
      </w:r>
      <w:r w:rsidR="00683188" w:rsidRPr="00F81955">
        <w:rPr>
          <w:b/>
          <w:noProof/>
        </w:rPr>
        <w:t xml:space="preserve"> </w:t>
      </w:r>
      <w:r w:rsidR="00A27256" w:rsidRPr="00F81955">
        <w:rPr>
          <w:b/>
          <w:noProof/>
        </w:rPr>
        <w:t>the implementation timeline</w:t>
      </w:r>
      <w:r w:rsidRPr="00F81955">
        <w:rPr>
          <w:b/>
          <w:noProof/>
        </w:rPr>
        <w:t xml:space="preserve"> of high-risk rules</w:t>
      </w:r>
      <w:r w:rsidR="00A27256" w:rsidRPr="00F81955">
        <w:rPr>
          <w:b/>
          <w:noProof/>
        </w:rPr>
        <w:t xml:space="preserve"> </w:t>
      </w:r>
      <w:r w:rsidR="00A27256" w:rsidRPr="00F81955">
        <w:rPr>
          <w:noProof/>
        </w:rPr>
        <w:t>to the availability of standards</w:t>
      </w:r>
      <w:r w:rsidRPr="00F81955">
        <w:rPr>
          <w:noProof/>
        </w:rPr>
        <w:t xml:space="preserve"> or other support tools</w:t>
      </w:r>
      <w:r w:rsidR="00001AD4" w:rsidRPr="00F81955">
        <w:rPr>
          <w:noProof/>
        </w:rPr>
        <w:t>;</w:t>
      </w:r>
      <w:r w:rsidR="00A27256" w:rsidRPr="00F81955">
        <w:rPr>
          <w:noProof/>
        </w:rPr>
        <w:t xml:space="preserve"> </w:t>
      </w:r>
    </w:p>
    <w:p w:rsidR="00AF64B6" w:rsidRDefault="00683188" w:rsidP="00120F49">
      <w:pPr>
        <w:pStyle w:val="Bullet0"/>
        <w:rPr>
          <w:noProof/>
        </w:rPr>
      </w:pPr>
      <w:r w:rsidRPr="00F81955">
        <w:rPr>
          <w:b/>
          <w:bCs/>
          <w:noProof/>
        </w:rPr>
        <w:t xml:space="preserve">extending </w:t>
      </w:r>
      <w:r w:rsidR="00A27256" w:rsidRPr="00F81955">
        <w:rPr>
          <w:b/>
          <w:bCs/>
          <w:noProof/>
        </w:rPr>
        <w:t xml:space="preserve">regulatory </w:t>
      </w:r>
      <w:r w:rsidR="007A5814" w:rsidRPr="00F81955">
        <w:rPr>
          <w:b/>
          <w:bCs/>
          <w:noProof/>
        </w:rPr>
        <w:t xml:space="preserve">simplifications </w:t>
      </w:r>
      <w:r w:rsidR="007D5A6D" w:rsidRPr="00F81955">
        <w:rPr>
          <w:b/>
          <w:bCs/>
          <w:noProof/>
        </w:rPr>
        <w:t xml:space="preserve">granted to </w:t>
      </w:r>
      <w:r w:rsidR="00923A64" w:rsidRPr="00F81955">
        <w:rPr>
          <w:b/>
          <w:bCs/>
          <w:noProof/>
        </w:rPr>
        <w:t>small and medium-sized enterprises (</w:t>
      </w:r>
      <w:r w:rsidR="00A27256" w:rsidRPr="00F81955">
        <w:rPr>
          <w:b/>
          <w:bCs/>
          <w:noProof/>
        </w:rPr>
        <w:t>SMEs</w:t>
      </w:r>
      <w:r w:rsidR="00923A64" w:rsidRPr="00F81955">
        <w:rPr>
          <w:b/>
          <w:bCs/>
          <w:noProof/>
        </w:rPr>
        <w:t>)</w:t>
      </w:r>
      <w:r w:rsidR="00A27256" w:rsidRPr="00F81955">
        <w:rPr>
          <w:b/>
          <w:bCs/>
          <w:noProof/>
        </w:rPr>
        <w:t xml:space="preserve"> to small mid-caps</w:t>
      </w:r>
      <w:r w:rsidR="000408B9" w:rsidRPr="00F81955">
        <w:rPr>
          <w:b/>
          <w:bCs/>
          <w:noProof/>
        </w:rPr>
        <w:t xml:space="preserve"> (SMCs)</w:t>
      </w:r>
      <w:r w:rsidR="00776850" w:rsidRPr="00F81955">
        <w:rPr>
          <w:b/>
          <w:bCs/>
          <w:noProof/>
        </w:rPr>
        <w:t xml:space="preserve">, </w:t>
      </w:r>
      <w:r w:rsidR="00776850" w:rsidRPr="00F81955">
        <w:rPr>
          <w:noProof/>
        </w:rPr>
        <w:t>including simplified technical documentation requirements and special consideration in the application of penal</w:t>
      </w:r>
      <w:r w:rsidR="005D6290" w:rsidRPr="00F81955">
        <w:rPr>
          <w:noProof/>
        </w:rPr>
        <w:t>ties;</w:t>
      </w:r>
    </w:p>
    <w:p w:rsidR="005D6290" w:rsidRPr="00F81955" w:rsidRDefault="003735D2" w:rsidP="00120F49">
      <w:pPr>
        <w:pStyle w:val="Bullet0"/>
        <w:rPr>
          <w:noProof/>
        </w:rPr>
      </w:pPr>
      <w:r w:rsidRPr="00F81955">
        <w:rPr>
          <w:noProof/>
        </w:rPr>
        <w:t xml:space="preserve">requiring </w:t>
      </w:r>
      <w:r w:rsidR="00A27256" w:rsidRPr="00F81955">
        <w:rPr>
          <w:noProof/>
        </w:rPr>
        <w:t xml:space="preserve">the </w:t>
      </w:r>
      <w:r w:rsidR="00A27256" w:rsidRPr="00F81955">
        <w:rPr>
          <w:b/>
          <w:bCs/>
          <w:noProof/>
        </w:rPr>
        <w:t xml:space="preserve">Commission and </w:t>
      </w:r>
      <w:r w:rsidR="00E01D74" w:rsidRPr="00F81955">
        <w:rPr>
          <w:b/>
          <w:bCs/>
          <w:noProof/>
        </w:rPr>
        <w:t xml:space="preserve">the </w:t>
      </w:r>
      <w:r w:rsidR="00A27256" w:rsidRPr="00F81955">
        <w:rPr>
          <w:b/>
          <w:bCs/>
          <w:noProof/>
        </w:rPr>
        <w:t>Member States to foster</w:t>
      </w:r>
      <w:r w:rsidR="00A27256" w:rsidRPr="00F81955" w:rsidDel="00072626">
        <w:rPr>
          <w:b/>
          <w:bCs/>
          <w:noProof/>
        </w:rPr>
        <w:t xml:space="preserve"> </w:t>
      </w:r>
      <w:r w:rsidR="00A27256" w:rsidRPr="00F81955">
        <w:rPr>
          <w:b/>
          <w:bCs/>
          <w:noProof/>
        </w:rPr>
        <w:t>AI literacy</w:t>
      </w:r>
      <w:r w:rsidR="00A27256" w:rsidRPr="00F81955">
        <w:rPr>
          <w:noProof/>
        </w:rPr>
        <w:t xml:space="preserve"> instead </w:t>
      </w:r>
      <w:r w:rsidR="005D6290" w:rsidRPr="00F81955">
        <w:rPr>
          <w:noProof/>
        </w:rPr>
        <w:t>enforcing unspecified</w:t>
      </w:r>
      <w:r w:rsidR="00A27256" w:rsidRPr="00F81955">
        <w:rPr>
          <w:noProof/>
        </w:rPr>
        <w:t xml:space="preserve"> obligation on </w:t>
      </w:r>
      <w:r w:rsidR="00244593" w:rsidRPr="00F81955">
        <w:rPr>
          <w:noProof/>
        </w:rPr>
        <w:t xml:space="preserve">providers and deployers of AI systems </w:t>
      </w:r>
      <w:r w:rsidR="00E01D74" w:rsidRPr="00F81955">
        <w:rPr>
          <w:noProof/>
        </w:rPr>
        <w:t>in this respect</w:t>
      </w:r>
      <w:r w:rsidR="007A5814" w:rsidRPr="00F81955">
        <w:rPr>
          <w:noProof/>
        </w:rPr>
        <w:t>, while training obligations for high-risk deployers remain</w:t>
      </w:r>
      <w:r w:rsidR="005D6290" w:rsidRPr="00F81955">
        <w:rPr>
          <w:noProof/>
        </w:rPr>
        <w:t>;</w:t>
      </w:r>
    </w:p>
    <w:p w:rsidR="005D6290" w:rsidRPr="00F81955" w:rsidRDefault="003735D2" w:rsidP="00120F49">
      <w:pPr>
        <w:pStyle w:val="Bullet0"/>
        <w:rPr>
          <w:noProof/>
        </w:rPr>
      </w:pPr>
      <w:r w:rsidRPr="00F81955">
        <w:rPr>
          <w:b/>
          <w:bCs/>
          <w:noProof/>
        </w:rPr>
        <w:t xml:space="preserve">offering </w:t>
      </w:r>
      <w:r w:rsidR="00A27256" w:rsidRPr="00F81955">
        <w:rPr>
          <w:b/>
          <w:bCs/>
          <w:noProof/>
        </w:rPr>
        <w:t>more flexibility in the post-market monitoring</w:t>
      </w:r>
      <w:r w:rsidR="00A27256" w:rsidRPr="00F81955">
        <w:rPr>
          <w:noProof/>
        </w:rPr>
        <w:t xml:space="preserve"> </w:t>
      </w:r>
      <w:r w:rsidR="005D6290" w:rsidRPr="00F81955">
        <w:rPr>
          <w:noProof/>
        </w:rPr>
        <w:t>by removing a prescription of a harmonised post-market monitoring plan;</w:t>
      </w:r>
    </w:p>
    <w:p w:rsidR="00A27256" w:rsidRPr="00F81955" w:rsidRDefault="003735D2" w:rsidP="00120F49">
      <w:pPr>
        <w:pStyle w:val="Bullet0"/>
        <w:rPr>
          <w:noProof/>
        </w:rPr>
      </w:pPr>
      <w:r w:rsidRPr="00F81955">
        <w:rPr>
          <w:b/>
          <w:bCs/>
          <w:noProof/>
        </w:rPr>
        <w:t xml:space="preserve">reducing </w:t>
      </w:r>
      <w:r w:rsidR="00A27256" w:rsidRPr="00F81955">
        <w:rPr>
          <w:b/>
          <w:bCs/>
          <w:noProof/>
        </w:rPr>
        <w:t>the registration burden</w:t>
      </w:r>
      <w:r w:rsidR="00A27256" w:rsidRPr="00F81955">
        <w:rPr>
          <w:noProof/>
        </w:rPr>
        <w:t xml:space="preserve"> for </w:t>
      </w:r>
      <w:r w:rsidR="00E01D74" w:rsidRPr="00F81955">
        <w:rPr>
          <w:noProof/>
        </w:rPr>
        <w:t xml:space="preserve">providers of </w:t>
      </w:r>
      <w:r w:rsidR="00A27256" w:rsidRPr="00F81955">
        <w:rPr>
          <w:noProof/>
        </w:rPr>
        <w:t xml:space="preserve">AI systems </w:t>
      </w:r>
      <w:r w:rsidRPr="00F81955">
        <w:rPr>
          <w:noProof/>
        </w:rPr>
        <w:t xml:space="preserve">that </w:t>
      </w:r>
      <w:r w:rsidR="00A27256" w:rsidRPr="00F81955">
        <w:rPr>
          <w:noProof/>
        </w:rPr>
        <w:t xml:space="preserve">are </w:t>
      </w:r>
      <w:r w:rsidR="005D6290" w:rsidRPr="00F81955">
        <w:rPr>
          <w:noProof/>
        </w:rPr>
        <w:t xml:space="preserve">used in </w:t>
      </w:r>
      <w:r w:rsidR="00A27256" w:rsidRPr="00F81955">
        <w:rPr>
          <w:noProof/>
        </w:rPr>
        <w:t>high-risk</w:t>
      </w:r>
      <w:r w:rsidR="005D6290" w:rsidRPr="00F81955">
        <w:rPr>
          <w:noProof/>
        </w:rPr>
        <w:t xml:space="preserve"> areas but for which the provider has concluded that they are not high-risk as they are only used for narrow or procedural tasks;</w:t>
      </w:r>
    </w:p>
    <w:p w:rsidR="00445BC8" w:rsidRPr="00F81955" w:rsidRDefault="00445BC8" w:rsidP="00445BC8">
      <w:pPr>
        <w:pStyle w:val="Bullet0"/>
        <w:rPr>
          <w:noProof/>
        </w:rPr>
      </w:pPr>
      <w:r w:rsidRPr="00F81955">
        <w:rPr>
          <w:b/>
          <w:noProof/>
        </w:rPr>
        <w:t>Centralising oversight</w:t>
      </w:r>
      <w:r w:rsidRPr="00F81955">
        <w:rPr>
          <w:noProof/>
        </w:rPr>
        <w:t xml:space="preserve"> over a large number of AI systems built on general-purpose AI models or embedded in very large online platforms and very large search engines with the AI Office;</w:t>
      </w:r>
    </w:p>
    <w:p w:rsidR="007827FE" w:rsidRPr="00F81955" w:rsidRDefault="003735D2" w:rsidP="00120F49">
      <w:pPr>
        <w:pStyle w:val="Bullet0"/>
        <w:rPr>
          <w:noProof/>
        </w:rPr>
      </w:pPr>
      <w:r w:rsidRPr="00F81955">
        <w:rPr>
          <w:b/>
          <w:bCs/>
          <w:noProof/>
        </w:rPr>
        <w:t xml:space="preserve">facilitating </w:t>
      </w:r>
      <w:r w:rsidR="00A27256" w:rsidRPr="00F81955">
        <w:rPr>
          <w:b/>
          <w:bCs/>
          <w:noProof/>
        </w:rPr>
        <w:t xml:space="preserve">compliance with </w:t>
      </w:r>
      <w:r w:rsidR="00E01D74" w:rsidRPr="00F81955">
        <w:rPr>
          <w:b/>
          <w:bCs/>
          <w:noProof/>
        </w:rPr>
        <w:t xml:space="preserve">the </w:t>
      </w:r>
      <w:r w:rsidR="00A27256" w:rsidRPr="00F81955">
        <w:rPr>
          <w:b/>
          <w:bCs/>
          <w:noProof/>
        </w:rPr>
        <w:t xml:space="preserve">data protection laws </w:t>
      </w:r>
      <w:r w:rsidR="00E76B62" w:rsidRPr="00F81955">
        <w:rPr>
          <w:noProof/>
        </w:rPr>
        <w:t xml:space="preserve">by allowing </w:t>
      </w:r>
      <w:r w:rsidR="00383B73" w:rsidRPr="00F81955">
        <w:rPr>
          <w:noProof/>
        </w:rPr>
        <w:t xml:space="preserve">providers and deployers of all AI systems and models to process special categories of personal data for ensuring bias detection and correction, </w:t>
      </w:r>
      <w:r w:rsidR="00416E5E" w:rsidRPr="00F81955">
        <w:rPr>
          <w:noProof/>
        </w:rPr>
        <w:t>with the</w:t>
      </w:r>
      <w:r w:rsidR="00383B73" w:rsidRPr="00F81955">
        <w:rPr>
          <w:noProof/>
        </w:rPr>
        <w:t xml:space="preserve"> appropriate safeguards</w:t>
      </w:r>
      <w:r w:rsidR="004E29A1" w:rsidRPr="00F81955">
        <w:rPr>
          <w:noProof/>
        </w:rPr>
        <w:t>;</w:t>
      </w:r>
    </w:p>
    <w:p w:rsidR="00A27256" w:rsidRPr="00F81955" w:rsidRDefault="003735D2" w:rsidP="00120F49">
      <w:pPr>
        <w:pStyle w:val="Bullet0"/>
        <w:rPr>
          <w:noProof/>
        </w:rPr>
      </w:pPr>
      <w:r w:rsidRPr="00F81955">
        <w:rPr>
          <w:b/>
          <w:bCs/>
          <w:noProof/>
        </w:rPr>
        <w:t xml:space="preserve">a </w:t>
      </w:r>
      <w:r w:rsidR="00A27256" w:rsidRPr="00F81955">
        <w:rPr>
          <w:b/>
          <w:bCs/>
          <w:noProof/>
        </w:rPr>
        <w:t>broader use of AI regulatory sandboxes</w:t>
      </w:r>
      <w:r w:rsidR="00A27256" w:rsidRPr="00F81955">
        <w:rPr>
          <w:noProof/>
        </w:rPr>
        <w:t xml:space="preserve"> </w:t>
      </w:r>
      <w:r w:rsidR="00A27256" w:rsidRPr="00F81955">
        <w:rPr>
          <w:b/>
          <w:bCs/>
          <w:noProof/>
        </w:rPr>
        <w:t>and real-world testing</w:t>
      </w:r>
      <w:r w:rsidR="007827FE" w:rsidRPr="00F81955">
        <w:rPr>
          <w:noProof/>
        </w:rPr>
        <w:t>, that will benefit Europe</w:t>
      </w:r>
      <w:r w:rsidR="00E01D74" w:rsidRPr="00F81955">
        <w:rPr>
          <w:noProof/>
        </w:rPr>
        <w:t>an</w:t>
      </w:r>
      <w:r w:rsidR="007827FE" w:rsidRPr="00F81955">
        <w:rPr>
          <w:noProof/>
        </w:rPr>
        <w:t xml:space="preserve"> </w:t>
      </w:r>
      <w:r w:rsidR="00416E5E" w:rsidRPr="00F81955">
        <w:rPr>
          <w:noProof/>
        </w:rPr>
        <w:t xml:space="preserve">key </w:t>
      </w:r>
      <w:r w:rsidR="007827FE" w:rsidRPr="00F81955">
        <w:rPr>
          <w:noProof/>
        </w:rPr>
        <w:t xml:space="preserve">industries such as </w:t>
      </w:r>
      <w:r w:rsidR="00416E5E" w:rsidRPr="00F81955">
        <w:rPr>
          <w:noProof/>
        </w:rPr>
        <w:t xml:space="preserve">the </w:t>
      </w:r>
      <w:r w:rsidR="007827FE" w:rsidRPr="00F81955">
        <w:rPr>
          <w:noProof/>
        </w:rPr>
        <w:t>automotive</w:t>
      </w:r>
      <w:r w:rsidR="00416E5E" w:rsidRPr="00F81955">
        <w:rPr>
          <w:noProof/>
        </w:rPr>
        <w:t xml:space="preserve"> industry</w:t>
      </w:r>
      <w:r w:rsidR="007827FE" w:rsidRPr="00F81955">
        <w:rPr>
          <w:noProof/>
        </w:rPr>
        <w:t>,</w:t>
      </w:r>
      <w:r w:rsidR="00A27256" w:rsidRPr="00F81955">
        <w:rPr>
          <w:noProof/>
        </w:rPr>
        <w:t xml:space="preserve"> and facilitating an EU-level AI regulatory sandbox</w:t>
      </w:r>
      <w:r w:rsidR="00615402" w:rsidRPr="00F81955">
        <w:rPr>
          <w:noProof/>
        </w:rPr>
        <w:t xml:space="preserve"> which the AI Office will set up </w:t>
      </w:r>
      <w:r w:rsidR="00BB0848" w:rsidRPr="00F81955">
        <w:rPr>
          <w:noProof/>
        </w:rPr>
        <w:t>as from 2028;</w:t>
      </w:r>
    </w:p>
    <w:p w:rsidR="00CF3204" w:rsidRPr="00F81955" w:rsidRDefault="00317AA8" w:rsidP="00120F49">
      <w:pPr>
        <w:pStyle w:val="Bullet0"/>
        <w:rPr>
          <w:noProof/>
        </w:rPr>
      </w:pPr>
      <w:r w:rsidRPr="00F81955">
        <w:rPr>
          <w:noProof/>
        </w:rPr>
        <w:t xml:space="preserve">targeted changes </w:t>
      </w:r>
      <w:r w:rsidR="003735D2" w:rsidRPr="00F81955">
        <w:rPr>
          <w:noProof/>
        </w:rPr>
        <w:t xml:space="preserve">clarifying </w:t>
      </w:r>
      <w:r w:rsidR="00A27256" w:rsidRPr="00F81955">
        <w:rPr>
          <w:noProof/>
        </w:rPr>
        <w:t xml:space="preserve">the </w:t>
      </w:r>
      <w:r w:rsidR="00A27256" w:rsidRPr="00F81955">
        <w:rPr>
          <w:b/>
          <w:bCs/>
          <w:noProof/>
        </w:rPr>
        <w:t>interplay between the AI Act and other EU legislation</w:t>
      </w:r>
      <w:r w:rsidR="00445BC8" w:rsidRPr="00F81955">
        <w:rPr>
          <w:noProof/>
        </w:rPr>
        <w:t xml:space="preserve"> and </w:t>
      </w:r>
      <w:r w:rsidR="00917B79" w:rsidRPr="00F81955">
        <w:rPr>
          <w:noProof/>
        </w:rPr>
        <w:t>adjusting</w:t>
      </w:r>
      <w:r w:rsidR="00445BC8" w:rsidRPr="00F81955">
        <w:rPr>
          <w:noProof/>
        </w:rPr>
        <w:t xml:space="preserve"> the AI Act’s </w:t>
      </w:r>
      <w:r w:rsidR="00917B79" w:rsidRPr="00F81955">
        <w:rPr>
          <w:noProof/>
        </w:rPr>
        <w:t xml:space="preserve">procedures to improve its </w:t>
      </w:r>
      <w:r w:rsidR="00445BC8" w:rsidRPr="00F81955">
        <w:rPr>
          <w:noProof/>
        </w:rPr>
        <w:t xml:space="preserve">overall </w:t>
      </w:r>
      <w:r w:rsidR="00917B79" w:rsidRPr="00F81955">
        <w:rPr>
          <w:noProof/>
        </w:rPr>
        <w:t>implementation and operation</w:t>
      </w:r>
      <w:r w:rsidR="00E61289" w:rsidRPr="00F81955">
        <w:rPr>
          <w:noProof/>
        </w:rPr>
        <w:t>.</w:t>
      </w:r>
    </w:p>
    <w:p w:rsidR="00A27256" w:rsidRPr="00F81955" w:rsidRDefault="00A27256" w:rsidP="00913650">
      <w:pPr>
        <w:spacing w:before="0" w:after="160"/>
        <w:rPr>
          <w:noProof/>
        </w:rPr>
      </w:pPr>
      <w:r w:rsidRPr="00F81955">
        <w:rPr>
          <w:noProof/>
        </w:rPr>
        <w:t xml:space="preserve">Beyond the legislative measures, the Commission is taking </w:t>
      </w:r>
      <w:r w:rsidRPr="00F81955">
        <w:rPr>
          <w:b/>
          <w:noProof/>
        </w:rPr>
        <w:t xml:space="preserve">further measures to facilitate compliance </w:t>
      </w:r>
      <w:r w:rsidR="00E01D74" w:rsidRPr="00F81955">
        <w:rPr>
          <w:b/>
          <w:noProof/>
        </w:rPr>
        <w:t xml:space="preserve">with the AI Act </w:t>
      </w:r>
      <w:r w:rsidRPr="00F81955">
        <w:rPr>
          <w:b/>
          <w:noProof/>
        </w:rPr>
        <w:t>and address the concerns raised</w:t>
      </w:r>
      <w:r w:rsidRPr="00F81955">
        <w:rPr>
          <w:noProof/>
        </w:rPr>
        <w:t xml:space="preserve"> by stakeholders. Further guidance is under preparation, </w:t>
      </w:r>
      <w:r w:rsidR="00416E5E" w:rsidRPr="00F81955">
        <w:rPr>
          <w:noProof/>
        </w:rPr>
        <w:t>focusing</w:t>
      </w:r>
      <w:r w:rsidRPr="00F81955">
        <w:rPr>
          <w:noProof/>
        </w:rPr>
        <w:t xml:space="preserve"> on offering clear and practical </w:t>
      </w:r>
      <w:r w:rsidR="00E01D74" w:rsidRPr="00F81955">
        <w:rPr>
          <w:noProof/>
        </w:rPr>
        <w:t xml:space="preserve">instructions </w:t>
      </w:r>
      <w:r w:rsidRPr="00F81955">
        <w:rPr>
          <w:noProof/>
        </w:rPr>
        <w:t xml:space="preserve">to apply the AI Act in parallel with other </w:t>
      </w:r>
      <w:r w:rsidR="00416E5E" w:rsidRPr="00F81955">
        <w:rPr>
          <w:noProof/>
        </w:rPr>
        <w:t xml:space="preserve">EU </w:t>
      </w:r>
      <w:r w:rsidRPr="00F81955">
        <w:rPr>
          <w:noProof/>
        </w:rPr>
        <w:t>legislation.</w:t>
      </w:r>
      <w:r w:rsidR="00FE3A6A" w:rsidRPr="00F81955">
        <w:rPr>
          <w:noProof/>
        </w:rPr>
        <w:t xml:space="preserve"> This includes:</w:t>
      </w:r>
    </w:p>
    <w:p w:rsidR="00FE3A6A" w:rsidRPr="00F81955" w:rsidRDefault="00286AAA" w:rsidP="008368CC">
      <w:pPr>
        <w:pStyle w:val="Bullet0"/>
        <w:rPr>
          <w:noProof/>
        </w:rPr>
      </w:pPr>
      <w:r w:rsidRPr="00F81955">
        <w:rPr>
          <w:noProof/>
        </w:rPr>
        <w:t>Guidelines on the practical application of the high-risk classification</w:t>
      </w:r>
      <w:r w:rsidR="00E61289" w:rsidRPr="00F81955">
        <w:rPr>
          <w:noProof/>
        </w:rPr>
        <w:t>;</w:t>
      </w:r>
    </w:p>
    <w:p w:rsidR="00965E9E" w:rsidRPr="00F81955" w:rsidRDefault="00965E9E" w:rsidP="008368CC">
      <w:pPr>
        <w:pStyle w:val="Bullet0"/>
        <w:rPr>
          <w:noProof/>
        </w:rPr>
      </w:pPr>
      <w:r w:rsidRPr="00F81955">
        <w:rPr>
          <w:noProof/>
        </w:rPr>
        <w:t>Guidelines on the practical application of the transparency requirements under Article 50 AI Act</w:t>
      </w:r>
      <w:r w:rsidR="00E61289" w:rsidRPr="00F81955">
        <w:rPr>
          <w:noProof/>
        </w:rPr>
        <w:t>;</w:t>
      </w:r>
    </w:p>
    <w:p w:rsidR="000C1045" w:rsidRPr="00F81955" w:rsidRDefault="000C1045" w:rsidP="008368CC">
      <w:pPr>
        <w:pStyle w:val="Bullet0"/>
        <w:rPr>
          <w:noProof/>
        </w:rPr>
      </w:pPr>
      <w:r w:rsidRPr="00F81955">
        <w:rPr>
          <w:noProof/>
        </w:rPr>
        <w:t>Guidance on the reporting of serious incidents by providers of high-risk AI systems</w:t>
      </w:r>
      <w:r w:rsidR="00E61289" w:rsidRPr="00F81955">
        <w:rPr>
          <w:noProof/>
        </w:rPr>
        <w:t>;</w:t>
      </w:r>
    </w:p>
    <w:p w:rsidR="00286AAA" w:rsidRPr="00F81955" w:rsidRDefault="00711111" w:rsidP="008368CC">
      <w:pPr>
        <w:pStyle w:val="Bullet0"/>
        <w:rPr>
          <w:noProof/>
        </w:rPr>
      </w:pPr>
      <w:r w:rsidRPr="00F81955">
        <w:rPr>
          <w:noProof/>
        </w:rPr>
        <w:t>Guidelines on the practical application of the high-risk requirements</w:t>
      </w:r>
      <w:r w:rsidR="00E61289" w:rsidRPr="00F81955">
        <w:rPr>
          <w:noProof/>
        </w:rPr>
        <w:t>;</w:t>
      </w:r>
    </w:p>
    <w:p w:rsidR="00711111" w:rsidRPr="00F81955" w:rsidRDefault="00711111" w:rsidP="008368CC">
      <w:pPr>
        <w:pStyle w:val="Bullet0"/>
        <w:rPr>
          <w:noProof/>
        </w:rPr>
      </w:pPr>
      <w:r w:rsidRPr="00F81955">
        <w:rPr>
          <w:noProof/>
        </w:rPr>
        <w:lastRenderedPageBreak/>
        <w:t xml:space="preserve">Guidelines on the practical application of the </w:t>
      </w:r>
      <w:r w:rsidR="000227D4" w:rsidRPr="00F81955">
        <w:rPr>
          <w:noProof/>
        </w:rPr>
        <w:t>obligations for providers and deployers of high-risk AI systems</w:t>
      </w:r>
      <w:r w:rsidR="00F27D8F" w:rsidRPr="00F81955">
        <w:rPr>
          <w:noProof/>
        </w:rPr>
        <w:t>;</w:t>
      </w:r>
    </w:p>
    <w:p w:rsidR="00BD2613" w:rsidRPr="00F81955" w:rsidRDefault="00BD2613" w:rsidP="008368CC">
      <w:pPr>
        <w:pStyle w:val="Bullet0"/>
        <w:rPr>
          <w:noProof/>
        </w:rPr>
      </w:pPr>
      <w:r w:rsidRPr="00F81955">
        <w:rPr>
          <w:noProof/>
        </w:rPr>
        <w:t>Guidelines with a template for the fundamental rights impact assessment</w:t>
      </w:r>
      <w:r w:rsidR="00F27D8F" w:rsidRPr="00F81955">
        <w:rPr>
          <w:noProof/>
        </w:rPr>
        <w:t>;</w:t>
      </w:r>
    </w:p>
    <w:p w:rsidR="000227D4" w:rsidRPr="00F81955" w:rsidRDefault="000227D4" w:rsidP="008368CC">
      <w:pPr>
        <w:pStyle w:val="Bullet0"/>
        <w:rPr>
          <w:noProof/>
        </w:rPr>
      </w:pPr>
      <w:r w:rsidRPr="00F81955">
        <w:rPr>
          <w:noProof/>
        </w:rPr>
        <w:t>Guidelines on the practical application of rules for responsibilities along the AI value chain</w:t>
      </w:r>
      <w:r w:rsidR="00F27D8F" w:rsidRPr="00F81955">
        <w:rPr>
          <w:noProof/>
        </w:rPr>
        <w:t>;</w:t>
      </w:r>
    </w:p>
    <w:p w:rsidR="000227D4" w:rsidRPr="00F81955" w:rsidRDefault="00230D6D" w:rsidP="008368CC">
      <w:pPr>
        <w:pStyle w:val="Bullet0"/>
        <w:rPr>
          <w:noProof/>
        </w:rPr>
      </w:pPr>
      <w:r w:rsidRPr="00F81955">
        <w:rPr>
          <w:noProof/>
        </w:rPr>
        <w:t>Guidelines on the practical application of the provisions related to substantial modification</w:t>
      </w:r>
      <w:r w:rsidR="00F27D8F" w:rsidRPr="00F81955">
        <w:rPr>
          <w:noProof/>
        </w:rPr>
        <w:t>;</w:t>
      </w:r>
    </w:p>
    <w:p w:rsidR="00827F1A" w:rsidRPr="00F81955" w:rsidRDefault="00827F1A" w:rsidP="008368CC">
      <w:pPr>
        <w:pStyle w:val="Bullet0"/>
        <w:rPr>
          <w:noProof/>
        </w:rPr>
      </w:pPr>
      <w:r w:rsidRPr="00F81955">
        <w:rPr>
          <w:noProof/>
        </w:rPr>
        <w:t xml:space="preserve">Guidelines </w:t>
      </w:r>
      <w:r w:rsidR="00A21393" w:rsidRPr="00F81955">
        <w:rPr>
          <w:noProof/>
        </w:rPr>
        <w:t>on</w:t>
      </w:r>
      <w:r w:rsidRPr="00F81955">
        <w:rPr>
          <w:noProof/>
        </w:rPr>
        <w:t xml:space="preserve"> the post-market monitoring of high-risk AI systems</w:t>
      </w:r>
      <w:r w:rsidR="00F27D8F" w:rsidRPr="00F81955">
        <w:rPr>
          <w:noProof/>
        </w:rPr>
        <w:t>;</w:t>
      </w:r>
    </w:p>
    <w:p w:rsidR="00230D6D" w:rsidRPr="00F81955" w:rsidRDefault="005A1907" w:rsidP="008368CC">
      <w:pPr>
        <w:pStyle w:val="Bullet0"/>
        <w:rPr>
          <w:noProof/>
        </w:rPr>
      </w:pPr>
      <w:r w:rsidRPr="00F81955">
        <w:rPr>
          <w:noProof/>
        </w:rPr>
        <w:t>Gudelines on the elements of the quality management system which SMEs and SMCs may comply with in a simplified manner</w:t>
      </w:r>
      <w:r w:rsidR="00F27D8F" w:rsidRPr="00F81955">
        <w:rPr>
          <w:noProof/>
        </w:rPr>
        <w:t>;</w:t>
      </w:r>
    </w:p>
    <w:p w:rsidR="00CA4B23" w:rsidRPr="00F81955" w:rsidRDefault="00965E9E" w:rsidP="008368CC">
      <w:pPr>
        <w:pStyle w:val="Bullet0"/>
        <w:rPr>
          <w:noProof/>
        </w:rPr>
      </w:pPr>
      <w:r w:rsidRPr="00F81955">
        <w:rPr>
          <w:noProof/>
        </w:rPr>
        <w:t>Guidelines o</w:t>
      </w:r>
      <w:r w:rsidR="00C1432C" w:rsidRPr="00F81955">
        <w:rPr>
          <w:noProof/>
        </w:rPr>
        <w:t xml:space="preserve">n the AI Act’s interplay with other Union legislation, </w:t>
      </w:r>
      <w:r w:rsidR="004114CA" w:rsidRPr="00F81955">
        <w:rPr>
          <w:noProof/>
        </w:rPr>
        <w:t>for example</w:t>
      </w:r>
      <w:r w:rsidR="005F46CC" w:rsidRPr="00F81955">
        <w:rPr>
          <w:noProof/>
        </w:rPr>
        <w:t xml:space="preserve"> </w:t>
      </w:r>
      <w:r w:rsidR="004114CA" w:rsidRPr="00F81955">
        <w:rPr>
          <w:noProof/>
        </w:rPr>
        <w:t>joint guidelines of the Commission and European Data Protection Board on the interplay of the AI Act and</w:t>
      </w:r>
      <w:r w:rsidR="00BD2613" w:rsidRPr="00F81955">
        <w:rPr>
          <w:noProof/>
        </w:rPr>
        <w:t xml:space="preserve"> EU</w:t>
      </w:r>
      <w:r w:rsidR="004114CA" w:rsidRPr="00F81955">
        <w:rPr>
          <w:noProof/>
        </w:rPr>
        <w:t xml:space="preserve"> </w:t>
      </w:r>
      <w:r w:rsidR="00DD2208" w:rsidRPr="00F81955">
        <w:rPr>
          <w:noProof/>
        </w:rPr>
        <w:t>data protection law</w:t>
      </w:r>
      <w:r w:rsidR="00A621D4" w:rsidRPr="00F81955">
        <w:rPr>
          <w:noProof/>
        </w:rPr>
        <w:t>, guidelines</w:t>
      </w:r>
      <w:r w:rsidR="001A0C4C" w:rsidRPr="00F81955">
        <w:rPr>
          <w:noProof/>
        </w:rPr>
        <w:t xml:space="preserve"> on the interplay between the </w:t>
      </w:r>
      <w:r w:rsidR="005F46CC" w:rsidRPr="00F81955">
        <w:rPr>
          <w:noProof/>
        </w:rPr>
        <w:t xml:space="preserve">AI Act and the </w:t>
      </w:r>
      <w:r w:rsidR="001A0C4C" w:rsidRPr="00F81955">
        <w:rPr>
          <w:noProof/>
        </w:rPr>
        <w:t>Cyber Resilience Act</w:t>
      </w:r>
      <w:r w:rsidR="005F46CC" w:rsidRPr="00F81955">
        <w:rPr>
          <w:noProof/>
        </w:rPr>
        <w:t>, and guidelines</w:t>
      </w:r>
      <w:r w:rsidR="00D505F9" w:rsidRPr="00F81955">
        <w:rPr>
          <w:noProof/>
        </w:rPr>
        <w:t xml:space="preserve"> on the interplay between the AI Act and the Machinery Regulation</w:t>
      </w:r>
      <w:r w:rsidR="00F27D8F" w:rsidRPr="00F81955">
        <w:rPr>
          <w:noProof/>
        </w:rPr>
        <w:t>;</w:t>
      </w:r>
    </w:p>
    <w:p w:rsidR="00B82524" w:rsidRPr="00F81955" w:rsidRDefault="00B82524" w:rsidP="008368CC">
      <w:pPr>
        <w:pStyle w:val="Bullet0"/>
        <w:rPr>
          <w:noProof/>
        </w:rPr>
      </w:pPr>
      <w:r w:rsidRPr="00F81955">
        <w:rPr>
          <w:noProof/>
        </w:rPr>
        <w:t>Guidelines on the competences and designation procedure for conformity assessment bodies to be designated under the AI Act</w:t>
      </w:r>
      <w:r w:rsidR="00F27D8F" w:rsidRPr="00F81955">
        <w:rPr>
          <w:noProof/>
        </w:rPr>
        <w:t>.</w:t>
      </w:r>
    </w:p>
    <w:p w:rsidR="00DD2208" w:rsidRPr="00F81955" w:rsidRDefault="00CA4B23" w:rsidP="00CA4B23">
      <w:pPr>
        <w:spacing w:before="0" w:after="160"/>
        <w:rPr>
          <w:noProof/>
        </w:rPr>
      </w:pPr>
      <w:r w:rsidRPr="00F81955">
        <w:rPr>
          <w:noProof/>
        </w:rPr>
        <w:t xml:space="preserve">In particular, </w:t>
      </w:r>
      <w:r w:rsidR="007F0729" w:rsidRPr="00F81955">
        <w:rPr>
          <w:noProof/>
        </w:rPr>
        <w:t xml:space="preserve">stakeholder consultations reveal the need to offer </w:t>
      </w:r>
      <w:r w:rsidR="007F0729" w:rsidRPr="00F81955">
        <w:rPr>
          <w:b/>
          <w:bCs/>
          <w:noProof/>
        </w:rPr>
        <w:t xml:space="preserve">guidance </w:t>
      </w:r>
      <w:r w:rsidR="00DD2208" w:rsidRPr="00F81955">
        <w:rPr>
          <w:b/>
          <w:bCs/>
          <w:noProof/>
        </w:rPr>
        <w:t>on the practical application of the</w:t>
      </w:r>
      <w:r w:rsidR="007F0729" w:rsidRPr="00F81955">
        <w:rPr>
          <w:b/>
          <w:bCs/>
          <w:noProof/>
        </w:rPr>
        <w:t xml:space="preserve"> AI Act’s</w:t>
      </w:r>
      <w:r w:rsidR="00DD2208" w:rsidRPr="00F81955">
        <w:rPr>
          <w:b/>
          <w:bCs/>
          <w:noProof/>
        </w:rPr>
        <w:t xml:space="preserve"> research </w:t>
      </w:r>
      <w:r w:rsidR="00BD2613" w:rsidRPr="00F81955">
        <w:rPr>
          <w:b/>
          <w:bCs/>
          <w:noProof/>
        </w:rPr>
        <w:t>exemptions</w:t>
      </w:r>
      <w:r w:rsidR="00DD2208" w:rsidRPr="00F81955">
        <w:rPr>
          <w:noProof/>
        </w:rPr>
        <w:t xml:space="preserve"> under Article 2(</w:t>
      </w:r>
      <w:r w:rsidR="00172545" w:rsidRPr="00F81955">
        <w:rPr>
          <w:noProof/>
        </w:rPr>
        <w:t>6) and (8), including how they apply in sectoral context</w:t>
      </w:r>
      <w:r w:rsidR="00D32FC1" w:rsidRPr="00F81955">
        <w:rPr>
          <w:noProof/>
        </w:rPr>
        <w:t>s</w:t>
      </w:r>
      <w:r w:rsidR="007F0729" w:rsidRPr="00F81955">
        <w:rPr>
          <w:noProof/>
        </w:rPr>
        <w:t xml:space="preserve"> like in the </w:t>
      </w:r>
      <w:r w:rsidR="00D32FC1" w:rsidRPr="00F81955">
        <w:rPr>
          <w:noProof/>
        </w:rPr>
        <w:t xml:space="preserve">pre-clinical research and product development in the </w:t>
      </w:r>
      <w:r w:rsidR="007F0729" w:rsidRPr="00F81955">
        <w:rPr>
          <w:noProof/>
        </w:rPr>
        <w:t xml:space="preserve">field of </w:t>
      </w:r>
      <w:r w:rsidR="001D23EF" w:rsidRPr="00F81955">
        <w:rPr>
          <w:noProof/>
        </w:rPr>
        <w:t xml:space="preserve">medicinal products or </w:t>
      </w:r>
      <w:r w:rsidR="007F0729" w:rsidRPr="00F81955">
        <w:rPr>
          <w:noProof/>
        </w:rPr>
        <w:t>medical devices, which the Commission will work on with priority.</w:t>
      </w:r>
    </w:p>
    <w:p w:rsidR="00A27256" w:rsidRPr="00F81955" w:rsidRDefault="00A27256" w:rsidP="00A27256">
      <w:pPr>
        <w:rPr>
          <w:noProof/>
        </w:rPr>
      </w:pPr>
      <w:r w:rsidRPr="00F81955">
        <w:rPr>
          <w:noProof/>
        </w:rPr>
        <w:t>These simplification efforts will help</w:t>
      </w:r>
      <w:r w:rsidR="00430A11" w:rsidRPr="00F81955">
        <w:rPr>
          <w:noProof/>
        </w:rPr>
        <w:t xml:space="preserve"> to</w:t>
      </w:r>
      <w:r w:rsidRPr="00F81955">
        <w:rPr>
          <w:noProof/>
        </w:rPr>
        <w:t xml:space="preserve"> ensure that the implementation of the AI Act is smooth, predictable, and innovation-friendly, enabling Europe to strengthen its position as the AI </w:t>
      </w:r>
      <w:r w:rsidR="00430A11" w:rsidRPr="00F81955">
        <w:rPr>
          <w:noProof/>
        </w:rPr>
        <w:t xml:space="preserve">continent </w:t>
      </w:r>
      <w:r w:rsidRPr="00F81955">
        <w:rPr>
          <w:noProof/>
        </w:rPr>
        <w:t>and to pursue an AI-</w:t>
      </w:r>
      <w:r w:rsidR="00430A11" w:rsidRPr="00F81955">
        <w:rPr>
          <w:noProof/>
        </w:rPr>
        <w:t xml:space="preserve">first </w:t>
      </w:r>
      <w:r w:rsidRPr="00F81955">
        <w:rPr>
          <w:noProof/>
        </w:rPr>
        <w:t xml:space="preserve">approach safely. </w:t>
      </w:r>
    </w:p>
    <w:p w:rsidR="009C3EE2" w:rsidRPr="00F81955" w:rsidRDefault="009C3EE2" w:rsidP="0002735A">
      <w:pPr>
        <w:pStyle w:val="ManualHeading2"/>
        <w:rPr>
          <w:rFonts w:eastAsia="Arial Unicode MS"/>
          <w:noProof/>
          <w:color w:val="000000"/>
          <w:u w:color="000000"/>
          <w:bdr w:val="nil"/>
          <w:lang w:eastAsia="en-GB"/>
        </w:rPr>
      </w:pPr>
      <w:r w:rsidRPr="00F81955">
        <w:rPr>
          <w:rFonts w:eastAsia="Arial Unicode MS"/>
          <w:noProof/>
          <w:color w:val="000000"/>
          <w:u w:color="000000"/>
          <w:bdr w:val="nil"/>
          <w:lang w:eastAsia="en-GB"/>
        </w:rPr>
        <w:t>•</w:t>
      </w:r>
      <w:r w:rsidRPr="00F81955">
        <w:rPr>
          <w:rFonts w:eastAsia="Arial Unicode MS"/>
          <w:noProof/>
          <w:color w:val="000000"/>
          <w:u w:color="000000"/>
          <w:bdr w:val="nil"/>
          <w:lang w:eastAsia="en-GB"/>
        </w:rPr>
        <w:tab/>
      </w:r>
      <w:r w:rsidRPr="00F81955">
        <w:rPr>
          <w:rFonts w:eastAsia="Arial Unicode MS"/>
          <w:noProof/>
        </w:rPr>
        <w:t>Consistency with existing policy provisions in the policy area</w:t>
      </w:r>
    </w:p>
    <w:p w:rsidR="009C3EE2" w:rsidRPr="00F81955" w:rsidRDefault="007235DC" w:rsidP="0002735A">
      <w:pPr>
        <w:pBdr>
          <w:top w:val="nil"/>
          <w:left w:val="nil"/>
          <w:bottom w:val="nil"/>
          <w:right w:val="nil"/>
          <w:between w:val="nil"/>
          <w:bar w:val="nil"/>
        </w:pBdr>
        <w:spacing w:before="0" w:after="240"/>
        <w:rPr>
          <w:rFonts w:eastAsia="Arial Unicode MS"/>
          <w:noProof/>
        </w:rPr>
      </w:pPr>
      <w:r w:rsidRPr="00F81955">
        <w:rPr>
          <w:noProof/>
        </w:rPr>
        <w:t>Th</w:t>
      </w:r>
      <w:r w:rsidR="00430A11" w:rsidRPr="00F81955">
        <w:rPr>
          <w:noProof/>
        </w:rPr>
        <w:t>e</w:t>
      </w:r>
      <w:r w:rsidRPr="00F81955">
        <w:rPr>
          <w:noProof/>
        </w:rPr>
        <w:t xml:space="preserve"> proposal is part of a broader </w:t>
      </w:r>
      <w:r w:rsidR="00E75381" w:rsidRPr="00F81955">
        <w:rPr>
          <w:noProof/>
        </w:rPr>
        <w:t>Digital P</w:t>
      </w:r>
      <w:r w:rsidRPr="00F81955">
        <w:rPr>
          <w:noProof/>
        </w:rPr>
        <w:t>ackage</w:t>
      </w:r>
      <w:r w:rsidR="00E75381" w:rsidRPr="00F81955">
        <w:rPr>
          <w:noProof/>
        </w:rPr>
        <w:t xml:space="preserve"> on Simplification composed</w:t>
      </w:r>
      <w:r w:rsidRPr="00F81955">
        <w:rPr>
          <w:noProof/>
        </w:rPr>
        <w:t xml:space="preserve"> </w:t>
      </w:r>
      <w:r w:rsidR="00691190" w:rsidRPr="00F81955">
        <w:rPr>
          <w:noProof/>
        </w:rPr>
        <w:t xml:space="preserve">of measures to </w:t>
      </w:r>
      <w:r w:rsidR="00E75381" w:rsidRPr="00F81955">
        <w:rPr>
          <w:rFonts w:eastAsia="Arial Unicode MS"/>
          <w:noProof/>
        </w:rPr>
        <w:t xml:space="preserve">reduce the administrative costs </w:t>
      </w:r>
      <w:r w:rsidR="002C6598" w:rsidRPr="00F81955">
        <w:rPr>
          <w:rFonts w:eastAsia="Arial Unicode MS"/>
          <w:noProof/>
        </w:rPr>
        <w:t xml:space="preserve">of </w:t>
      </w:r>
      <w:r w:rsidR="00E75381" w:rsidRPr="00F81955">
        <w:rPr>
          <w:rFonts w:eastAsia="Arial Unicode MS"/>
          <w:noProof/>
        </w:rPr>
        <w:t>compliance for businesses</w:t>
      </w:r>
      <w:r w:rsidR="00432298" w:rsidRPr="00F81955">
        <w:rPr>
          <w:rFonts w:eastAsia="Arial Unicode MS"/>
          <w:noProof/>
        </w:rPr>
        <w:t xml:space="preserve"> and</w:t>
      </w:r>
      <w:r w:rsidR="00E75381" w:rsidRPr="00F81955">
        <w:rPr>
          <w:rFonts w:eastAsia="Arial Unicode MS"/>
          <w:noProof/>
        </w:rPr>
        <w:t xml:space="preserve"> administrations in the </w:t>
      </w:r>
      <w:r w:rsidR="00490CD5" w:rsidRPr="00F81955">
        <w:rPr>
          <w:rFonts w:eastAsia="Arial Unicode MS"/>
          <w:noProof/>
        </w:rPr>
        <w:t>EU</w:t>
      </w:r>
      <w:r w:rsidR="00756660" w:rsidRPr="00F81955">
        <w:rPr>
          <w:rFonts w:eastAsia="Arial Unicode MS"/>
          <w:noProof/>
        </w:rPr>
        <w:t>, which</w:t>
      </w:r>
      <w:r w:rsidR="00E75381" w:rsidRPr="00F81955">
        <w:rPr>
          <w:rFonts w:eastAsia="Arial Unicode MS"/>
          <w:noProof/>
        </w:rPr>
        <w:t xml:space="preserve"> appli</w:t>
      </w:r>
      <w:r w:rsidR="007D7257" w:rsidRPr="00F81955">
        <w:rPr>
          <w:rFonts w:eastAsia="Arial Unicode MS"/>
          <w:noProof/>
        </w:rPr>
        <w:t>es</w:t>
      </w:r>
      <w:r w:rsidR="00756660" w:rsidRPr="00F81955">
        <w:rPr>
          <w:rFonts w:eastAsia="Arial Unicode MS"/>
          <w:noProof/>
        </w:rPr>
        <w:t xml:space="preserve"> to</w:t>
      </w:r>
      <w:r w:rsidR="00E75381" w:rsidRPr="00F81955">
        <w:rPr>
          <w:rFonts w:eastAsia="Arial Unicode MS"/>
          <w:noProof/>
        </w:rPr>
        <w:t xml:space="preserve"> several regulations of the </w:t>
      </w:r>
      <w:r w:rsidR="006C2D83" w:rsidRPr="00F81955">
        <w:rPr>
          <w:rFonts w:eastAsia="Arial Unicode MS"/>
          <w:noProof/>
        </w:rPr>
        <w:t xml:space="preserve">EU’s </w:t>
      </w:r>
      <w:r w:rsidR="00E75381" w:rsidRPr="00F81955">
        <w:rPr>
          <w:rFonts w:eastAsia="Arial Unicode MS"/>
          <w:noProof/>
        </w:rPr>
        <w:t>digital acquis without compromising the objectives of the underlying rules.</w:t>
      </w:r>
      <w:r w:rsidR="0005002A" w:rsidRPr="00F81955">
        <w:rPr>
          <w:rFonts w:eastAsia="Arial Unicode MS"/>
          <w:noProof/>
        </w:rPr>
        <w:t xml:space="preserve"> </w:t>
      </w:r>
      <w:r w:rsidR="00756660" w:rsidRPr="00F81955">
        <w:rPr>
          <w:rFonts w:eastAsia="Arial Unicode MS"/>
          <w:noProof/>
        </w:rPr>
        <w:t xml:space="preserve">The proposal </w:t>
      </w:r>
      <w:r w:rsidR="0005002A" w:rsidRPr="00F81955">
        <w:rPr>
          <w:rFonts w:eastAsia="Arial Unicode MS"/>
          <w:noProof/>
        </w:rPr>
        <w:t xml:space="preserve">builds on </w:t>
      </w:r>
      <w:r w:rsidR="00273381" w:rsidRPr="00F81955">
        <w:rPr>
          <w:rFonts w:eastAsia="Arial Unicode MS"/>
          <w:noProof/>
        </w:rPr>
        <w:t xml:space="preserve">Regulation (EU) 2024/1689 </w:t>
      </w:r>
      <w:r w:rsidR="0005002A" w:rsidRPr="00F81955">
        <w:rPr>
          <w:rFonts w:eastAsia="Arial Unicode MS"/>
          <w:noProof/>
        </w:rPr>
        <w:t xml:space="preserve">and </w:t>
      </w:r>
      <w:r w:rsidR="00E21F53" w:rsidRPr="00F81955">
        <w:rPr>
          <w:noProof/>
        </w:rPr>
        <w:t xml:space="preserve">is aligned </w:t>
      </w:r>
      <w:r w:rsidR="00097760" w:rsidRPr="00F81955">
        <w:rPr>
          <w:noProof/>
        </w:rPr>
        <w:t xml:space="preserve">with </w:t>
      </w:r>
      <w:r w:rsidR="008C4299" w:rsidRPr="00F81955">
        <w:rPr>
          <w:noProof/>
        </w:rPr>
        <w:t xml:space="preserve">existing policies </w:t>
      </w:r>
      <w:r w:rsidR="008E3445" w:rsidRPr="00F81955">
        <w:rPr>
          <w:noProof/>
        </w:rPr>
        <w:t xml:space="preserve">to make the EU </w:t>
      </w:r>
      <w:r w:rsidR="005802A7" w:rsidRPr="00F81955">
        <w:rPr>
          <w:noProof/>
        </w:rPr>
        <w:t xml:space="preserve">a global leader </w:t>
      </w:r>
      <w:r w:rsidR="00390D8C" w:rsidRPr="00F81955">
        <w:rPr>
          <w:noProof/>
        </w:rPr>
        <w:t xml:space="preserve">in </w:t>
      </w:r>
      <w:r w:rsidR="00B71F1F" w:rsidRPr="00F81955">
        <w:rPr>
          <w:noProof/>
        </w:rPr>
        <w:t>AI</w:t>
      </w:r>
      <w:r w:rsidR="006409EA" w:rsidRPr="00F81955">
        <w:rPr>
          <w:noProof/>
        </w:rPr>
        <w:t xml:space="preserve">, to </w:t>
      </w:r>
      <w:r w:rsidR="00B71F1F" w:rsidRPr="00F81955">
        <w:rPr>
          <w:rFonts w:eastAsia="Arial Unicode MS"/>
          <w:noProof/>
        </w:rPr>
        <w:t>make</w:t>
      </w:r>
      <w:r w:rsidR="00011B02" w:rsidRPr="00F81955">
        <w:rPr>
          <w:rFonts w:eastAsia="Arial Unicode MS"/>
          <w:noProof/>
        </w:rPr>
        <w:t xml:space="preserve"> the </w:t>
      </w:r>
      <w:r w:rsidR="00F34992" w:rsidRPr="00F81955">
        <w:rPr>
          <w:rFonts w:eastAsia="Arial Unicode MS"/>
          <w:noProof/>
        </w:rPr>
        <w:t>EU a</w:t>
      </w:r>
      <w:r w:rsidR="006409EA" w:rsidRPr="00F81955">
        <w:rPr>
          <w:rFonts w:eastAsia="Arial Unicode MS"/>
          <w:noProof/>
        </w:rPr>
        <w:t xml:space="preserve">n AI continent and to </w:t>
      </w:r>
      <w:r w:rsidR="00011B02" w:rsidRPr="00F81955">
        <w:rPr>
          <w:rFonts w:eastAsia="Arial Unicode MS"/>
          <w:noProof/>
        </w:rPr>
        <w:t>promote the uptake of human-centric and trustworthy </w:t>
      </w:r>
      <w:r w:rsidR="008E3445" w:rsidRPr="00F81955">
        <w:rPr>
          <w:noProof/>
        </w:rPr>
        <w:t>a AI</w:t>
      </w:r>
      <w:r w:rsidR="006409EA" w:rsidRPr="00F81955">
        <w:rPr>
          <w:noProof/>
        </w:rPr>
        <w:t>.</w:t>
      </w:r>
    </w:p>
    <w:p w:rsidR="009C3EE2" w:rsidRPr="00F81955" w:rsidRDefault="009C3EE2" w:rsidP="0002735A">
      <w:pPr>
        <w:pStyle w:val="ManualHeading2"/>
        <w:rPr>
          <w:rFonts w:eastAsia="Arial Unicode MS"/>
          <w:noProof/>
        </w:rPr>
      </w:pPr>
      <w:r w:rsidRPr="00F81955">
        <w:rPr>
          <w:rFonts w:eastAsia="Arial Unicode MS"/>
          <w:noProof/>
          <w:color w:val="000000"/>
          <w:u w:color="000000"/>
          <w:bdr w:val="nil"/>
          <w:lang w:eastAsia="en-GB"/>
        </w:rPr>
        <w:t>•</w:t>
      </w:r>
      <w:r w:rsidRPr="00F81955">
        <w:rPr>
          <w:rFonts w:eastAsia="Arial Unicode MS"/>
          <w:noProof/>
          <w:color w:val="000000"/>
          <w:u w:color="000000"/>
          <w:bdr w:val="nil"/>
          <w:lang w:eastAsia="en-GB"/>
        </w:rPr>
        <w:tab/>
      </w:r>
      <w:r w:rsidRPr="00F81955">
        <w:rPr>
          <w:rFonts w:eastAsia="Arial Unicode MS"/>
          <w:noProof/>
        </w:rPr>
        <w:t>Consistency with other Union policies</w:t>
      </w:r>
    </w:p>
    <w:p w:rsidR="009C3EE2" w:rsidRPr="00F81955" w:rsidRDefault="007E524B" w:rsidP="0002735A">
      <w:pPr>
        <w:pBdr>
          <w:top w:val="nil"/>
          <w:left w:val="nil"/>
          <w:bottom w:val="nil"/>
          <w:right w:val="nil"/>
          <w:between w:val="nil"/>
          <w:bar w:val="nil"/>
        </w:pBdr>
        <w:spacing w:before="0" w:after="240"/>
        <w:rPr>
          <w:rFonts w:eastAsia="Arial Unicode MS"/>
          <w:noProof/>
        </w:rPr>
      </w:pPr>
      <w:r w:rsidRPr="00F81955">
        <w:rPr>
          <w:rFonts w:eastAsia="Arial Unicode MS"/>
          <w:noProof/>
        </w:rPr>
        <w:t>Th</w:t>
      </w:r>
      <w:r w:rsidR="00756660" w:rsidRPr="00F81955">
        <w:rPr>
          <w:rFonts w:eastAsia="Arial Unicode MS"/>
          <w:noProof/>
        </w:rPr>
        <w:t>e</w:t>
      </w:r>
      <w:r w:rsidRPr="00F81955">
        <w:rPr>
          <w:rFonts w:eastAsia="Arial Unicode MS"/>
          <w:noProof/>
        </w:rPr>
        <w:t xml:space="preserve"> proposal is part of a series of simplification packages.</w:t>
      </w:r>
    </w:p>
    <w:p w:rsidR="009C3EE2" w:rsidRPr="00F81955" w:rsidRDefault="009C3EE2" w:rsidP="0002735A">
      <w:pPr>
        <w:pStyle w:val="ManualHeading1"/>
        <w:rPr>
          <w:noProof/>
        </w:rPr>
      </w:pPr>
      <w:r w:rsidRPr="00F81955">
        <w:rPr>
          <w:noProof/>
        </w:rPr>
        <w:t>2.</w:t>
      </w:r>
      <w:r w:rsidRPr="00F81955">
        <w:rPr>
          <w:noProof/>
        </w:rPr>
        <w:tab/>
        <w:t>LEGAL BASIS, SUBSIDIARITY AND PROPORTIONALITY</w:t>
      </w:r>
    </w:p>
    <w:p w:rsidR="009C3EE2" w:rsidRPr="00F81955" w:rsidRDefault="009C3EE2" w:rsidP="0002735A">
      <w:pPr>
        <w:pStyle w:val="ManualHeading2"/>
        <w:rPr>
          <w:rFonts w:eastAsia="Arial Unicode MS"/>
          <w:noProof/>
          <w:u w:color="000000"/>
          <w:bdr w:val="nil"/>
          <w:lang w:eastAsia="en-GB"/>
        </w:rPr>
      </w:pPr>
      <w:r w:rsidRPr="00F81955">
        <w:rPr>
          <w:rFonts w:eastAsia="Arial Unicode MS"/>
          <w:noProof/>
          <w:u w:color="000000"/>
          <w:bdr w:val="nil"/>
          <w:lang w:eastAsia="en-GB"/>
        </w:rPr>
        <w:t>•</w:t>
      </w:r>
      <w:r w:rsidRPr="00F81955">
        <w:rPr>
          <w:rFonts w:eastAsia="Arial Unicode MS"/>
          <w:noProof/>
          <w:u w:color="000000"/>
          <w:bdr w:val="nil"/>
          <w:lang w:eastAsia="en-GB"/>
        </w:rPr>
        <w:tab/>
        <w:t>Legal basis</w:t>
      </w:r>
    </w:p>
    <w:p w:rsidR="009C3EE2" w:rsidRPr="00F81955" w:rsidRDefault="00756660" w:rsidP="0002735A">
      <w:pPr>
        <w:pBdr>
          <w:top w:val="nil"/>
          <w:left w:val="nil"/>
          <w:bottom w:val="nil"/>
          <w:right w:val="nil"/>
          <w:between w:val="nil"/>
          <w:bar w:val="nil"/>
        </w:pBdr>
        <w:spacing w:before="0" w:after="240"/>
        <w:rPr>
          <w:rFonts w:eastAsia="Arial Unicode MS"/>
          <w:noProof/>
        </w:rPr>
      </w:pPr>
      <w:r w:rsidRPr="00F81955">
        <w:rPr>
          <w:noProof/>
        </w:rPr>
        <w:t xml:space="preserve">The </w:t>
      </w:r>
      <w:r w:rsidR="00381EE3" w:rsidRPr="00F81955">
        <w:rPr>
          <w:noProof/>
        </w:rPr>
        <w:t xml:space="preserve">legal basis </w:t>
      </w:r>
      <w:r w:rsidRPr="00F81955">
        <w:rPr>
          <w:noProof/>
        </w:rPr>
        <w:t xml:space="preserve">for this proposal is </w:t>
      </w:r>
      <w:r w:rsidR="00381EE3" w:rsidRPr="00F81955">
        <w:rPr>
          <w:noProof/>
        </w:rPr>
        <w:t>Article 114 of the Treaty on the Functioning of the European Union</w:t>
      </w:r>
      <w:r w:rsidRPr="00F81955">
        <w:rPr>
          <w:noProof/>
        </w:rPr>
        <w:t xml:space="preserve"> (TFEU)</w:t>
      </w:r>
      <w:r w:rsidR="00381EE3" w:rsidRPr="00F81955">
        <w:rPr>
          <w:noProof/>
        </w:rPr>
        <w:t xml:space="preserve"> in line with the original legal basis for the adoption of the legal act</w:t>
      </w:r>
      <w:r>
        <w:rPr>
          <w:noProof/>
        </w:rPr>
        <w:t>s</w:t>
      </w:r>
      <w:r w:rsidR="00381EE3" w:rsidRPr="00F81955">
        <w:rPr>
          <w:noProof/>
        </w:rPr>
        <w:t xml:space="preserve"> which this proposal aims to amend.</w:t>
      </w:r>
    </w:p>
    <w:p w:rsidR="009C3EE2" w:rsidRPr="00F81955" w:rsidRDefault="009C3EE2" w:rsidP="0002735A">
      <w:pPr>
        <w:pStyle w:val="ManualHeading2"/>
        <w:rPr>
          <w:rFonts w:eastAsia="Arial Unicode MS"/>
          <w:noProof/>
          <w:u w:color="000000"/>
          <w:bdr w:val="nil"/>
          <w:lang w:eastAsia="en-GB"/>
        </w:rPr>
      </w:pPr>
      <w:r w:rsidRPr="00F81955">
        <w:rPr>
          <w:rFonts w:eastAsia="Arial Unicode MS"/>
          <w:noProof/>
          <w:u w:color="000000"/>
          <w:bdr w:val="nil"/>
          <w:lang w:eastAsia="en-GB"/>
        </w:rPr>
        <w:lastRenderedPageBreak/>
        <w:t>•</w:t>
      </w:r>
      <w:r w:rsidRPr="00F81955">
        <w:rPr>
          <w:rFonts w:eastAsia="Arial Unicode MS"/>
          <w:noProof/>
          <w:u w:color="000000"/>
          <w:bdr w:val="nil"/>
          <w:lang w:eastAsia="en-GB"/>
        </w:rPr>
        <w:tab/>
        <w:t xml:space="preserve">Subsidiarity (for non-exclusive competence) </w:t>
      </w:r>
    </w:p>
    <w:p w:rsidR="00C25163" w:rsidRPr="00F81955" w:rsidRDefault="00380EDF" w:rsidP="00C25163">
      <w:pPr>
        <w:pBdr>
          <w:top w:val="nil"/>
          <w:left w:val="nil"/>
          <w:bottom w:val="nil"/>
          <w:right w:val="nil"/>
          <w:between w:val="nil"/>
          <w:bar w:val="nil"/>
        </w:pBdr>
        <w:spacing w:before="0" w:after="240"/>
        <w:rPr>
          <w:rFonts w:eastAsia="Arial Unicode MS"/>
          <w:noProof/>
        </w:rPr>
      </w:pPr>
      <w:r w:rsidRPr="00F81955">
        <w:rPr>
          <w:rFonts w:eastAsia="Arial Unicode MS"/>
          <w:noProof/>
        </w:rPr>
        <w:t xml:space="preserve">Regulation (EU) 2024/1689 was adopted at EU level. Accordingly, amendments to </w:t>
      </w:r>
      <w:r w:rsidR="00756660" w:rsidRPr="00F81955">
        <w:rPr>
          <w:rFonts w:eastAsia="Arial Unicode MS"/>
          <w:noProof/>
        </w:rPr>
        <w:t xml:space="preserve">that </w:t>
      </w:r>
      <w:r w:rsidR="00E01D74" w:rsidRPr="00F81955">
        <w:rPr>
          <w:rFonts w:eastAsia="Arial Unicode MS"/>
          <w:noProof/>
        </w:rPr>
        <w:t xml:space="preserve">Regulation </w:t>
      </w:r>
      <w:r w:rsidRPr="00F81955">
        <w:rPr>
          <w:rFonts w:eastAsia="Arial Unicode MS"/>
          <w:noProof/>
        </w:rPr>
        <w:t>need to be made at EU level</w:t>
      </w:r>
      <w:r w:rsidR="00C25163" w:rsidRPr="00F81955">
        <w:rPr>
          <w:rFonts w:eastAsia="Arial Unicode MS"/>
          <w:noProof/>
        </w:rPr>
        <w:t>.</w:t>
      </w:r>
    </w:p>
    <w:p w:rsidR="009C3EE2" w:rsidRPr="00F81955" w:rsidRDefault="009C3EE2" w:rsidP="0002735A">
      <w:pPr>
        <w:pStyle w:val="ManualHeading2"/>
        <w:rPr>
          <w:rFonts w:eastAsia="Arial Unicode MS"/>
          <w:noProof/>
          <w:u w:color="000000"/>
          <w:bdr w:val="nil"/>
          <w:lang w:eastAsia="en-GB"/>
        </w:rPr>
      </w:pPr>
      <w:r w:rsidRPr="00F81955">
        <w:rPr>
          <w:rFonts w:eastAsia="Arial Unicode MS"/>
          <w:noProof/>
          <w:u w:color="000000"/>
          <w:bdr w:val="nil"/>
          <w:lang w:eastAsia="en-GB"/>
        </w:rPr>
        <w:t>•</w:t>
      </w:r>
      <w:r w:rsidRPr="00F81955">
        <w:rPr>
          <w:rFonts w:eastAsia="Arial Unicode MS"/>
          <w:noProof/>
          <w:u w:color="000000"/>
          <w:bdr w:val="nil"/>
          <w:lang w:eastAsia="en-GB"/>
        </w:rPr>
        <w:tab/>
        <w:t>Proportionality</w:t>
      </w:r>
    </w:p>
    <w:p w:rsidR="009C3EE2" w:rsidRPr="00F81955" w:rsidRDefault="00D37761" w:rsidP="0002735A">
      <w:pPr>
        <w:pBdr>
          <w:top w:val="nil"/>
          <w:left w:val="nil"/>
          <w:bottom w:val="nil"/>
          <w:right w:val="nil"/>
          <w:between w:val="nil"/>
          <w:bar w:val="nil"/>
        </w:pBdr>
        <w:spacing w:before="0" w:after="240"/>
        <w:rPr>
          <w:rFonts w:eastAsia="Arial Unicode MS"/>
          <w:noProof/>
        </w:rPr>
      </w:pPr>
      <w:r w:rsidRPr="00F81955">
        <w:rPr>
          <w:noProof/>
        </w:rPr>
        <w:t>The initiative does not go beyond what is necessary to achieve the objectives of simplification and burden reduction without lowering the protection of health, safety and fundamental rights</w:t>
      </w:r>
      <w:r w:rsidR="005B33D6" w:rsidRPr="00F81955">
        <w:rPr>
          <w:noProof/>
        </w:rPr>
        <w:t>.</w:t>
      </w:r>
    </w:p>
    <w:p w:rsidR="009C3EE2" w:rsidRPr="00F81955" w:rsidRDefault="009C3EE2" w:rsidP="0002735A">
      <w:pPr>
        <w:pStyle w:val="ManualHeading2"/>
        <w:rPr>
          <w:rFonts w:eastAsia="Arial Unicode MS"/>
          <w:noProof/>
          <w:u w:color="000000"/>
          <w:bdr w:val="nil"/>
          <w:lang w:eastAsia="en-GB"/>
        </w:rPr>
      </w:pPr>
      <w:r w:rsidRPr="00F81955">
        <w:rPr>
          <w:rFonts w:eastAsia="Arial Unicode MS"/>
          <w:noProof/>
          <w:u w:color="000000"/>
          <w:bdr w:val="nil"/>
          <w:lang w:eastAsia="en-GB"/>
        </w:rPr>
        <w:t>•</w:t>
      </w:r>
      <w:r w:rsidRPr="00F81955">
        <w:rPr>
          <w:rFonts w:eastAsia="Arial Unicode MS"/>
          <w:noProof/>
          <w:u w:color="000000"/>
          <w:bdr w:val="nil"/>
          <w:lang w:eastAsia="en-GB"/>
        </w:rPr>
        <w:tab/>
        <w:t>Choice of the instrument</w:t>
      </w:r>
    </w:p>
    <w:p w:rsidR="00227049" w:rsidRPr="00F81955" w:rsidRDefault="00756660" w:rsidP="00227049">
      <w:pPr>
        <w:pBdr>
          <w:top w:val="nil"/>
          <w:left w:val="nil"/>
          <w:bottom w:val="nil"/>
          <w:right w:val="nil"/>
          <w:between w:val="nil"/>
          <w:bar w:val="nil"/>
        </w:pBdr>
        <w:spacing w:before="0" w:after="240"/>
        <w:rPr>
          <w:noProof/>
        </w:rPr>
      </w:pPr>
      <w:r w:rsidRPr="00F81955">
        <w:rPr>
          <w:noProof/>
        </w:rPr>
        <w:t xml:space="preserve">The </w:t>
      </w:r>
      <w:r w:rsidR="00227049" w:rsidRPr="00F81955">
        <w:rPr>
          <w:noProof/>
        </w:rPr>
        <w:t>proposal amends Regulation (EU) 2024/</w:t>
      </w:r>
      <w:r w:rsidR="00AA661C" w:rsidRPr="00F81955">
        <w:rPr>
          <w:rFonts w:eastAsia="Arial Unicode MS"/>
          <w:noProof/>
        </w:rPr>
        <w:t xml:space="preserve">1689 </w:t>
      </w:r>
      <w:r w:rsidR="00227049" w:rsidRPr="00F81955">
        <w:rPr>
          <w:noProof/>
        </w:rPr>
        <w:t>adopted by ordinary legislative procedure</w:t>
      </w:r>
      <w:r w:rsidRPr="00F81955">
        <w:rPr>
          <w:noProof/>
        </w:rPr>
        <w:t>.</w:t>
      </w:r>
      <w:r w:rsidR="00227049" w:rsidRPr="00F81955">
        <w:rPr>
          <w:noProof/>
        </w:rPr>
        <w:t xml:space="preserve"> </w:t>
      </w:r>
      <w:r w:rsidRPr="00F81955">
        <w:rPr>
          <w:noProof/>
        </w:rPr>
        <w:t>T</w:t>
      </w:r>
      <w:r w:rsidR="00227049" w:rsidRPr="00F81955">
        <w:rPr>
          <w:noProof/>
        </w:rPr>
        <w:t>herefore</w:t>
      </w:r>
      <w:r w:rsidRPr="00F81955">
        <w:rPr>
          <w:noProof/>
        </w:rPr>
        <w:t>,</w:t>
      </w:r>
      <w:r w:rsidR="00227049" w:rsidRPr="00F81955">
        <w:rPr>
          <w:noProof/>
        </w:rPr>
        <w:t xml:space="preserve"> the amendments </w:t>
      </w:r>
      <w:r w:rsidRPr="00F81955">
        <w:rPr>
          <w:noProof/>
        </w:rPr>
        <w:t xml:space="preserve">to </w:t>
      </w:r>
      <w:r w:rsidR="00227049" w:rsidRPr="00F81955">
        <w:rPr>
          <w:noProof/>
        </w:rPr>
        <w:t>that Regulation</w:t>
      </w:r>
      <w:r w:rsidRPr="00F81955">
        <w:rPr>
          <w:noProof/>
        </w:rPr>
        <w:t xml:space="preserve"> also</w:t>
      </w:r>
      <w:r w:rsidR="00227049" w:rsidRPr="00F81955">
        <w:rPr>
          <w:noProof/>
        </w:rPr>
        <w:t xml:space="preserve"> </w:t>
      </w:r>
      <w:r w:rsidR="00E01D74" w:rsidRPr="00F81955">
        <w:rPr>
          <w:noProof/>
        </w:rPr>
        <w:t>must</w:t>
      </w:r>
      <w:r w:rsidR="00227049" w:rsidRPr="00F81955">
        <w:rPr>
          <w:noProof/>
        </w:rPr>
        <w:t xml:space="preserve"> be adopted by regulation in accordance with the ordinary legislative procedure.</w:t>
      </w:r>
    </w:p>
    <w:p w:rsidR="009C3EE2" w:rsidRPr="00F81955" w:rsidRDefault="009C3EE2" w:rsidP="0002735A">
      <w:pPr>
        <w:pStyle w:val="ManualHeading1"/>
        <w:rPr>
          <w:noProof/>
        </w:rPr>
      </w:pPr>
      <w:r w:rsidRPr="00F81955">
        <w:rPr>
          <w:noProof/>
        </w:rPr>
        <w:t>3.</w:t>
      </w:r>
      <w:r w:rsidRPr="00F81955">
        <w:rPr>
          <w:noProof/>
        </w:rPr>
        <w:tab/>
        <w:t>RESULTS OF EX-POST EVALUATIONS, STAKEHOLDER CONSULTATIONS AND IMPACT ASSESSMENTS</w:t>
      </w:r>
    </w:p>
    <w:p w:rsidR="009C3EE2" w:rsidRPr="00F81955" w:rsidRDefault="009C3EE2" w:rsidP="0002735A">
      <w:pPr>
        <w:pStyle w:val="ManualHeading2"/>
        <w:rPr>
          <w:rFonts w:eastAsia="Arial Unicode MS"/>
          <w:noProof/>
          <w:u w:color="000000"/>
          <w:bdr w:val="nil"/>
          <w:lang w:eastAsia="en-GB"/>
        </w:rPr>
      </w:pPr>
      <w:r w:rsidRPr="00F81955">
        <w:rPr>
          <w:rFonts w:eastAsia="Arial Unicode MS"/>
          <w:noProof/>
          <w:u w:color="000000"/>
          <w:bdr w:val="nil"/>
          <w:lang w:eastAsia="en-GB"/>
        </w:rPr>
        <w:t>•</w:t>
      </w:r>
      <w:r w:rsidRPr="00F81955">
        <w:rPr>
          <w:rFonts w:eastAsia="Arial Unicode MS"/>
          <w:noProof/>
          <w:u w:color="000000"/>
          <w:bdr w:val="nil"/>
          <w:lang w:eastAsia="en-GB"/>
        </w:rPr>
        <w:tab/>
        <w:t>Ex-post evaluations/fitness checks of existing legislation</w:t>
      </w:r>
    </w:p>
    <w:p w:rsidR="0082593C" w:rsidRPr="00F81955" w:rsidRDefault="0082593C" w:rsidP="0082593C">
      <w:pPr>
        <w:rPr>
          <w:rFonts w:eastAsia="Times New Roman"/>
          <w:noProof/>
        </w:rPr>
      </w:pPr>
      <w:r w:rsidRPr="00F81955">
        <w:rPr>
          <w:rFonts w:eastAsia="Times New Roman"/>
          <w:noProof/>
        </w:rPr>
        <w:t>Th</w:t>
      </w:r>
      <w:r w:rsidR="00756660" w:rsidRPr="00F81955">
        <w:rPr>
          <w:rFonts w:eastAsia="Times New Roman"/>
          <w:noProof/>
        </w:rPr>
        <w:t>e</w:t>
      </w:r>
      <w:r w:rsidRPr="00F81955">
        <w:rPr>
          <w:rFonts w:eastAsia="Times New Roman"/>
          <w:noProof/>
        </w:rPr>
        <w:t xml:space="preserve"> proposal is accompanied by a Commission staff working document that </w:t>
      </w:r>
      <w:r w:rsidR="00756660" w:rsidRPr="00F81955">
        <w:rPr>
          <w:rFonts w:eastAsia="Times New Roman"/>
          <w:noProof/>
        </w:rPr>
        <w:t xml:space="preserve">provides </w:t>
      </w:r>
      <w:r w:rsidRPr="00F81955">
        <w:rPr>
          <w:rFonts w:eastAsia="Times New Roman"/>
          <w:noProof/>
        </w:rPr>
        <w:t xml:space="preserve">a detailed overview of the impact of </w:t>
      </w:r>
      <w:r w:rsidR="00C124E9" w:rsidRPr="00F81955">
        <w:rPr>
          <w:rFonts w:eastAsia="Times New Roman"/>
          <w:noProof/>
        </w:rPr>
        <w:t xml:space="preserve">the proposed amendments to certain </w:t>
      </w:r>
      <w:r w:rsidRPr="00F81955">
        <w:rPr>
          <w:rFonts w:eastAsia="Times New Roman"/>
          <w:noProof/>
        </w:rPr>
        <w:t xml:space="preserve">provisions of </w:t>
      </w:r>
      <w:r w:rsidR="00675E40" w:rsidRPr="00F81955">
        <w:rPr>
          <w:rFonts w:eastAsia="Times New Roman"/>
          <w:noProof/>
        </w:rPr>
        <w:t>Regulation (EU) 2024/1689</w:t>
      </w:r>
      <w:r w:rsidRPr="00F81955">
        <w:rPr>
          <w:rFonts w:eastAsia="Times New Roman"/>
          <w:noProof/>
        </w:rPr>
        <w:t>. It also provides an analysis of the positive impacts of the proposed measures</w:t>
      </w:r>
      <w:r w:rsidR="00133A71" w:rsidRPr="00F81955">
        <w:rPr>
          <w:rFonts w:eastAsia="Times New Roman"/>
          <w:noProof/>
        </w:rPr>
        <w:t xml:space="preserve">. The analysis is </w:t>
      </w:r>
      <w:r w:rsidRPr="00F81955">
        <w:rPr>
          <w:rFonts w:eastAsia="Times New Roman"/>
          <w:noProof/>
        </w:rPr>
        <w:t>based on existing data, information gathered</w:t>
      </w:r>
      <w:r w:rsidR="00675E40" w:rsidRPr="00F81955">
        <w:rPr>
          <w:rFonts w:eastAsia="Times New Roman"/>
          <w:noProof/>
        </w:rPr>
        <w:t xml:space="preserve"> through consultations and</w:t>
      </w:r>
      <w:r w:rsidRPr="00F81955">
        <w:rPr>
          <w:rFonts w:eastAsia="Times New Roman"/>
          <w:noProof/>
        </w:rPr>
        <w:t xml:space="preserve"> during </w:t>
      </w:r>
      <w:r w:rsidR="00AA661C" w:rsidRPr="00F81955">
        <w:rPr>
          <w:rFonts w:eastAsia="Times New Roman"/>
          <w:noProof/>
        </w:rPr>
        <w:t xml:space="preserve">a </w:t>
      </w:r>
      <w:r w:rsidR="00133A71" w:rsidRPr="00F81955">
        <w:rPr>
          <w:rFonts w:eastAsia="Times New Roman"/>
          <w:noProof/>
        </w:rPr>
        <w:t xml:space="preserve">reality check </w:t>
      </w:r>
      <w:r w:rsidRPr="00F81955">
        <w:rPr>
          <w:rFonts w:eastAsia="Times New Roman"/>
          <w:noProof/>
        </w:rPr>
        <w:t xml:space="preserve">and </w:t>
      </w:r>
      <w:r w:rsidR="00557F7F" w:rsidRPr="00F81955">
        <w:rPr>
          <w:rFonts w:eastAsia="Times New Roman"/>
          <w:noProof/>
        </w:rPr>
        <w:t xml:space="preserve">through </w:t>
      </w:r>
      <w:r w:rsidRPr="00F81955">
        <w:rPr>
          <w:rFonts w:eastAsia="Times New Roman"/>
          <w:noProof/>
        </w:rPr>
        <w:t>written stakeholder</w:t>
      </w:r>
      <w:r w:rsidR="00133A71" w:rsidRPr="00F81955">
        <w:rPr>
          <w:rFonts w:eastAsia="Times New Roman"/>
          <w:noProof/>
        </w:rPr>
        <w:t xml:space="preserve"> feedback</w:t>
      </w:r>
      <w:r w:rsidR="00675E40" w:rsidRPr="00F81955">
        <w:rPr>
          <w:rFonts w:eastAsia="Times New Roman"/>
          <w:noProof/>
        </w:rPr>
        <w:t xml:space="preserve"> through a </w:t>
      </w:r>
      <w:r w:rsidR="00133A71" w:rsidRPr="00F81955">
        <w:rPr>
          <w:rFonts w:eastAsia="Times New Roman"/>
          <w:noProof/>
        </w:rPr>
        <w:t xml:space="preserve">call </w:t>
      </w:r>
      <w:r w:rsidR="00675E40" w:rsidRPr="00F81955">
        <w:rPr>
          <w:rFonts w:eastAsia="Times New Roman"/>
          <w:noProof/>
        </w:rPr>
        <w:t xml:space="preserve">for </w:t>
      </w:r>
      <w:r w:rsidR="00133A71" w:rsidRPr="00F81955">
        <w:rPr>
          <w:rFonts w:eastAsia="Times New Roman"/>
          <w:noProof/>
        </w:rPr>
        <w:t>evidence</w:t>
      </w:r>
      <w:r w:rsidRPr="00F81955">
        <w:rPr>
          <w:rFonts w:eastAsia="Times New Roman"/>
          <w:noProof/>
        </w:rPr>
        <w:t>.</w:t>
      </w:r>
    </w:p>
    <w:p w:rsidR="009C3EE2" w:rsidRPr="00F81955" w:rsidRDefault="009C3EE2" w:rsidP="0002735A">
      <w:pPr>
        <w:pStyle w:val="ManualHeading2"/>
        <w:rPr>
          <w:rFonts w:eastAsia="Arial Unicode MS"/>
          <w:noProof/>
          <w:u w:color="000000"/>
          <w:bdr w:val="nil"/>
          <w:lang w:eastAsia="en-GB"/>
        </w:rPr>
      </w:pPr>
      <w:r w:rsidRPr="00F81955">
        <w:rPr>
          <w:rFonts w:eastAsia="Arial Unicode MS"/>
          <w:noProof/>
          <w:u w:color="000000"/>
          <w:bdr w:val="nil"/>
          <w:lang w:eastAsia="en-GB"/>
        </w:rPr>
        <w:t>•</w:t>
      </w:r>
      <w:r w:rsidRPr="00F81955">
        <w:rPr>
          <w:rFonts w:eastAsia="Arial Unicode MS"/>
          <w:noProof/>
          <w:u w:color="000000"/>
          <w:bdr w:val="nil"/>
          <w:lang w:eastAsia="en-GB"/>
        </w:rPr>
        <w:tab/>
        <w:t>Stakeholder consultations</w:t>
      </w:r>
    </w:p>
    <w:p w:rsidR="00476246" w:rsidRPr="00F81955" w:rsidRDefault="00133A71" w:rsidP="00476246">
      <w:pPr>
        <w:rPr>
          <w:rFonts w:eastAsia="Times New Roman"/>
          <w:noProof/>
        </w:rPr>
      </w:pPr>
      <w:r w:rsidRPr="00F81955">
        <w:rPr>
          <w:rFonts w:eastAsia="Times New Roman"/>
          <w:noProof/>
        </w:rPr>
        <w:t xml:space="preserve">Several </w:t>
      </w:r>
      <w:r w:rsidR="00476246" w:rsidRPr="00F81955">
        <w:rPr>
          <w:rFonts w:eastAsia="Times New Roman"/>
          <w:noProof/>
        </w:rPr>
        <w:t>consultation</w:t>
      </w:r>
      <w:r w:rsidR="00E01D74" w:rsidRPr="00F81955">
        <w:rPr>
          <w:rFonts w:eastAsia="Times New Roman"/>
          <w:noProof/>
        </w:rPr>
        <w:t>s</w:t>
      </w:r>
      <w:r w:rsidR="00476246" w:rsidRPr="00F81955">
        <w:rPr>
          <w:rFonts w:eastAsia="Times New Roman"/>
          <w:noProof/>
        </w:rPr>
        <w:t xml:space="preserve"> were carried out in the context of the proposal. </w:t>
      </w:r>
      <w:r w:rsidRPr="00F81955">
        <w:rPr>
          <w:rFonts w:eastAsia="Times New Roman"/>
          <w:noProof/>
        </w:rPr>
        <w:t xml:space="preserve">They all </w:t>
      </w:r>
      <w:r w:rsidR="00476246" w:rsidRPr="00F81955">
        <w:rPr>
          <w:rFonts w:eastAsia="Times New Roman"/>
          <w:noProof/>
        </w:rPr>
        <w:t>complement</w:t>
      </w:r>
      <w:r w:rsidRPr="00F81955">
        <w:rPr>
          <w:rFonts w:eastAsia="Times New Roman"/>
          <w:noProof/>
        </w:rPr>
        <w:t>ed</w:t>
      </w:r>
      <w:r w:rsidR="00476246" w:rsidRPr="00F81955">
        <w:rPr>
          <w:rFonts w:eastAsia="Times New Roman"/>
          <w:noProof/>
        </w:rPr>
        <w:t xml:space="preserve"> one another, addressing either different topical </w:t>
      </w:r>
      <w:r w:rsidR="00723E87" w:rsidRPr="00F81955">
        <w:rPr>
          <w:rFonts w:eastAsia="Times New Roman"/>
          <w:noProof/>
        </w:rPr>
        <w:t xml:space="preserve">issues </w:t>
      </w:r>
      <w:r w:rsidR="00476246" w:rsidRPr="00F81955">
        <w:rPr>
          <w:rFonts w:eastAsia="Times New Roman"/>
          <w:noProof/>
        </w:rPr>
        <w:t>or stakeholder groups concerned by the initiative.</w:t>
      </w:r>
    </w:p>
    <w:p w:rsidR="00476246" w:rsidRPr="00F81955" w:rsidRDefault="00476246" w:rsidP="00476246">
      <w:pPr>
        <w:rPr>
          <w:rFonts w:eastAsia="Times New Roman"/>
          <w:noProof/>
        </w:rPr>
      </w:pPr>
      <w:r w:rsidRPr="00F81955">
        <w:rPr>
          <w:rFonts w:eastAsia="Times New Roman"/>
          <w:noProof/>
        </w:rPr>
        <w:t xml:space="preserve">In the initial scoping phase of the </w:t>
      </w:r>
      <w:r w:rsidR="00C124E9" w:rsidRPr="00F81955">
        <w:rPr>
          <w:noProof/>
        </w:rPr>
        <w:t>Digital Package on Simplification</w:t>
      </w:r>
      <w:r w:rsidRPr="00F81955">
        <w:rPr>
          <w:rFonts w:eastAsia="Times New Roman"/>
          <w:noProof/>
        </w:rPr>
        <w:t xml:space="preserve">, three public consultations and calls for evidence were published on the key </w:t>
      </w:r>
      <w:r w:rsidR="00723E87" w:rsidRPr="00F81955">
        <w:rPr>
          <w:rFonts w:eastAsia="Times New Roman"/>
          <w:noProof/>
        </w:rPr>
        <w:t xml:space="preserve">strands </w:t>
      </w:r>
      <w:r w:rsidRPr="00F81955">
        <w:rPr>
          <w:rFonts w:eastAsia="Times New Roman"/>
          <w:noProof/>
        </w:rPr>
        <w:t xml:space="preserve">of the proposal in the spring of 2025. A consultation </w:t>
      </w:r>
      <w:r w:rsidR="00E01D74" w:rsidRPr="00F81955">
        <w:rPr>
          <w:rFonts w:eastAsia="Times New Roman"/>
          <w:noProof/>
        </w:rPr>
        <w:t xml:space="preserve">was held </w:t>
      </w:r>
      <w:r w:rsidRPr="00F81955">
        <w:rPr>
          <w:rFonts w:eastAsia="Times New Roman"/>
          <w:noProof/>
        </w:rPr>
        <w:t>on the Apply AI Strategy from 9 April to 4 June</w:t>
      </w:r>
      <w:r w:rsidR="00E01D74" w:rsidRPr="00F81955">
        <w:rPr>
          <w:rFonts w:eastAsia="Times New Roman"/>
          <w:noProof/>
        </w:rPr>
        <w:t xml:space="preserve"> 2025</w:t>
      </w:r>
      <w:r w:rsidR="00723E87" w:rsidRPr="00F81955">
        <w:rPr>
          <w:rFonts w:eastAsia="Times New Roman"/>
          <w:noProof/>
        </w:rPr>
        <w:t xml:space="preserve"> (</w:t>
      </w:r>
      <w:r w:rsidRPr="00F81955">
        <w:rPr>
          <w:rStyle w:val="FootnoteReference"/>
          <w:rFonts w:eastAsia="Times New Roman"/>
          <w:noProof/>
        </w:rPr>
        <w:footnoteReference w:id="6"/>
      </w:r>
      <w:r w:rsidR="00723E87" w:rsidRPr="00F81955">
        <w:rPr>
          <w:rFonts w:eastAsia="Times New Roman"/>
          <w:noProof/>
        </w:rPr>
        <w:t>)</w:t>
      </w:r>
      <w:r w:rsidRPr="00F81955">
        <w:rPr>
          <w:rFonts w:eastAsia="Times New Roman"/>
          <w:noProof/>
        </w:rPr>
        <w:t>, another on the revision of the Cybersecurity Act from 11 April to 20 June</w:t>
      </w:r>
      <w:r w:rsidR="00E01D74" w:rsidRPr="00F81955">
        <w:rPr>
          <w:rFonts w:eastAsia="Times New Roman"/>
          <w:noProof/>
        </w:rPr>
        <w:t xml:space="preserve"> 2025</w:t>
      </w:r>
      <w:r w:rsidR="00723E87" w:rsidRPr="00F81955">
        <w:rPr>
          <w:rFonts w:eastAsia="Times New Roman"/>
          <w:noProof/>
        </w:rPr>
        <w:t xml:space="preserve"> (</w:t>
      </w:r>
      <w:r w:rsidRPr="00F81955">
        <w:rPr>
          <w:rStyle w:val="FootnoteReference"/>
          <w:rFonts w:eastAsia="Times New Roman"/>
          <w:noProof/>
        </w:rPr>
        <w:footnoteReference w:id="7"/>
      </w:r>
      <w:r w:rsidR="00723E87" w:rsidRPr="00F81955">
        <w:rPr>
          <w:rFonts w:eastAsia="Times New Roman"/>
          <w:noProof/>
        </w:rPr>
        <w:t>)</w:t>
      </w:r>
      <w:r w:rsidRPr="00F81955">
        <w:rPr>
          <w:rFonts w:eastAsia="Times New Roman"/>
          <w:noProof/>
        </w:rPr>
        <w:t>, and finally another on the European Data Union Strategy from 23 May to 20 July</w:t>
      </w:r>
      <w:r w:rsidR="00E01D74" w:rsidRPr="00F81955">
        <w:rPr>
          <w:rFonts w:eastAsia="Times New Roman"/>
          <w:noProof/>
        </w:rPr>
        <w:t xml:space="preserve"> 2025</w:t>
      </w:r>
      <w:r w:rsidR="00723E87" w:rsidRPr="00F81955">
        <w:rPr>
          <w:rFonts w:eastAsia="Times New Roman"/>
          <w:noProof/>
        </w:rPr>
        <w:t xml:space="preserve"> (</w:t>
      </w:r>
      <w:r w:rsidRPr="00F81955">
        <w:rPr>
          <w:rStyle w:val="FootnoteReference"/>
          <w:rFonts w:eastAsia="Times New Roman"/>
          <w:noProof/>
        </w:rPr>
        <w:footnoteReference w:id="8"/>
      </w:r>
      <w:r w:rsidR="00723E87" w:rsidRPr="00F81955">
        <w:rPr>
          <w:rFonts w:eastAsia="Times New Roman"/>
          <w:noProof/>
        </w:rPr>
        <w:t>)</w:t>
      </w:r>
      <w:r w:rsidRPr="00F81955">
        <w:rPr>
          <w:rFonts w:eastAsia="Times New Roman"/>
          <w:noProof/>
        </w:rPr>
        <w:t xml:space="preserve">. Each </w:t>
      </w:r>
      <w:r w:rsidR="00E01D74" w:rsidRPr="00F81955">
        <w:rPr>
          <w:rFonts w:eastAsia="Times New Roman"/>
          <w:noProof/>
        </w:rPr>
        <w:t xml:space="preserve">consultation included a </w:t>
      </w:r>
      <w:r w:rsidRPr="00F81955">
        <w:rPr>
          <w:rFonts w:eastAsia="Times New Roman"/>
          <w:noProof/>
        </w:rPr>
        <w:t xml:space="preserve">questionnaire </w:t>
      </w:r>
      <w:r w:rsidR="00E01D74" w:rsidRPr="00F81955">
        <w:rPr>
          <w:rFonts w:eastAsia="Times New Roman"/>
          <w:noProof/>
        </w:rPr>
        <w:t>with</w:t>
      </w:r>
      <w:r w:rsidR="00723E87" w:rsidRPr="00F81955">
        <w:rPr>
          <w:rFonts w:eastAsia="Times New Roman"/>
          <w:noProof/>
        </w:rPr>
        <w:t xml:space="preserve"> </w:t>
      </w:r>
      <w:r w:rsidRPr="00F81955">
        <w:rPr>
          <w:rFonts w:eastAsia="Times New Roman"/>
          <w:noProof/>
        </w:rPr>
        <w:t xml:space="preserve">a section (or at times multiple) on implementation and simplification concerns, directly related to the </w:t>
      </w:r>
      <w:r w:rsidR="00723E87" w:rsidRPr="00F81955">
        <w:rPr>
          <w:rFonts w:eastAsia="Times New Roman"/>
          <w:noProof/>
        </w:rPr>
        <w:t xml:space="preserve">reflections </w:t>
      </w:r>
      <w:r w:rsidRPr="00F81955">
        <w:rPr>
          <w:rFonts w:eastAsia="Times New Roman"/>
          <w:noProof/>
        </w:rPr>
        <w:t xml:space="preserve">on the </w:t>
      </w:r>
      <w:r w:rsidR="00C124E9" w:rsidRPr="00F81955">
        <w:rPr>
          <w:noProof/>
        </w:rPr>
        <w:t>Digital Package on Simplification</w:t>
      </w:r>
      <w:r w:rsidRPr="00F81955">
        <w:rPr>
          <w:rFonts w:eastAsia="Times New Roman"/>
          <w:noProof/>
        </w:rPr>
        <w:t xml:space="preserve">. Taken together, 718 responses were </w:t>
      </w:r>
      <w:r w:rsidR="00723E87" w:rsidRPr="00F81955">
        <w:rPr>
          <w:rFonts w:eastAsia="Times New Roman"/>
          <w:noProof/>
        </w:rPr>
        <w:t xml:space="preserve">received </w:t>
      </w:r>
      <w:r w:rsidRPr="00F81955">
        <w:rPr>
          <w:rFonts w:eastAsia="Times New Roman"/>
          <w:noProof/>
        </w:rPr>
        <w:t xml:space="preserve">as part of this first consultation </w:t>
      </w:r>
      <w:r w:rsidR="00723E87" w:rsidRPr="00F81955">
        <w:rPr>
          <w:rFonts w:eastAsia="Times New Roman"/>
          <w:noProof/>
        </w:rPr>
        <w:t>exercise</w:t>
      </w:r>
      <w:r w:rsidRPr="00F81955">
        <w:rPr>
          <w:rFonts w:eastAsia="Times New Roman"/>
          <w:noProof/>
        </w:rPr>
        <w:t xml:space="preserve">. </w:t>
      </w:r>
    </w:p>
    <w:p w:rsidR="00476246" w:rsidRPr="00F81955" w:rsidRDefault="007433A0" w:rsidP="00476246">
      <w:pPr>
        <w:rPr>
          <w:rFonts w:eastAsia="Times New Roman"/>
          <w:noProof/>
        </w:rPr>
      </w:pPr>
      <w:r w:rsidRPr="00F81955">
        <w:rPr>
          <w:rFonts w:eastAsia="Times New Roman"/>
          <w:noProof/>
        </w:rPr>
        <w:lastRenderedPageBreak/>
        <w:t>From 16 September to 14 October 2025, a</w:t>
      </w:r>
      <w:r w:rsidR="00476246" w:rsidRPr="00F81955">
        <w:rPr>
          <w:rFonts w:eastAsia="Times New Roman"/>
          <w:noProof/>
        </w:rPr>
        <w:t xml:space="preserve"> </w:t>
      </w:r>
      <w:r w:rsidR="00BE7A84" w:rsidRPr="00F81955">
        <w:rPr>
          <w:rFonts w:eastAsia="Times New Roman"/>
          <w:noProof/>
        </w:rPr>
        <w:t xml:space="preserve">call </w:t>
      </w:r>
      <w:r w:rsidR="00476246" w:rsidRPr="00F81955">
        <w:rPr>
          <w:rFonts w:eastAsia="Times New Roman"/>
          <w:noProof/>
        </w:rPr>
        <w:t xml:space="preserve">for </w:t>
      </w:r>
      <w:r w:rsidR="00BE7A84" w:rsidRPr="00F81955">
        <w:rPr>
          <w:rFonts w:eastAsia="Times New Roman"/>
          <w:noProof/>
        </w:rPr>
        <w:t xml:space="preserve">evidence </w:t>
      </w:r>
      <w:r w:rsidR="00476246" w:rsidRPr="00F81955">
        <w:rPr>
          <w:rFonts w:eastAsia="Times New Roman"/>
          <w:noProof/>
        </w:rPr>
        <w:t xml:space="preserve">on the </w:t>
      </w:r>
      <w:r w:rsidR="00C124E9" w:rsidRPr="00F81955">
        <w:rPr>
          <w:noProof/>
        </w:rPr>
        <w:t xml:space="preserve">Digital Package on Simplification </w:t>
      </w:r>
      <w:r w:rsidR="00476246" w:rsidRPr="00F81955">
        <w:rPr>
          <w:rFonts w:eastAsia="Times New Roman"/>
          <w:noProof/>
        </w:rPr>
        <w:t xml:space="preserve">was further published </w:t>
      </w:r>
      <w:r w:rsidR="00BE7A84" w:rsidRPr="00F81955">
        <w:rPr>
          <w:rFonts w:eastAsia="Times New Roman"/>
          <w:noProof/>
        </w:rPr>
        <w:t>(</w:t>
      </w:r>
      <w:r w:rsidR="00476246" w:rsidRPr="00F81955">
        <w:rPr>
          <w:rStyle w:val="FootnoteReference"/>
          <w:rFonts w:eastAsia="Times New Roman"/>
          <w:noProof/>
        </w:rPr>
        <w:footnoteReference w:id="9"/>
      </w:r>
      <w:r w:rsidR="00BE7A84" w:rsidRPr="00F81955">
        <w:rPr>
          <w:rFonts w:eastAsia="Times New Roman"/>
          <w:noProof/>
        </w:rPr>
        <w:t>)</w:t>
      </w:r>
      <w:r w:rsidR="00476246" w:rsidRPr="00F81955">
        <w:rPr>
          <w:rFonts w:eastAsia="Times New Roman"/>
          <w:noProof/>
        </w:rPr>
        <w:t xml:space="preserve">. Its aim was to cover the </w:t>
      </w:r>
      <w:r w:rsidR="00BE7A84" w:rsidRPr="00F81955">
        <w:rPr>
          <w:rFonts w:eastAsia="Times New Roman"/>
          <w:noProof/>
        </w:rPr>
        <w:t xml:space="preserve">whole scope </w:t>
      </w:r>
      <w:r w:rsidR="00476246" w:rsidRPr="00F81955">
        <w:rPr>
          <w:rFonts w:eastAsia="Times New Roman"/>
          <w:noProof/>
        </w:rPr>
        <w:t xml:space="preserve">of the initiative and give </w:t>
      </w:r>
      <w:r w:rsidR="00BE7A84" w:rsidRPr="00F81955">
        <w:rPr>
          <w:rFonts w:eastAsia="Times New Roman"/>
          <w:noProof/>
        </w:rPr>
        <w:t xml:space="preserve">an </w:t>
      </w:r>
      <w:r w:rsidR="00476246" w:rsidRPr="00F81955">
        <w:rPr>
          <w:rFonts w:eastAsia="Times New Roman"/>
          <w:noProof/>
        </w:rPr>
        <w:t xml:space="preserve">opportunity to stakeholders to comment on a more targeted set of proposals in </w:t>
      </w:r>
      <w:r w:rsidR="00BE7A84" w:rsidRPr="00F81955">
        <w:rPr>
          <w:rFonts w:eastAsia="Times New Roman"/>
          <w:noProof/>
        </w:rPr>
        <w:t>one go</w:t>
      </w:r>
      <w:r w:rsidR="00476246" w:rsidRPr="00F81955">
        <w:rPr>
          <w:rFonts w:eastAsia="Times New Roman"/>
          <w:noProof/>
        </w:rPr>
        <w:t xml:space="preserve">. </w:t>
      </w:r>
      <w:r w:rsidR="00BE7A84" w:rsidRPr="00F81955">
        <w:rPr>
          <w:rFonts w:eastAsia="Times New Roman"/>
          <w:noProof/>
        </w:rPr>
        <w:t xml:space="preserve">A total of </w:t>
      </w:r>
      <w:r w:rsidR="00476246" w:rsidRPr="00F81955">
        <w:rPr>
          <w:rFonts w:eastAsia="Times New Roman"/>
          <w:noProof/>
        </w:rPr>
        <w:t xml:space="preserve">513 responses were received, by </w:t>
      </w:r>
      <w:r w:rsidR="00BE7A84" w:rsidRPr="00F81955">
        <w:rPr>
          <w:rFonts w:eastAsia="Times New Roman"/>
          <w:noProof/>
        </w:rPr>
        <w:t>a wide</w:t>
      </w:r>
      <w:r w:rsidR="001741B3" w:rsidRPr="00F81955">
        <w:rPr>
          <w:rFonts w:eastAsia="Times New Roman"/>
          <w:noProof/>
        </w:rPr>
        <w:t xml:space="preserve"> range of</w:t>
      </w:r>
      <w:r w:rsidR="00476246" w:rsidRPr="00F81955">
        <w:rPr>
          <w:rFonts w:eastAsia="Times New Roman"/>
          <w:noProof/>
        </w:rPr>
        <w:t xml:space="preserve"> stakeholder</w:t>
      </w:r>
      <w:r w:rsidR="001741B3" w:rsidRPr="00F81955">
        <w:rPr>
          <w:rFonts w:eastAsia="Times New Roman"/>
          <w:noProof/>
        </w:rPr>
        <w:t>s</w:t>
      </w:r>
      <w:r w:rsidR="00476246" w:rsidRPr="00F81955">
        <w:rPr>
          <w:rFonts w:eastAsia="Times New Roman"/>
          <w:noProof/>
        </w:rPr>
        <w:t xml:space="preserve">. </w:t>
      </w:r>
    </w:p>
    <w:p w:rsidR="00476246" w:rsidRPr="00F81955" w:rsidRDefault="00476246" w:rsidP="00476246">
      <w:pPr>
        <w:rPr>
          <w:rFonts w:eastAsia="Times New Roman"/>
          <w:noProof/>
        </w:rPr>
      </w:pPr>
      <w:r w:rsidRPr="00F81955">
        <w:rPr>
          <w:rFonts w:eastAsia="Times New Roman"/>
          <w:noProof/>
        </w:rPr>
        <w:t xml:space="preserve">With a view </w:t>
      </w:r>
      <w:r w:rsidR="001741B3" w:rsidRPr="00F81955">
        <w:rPr>
          <w:rFonts w:eastAsia="Times New Roman"/>
          <w:noProof/>
        </w:rPr>
        <w:t xml:space="preserve">to </w:t>
      </w:r>
      <w:r w:rsidRPr="00F81955">
        <w:rPr>
          <w:rFonts w:eastAsia="Times New Roman"/>
          <w:noProof/>
        </w:rPr>
        <w:t xml:space="preserve">raising awareness on the </w:t>
      </w:r>
      <w:r w:rsidR="00C124E9" w:rsidRPr="00F81955">
        <w:rPr>
          <w:noProof/>
        </w:rPr>
        <w:t xml:space="preserve">Digital Package on Simplification </w:t>
      </w:r>
      <w:r w:rsidRPr="00F81955">
        <w:rPr>
          <w:rFonts w:eastAsia="Times New Roman"/>
          <w:noProof/>
        </w:rPr>
        <w:t>among small and medium-sized enterprises (SMEs), and collect</w:t>
      </w:r>
      <w:r w:rsidR="001741B3" w:rsidRPr="00F81955">
        <w:rPr>
          <w:rFonts w:eastAsia="Times New Roman"/>
          <w:noProof/>
        </w:rPr>
        <w:t>ing</w:t>
      </w:r>
      <w:r w:rsidRPr="00F81955">
        <w:rPr>
          <w:rFonts w:eastAsia="Times New Roman"/>
          <w:noProof/>
        </w:rPr>
        <w:t xml:space="preserve"> their feedback, a dedicated SME Panel was </w:t>
      </w:r>
      <w:r w:rsidR="001741B3" w:rsidRPr="00F81955">
        <w:rPr>
          <w:rFonts w:eastAsia="Times New Roman"/>
          <w:noProof/>
        </w:rPr>
        <w:t>organised through</w:t>
      </w:r>
      <w:r w:rsidRPr="00F81955">
        <w:rPr>
          <w:rFonts w:eastAsia="Times New Roman"/>
          <w:noProof/>
        </w:rPr>
        <w:t xml:space="preserve"> the Enterprise Europe Network (EEN) between 4 September </w:t>
      </w:r>
      <w:r w:rsidR="001741B3" w:rsidRPr="00F81955">
        <w:rPr>
          <w:rFonts w:eastAsia="Times New Roman"/>
          <w:noProof/>
        </w:rPr>
        <w:t xml:space="preserve">and </w:t>
      </w:r>
      <w:r w:rsidRPr="00F81955">
        <w:rPr>
          <w:rFonts w:eastAsia="Times New Roman"/>
          <w:noProof/>
        </w:rPr>
        <w:t xml:space="preserve">16 October 2025. </w:t>
      </w:r>
      <w:r w:rsidRPr="00F81955">
        <w:rPr>
          <w:noProof/>
        </w:rPr>
        <w:t xml:space="preserve">The EEN is the world’s largest support network for </w:t>
      </w:r>
      <w:r w:rsidR="001741B3" w:rsidRPr="00F81955">
        <w:rPr>
          <w:noProof/>
        </w:rPr>
        <w:t>SMEs</w:t>
      </w:r>
      <w:r w:rsidRPr="00F81955">
        <w:rPr>
          <w:noProof/>
        </w:rPr>
        <w:t xml:space="preserve"> and is implemented by the Commission’s European Innovation Council and SMEs Executive Agency (EISMEA). SME Panels are a</w:t>
      </w:r>
      <w:r w:rsidR="004761A7" w:rsidRPr="00F81955">
        <w:rPr>
          <w:noProof/>
        </w:rPr>
        <w:t xml:space="preserve"> way to</w:t>
      </w:r>
      <w:r w:rsidRPr="00F81955">
        <w:rPr>
          <w:noProof/>
        </w:rPr>
        <w:t xml:space="preserve"> consult </w:t>
      </w:r>
      <w:r w:rsidR="004761A7" w:rsidRPr="00F81955">
        <w:rPr>
          <w:noProof/>
        </w:rPr>
        <w:t xml:space="preserve">stakeholders </w:t>
      </w:r>
      <w:r w:rsidRPr="00F81955">
        <w:rPr>
          <w:noProof/>
        </w:rPr>
        <w:t>falling under this framework</w:t>
      </w:r>
      <w:r w:rsidR="0000001F" w:rsidRPr="00F81955">
        <w:rPr>
          <w:noProof/>
        </w:rPr>
        <w:t>.</w:t>
      </w:r>
      <w:r w:rsidRPr="00F81955">
        <w:rPr>
          <w:noProof/>
        </w:rPr>
        <w:t xml:space="preserve"> </w:t>
      </w:r>
      <w:r w:rsidR="0000001F" w:rsidRPr="00F81955">
        <w:rPr>
          <w:noProof/>
        </w:rPr>
        <w:t>SMEs</w:t>
      </w:r>
      <w:r w:rsidRPr="00F81955">
        <w:rPr>
          <w:noProof/>
        </w:rPr>
        <w:t xml:space="preserve"> have the opportunity to contribute their views to upcoming policy initiative</w:t>
      </w:r>
      <w:r w:rsidR="0000001F" w:rsidRPr="00F81955">
        <w:rPr>
          <w:noProof/>
        </w:rPr>
        <w:t>s</w:t>
      </w:r>
      <w:r w:rsidRPr="00F81955">
        <w:rPr>
          <w:noProof/>
        </w:rPr>
        <w:t>. In addition to the online written consultation (where 106 SME</w:t>
      </w:r>
      <w:r w:rsidR="00B43649" w:rsidRPr="00F81955">
        <w:rPr>
          <w:noProof/>
        </w:rPr>
        <w:t>s’</w:t>
      </w:r>
      <w:r w:rsidRPr="00F81955">
        <w:rPr>
          <w:noProof/>
        </w:rPr>
        <w:t xml:space="preserve"> responses were </w:t>
      </w:r>
      <w:r w:rsidR="0000001F" w:rsidRPr="00F81955">
        <w:rPr>
          <w:noProof/>
        </w:rPr>
        <w:t>received</w:t>
      </w:r>
      <w:r w:rsidRPr="00F81955">
        <w:rPr>
          <w:noProof/>
        </w:rPr>
        <w:t xml:space="preserve">), the Commission also presented the </w:t>
      </w:r>
      <w:r w:rsidR="00C124E9" w:rsidRPr="00F81955">
        <w:rPr>
          <w:noProof/>
        </w:rPr>
        <w:t xml:space="preserve">Digital Package on Simplification </w:t>
      </w:r>
      <w:r w:rsidRPr="00F81955">
        <w:rPr>
          <w:noProof/>
        </w:rPr>
        <w:t xml:space="preserve">to SME associations part of the </w:t>
      </w:r>
      <w:r w:rsidR="0000001F" w:rsidRPr="00F81955">
        <w:rPr>
          <w:noProof/>
        </w:rPr>
        <w:t>EEN</w:t>
      </w:r>
      <w:r w:rsidRPr="00F81955">
        <w:rPr>
          <w:noProof/>
        </w:rPr>
        <w:t xml:space="preserve">, in a meeting </w:t>
      </w:r>
      <w:r w:rsidR="0000001F" w:rsidRPr="00F81955">
        <w:rPr>
          <w:noProof/>
        </w:rPr>
        <w:t xml:space="preserve">that took place </w:t>
      </w:r>
      <w:r w:rsidRPr="00F81955">
        <w:rPr>
          <w:noProof/>
        </w:rPr>
        <w:t>on 1 October</w:t>
      </w:r>
      <w:r w:rsidR="0000001F" w:rsidRPr="00F81955">
        <w:rPr>
          <w:noProof/>
        </w:rPr>
        <w:t xml:space="preserve"> 2025</w:t>
      </w:r>
      <w:r w:rsidRPr="00F81955">
        <w:rPr>
          <w:noProof/>
        </w:rPr>
        <w:t>.</w:t>
      </w:r>
    </w:p>
    <w:p w:rsidR="00476246" w:rsidRPr="00F81955" w:rsidRDefault="0000001F" w:rsidP="00476246">
      <w:pPr>
        <w:rPr>
          <w:rFonts w:eastAsia="Times New Roman"/>
          <w:noProof/>
        </w:rPr>
      </w:pPr>
      <w:r w:rsidRPr="00F81955">
        <w:rPr>
          <w:rFonts w:eastAsia="Times New Roman"/>
          <w:noProof/>
        </w:rPr>
        <w:t>A</w:t>
      </w:r>
      <w:r w:rsidR="00476246" w:rsidRPr="00F81955">
        <w:rPr>
          <w:rFonts w:eastAsia="Times New Roman"/>
          <w:noProof/>
        </w:rPr>
        <w:t xml:space="preserve"> large number of bilateral meetings were </w:t>
      </w:r>
      <w:r w:rsidRPr="00F81955">
        <w:rPr>
          <w:rFonts w:eastAsia="Times New Roman"/>
          <w:noProof/>
        </w:rPr>
        <w:t xml:space="preserve">organised </w:t>
      </w:r>
      <w:r w:rsidR="00476246" w:rsidRPr="00F81955">
        <w:rPr>
          <w:rFonts w:eastAsia="Times New Roman"/>
          <w:noProof/>
        </w:rPr>
        <w:t xml:space="preserve">by </w:t>
      </w:r>
      <w:r w:rsidRPr="00F81955">
        <w:rPr>
          <w:rFonts w:eastAsia="Times New Roman"/>
          <w:noProof/>
        </w:rPr>
        <w:t xml:space="preserve">the </w:t>
      </w:r>
      <w:r w:rsidR="00476246" w:rsidRPr="00F81955">
        <w:rPr>
          <w:rFonts w:eastAsia="Times New Roman"/>
          <w:noProof/>
        </w:rPr>
        <w:t xml:space="preserve">Commission services with stakeholders </w:t>
      </w:r>
      <w:r w:rsidRPr="00F81955">
        <w:rPr>
          <w:rFonts w:eastAsia="Times New Roman"/>
          <w:noProof/>
        </w:rPr>
        <w:t>in</w:t>
      </w:r>
      <w:r w:rsidR="00476246" w:rsidRPr="00F81955">
        <w:rPr>
          <w:rFonts w:eastAsia="Times New Roman"/>
          <w:noProof/>
        </w:rPr>
        <w:t xml:space="preserve"> 2025, to address specific concerns. Discussions were also held with Member States. In addition to bilateral exchanges, </w:t>
      </w:r>
      <w:r w:rsidRPr="00F81955">
        <w:rPr>
          <w:rFonts w:eastAsia="Times New Roman"/>
          <w:noProof/>
        </w:rPr>
        <w:t xml:space="preserve">specific </w:t>
      </w:r>
      <w:r w:rsidR="00476246" w:rsidRPr="00F81955">
        <w:rPr>
          <w:rFonts w:eastAsia="Times New Roman"/>
          <w:noProof/>
        </w:rPr>
        <w:t>agenda points on the Digital Simplification Package were discussed at Council Working Parties in June and September 2025</w:t>
      </w:r>
      <w:r w:rsidR="009124D4" w:rsidRPr="00F81955">
        <w:rPr>
          <w:rFonts w:eastAsia="Times New Roman"/>
          <w:noProof/>
        </w:rPr>
        <w:t>,</w:t>
      </w:r>
      <w:r w:rsidR="00476246" w:rsidRPr="00F81955">
        <w:rPr>
          <w:rFonts w:eastAsia="Times New Roman"/>
          <w:noProof/>
        </w:rPr>
        <w:t xml:space="preserve"> where the Commission presented the</w:t>
      </w:r>
      <w:r w:rsidRPr="00F81955">
        <w:rPr>
          <w:rFonts w:eastAsia="Times New Roman"/>
          <w:noProof/>
        </w:rPr>
        <w:t xml:space="preserve"> current situation</w:t>
      </w:r>
      <w:r w:rsidR="00476246" w:rsidRPr="00F81955">
        <w:rPr>
          <w:rFonts w:eastAsia="Times New Roman"/>
          <w:noProof/>
        </w:rPr>
        <w:t xml:space="preserve"> and asked Member States’ </w:t>
      </w:r>
      <w:r w:rsidR="00B71D08" w:rsidRPr="00F81955">
        <w:rPr>
          <w:rFonts w:eastAsia="Times New Roman"/>
          <w:noProof/>
        </w:rPr>
        <w:t xml:space="preserve">to express their </w:t>
      </w:r>
      <w:r w:rsidR="00476246" w:rsidRPr="00F81955">
        <w:rPr>
          <w:rFonts w:eastAsia="Times New Roman"/>
          <w:noProof/>
        </w:rPr>
        <w:t xml:space="preserve">views. </w:t>
      </w:r>
    </w:p>
    <w:p w:rsidR="00476246" w:rsidRPr="00F81955" w:rsidRDefault="00476246" w:rsidP="00476246">
      <w:pPr>
        <w:rPr>
          <w:rFonts w:eastAsia="Times New Roman"/>
          <w:noProof/>
        </w:rPr>
      </w:pPr>
      <w:r w:rsidRPr="00F81955">
        <w:rPr>
          <w:rFonts w:eastAsia="Times New Roman"/>
          <w:noProof/>
        </w:rPr>
        <w:t xml:space="preserve">Overall, stakeholder feedback converged </w:t>
      </w:r>
      <w:r w:rsidR="00B71D08" w:rsidRPr="00F81955">
        <w:rPr>
          <w:rFonts w:eastAsia="Times New Roman"/>
          <w:noProof/>
        </w:rPr>
        <w:t>on</w:t>
      </w:r>
      <w:r w:rsidRPr="00F81955">
        <w:rPr>
          <w:rFonts w:eastAsia="Times New Roman"/>
          <w:noProof/>
        </w:rPr>
        <w:t xml:space="preserve"> the need for a simplified application of some of the digital rules. Better coherence, and a focus on optimisation of compliance costs,</w:t>
      </w:r>
      <w:r w:rsidR="00B71D08" w:rsidRPr="00F81955">
        <w:rPr>
          <w:rFonts w:eastAsia="Times New Roman"/>
          <w:noProof/>
        </w:rPr>
        <w:t xml:space="preserve"> was</w:t>
      </w:r>
      <w:r w:rsidRPr="00F81955">
        <w:rPr>
          <w:rFonts w:eastAsia="Times New Roman"/>
          <w:noProof/>
        </w:rPr>
        <w:t xml:space="preserve"> largely </w:t>
      </w:r>
      <w:r w:rsidR="00B71D08" w:rsidRPr="00F81955">
        <w:rPr>
          <w:rFonts w:eastAsia="Times New Roman"/>
          <w:noProof/>
        </w:rPr>
        <w:t xml:space="preserve">supported </w:t>
      </w:r>
      <w:r w:rsidRPr="00F81955">
        <w:rPr>
          <w:rFonts w:eastAsia="Times New Roman"/>
          <w:noProof/>
        </w:rPr>
        <w:t>by</w:t>
      </w:r>
      <w:r w:rsidR="00B71D08" w:rsidRPr="00F81955">
        <w:rPr>
          <w:rFonts w:eastAsia="Times New Roman"/>
          <w:noProof/>
        </w:rPr>
        <w:t xml:space="preserve"> a cross-section of</w:t>
      </w:r>
      <w:r w:rsidRPr="00F81955">
        <w:rPr>
          <w:rFonts w:eastAsia="Times New Roman"/>
          <w:noProof/>
        </w:rPr>
        <w:t xml:space="preserve"> stakeholders. Some</w:t>
      </w:r>
      <w:r w:rsidR="00B71D08" w:rsidRPr="00F81955">
        <w:rPr>
          <w:rFonts w:eastAsia="Times New Roman"/>
          <w:noProof/>
        </w:rPr>
        <w:t xml:space="preserve"> differences in opinion were expressed regarding</w:t>
      </w:r>
      <w:r w:rsidRPr="00F81955">
        <w:rPr>
          <w:rFonts w:eastAsia="Times New Roman"/>
          <w:noProof/>
        </w:rPr>
        <w:t xml:space="preserve"> some of the more tailored measures. A more detailed overview of these stakeholder consultations, and how they were reflected in the proposal can be found in the </w:t>
      </w:r>
      <w:r w:rsidR="00F240EB" w:rsidRPr="00F81955">
        <w:rPr>
          <w:rFonts w:eastAsia="Times New Roman"/>
          <w:noProof/>
        </w:rPr>
        <w:t>s</w:t>
      </w:r>
      <w:r w:rsidRPr="00F81955">
        <w:rPr>
          <w:rFonts w:eastAsia="Times New Roman"/>
          <w:noProof/>
        </w:rPr>
        <w:t xml:space="preserve">taff </w:t>
      </w:r>
      <w:r w:rsidR="00F240EB" w:rsidRPr="00F81955">
        <w:rPr>
          <w:rFonts w:eastAsia="Times New Roman"/>
          <w:noProof/>
        </w:rPr>
        <w:t>w</w:t>
      </w:r>
      <w:r w:rsidRPr="00F81955">
        <w:rPr>
          <w:rFonts w:eastAsia="Times New Roman"/>
          <w:noProof/>
        </w:rPr>
        <w:t xml:space="preserve">orking </w:t>
      </w:r>
      <w:r w:rsidR="00F240EB" w:rsidRPr="00F81955">
        <w:rPr>
          <w:rFonts w:eastAsia="Times New Roman"/>
          <w:noProof/>
        </w:rPr>
        <w:t>d</w:t>
      </w:r>
      <w:r w:rsidRPr="00F81955">
        <w:rPr>
          <w:rFonts w:eastAsia="Times New Roman"/>
          <w:noProof/>
        </w:rPr>
        <w:t xml:space="preserve">ocument </w:t>
      </w:r>
      <w:r w:rsidR="00EB75CE" w:rsidRPr="00F81955">
        <w:rPr>
          <w:rFonts w:eastAsia="Times New Roman"/>
          <w:noProof/>
        </w:rPr>
        <w:t>accompanying</w:t>
      </w:r>
      <w:r w:rsidRPr="00F81955">
        <w:rPr>
          <w:rFonts w:eastAsia="Times New Roman"/>
          <w:noProof/>
        </w:rPr>
        <w:t xml:space="preserve"> the </w:t>
      </w:r>
      <w:r w:rsidR="00C124E9" w:rsidRPr="00F81955">
        <w:rPr>
          <w:noProof/>
        </w:rPr>
        <w:t>Digital Package on Simplification</w:t>
      </w:r>
      <w:r w:rsidRPr="00F81955">
        <w:rPr>
          <w:rFonts w:eastAsia="Times New Roman"/>
          <w:noProof/>
        </w:rPr>
        <w:t>.</w:t>
      </w:r>
    </w:p>
    <w:p w:rsidR="009C3EE2" w:rsidRPr="00F81955" w:rsidRDefault="009C3EE2" w:rsidP="0002735A">
      <w:pPr>
        <w:pStyle w:val="ManualHeading2"/>
        <w:rPr>
          <w:rFonts w:eastAsia="Arial Unicode MS"/>
          <w:noProof/>
          <w:u w:color="000000"/>
          <w:bdr w:val="nil"/>
          <w:lang w:eastAsia="en-GB"/>
        </w:rPr>
      </w:pPr>
      <w:r w:rsidRPr="00F81955">
        <w:rPr>
          <w:rFonts w:eastAsia="Arial Unicode MS"/>
          <w:noProof/>
          <w:u w:color="000000"/>
          <w:bdr w:val="nil"/>
          <w:lang w:eastAsia="en-GB"/>
        </w:rPr>
        <w:t>•</w:t>
      </w:r>
      <w:r w:rsidRPr="00F81955">
        <w:rPr>
          <w:rFonts w:eastAsia="Arial Unicode MS"/>
          <w:noProof/>
          <w:u w:color="000000"/>
          <w:bdr w:val="nil"/>
          <w:lang w:eastAsia="en-GB"/>
        </w:rPr>
        <w:tab/>
        <w:t>Collection and use of expertise</w:t>
      </w:r>
    </w:p>
    <w:p w:rsidR="009C3EE2" w:rsidRPr="00F81955" w:rsidRDefault="00A155FE" w:rsidP="00A155FE">
      <w:pPr>
        <w:pBdr>
          <w:top w:val="nil"/>
          <w:left w:val="nil"/>
          <w:bottom w:val="nil"/>
          <w:right w:val="nil"/>
          <w:between w:val="nil"/>
          <w:bar w:val="nil"/>
        </w:pBdr>
        <w:spacing w:before="0" w:after="240"/>
        <w:rPr>
          <w:rFonts w:eastAsia="Arial Unicode MS"/>
          <w:noProof/>
        </w:rPr>
      </w:pPr>
      <w:r w:rsidRPr="00F81955">
        <w:rPr>
          <w:noProof/>
        </w:rPr>
        <w:t xml:space="preserve">In addition to the consultation outlined above, the Commission mainly relied on </w:t>
      </w:r>
      <w:r w:rsidR="00291559" w:rsidRPr="00F81955">
        <w:rPr>
          <w:noProof/>
        </w:rPr>
        <w:t xml:space="preserve">its own </w:t>
      </w:r>
      <w:r w:rsidRPr="00F81955">
        <w:rPr>
          <w:noProof/>
        </w:rPr>
        <w:t xml:space="preserve">internal analysis for the purpose of this proposal. </w:t>
      </w:r>
    </w:p>
    <w:p w:rsidR="009C3EE2" w:rsidRPr="00F81955" w:rsidRDefault="009C3EE2" w:rsidP="0002735A">
      <w:pPr>
        <w:pStyle w:val="ManualHeading2"/>
        <w:rPr>
          <w:rFonts w:eastAsia="Arial Unicode MS"/>
          <w:noProof/>
          <w:u w:color="000000"/>
          <w:bdr w:val="nil"/>
          <w:lang w:eastAsia="en-GB"/>
        </w:rPr>
      </w:pPr>
      <w:r w:rsidRPr="00F81955">
        <w:rPr>
          <w:rFonts w:eastAsia="Arial Unicode MS"/>
          <w:noProof/>
          <w:u w:color="000000"/>
          <w:bdr w:val="nil"/>
          <w:lang w:eastAsia="en-GB"/>
        </w:rPr>
        <w:t>•</w:t>
      </w:r>
      <w:r w:rsidRPr="00F81955">
        <w:rPr>
          <w:rFonts w:eastAsia="Arial Unicode MS"/>
          <w:noProof/>
          <w:u w:color="000000"/>
          <w:bdr w:val="nil"/>
          <w:lang w:eastAsia="en-GB"/>
        </w:rPr>
        <w:tab/>
        <w:t>Impact assessment</w:t>
      </w:r>
    </w:p>
    <w:p w:rsidR="00F9626F" w:rsidRPr="00F81955" w:rsidRDefault="00F9626F" w:rsidP="00F9626F">
      <w:pPr>
        <w:pBdr>
          <w:top w:val="nil"/>
          <w:left w:val="nil"/>
          <w:bottom w:val="nil"/>
          <w:right w:val="nil"/>
          <w:between w:val="nil"/>
          <w:bar w:val="nil"/>
        </w:pBdr>
        <w:spacing w:before="0" w:after="240"/>
        <w:rPr>
          <w:noProof/>
        </w:rPr>
      </w:pPr>
      <w:r w:rsidRPr="00F81955">
        <w:rPr>
          <w:noProof/>
        </w:rPr>
        <w:t xml:space="preserve">The amendments put forward in the </w:t>
      </w:r>
      <w:r w:rsidR="00AC7298" w:rsidRPr="00F81955">
        <w:rPr>
          <w:noProof/>
        </w:rPr>
        <w:t>proposal</w:t>
      </w:r>
      <w:r w:rsidRPr="00F81955">
        <w:rPr>
          <w:noProof/>
        </w:rPr>
        <w:t xml:space="preserve"> are technical in nature. They are designed to ensure a more efficient implementation of rules that were already agreed at political level. The</w:t>
      </w:r>
      <w:r w:rsidR="00291559" w:rsidRPr="00F81955">
        <w:rPr>
          <w:noProof/>
        </w:rPr>
        <w:t>re</w:t>
      </w:r>
      <w:r w:rsidRPr="00F81955">
        <w:rPr>
          <w:noProof/>
        </w:rPr>
        <w:t xml:space="preserve"> are no</w:t>
      </w:r>
      <w:r w:rsidR="00291559" w:rsidRPr="00F81955">
        <w:rPr>
          <w:noProof/>
        </w:rPr>
        <w:t xml:space="preserve"> </w:t>
      </w:r>
      <w:r w:rsidRPr="00F81955">
        <w:rPr>
          <w:noProof/>
        </w:rPr>
        <w:t xml:space="preserve">policy options that could meaningfully be tested and compared in an impact assessment report. </w:t>
      </w:r>
    </w:p>
    <w:p w:rsidR="00F9626F" w:rsidRPr="00F81955" w:rsidRDefault="00F9626F" w:rsidP="00F9626F">
      <w:pPr>
        <w:pBdr>
          <w:top w:val="nil"/>
          <w:left w:val="nil"/>
          <w:bottom w:val="nil"/>
          <w:right w:val="nil"/>
          <w:between w:val="nil"/>
          <w:bar w:val="nil"/>
        </w:pBdr>
        <w:spacing w:before="0" w:after="240"/>
        <w:rPr>
          <w:noProof/>
        </w:rPr>
      </w:pPr>
      <w:r w:rsidRPr="00F81955">
        <w:rPr>
          <w:noProof/>
        </w:rPr>
        <w:t xml:space="preserve">The </w:t>
      </w:r>
      <w:r w:rsidR="00291559" w:rsidRPr="00F81955">
        <w:rPr>
          <w:noProof/>
        </w:rPr>
        <w:t xml:space="preserve">accompanying </w:t>
      </w:r>
      <w:r w:rsidR="00F240EB" w:rsidRPr="00F81955">
        <w:rPr>
          <w:noProof/>
        </w:rPr>
        <w:t>s</w:t>
      </w:r>
      <w:r w:rsidRPr="00F81955">
        <w:rPr>
          <w:noProof/>
        </w:rPr>
        <w:t xml:space="preserve">taff </w:t>
      </w:r>
      <w:r w:rsidR="00F240EB" w:rsidRPr="00F81955">
        <w:rPr>
          <w:noProof/>
        </w:rPr>
        <w:t>w</w:t>
      </w:r>
      <w:r w:rsidRPr="00F81955">
        <w:rPr>
          <w:noProof/>
        </w:rPr>
        <w:t xml:space="preserve">orking </w:t>
      </w:r>
      <w:r w:rsidR="00F240EB" w:rsidRPr="00F81955">
        <w:rPr>
          <w:noProof/>
        </w:rPr>
        <w:t>d</w:t>
      </w:r>
      <w:r w:rsidRPr="00F81955">
        <w:rPr>
          <w:noProof/>
        </w:rPr>
        <w:t xml:space="preserve">ocument </w:t>
      </w:r>
      <w:r w:rsidR="008A4ADD" w:rsidRPr="00F81955">
        <w:rPr>
          <w:noProof/>
        </w:rPr>
        <w:t>examines</w:t>
      </w:r>
      <w:r w:rsidRPr="00F81955">
        <w:rPr>
          <w:noProof/>
        </w:rPr>
        <w:t xml:space="preserve"> the </w:t>
      </w:r>
      <w:r w:rsidR="00D9519F" w:rsidRPr="00F81955">
        <w:rPr>
          <w:noProof/>
        </w:rPr>
        <w:t>reasoning behind the</w:t>
      </w:r>
      <w:r w:rsidRPr="00F81955">
        <w:rPr>
          <w:noProof/>
        </w:rPr>
        <w:t xml:space="preserve"> amendments</w:t>
      </w:r>
      <w:r w:rsidR="00D9519F" w:rsidRPr="00F81955">
        <w:rPr>
          <w:noProof/>
        </w:rPr>
        <w:t xml:space="preserve"> and outlines</w:t>
      </w:r>
      <w:r w:rsidRPr="00F81955">
        <w:rPr>
          <w:noProof/>
        </w:rPr>
        <w:t xml:space="preserve"> the </w:t>
      </w:r>
      <w:r w:rsidR="00D9519F" w:rsidRPr="00F81955">
        <w:rPr>
          <w:noProof/>
        </w:rPr>
        <w:t xml:space="preserve">views of </w:t>
      </w:r>
      <w:r w:rsidRPr="00F81955">
        <w:rPr>
          <w:noProof/>
        </w:rPr>
        <w:t>stakeholder</w:t>
      </w:r>
      <w:r w:rsidR="00D9519F" w:rsidRPr="00F81955">
        <w:rPr>
          <w:noProof/>
        </w:rPr>
        <w:t>s</w:t>
      </w:r>
      <w:r w:rsidRPr="00F81955">
        <w:rPr>
          <w:noProof/>
        </w:rPr>
        <w:t xml:space="preserve"> on the different measures</w:t>
      </w:r>
      <w:r w:rsidR="00D9519F" w:rsidRPr="00F81955">
        <w:rPr>
          <w:noProof/>
        </w:rPr>
        <w:t>. It also</w:t>
      </w:r>
      <w:r w:rsidRPr="00F81955">
        <w:rPr>
          <w:noProof/>
        </w:rPr>
        <w:t xml:space="preserve"> presents</w:t>
      </w:r>
      <w:r w:rsidR="00D9519F" w:rsidRPr="00F81955">
        <w:rPr>
          <w:noProof/>
        </w:rPr>
        <w:t xml:space="preserve"> the</w:t>
      </w:r>
      <w:r w:rsidRPr="00F81955">
        <w:rPr>
          <w:noProof/>
        </w:rPr>
        <w:t xml:space="preserve"> costs savings and other types of impacts the proposal may entail. In many cases</w:t>
      </w:r>
      <w:r w:rsidR="00920F30" w:rsidRPr="00F81955">
        <w:rPr>
          <w:noProof/>
        </w:rPr>
        <w:t>,</w:t>
      </w:r>
      <w:r w:rsidRPr="00F81955">
        <w:rPr>
          <w:noProof/>
        </w:rPr>
        <w:t xml:space="preserve"> it builds on the </w:t>
      </w:r>
      <w:r w:rsidR="00526CFF" w:rsidRPr="00F81955">
        <w:rPr>
          <w:noProof/>
        </w:rPr>
        <w:t>i</w:t>
      </w:r>
      <w:r w:rsidRPr="00F81955">
        <w:rPr>
          <w:noProof/>
        </w:rPr>
        <w:t xml:space="preserve">mpact </w:t>
      </w:r>
      <w:r w:rsidR="00526CFF" w:rsidRPr="00F81955">
        <w:rPr>
          <w:noProof/>
        </w:rPr>
        <w:t xml:space="preserve">assessments </w:t>
      </w:r>
      <w:r w:rsidRPr="00F81955">
        <w:rPr>
          <w:noProof/>
        </w:rPr>
        <w:t xml:space="preserve">that </w:t>
      </w:r>
      <w:r w:rsidR="00AC7298" w:rsidRPr="00F81955">
        <w:rPr>
          <w:noProof/>
        </w:rPr>
        <w:t xml:space="preserve">was </w:t>
      </w:r>
      <w:r w:rsidRPr="00F81955">
        <w:rPr>
          <w:noProof/>
        </w:rPr>
        <w:t xml:space="preserve">originally </w:t>
      </w:r>
      <w:r w:rsidR="00526CFF" w:rsidRPr="00F81955">
        <w:rPr>
          <w:noProof/>
        </w:rPr>
        <w:t>carried out</w:t>
      </w:r>
      <w:r w:rsidRPr="00F81955">
        <w:rPr>
          <w:noProof/>
        </w:rPr>
        <w:t xml:space="preserve"> for the </w:t>
      </w:r>
      <w:r w:rsidR="00AC7298" w:rsidRPr="00F81955">
        <w:rPr>
          <w:noProof/>
        </w:rPr>
        <w:t>Regulation (EU) 2024/1689</w:t>
      </w:r>
      <w:r w:rsidRPr="00F81955">
        <w:rPr>
          <w:noProof/>
        </w:rPr>
        <w:t xml:space="preserve">. </w:t>
      </w:r>
    </w:p>
    <w:p w:rsidR="009C3EE2" w:rsidRPr="00F81955" w:rsidRDefault="00F9626F" w:rsidP="00F9626F">
      <w:pPr>
        <w:pBdr>
          <w:top w:val="nil"/>
          <w:left w:val="nil"/>
          <w:bottom w:val="nil"/>
          <w:right w:val="nil"/>
          <w:between w:val="nil"/>
          <w:bar w:val="nil"/>
        </w:pBdr>
        <w:spacing w:before="0" w:after="240"/>
        <w:rPr>
          <w:rFonts w:eastAsia="Arial Unicode MS"/>
          <w:noProof/>
        </w:rPr>
      </w:pPr>
      <w:r w:rsidRPr="00F81955">
        <w:rPr>
          <w:noProof/>
        </w:rPr>
        <w:lastRenderedPageBreak/>
        <w:t xml:space="preserve">The </w:t>
      </w:r>
      <w:r w:rsidR="00AC7298" w:rsidRPr="00F81955">
        <w:rPr>
          <w:noProof/>
        </w:rPr>
        <w:t>s</w:t>
      </w:r>
      <w:r w:rsidRPr="00F81955">
        <w:rPr>
          <w:noProof/>
        </w:rPr>
        <w:t xml:space="preserve">taff </w:t>
      </w:r>
      <w:r w:rsidR="00AC7298" w:rsidRPr="00F81955">
        <w:rPr>
          <w:noProof/>
        </w:rPr>
        <w:t>w</w:t>
      </w:r>
      <w:r w:rsidRPr="00F81955">
        <w:rPr>
          <w:noProof/>
        </w:rPr>
        <w:t xml:space="preserve">orking </w:t>
      </w:r>
      <w:r w:rsidR="00AC7298" w:rsidRPr="00F81955">
        <w:rPr>
          <w:noProof/>
        </w:rPr>
        <w:t>d</w:t>
      </w:r>
      <w:r w:rsidRPr="00F81955">
        <w:rPr>
          <w:noProof/>
        </w:rPr>
        <w:t>ocument there</w:t>
      </w:r>
      <w:r w:rsidR="008668A2" w:rsidRPr="00F81955">
        <w:rPr>
          <w:noProof/>
        </w:rPr>
        <w:t xml:space="preserve">fore </w:t>
      </w:r>
      <w:r w:rsidRPr="00F81955">
        <w:rPr>
          <w:noProof/>
        </w:rPr>
        <w:t xml:space="preserve">serves as a </w:t>
      </w:r>
      <w:r w:rsidR="008668A2" w:rsidRPr="00F81955">
        <w:rPr>
          <w:noProof/>
        </w:rPr>
        <w:t xml:space="preserve">reference </w:t>
      </w:r>
      <w:r w:rsidRPr="00F81955">
        <w:rPr>
          <w:noProof/>
        </w:rPr>
        <w:t xml:space="preserve">point to inform the </w:t>
      </w:r>
      <w:r w:rsidR="008668A2" w:rsidRPr="00F81955">
        <w:rPr>
          <w:noProof/>
        </w:rPr>
        <w:t>European Parliament and the Council’s</w:t>
      </w:r>
      <w:r w:rsidRPr="00F81955">
        <w:rPr>
          <w:noProof/>
        </w:rPr>
        <w:t xml:space="preserve"> debate on the proposal, as well as the public, in a clear and engaged way.</w:t>
      </w:r>
    </w:p>
    <w:p w:rsidR="009C3EE2" w:rsidRPr="00F81955" w:rsidRDefault="009C3EE2" w:rsidP="0002735A">
      <w:pPr>
        <w:pStyle w:val="ManualHeading2"/>
        <w:rPr>
          <w:rFonts w:eastAsia="Arial Unicode MS"/>
          <w:noProof/>
          <w:u w:color="000000"/>
          <w:bdr w:val="nil"/>
          <w:lang w:eastAsia="en-GB"/>
        </w:rPr>
      </w:pPr>
      <w:r w:rsidRPr="00F81955">
        <w:rPr>
          <w:rFonts w:eastAsia="Arial Unicode MS"/>
          <w:noProof/>
          <w:u w:color="000000"/>
          <w:bdr w:val="nil"/>
          <w:lang w:eastAsia="en-GB"/>
        </w:rPr>
        <w:t>•</w:t>
      </w:r>
      <w:r w:rsidRPr="00F81955">
        <w:rPr>
          <w:rFonts w:eastAsia="Arial Unicode MS"/>
          <w:noProof/>
          <w:u w:color="000000"/>
          <w:bdr w:val="nil"/>
          <w:lang w:eastAsia="en-GB"/>
        </w:rPr>
        <w:tab/>
        <w:t>Regulatory fitness and simplification</w:t>
      </w:r>
    </w:p>
    <w:p w:rsidR="003444E6" w:rsidRPr="00F81955" w:rsidRDefault="003444E6" w:rsidP="003444E6">
      <w:pPr>
        <w:pBdr>
          <w:top w:val="nil"/>
          <w:left w:val="nil"/>
          <w:bottom w:val="nil"/>
          <w:right w:val="nil"/>
          <w:between w:val="nil"/>
          <w:bar w:val="nil"/>
        </w:pBdr>
        <w:spacing w:before="0" w:after="240"/>
        <w:rPr>
          <w:noProof/>
        </w:rPr>
      </w:pPr>
      <w:r w:rsidRPr="00F81955">
        <w:rPr>
          <w:noProof/>
        </w:rPr>
        <w:t xml:space="preserve">The </w:t>
      </w:r>
      <w:r w:rsidR="00AC7298" w:rsidRPr="00F81955">
        <w:rPr>
          <w:noProof/>
        </w:rPr>
        <w:t>proposal</w:t>
      </w:r>
      <w:r w:rsidRPr="00F81955">
        <w:rPr>
          <w:noProof/>
        </w:rPr>
        <w:t xml:space="preserve"> </w:t>
      </w:r>
      <w:r w:rsidR="00923A55" w:rsidRPr="00F81955">
        <w:rPr>
          <w:noProof/>
        </w:rPr>
        <w:t xml:space="preserve">aims to produce </w:t>
      </w:r>
      <w:r w:rsidR="008A4ADD" w:rsidRPr="00F81955">
        <w:rPr>
          <w:noProof/>
        </w:rPr>
        <w:t>a significant</w:t>
      </w:r>
      <w:r w:rsidRPr="00F81955">
        <w:rPr>
          <w:noProof/>
        </w:rPr>
        <w:t xml:space="preserve"> reduction </w:t>
      </w:r>
      <w:r w:rsidR="008A4ADD" w:rsidRPr="00F81955">
        <w:rPr>
          <w:noProof/>
        </w:rPr>
        <w:t xml:space="preserve">in administrative burden </w:t>
      </w:r>
      <w:r w:rsidRPr="00F81955">
        <w:rPr>
          <w:noProof/>
        </w:rPr>
        <w:t xml:space="preserve">for businesses, </w:t>
      </w:r>
      <w:r w:rsidR="00923A55" w:rsidRPr="00F81955">
        <w:rPr>
          <w:noProof/>
        </w:rPr>
        <w:t>national</w:t>
      </w:r>
      <w:r w:rsidRPr="00F81955">
        <w:rPr>
          <w:noProof/>
        </w:rPr>
        <w:t xml:space="preserve"> administrations</w:t>
      </w:r>
      <w:r w:rsidR="00923A55" w:rsidRPr="00F81955">
        <w:rPr>
          <w:noProof/>
        </w:rPr>
        <w:t>,</w:t>
      </w:r>
      <w:r w:rsidRPr="00F81955">
        <w:rPr>
          <w:noProof/>
        </w:rPr>
        <w:t xml:space="preserve"> and </w:t>
      </w:r>
      <w:r w:rsidR="00923A55" w:rsidRPr="00F81955">
        <w:rPr>
          <w:noProof/>
        </w:rPr>
        <w:t>the public at large</w:t>
      </w:r>
      <w:r w:rsidRPr="00F81955">
        <w:rPr>
          <w:noProof/>
        </w:rPr>
        <w:t xml:space="preserve">. Initial estimates </w:t>
      </w:r>
      <w:r w:rsidR="00923A55" w:rsidRPr="00F81955">
        <w:rPr>
          <w:noProof/>
        </w:rPr>
        <w:t xml:space="preserve">project </w:t>
      </w:r>
      <w:r w:rsidRPr="00F81955">
        <w:rPr>
          <w:noProof/>
        </w:rPr>
        <w:t>possible savings of</w:t>
      </w:r>
      <w:r w:rsidRPr="00F81955">
        <w:rPr>
          <w:b/>
          <w:bCs/>
          <w:noProof/>
        </w:rPr>
        <w:t xml:space="preserve"> </w:t>
      </w:r>
      <w:r w:rsidR="00B56E49" w:rsidRPr="00F81955">
        <w:rPr>
          <w:b/>
          <w:bCs/>
          <w:noProof/>
        </w:rPr>
        <w:t>≈</w:t>
      </w:r>
      <w:r w:rsidRPr="00F81955">
        <w:rPr>
          <w:b/>
          <w:bCs/>
          <w:noProof/>
        </w:rPr>
        <w:t xml:space="preserve"> </w:t>
      </w:r>
      <w:r w:rsidR="00F77E1F" w:rsidRPr="00F81955">
        <w:rPr>
          <w:b/>
          <w:bCs/>
          <w:noProof/>
        </w:rPr>
        <w:t xml:space="preserve">EUR </w:t>
      </w:r>
      <w:r w:rsidR="0006482B" w:rsidRPr="00F81955">
        <w:rPr>
          <w:b/>
          <w:noProof/>
        </w:rPr>
        <w:t>297.2</w:t>
      </w:r>
      <w:r w:rsidR="00F77E1F" w:rsidRPr="00F81955">
        <w:rPr>
          <w:b/>
          <w:noProof/>
        </w:rPr>
        <w:t xml:space="preserve"> to</w:t>
      </w:r>
      <w:r w:rsidR="0006482B" w:rsidRPr="00F81955">
        <w:rPr>
          <w:b/>
          <w:noProof/>
        </w:rPr>
        <w:t xml:space="preserve"> 433.2 million</w:t>
      </w:r>
      <w:r w:rsidRPr="00F81955">
        <w:rPr>
          <w:noProof/>
        </w:rPr>
        <w:t>. Non</w:t>
      </w:r>
      <w:r w:rsidR="00A23040" w:rsidRPr="00F81955">
        <w:rPr>
          <w:noProof/>
        </w:rPr>
        <w:t>-</w:t>
      </w:r>
      <w:r w:rsidRPr="00F81955">
        <w:rPr>
          <w:noProof/>
        </w:rPr>
        <w:t xml:space="preserve">quantifiable benefits are also expected, notably </w:t>
      </w:r>
      <w:r w:rsidR="006C30B8" w:rsidRPr="00F81955">
        <w:rPr>
          <w:noProof/>
        </w:rPr>
        <w:t xml:space="preserve">due to </w:t>
      </w:r>
      <w:r w:rsidRPr="00F81955">
        <w:rPr>
          <w:noProof/>
        </w:rPr>
        <w:t xml:space="preserve">a streamlined set of rules which will </w:t>
      </w:r>
      <w:r w:rsidR="006C30B8" w:rsidRPr="00F81955">
        <w:rPr>
          <w:noProof/>
        </w:rPr>
        <w:t xml:space="preserve">ease </w:t>
      </w:r>
      <w:r w:rsidRPr="00F81955">
        <w:rPr>
          <w:noProof/>
        </w:rPr>
        <w:t xml:space="preserve">compliance </w:t>
      </w:r>
      <w:r w:rsidR="006C30B8" w:rsidRPr="00F81955">
        <w:rPr>
          <w:noProof/>
        </w:rPr>
        <w:t xml:space="preserve">and enforcement </w:t>
      </w:r>
      <w:r w:rsidRPr="00F81955">
        <w:rPr>
          <w:noProof/>
        </w:rPr>
        <w:t>thereof.</w:t>
      </w:r>
    </w:p>
    <w:p w:rsidR="003444E6" w:rsidRPr="00F81955" w:rsidRDefault="003444E6" w:rsidP="003444E6">
      <w:pPr>
        <w:pBdr>
          <w:top w:val="nil"/>
          <w:left w:val="nil"/>
          <w:bottom w:val="nil"/>
          <w:right w:val="nil"/>
          <w:between w:val="nil"/>
          <w:bar w:val="nil"/>
        </w:pBdr>
        <w:spacing w:before="0" w:after="240"/>
        <w:rPr>
          <w:noProof/>
        </w:rPr>
      </w:pPr>
      <w:r w:rsidRPr="00F81955">
        <w:rPr>
          <w:noProof/>
        </w:rPr>
        <w:t xml:space="preserve">SMEs already </w:t>
      </w:r>
      <w:r w:rsidR="00C96F69" w:rsidRPr="00F81955">
        <w:rPr>
          <w:noProof/>
        </w:rPr>
        <w:t>benefit from regulatory privileges</w:t>
      </w:r>
      <w:r w:rsidRPr="00F81955">
        <w:rPr>
          <w:noProof/>
        </w:rPr>
        <w:t xml:space="preserve"> under </w:t>
      </w:r>
      <w:r w:rsidR="00A23040" w:rsidRPr="00F81955">
        <w:rPr>
          <w:noProof/>
        </w:rPr>
        <w:t>Regulation (EU) 2024/1689</w:t>
      </w:r>
      <w:r w:rsidR="00A37700" w:rsidRPr="00F81955">
        <w:rPr>
          <w:noProof/>
        </w:rPr>
        <w:t>. S</w:t>
      </w:r>
      <w:r w:rsidRPr="00F81955">
        <w:rPr>
          <w:noProof/>
        </w:rPr>
        <w:t xml:space="preserve">ome </w:t>
      </w:r>
      <w:r w:rsidR="00C96F69" w:rsidRPr="00F81955">
        <w:rPr>
          <w:noProof/>
        </w:rPr>
        <w:t>regulatory privileges</w:t>
      </w:r>
      <w:r w:rsidRPr="00F81955">
        <w:rPr>
          <w:noProof/>
        </w:rPr>
        <w:t xml:space="preserve"> already </w:t>
      </w:r>
      <w:r w:rsidR="006C30B8" w:rsidRPr="00F81955">
        <w:rPr>
          <w:noProof/>
        </w:rPr>
        <w:t xml:space="preserve">afforded </w:t>
      </w:r>
      <w:r w:rsidRPr="00F81955">
        <w:rPr>
          <w:noProof/>
        </w:rPr>
        <w:t>to SMEs are extended to small mid-caps (SMCs).</w:t>
      </w:r>
      <w:r w:rsidR="00C96F69" w:rsidRPr="00F81955">
        <w:rPr>
          <w:noProof/>
        </w:rPr>
        <w:t xml:space="preserve"> Since </w:t>
      </w:r>
      <w:r w:rsidR="00A245C9" w:rsidRPr="00F81955">
        <w:rPr>
          <w:noProof/>
        </w:rPr>
        <w:t>SME</w:t>
      </w:r>
      <w:r w:rsidR="002016DF" w:rsidRPr="00F81955">
        <w:rPr>
          <w:noProof/>
        </w:rPr>
        <w:t>s</w:t>
      </w:r>
      <w:r w:rsidR="00A245C9" w:rsidRPr="00F81955">
        <w:rPr>
          <w:noProof/>
        </w:rPr>
        <w:t xml:space="preserve"> and SMC</w:t>
      </w:r>
      <w:r w:rsidR="002016DF" w:rsidRPr="00F81955">
        <w:rPr>
          <w:noProof/>
        </w:rPr>
        <w:t>s</w:t>
      </w:r>
      <w:r w:rsidR="00A245C9" w:rsidRPr="00F81955">
        <w:rPr>
          <w:noProof/>
        </w:rPr>
        <w:t xml:space="preserve"> are disproportionality </w:t>
      </w:r>
      <w:r w:rsidR="00BF1088" w:rsidRPr="00F81955">
        <w:rPr>
          <w:noProof/>
        </w:rPr>
        <w:t xml:space="preserve">more impacted by </w:t>
      </w:r>
      <w:r w:rsidR="006C30B8" w:rsidRPr="00F81955">
        <w:rPr>
          <w:noProof/>
        </w:rPr>
        <w:t xml:space="preserve">the </w:t>
      </w:r>
      <w:r w:rsidR="00BF1088" w:rsidRPr="00F81955">
        <w:rPr>
          <w:noProof/>
        </w:rPr>
        <w:t>compliance burden, it is expected that they will particularly benefit from the</w:t>
      </w:r>
      <w:r w:rsidR="00F12BAC" w:rsidRPr="00F81955">
        <w:rPr>
          <w:noProof/>
        </w:rPr>
        <w:t>se</w:t>
      </w:r>
      <w:r w:rsidR="00BF1088" w:rsidRPr="00F81955">
        <w:rPr>
          <w:noProof/>
        </w:rPr>
        <w:t xml:space="preserve"> simplification measures.</w:t>
      </w:r>
    </w:p>
    <w:p w:rsidR="003444E6" w:rsidRPr="00F81955" w:rsidRDefault="003444E6" w:rsidP="003444E6">
      <w:pPr>
        <w:pBdr>
          <w:top w:val="nil"/>
          <w:left w:val="nil"/>
          <w:bottom w:val="nil"/>
          <w:right w:val="nil"/>
          <w:between w:val="nil"/>
          <w:bar w:val="nil"/>
        </w:pBdr>
        <w:spacing w:before="0" w:after="240"/>
        <w:rPr>
          <w:noProof/>
        </w:rPr>
      </w:pPr>
      <w:r w:rsidRPr="00F81955">
        <w:rPr>
          <w:noProof/>
        </w:rPr>
        <w:t xml:space="preserve">The proposal is consistent with the Commission’s ‘Digital </w:t>
      </w:r>
      <w:r w:rsidR="00D90A9E" w:rsidRPr="00F81955">
        <w:rPr>
          <w:noProof/>
        </w:rPr>
        <w:t xml:space="preserve">Fitness </w:t>
      </w:r>
      <w:r w:rsidRPr="00F81955">
        <w:rPr>
          <w:noProof/>
        </w:rPr>
        <w:t>Check</w:t>
      </w:r>
      <w:r w:rsidR="00D90A9E" w:rsidRPr="00F81955">
        <w:rPr>
          <w:noProof/>
        </w:rPr>
        <w:t xml:space="preserve"> for the digital rulebook</w:t>
      </w:r>
      <w:r w:rsidRPr="00F81955">
        <w:rPr>
          <w:noProof/>
        </w:rPr>
        <w:t xml:space="preserve">’, </w:t>
      </w:r>
      <w:r w:rsidR="00F12BAC" w:rsidRPr="00F81955">
        <w:rPr>
          <w:noProof/>
        </w:rPr>
        <w:t xml:space="preserve">which </w:t>
      </w:r>
      <w:r w:rsidRPr="00F81955">
        <w:rPr>
          <w:noProof/>
        </w:rPr>
        <w:t>aim</w:t>
      </w:r>
      <w:r w:rsidR="00F12BAC" w:rsidRPr="00F81955">
        <w:rPr>
          <w:noProof/>
        </w:rPr>
        <w:t>s</w:t>
      </w:r>
      <w:r w:rsidRPr="00F81955">
        <w:rPr>
          <w:noProof/>
        </w:rPr>
        <w:t xml:space="preserve"> </w:t>
      </w:r>
      <w:r w:rsidR="00F12BAC" w:rsidRPr="00F81955">
        <w:rPr>
          <w:noProof/>
        </w:rPr>
        <w:t>to</w:t>
      </w:r>
      <w:r w:rsidRPr="00F81955">
        <w:rPr>
          <w:noProof/>
        </w:rPr>
        <w:t xml:space="preserve"> ensur</w:t>
      </w:r>
      <w:r w:rsidR="00F12BAC" w:rsidRPr="00F81955">
        <w:rPr>
          <w:noProof/>
        </w:rPr>
        <w:t>e properly</w:t>
      </w:r>
      <w:r w:rsidRPr="00F81955">
        <w:rPr>
          <w:noProof/>
        </w:rPr>
        <w:t xml:space="preserve"> align</w:t>
      </w:r>
      <w:r w:rsidR="00F12BAC" w:rsidRPr="00F81955">
        <w:rPr>
          <w:noProof/>
        </w:rPr>
        <w:t>ed</w:t>
      </w:r>
      <w:r w:rsidRPr="00F81955">
        <w:rPr>
          <w:noProof/>
        </w:rPr>
        <w:t xml:space="preserve"> policy proposals with </w:t>
      </w:r>
      <w:r w:rsidR="00F12BAC" w:rsidRPr="00F81955">
        <w:rPr>
          <w:noProof/>
        </w:rPr>
        <w:t xml:space="preserve">real-world </w:t>
      </w:r>
      <w:r w:rsidRPr="00F81955">
        <w:rPr>
          <w:noProof/>
        </w:rPr>
        <w:t>digital environments</w:t>
      </w:r>
      <w:r w:rsidR="00F12BAC" w:rsidRPr="00F81955">
        <w:rPr>
          <w:noProof/>
        </w:rPr>
        <w:t xml:space="preserve"> (see </w:t>
      </w:r>
      <w:r w:rsidR="00C97F36" w:rsidRPr="00F81955">
        <w:rPr>
          <w:noProof/>
        </w:rPr>
        <w:t>Chapter 4 on</w:t>
      </w:r>
      <w:r w:rsidRPr="00F81955">
        <w:rPr>
          <w:noProof/>
        </w:rPr>
        <w:t xml:space="preserve"> Legislative and Financial Digital Statement</w:t>
      </w:r>
      <w:r w:rsidR="00C97F36" w:rsidRPr="00F81955">
        <w:rPr>
          <w:noProof/>
        </w:rPr>
        <w:t>)</w:t>
      </w:r>
      <w:r w:rsidR="00BC5676" w:rsidRPr="00F81955">
        <w:rPr>
          <w:noProof/>
        </w:rPr>
        <w:t>.</w:t>
      </w:r>
    </w:p>
    <w:p w:rsidR="009C3EE2" w:rsidRPr="00F81955" w:rsidRDefault="009C3EE2" w:rsidP="0002735A">
      <w:pPr>
        <w:pStyle w:val="ManualHeading2"/>
        <w:rPr>
          <w:rFonts w:eastAsia="Arial Unicode MS"/>
          <w:noProof/>
          <w:u w:color="000000"/>
          <w:bdr w:val="nil"/>
          <w:lang w:eastAsia="en-GB"/>
        </w:rPr>
      </w:pPr>
      <w:r w:rsidRPr="00F81955">
        <w:rPr>
          <w:rFonts w:eastAsia="Arial Unicode MS"/>
          <w:noProof/>
          <w:u w:color="000000"/>
          <w:bdr w:val="nil"/>
          <w:lang w:eastAsia="en-GB"/>
        </w:rPr>
        <w:t>•</w:t>
      </w:r>
      <w:r w:rsidRPr="00F81955">
        <w:rPr>
          <w:rFonts w:eastAsia="Arial Unicode MS"/>
          <w:noProof/>
          <w:u w:color="000000"/>
          <w:bdr w:val="nil"/>
          <w:lang w:eastAsia="en-GB"/>
        </w:rPr>
        <w:tab/>
        <w:t>Fundamental rights</w:t>
      </w:r>
    </w:p>
    <w:p w:rsidR="00583BD9" w:rsidRPr="00F81955" w:rsidRDefault="002016DF" w:rsidP="00583BD9">
      <w:pPr>
        <w:spacing w:after="0"/>
        <w:rPr>
          <w:rFonts w:eastAsia="Times New Roman"/>
          <w:noProof/>
        </w:rPr>
      </w:pPr>
      <w:r w:rsidRPr="00F81955">
        <w:rPr>
          <w:rFonts w:eastAsia="Times New Roman"/>
          <w:noProof/>
        </w:rPr>
        <w:t>Regulation (EU) 2024/1689</w:t>
      </w:r>
      <w:r w:rsidR="00583BD9" w:rsidRPr="00F81955">
        <w:rPr>
          <w:rFonts w:eastAsia="Times New Roman"/>
          <w:noProof/>
        </w:rPr>
        <w:t xml:space="preserve"> is expected to promote the protection of </w:t>
      </w:r>
      <w:r w:rsidR="00C97F36" w:rsidRPr="00F81955">
        <w:rPr>
          <w:rFonts w:eastAsia="Times New Roman"/>
          <w:noProof/>
        </w:rPr>
        <w:t xml:space="preserve">a number of </w:t>
      </w:r>
      <w:r w:rsidR="0064167F" w:rsidRPr="00F81955">
        <w:rPr>
          <w:rFonts w:eastAsia="Times New Roman"/>
          <w:noProof/>
        </w:rPr>
        <w:t xml:space="preserve">fundamental </w:t>
      </w:r>
      <w:r w:rsidR="00583BD9" w:rsidRPr="00F81955">
        <w:rPr>
          <w:rFonts w:eastAsia="Times New Roman"/>
          <w:noProof/>
        </w:rPr>
        <w:t>rights</w:t>
      </w:r>
      <w:r w:rsidR="0064167F" w:rsidRPr="00F81955">
        <w:rPr>
          <w:rFonts w:eastAsia="Times New Roman"/>
          <w:noProof/>
        </w:rPr>
        <w:t xml:space="preserve"> and freedoms</w:t>
      </w:r>
      <w:r w:rsidR="00583BD9" w:rsidRPr="00F81955">
        <w:rPr>
          <w:rFonts w:eastAsia="Times New Roman"/>
          <w:noProof/>
        </w:rPr>
        <w:t xml:space="preserve"> set out in the </w:t>
      </w:r>
      <w:r w:rsidR="008A4ADD" w:rsidRPr="00F81955">
        <w:rPr>
          <w:rFonts w:eastAsia="Times New Roman"/>
          <w:noProof/>
        </w:rPr>
        <w:t xml:space="preserve">EU </w:t>
      </w:r>
      <w:r w:rsidR="00583BD9" w:rsidRPr="00F81955">
        <w:rPr>
          <w:rFonts w:eastAsia="Times New Roman"/>
          <w:noProof/>
        </w:rPr>
        <w:t>Charter</w:t>
      </w:r>
      <w:r w:rsidR="008A4ADD" w:rsidRPr="00F81955">
        <w:rPr>
          <w:rFonts w:eastAsia="Times New Roman"/>
          <w:noProof/>
        </w:rPr>
        <w:t xml:space="preserve"> of Fundamental Rights</w:t>
      </w:r>
      <w:r w:rsidR="00C97F36" w:rsidRPr="00F81955">
        <w:rPr>
          <w:rFonts w:eastAsia="Times New Roman"/>
          <w:noProof/>
        </w:rPr>
        <w:t xml:space="preserve"> (</w:t>
      </w:r>
      <w:r w:rsidR="00583BD9" w:rsidRPr="00F81955">
        <w:rPr>
          <w:rStyle w:val="FootnoteReference"/>
          <w:rFonts w:eastAsia="Times New Roman"/>
          <w:noProof/>
        </w:rPr>
        <w:footnoteReference w:id="10"/>
      </w:r>
      <w:r w:rsidR="00C97F36" w:rsidRPr="00F81955">
        <w:rPr>
          <w:rFonts w:eastAsia="Times New Roman"/>
          <w:noProof/>
        </w:rPr>
        <w:t>)</w:t>
      </w:r>
      <w:r w:rsidR="005E2951" w:rsidRPr="00F81955">
        <w:rPr>
          <w:rFonts w:eastAsia="Times New Roman"/>
          <w:noProof/>
        </w:rPr>
        <w:t>,</w:t>
      </w:r>
      <w:r w:rsidR="00583BD9" w:rsidRPr="00F81955">
        <w:rPr>
          <w:rFonts w:eastAsia="Times New Roman"/>
          <w:noProof/>
        </w:rPr>
        <w:t xml:space="preserve"> as well as positively </w:t>
      </w:r>
      <w:r w:rsidR="00C97F36" w:rsidRPr="00F81955">
        <w:rPr>
          <w:rFonts w:eastAsia="Times New Roman"/>
          <w:noProof/>
        </w:rPr>
        <w:t xml:space="preserve">impacting </w:t>
      </w:r>
      <w:r w:rsidR="00583BD9" w:rsidRPr="00F81955">
        <w:rPr>
          <w:rFonts w:eastAsia="Times New Roman"/>
          <w:noProof/>
        </w:rPr>
        <w:t>the rights of a number of special groups</w:t>
      </w:r>
      <w:r w:rsidR="00C97F36" w:rsidRPr="00F81955">
        <w:rPr>
          <w:rFonts w:eastAsia="Times New Roman"/>
          <w:noProof/>
        </w:rPr>
        <w:t xml:space="preserve"> (</w:t>
      </w:r>
      <w:r w:rsidR="00583BD9" w:rsidRPr="00F81955">
        <w:rPr>
          <w:rStyle w:val="FootnoteReference"/>
          <w:rFonts w:eastAsia="Times New Roman"/>
          <w:noProof/>
        </w:rPr>
        <w:footnoteReference w:id="11"/>
      </w:r>
      <w:r w:rsidR="00C97F36" w:rsidRPr="00F81955">
        <w:rPr>
          <w:rFonts w:eastAsia="Times New Roman"/>
          <w:noProof/>
        </w:rPr>
        <w:t>).</w:t>
      </w:r>
      <w:r w:rsidR="00583BD9" w:rsidRPr="00F81955">
        <w:rPr>
          <w:rFonts w:eastAsia="Times New Roman"/>
          <w:noProof/>
        </w:rPr>
        <w:t xml:space="preserve"> At the same time, the </w:t>
      </w:r>
      <w:r w:rsidRPr="00F81955">
        <w:rPr>
          <w:rFonts w:eastAsia="Times New Roman"/>
          <w:noProof/>
        </w:rPr>
        <w:t xml:space="preserve">Regulation (EU) 2024/1689 </w:t>
      </w:r>
      <w:r w:rsidR="00583BD9" w:rsidRPr="00F81955">
        <w:rPr>
          <w:rFonts w:eastAsia="Times New Roman"/>
          <w:noProof/>
        </w:rPr>
        <w:t>impose</w:t>
      </w:r>
      <w:r w:rsidR="0017546B" w:rsidRPr="00F81955">
        <w:rPr>
          <w:rFonts w:eastAsia="Times New Roman"/>
          <w:noProof/>
        </w:rPr>
        <w:t>s</w:t>
      </w:r>
      <w:r w:rsidR="00583BD9" w:rsidRPr="00F81955">
        <w:rPr>
          <w:rFonts w:eastAsia="Times New Roman"/>
          <w:noProof/>
        </w:rPr>
        <w:t xml:space="preserve"> some restrictions on certain rights</w:t>
      </w:r>
      <w:r w:rsidR="008A4ADD" w:rsidRPr="00F81955">
        <w:rPr>
          <w:rFonts w:eastAsia="Times New Roman"/>
          <w:noProof/>
        </w:rPr>
        <w:t xml:space="preserve"> and freedoms</w:t>
      </w:r>
      <w:r w:rsidR="00C97F36" w:rsidRPr="00F81955">
        <w:rPr>
          <w:rFonts w:eastAsia="Times New Roman"/>
          <w:noProof/>
        </w:rPr>
        <w:t xml:space="preserve"> (</w:t>
      </w:r>
      <w:r w:rsidR="00583BD9" w:rsidRPr="00F81955">
        <w:rPr>
          <w:rStyle w:val="FootnoteReference"/>
          <w:rFonts w:eastAsia="Times New Roman"/>
          <w:noProof/>
        </w:rPr>
        <w:footnoteReference w:id="12"/>
      </w:r>
      <w:r w:rsidR="00C97F36" w:rsidRPr="00F81955">
        <w:rPr>
          <w:rFonts w:eastAsia="Times New Roman"/>
          <w:noProof/>
        </w:rPr>
        <w:t>)</w:t>
      </w:r>
      <w:r w:rsidR="00583BD9" w:rsidRPr="00F81955">
        <w:rPr>
          <w:rFonts w:eastAsia="Times New Roman"/>
          <w:noProof/>
        </w:rPr>
        <w:t xml:space="preserve">, which </w:t>
      </w:r>
      <w:r w:rsidR="0017546B" w:rsidRPr="00F81955">
        <w:rPr>
          <w:rFonts w:eastAsia="Times New Roman"/>
          <w:noProof/>
        </w:rPr>
        <w:t>are</w:t>
      </w:r>
      <w:r w:rsidR="00583BD9" w:rsidRPr="00F81955">
        <w:rPr>
          <w:rFonts w:eastAsia="Times New Roman"/>
          <w:noProof/>
        </w:rPr>
        <w:t xml:space="preserve"> proportionate and limited to the minimum necessary. </w:t>
      </w:r>
      <w:r w:rsidR="00C97F36" w:rsidRPr="00F81955">
        <w:rPr>
          <w:rFonts w:eastAsia="Times New Roman"/>
          <w:noProof/>
        </w:rPr>
        <w:t xml:space="preserve">The proposal is not expected to modify </w:t>
      </w:r>
      <w:r w:rsidR="008A4ADD" w:rsidRPr="00F81955">
        <w:rPr>
          <w:rFonts w:eastAsia="Times New Roman"/>
          <w:noProof/>
        </w:rPr>
        <w:t>the</w:t>
      </w:r>
      <w:r w:rsidR="00C97F36" w:rsidRPr="00F81955">
        <w:rPr>
          <w:rFonts w:eastAsia="Times New Roman"/>
          <w:noProof/>
        </w:rPr>
        <w:t xml:space="preserve"> impact </w:t>
      </w:r>
      <w:r w:rsidR="008A4ADD" w:rsidRPr="00F81955">
        <w:rPr>
          <w:rFonts w:eastAsia="Times New Roman"/>
          <w:noProof/>
        </w:rPr>
        <w:t>o</w:t>
      </w:r>
      <w:r w:rsidR="00DC06DB" w:rsidRPr="00F81955">
        <w:rPr>
          <w:rFonts w:eastAsia="Times New Roman"/>
          <w:noProof/>
        </w:rPr>
        <w:t xml:space="preserve">f the </w:t>
      </w:r>
      <w:r w:rsidRPr="00F81955">
        <w:rPr>
          <w:rFonts w:eastAsia="Times New Roman"/>
          <w:noProof/>
        </w:rPr>
        <w:t xml:space="preserve">Regulation (EU) 2024/1689 </w:t>
      </w:r>
      <w:r w:rsidR="00DC06DB" w:rsidRPr="00F81955">
        <w:rPr>
          <w:rFonts w:eastAsia="Times New Roman"/>
          <w:noProof/>
        </w:rPr>
        <w:t xml:space="preserve">on fundamental rights </w:t>
      </w:r>
      <w:r w:rsidR="00C97F36" w:rsidRPr="00F81955">
        <w:rPr>
          <w:rFonts w:eastAsia="Times New Roman"/>
          <w:noProof/>
        </w:rPr>
        <w:t>since the</w:t>
      </w:r>
      <w:r w:rsidR="0017546B" w:rsidRPr="00F81955">
        <w:rPr>
          <w:rFonts w:eastAsia="Times New Roman"/>
          <w:noProof/>
        </w:rPr>
        <w:t xml:space="preserve"> targeted nature of envisaged amendments</w:t>
      </w:r>
      <w:r w:rsidR="1CC6D48D" w:rsidRPr="00F81955">
        <w:rPr>
          <w:rFonts w:eastAsia="Times New Roman"/>
          <w:noProof/>
        </w:rPr>
        <w:t xml:space="preserve"> do</w:t>
      </w:r>
      <w:r w:rsidR="0017546B" w:rsidRPr="00F81955">
        <w:rPr>
          <w:rFonts w:eastAsia="Times New Roman"/>
          <w:noProof/>
        </w:rPr>
        <w:t xml:space="preserve"> not </w:t>
      </w:r>
      <w:r w:rsidR="00C97F36" w:rsidRPr="00F81955">
        <w:rPr>
          <w:rFonts w:eastAsia="Times New Roman"/>
          <w:noProof/>
        </w:rPr>
        <w:t>affect</w:t>
      </w:r>
      <w:r w:rsidR="1CC6D48D" w:rsidRPr="00F81955">
        <w:rPr>
          <w:rFonts w:eastAsia="Times New Roman"/>
          <w:noProof/>
        </w:rPr>
        <w:t xml:space="preserve"> the scope of the regulated AI systems or on the substantive requ</w:t>
      </w:r>
      <w:r w:rsidR="266DB684" w:rsidRPr="00F81955">
        <w:rPr>
          <w:rFonts w:eastAsia="Times New Roman"/>
          <w:noProof/>
        </w:rPr>
        <w:t>irements applicable</w:t>
      </w:r>
      <w:r w:rsidR="0017546B" w:rsidRPr="00F81955">
        <w:rPr>
          <w:rFonts w:eastAsia="Times New Roman"/>
          <w:noProof/>
        </w:rPr>
        <w:t xml:space="preserve"> to </w:t>
      </w:r>
      <w:r w:rsidR="00C97F36" w:rsidRPr="00F81955">
        <w:rPr>
          <w:rFonts w:eastAsia="Times New Roman"/>
          <w:noProof/>
        </w:rPr>
        <w:t xml:space="preserve">those </w:t>
      </w:r>
      <w:r w:rsidR="266DB684" w:rsidRPr="00F81955">
        <w:rPr>
          <w:rFonts w:eastAsia="Times New Roman"/>
          <w:noProof/>
        </w:rPr>
        <w:t>systems</w:t>
      </w:r>
      <w:r w:rsidR="0017546B" w:rsidRPr="00F81955">
        <w:rPr>
          <w:rFonts w:eastAsia="Times New Roman"/>
          <w:noProof/>
        </w:rPr>
        <w:t>.</w:t>
      </w:r>
    </w:p>
    <w:p w:rsidR="009C3EE2" w:rsidRPr="00F81955" w:rsidRDefault="009C3EE2" w:rsidP="0002735A">
      <w:pPr>
        <w:pStyle w:val="ManualHeading1"/>
        <w:rPr>
          <w:noProof/>
        </w:rPr>
      </w:pPr>
      <w:r w:rsidRPr="00F81955">
        <w:rPr>
          <w:noProof/>
        </w:rPr>
        <w:t>4.</w:t>
      </w:r>
      <w:r w:rsidRPr="00F81955">
        <w:rPr>
          <w:noProof/>
        </w:rPr>
        <w:tab/>
        <w:t>BUDGETARY IMPLICATIONS</w:t>
      </w:r>
    </w:p>
    <w:p w:rsidR="00944D61" w:rsidRPr="00F81955" w:rsidRDefault="00944D61" w:rsidP="0002735A">
      <w:pPr>
        <w:pBdr>
          <w:top w:val="nil"/>
          <w:left w:val="nil"/>
          <w:bottom w:val="nil"/>
          <w:right w:val="nil"/>
          <w:between w:val="nil"/>
          <w:bar w:val="nil"/>
        </w:pBdr>
        <w:spacing w:before="0" w:after="240"/>
        <w:rPr>
          <w:noProof/>
        </w:rPr>
      </w:pPr>
      <w:r w:rsidRPr="00F81955">
        <w:rPr>
          <w:noProof/>
        </w:rPr>
        <w:t xml:space="preserve">The proposal </w:t>
      </w:r>
      <w:r w:rsidR="00807CA6" w:rsidRPr="00F81955">
        <w:rPr>
          <w:noProof/>
        </w:rPr>
        <w:t>amends</w:t>
      </w:r>
      <w:r w:rsidR="00B0355D" w:rsidRPr="00F81955">
        <w:rPr>
          <w:noProof/>
        </w:rPr>
        <w:t xml:space="preserve"> the supervision and enforcement system of Regulation (EU) 2024/1689, whereby </w:t>
      </w:r>
      <w:r w:rsidR="00B2477C" w:rsidRPr="00F81955">
        <w:rPr>
          <w:noProof/>
        </w:rPr>
        <w:t xml:space="preserve">oversight over certain AI systems will be </w:t>
      </w:r>
      <w:r w:rsidR="00DC06DB" w:rsidRPr="00F81955">
        <w:rPr>
          <w:noProof/>
        </w:rPr>
        <w:t xml:space="preserve">transferred </w:t>
      </w:r>
      <w:r w:rsidR="00B2477C" w:rsidRPr="00F81955">
        <w:rPr>
          <w:noProof/>
        </w:rPr>
        <w:t>to the Commission’s AI Office.</w:t>
      </w:r>
      <w:r w:rsidR="000F6A06" w:rsidRPr="00F81955">
        <w:rPr>
          <w:noProof/>
        </w:rPr>
        <w:t xml:space="preserve"> In addition, to facilitate compliance </w:t>
      </w:r>
      <w:r w:rsidR="00E53DAC" w:rsidRPr="00F81955">
        <w:rPr>
          <w:noProof/>
        </w:rPr>
        <w:t xml:space="preserve">by </w:t>
      </w:r>
      <w:r w:rsidR="000F6A06" w:rsidRPr="00F81955">
        <w:rPr>
          <w:noProof/>
        </w:rPr>
        <w:t>operators, the AI Office should set up an EU-level AI regulatory sandbox.</w:t>
      </w:r>
      <w:r w:rsidR="00B2477C" w:rsidRPr="00F81955">
        <w:rPr>
          <w:noProof/>
        </w:rPr>
        <w:t xml:space="preserve"> </w:t>
      </w:r>
      <w:r w:rsidR="00DC06DB" w:rsidRPr="00F81955">
        <w:rPr>
          <w:noProof/>
        </w:rPr>
        <w:t>To</w:t>
      </w:r>
      <w:r w:rsidR="00B2477C" w:rsidRPr="00F81955">
        <w:rPr>
          <w:noProof/>
        </w:rPr>
        <w:t xml:space="preserve"> </w:t>
      </w:r>
      <w:r w:rsidR="00E53DAC" w:rsidRPr="00F81955">
        <w:rPr>
          <w:noProof/>
        </w:rPr>
        <w:t xml:space="preserve">implement </w:t>
      </w:r>
      <w:r w:rsidR="00B2477C" w:rsidRPr="00F81955">
        <w:rPr>
          <w:noProof/>
        </w:rPr>
        <w:t xml:space="preserve">these new tasks, </w:t>
      </w:r>
      <w:r w:rsidR="00E53DAC" w:rsidRPr="00F81955">
        <w:rPr>
          <w:noProof/>
        </w:rPr>
        <w:t>to the Commission will need the</w:t>
      </w:r>
      <w:r w:rsidR="00B2477C" w:rsidRPr="00F81955">
        <w:rPr>
          <w:noProof/>
        </w:rPr>
        <w:t xml:space="preserve"> appropriate resources</w:t>
      </w:r>
      <w:r w:rsidR="000F6A06" w:rsidRPr="00F81955">
        <w:rPr>
          <w:noProof/>
        </w:rPr>
        <w:t>, which is</w:t>
      </w:r>
      <w:r w:rsidR="00B2477C" w:rsidRPr="00F81955">
        <w:rPr>
          <w:noProof/>
        </w:rPr>
        <w:t xml:space="preserve"> estimated to </w:t>
      </w:r>
      <w:r w:rsidR="00E53DAC" w:rsidRPr="00F81955">
        <w:rPr>
          <w:noProof/>
        </w:rPr>
        <w:t xml:space="preserve">stand at </w:t>
      </w:r>
      <w:r w:rsidR="00B2477C" w:rsidRPr="00F81955">
        <w:rPr>
          <w:noProof/>
        </w:rPr>
        <w:t>5</w:t>
      </w:r>
      <w:r w:rsidR="0097623C" w:rsidRPr="00F81955">
        <w:rPr>
          <w:noProof/>
        </w:rPr>
        <w:t>3</w:t>
      </w:r>
      <w:r w:rsidR="00B2477C" w:rsidRPr="00F81955">
        <w:rPr>
          <w:noProof/>
        </w:rPr>
        <w:t xml:space="preserve"> FTE</w:t>
      </w:r>
      <w:r w:rsidR="0097623C" w:rsidRPr="00F81955">
        <w:rPr>
          <w:noProof/>
        </w:rPr>
        <w:t xml:space="preserve">, of which </w:t>
      </w:r>
      <w:r>
        <w:rPr>
          <w:noProof/>
        </w:rPr>
        <w:t xml:space="preserve">15 </w:t>
      </w:r>
      <w:r w:rsidR="0097623C" w:rsidRPr="00F81955">
        <w:rPr>
          <w:noProof/>
        </w:rPr>
        <w:t xml:space="preserve">FTE can be covered </w:t>
      </w:r>
      <w:r w:rsidR="0097623C" w:rsidRPr="00F81955">
        <w:rPr>
          <w:noProof/>
        </w:rPr>
        <w:lastRenderedPageBreak/>
        <w:t>by internal redeployment</w:t>
      </w:r>
      <w:r w:rsidR="00B2477C" w:rsidRPr="00F81955">
        <w:rPr>
          <w:noProof/>
        </w:rPr>
        <w:t>.</w:t>
      </w:r>
      <w:r w:rsidR="000F6A06" w:rsidRPr="00F81955">
        <w:rPr>
          <w:noProof/>
        </w:rPr>
        <w:t xml:space="preserve"> These implications have to be </w:t>
      </w:r>
      <w:r w:rsidR="00E53DAC" w:rsidRPr="00F81955">
        <w:rPr>
          <w:noProof/>
        </w:rPr>
        <w:t xml:space="preserve">considered </w:t>
      </w:r>
      <w:r w:rsidR="000F6A06" w:rsidRPr="00F81955">
        <w:rPr>
          <w:noProof/>
        </w:rPr>
        <w:t xml:space="preserve">against </w:t>
      </w:r>
      <w:r w:rsidR="00E53DAC" w:rsidRPr="00F81955">
        <w:rPr>
          <w:noProof/>
        </w:rPr>
        <w:t xml:space="preserve">the backdrop of </w:t>
      </w:r>
      <w:r w:rsidR="000F6A06" w:rsidRPr="00F81955">
        <w:rPr>
          <w:noProof/>
        </w:rPr>
        <w:t xml:space="preserve">reduced </w:t>
      </w:r>
      <w:r w:rsidR="00A938CE" w:rsidRPr="00F81955">
        <w:rPr>
          <w:noProof/>
        </w:rPr>
        <w:t xml:space="preserve">budgetary implications for </w:t>
      </w:r>
      <w:r w:rsidR="00DC06DB" w:rsidRPr="00F81955">
        <w:rPr>
          <w:noProof/>
        </w:rPr>
        <w:t xml:space="preserve">the </w:t>
      </w:r>
      <w:r w:rsidR="00A938CE" w:rsidRPr="00F81955">
        <w:rPr>
          <w:noProof/>
        </w:rPr>
        <w:t xml:space="preserve">Member States </w:t>
      </w:r>
      <w:r w:rsidR="00DC06DB" w:rsidRPr="00F81955">
        <w:rPr>
          <w:noProof/>
        </w:rPr>
        <w:t xml:space="preserve">which </w:t>
      </w:r>
      <w:r w:rsidR="00A938CE" w:rsidRPr="00F81955">
        <w:rPr>
          <w:noProof/>
        </w:rPr>
        <w:t>no longer have to ensure the oversight for those certain AI system</w:t>
      </w:r>
      <w:r w:rsidR="000B7DD1" w:rsidRPr="00F81955">
        <w:rPr>
          <w:noProof/>
        </w:rPr>
        <w:t>s</w:t>
      </w:r>
      <w:r w:rsidR="00A938CE" w:rsidRPr="00F81955">
        <w:rPr>
          <w:noProof/>
        </w:rPr>
        <w:t xml:space="preserve">. </w:t>
      </w:r>
      <w:r w:rsidR="00A938CE" w:rsidRPr="00F81955">
        <w:rPr>
          <w:rFonts w:eastAsia="Arial Unicode MS"/>
          <w:noProof/>
        </w:rPr>
        <w:t>A detailed overview of the costs involved</w:t>
      </w:r>
      <w:r w:rsidR="00DC06DB" w:rsidRPr="00F81955">
        <w:rPr>
          <w:rFonts w:eastAsia="Arial Unicode MS"/>
          <w:noProof/>
        </w:rPr>
        <w:t xml:space="preserve"> in this transfer of competences</w:t>
      </w:r>
      <w:r w:rsidR="00A938CE" w:rsidRPr="00F81955">
        <w:rPr>
          <w:rFonts w:eastAsia="Arial Unicode MS"/>
          <w:noProof/>
        </w:rPr>
        <w:t xml:space="preserve"> is provided in the ‘</w:t>
      </w:r>
      <w:r w:rsidR="009D14A3" w:rsidRPr="00F81955">
        <w:rPr>
          <w:rFonts w:eastAsia="Arial Unicode MS"/>
          <w:noProof/>
        </w:rPr>
        <w:t xml:space="preserve">Legislative and Financial Digital </w:t>
      </w:r>
      <w:r>
        <w:rPr>
          <w:rFonts w:eastAsia="Arial Unicode MS"/>
          <w:noProof/>
        </w:rPr>
        <w:t>S</w:t>
      </w:r>
      <w:r w:rsidR="009D14A3" w:rsidRPr="00F81955">
        <w:rPr>
          <w:rFonts w:eastAsia="Arial Unicode MS"/>
          <w:noProof/>
        </w:rPr>
        <w:t>tatement</w:t>
      </w:r>
      <w:r w:rsidR="00A938CE" w:rsidRPr="00F81955">
        <w:rPr>
          <w:rFonts w:eastAsia="Arial Unicode MS"/>
          <w:noProof/>
        </w:rPr>
        <w:t xml:space="preserve">’ </w:t>
      </w:r>
      <w:r w:rsidR="00E53DAC" w:rsidRPr="00F81955">
        <w:rPr>
          <w:rFonts w:eastAsia="Arial Unicode MS"/>
          <w:noProof/>
        </w:rPr>
        <w:t xml:space="preserve">accompanying </w:t>
      </w:r>
      <w:r w:rsidR="00A938CE" w:rsidRPr="00F81955">
        <w:rPr>
          <w:rFonts w:eastAsia="Arial Unicode MS"/>
          <w:noProof/>
        </w:rPr>
        <w:t>this proposal.</w:t>
      </w:r>
    </w:p>
    <w:p w:rsidR="009C3EE2" w:rsidRPr="00F81955" w:rsidRDefault="009C3EE2" w:rsidP="0002735A">
      <w:pPr>
        <w:pStyle w:val="ManualHeading1"/>
        <w:rPr>
          <w:noProof/>
        </w:rPr>
      </w:pPr>
      <w:r w:rsidRPr="00F81955">
        <w:rPr>
          <w:noProof/>
        </w:rPr>
        <w:t>5.</w:t>
      </w:r>
      <w:r w:rsidRPr="00F81955">
        <w:rPr>
          <w:noProof/>
        </w:rPr>
        <w:tab/>
        <w:t>OTHER ELEMENTS</w:t>
      </w:r>
    </w:p>
    <w:p w:rsidR="009C3EE2" w:rsidRPr="00F81955" w:rsidRDefault="009C3EE2" w:rsidP="0002735A">
      <w:pPr>
        <w:pStyle w:val="ManualHeading2"/>
        <w:rPr>
          <w:rFonts w:eastAsia="Arial Unicode MS"/>
          <w:noProof/>
          <w:u w:color="000000"/>
          <w:bdr w:val="nil"/>
          <w:lang w:eastAsia="en-GB"/>
        </w:rPr>
      </w:pPr>
      <w:r w:rsidRPr="00F81955">
        <w:rPr>
          <w:rFonts w:eastAsia="Arial Unicode MS"/>
          <w:noProof/>
          <w:u w:color="000000"/>
          <w:bdr w:val="nil"/>
          <w:lang w:eastAsia="en-GB"/>
        </w:rPr>
        <w:t>•</w:t>
      </w:r>
      <w:r w:rsidRPr="00F81955">
        <w:rPr>
          <w:rFonts w:eastAsia="Arial Unicode MS"/>
          <w:noProof/>
          <w:u w:color="000000"/>
          <w:bdr w:val="nil"/>
          <w:lang w:eastAsia="en-GB"/>
        </w:rPr>
        <w:tab/>
        <w:t>Implementation plans and monitoring, evaluation and reporting arrangements</w:t>
      </w:r>
    </w:p>
    <w:p w:rsidR="009C3EE2" w:rsidRPr="00F81955" w:rsidRDefault="00F331F9" w:rsidP="0002735A">
      <w:pPr>
        <w:pBdr>
          <w:top w:val="nil"/>
          <w:left w:val="nil"/>
          <w:bottom w:val="nil"/>
          <w:right w:val="nil"/>
          <w:between w:val="nil"/>
          <w:bar w:val="nil"/>
        </w:pBdr>
        <w:spacing w:before="0" w:after="240"/>
        <w:rPr>
          <w:rFonts w:eastAsia="Arial Unicode MS"/>
          <w:noProof/>
        </w:rPr>
      </w:pPr>
      <w:r w:rsidRPr="00F81955">
        <w:rPr>
          <w:rFonts w:eastAsia="Arial Unicode MS"/>
          <w:noProof/>
        </w:rPr>
        <w:t>The Commission will monitor the implementation</w:t>
      </w:r>
      <w:r w:rsidR="00E53DAC" w:rsidRPr="00F81955">
        <w:rPr>
          <w:rFonts w:eastAsia="Arial Unicode MS"/>
          <w:noProof/>
        </w:rPr>
        <w:t>,</w:t>
      </w:r>
      <w:r w:rsidRPr="00F81955">
        <w:rPr>
          <w:rFonts w:eastAsia="Arial Unicode MS"/>
          <w:noProof/>
        </w:rPr>
        <w:t xml:space="preserve"> application</w:t>
      </w:r>
      <w:r w:rsidR="002E548C" w:rsidRPr="00F81955">
        <w:rPr>
          <w:rFonts w:eastAsia="Arial Unicode MS"/>
          <w:noProof/>
        </w:rPr>
        <w:t>,</w:t>
      </w:r>
      <w:r w:rsidRPr="00F81955">
        <w:rPr>
          <w:rFonts w:eastAsia="Arial Unicode MS"/>
          <w:noProof/>
        </w:rPr>
        <w:t xml:space="preserve"> and compliance with </w:t>
      </w:r>
      <w:r w:rsidR="002E548C" w:rsidRPr="00F81955">
        <w:rPr>
          <w:rFonts w:eastAsia="Arial Unicode MS"/>
          <w:noProof/>
        </w:rPr>
        <w:t>the new provisions</w:t>
      </w:r>
      <w:r w:rsidRPr="00F81955">
        <w:rPr>
          <w:rFonts w:eastAsia="Arial Unicode MS"/>
          <w:noProof/>
        </w:rPr>
        <w:t xml:space="preserve">. Furthermore, the Regulation </w:t>
      </w:r>
      <w:r w:rsidR="00B71129" w:rsidRPr="00F81955">
        <w:rPr>
          <w:rFonts w:eastAsia="Arial Unicode MS"/>
          <w:noProof/>
        </w:rPr>
        <w:t>that is</w:t>
      </w:r>
      <w:r w:rsidRPr="00F81955">
        <w:rPr>
          <w:rFonts w:eastAsia="Arial Unicode MS"/>
          <w:noProof/>
        </w:rPr>
        <w:t xml:space="preserve"> amended by this proposal is regular</w:t>
      </w:r>
      <w:r w:rsidR="00B71129" w:rsidRPr="00F81955">
        <w:rPr>
          <w:rFonts w:eastAsia="Arial Unicode MS"/>
          <w:noProof/>
        </w:rPr>
        <w:t>ly</w:t>
      </w:r>
      <w:r w:rsidRPr="00F81955">
        <w:rPr>
          <w:rFonts w:eastAsia="Arial Unicode MS"/>
          <w:noProof/>
        </w:rPr>
        <w:t xml:space="preserve"> evaluat</w:t>
      </w:r>
      <w:r w:rsidR="00B71129" w:rsidRPr="00F81955">
        <w:rPr>
          <w:rFonts w:eastAsia="Arial Unicode MS"/>
          <w:noProof/>
        </w:rPr>
        <w:t>ed</w:t>
      </w:r>
      <w:r w:rsidRPr="00F81955">
        <w:rPr>
          <w:rFonts w:eastAsia="Arial Unicode MS"/>
          <w:noProof/>
        </w:rPr>
        <w:t xml:space="preserve"> </w:t>
      </w:r>
      <w:r w:rsidR="00B71129" w:rsidRPr="00F81955">
        <w:rPr>
          <w:rFonts w:eastAsia="Arial Unicode MS"/>
          <w:noProof/>
        </w:rPr>
        <w:t xml:space="preserve">for </w:t>
      </w:r>
      <w:r w:rsidRPr="00F81955">
        <w:rPr>
          <w:rFonts w:eastAsia="Arial Unicode MS"/>
          <w:noProof/>
        </w:rPr>
        <w:t xml:space="preserve">its efficiency, effectiveness in reaching </w:t>
      </w:r>
      <w:r w:rsidR="00B71129" w:rsidRPr="00F81955">
        <w:rPr>
          <w:rFonts w:eastAsia="Arial Unicode MS"/>
          <w:noProof/>
        </w:rPr>
        <w:t>it</w:t>
      </w:r>
      <w:r w:rsidR="00E7392E" w:rsidRPr="00F81955">
        <w:rPr>
          <w:rFonts w:eastAsia="Arial Unicode MS"/>
          <w:noProof/>
        </w:rPr>
        <w:t>s</w:t>
      </w:r>
      <w:r w:rsidR="00B71129" w:rsidRPr="00F81955">
        <w:rPr>
          <w:rFonts w:eastAsia="Arial Unicode MS"/>
          <w:noProof/>
        </w:rPr>
        <w:t xml:space="preserve"> </w:t>
      </w:r>
      <w:r w:rsidRPr="00F81955">
        <w:rPr>
          <w:rFonts w:eastAsia="Arial Unicode MS"/>
          <w:noProof/>
        </w:rPr>
        <w:t xml:space="preserve">objectives, relevance, coherence and value added in </w:t>
      </w:r>
      <w:r w:rsidR="00B71129" w:rsidRPr="00F81955">
        <w:rPr>
          <w:rFonts w:eastAsia="Arial Unicode MS"/>
          <w:noProof/>
        </w:rPr>
        <w:t xml:space="preserve">line </w:t>
      </w:r>
      <w:r w:rsidRPr="00F81955">
        <w:rPr>
          <w:rFonts w:eastAsia="Arial Unicode MS"/>
          <w:noProof/>
        </w:rPr>
        <w:t xml:space="preserve">with </w:t>
      </w:r>
      <w:r w:rsidR="00B71129" w:rsidRPr="00F81955">
        <w:rPr>
          <w:rFonts w:eastAsia="Arial Unicode MS"/>
          <w:noProof/>
        </w:rPr>
        <w:t xml:space="preserve">the EU’s </w:t>
      </w:r>
      <w:r w:rsidRPr="00F81955">
        <w:rPr>
          <w:rFonts w:eastAsia="Arial Unicode MS"/>
          <w:noProof/>
        </w:rPr>
        <w:t>better regulation principles. This proposal does not require an implementation plan.</w:t>
      </w:r>
    </w:p>
    <w:p w:rsidR="009C3EE2" w:rsidRPr="00F81955" w:rsidRDefault="009C3EE2" w:rsidP="0002735A">
      <w:pPr>
        <w:pStyle w:val="ManualHeading2"/>
        <w:rPr>
          <w:rFonts w:eastAsia="Arial Unicode MS"/>
          <w:noProof/>
          <w:u w:color="000000"/>
          <w:bdr w:val="nil"/>
          <w:lang w:eastAsia="en-GB"/>
        </w:rPr>
      </w:pPr>
      <w:r w:rsidRPr="00F81955">
        <w:rPr>
          <w:rFonts w:eastAsia="Arial Unicode MS"/>
          <w:noProof/>
          <w:u w:color="000000"/>
          <w:bdr w:val="nil"/>
          <w:lang w:eastAsia="en-GB"/>
        </w:rPr>
        <w:t>•</w:t>
      </w:r>
      <w:r w:rsidRPr="00F81955">
        <w:rPr>
          <w:rFonts w:eastAsia="Arial Unicode MS"/>
          <w:noProof/>
          <w:u w:color="000000"/>
          <w:bdr w:val="nil"/>
          <w:lang w:eastAsia="en-GB"/>
        </w:rPr>
        <w:tab/>
        <w:t>Explanatory documents (for directives)</w:t>
      </w:r>
    </w:p>
    <w:p w:rsidR="009C3EE2" w:rsidRPr="00F81955" w:rsidRDefault="008E685E" w:rsidP="00950BAC">
      <w:pPr>
        <w:pBdr>
          <w:top w:val="nil"/>
          <w:left w:val="nil"/>
          <w:bottom w:val="nil"/>
          <w:right w:val="nil"/>
          <w:between w:val="nil"/>
          <w:bar w:val="nil"/>
        </w:pBdr>
        <w:spacing w:before="0" w:after="240"/>
        <w:rPr>
          <w:rFonts w:eastAsia="Arial Unicode MS"/>
          <w:noProof/>
        </w:rPr>
      </w:pPr>
      <w:r w:rsidRPr="00F81955">
        <w:rPr>
          <w:noProof/>
        </w:rPr>
        <w:t xml:space="preserve">Not applicable. </w:t>
      </w:r>
    </w:p>
    <w:p w:rsidR="009C3EE2" w:rsidRPr="00F81955" w:rsidRDefault="009C3EE2" w:rsidP="0002735A">
      <w:pPr>
        <w:pStyle w:val="ManualHeading2"/>
        <w:rPr>
          <w:rFonts w:eastAsia="Arial Unicode MS"/>
          <w:noProof/>
          <w:u w:color="000000"/>
          <w:bdr w:val="nil"/>
          <w:lang w:eastAsia="en-GB"/>
        </w:rPr>
      </w:pPr>
      <w:r w:rsidRPr="00F81955">
        <w:rPr>
          <w:rFonts w:eastAsia="Arial Unicode MS"/>
          <w:noProof/>
          <w:u w:color="000000"/>
          <w:bdr w:val="nil"/>
          <w:lang w:eastAsia="en-GB"/>
        </w:rPr>
        <w:t>•</w:t>
      </w:r>
      <w:r w:rsidRPr="00F81955">
        <w:rPr>
          <w:rFonts w:eastAsia="Arial Unicode MS"/>
          <w:noProof/>
          <w:u w:color="000000"/>
          <w:bdr w:val="nil"/>
          <w:lang w:eastAsia="en-GB"/>
        </w:rPr>
        <w:tab/>
        <w:t>Detailed explanation of the specific provisions of the proposal</w:t>
      </w:r>
    </w:p>
    <w:p w:rsidR="00266DA1" w:rsidRPr="00F81955" w:rsidRDefault="009C3EE2" w:rsidP="0002735A">
      <w:pPr>
        <w:pBdr>
          <w:top w:val="nil"/>
          <w:left w:val="nil"/>
          <w:bottom w:val="nil"/>
          <w:right w:val="nil"/>
          <w:between w:val="nil"/>
          <w:bar w:val="nil"/>
        </w:pBdr>
        <w:spacing w:before="0" w:after="240"/>
        <w:rPr>
          <w:noProof/>
        </w:rPr>
      </w:pPr>
      <w:r>
        <w:rPr>
          <w:noProof/>
          <w:lang w:val="fr-FR"/>
        </w:rPr>
        <w:t xml:space="preserve">Article 1 </w:t>
      </w:r>
      <w:r w:rsidR="00DC06DB">
        <w:rPr>
          <w:noProof/>
          <w:lang w:val="fr-FR"/>
        </w:rPr>
        <w:t>amends</w:t>
      </w:r>
      <w:r>
        <w:rPr>
          <w:noProof/>
          <w:lang w:val="fr-FR"/>
        </w:rPr>
        <w:t xml:space="preserve"> </w:t>
      </w:r>
      <w:r>
        <w:rPr>
          <w:rFonts w:eastAsia="Arial Unicode MS"/>
          <w:noProof/>
          <w:lang w:val="fr-FR"/>
        </w:rPr>
        <w:t>Regulation (EU) 2024/1689</w:t>
      </w:r>
      <w:r>
        <w:rPr>
          <w:rFonts w:eastAsia="Arial Unicode MS"/>
          <w:b/>
          <w:bCs/>
          <w:noProof/>
          <w:lang w:val="fr-FR"/>
        </w:rPr>
        <w:t xml:space="preserve"> </w:t>
      </w:r>
      <w:r>
        <w:rPr>
          <w:rFonts w:eastAsia="Arial Unicode MS"/>
          <w:noProof/>
          <w:lang w:val="fr-FR"/>
        </w:rPr>
        <w:t>(</w:t>
      </w:r>
      <w:r w:rsidR="000B7DD1">
        <w:rPr>
          <w:noProof/>
          <w:lang w:val="fr-FR"/>
        </w:rPr>
        <w:t>‘AI</w:t>
      </w:r>
      <w:r>
        <w:rPr>
          <w:noProof/>
          <w:lang w:val="fr-FR"/>
        </w:rPr>
        <w:t xml:space="preserve"> Act</w:t>
      </w:r>
      <w:r w:rsidR="000B7DD1">
        <w:rPr>
          <w:noProof/>
          <w:lang w:val="fr-FR"/>
        </w:rPr>
        <w:t>’</w:t>
      </w:r>
      <w:r>
        <w:rPr>
          <w:noProof/>
          <w:lang w:val="fr-FR"/>
        </w:rPr>
        <w:t xml:space="preserve">). </w:t>
      </w:r>
      <w:r w:rsidRPr="00F81955">
        <w:rPr>
          <w:noProof/>
        </w:rPr>
        <w:t xml:space="preserve">In particular, </w:t>
      </w:r>
    </w:p>
    <w:p w:rsidR="00082DF0" w:rsidRPr="00F81955" w:rsidRDefault="005E4315" w:rsidP="00594141">
      <w:pPr>
        <w:pStyle w:val="Bullet0"/>
        <w:numPr>
          <w:ilvl w:val="0"/>
          <w:numId w:val="20"/>
        </w:numPr>
        <w:rPr>
          <w:rFonts w:eastAsia="Arial Unicode MS"/>
          <w:noProof/>
        </w:rPr>
      </w:pPr>
      <w:r w:rsidRPr="00F81955">
        <w:rPr>
          <w:noProof/>
        </w:rPr>
        <w:t xml:space="preserve">Paragraph 1 </w:t>
      </w:r>
      <w:r w:rsidR="00A32CCE" w:rsidRPr="00F81955">
        <w:rPr>
          <w:noProof/>
        </w:rPr>
        <w:t>adds a reference to SMCs in the subject matter of the AI Act.</w:t>
      </w:r>
    </w:p>
    <w:p w:rsidR="00C51556" w:rsidRPr="00F81955" w:rsidRDefault="00082DF0" w:rsidP="00594141">
      <w:pPr>
        <w:pStyle w:val="Bullet0"/>
        <w:numPr>
          <w:ilvl w:val="0"/>
          <w:numId w:val="20"/>
        </w:numPr>
        <w:rPr>
          <w:rFonts w:eastAsia="Arial Unicode MS"/>
          <w:noProof/>
        </w:rPr>
      </w:pPr>
      <w:r w:rsidRPr="00F81955">
        <w:rPr>
          <w:noProof/>
        </w:rPr>
        <w:t xml:space="preserve">Paragraph 2 </w:t>
      </w:r>
      <w:r w:rsidR="00C76BEA" w:rsidRPr="00F81955">
        <w:rPr>
          <w:noProof/>
        </w:rPr>
        <w:t xml:space="preserve">is </w:t>
      </w:r>
      <w:r w:rsidR="002955D1" w:rsidRPr="00F81955">
        <w:rPr>
          <w:noProof/>
        </w:rPr>
        <w:t xml:space="preserve">a technical change that is </w:t>
      </w:r>
      <w:r w:rsidR="00C76BEA" w:rsidRPr="00F81955">
        <w:rPr>
          <w:noProof/>
        </w:rPr>
        <w:t xml:space="preserve">necessary to </w:t>
      </w:r>
      <w:r w:rsidR="002955D1" w:rsidRPr="00F81955">
        <w:rPr>
          <w:noProof/>
        </w:rPr>
        <w:t>enable extending</w:t>
      </w:r>
      <w:r w:rsidR="005E4315" w:rsidRPr="00F81955">
        <w:rPr>
          <w:noProof/>
        </w:rPr>
        <w:t xml:space="preserve"> the real-world testing to high-risk AI systems embedded in products covered under Section B of Annex I</w:t>
      </w:r>
      <w:r w:rsidR="00DC06DB" w:rsidRPr="00F81955">
        <w:rPr>
          <w:noProof/>
        </w:rPr>
        <w:t xml:space="preserve"> AI Act</w:t>
      </w:r>
      <w:r w:rsidR="005E4315" w:rsidRPr="00F81955">
        <w:rPr>
          <w:noProof/>
        </w:rPr>
        <w:t>.</w:t>
      </w:r>
    </w:p>
    <w:p w:rsidR="005E4315" w:rsidRPr="00F81955" w:rsidRDefault="00115A9B" w:rsidP="003833D4">
      <w:pPr>
        <w:pStyle w:val="Bullet0"/>
        <w:rPr>
          <w:rFonts w:eastAsia="Arial Unicode MS"/>
          <w:noProof/>
        </w:rPr>
      </w:pPr>
      <w:r w:rsidRPr="00F81955">
        <w:rPr>
          <w:noProof/>
        </w:rPr>
        <w:t xml:space="preserve">Paragraph </w:t>
      </w:r>
      <w:r w:rsidR="00A32CCE" w:rsidRPr="00F81955">
        <w:rPr>
          <w:noProof/>
        </w:rPr>
        <w:t xml:space="preserve">3 </w:t>
      </w:r>
      <w:r w:rsidRPr="00F81955">
        <w:rPr>
          <w:noProof/>
        </w:rPr>
        <w:t xml:space="preserve">adds legal definitions </w:t>
      </w:r>
      <w:r w:rsidR="00B43649" w:rsidRPr="00F81955">
        <w:rPr>
          <w:noProof/>
        </w:rPr>
        <w:t xml:space="preserve">for </w:t>
      </w:r>
      <w:r w:rsidRPr="00F81955">
        <w:rPr>
          <w:noProof/>
        </w:rPr>
        <w:t>SME and SMC</w:t>
      </w:r>
      <w:r w:rsidR="0023379F" w:rsidRPr="00F81955">
        <w:rPr>
          <w:noProof/>
        </w:rPr>
        <w:t xml:space="preserve"> to the definitions in Article 3 of the AI Act</w:t>
      </w:r>
      <w:r w:rsidRPr="00F81955">
        <w:rPr>
          <w:noProof/>
        </w:rPr>
        <w:t>.</w:t>
      </w:r>
    </w:p>
    <w:p w:rsidR="00205C66" w:rsidRPr="00F81955" w:rsidRDefault="00205C66" w:rsidP="003833D4">
      <w:pPr>
        <w:pStyle w:val="Bullet0"/>
        <w:rPr>
          <w:rFonts w:eastAsia="Arial Unicode MS"/>
          <w:noProof/>
        </w:rPr>
      </w:pPr>
      <w:r w:rsidRPr="00F81955">
        <w:rPr>
          <w:noProof/>
        </w:rPr>
        <w:t xml:space="preserve">Paragraph </w:t>
      </w:r>
      <w:r w:rsidR="00A32CCE" w:rsidRPr="00F81955">
        <w:rPr>
          <w:noProof/>
        </w:rPr>
        <w:t xml:space="preserve">4 </w:t>
      </w:r>
      <w:r w:rsidR="0020723A" w:rsidRPr="00F81955">
        <w:rPr>
          <w:noProof/>
        </w:rPr>
        <w:t>transforms</w:t>
      </w:r>
      <w:r w:rsidRPr="00F81955">
        <w:rPr>
          <w:noProof/>
        </w:rPr>
        <w:t xml:space="preserve"> the obligation for providers and deployers of AI systems with regards to AI literacy </w:t>
      </w:r>
      <w:r w:rsidR="008921C9" w:rsidRPr="00F81955">
        <w:rPr>
          <w:noProof/>
        </w:rPr>
        <w:t xml:space="preserve">in Article 4 AI Act </w:t>
      </w:r>
      <w:r w:rsidRPr="00F81955">
        <w:rPr>
          <w:noProof/>
        </w:rPr>
        <w:t xml:space="preserve">to an obligation </w:t>
      </w:r>
      <w:r w:rsidR="008921C9" w:rsidRPr="00F81955">
        <w:rPr>
          <w:noProof/>
        </w:rPr>
        <w:t xml:space="preserve">on </w:t>
      </w:r>
      <w:r w:rsidRPr="00F81955">
        <w:rPr>
          <w:noProof/>
        </w:rPr>
        <w:t xml:space="preserve">the Commission and </w:t>
      </w:r>
      <w:r w:rsidR="008921C9" w:rsidRPr="00F81955">
        <w:rPr>
          <w:noProof/>
        </w:rPr>
        <w:t xml:space="preserve">the </w:t>
      </w:r>
      <w:r w:rsidRPr="00F81955">
        <w:rPr>
          <w:noProof/>
        </w:rPr>
        <w:t>Member States</w:t>
      </w:r>
      <w:r w:rsidR="008921C9" w:rsidRPr="00F81955">
        <w:rPr>
          <w:noProof/>
        </w:rPr>
        <w:t xml:space="preserve"> to foster AI literacy</w:t>
      </w:r>
      <w:r w:rsidRPr="00F81955">
        <w:rPr>
          <w:noProof/>
        </w:rPr>
        <w:t>.</w:t>
      </w:r>
    </w:p>
    <w:p w:rsidR="007F4025" w:rsidRPr="00F81955" w:rsidRDefault="005C14D5" w:rsidP="003833D4">
      <w:pPr>
        <w:pStyle w:val="Bullet0"/>
        <w:rPr>
          <w:rFonts w:eastAsia="Arial Unicode MS"/>
          <w:noProof/>
        </w:rPr>
      </w:pPr>
      <w:r w:rsidRPr="00F81955">
        <w:rPr>
          <w:noProof/>
        </w:rPr>
        <w:t xml:space="preserve">Paragraph </w:t>
      </w:r>
      <w:r w:rsidR="00A32CCE" w:rsidRPr="00F81955">
        <w:rPr>
          <w:noProof/>
        </w:rPr>
        <w:t xml:space="preserve">5 </w:t>
      </w:r>
      <w:r w:rsidRPr="00F81955">
        <w:rPr>
          <w:noProof/>
        </w:rPr>
        <w:t>introduces a new Article 4a, replacing Article 10(5)</w:t>
      </w:r>
      <w:r w:rsidR="008921C9" w:rsidRPr="00F81955">
        <w:rPr>
          <w:noProof/>
        </w:rPr>
        <w:t xml:space="preserve"> AI Act,</w:t>
      </w:r>
      <w:r w:rsidRPr="00F81955">
        <w:rPr>
          <w:noProof/>
        </w:rPr>
        <w:t xml:space="preserve"> </w:t>
      </w:r>
      <w:r w:rsidR="008921C9" w:rsidRPr="00F81955">
        <w:rPr>
          <w:noProof/>
        </w:rPr>
        <w:t>which provides</w:t>
      </w:r>
      <w:r w:rsidRPr="00F81955">
        <w:rPr>
          <w:noProof/>
        </w:rPr>
        <w:t xml:space="preserve"> a legal basis for providers and deployers of </w:t>
      </w:r>
      <w:r w:rsidR="0020723A" w:rsidRPr="00F81955">
        <w:rPr>
          <w:noProof/>
        </w:rPr>
        <w:t>AI</w:t>
      </w:r>
      <w:r w:rsidRPr="00F81955">
        <w:rPr>
          <w:noProof/>
        </w:rPr>
        <w:t xml:space="preserve"> systems</w:t>
      </w:r>
      <w:r w:rsidR="0020723A" w:rsidRPr="00F81955">
        <w:rPr>
          <w:noProof/>
        </w:rPr>
        <w:t xml:space="preserve"> and AI models</w:t>
      </w:r>
      <w:r w:rsidRPr="00F81955">
        <w:rPr>
          <w:noProof/>
        </w:rPr>
        <w:t xml:space="preserve"> to exceptionally process special categories of personal data for the purpose of ensuring bias detection and </w:t>
      </w:r>
      <w:r w:rsidR="169D5E9E" w:rsidRPr="00F81955">
        <w:rPr>
          <w:noProof/>
        </w:rPr>
        <w:t xml:space="preserve">correction </w:t>
      </w:r>
      <w:r w:rsidRPr="00F81955">
        <w:rPr>
          <w:noProof/>
        </w:rPr>
        <w:t>under certain conditions.</w:t>
      </w:r>
    </w:p>
    <w:p w:rsidR="00581214" w:rsidRPr="00F81955" w:rsidRDefault="007F1D6F" w:rsidP="003833D4">
      <w:pPr>
        <w:pStyle w:val="Bullet0"/>
        <w:rPr>
          <w:rFonts w:eastAsia="Arial Unicode MS"/>
          <w:noProof/>
        </w:rPr>
      </w:pPr>
      <w:r w:rsidRPr="00F81955">
        <w:rPr>
          <w:noProof/>
        </w:rPr>
        <w:t xml:space="preserve">Paragraphs </w:t>
      </w:r>
      <w:r w:rsidR="00A32CCE" w:rsidRPr="00F81955">
        <w:rPr>
          <w:noProof/>
        </w:rPr>
        <w:t>6</w:t>
      </w:r>
      <w:r w:rsidR="0010714D" w:rsidRPr="00F81955">
        <w:rPr>
          <w:noProof/>
        </w:rPr>
        <w:t xml:space="preserve">, </w:t>
      </w:r>
      <w:r w:rsidRPr="00F81955">
        <w:rPr>
          <w:noProof/>
        </w:rPr>
        <w:t>1</w:t>
      </w:r>
      <w:r w:rsidR="00D74100" w:rsidRPr="00F81955">
        <w:rPr>
          <w:noProof/>
        </w:rPr>
        <w:t>4</w:t>
      </w:r>
      <w:r w:rsidRPr="00F81955">
        <w:rPr>
          <w:noProof/>
        </w:rPr>
        <w:t xml:space="preserve"> </w:t>
      </w:r>
      <w:r w:rsidR="0010714D" w:rsidRPr="00F81955">
        <w:rPr>
          <w:noProof/>
        </w:rPr>
        <w:t xml:space="preserve">and </w:t>
      </w:r>
      <w:r w:rsidR="00650EAE" w:rsidRPr="00F81955">
        <w:rPr>
          <w:noProof/>
        </w:rPr>
        <w:t xml:space="preserve">32 </w:t>
      </w:r>
      <w:r w:rsidRPr="00F81955">
        <w:rPr>
          <w:noProof/>
        </w:rPr>
        <w:t>refer to the deletion of the obligation for providers to register AI systems in the EU database for high-risk systems under Annex III</w:t>
      </w:r>
      <w:r w:rsidR="00BD158B" w:rsidRPr="00F81955">
        <w:rPr>
          <w:noProof/>
        </w:rPr>
        <w:t>,</w:t>
      </w:r>
      <w:r w:rsidRPr="00F81955">
        <w:rPr>
          <w:noProof/>
        </w:rPr>
        <w:t xml:space="preserve"> </w:t>
      </w:r>
      <w:r w:rsidR="0020723A" w:rsidRPr="00F81955">
        <w:rPr>
          <w:noProof/>
        </w:rPr>
        <w:t xml:space="preserve">where they have been exempted from </w:t>
      </w:r>
      <w:r w:rsidR="008921C9" w:rsidRPr="00F81955">
        <w:rPr>
          <w:noProof/>
        </w:rPr>
        <w:t xml:space="preserve">classification </w:t>
      </w:r>
      <w:r w:rsidR="000E6756" w:rsidRPr="00F81955">
        <w:rPr>
          <w:noProof/>
        </w:rPr>
        <w:t>as high-risk</w:t>
      </w:r>
      <w:r w:rsidR="1CA0A851" w:rsidRPr="00F81955">
        <w:rPr>
          <w:noProof/>
        </w:rPr>
        <w:t xml:space="preserve"> </w:t>
      </w:r>
      <w:r w:rsidR="34A7C4ED" w:rsidRPr="00F81955">
        <w:rPr>
          <w:noProof/>
        </w:rPr>
        <w:t>under Article 6(3)</w:t>
      </w:r>
      <w:r w:rsidR="008921C9" w:rsidRPr="00F81955">
        <w:rPr>
          <w:noProof/>
        </w:rPr>
        <w:t xml:space="preserve"> AI Act</w:t>
      </w:r>
      <w:r w:rsidR="34A7C4ED" w:rsidRPr="00F81955">
        <w:rPr>
          <w:noProof/>
        </w:rPr>
        <w:t xml:space="preserve">, </w:t>
      </w:r>
      <w:r w:rsidR="1CA0A851" w:rsidRPr="00F81955">
        <w:rPr>
          <w:noProof/>
        </w:rPr>
        <w:t>because they are for instance only used for preparatory tasks</w:t>
      </w:r>
      <w:r w:rsidRPr="00F81955">
        <w:rPr>
          <w:noProof/>
        </w:rPr>
        <w:t xml:space="preserve">. </w:t>
      </w:r>
    </w:p>
    <w:p w:rsidR="007F1D6F" w:rsidRPr="00F81955" w:rsidRDefault="00581214" w:rsidP="003833D4">
      <w:pPr>
        <w:pStyle w:val="Bullet0"/>
        <w:rPr>
          <w:rFonts w:eastAsia="Arial Unicode MS"/>
          <w:noProof/>
        </w:rPr>
      </w:pPr>
      <w:r w:rsidRPr="00F81955">
        <w:rPr>
          <w:noProof/>
        </w:rPr>
        <w:t xml:space="preserve">Paragraph </w:t>
      </w:r>
      <w:r w:rsidR="00A32CCE" w:rsidRPr="00F81955">
        <w:rPr>
          <w:noProof/>
        </w:rPr>
        <w:t xml:space="preserve">7 </w:t>
      </w:r>
      <w:r w:rsidRPr="00F81955">
        <w:rPr>
          <w:noProof/>
        </w:rPr>
        <w:t>contain</w:t>
      </w:r>
      <w:r w:rsidR="00D74100" w:rsidRPr="00F81955">
        <w:rPr>
          <w:noProof/>
        </w:rPr>
        <w:t>s</w:t>
      </w:r>
      <w:r w:rsidRPr="00F81955">
        <w:rPr>
          <w:noProof/>
        </w:rPr>
        <w:t xml:space="preserve"> editorial follow</w:t>
      </w:r>
      <w:r w:rsidR="002955D1" w:rsidRPr="00F81955">
        <w:rPr>
          <w:noProof/>
        </w:rPr>
        <w:t>-</w:t>
      </w:r>
      <w:r w:rsidRPr="00F81955">
        <w:rPr>
          <w:noProof/>
        </w:rPr>
        <w:t xml:space="preserve">up changes to </w:t>
      </w:r>
      <w:r w:rsidR="008921C9" w:rsidRPr="00F81955">
        <w:rPr>
          <w:noProof/>
        </w:rPr>
        <w:t xml:space="preserve">amendments </w:t>
      </w:r>
      <w:r w:rsidRPr="00F81955">
        <w:rPr>
          <w:noProof/>
        </w:rPr>
        <w:t xml:space="preserve">made </w:t>
      </w:r>
      <w:r w:rsidR="008921C9" w:rsidRPr="00F81955">
        <w:rPr>
          <w:noProof/>
        </w:rPr>
        <w:t xml:space="preserve">by </w:t>
      </w:r>
      <w:r w:rsidRPr="00F81955">
        <w:rPr>
          <w:noProof/>
        </w:rPr>
        <w:t>paragraph 4.</w:t>
      </w:r>
    </w:p>
    <w:p w:rsidR="005D5193" w:rsidRPr="00F81955" w:rsidRDefault="005547A4" w:rsidP="003833D4">
      <w:pPr>
        <w:pStyle w:val="Bullet0"/>
        <w:rPr>
          <w:rFonts w:eastAsia="Arial Unicode MS"/>
          <w:noProof/>
        </w:rPr>
      </w:pPr>
      <w:r w:rsidRPr="00F81955">
        <w:rPr>
          <w:noProof/>
        </w:rPr>
        <w:t xml:space="preserve">Paragraphs </w:t>
      </w:r>
      <w:r w:rsidR="00A32CCE" w:rsidRPr="00F81955">
        <w:rPr>
          <w:noProof/>
        </w:rPr>
        <w:t xml:space="preserve">8 </w:t>
      </w:r>
      <w:r w:rsidRPr="00F81955">
        <w:rPr>
          <w:noProof/>
        </w:rPr>
        <w:t xml:space="preserve">and </w:t>
      </w:r>
      <w:r w:rsidR="00A32CCE" w:rsidRPr="00F81955">
        <w:rPr>
          <w:noProof/>
        </w:rPr>
        <w:t xml:space="preserve">9 </w:t>
      </w:r>
      <w:r w:rsidRPr="00F81955">
        <w:rPr>
          <w:noProof/>
        </w:rPr>
        <w:t>extend existing regulatory privileges</w:t>
      </w:r>
      <w:r w:rsidR="008921C9" w:rsidRPr="00F81955">
        <w:rPr>
          <w:noProof/>
        </w:rPr>
        <w:t xml:space="preserve"> of the AI Act</w:t>
      </w:r>
      <w:r w:rsidRPr="00F81955">
        <w:rPr>
          <w:noProof/>
        </w:rPr>
        <w:t xml:space="preserve"> for SME</w:t>
      </w:r>
      <w:r w:rsidR="00264CDB" w:rsidRPr="00F81955">
        <w:rPr>
          <w:noProof/>
        </w:rPr>
        <w:t>s</w:t>
      </w:r>
      <w:r w:rsidRPr="00F81955">
        <w:rPr>
          <w:noProof/>
        </w:rPr>
        <w:t xml:space="preserve"> to SMC</w:t>
      </w:r>
      <w:r w:rsidR="00264CDB" w:rsidRPr="00F81955">
        <w:rPr>
          <w:noProof/>
        </w:rPr>
        <w:t>s</w:t>
      </w:r>
      <w:r w:rsidRPr="00F81955">
        <w:rPr>
          <w:noProof/>
        </w:rPr>
        <w:t xml:space="preserve"> on technical documentation and putting in place a quality management system</w:t>
      </w:r>
      <w:r w:rsidR="008B0C5B" w:rsidRPr="00F81955">
        <w:rPr>
          <w:noProof/>
        </w:rPr>
        <w:t xml:space="preserve"> that takes into account their size</w:t>
      </w:r>
      <w:r w:rsidRPr="00F81955">
        <w:rPr>
          <w:noProof/>
        </w:rPr>
        <w:t>.</w:t>
      </w:r>
    </w:p>
    <w:p w:rsidR="005D5193" w:rsidRPr="00F81955" w:rsidRDefault="005D5193" w:rsidP="003833D4">
      <w:pPr>
        <w:pStyle w:val="Bullet0"/>
        <w:rPr>
          <w:rFonts w:eastAsia="Arial Unicode MS"/>
          <w:noProof/>
        </w:rPr>
      </w:pPr>
      <w:r w:rsidRPr="00F81955">
        <w:rPr>
          <w:noProof/>
        </w:rPr>
        <w:t>Paragraph</w:t>
      </w:r>
      <w:r w:rsidR="00D74100" w:rsidRPr="00F81955">
        <w:rPr>
          <w:noProof/>
        </w:rPr>
        <w:t xml:space="preserve"> </w:t>
      </w:r>
      <w:r w:rsidR="00A32CCE" w:rsidRPr="00F81955">
        <w:rPr>
          <w:noProof/>
        </w:rPr>
        <w:t xml:space="preserve">10 </w:t>
      </w:r>
      <w:r w:rsidRPr="00F81955">
        <w:rPr>
          <w:noProof/>
        </w:rPr>
        <w:t xml:space="preserve">introduces a new </w:t>
      </w:r>
      <w:r w:rsidR="00D74100" w:rsidRPr="00F81955">
        <w:rPr>
          <w:noProof/>
        </w:rPr>
        <w:t>procedure in</w:t>
      </w:r>
      <w:r w:rsidR="001E146B" w:rsidRPr="00F81955">
        <w:rPr>
          <w:noProof/>
        </w:rPr>
        <w:t xml:space="preserve"> Article 28 AI Act</w:t>
      </w:r>
      <w:r w:rsidR="00D74100" w:rsidRPr="00F81955">
        <w:rPr>
          <w:noProof/>
        </w:rPr>
        <w:t>, whereby</w:t>
      </w:r>
      <w:r w:rsidRPr="00F81955">
        <w:rPr>
          <w:noProof/>
        </w:rPr>
        <w:t xml:space="preserve"> Member States </w:t>
      </w:r>
      <w:r w:rsidR="00D74100" w:rsidRPr="00F81955">
        <w:rPr>
          <w:noProof/>
        </w:rPr>
        <w:t xml:space="preserve">are required </w:t>
      </w:r>
      <w:r w:rsidRPr="00F81955">
        <w:rPr>
          <w:noProof/>
        </w:rPr>
        <w:t xml:space="preserve">to ensure that a conformity assessment body that applies for designation both under this Regulation and Union harmonization legislation listed in Section A of Annex I </w:t>
      </w:r>
      <w:r w:rsidR="001E146B" w:rsidRPr="00F81955">
        <w:rPr>
          <w:noProof/>
        </w:rPr>
        <w:t xml:space="preserve">AI Act </w:t>
      </w:r>
      <w:r w:rsidRPr="00F81955">
        <w:rPr>
          <w:noProof/>
        </w:rPr>
        <w:t>shall be provided with the possibility to submit a single application and undergo a single assessment procedure to be designated.</w:t>
      </w:r>
    </w:p>
    <w:p w:rsidR="00CC1269" w:rsidRPr="00F81955" w:rsidRDefault="00CD0B35" w:rsidP="003833D4">
      <w:pPr>
        <w:pStyle w:val="Bullet0"/>
        <w:rPr>
          <w:noProof/>
        </w:rPr>
      </w:pPr>
      <w:r w:rsidRPr="00F81955">
        <w:rPr>
          <w:noProof/>
        </w:rPr>
        <w:t xml:space="preserve">Paragraph </w:t>
      </w:r>
      <w:r w:rsidR="00A32CCE" w:rsidRPr="00F81955">
        <w:rPr>
          <w:noProof/>
        </w:rPr>
        <w:t xml:space="preserve">11 </w:t>
      </w:r>
      <w:r w:rsidR="001E146B" w:rsidRPr="00F81955">
        <w:rPr>
          <w:noProof/>
        </w:rPr>
        <w:t xml:space="preserve">proposes to replace paragraph 4 of Article 29 AI Act </w:t>
      </w:r>
      <w:r w:rsidR="00D70766" w:rsidRPr="00F81955">
        <w:rPr>
          <w:noProof/>
        </w:rPr>
        <w:t>which</w:t>
      </w:r>
      <w:r w:rsidRPr="00F81955">
        <w:rPr>
          <w:noProof/>
        </w:rPr>
        <w:t xml:space="preserve"> requires conformity assessment bodies to submit a single application in the cases </w:t>
      </w:r>
      <w:r w:rsidR="00D70766" w:rsidRPr="00F81955">
        <w:rPr>
          <w:noProof/>
        </w:rPr>
        <w:t>to which reference is made in that paragraph</w:t>
      </w:r>
      <w:r w:rsidRPr="00F81955">
        <w:rPr>
          <w:noProof/>
        </w:rPr>
        <w:t>.</w:t>
      </w:r>
    </w:p>
    <w:p w:rsidR="00720A24" w:rsidRPr="00F81955" w:rsidRDefault="00720A24" w:rsidP="003833D4">
      <w:pPr>
        <w:pStyle w:val="Bullet0"/>
        <w:rPr>
          <w:rFonts w:eastAsia="Arial Unicode MS"/>
          <w:noProof/>
        </w:rPr>
      </w:pPr>
      <w:r w:rsidRPr="00F81955">
        <w:rPr>
          <w:noProof/>
        </w:rPr>
        <w:t xml:space="preserve">Paragraph </w:t>
      </w:r>
      <w:r w:rsidR="00A32CCE" w:rsidRPr="00F81955">
        <w:rPr>
          <w:noProof/>
        </w:rPr>
        <w:t xml:space="preserve">12 </w:t>
      </w:r>
      <w:r w:rsidR="00262309" w:rsidRPr="00F81955">
        <w:rPr>
          <w:noProof/>
        </w:rPr>
        <w:t xml:space="preserve">amends Article 30 AI Act by </w:t>
      </w:r>
      <w:r w:rsidR="00E7392E" w:rsidRPr="00F81955">
        <w:rPr>
          <w:noProof/>
        </w:rPr>
        <w:t>requiring conformity assessment bodies which apply to be designated as notified bodies to make that application in accordance with the codes, categories, and corresponding types of AI systems referred to in a new Annex XIV</w:t>
      </w:r>
      <w:r w:rsidR="00197608" w:rsidRPr="00F81955">
        <w:rPr>
          <w:noProof/>
        </w:rPr>
        <w:t xml:space="preserve"> for the Commission’s </w:t>
      </w:r>
      <w:r w:rsidR="009F6361" w:rsidRPr="00F81955">
        <w:rPr>
          <w:noProof/>
        </w:rPr>
        <w:t>New Approach Notified and Designated Organisations (</w:t>
      </w:r>
      <w:r w:rsidR="005E2951" w:rsidRPr="00F81955">
        <w:rPr>
          <w:noProof/>
        </w:rPr>
        <w:t>‘</w:t>
      </w:r>
      <w:r w:rsidR="009F6361" w:rsidRPr="00F81955">
        <w:rPr>
          <w:noProof/>
        </w:rPr>
        <w:t>NANDO</w:t>
      </w:r>
      <w:r w:rsidR="005E2951" w:rsidRPr="00F81955">
        <w:rPr>
          <w:noProof/>
        </w:rPr>
        <w:t>’</w:t>
      </w:r>
      <w:r w:rsidR="009F6361" w:rsidRPr="00F81955">
        <w:rPr>
          <w:noProof/>
        </w:rPr>
        <w:t>) information</w:t>
      </w:r>
      <w:r w:rsidR="00197608" w:rsidRPr="00F81955">
        <w:rPr>
          <w:noProof/>
        </w:rPr>
        <w:t xml:space="preserve"> system, and empowers the Commission to amend these codes, categories</w:t>
      </w:r>
      <w:r>
        <w:rPr>
          <w:noProof/>
        </w:rPr>
        <w:t>,</w:t>
      </w:r>
      <w:r w:rsidR="00197608" w:rsidRPr="00F81955">
        <w:rPr>
          <w:noProof/>
        </w:rPr>
        <w:t xml:space="preserve"> and corresponding types in light of technological developments</w:t>
      </w:r>
      <w:r w:rsidRPr="00F81955">
        <w:rPr>
          <w:noProof/>
        </w:rPr>
        <w:t>.</w:t>
      </w:r>
    </w:p>
    <w:p w:rsidR="00BE0C6D" w:rsidRPr="00F81955" w:rsidRDefault="00581214" w:rsidP="003833D4">
      <w:pPr>
        <w:pStyle w:val="Bullet0"/>
        <w:rPr>
          <w:rFonts w:eastAsia="Arial Unicode MS"/>
          <w:noProof/>
        </w:rPr>
      </w:pPr>
      <w:r w:rsidRPr="00F81955">
        <w:rPr>
          <w:noProof/>
        </w:rPr>
        <w:t>Paragraph 1</w:t>
      </w:r>
      <w:r w:rsidR="00D74100" w:rsidRPr="00F81955">
        <w:rPr>
          <w:noProof/>
        </w:rPr>
        <w:t>3</w:t>
      </w:r>
      <w:r w:rsidRPr="00F81955">
        <w:rPr>
          <w:noProof/>
        </w:rPr>
        <w:t xml:space="preserve"> clarifies the conformity assessment procedure </w:t>
      </w:r>
      <w:r w:rsidR="00F31A9D" w:rsidRPr="00F81955">
        <w:rPr>
          <w:noProof/>
        </w:rPr>
        <w:t xml:space="preserve">laid down in Article 43 AI </w:t>
      </w:r>
      <w:r w:rsidR="009F6361" w:rsidRPr="00F81955">
        <w:rPr>
          <w:noProof/>
        </w:rPr>
        <w:t>A</w:t>
      </w:r>
      <w:r w:rsidR="00F31A9D" w:rsidRPr="00F81955">
        <w:rPr>
          <w:noProof/>
        </w:rPr>
        <w:t xml:space="preserve">ct where </w:t>
      </w:r>
      <w:r w:rsidRPr="00F81955">
        <w:rPr>
          <w:noProof/>
        </w:rPr>
        <w:t>a high-risk AI system is covered by Union harmonisation legislation</w:t>
      </w:r>
      <w:r w:rsidR="00F31A9D" w:rsidRPr="00F81955">
        <w:rPr>
          <w:noProof/>
        </w:rPr>
        <w:t xml:space="preserve"> listed</w:t>
      </w:r>
      <w:r w:rsidRPr="00F81955">
        <w:rPr>
          <w:noProof/>
        </w:rPr>
        <w:t xml:space="preserve"> under Section A of Annex I </w:t>
      </w:r>
      <w:r>
        <w:rPr>
          <w:noProof/>
        </w:rPr>
        <w:t xml:space="preserve">to the </w:t>
      </w:r>
      <w:r w:rsidR="00F31A9D" w:rsidRPr="00F81955">
        <w:rPr>
          <w:noProof/>
        </w:rPr>
        <w:t xml:space="preserve">AI Act </w:t>
      </w:r>
      <w:r w:rsidRPr="00F81955">
        <w:rPr>
          <w:noProof/>
        </w:rPr>
        <w:t xml:space="preserve">and </w:t>
      </w:r>
      <w:r w:rsidR="00F31A9D" w:rsidRPr="00F81955">
        <w:rPr>
          <w:noProof/>
        </w:rPr>
        <w:t>where</w:t>
      </w:r>
      <w:r w:rsidRPr="00F81955">
        <w:rPr>
          <w:noProof/>
        </w:rPr>
        <w:t xml:space="preserve"> a</w:t>
      </w:r>
      <w:r w:rsidR="00F31A9D" w:rsidRPr="00F81955">
        <w:rPr>
          <w:noProof/>
        </w:rPr>
        <w:t>n</w:t>
      </w:r>
      <w:r w:rsidRPr="00F81955">
        <w:rPr>
          <w:noProof/>
        </w:rPr>
        <w:t xml:space="preserve"> AI system is classified </w:t>
      </w:r>
      <w:r w:rsidR="00F31A9D" w:rsidRPr="00F81955">
        <w:rPr>
          <w:noProof/>
        </w:rPr>
        <w:t xml:space="preserve">as high-risk both </w:t>
      </w:r>
      <w:r w:rsidRPr="00F81955">
        <w:rPr>
          <w:noProof/>
        </w:rPr>
        <w:t>under Annex I and Annex III</w:t>
      </w:r>
      <w:r>
        <w:rPr>
          <w:noProof/>
        </w:rPr>
        <w:t xml:space="preserve"> to the</w:t>
      </w:r>
      <w:r w:rsidR="00F31A9D" w:rsidRPr="00F81955">
        <w:rPr>
          <w:noProof/>
        </w:rPr>
        <w:t xml:space="preserve"> AI Act</w:t>
      </w:r>
      <w:r w:rsidRPr="00F81955">
        <w:rPr>
          <w:noProof/>
        </w:rPr>
        <w:t>.</w:t>
      </w:r>
    </w:p>
    <w:p w:rsidR="00693B6E" w:rsidRPr="00F81955" w:rsidRDefault="00693B6E" w:rsidP="003833D4">
      <w:pPr>
        <w:pStyle w:val="Bullet0"/>
        <w:rPr>
          <w:rFonts w:eastAsia="Arial Unicode MS"/>
          <w:noProof/>
        </w:rPr>
      </w:pPr>
      <w:r w:rsidRPr="00F81955">
        <w:rPr>
          <w:noProof/>
        </w:rPr>
        <w:t>Paragraphs 1</w:t>
      </w:r>
      <w:r w:rsidR="00D74100" w:rsidRPr="00F81955">
        <w:rPr>
          <w:noProof/>
        </w:rPr>
        <w:t>5</w:t>
      </w:r>
      <w:r w:rsidRPr="00F81955">
        <w:rPr>
          <w:noProof/>
        </w:rPr>
        <w:t xml:space="preserve"> and 1</w:t>
      </w:r>
      <w:r w:rsidR="00D74100" w:rsidRPr="00F81955">
        <w:rPr>
          <w:noProof/>
        </w:rPr>
        <w:t>6</w:t>
      </w:r>
      <w:r w:rsidRPr="00F81955">
        <w:rPr>
          <w:noProof/>
        </w:rPr>
        <w:t xml:space="preserve"> remove the Commission empowerments </w:t>
      </w:r>
      <w:r w:rsidR="0091403A" w:rsidRPr="00F81955">
        <w:rPr>
          <w:noProof/>
        </w:rPr>
        <w:t>in Article</w:t>
      </w:r>
      <w:r w:rsidR="00D74100" w:rsidRPr="00F81955">
        <w:rPr>
          <w:noProof/>
        </w:rPr>
        <w:t>s 50 and</w:t>
      </w:r>
      <w:r w:rsidR="0091403A" w:rsidRPr="00F81955">
        <w:rPr>
          <w:noProof/>
        </w:rPr>
        <w:t xml:space="preserve"> 56 AI Act </w:t>
      </w:r>
      <w:r w:rsidRPr="00F81955">
        <w:rPr>
          <w:noProof/>
        </w:rPr>
        <w:t xml:space="preserve">to adopt implementing acts to </w:t>
      </w:r>
      <w:r w:rsidR="000842D8" w:rsidRPr="00F81955">
        <w:rPr>
          <w:noProof/>
        </w:rPr>
        <w:t>give</w:t>
      </w:r>
      <w:r w:rsidRPr="00F81955">
        <w:rPr>
          <w:noProof/>
        </w:rPr>
        <w:t xml:space="preserve"> code</w:t>
      </w:r>
      <w:r w:rsidR="000842D8" w:rsidRPr="00F81955">
        <w:rPr>
          <w:noProof/>
        </w:rPr>
        <w:t>s</w:t>
      </w:r>
      <w:r w:rsidRPr="00F81955">
        <w:rPr>
          <w:noProof/>
        </w:rPr>
        <w:t xml:space="preserve"> of practice for general purpose AI models and transparency obligations</w:t>
      </w:r>
      <w:r w:rsidR="06368C9D" w:rsidRPr="00F81955">
        <w:rPr>
          <w:noProof/>
        </w:rPr>
        <w:t xml:space="preserve"> for certain AI systems</w:t>
      </w:r>
      <w:r w:rsidR="000842D8" w:rsidRPr="00F81955">
        <w:rPr>
          <w:noProof/>
        </w:rPr>
        <w:t xml:space="preserve"> general validity in the Union</w:t>
      </w:r>
      <w:r w:rsidRPr="00F81955">
        <w:rPr>
          <w:noProof/>
        </w:rPr>
        <w:t>.</w:t>
      </w:r>
    </w:p>
    <w:p w:rsidR="00A82336" w:rsidRPr="00F81955" w:rsidRDefault="00A82336" w:rsidP="003833D4">
      <w:pPr>
        <w:pStyle w:val="Bullet0"/>
        <w:rPr>
          <w:rFonts w:eastAsia="Arial Unicode MS"/>
          <w:noProof/>
        </w:rPr>
      </w:pPr>
      <w:r w:rsidRPr="00F81955">
        <w:rPr>
          <w:noProof/>
        </w:rPr>
        <w:t>Paragraph 1</w:t>
      </w:r>
      <w:r w:rsidR="00D74100" w:rsidRPr="00F81955">
        <w:rPr>
          <w:noProof/>
        </w:rPr>
        <w:t>7</w:t>
      </w:r>
      <w:r w:rsidR="00405B51" w:rsidRPr="00F81955">
        <w:rPr>
          <w:noProof/>
        </w:rPr>
        <w:t xml:space="preserve"> introduces amendments to </w:t>
      </w:r>
      <w:r w:rsidR="00B65C49" w:rsidRPr="00F81955">
        <w:rPr>
          <w:noProof/>
        </w:rPr>
        <w:t xml:space="preserve">the rules </w:t>
      </w:r>
      <w:r w:rsidR="00DD1B0F" w:rsidRPr="00F81955">
        <w:rPr>
          <w:noProof/>
        </w:rPr>
        <w:t>on AI regulatory sandboxes</w:t>
      </w:r>
      <w:r w:rsidR="000842D8" w:rsidRPr="00F81955">
        <w:rPr>
          <w:noProof/>
        </w:rPr>
        <w:t xml:space="preserve"> in Article 57 AI Act</w:t>
      </w:r>
      <w:r w:rsidR="0096137D" w:rsidRPr="00F81955">
        <w:rPr>
          <w:noProof/>
        </w:rPr>
        <w:t>, inter alia</w:t>
      </w:r>
      <w:r w:rsidR="00E14BBB" w:rsidRPr="00F81955">
        <w:rPr>
          <w:noProof/>
        </w:rPr>
        <w:t>,</w:t>
      </w:r>
      <w:r w:rsidR="0096137D" w:rsidRPr="00F81955">
        <w:rPr>
          <w:noProof/>
        </w:rPr>
        <w:t xml:space="preserve"> by providing the legal basis for the AI Office to introduce a</w:t>
      </w:r>
      <w:r w:rsidR="00E14BBB" w:rsidRPr="00F81955">
        <w:rPr>
          <w:noProof/>
        </w:rPr>
        <w:t>n AI</w:t>
      </w:r>
      <w:r w:rsidR="0096137D" w:rsidRPr="00F81955">
        <w:rPr>
          <w:noProof/>
        </w:rPr>
        <w:t xml:space="preserve"> </w:t>
      </w:r>
      <w:r w:rsidR="00F774DD" w:rsidRPr="00F81955">
        <w:rPr>
          <w:noProof/>
        </w:rPr>
        <w:t>regulatory</w:t>
      </w:r>
      <w:r w:rsidR="0096137D" w:rsidRPr="00F81955">
        <w:rPr>
          <w:noProof/>
        </w:rPr>
        <w:t xml:space="preserve"> sand</w:t>
      </w:r>
      <w:r w:rsidR="009736E4" w:rsidRPr="00F81955">
        <w:rPr>
          <w:noProof/>
        </w:rPr>
        <w:t>box</w:t>
      </w:r>
      <w:r w:rsidR="00F774DD" w:rsidRPr="00F81955">
        <w:rPr>
          <w:noProof/>
        </w:rPr>
        <w:t xml:space="preserve"> on EU level for certain AI systems </w:t>
      </w:r>
      <w:r w:rsidR="36FD28F6" w:rsidRPr="00F81955">
        <w:rPr>
          <w:noProof/>
        </w:rPr>
        <w:t xml:space="preserve">within its exclusive competence of supervision </w:t>
      </w:r>
      <w:r w:rsidR="00F774DD" w:rsidRPr="00F81955">
        <w:rPr>
          <w:noProof/>
        </w:rPr>
        <w:t>and require Member States to strengthen cross-border cooperation of their sandboxes.</w:t>
      </w:r>
    </w:p>
    <w:p w:rsidR="00774977" w:rsidRPr="00F81955" w:rsidRDefault="00774977" w:rsidP="003833D4">
      <w:pPr>
        <w:pStyle w:val="Bullet0"/>
        <w:rPr>
          <w:rFonts w:eastAsia="Arial Unicode MS"/>
          <w:noProof/>
        </w:rPr>
      </w:pPr>
      <w:r w:rsidRPr="00F81955">
        <w:rPr>
          <w:noProof/>
        </w:rPr>
        <w:t>Paragraph 18</w:t>
      </w:r>
      <w:r w:rsidR="00494C0F" w:rsidRPr="00F81955">
        <w:rPr>
          <w:noProof/>
        </w:rPr>
        <w:t xml:space="preserve"> specifies the empowerment of the Commission to adopt implementing acts specifying the detailed arrangements for the establishment, development, implementation, operation, governance and supervision of AI regulatory sandboxes.</w:t>
      </w:r>
    </w:p>
    <w:p w:rsidR="00DD1B0F" w:rsidRPr="00F81955" w:rsidRDefault="00DD1B0F" w:rsidP="003833D4">
      <w:pPr>
        <w:pStyle w:val="Bullet0"/>
        <w:rPr>
          <w:rFonts w:eastAsia="Arial Unicode MS"/>
          <w:noProof/>
        </w:rPr>
      </w:pPr>
      <w:r w:rsidRPr="00F81955">
        <w:rPr>
          <w:noProof/>
        </w:rPr>
        <w:t xml:space="preserve">Paragraph </w:t>
      </w:r>
      <w:r w:rsidR="00D74100" w:rsidRPr="00F81955">
        <w:rPr>
          <w:noProof/>
        </w:rPr>
        <w:t>19</w:t>
      </w:r>
      <w:r w:rsidRPr="00F81955">
        <w:rPr>
          <w:noProof/>
        </w:rPr>
        <w:t xml:space="preserve"> </w:t>
      </w:r>
      <w:r w:rsidR="00FB7F1E" w:rsidRPr="00F81955">
        <w:rPr>
          <w:noProof/>
        </w:rPr>
        <w:t xml:space="preserve">introduces </w:t>
      </w:r>
      <w:r w:rsidR="002122C3" w:rsidRPr="00F81955">
        <w:rPr>
          <w:noProof/>
        </w:rPr>
        <w:t>changes to the testing of high-risk AI systems in real world conditions outside AI regulatory sandboxes</w:t>
      </w:r>
      <w:r w:rsidR="000842D8" w:rsidRPr="00F81955">
        <w:rPr>
          <w:noProof/>
        </w:rPr>
        <w:t xml:space="preserve"> as governed by Article </w:t>
      </w:r>
      <w:r w:rsidR="00D03B11" w:rsidRPr="00F81955">
        <w:rPr>
          <w:noProof/>
        </w:rPr>
        <w:t>60 AI Act</w:t>
      </w:r>
      <w:r w:rsidR="004A7F60" w:rsidRPr="00F81955">
        <w:rPr>
          <w:noProof/>
        </w:rPr>
        <w:t xml:space="preserve">, inter alia </w:t>
      </w:r>
      <w:r w:rsidR="02A2C891" w:rsidRPr="00F81955">
        <w:rPr>
          <w:noProof/>
        </w:rPr>
        <w:t xml:space="preserve">extending this opportunity to high-risk AI systems covered by </w:t>
      </w:r>
      <w:r w:rsidR="00790883" w:rsidRPr="00F81955">
        <w:rPr>
          <w:noProof/>
        </w:rPr>
        <w:t xml:space="preserve">Section A of </w:t>
      </w:r>
      <w:r w:rsidR="02A2C891" w:rsidRPr="00F81955">
        <w:rPr>
          <w:noProof/>
        </w:rPr>
        <w:t>Annex I</w:t>
      </w:r>
      <w:r w:rsidR="002122C3" w:rsidRPr="00F81955">
        <w:rPr>
          <w:noProof/>
        </w:rPr>
        <w:t>.</w:t>
      </w:r>
    </w:p>
    <w:p w:rsidR="00042F45" w:rsidRPr="00F81955" w:rsidRDefault="00042F45" w:rsidP="00087AD8">
      <w:pPr>
        <w:pStyle w:val="Bullet0"/>
        <w:rPr>
          <w:rFonts w:eastAsia="Arial Unicode MS"/>
          <w:noProof/>
        </w:rPr>
      </w:pPr>
      <w:r w:rsidRPr="00F81955">
        <w:rPr>
          <w:noProof/>
        </w:rPr>
        <w:t>Paragraph 2</w:t>
      </w:r>
      <w:r w:rsidR="00D74100" w:rsidRPr="00F81955">
        <w:rPr>
          <w:noProof/>
        </w:rPr>
        <w:t>0</w:t>
      </w:r>
      <w:r w:rsidRPr="00F81955">
        <w:rPr>
          <w:noProof/>
        </w:rPr>
        <w:t xml:space="preserve"> </w:t>
      </w:r>
      <w:r w:rsidR="00001F65" w:rsidRPr="00F81955">
        <w:rPr>
          <w:noProof/>
        </w:rPr>
        <w:t>creates an additional legal basis for interested Member States and the Commission, on voluntary basis, to enter into written agreement</w:t>
      </w:r>
      <w:r w:rsidR="00D03B11" w:rsidRPr="00F81955">
        <w:rPr>
          <w:noProof/>
        </w:rPr>
        <w:t>s</w:t>
      </w:r>
      <w:r w:rsidR="00001F65" w:rsidRPr="00F81955">
        <w:rPr>
          <w:noProof/>
        </w:rPr>
        <w:t xml:space="preserve"> to test </w:t>
      </w:r>
      <w:r w:rsidR="00087AD8" w:rsidRPr="00F81955">
        <w:rPr>
          <w:noProof/>
        </w:rPr>
        <w:t>high-risk AI systems referred to in Section B of Annex I</w:t>
      </w:r>
      <w:r w:rsidR="00001F65" w:rsidRPr="00F81955">
        <w:rPr>
          <w:noProof/>
        </w:rPr>
        <w:t xml:space="preserve"> in real world-conditions</w:t>
      </w:r>
      <w:r w:rsidR="008A293B" w:rsidRPr="00F81955">
        <w:rPr>
          <w:noProof/>
        </w:rPr>
        <w:t>.</w:t>
      </w:r>
    </w:p>
    <w:p w:rsidR="002122C3" w:rsidRPr="00F81955" w:rsidRDefault="002122C3" w:rsidP="003833D4">
      <w:pPr>
        <w:pStyle w:val="Bullet0"/>
        <w:rPr>
          <w:rFonts w:eastAsia="Arial Unicode MS"/>
          <w:noProof/>
        </w:rPr>
      </w:pPr>
      <w:r w:rsidRPr="00F81955">
        <w:rPr>
          <w:noProof/>
        </w:rPr>
        <w:t>Paragraph 2</w:t>
      </w:r>
      <w:r w:rsidR="00D74100" w:rsidRPr="00F81955">
        <w:rPr>
          <w:noProof/>
        </w:rPr>
        <w:t>1</w:t>
      </w:r>
      <w:r w:rsidRPr="00F81955">
        <w:rPr>
          <w:noProof/>
        </w:rPr>
        <w:t xml:space="preserve"> </w:t>
      </w:r>
      <w:r w:rsidR="00420053" w:rsidRPr="00F81955">
        <w:rPr>
          <w:noProof/>
        </w:rPr>
        <w:t xml:space="preserve">extends the </w:t>
      </w:r>
      <w:r w:rsidR="007C14AA" w:rsidRPr="00F81955">
        <w:rPr>
          <w:noProof/>
        </w:rPr>
        <w:t>derogation</w:t>
      </w:r>
      <w:r w:rsidR="00D03B11" w:rsidRPr="00F81955">
        <w:rPr>
          <w:noProof/>
        </w:rPr>
        <w:t xml:space="preserve"> from micro-enterprises to SMEs</w:t>
      </w:r>
      <w:r w:rsidR="007C14AA" w:rsidRPr="00F81955">
        <w:rPr>
          <w:noProof/>
        </w:rPr>
        <w:t xml:space="preserve"> to </w:t>
      </w:r>
      <w:r w:rsidR="00E34438" w:rsidRPr="00F81955">
        <w:rPr>
          <w:noProof/>
        </w:rPr>
        <w:t xml:space="preserve">comply with </w:t>
      </w:r>
      <w:r w:rsidR="001D3436" w:rsidRPr="00F81955">
        <w:rPr>
          <w:noProof/>
        </w:rPr>
        <w:t xml:space="preserve">certain elements </w:t>
      </w:r>
      <w:r w:rsidR="00D856AC" w:rsidRPr="00F81955">
        <w:rPr>
          <w:noProof/>
        </w:rPr>
        <w:t xml:space="preserve">of the quality management system required by Article 17 </w:t>
      </w:r>
      <w:r w:rsidR="004D5AB8" w:rsidRPr="00F81955">
        <w:rPr>
          <w:noProof/>
        </w:rPr>
        <w:t>AI Act</w:t>
      </w:r>
      <w:r w:rsidR="004C4AFA" w:rsidRPr="00F81955">
        <w:rPr>
          <w:noProof/>
        </w:rPr>
        <w:t xml:space="preserve"> </w:t>
      </w:r>
      <w:r w:rsidR="00D856AC" w:rsidRPr="00F81955">
        <w:rPr>
          <w:noProof/>
        </w:rPr>
        <w:t>in a simplified manner</w:t>
      </w:r>
      <w:r w:rsidR="00D872ED" w:rsidRPr="00F81955">
        <w:rPr>
          <w:noProof/>
        </w:rPr>
        <w:t>.</w:t>
      </w:r>
    </w:p>
    <w:p w:rsidR="0061089B" w:rsidRPr="00F81955" w:rsidRDefault="0061089B" w:rsidP="003833D4">
      <w:pPr>
        <w:pStyle w:val="Bullet0"/>
        <w:rPr>
          <w:noProof/>
        </w:rPr>
      </w:pPr>
      <w:r w:rsidRPr="00F81955">
        <w:rPr>
          <w:noProof/>
        </w:rPr>
        <w:t>Paragraph 2</w:t>
      </w:r>
      <w:r w:rsidR="00D74100" w:rsidRPr="00F81955">
        <w:rPr>
          <w:noProof/>
        </w:rPr>
        <w:t>2</w:t>
      </w:r>
      <w:r w:rsidRPr="00F81955">
        <w:rPr>
          <w:noProof/>
        </w:rPr>
        <w:t xml:space="preserve"> removes an empowerment of the Commission</w:t>
      </w:r>
      <w:r w:rsidR="00D03B11" w:rsidRPr="00F81955">
        <w:rPr>
          <w:noProof/>
        </w:rPr>
        <w:t xml:space="preserve"> in Article 69 AI Act to adopt </w:t>
      </w:r>
      <w:r w:rsidRPr="00F81955">
        <w:rPr>
          <w:noProof/>
        </w:rPr>
        <w:t xml:space="preserve">an implementing act </w:t>
      </w:r>
      <w:r w:rsidR="00D03B11" w:rsidRPr="00F81955">
        <w:rPr>
          <w:noProof/>
        </w:rPr>
        <w:t xml:space="preserve">in relation </w:t>
      </w:r>
      <w:r w:rsidRPr="00F81955">
        <w:rPr>
          <w:noProof/>
        </w:rPr>
        <w:t>to the reimbursement of experts of the scientific panel when called upon by Member States, to simplify the procedure.</w:t>
      </w:r>
    </w:p>
    <w:p w:rsidR="0028476C" w:rsidRPr="00F81955" w:rsidRDefault="0061089B" w:rsidP="003833D4">
      <w:pPr>
        <w:pStyle w:val="Bullet0"/>
        <w:rPr>
          <w:noProof/>
        </w:rPr>
      </w:pPr>
      <w:r w:rsidRPr="00F81955">
        <w:rPr>
          <w:noProof/>
        </w:rPr>
        <w:t>Paragraph 2</w:t>
      </w:r>
      <w:r w:rsidR="00D74100" w:rsidRPr="00F81955">
        <w:rPr>
          <w:noProof/>
        </w:rPr>
        <w:t>3</w:t>
      </w:r>
      <w:r w:rsidRPr="00F81955">
        <w:rPr>
          <w:noProof/>
        </w:rPr>
        <w:t xml:space="preserve"> </w:t>
      </w:r>
      <w:r w:rsidR="0028476C" w:rsidRPr="00F81955">
        <w:rPr>
          <w:noProof/>
        </w:rPr>
        <w:t xml:space="preserve">extends the </w:t>
      </w:r>
      <w:r w:rsidR="00650EAE" w:rsidRPr="00F81955">
        <w:rPr>
          <w:noProof/>
        </w:rPr>
        <w:t>focus of</w:t>
      </w:r>
      <w:r w:rsidR="0028476C" w:rsidRPr="00F81955">
        <w:rPr>
          <w:noProof/>
        </w:rPr>
        <w:t xml:space="preserve"> guidance</w:t>
      </w:r>
      <w:r w:rsidR="00650EAE" w:rsidRPr="00F81955">
        <w:rPr>
          <w:noProof/>
        </w:rPr>
        <w:t xml:space="preserve"> which national authorities may provide from SMEs to SMCs.</w:t>
      </w:r>
    </w:p>
    <w:p w:rsidR="0061089B" w:rsidRPr="00F81955" w:rsidRDefault="0028476C" w:rsidP="003833D4">
      <w:pPr>
        <w:pStyle w:val="Bullet0"/>
        <w:rPr>
          <w:noProof/>
        </w:rPr>
      </w:pPr>
      <w:r w:rsidRPr="00F81955">
        <w:rPr>
          <w:noProof/>
        </w:rPr>
        <w:t xml:space="preserve">Paragraph 24 </w:t>
      </w:r>
      <w:r w:rsidR="0061089B" w:rsidRPr="00F81955">
        <w:rPr>
          <w:noProof/>
        </w:rPr>
        <w:t xml:space="preserve">replaces the empowerment of the Commission </w:t>
      </w:r>
      <w:r w:rsidR="00D03B11" w:rsidRPr="00F81955">
        <w:rPr>
          <w:noProof/>
        </w:rPr>
        <w:t xml:space="preserve">in Article 72 AI Act </w:t>
      </w:r>
      <w:r w:rsidR="0061089B" w:rsidRPr="00F81955">
        <w:rPr>
          <w:noProof/>
        </w:rPr>
        <w:t>to adopt an implementing act with regard to the post-market monitoring plan.</w:t>
      </w:r>
    </w:p>
    <w:p w:rsidR="002E7A19" w:rsidRPr="00F81955" w:rsidRDefault="00266431" w:rsidP="003833D4">
      <w:pPr>
        <w:pStyle w:val="Bullet0"/>
        <w:rPr>
          <w:noProof/>
        </w:rPr>
      </w:pPr>
      <w:r w:rsidRPr="00F81955">
        <w:rPr>
          <w:noProof/>
        </w:rPr>
        <w:t xml:space="preserve">Paragraph </w:t>
      </w:r>
      <w:r w:rsidR="00650EAE" w:rsidRPr="00F81955">
        <w:rPr>
          <w:noProof/>
        </w:rPr>
        <w:t xml:space="preserve">25 </w:t>
      </w:r>
      <w:r w:rsidR="00902389" w:rsidRPr="00F81955">
        <w:rPr>
          <w:noProof/>
        </w:rPr>
        <w:t xml:space="preserve">makes amendments </w:t>
      </w:r>
      <w:r w:rsidR="008D017C" w:rsidRPr="00F81955">
        <w:rPr>
          <w:noProof/>
        </w:rPr>
        <w:t xml:space="preserve">to the </w:t>
      </w:r>
      <w:r w:rsidR="00D03B11" w:rsidRPr="00F81955">
        <w:rPr>
          <w:noProof/>
        </w:rPr>
        <w:t>supervision and enforcement</w:t>
      </w:r>
      <w:r w:rsidR="008D017C" w:rsidRPr="00F81955">
        <w:rPr>
          <w:noProof/>
        </w:rPr>
        <w:t xml:space="preserve"> of certain AI systems</w:t>
      </w:r>
      <w:r w:rsidR="00D74100" w:rsidRPr="00F81955">
        <w:rPr>
          <w:noProof/>
        </w:rPr>
        <w:t xml:space="preserve"> in Article 75 AI Act</w:t>
      </w:r>
      <w:r w:rsidR="00C26B9C" w:rsidRPr="00F81955">
        <w:rPr>
          <w:noProof/>
        </w:rPr>
        <w:t>:</w:t>
      </w:r>
    </w:p>
    <w:p w:rsidR="000E1D3C" w:rsidRPr="00F81955" w:rsidRDefault="00C26B9C" w:rsidP="00296391">
      <w:pPr>
        <w:pStyle w:val="Bullet1"/>
        <w:numPr>
          <w:ilvl w:val="0"/>
          <w:numId w:val="23"/>
        </w:numPr>
        <w:rPr>
          <w:noProof/>
        </w:rPr>
      </w:pPr>
      <w:r w:rsidRPr="00F81955">
        <w:rPr>
          <w:noProof/>
        </w:rPr>
        <w:t xml:space="preserve">Point </w:t>
      </w:r>
      <w:r w:rsidR="008321A1" w:rsidRPr="00F81955">
        <w:rPr>
          <w:noProof/>
        </w:rPr>
        <w:t xml:space="preserve">(a) changes </w:t>
      </w:r>
      <w:r w:rsidR="0058288E" w:rsidRPr="00F81955">
        <w:rPr>
          <w:noProof/>
        </w:rPr>
        <w:t xml:space="preserve">the </w:t>
      </w:r>
      <w:r w:rsidR="00042B42" w:rsidRPr="00F81955">
        <w:rPr>
          <w:noProof/>
        </w:rPr>
        <w:t>heading.</w:t>
      </w:r>
      <w:r w:rsidR="000E1D3C" w:rsidRPr="00F81955">
        <w:rPr>
          <w:noProof/>
        </w:rPr>
        <w:t xml:space="preserve"> </w:t>
      </w:r>
    </w:p>
    <w:p w:rsidR="002A5645" w:rsidRPr="00F81955" w:rsidRDefault="000E1D3C" w:rsidP="000E1D3C">
      <w:pPr>
        <w:pStyle w:val="Bullet1"/>
        <w:rPr>
          <w:noProof/>
        </w:rPr>
      </w:pPr>
      <w:r w:rsidRPr="00F81955">
        <w:rPr>
          <w:noProof/>
        </w:rPr>
        <w:t>Point (b) reinforces the competence of the AI Office for the supervision and enforcement of certain AI systems, that are based on a general-purpose AI model, where the model and the system are provided by the same provider. At the same time, the provision clarifies that AI systems related to products covered under Annex I are not included in that supervision. Moreover, it is clarified that the supervision and enforcement of the compliance of AI systems embedded in designated very large online platforms or very large online search engines should fall under the competence of the AI Office.</w:t>
      </w:r>
    </w:p>
    <w:p w:rsidR="00B31A1C" w:rsidRPr="00F81955" w:rsidRDefault="00AE6496" w:rsidP="00A9652F">
      <w:pPr>
        <w:pStyle w:val="Bullet1"/>
        <w:rPr>
          <w:noProof/>
        </w:rPr>
      </w:pPr>
      <w:r w:rsidRPr="00F81955">
        <w:rPr>
          <w:noProof/>
        </w:rPr>
        <w:t>Point (</w:t>
      </w:r>
      <w:r w:rsidR="00D74100" w:rsidRPr="00F81955">
        <w:rPr>
          <w:noProof/>
        </w:rPr>
        <w:t>c</w:t>
      </w:r>
      <w:r w:rsidRPr="00F81955">
        <w:rPr>
          <w:noProof/>
        </w:rPr>
        <w:t xml:space="preserve">) </w:t>
      </w:r>
      <w:r w:rsidR="00D74100" w:rsidRPr="00F81955">
        <w:rPr>
          <w:noProof/>
        </w:rPr>
        <w:t xml:space="preserve">introduces several new paragraphs, </w:t>
      </w:r>
      <w:r w:rsidR="00B8048E" w:rsidRPr="00F81955">
        <w:rPr>
          <w:noProof/>
        </w:rPr>
        <w:t>empower</w:t>
      </w:r>
      <w:r w:rsidR="00D74100" w:rsidRPr="00F81955">
        <w:rPr>
          <w:noProof/>
        </w:rPr>
        <w:t>ing</w:t>
      </w:r>
      <w:r w:rsidR="00B8048E" w:rsidRPr="00F81955">
        <w:rPr>
          <w:noProof/>
        </w:rPr>
        <w:t xml:space="preserve"> the Commission to adopt implementing act</w:t>
      </w:r>
      <w:r w:rsidR="00D74100" w:rsidRPr="00F81955">
        <w:rPr>
          <w:noProof/>
        </w:rPr>
        <w:t>s</w:t>
      </w:r>
      <w:r w:rsidR="00B8048E" w:rsidRPr="00F81955">
        <w:rPr>
          <w:noProof/>
        </w:rPr>
        <w:t xml:space="preserve"> to define the enforcement powers and the procedures for the exercise of those powers of the AI Office</w:t>
      </w:r>
      <w:r w:rsidR="00D74100" w:rsidRPr="00F81955">
        <w:rPr>
          <w:noProof/>
        </w:rPr>
        <w:t>, introducing a reference to Regulation (EU) 2019/1020 ensuring certain procedural safeguards apply to providers covered and empowering the Commission to carry out conformity assessments of AI systems within the scope of Article 75</w:t>
      </w:r>
      <w:r w:rsidR="00B8048E" w:rsidRPr="00F81955">
        <w:rPr>
          <w:noProof/>
        </w:rPr>
        <w:t>.</w:t>
      </w:r>
    </w:p>
    <w:p w:rsidR="00E95EE6" w:rsidRPr="00F81955" w:rsidRDefault="00E95EE6" w:rsidP="003833D4">
      <w:pPr>
        <w:pStyle w:val="Bullet0"/>
        <w:rPr>
          <w:noProof/>
        </w:rPr>
      </w:pPr>
      <w:r w:rsidRPr="00F81955">
        <w:rPr>
          <w:noProof/>
        </w:rPr>
        <w:t xml:space="preserve">Paragraph </w:t>
      </w:r>
      <w:r w:rsidR="00650EAE" w:rsidRPr="00F81955">
        <w:rPr>
          <w:noProof/>
        </w:rPr>
        <w:t xml:space="preserve">26 </w:t>
      </w:r>
      <w:r w:rsidR="00556291" w:rsidRPr="00F81955">
        <w:rPr>
          <w:noProof/>
        </w:rPr>
        <w:t>amends Article 77 AI Act as regards the</w:t>
      </w:r>
      <w:r w:rsidR="00D74100" w:rsidRPr="00F81955">
        <w:rPr>
          <w:noProof/>
        </w:rPr>
        <w:t xml:space="preserve"> </w:t>
      </w:r>
      <w:r w:rsidRPr="00F81955">
        <w:rPr>
          <w:noProof/>
        </w:rPr>
        <w:t>powers of authorities</w:t>
      </w:r>
      <w:r w:rsidR="00DD5B99" w:rsidRPr="00F81955">
        <w:rPr>
          <w:noProof/>
        </w:rPr>
        <w:t xml:space="preserve"> or bodies</w:t>
      </w:r>
      <w:r w:rsidRPr="00F81955">
        <w:rPr>
          <w:noProof/>
        </w:rPr>
        <w:t xml:space="preserve"> protecting fundamental rights and cooperation with market surveillance authorities.</w:t>
      </w:r>
    </w:p>
    <w:p w:rsidR="00650EAE" w:rsidRPr="00F81955" w:rsidRDefault="00650EAE" w:rsidP="003833D4">
      <w:pPr>
        <w:pStyle w:val="Bullet0"/>
        <w:rPr>
          <w:noProof/>
        </w:rPr>
      </w:pPr>
      <w:r w:rsidRPr="00F81955">
        <w:rPr>
          <w:noProof/>
        </w:rPr>
        <w:t>Paragraphs 27 and 28 extends provisions in Articles 95 and 96 that require that voluntary support tools should take into account the needs of SMEs to SMCs.</w:t>
      </w:r>
    </w:p>
    <w:p w:rsidR="00E95EE6" w:rsidRPr="00F81955" w:rsidRDefault="00E95EE6" w:rsidP="003833D4">
      <w:pPr>
        <w:pStyle w:val="Bullet0"/>
        <w:rPr>
          <w:noProof/>
        </w:rPr>
      </w:pPr>
      <w:r w:rsidRPr="00F81955">
        <w:rPr>
          <w:noProof/>
        </w:rPr>
        <w:t xml:space="preserve">Paragraph </w:t>
      </w:r>
      <w:r w:rsidR="00650EAE" w:rsidRPr="00F81955">
        <w:rPr>
          <w:noProof/>
        </w:rPr>
        <w:t xml:space="preserve">29 </w:t>
      </w:r>
      <w:r w:rsidRPr="00F81955">
        <w:rPr>
          <w:noProof/>
        </w:rPr>
        <w:t>extends existing regulatory privileges</w:t>
      </w:r>
      <w:r w:rsidR="00556291" w:rsidRPr="00F81955">
        <w:rPr>
          <w:noProof/>
        </w:rPr>
        <w:t xml:space="preserve"> in Article 99 AI Act</w:t>
      </w:r>
      <w:r w:rsidRPr="00F81955">
        <w:rPr>
          <w:noProof/>
        </w:rPr>
        <w:t xml:space="preserve"> on penalties for SME</w:t>
      </w:r>
      <w:r w:rsidR="009E6ED7" w:rsidRPr="00F81955">
        <w:rPr>
          <w:noProof/>
        </w:rPr>
        <w:t>s</w:t>
      </w:r>
      <w:r w:rsidRPr="00F81955">
        <w:rPr>
          <w:noProof/>
        </w:rPr>
        <w:t xml:space="preserve"> to SMC</w:t>
      </w:r>
      <w:r w:rsidR="009E6ED7" w:rsidRPr="00F81955">
        <w:rPr>
          <w:noProof/>
        </w:rPr>
        <w:t>s</w:t>
      </w:r>
      <w:r w:rsidRPr="00F81955">
        <w:rPr>
          <w:noProof/>
        </w:rPr>
        <w:t>.</w:t>
      </w:r>
    </w:p>
    <w:p w:rsidR="002E7A19" w:rsidRPr="00F81955" w:rsidRDefault="002E7A19" w:rsidP="003833D4">
      <w:pPr>
        <w:pStyle w:val="Bullet0"/>
        <w:rPr>
          <w:noProof/>
        </w:rPr>
      </w:pPr>
      <w:r w:rsidRPr="00F81955">
        <w:rPr>
          <w:noProof/>
        </w:rPr>
        <w:t xml:space="preserve">Paragraph </w:t>
      </w:r>
      <w:r w:rsidR="00650EAE" w:rsidRPr="00F81955">
        <w:rPr>
          <w:noProof/>
        </w:rPr>
        <w:t xml:space="preserve">30 </w:t>
      </w:r>
      <w:r w:rsidR="00E71573" w:rsidRPr="00F81955">
        <w:rPr>
          <w:noProof/>
        </w:rPr>
        <w:t xml:space="preserve">contains </w:t>
      </w:r>
      <w:r w:rsidR="00AA5964" w:rsidRPr="00F81955">
        <w:rPr>
          <w:noProof/>
        </w:rPr>
        <w:t>amendments to Article 111 AI Act which result from amendments</w:t>
      </w:r>
      <w:r w:rsidR="003C2524" w:rsidRPr="00F81955">
        <w:rPr>
          <w:noProof/>
        </w:rPr>
        <w:t xml:space="preserve"> made </w:t>
      </w:r>
      <w:r w:rsidR="00AA5964" w:rsidRPr="00F81955">
        <w:rPr>
          <w:noProof/>
        </w:rPr>
        <w:t xml:space="preserve">in </w:t>
      </w:r>
      <w:r w:rsidR="003C2524" w:rsidRPr="00F81955">
        <w:rPr>
          <w:noProof/>
        </w:rPr>
        <w:t>paragrap</w:t>
      </w:r>
      <w:r w:rsidR="001C58FB" w:rsidRPr="00F81955">
        <w:rPr>
          <w:noProof/>
        </w:rPr>
        <w:t xml:space="preserve">h </w:t>
      </w:r>
      <w:r w:rsidR="003020AA" w:rsidRPr="00F81955">
        <w:rPr>
          <w:noProof/>
        </w:rPr>
        <w:t>30</w:t>
      </w:r>
      <w:r w:rsidR="001A5E15" w:rsidRPr="00F81955">
        <w:rPr>
          <w:noProof/>
        </w:rPr>
        <w:t xml:space="preserve"> and introduces a </w:t>
      </w:r>
      <w:r w:rsidR="00F5098F" w:rsidRPr="00F81955">
        <w:rPr>
          <w:noProof/>
        </w:rPr>
        <w:t>transitional</w:t>
      </w:r>
      <w:r w:rsidR="001A5E15" w:rsidRPr="00F81955">
        <w:rPr>
          <w:noProof/>
        </w:rPr>
        <w:t xml:space="preserve"> period of </w:t>
      </w:r>
      <w:r w:rsidR="00F5098F" w:rsidRPr="00F81955">
        <w:rPr>
          <w:noProof/>
        </w:rPr>
        <w:t>6 months</w:t>
      </w:r>
      <w:r w:rsidR="001A5E15" w:rsidRPr="00F81955">
        <w:rPr>
          <w:noProof/>
        </w:rPr>
        <w:t xml:space="preserve"> for providers who need to retroactively include </w:t>
      </w:r>
      <w:r w:rsidR="00B843D9" w:rsidRPr="00F81955">
        <w:rPr>
          <w:noProof/>
        </w:rPr>
        <w:t xml:space="preserve">technical solutions </w:t>
      </w:r>
      <w:r w:rsidR="001A5E15" w:rsidRPr="00F81955">
        <w:rPr>
          <w:noProof/>
        </w:rPr>
        <w:t>in their generative AI systems</w:t>
      </w:r>
      <w:r w:rsidR="00B843D9" w:rsidRPr="00F81955">
        <w:rPr>
          <w:noProof/>
        </w:rPr>
        <w:t xml:space="preserve">, to make them machine readable and detectable as artificially generated or </w:t>
      </w:r>
      <w:r w:rsidR="00B87E2E" w:rsidRPr="00F81955">
        <w:rPr>
          <w:noProof/>
        </w:rPr>
        <w:t>manipulated.</w:t>
      </w:r>
    </w:p>
    <w:p w:rsidR="0027691B" w:rsidRPr="00F81955" w:rsidRDefault="002E7A19" w:rsidP="00C77B5A">
      <w:pPr>
        <w:pStyle w:val="Bullet0"/>
        <w:rPr>
          <w:noProof/>
        </w:rPr>
      </w:pPr>
      <w:r w:rsidRPr="00F81955">
        <w:rPr>
          <w:noProof/>
        </w:rPr>
        <w:t xml:space="preserve">Paragraph </w:t>
      </w:r>
      <w:r w:rsidR="00650EAE" w:rsidRPr="00F81955">
        <w:rPr>
          <w:noProof/>
        </w:rPr>
        <w:t xml:space="preserve">31 </w:t>
      </w:r>
      <w:r w:rsidR="008F0962" w:rsidRPr="00F81955">
        <w:rPr>
          <w:noProof/>
        </w:rPr>
        <w:t xml:space="preserve">introduces changes to the </w:t>
      </w:r>
      <w:r w:rsidR="00036E71" w:rsidRPr="00F81955">
        <w:rPr>
          <w:noProof/>
        </w:rPr>
        <w:t xml:space="preserve">entry into application </w:t>
      </w:r>
      <w:r w:rsidR="008F0962" w:rsidRPr="00F81955">
        <w:rPr>
          <w:noProof/>
        </w:rPr>
        <w:t xml:space="preserve">of </w:t>
      </w:r>
      <w:r w:rsidR="00036E71" w:rsidRPr="00F81955">
        <w:rPr>
          <w:noProof/>
        </w:rPr>
        <w:t xml:space="preserve">certain provisions of the </w:t>
      </w:r>
      <w:r w:rsidR="004D5AB8" w:rsidRPr="00F81955">
        <w:rPr>
          <w:noProof/>
        </w:rPr>
        <w:t>AI Act</w:t>
      </w:r>
      <w:r w:rsidR="0027691B" w:rsidRPr="00F81955">
        <w:rPr>
          <w:noProof/>
        </w:rPr>
        <w:t>:</w:t>
      </w:r>
    </w:p>
    <w:p w:rsidR="00AF64B6" w:rsidRDefault="0027691B" w:rsidP="00A9652F">
      <w:pPr>
        <w:pStyle w:val="Bullet1"/>
        <w:rPr>
          <w:noProof/>
        </w:rPr>
      </w:pPr>
      <w:r w:rsidRPr="00F81955">
        <w:rPr>
          <w:noProof/>
        </w:rPr>
        <w:t xml:space="preserve">For the obligations for high-risk AI systems in Chapter III, </w:t>
      </w:r>
      <w:r w:rsidR="00D74100" w:rsidRPr="00F81955">
        <w:rPr>
          <w:rFonts w:eastAsia="Times New Roman"/>
          <w:noProof/>
          <w:szCs w:val="24"/>
        </w:rPr>
        <w:t xml:space="preserve">a mechanism is introduced that links the entry into application to the availability of measures in support of compliance with </w:t>
      </w:r>
      <w:r w:rsidR="0092365E" w:rsidRPr="00F81955">
        <w:rPr>
          <w:rFonts w:eastAsia="Times New Roman"/>
          <w:noProof/>
          <w:szCs w:val="24"/>
        </w:rPr>
        <w:t>the AI Act’s high-risk rules</w:t>
      </w:r>
      <w:r w:rsidR="00D74100" w:rsidRPr="00F81955">
        <w:rPr>
          <w:rFonts w:eastAsia="Times New Roman"/>
          <w:noProof/>
          <w:szCs w:val="24"/>
        </w:rPr>
        <w:t xml:space="preserve">, such as harmonised standards, common specifications, and Commission guidelines. </w:t>
      </w:r>
      <w:r w:rsidR="0092365E" w:rsidRPr="00F81955">
        <w:rPr>
          <w:rFonts w:eastAsia="Times New Roman"/>
          <w:noProof/>
          <w:szCs w:val="24"/>
        </w:rPr>
        <w:t xml:space="preserve">This availability will be confirmed by the Commission by decision, following which the rules for high-risk AI systems start to apply after an appropriate transition period. However, this flexibility should apply only for a limited time and a definite date by which the rules apply in any case should be set. Moreover, it is appropriate to distinguish between the two types of AI systems that classify as high-risk and extend a longer transition period to AI systems that classify as high-risk pursuant to Article 6(1) and Annex I </w:t>
      </w:r>
      <w:r>
        <w:rPr>
          <w:rFonts w:eastAsia="Times New Roman"/>
          <w:noProof/>
          <w:szCs w:val="24"/>
        </w:rPr>
        <w:t xml:space="preserve">to the </w:t>
      </w:r>
      <w:r w:rsidR="0092365E" w:rsidRPr="00F81955">
        <w:rPr>
          <w:rFonts w:eastAsia="Times New Roman"/>
          <w:noProof/>
          <w:szCs w:val="24"/>
        </w:rPr>
        <w:t>AI Act</w:t>
      </w:r>
      <w:r w:rsidR="00D74100" w:rsidRPr="00F81955">
        <w:rPr>
          <w:noProof/>
        </w:rPr>
        <w:t>.</w:t>
      </w:r>
    </w:p>
    <w:p w:rsidR="0027691B" w:rsidRPr="00F81955" w:rsidRDefault="0027691B" w:rsidP="00A9652F">
      <w:pPr>
        <w:pStyle w:val="Bullet1"/>
        <w:rPr>
          <w:noProof/>
        </w:rPr>
      </w:pPr>
      <w:r w:rsidRPr="00F81955">
        <w:rPr>
          <w:noProof/>
        </w:rPr>
        <w:t xml:space="preserve">It is clarified that the amendments necessary to integrate the high-risk requirements into sectoral law listed in </w:t>
      </w:r>
      <w:r w:rsidR="003C7963" w:rsidRPr="00F81955">
        <w:rPr>
          <w:noProof/>
        </w:rPr>
        <w:t xml:space="preserve">Section B of </w:t>
      </w:r>
      <w:r w:rsidRPr="00F81955">
        <w:rPr>
          <w:noProof/>
        </w:rPr>
        <w:t>Annex I apply with the Digital Omnibus’ entry into force.</w:t>
      </w:r>
    </w:p>
    <w:p w:rsidR="00D74100" w:rsidRPr="00F81955" w:rsidRDefault="00D74100" w:rsidP="00175212">
      <w:pPr>
        <w:pStyle w:val="Bullet0"/>
        <w:rPr>
          <w:noProof/>
        </w:rPr>
      </w:pPr>
      <w:r w:rsidRPr="00F81955">
        <w:rPr>
          <w:noProof/>
        </w:rPr>
        <w:t xml:space="preserve">Paragraph </w:t>
      </w:r>
      <w:r w:rsidR="00650EAE" w:rsidRPr="00F81955">
        <w:rPr>
          <w:noProof/>
        </w:rPr>
        <w:t xml:space="preserve">33 </w:t>
      </w:r>
      <w:r w:rsidRPr="00F81955">
        <w:rPr>
          <w:noProof/>
        </w:rPr>
        <w:t>is related to the change in paragraph 11 and introduces a new Annex XIV setting out codes, categories, and corresponding types of AI systems referred to in a new Annex XIV for the Commission’s New Approach Notified and Designated Organisations (</w:t>
      </w:r>
      <w:r w:rsidR="005E2951" w:rsidRPr="00F81955">
        <w:rPr>
          <w:noProof/>
        </w:rPr>
        <w:t>‘</w:t>
      </w:r>
      <w:r w:rsidRPr="00F81955">
        <w:rPr>
          <w:noProof/>
        </w:rPr>
        <w:t>NANDO</w:t>
      </w:r>
      <w:r w:rsidR="005E2951" w:rsidRPr="00F81955">
        <w:rPr>
          <w:noProof/>
        </w:rPr>
        <w:t>’</w:t>
      </w:r>
      <w:r w:rsidRPr="00F81955">
        <w:rPr>
          <w:noProof/>
        </w:rPr>
        <w:t>) information system.</w:t>
      </w:r>
    </w:p>
    <w:p w:rsidR="008456D9" w:rsidRPr="00F81955" w:rsidRDefault="00B05F0F" w:rsidP="00C77B5A">
      <w:pPr>
        <w:pStyle w:val="paragraph"/>
        <w:spacing w:before="0" w:beforeAutospacing="0" w:after="0" w:afterAutospacing="0"/>
        <w:textAlignment w:val="baseline"/>
        <w:rPr>
          <w:rStyle w:val="normaltextrun"/>
          <w:noProof/>
          <w:lang w:val="en-IE"/>
        </w:rPr>
      </w:pPr>
      <w:r w:rsidRPr="00F81955">
        <w:rPr>
          <w:rStyle w:val="normaltextrun"/>
          <w:noProof/>
          <w:lang w:val="en-IE"/>
        </w:rPr>
        <w:t xml:space="preserve">Article 2 </w:t>
      </w:r>
      <w:r w:rsidR="008456D9" w:rsidRPr="00F81955">
        <w:rPr>
          <w:noProof/>
          <w:lang w:val="en-IE"/>
        </w:rPr>
        <w:t>makes amendments with regards to Regulation (EU) 2018/1139, to allow a smooth integration of the AI Act’s high-risk requirements into that Regulation.</w:t>
      </w:r>
    </w:p>
    <w:p w:rsidR="008456D9" w:rsidRPr="00F81955" w:rsidRDefault="008456D9" w:rsidP="00C77B5A">
      <w:pPr>
        <w:pStyle w:val="paragraph"/>
        <w:spacing w:before="0" w:beforeAutospacing="0" w:after="0" w:afterAutospacing="0"/>
        <w:textAlignment w:val="baseline"/>
        <w:rPr>
          <w:rStyle w:val="normaltextrun"/>
          <w:noProof/>
          <w:lang w:val="en-IE"/>
        </w:rPr>
      </w:pPr>
    </w:p>
    <w:p w:rsidR="009C3EE2" w:rsidRPr="00F81955" w:rsidRDefault="008456D9" w:rsidP="00C77B5A">
      <w:pPr>
        <w:pStyle w:val="paragraph"/>
        <w:spacing w:before="0" w:beforeAutospacing="0" w:after="0" w:afterAutospacing="0"/>
        <w:textAlignment w:val="baseline"/>
        <w:rPr>
          <w:rFonts w:ascii="Segoe UI" w:hAnsi="Segoe UI" w:cs="Segoe UI"/>
          <w:noProof/>
          <w:sz w:val="18"/>
          <w:szCs w:val="18"/>
          <w:lang w:val="en-IE"/>
        </w:rPr>
      </w:pPr>
      <w:r w:rsidRPr="00F81955">
        <w:rPr>
          <w:rStyle w:val="normaltextrun"/>
          <w:noProof/>
          <w:lang w:val="en-IE"/>
        </w:rPr>
        <w:t xml:space="preserve">Article 3 </w:t>
      </w:r>
      <w:r w:rsidR="00B05F0F" w:rsidRPr="00F81955">
        <w:rPr>
          <w:rStyle w:val="normaltextrun"/>
          <w:noProof/>
          <w:lang w:val="en-IE"/>
        </w:rPr>
        <w:t xml:space="preserve">provides </w:t>
      </w:r>
      <w:r w:rsidR="005267D1" w:rsidRPr="00F81955">
        <w:rPr>
          <w:rStyle w:val="normaltextrun"/>
          <w:noProof/>
          <w:lang w:val="en-IE"/>
        </w:rPr>
        <w:t xml:space="preserve">the rule of entry into force and the binding nature of this </w:t>
      </w:r>
      <w:r w:rsidRPr="00F81955">
        <w:rPr>
          <w:rStyle w:val="normaltextrun"/>
          <w:noProof/>
          <w:lang w:val="en-IE"/>
        </w:rPr>
        <w:t>R</w:t>
      </w:r>
      <w:r w:rsidR="00B05F0F" w:rsidRPr="00F81955">
        <w:rPr>
          <w:rStyle w:val="normaltextrun"/>
          <w:noProof/>
          <w:lang w:val="en-IE"/>
        </w:rPr>
        <w:t>egulation</w:t>
      </w:r>
      <w:r w:rsidR="005267D1" w:rsidRPr="00F81955">
        <w:rPr>
          <w:rStyle w:val="normaltextrun"/>
          <w:noProof/>
          <w:lang w:val="en-IE"/>
        </w:rPr>
        <w:t>.</w:t>
      </w:r>
    </w:p>
    <w:p w:rsidR="003D622C" w:rsidRPr="00F81955" w:rsidRDefault="003D622C" w:rsidP="0000320E">
      <w:pPr>
        <w:pStyle w:val="Statut"/>
        <w:rPr>
          <w:noProof/>
        </w:rPr>
        <w:sectPr w:rsidR="003D622C" w:rsidRPr="00F81955" w:rsidSect="004623B1">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08"/>
          <w:docGrid w:linePitch="360"/>
        </w:sectPr>
      </w:pPr>
    </w:p>
    <w:p w:rsidR="00905F1F" w:rsidRPr="00F81955" w:rsidRDefault="004623B1" w:rsidP="004623B1">
      <w:pPr>
        <w:pStyle w:val="Rfrenceinterinstitutionnelle"/>
        <w:rPr>
          <w:noProof/>
        </w:rPr>
      </w:pPr>
      <w:r w:rsidRPr="004623B1">
        <w:t>2025/0359 (COD)</w:t>
      </w:r>
    </w:p>
    <w:p w:rsidR="004A5C63" w:rsidRPr="00F81955" w:rsidRDefault="004623B1" w:rsidP="004623B1">
      <w:pPr>
        <w:pStyle w:val="Statut"/>
        <w:rPr>
          <w:noProof/>
        </w:rPr>
      </w:pPr>
      <w:r w:rsidRPr="004623B1">
        <w:t>Proposal for a</w:t>
      </w:r>
    </w:p>
    <w:p w:rsidR="004A5C63" w:rsidRPr="00F81955" w:rsidRDefault="004623B1" w:rsidP="004623B1">
      <w:pPr>
        <w:pStyle w:val="Typedudocument"/>
        <w:rPr>
          <w:noProof/>
        </w:rPr>
      </w:pPr>
      <w:r w:rsidRPr="004623B1">
        <w:t>REGULATION OF THE EUROPEAN PARLIAMENT AND OF THE COUNCIL</w:t>
      </w:r>
    </w:p>
    <w:p w:rsidR="004A5C63" w:rsidRPr="00F81955" w:rsidRDefault="004623B1" w:rsidP="004623B1">
      <w:pPr>
        <w:pStyle w:val="Titreobjet"/>
        <w:rPr>
          <w:noProof/>
        </w:rPr>
      </w:pPr>
      <w:r w:rsidRPr="004623B1">
        <w:t>amending Regulations (EU) 2024/1689 and (EU) 2018/1139 as regards the simplification of the implementation of harmonised rules on artificial intelligence (Digital Omnibus on AI)</w:t>
      </w:r>
    </w:p>
    <w:p w:rsidR="004A5C63" w:rsidRPr="00F81955" w:rsidRDefault="004623B1" w:rsidP="004623B1">
      <w:pPr>
        <w:pStyle w:val="IntrtEEE"/>
        <w:rPr>
          <w:noProof/>
        </w:rPr>
      </w:pPr>
      <w:r w:rsidRPr="004623B1">
        <w:t>(Text with EEA relevance)</w:t>
      </w:r>
    </w:p>
    <w:p w:rsidR="009C3EE2" w:rsidRPr="00F81955" w:rsidRDefault="009C3EE2" w:rsidP="0002735A">
      <w:pPr>
        <w:pStyle w:val="Institutionquiagit"/>
        <w:rPr>
          <w:noProof/>
        </w:rPr>
      </w:pPr>
      <w:r w:rsidRPr="00F81955">
        <w:rPr>
          <w:noProof/>
        </w:rPr>
        <w:t>THE EUROPEAN PARLIAMENT AND THE COUNCIL OF THE EUROPEAN UNION,</w:t>
      </w:r>
    </w:p>
    <w:p w:rsidR="009C3EE2" w:rsidRPr="00F81955" w:rsidRDefault="009C3EE2" w:rsidP="0002735A">
      <w:pPr>
        <w:rPr>
          <w:noProof/>
        </w:rPr>
      </w:pPr>
      <w:r w:rsidRPr="00F81955">
        <w:rPr>
          <w:noProof/>
        </w:rPr>
        <w:t>Having regard to the Treaty on the Functioning of the European Union, and in particular Article</w:t>
      </w:r>
      <w:r w:rsidR="00473139" w:rsidRPr="00F81955">
        <w:rPr>
          <w:noProof/>
        </w:rPr>
        <w:t xml:space="preserve"> 114</w:t>
      </w:r>
      <w:r w:rsidRPr="00F81955">
        <w:rPr>
          <w:noProof/>
        </w:rPr>
        <w:t xml:space="preserve"> thereof,</w:t>
      </w:r>
    </w:p>
    <w:p w:rsidR="009C3EE2" w:rsidRPr="00F81955" w:rsidRDefault="009C3EE2" w:rsidP="0002735A">
      <w:pPr>
        <w:rPr>
          <w:noProof/>
        </w:rPr>
      </w:pPr>
      <w:r w:rsidRPr="00F81955">
        <w:rPr>
          <w:noProof/>
        </w:rPr>
        <w:t>Having regard to the proposal from the European Commission,</w:t>
      </w:r>
    </w:p>
    <w:p w:rsidR="009C3EE2" w:rsidRPr="00F81955" w:rsidRDefault="009C3EE2" w:rsidP="0002735A">
      <w:pPr>
        <w:rPr>
          <w:noProof/>
        </w:rPr>
      </w:pPr>
      <w:r w:rsidRPr="00F81955">
        <w:rPr>
          <w:noProof/>
        </w:rPr>
        <w:t>After transmission of the draft legislative act to the national parliaments,</w:t>
      </w:r>
    </w:p>
    <w:p w:rsidR="009C3EE2" w:rsidRPr="00F81955" w:rsidRDefault="009C3EE2" w:rsidP="0002735A">
      <w:pPr>
        <w:rPr>
          <w:noProof/>
        </w:rPr>
      </w:pPr>
      <w:r w:rsidRPr="00F81955">
        <w:rPr>
          <w:noProof/>
        </w:rPr>
        <w:t>Having regard to the opinion of the European Economic and Social Committee</w:t>
      </w:r>
      <w:r w:rsidRPr="00F81955">
        <w:rPr>
          <w:rStyle w:val="FootnoteReference"/>
          <w:noProof/>
        </w:rPr>
        <w:footnoteReference w:id="13"/>
      </w:r>
      <w:r w:rsidRPr="00F81955">
        <w:rPr>
          <w:noProof/>
        </w:rPr>
        <w:t>,</w:t>
      </w:r>
    </w:p>
    <w:p w:rsidR="009C3EE2" w:rsidRPr="00F81955" w:rsidRDefault="009C3EE2" w:rsidP="0002735A">
      <w:pPr>
        <w:rPr>
          <w:noProof/>
        </w:rPr>
      </w:pPr>
      <w:r w:rsidRPr="00F81955">
        <w:rPr>
          <w:noProof/>
        </w:rPr>
        <w:t>Having regard to the opinion of the Committee of the Regions</w:t>
      </w:r>
      <w:r w:rsidRPr="00F81955">
        <w:rPr>
          <w:rStyle w:val="FootnoteReference"/>
          <w:noProof/>
        </w:rPr>
        <w:footnoteReference w:id="14"/>
      </w:r>
      <w:r w:rsidRPr="00F81955">
        <w:rPr>
          <w:noProof/>
        </w:rPr>
        <w:t>,</w:t>
      </w:r>
    </w:p>
    <w:p w:rsidR="009C3EE2" w:rsidRPr="00F81955" w:rsidRDefault="009C3EE2" w:rsidP="0002735A">
      <w:pPr>
        <w:rPr>
          <w:noProof/>
        </w:rPr>
      </w:pPr>
      <w:r w:rsidRPr="00F81955">
        <w:rPr>
          <w:noProof/>
        </w:rPr>
        <w:t>Acting in accordance with the ordinary legislative procedure,</w:t>
      </w:r>
    </w:p>
    <w:p w:rsidR="009C3EE2" w:rsidRPr="00F81955" w:rsidRDefault="009C3EE2" w:rsidP="0002735A">
      <w:pPr>
        <w:rPr>
          <w:noProof/>
        </w:rPr>
      </w:pPr>
      <w:r w:rsidRPr="00F81955">
        <w:rPr>
          <w:noProof/>
        </w:rPr>
        <w:t>Whereas:</w:t>
      </w:r>
    </w:p>
    <w:p w:rsidR="00133696" w:rsidRPr="00F81955" w:rsidRDefault="00C076D8" w:rsidP="00C076D8">
      <w:pPr>
        <w:pStyle w:val="ManualConsidrant"/>
        <w:rPr>
          <w:noProof/>
        </w:rPr>
      </w:pPr>
      <w:r w:rsidRPr="00C076D8">
        <w:rPr>
          <w:noProof/>
        </w:rPr>
        <w:t>(1)</w:t>
      </w:r>
      <w:r w:rsidRPr="00C076D8">
        <w:rPr>
          <w:noProof/>
        </w:rPr>
        <w:tab/>
      </w:r>
      <w:r w:rsidR="00650B4D" w:rsidRPr="00F81955">
        <w:rPr>
          <w:noProof/>
        </w:rPr>
        <w:t xml:space="preserve">Regulation (EU) 2024/1689 </w:t>
      </w:r>
      <w:r w:rsidR="0017354A" w:rsidRPr="00F81955">
        <w:rPr>
          <w:noProof/>
        </w:rPr>
        <w:t>of the European Parliament and of the Council</w:t>
      </w:r>
      <w:r w:rsidR="001E3BF0" w:rsidRPr="00F81955">
        <w:rPr>
          <w:rStyle w:val="FootnoteReference"/>
          <w:noProof/>
        </w:rPr>
        <w:footnoteReference w:id="15"/>
      </w:r>
      <w:r w:rsidR="0017354A" w:rsidRPr="00F81955">
        <w:rPr>
          <w:noProof/>
        </w:rPr>
        <w:t xml:space="preserve"> </w:t>
      </w:r>
      <w:r w:rsidR="001E3BF0" w:rsidRPr="00F81955">
        <w:rPr>
          <w:noProof/>
        </w:rPr>
        <w:t xml:space="preserve">lays down </w:t>
      </w:r>
      <w:r w:rsidR="00650B4D" w:rsidRPr="00F81955">
        <w:rPr>
          <w:noProof/>
        </w:rPr>
        <w:t>harmonised rules on artificial intelligence</w:t>
      </w:r>
      <w:r w:rsidR="00395557" w:rsidRPr="00F81955">
        <w:rPr>
          <w:noProof/>
        </w:rPr>
        <w:t xml:space="preserve"> (AI)</w:t>
      </w:r>
      <w:r w:rsidR="00650B4D" w:rsidRPr="00F81955">
        <w:rPr>
          <w:noProof/>
        </w:rPr>
        <w:t xml:space="preserve"> and aims to improve the functioning of the internal market, to promote the uptake of human-centric and trustworthy artificial intelligence, while ensuring a high level of protection of health, safety and fundamental rights, and support</w:t>
      </w:r>
      <w:r w:rsidR="002D31EB" w:rsidRPr="00F81955">
        <w:rPr>
          <w:noProof/>
        </w:rPr>
        <w:t>ing</w:t>
      </w:r>
      <w:r w:rsidR="00650B4D" w:rsidRPr="00F81955">
        <w:rPr>
          <w:noProof/>
        </w:rPr>
        <w:t xml:space="preserve"> innovation. </w:t>
      </w:r>
      <w:r w:rsidR="004F4186" w:rsidRPr="00F81955">
        <w:rPr>
          <w:rFonts w:eastAsia="Times New Roman"/>
          <w:noProof/>
        </w:rPr>
        <w:t>Regulation (EU)</w:t>
      </w:r>
      <w:r w:rsidR="00A8490B" w:rsidRPr="00F81955">
        <w:rPr>
          <w:rFonts w:eastAsia="Times New Roman"/>
          <w:noProof/>
        </w:rPr>
        <w:t xml:space="preserve"> 2024/1689 </w:t>
      </w:r>
      <w:r w:rsidR="002D31EB" w:rsidRPr="00F81955">
        <w:rPr>
          <w:rFonts w:eastAsia="Times New Roman"/>
          <w:noProof/>
        </w:rPr>
        <w:t>entered into force on 1 August 2024. Its provisions enter into application in a staggered manner, with all rules entering into application by</w:t>
      </w:r>
      <w:r w:rsidR="004F4186" w:rsidRPr="00F81955">
        <w:rPr>
          <w:rFonts w:eastAsia="Times New Roman"/>
          <w:noProof/>
        </w:rPr>
        <w:t xml:space="preserve"> 2 August 2027. </w:t>
      </w:r>
    </w:p>
    <w:p w:rsidR="00A8490B" w:rsidRPr="00F81955" w:rsidRDefault="00C076D8" w:rsidP="00C076D8">
      <w:pPr>
        <w:pStyle w:val="ManualConsidrant"/>
        <w:rPr>
          <w:noProof/>
        </w:rPr>
      </w:pPr>
      <w:r w:rsidRPr="00C076D8">
        <w:rPr>
          <w:noProof/>
        </w:rPr>
        <w:t>(2)</w:t>
      </w:r>
      <w:r w:rsidRPr="00C076D8">
        <w:rPr>
          <w:noProof/>
        </w:rPr>
        <w:tab/>
      </w:r>
      <w:r w:rsidR="00666152" w:rsidRPr="00F81955">
        <w:rPr>
          <w:noProof/>
        </w:rPr>
        <w:t>T</w:t>
      </w:r>
      <w:r w:rsidR="004F4186" w:rsidRPr="00F81955">
        <w:rPr>
          <w:noProof/>
        </w:rPr>
        <w:t xml:space="preserve">he experience gathered in implementing the parts of </w:t>
      </w:r>
      <w:r w:rsidR="00666152" w:rsidRPr="00F81955">
        <w:rPr>
          <w:noProof/>
        </w:rPr>
        <w:t xml:space="preserve">Regulation (EU) 2024/1689 that have already entered into application </w:t>
      </w:r>
      <w:r w:rsidR="004F4186" w:rsidRPr="00F81955">
        <w:rPr>
          <w:noProof/>
        </w:rPr>
        <w:t xml:space="preserve">can </w:t>
      </w:r>
      <w:r w:rsidR="00666152" w:rsidRPr="00F81955">
        <w:rPr>
          <w:noProof/>
        </w:rPr>
        <w:t>inform the implementation of those</w:t>
      </w:r>
      <w:r w:rsidR="004F4186" w:rsidRPr="00F81955">
        <w:rPr>
          <w:noProof/>
        </w:rPr>
        <w:t xml:space="preserve"> parts that are yet to apply.</w:t>
      </w:r>
      <w:r w:rsidR="00A8490B" w:rsidRPr="00F81955">
        <w:rPr>
          <w:noProof/>
        </w:rPr>
        <w:t xml:space="preserve"> </w:t>
      </w:r>
      <w:r w:rsidR="008C662A" w:rsidRPr="00F81955">
        <w:rPr>
          <w:noProof/>
        </w:rPr>
        <w:t>In this context, the delayed preparation of standards</w:t>
      </w:r>
      <w:r w:rsidR="00FB5E8F" w:rsidRPr="00F81955">
        <w:rPr>
          <w:noProof/>
        </w:rPr>
        <w:t>,</w:t>
      </w:r>
      <w:r w:rsidR="008C662A" w:rsidRPr="00F81955">
        <w:rPr>
          <w:noProof/>
        </w:rPr>
        <w:t xml:space="preserve"> which should provide technical solutions for providers of high-risk AI systems</w:t>
      </w:r>
      <w:r w:rsidR="00666152" w:rsidRPr="00F81955">
        <w:rPr>
          <w:noProof/>
        </w:rPr>
        <w:t xml:space="preserve"> to ensure compliance with their obligations under that regulation</w:t>
      </w:r>
      <w:r w:rsidR="00C04340" w:rsidRPr="00F81955">
        <w:rPr>
          <w:noProof/>
        </w:rPr>
        <w:t>,</w:t>
      </w:r>
      <w:r w:rsidR="008C662A" w:rsidRPr="00F81955">
        <w:rPr>
          <w:noProof/>
        </w:rPr>
        <w:t xml:space="preserve"> and the delayed establishment </w:t>
      </w:r>
      <w:r w:rsidR="009C01F8" w:rsidRPr="00F81955">
        <w:rPr>
          <w:noProof/>
        </w:rPr>
        <w:t xml:space="preserve">of the governance and the conformity assessment </w:t>
      </w:r>
      <w:r w:rsidR="00666152" w:rsidRPr="00F81955">
        <w:rPr>
          <w:noProof/>
        </w:rPr>
        <w:t>frameworks at</w:t>
      </w:r>
      <w:r w:rsidR="00C04340" w:rsidRPr="00F81955">
        <w:rPr>
          <w:noProof/>
        </w:rPr>
        <w:t xml:space="preserve"> national level</w:t>
      </w:r>
      <w:r w:rsidR="00236B10" w:rsidRPr="00F81955">
        <w:rPr>
          <w:noProof/>
        </w:rPr>
        <w:t xml:space="preserve"> </w:t>
      </w:r>
      <w:r w:rsidR="009C01F8" w:rsidRPr="00F81955">
        <w:rPr>
          <w:noProof/>
        </w:rPr>
        <w:t xml:space="preserve">result in a compliance burden that is heavier than </w:t>
      </w:r>
      <w:r w:rsidR="002F01DD" w:rsidRPr="00F81955">
        <w:rPr>
          <w:noProof/>
        </w:rPr>
        <w:t>expected</w:t>
      </w:r>
      <w:r w:rsidR="008C662A" w:rsidRPr="00F81955">
        <w:rPr>
          <w:noProof/>
        </w:rPr>
        <w:t>.</w:t>
      </w:r>
      <w:r w:rsidR="002F01DD" w:rsidRPr="00F81955">
        <w:rPr>
          <w:noProof/>
        </w:rPr>
        <w:t xml:space="preserve"> In addition, consultation</w:t>
      </w:r>
      <w:r w:rsidR="00666152" w:rsidRPr="00F81955">
        <w:rPr>
          <w:noProof/>
        </w:rPr>
        <w:t>s</w:t>
      </w:r>
      <w:r w:rsidR="002F01DD" w:rsidRPr="00F81955">
        <w:rPr>
          <w:noProof/>
        </w:rPr>
        <w:t xml:space="preserve"> of stakeholders </w:t>
      </w:r>
      <w:r w:rsidR="00666152" w:rsidRPr="00F81955">
        <w:rPr>
          <w:noProof/>
        </w:rPr>
        <w:t xml:space="preserve">have </w:t>
      </w:r>
      <w:r w:rsidR="002F01DD" w:rsidRPr="00F81955">
        <w:rPr>
          <w:noProof/>
        </w:rPr>
        <w:t xml:space="preserve">revealed the need </w:t>
      </w:r>
      <w:r w:rsidR="004A0970" w:rsidRPr="00F81955">
        <w:rPr>
          <w:noProof/>
        </w:rPr>
        <w:t xml:space="preserve">for additional measures that facilitate </w:t>
      </w:r>
      <w:r w:rsidR="00E03752" w:rsidRPr="00F81955">
        <w:rPr>
          <w:noProof/>
        </w:rPr>
        <w:t xml:space="preserve">and provide clarification on the </w:t>
      </w:r>
      <w:r w:rsidR="004A0970" w:rsidRPr="00F81955">
        <w:rPr>
          <w:noProof/>
        </w:rPr>
        <w:t xml:space="preserve">implementation and compliance, without reducing the level of protection for health, safety and fundamental rights from </w:t>
      </w:r>
      <w:r w:rsidR="00666152" w:rsidRPr="00F81955">
        <w:rPr>
          <w:noProof/>
        </w:rPr>
        <w:t xml:space="preserve">AI-related </w:t>
      </w:r>
      <w:r w:rsidR="004A0970" w:rsidRPr="00F81955">
        <w:rPr>
          <w:noProof/>
        </w:rPr>
        <w:t>risks that the rules of Regulation (EU) 2024/1689 seek to achieve.</w:t>
      </w:r>
    </w:p>
    <w:p w:rsidR="004D730C" w:rsidRPr="00F81955" w:rsidRDefault="00C076D8" w:rsidP="00C076D8">
      <w:pPr>
        <w:pStyle w:val="ManualConsidrant"/>
        <w:rPr>
          <w:noProof/>
        </w:rPr>
      </w:pPr>
      <w:r w:rsidRPr="00C076D8">
        <w:rPr>
          <w:noProof/>
        </w:rPr>
        <w:t>(3)</w:t>
      </w:r>
      <w:r w:rsidRPr="00C076D8">
        <w:rPr>
          <w:noProof/>
        </w:rPr>
        <w:tab/>
      </w:r>
      <w:r w:rsidR="006C6077" w:rsidRPr="00F81955">
        <w:rPr>
          <w:noProof/>
        </w:rPr>
        <w:t>Consequently</w:t>
      </w:r>
      <w:r w:rsidR="00715C39" w:rsidRPr="00F81955">
        <w:rPr>
          <w:noProof/>
        </w:rPr>
        <w:t xml:space="preserve">, </w:t>
      </w:r>
      <w:r w:rsidR="00D92067" w:rsidRPr="00F81955">
        <w:rPr>
          <w:noProof/>
        </w:rPr>
        <w:t xml:space="preserve">targeted amendments to </w:t>
      </w:r>
      <w:r w:rsidR="004D730C" w:rsidRPr="00F81955">
        <w:rPr>
          <w:noProof/>
        </w:rPr>
        <w:t>Regulation (EU) 2024/1689</w:t>
      </w:r>
      <w:r w:rsidR="00666152" w:rsidRPr="00F81955">
        <w:rPr>
          <w:noProof/>
        </w:rPr>
        <w:t xml:space="preserve"> are</w:t>
      </w:r>
      <w:r w:rsidR="004D730C" w:rsidRPr="00F81955">
        <w:rPr>
          <w:noProof/>
        </w:rPr>
        <w:t xml:space="preserve"> necessary to address certain implementation challenges, with a view </w:t>
      </w:r>
      <w:r w:rsidR="00A23E50" w:rsidRPr="00F81955">
        <w:rPr>
          <w:noProof/>
        </w:rPr>
        <w:t>to the effective application of the relevant rules</w:t>
      </w:r>
      <w:r w:rsidR="004D730C" w:rsidRPr="00F81955">
        <w:rPr>
          <w:noProof/>
        </w:rPr>
        <w:t>.</w:t>
      </w:r>
    </w:p>
    <w:p w:rsidR="004D730C" w:rsidRPr="00F81955" w:rsidRDefault="00C076D8" w:rsidP="00C076D8">
      <w:pPr>
        <w:pStyle w:val="ManualConsidrant"/>
        <w:rPr>
          <w:noProof/>
        </w:rPr>
      </w:pPr>
      <w:r w:rsidRPr="00C076D8">
        <w:rPr>
          <w:noProof/>
        </w:rPr>
        <w:t>(4)</w:t>
      </w:r>
      <w:r w:rsidRPr="00C076D8">
        <w:rPr>
          <w:noProof/>
        </w:rPr>
        <w:tab/>
      </w:r>
      <w:r w:rsidR="004D730C" w:rsidRPr="00F81955">
        <w:rPr>
          <w:noProof/>
        </w:rPr>
        <w:t xml:space="preserve">Enterprises outgrowing the </w:t>
      </w:r>
      <w:r w:rsidR="0049671A" w:rsidRPr="00F81955">
        <w:rPr>
          <w:noProof/>
        </w:rPr>
        <w:t>micro, small and medium-sized enterprises (‘</w:t>
      </w:r>
      <w:r w:rsidR="004D730C" w:rsidRPr="00F81955">
        <w:rPr>
          <w:noProof/>
        </w:rPr>
        <w:t>SME</w:t>
      </w:r>
      <w:r w:rsidR="0049671A" w:rsidRPr="00F81955">
        <w:rPr>
          <w:noProof/>
        </w:rPr>
        <w:t>’)</w:t>
      </w:r>
      <w:r w:rsidR="004D730C" w:rsidRPr="00F81955">
        <w:rPr>
          <w:noProof/>
        </w:rPr>
        <w:t xml:space="preserve"> definition – the ‘small mid-cap enterprises’ (‘SMCs’) – play a vital role in the Union’s economy. Compared to SMEs, SMCs tend to demonstrate a higher pace of growth, and level of innovation and digitisation. Nevertheless, they face challenges </w:t>
      </w:r>
      <w:r w:rsidR="001C7447" w:rsidRPr="00F81955">
        <w:rPr>
          <w:noProof/>
        </w:rPr>
        <w:t xml:space="preserve">similar to </w:t>
      </w:r>
      <w:r w:rsidR="004D730C" w:rsidRPr="00F81955">
        <w:rPr>
          <w:noProof/>
        </w:rPr>
        <w:t>SMEs</w:t>
      </w:r>
      <w:r w:rsidR="001C7447" w:rsidRPr="00F81955">
        <w:rPr>
          <w:noProof/>
        </w:rPr>
        <w:t xml:space="preserve"> in relation to administrative burden</w:t>
      </w:r>
      <w:r w:rsidR="004D730C" w:rsidRPr="00F81955">
        <w:rPr>
          <w:noProof/>
        </w:rPr>
        <w:t xml:space="preserve">, leading to a need for proportionality in </w:t>
      </w:r>
      <w:r w:rsidR="001C7447" w:rsidRPr="00F81955">
        <w:rPr>
          <w:noProof/>
        </w:rPr>
        <w:t xml:space="preserve">the implementation of Regulation (EU) 2024/1689 </w:t>
      </w:r>
      <w:r w:rsidR="004D730C" w:rsidRPr="00F81955">
        <w:rPr>
          <w:noProof/>
        </w:rPr>
        <w:t xml:space="preserve">and for targeted support. To enable the smooth transition of </w:t>
      </w:r>
      <w:r w:rsidR="001C7447" w:rsidRPr="00F81955">
        <w:rPr>
          <w:noProof/>
        </w:rPr>
        <w:t xml:space="preserve">enterprises from </w:t>
      </w:r>
      <w:r w:rsidR="004D730C" w:rsidRPr="00F81955">
        <w:rPr>
          <w:noProof/>
        </w:rPr>
        <w:t xml:space="preserve">SMEs into SMCs, it is important to address in a coherent manner the effect that </w:t>
      </w:r>
      <w:r w:rsidR="001C7447" w:rsidRPr="00F81955">
        <w:rPr>
          <w:noProof/>
        </w:rPr>
        <w:t xml:space="preserve">regulation </w:t>
      </w:r>
      <w:r w:rsidR="004D730C" w:rsidRPr="00F81955">
        <w:rPr>
          <w:noProof/>
        </w:rPr>
        <w:t>may</w:t>
      </w:r>
      <w:r w:rsidR="001C7447" w:rsidRPr="00F81955">
        <w:rPr>
          <w:noProof/>
        </w:rPr>
        <w:t xml:space="preserve"> have on their activity</w:t>
      </w:r>
      <w:r w:rsidR="004D730C" w:rsidRPr="00F81955">
        <w:rPr>
          <w:noProof/>
        </w:rPr>
        <w:t xml:space="preserve"> once </w:t>
      </w:r>
      <w:r w:rsidR="00734400" w:rsidRPr="00F81955">
        <w:rPr>
          <w:noProof/>
        </w:rPr>
        <w:t xml:space="preserve">those enterprises </w:t>
      </w:r>
      <w:r w:rsidR="004D730C" w:rsidRPr="00F81955">
        <w:rPr>
          <w:noProof/>
        </w:rPr>
        <w:t>outgrow the segment of SMEs and are faced with rules that apply to large enterprises. Regulation (EU) 2024/1689 provides for several measures for small-scale providers, which should be extended to SMCs. In order to clarify the treatment of SME</w:t>
      </w:r>
      <w:r w:rsidR="00C57ED1" w:rsidRPr="00F81955">
        <w:rPr>
          <w:noProof/>
        </w:rPr>
        <w:t>s</w:t>
      </w:r>
      <w:r w:rsidR="004D730C" w:rsidRPr="00F81955">
        <w:rPr>
          <w:noProof/>
        </w:rPr>
        <w:t xml:space="preserve"> and SMCs in Regulation (EU) 2024/1689, it is necessary to introduce definitions for SME</w:t>
      </w:r>
      <w:r w:rsidR="00734400" w:rsidRPr="00F81955">
        <w:rPr>
          <w:noProof/>
        </w:rPr>
        <w:t>s</w:t>
      </w:r>
      <w:r w:rsidR="004D730C" w:rsidRPr="00F81955">
        <w:rPr>
          <w:noProof/>
        </w:rPr>
        <w:t xml:space="preserve"> and SMC</w:t>
      </w:r>
      <w:r w:rsidR="00734400" w:rsidRPr="00F81955">
        <w:rPr>
          <w:noProof/>
        </w:rPr>
        <w:t>s</w:t>
      </w:r>
      <w:r w:rsidR="004D730C" w:rsidRPr="00F81955">
        <w:rPr>
          <w:noProof/>
        </w:rPr>
        <w:t xml:space="preserve">, which should correspond to the definition set out in </w:t>
      </w:r>
      <w:r w:rsidR="00132E11" w:rsidRPr="00F81955">
        <w:rPr>
          <w:noProof/>
        </w:rPr>
        <w:t>the Annex to Commission Recommendation 2003/361/EC</w:t>
      </w:r>
      <w:r w:rsidR="00904AB8" w:rsidRPr="00F81955">
        <w:rPr>
          <w:rStyle w:val="FootnoteReference"/>
          <w:noProof/>
        </w:rPr>
        <w:footnoteReference w:id="16"/>
      </w:r>
      <w:r w:rsidR="004D730C" w:rsidRPr="00F81955">
        <w:rPr>
          <w:noProof/>
        </w:rPr>
        <w:t xml:space="preserve"> and </w:t>
      </w:r>
      <w:r w:rsidR="00097F36" w:rsidRPr="00F81955">
        <w:rPr>
          <w:noProof/>
        </w:rPr>
        <w:t>Annex to Commission Recommendation 2025/3500/EC</w:t>
      </w:r>
      <w:r w:rsidR="00DA228A" w:rsidRPr="00F81955">
        <w:rPr>
          <w:rStyle w:val="FootnoteReference"/>
          <w:noProof/>
        </w:rPr>
        <w:footnoteReference w:id="17"/>
      </w:r>
      <w:r w:rsidR="004D730C" w:rsidRPr="00F81955">
        <w:rPr>
          <w:noProof/>
        </w:rPr>
        <w:t xml:space="preserve">. </w:t>
      </w:r>
    </w:p>
    <w:p w:rsidR="004D730C" w:rsidRPr="00F81955" w:rsidRDefault="00C076D8" w:rsidP="00C076D8">
      <w:pPr>
        <w:pStyle w:val="ManualConsidrant"/>
        <w:rPr>
          <w:noProof/>
        </w:rPr>
      </w:pPr>
      <w:r w:rsidRPr="00C076D8">
        <w:rPr>
          <w:noProof/>
        </w:rPr>
        <w:t>(5)</w:t>
      </w:r>
      <w:r w:rsidRPr="00C076D8">
        <w:rPr>
          <w:noProof/>
        </w:rPr>
        <w:tab/>
      </w:r>
      <w:r w:rsidR="004D730C" w:rsidRPr="00F81955">
        <w:rPr>
          <w:noProof/>
        </w:rPr>
        <w:t xml:space="preserve">Article 4 </w:t>
      </w:r>
      <w:r w:rsidR="004B0763" w:rsidRPr="00F81955">
        <w:rPr>
          <w:rFonts w:eastAsia="Times New Roman"/>
          <w:noProof/>
        </w:rPr>
        <w:t xml:space="preserve">of Regulation (EU) 2024/1689 currently </w:t>
      </w:r>
      <w:r w:rsidR="004B0763" w:rsidRPr="00F81955">
        <w:rPr>
          <w:noProof/>
        </w:rPr>
        <w:t>imposes</w:t>
      </w:r>
      <w:r w:rsidR="004D730C" w:rsidRPr="00F81955">
        <w:rPr>
          <w:noProof/>
        </w:rPr>
        <w:t xml:space="preserve"> an obligation </w:t>
      </w:r>
      <w:r w:rsidR="004B0763" w:rsidRPr="00F81955">
        <w:rPr>
          <w:noProof/>
        </w:rPr>
        <w:t xml:space="preserve">on </w:t>
      </w:r>
      <w:r w:rsidR="004D730C" w:rsidRPr="00F81955">
        <w:rPr>
          <w:noProof/>
        </w:rPr>
        <w:t xml:space="preserve">all providers and deployers of AI systems to ensure AI literacy of their staff. </w:t>
      </w:r>
      <w:r w:rsidR="00D80AFF" w:rsidRPr="00F81955">
        <w:rPr>
          <w:noProof/>
        </w:rPr>
        <w:t>AI literacy development starting from education and training and continuing in a lifelong learning manner</w:t>
      </w:r>
      <w:r w:rsidR="004D730C" w:rsidRPr="00F81955">
        <w:rPr>
          <w:noProof/>
        </w:rPr>
        <w:t xml:space="preserve"> is crucial to equip providers, deployers and </w:t>
      </w:r>
      <w:r w:rsidR="00D80AFF" w:rsidRPr="00F81955">
        <w:rPr>
          <w:noProof/>
        </w:rPr>
        <w:t xml:space="preserve">other </w:t>
      </w:r>
      <w:r w:rsidR="004D730C" w:rsidRPr="00F81955">
        <w:rPr>
          <w:noProof/>
        </w:rPr>
        <w:t>affected persons with the necessary notions to make informed decisions regarding AI systems</w:t>
      </w:r>
      <w:r w:rsidR="00D80AFF" w:rsidRPr="00F81955">
        <w:rPr>
          <w:noProof/>
        </w:rPr>
        <w:t xml:space="preserve"> deployment</w:t>
      </w:r>
      <w:r w:rsidR="004D730C" w:rsidRPr="00F81955">
        <w:rPr>
          <w:noProof/>
        </w:rPr>
        <w:t xml:space="preserve">. However, experience shared by </w:t>
      </w:r>
      <w:r w:rsidR="004B0763" w:rsidRPr="00F81955">
        <w:rPr>
          <w:noProof/>
        </w:rPr>
        <w:t xml:space="preserve">stakeholders </w:t>
      </w:r>
      <w:r w:rsidR="004D730C" w:rsidRPr="00F81955">
        <w:rPr>
          <w:noProof/>
        </w:rPr>
        <w:t>reveals that a one-size-fits-all solution is not suitable for all types of providers and deployers</w:t>
      </w:r>
      <w:r w:rsidR="004B0763" w:rsidRPr="00F81955">
        <w:rPr>
          <w:noProof/>
        </w:rPr>
        <w:t xml:space="preserve"> in relation to the promotion of AI literacy</w:t>
      </w:r>
      <w:r w:rsidR="004D730C" w:rsidRPr="00F81955">
        <w:rPr>
          <w:noProof/>
        </w:rPr>
        <w:t xml:space="preserve">, rendering </w:t>
      </w:r>
      <w:r w:rsidR="004B0763" w:rsidRPr="00F81955">
        <w:rPr>
          <w:noProof/>
        </w:rPr>
        <w:t xml:space="preserve">such </w:t>
      </w:r>
      <w:r w:rsidR="004D730C" w:rsidRPr="00F81955">
        <w:rPr>
          <w:noProof/>
        </w:rPr>
        <w:t xml:space="preserve">a horizontal obligation ineffective in achieving </w:t>
      </w:r>
      <w:r w:rsidR="004B0763" w:rsidRPr="00F81955">
        <w:rPr>
          <w:noProof/>
        </w:rPr>
        <w:t xml:space="preserve">the </w:t>
      </w:r>
      <w:r w:rsidR="004D730C" w:rsidRPr="00F81955">
        <w:rPr>
          <w:noProof/>
        </w:rPr>
        <w:t>objective</w:t>
      </w:r>
      <w:r w:rsidR="004B0763" w:rsidRPr="00F81955">
        <w:rPr>
          <w:noProof/>
        </w:rPr>
        <w:t xml:space="preserve"> pursued by this provision</w:t>
      </w:r>
      <w:r w:rsidR="004D730C" w:rsidRPr="00F81955">
        <w:rPr>
          <w:noProof/>
        </w:rPr>
        <w:t>. Moreover, data indicate that imposing such an obligation create</w:t>
      </w:r>
      <w:r w:rsidR="004B0763" w:rsidRPr="00F81955">
        <w:rPr>
          <w:noProof/>
        </w:rPr>
        <w:t>s</w:t>
      </w:r>
      <w:r w:rsidR="004D730C" w:rsidRPr="00F81955">
        <w:rPr>
          <w:noProof/>
        </w:rPr>
        <w:t xml:space="preserve"> an additional compliance burden, particularly for small</w:t>
      </w:r>
      <w:r w:rsidR="004B0763" w:rsidRPr="00F81955">
        <w:rPr>
          <w:noProof/>
        </w:rPr>
        <w:t>er</w:t>
      </w:r>
      <w:r w:rsidR="004D730C" w:rsidRPr="00F81955">
        <w:rPr>
          <w:noProof/>
        </w:rPr>
        <w:t xml:space="preserve"> </w:t>
      </w:r>
      <w:r w:rsidR="004B0763" w:rsidRPr="00F81955">
        <w:rPr>
          <w:noProof/>
        </w:rPr>
        <w:t>enterprises</w:t>
      </w:r>
      <w:r w:rsidR="004D730C" w:rsidRPr="00F81955">
        <w:rPr>
          <w:noProof/>
        </w:rPr>
        <w:t xml:space="preserve">, whereas AI literacy should be a strategic priority, regardless of regulatory obligations and potential sanctions. In light of </w:t>
      </w:r>
      <w:r w:rsidR="004B0763" w:rsidRPr="00F81955">
        <w:rPr>
          <w:noProof/>
        </w:rPr>
        <w:t>that</w:t>
      </w:r>
      <w:r w:rsidR="004D730C" w:rsidRPr="00F81955">
        <w:rPr>
          <w:noProof/>
        </w:rPr>
        <w:t xml:space="preserve">, Article 4 </w:t>
      </w:r>
      <w:r w:rsidR="00EF6466" w:rsidRPr="00F81955">
        <w:rPr>
          <w:rFonts w:eastAsia="Times New Roman"/>
          <w:noProof/>
        </w:rPr>
        <w:t xml:space="preserve">of Regulation (EU) 2024/1689 </w:t>
      </w:r>
      <w:r w:rsidR="004D730C" w:rsidRPr="00F81955">
        <w:rPr>
          <w:noProof/>
        </w:rPr>
        <w:t xml:space="preserve">should be amended to require the Member States </w:t>
      </w:r>
      <w:r w:rsidR="00957A17" w:rsidRPr="00F81955">
        <w:rPr>
          <w:noProof/>
        </w:rPr>
        <w:t>and the Commission,</w:t>
      </w:r>
      <w:r w:rsidR="001D6BAD" w:rsidRPr="00F81955">
        <w:rPr>
          <w:noProof/>
        </w:rPr>
        <w:t xml:space="preserve"> without prejudice to their respective competence</w:t>
      </w:r>
      <w:r w:rsidR="004A4E82" w:rsidRPr="00F81955">
        <w:rPr>
          <w:noProof/>
        </w:rPr>
        <w:t>s</w:t>
      </w:r>
      <w:r w:rsidR="001D6BAD" w:rsidRPr="00F81955">
        <w:rPr>
          <w:noProof/>
        </w:rPr>
        <w:t>,</w:t>
      </w:r>
      <w:r w:rsidR="00957A17" w:rsidRPr="00F81955">
        <w:rPr>
          <w:noProof/>
        </w:rPr>
        <w:t xml:space="preserve"> </w:t>
      </w:r>
      <w:r w:rsidR="004D730C" w:rsidRPr="00F81955">
        <w:rPr>
          <w:noProof/>
        </w:rPr>
        <w:t xml:space="preserve">to individually, collectively and in cooperation with relevant stakeholders encourage providers and deployers to provide a sufficient level of AI literacy of their staff and other persons dealing with the operation and use of AI systems on their behalf, including through offering training opportunities, providing informational resources, </w:t>
      </w:r>
      <w:r w:rsidR="00EF6466" w:rsidRPr="00F81955">
        <w:rPr>
          <w:noProof/>
        </w:rPr>
        <w:t xml:space="preserve">and </w:t>
      </w:r>
      <w:r w:rsidR="004D730C" w:rsidRPr="00F81955">
        <w:rPr>
          <w:noProof/>
        </w:rPr>
        <w:t>allowing exchange of good practices and other non-legally binding initiatives. The European Artificial Intelligence Board (‘Board’) will ensure recurrent exchange between the Commission and Member States on the topic, while the Apply AI Alliance will allow discussion with the wider community.</w:t>
      </w:r>
      <w:r w:rsidR="003208C5" w:rsidRPr="00F81955">
        <w:rPr>
          <w:noProof/>
        </w:rPr>
        <w:t xml:space="preserve"> This amendment is without prejudice to the broader measures taken by the Commission and the Member States to promote AI literacy and competences for the wider population, including learners, students, and citizens at different ages and in particular through education and training systems.</w:t>
      </w:r>
    </w:p>
    <w:p w:rsidR="004D730C" w:rsidRPr="00F81955" w:rsidRDefault="00C076D8" w:rsidP="00C076D8">
      <w:pPr>
        <w:pStyle w:val="ManualConsidrant"/>
        <w:rPr>
          <w:noProof/>
        </w:rPr>
      </w:pPr>
      <w:r w:rsidRPr="00C076D8">
        <w:rPr>
          <w:noProof/>
        </w:rPr>
        <w:t>(6)</w:t>
      </w:r>
      <w:r w:rsidRPr="00C076D8">
        <w:rPr>
          <w:noProof/>
        </w:rPr>
        <w:tab/>
      </w:r>
      <w:r w:rsidR="004D730C" w:rsidRPr="00F81955">
        <w:rPr>
          <w:noProof/>
        </w:rPr>
        <w:t xml:space="preserve">Bias detection and correction constitute a substantial public interest because </w:t>
      </w:r>
      <w:r w:rsidR="00EF6466" w:rsidRPr="00F81955">
        <w:rPr>
          <w:noProof/>
        </w:rPr>
        <w:t xml:space="preserve">they </w:t>
      </w:r>
      <w:r w:rsidR="004D730C" w:rsidRPr="00F81955">
        <w:rPr>
          <w:noProof/>
        </w:rPr>
        <w:t xml:space="preserve">protect natural persons from biases’ adverse effects, including discrimination. Discrimination might result from the bias in AI models and AI systems other than high-risk AI systems for which </w:t>
      </w:r>
      <w:r w:rsidR="00EF6466" w:rsidRPr="00F81955">
        <w:rPr>
          <w:rFonts w:eastAsia="Times New Roman"/>
          <w:noProof/>
        </w:rPr>
        <w:t xml:space="preserve">of Regulation (EU) 2024/1689 </w:t>
      </w:r>
      <w:r w:rsidR="004D730C" w:rsidRPr="00F81955">
        <w:rPr>
          <w:noProof/>
        </w:rPr>
        <w:t>already provides a legal basis authorising the processing of special categories of personal data under Article 9(2), point (g)</w:t>
      </w:r>
      <w:r w:rsidR="00EF6466" w:rsidRPr="00F81955">
        <w:rPr>
          <w:noProof/>
        </w:rPr>
        <w:t>,</w:t>
      </w:r>
      <w:r w:rsidR="004D730C" w:rsidRPr="00F81955">
        <w:rPr>
          <w:noProof/>
        </w:rPr>
        <w:t xml:space="preserve"> of Regulation (EU) 2016/679</w:t>
      </w:r>
      <w:r w:rsidR="00123D2E" w:rsidRPr="00F81955">
        <w:rPr>
          <w:noProof/>
        </w:rPr>
        <w:t xml:space="preserve"> of the European Parliament and of the Council</w:t>
      </w:r>
      <w:r w:rsidR="00123D2E" w:rsidRPr="00F81955">
        <w:rPr>
          <w:rStyle w:val="FootnoteReference"/>
          <w:noProof/>
        </w:rPr>
        <w:footnoteReference w:id="18"/>
      </w:r>
      <w:r w:rsidR="004D730C" w:rsidRPr="00F81955">
        <w:rPr>
          <w:noProof/>
        </w:rPr>
        <w:t xml:space="preserve">. Given that discrimination might result also from </w:t>
      </w:r>
      <w:r w:rsidR="00123D2E" w:rsidRPr="00F81955">
        <w:rPr>
          <w:noProof/>
        </w:rPr>
        <w:t xml:space="preserve">those </w:t>
      </w:r>
      <w:r w:rsidR="004D730C" w:rsidRPr="00F81955">
        <w:rPr>
          <w:noProof/>
        </w:rPr>
        <w:t>other AI systems and models, it is</w:t>
      </w:r>
      <w:r w:rsidR="00323F9A" w:rsidRPr="00F81955">
        <w:rPr>
          <w:noProof/>
        </w:rPr>
        <w:t xml:space="preserve"> therefore</w:t>
      </w:r>
      <w:r w:rsidR="004D730C" w:rsidRPr="00F81955">
        <w:rPr>
          <w:noProof/>
        </w:rPr>
        <w:t xml:space="preserve"> appropriate that Regulation (EU) 2024/1689</w:t>
      </w:r>
      <w:r w:rsidR="00B073BF" w:rsidRPr="00F81955">
        <w:rPr>
          <w:noProof/>
        </w:rPr>
        <w:t xml:space="preserve"> should provide for a legal basis for the processing of special categories of personal data</w:t>
      </w:r>
      <w:r w:rsidR="002C67EA" w:rsidRPr="00F81955">
        <w:rPr>
          <w:noProof/>
        </w:rPr>
        <w:t xml:space="preserve"> also by providers and deployers of other AI systems and AI models as well as deployers of high-risk AI systems.</w:t>
      </w:r>
      <w:r w:rsidR="004D730C" w:rsidRPr="00F81955">
        <w:rPr>
          <w:noProof/>
        </w:rPr>
        <w:t xml:space="preserve"> </w:t>
      </w:r>
      <w:r w:rsidR="00FA54B9" w:rsidRPr="00F81955">
        <w:rPr>
          <w:noProof/>
        </w:rPr>
        <w:t xml:space="preserve">The legal basis is established </w:t>
      </w:r>
      <w:r w:rsidR="004D730C" w:rsidRPr="00F81955">
        <w:rPr>
          <w:noProof/>
        </w:rPr>
        <w:t xml:space="preserve">in compliance with Article 9(2), point (g) of Regulation (EU) 2016/679 </w:t>
      </w:r>
      <w:r w:rsidR="2FA268B2" w:rsidRPr="00F81955">
        <w:rPr>
          <w:rFonts w:eastAsia="Times New Roman"/>
          <w:noProof/>
        </w:rPr>
        <w:t>Article 10(2), point (g) of Regulation (EU) 2018/1725</w:t>
      </w:r>
      <w:r w:rsidR="00045F0F" w:rsidRPr="00F81955">
        <w:rPr>
          <w:rFonts w:eastAsia="Times New Roman"/>
          <w:noProof/>
        </w:rPr>
        <w:t xml:space="preserve"> of the European Parliament and of the Council</w:t>
      </w:r>
      <w:r w:rsidR="00045F0F" w:rsidRPr="00F81955">
        <w:rPr>
          <w:rStyle w:val="FootnoteReference"/>
          <w:rFonts w:eastAsia="Times New Roman"/>
          <w:noProof/>
        </w:rPr>
        <w:footnoteReference w:id="19"/>
      </w:r>
      <w:r w:rsidR="00045F0F" w:rsidRPr="00F81955">
        <w:rPr>
          <w:rFonts w:eastAsia="Times New Roman"/>
          <w:noProof/>
        </w:rPr>
        <w:t xml:space="preserve"> </w:t>
      </w:r>
      <w:r w:rsidR="65ABAB04" w:rsidRPr="00F81955">
        <w:rPr>
          <w:rFonts w:eastAsia="Times New Roman"/>
          <w:noProof/>
        </w:rPr>
        <w:t>and Article 10</w:t>
      </w:r>
      <w:r w:rsidR="0D2B77D7" w:rsidRPr="00F81955">
        <w:rPr>
          <w:rFonts w:eastAsia="Times New Roman"/>
          <w:noProof/>
        </w:rPr>
        <w:t xml:space="preserve">, point </w:t>
      </w:r>
      <w:r w:rsidR="65ABAB04" w:rsidRPr="00F81955">
        <w:rPr>
          <w:rFonts w:eastAsia="Times New Roman"/>
          <w:noProof/>
        </w:rPr>
        <w:t>(a) of Directive (EU) 2016/680</w:t>
      </w:r>
      <w:r w:rsidR="00026F0C" w:rsidRPr="00F81955">
        <w:rPr>
          <w:rFonts w:eastAsia="Times New Roman"/>
          <w:noProof/>
        </w:rPr>
        <w:t xml:space="preserve"> of the European Parliament and of the Council</w:t>
      </w:r>
      <w:r w:rsidR="00026F0C" w:rsidRPr="00F81955">
        <w:rPr>
          <w:rStyle w:val="FootnoteReference"/>
          <w:rFonts w:eastAsia="Times New Roman"/>
          <w:noProof/>
        </w:rPr>
        <w:footnoteReference w:id="20"/>
      </w:r>
      <w:r w:rsidR="2CBED3C5" w:rsidRPr="00F81955">
        <w:rPr>
          <w:rFonts w:eastAsia="Times New Roman"/>
          <w:noProof/>
        </w:rPr>
        <w:t xml:space="preserve"> </w:t>
      </w:r>
      <w:r w:rsidR="00111364" w:rsidRPr="00F81955">
        <w:rPr>
          <w:noProof/>
        </w:rPr>
        <w:t>provides a legal basis</w:t>
      </w:r>
      <w:r w:rsidR="004D730C" w:rsidRPr="00F81955">
        <w:rPr>
          <w:noProof/>
        </w:rPr>
        <w:t xml:space="preserve"> allow</w:t>
      </w:r>
      <w:r w:rsidR="00111364" w:rsidRPr="00F81955">
        <w:rPr>
          <w:noProof/>
        </w:rPr>
        <w:t>ing</w:t>
      </w:r>
      <w:r w:rsidR="004D730C" w:rsidRPr="00F81955">
        <w:rPr>
          <w:noProof/>
        </w:rPr>
        <w:t>, where necessary</w:t>
      </w:r>
      <w:r w:rsidR="00991180" w:rsidRPr="00F81955">
        <w:rPr>
          <w:noProof/>
        </w:rPr>
        <w:t xml:space="preserve"> for the detection and removal of bias</w:t>
      </w:r>
      <w:r w:rsidR="004D730C" w:rsidRPr="00F81955">
        <w:rPr>
          <w:noProof/>
        </w:rPr>
        <w:t xml:space="preserve">, </w:t>
      </w:r>
      <w:r w:rsidR="00111364" w:rsidRPr="00F81955">
        <w:rPr>
          <w:noProof/>
        </w:rPr>
        <w:t xml:space="preserve">the </w:t>
      </w:r>
      <w:r w:rsidR="004D730C" w:rsidRPr="00F81955">
        <w:rPr>
          <w:noProof/>
        </w:rPr>
        <w:t>processing of special categories of personal data by providers and deployers of all AI systems and models, subject to appropriate safeguards that complement Regulation</w:t>
      </w:r>
      <w:r w:rsidR="00BE6A84" w:rsidRPr="00F81955">
        <w:rPr>
          <w:noProof/>
        </w:rPr>
        <w:t>s</w:t>
      </w:r>
      <w:r w:rsidR="004D730C" w:rsidRPr="00F81955">
        <w:rPr>
          <w:noProof/>
        </w:rPr>
        <w:t xml:space="preserve"> (EU) 2016/679</w:t>
      </w:r>
      <w:r w:rsidR="4EB8CCBC" w:rsidRPr="00F81955">
        <w:rPr>
          <w:noProof/>
        </w:rPr>
        <w:t>,</w:t>
      </w:r>
      <w:r w:rsidR="00111364" w:rsidRPr="00F81955">
        <w:rPr>
          <w:noProof/>
        </w:rPr>
        <w:t xml:space="preserve"> </w:t>
      </w:r>
      <w:r w:rsidR="004D730C" w:rsidRPr="00F81955">
        <w:rPr>
          <w:noProof/>
        </w:rPr>
        <w:t>Regulation (EU) 2018/1725</w:t>
      </w:r>
      <w:r w:rsidR="450036DF" w:rsidRPr="00F81955">
        <w:rPr>
          <w:noProof/>
        </w:rPr>
        <w:t xml:space="preserve"> and </w:t>
      </w:r>
      <w:r w:rsidR="450036DF" w:rsidRPr="00F81955">
        <w:rPr>
          <w:rFonts w:eastAsia="Times New Roman"/>
          <w:noProof/>
        </w:rPr>
        <w:t>Directive (EU) 2016/680</w:t>
      </w:r>
      <w:r w:rsidR="7CBA2389" w:rsidRPr="00F81955">
        <w:rPr>
          <w:rFonts w:eastAsia="Times New Roman"/>
          <w:noProof/>
        </w:rPr>
        <w:t>, as applicable</w:t>
      </w:r>
      <w:r w:rsidR="004D730C" w:rsidRPr="00F81955">
        <w:rPr>
          <w:noProof/>
        </w:rPr>
        <w:t>.</w:t>
      </w:r>
    </w:p>
    <w:p w:rsidR="004D730C" w:rsidRPr="00F81955" w:rsidRDefault="00C076D8" w:rsidP="00C076D8">
      <w:pPr>
        <w:pStyle w:val="ManualConsidrant"/>
        <w:rPr>
          <w:noProof/>
        </w:rPr>
      </w:pPr>
      <w:r w:rsidRPr="00C076D8">
        <w:rPr>
          <w:noProof/>
        </w:rPr>
        <w:t>(7)</w:t>
      </w:r>
      <w:r w:rsidRPr="00C076D8">
        <w:rPr>
          <w:noProof/>
        </w:rPr>
        <w:tab/>
      </w:r>
      <w:r w:rsidR="0065427B" w:rsidRPr="00F81955">
        <w:rPr>
          <w:noProof/>
        </w:rPr>
        <w:t xml:space="preserve">In order to ensure consistency, avoid duplication and </w:t>
      </w:r>
      <w:r w:rsidR="001D6BAD" w:rsidRPr="00F81955">
        <w:rPr>
          <w:noProof/>
        </w:rPr>
        <w:t xml:space="preserve">minimise </w:t>
      </w:r>
      <w:r w:rsidR="0065427B" w:rsidRPr="00F81955">
        <w:rPr>
          <w:noProof/>
        </w:rPr>
        <w:t>administrative burden</w:t>
      </w:r>
      <w:r w:rsidR="00BE6A84" w:rsidRPr="00F81955">
        <w:rPr>
          <w:noProof/>
        </w:rPr>
        <w:t>s in relation to</w:t>
      </w:r>
      <w:r w:rsidR="005415AE" w:rsidRPr="00F81955">
        <w:rPr>
          <w:noProof/>
        </w:rPr>
        <w:t xml:space="preserve"> </w:t>
      </w:r>
      <w:r w:rsidR="0065427B" w:rsidRPr="00F81955">
        <w:rPr>
          <w:noProof/>
        </w:rPr>
        <w:t>the</w:t>
      </w:r>
      <w:r w:rsidR="00BE6A84" w:rsidRPr="00F81955">
        <w:rPr>
          <w:noProof/>
        </w:rPr>
        <w:t xml:space="preserve"> procedure for</w:t>
      </w:r>
      <w:r w:rsidR="0065427B" w:rsidRPr="00F81955">
        <w:rPr>
          <w:noProof/>
        </w:rPr>
        <w:t xml:space="preserve"> </w:t>
      </w:r>
      <w:r w:rsidR="00BE6A84" w:rsidRPr="00F81955">
        <w:rPr>
          <w:noProof/>
        </w:rPr>
        <w:t xml:space="preserve">designating notified bodies </w:t>
      </w:r>
      <w:r w:rsidR="0065427B" w:rsidRPr="00F81955">
        <w:rPr>
          <w:noProof/>
        </w:rPr>
        <w:t xml:space="preserve">under Regulation </w:t>
      </w:r>
      <w:r w:rsidR="00BE6A84" w:rsidRPr="00F81955">
        <w:rPr>
          <w:noProof/>
        </w:rPr>
        <w:t xml:space="preserve">(EU) 2024/1689, </w:t>
      </w:r>
      <w:r w:rsidR="0065427B" w:rsidRPr="00F81955">
        <w:rPr>
          <w:noProof/>
        </w:rPr>
        <w:t xml:space="preserve">while maintaining the same level of scrutiny, a single application and </w:t>
      </w:r>
      <w:r w:rsidR="00BE6A84" w:rsidRPr="00F81955">
        <w:rPr>
          <w:noProof/>
        </w:rPr>
        <w:t xml:space="preserve">a </w:t>
      </w:r>
      <w:r w:rsidR="0065427B" w:rsidRPr="00F81955">
        <w:rPr>
          <w:noProof/>
        </w:rPr>
        <w:t>single assessment procedure should be available for new conformity assessment bodies and notified bodies which are designated under</w:t>
      </w:r>
      <w:r w:rsidR="00980918" w:rsidRPr="00F81955">
        <w:rPr>
          <w:noProof/>
        </w:rPr>
        <w:t xml:space="preserve"> the</w:t>
      </w:r>
      <w:r w:rsidR="0065427B" w:rsidRPr="00F81955">
        <w:rPr>
          <w:noProof/>
        </w:rPr>
        <w:t xml:space="preserve"> Union </w:t>
      </w:r>
      <w:r w:rsidR="001D6BAD" w:rsidRPr="00F81955">
        <w:rPr>
          <w:noProof/>
        </w:rPr>
        <w:t xml:space="preserve">harmonisation </w:t>
      </w:r>
      <w:r w:rsidR="0065427B" w:rsidRPr="00F81955">
        <w:rPr>
          <w:noProof/>
        </w:rPr>
        <w:t xml:space="preserve">legislation </w:t>
      </w:r>
      <w:r w:rsidR="00980918" w:rsidRPr="00F81955">
        <w:rPr>
          <w:noProof/>
        </w:rPr>
        <w:t xml:space="preserve">listed </w:t>
      </w:r>
      <w:r w:rsidR="0065427B" w:rsidRPr="00F81955">
        <w:rPr>
          <w:noProof/>
        </w:rPr>
        <w:t>in Section A of Annex I</w:t>
      </w:r>
      <w:r w:rsidR="00803824" w:rsidRPr="00F81955">
        <w:rPr>
          <w:noProof/>
        </w:rPr>
        <w:t xml:space="preserve"> to Regulation (EU) 2024/1689</w:t>
      </w:r>
      <w:r w:rsidR="0065427B" w:rsidRPr="00F81955">
        <w:rPr>
          <w:noProof/>
        </w:rPr>
        <w:t>, such as under Regulations (EU) 2017/745</w:t>
      </w:r>
      <w:r w:rsidR="004B327A" w:rsidRPr="00F81955">
        <w:rPr>
          <w:rStyle w:val="FootnoteReference"/>
          <w:noProof/>
        </w:rPr>
        <w:footnoteReference w:id="21"/>
      </w:r>
      <w:r w:rsidR="0065427B" w:rsidRPr="00F81955">
        <w:rPr>
          <w:noProof/>
        </w:rPr>
        <w:t xml:space="preserve"> and (EU) 2017/746</w:t>
      </w:r>
      <w:r w:rsidR="00EE707A" w:rsidRPr="00F81955">
        <w:rPr>
          <w:rStyle w:val="FootnoteReference"/>
          <w:noProof/>
        </w:rPr>
        <w:footnoteReference w:id="22"/>
      </w:r>
      <w:r w:rsidR="00EE707A" w:rsidRPr="00F81955">
        <w:rPr>
          <w:noProof/>
        </w:rPr>
        <w:t xml:space="preserve"> of the European Parliament and of the Council</w:t>
      </w:r>
      <w:r w:rsidR="0065427B" w:rsidRPr="00F81955">
        <w:rPr>
          <w:noProof/>
        </w:rPr>
        <w:t xml:space="preserve">, where such </w:t>
      </w:r>
      <w:r w:rsidR="00EE707A" w:rsidRPr="00F81955">
        <w:rPr>
          <w:noProof/>
        </w:rPr>
        <w:t xml:space="preserve">a </w:t>
      </w:r>
      <w:r w:rsidR="0065427B" w:rsidRPr="00F81955">
        <w:rPr>
          <w:noProof/>
        </w:rPr>
        <w:t xml:space="preserve">procedure is established under </w:t>
      </w:r>
      <w:r w:rsidR="00EE707A" w:rsidRPr="00F81955">
        <w:rPr>
          <w:noProof/>
        </w:rPr>
        <w:t xml:space="preserve">that </w:t>
      </w:r>
      <w:r w:rsidR="0065427B" w:rsidRPr="00F81955">
        <w:rPr>
          <w:noProof/>
        </w:rPr>
        <w:t xml:space="preserve">Union </w:t>
      </w:r>
      <w:r w:rsidR="001D6BAD" w:rsidRPr="00F81955">
        <w:rPr>
          <w:noProof/>
        </w:rPr>
        <w:t xml:space="preserve">harmonisation </w:t>
      </w:r>
      <w:r w:rsidR="0065427B" w:rsidRPr="00F81955">
        <w:rPr>
          <w:noProof/>
        </w:rPr>
        <w:t xml:space="preserve">legislation. The single application and assessment procedure </w:t>
      </w:r>
      <w:r w:rsidR="00EE707A" w:rsidRPr="00F81955">
        <w:rPr>
          <w:noProof/>
        </w:rPr>
        <w:t xml:space="preserve">aims at </w:t>
      </w:r>
      <w:r w:rsidR="0065427B" w:rsidRPr="00F81955">
        <w:rPr>
          <w:noProof/>
        </w:rPr>
        <w:t>facilitat</w:t>
      </w:r>
      <w:r w:rsidR="00EE707A" w:rsidRPr="00F81955">
        <w:rPr>
          <w:noProof/>
        </w:rPr>
        <w:t>ing</w:t>
      </w:r>
      <w:r w:rsidR="0065427B" w:rsidRPr="00F81955">
        <w:rPr>
          <w:noProof/>
        </w:rPr>
        <w:t>, support</w:t>
      </w:r>
      <w:r w:rsidR="00EE707A" w:rsidRPr="00F81955">
        <w:rPr>
          <w:noProof/>
        </w:rPr>
        <w:t>ing</w:t>
      </w:r>
      <w:r w:rsidR="0065427B" w:rsidRPr="00F81955">
        <w:rPr>
          <w:noProof/>
        </w:rPr>
        <w:t xml:space="preserve"> and expedit</w:t>
      </w:r>
      <w:r w:rsidR="00EE707A" w:rsidRPr="00F81955">
        <w:rPr>
          <w:noProof/>
        </w:rPr>
        <w:t>ing</w:t>
      </w:r>
      <w:r w:rsidR="0065427B" w:rsidRPr="00F81955">
        <w:rPr>
          <w:noProof/>
        </w:rPr>
        <w:t xml:space="preserve"> the designation procedure under </w:t>
      </w:r>
      <w:r w:rsidR="00FE0433" w:rsidRPr="00F81955">
        <w:rPr>
          <w:noProof/>
        </w:rPr>
        <w:t xml:space="preserve">Regulation (EU) 2024/1689, </w:t>
      </w:r>
      <w:r w:rsidR="0065427B" w:rsidRPr="00F81955">
        <w:rPr>
          <w:noProof/>
        </w:rPr>
        <w:t xml:space="preserve">while ensuring compliance with the requirements applicable to notified bodies under </w:t>
      </w:r>
      <w:r w:rsidR="00EE707A" w:rsidRPr="00F81955">
        <w:rPr>
          <w:noProof/>
        </w:rPr>
        <w:t xml:space="preserve">that </w:t>
      </w:r>
      <w:r w:rsidR="00FE0433" w:rsidRPr="00F81955">
        <w:rPr>
          <w:noProof/>
        </w:rPr>
        <w:t xml:space="preserve">Regulation </w:t>
      </w:r>
      <w:r w:rsidR="0065427B" w:rsidRPr="00F81955">
        <w:rPr>
          <w:noProof/>
        </w:rPr>
        <w:t xml:space="preserve">and the Union </w:t>
      </w:r>
      <w:r w:rsidR="001D6BAD" w:rsidRPr="00F81955">
        <w:rPr>
          <w:noProof/>
        </w:rPr>
        <w:t xml:space="preserve">harmonisation </w:t>
      </w:r>
      <w:r w:rsidR="0065427B" w:rsidRPr="00F81955">
        <w:rPr>
          <w:noProof/>
        </w:rPr>
        <w:t>legislation listed in Section A of Annex I</w:t>
      </w:r>
      <w:r w:rsidR="00EE707A" w:rsidRPr="00F81955">
        <w:rPr>
          <w:noProof/>
        </w:rPr>
        <w:t xml:space="preserve"> thereto</w:t>
      </w:r>
      <w:r w:rsidR="0065427B" w:rsidRPr="00F81955">
        <w:rPr>
          <w:noProof/>
        </w:rPr>
        <w:t>.</w:t>
      </w:r>
    </w:p>
    <w:p w:rsidR="004D730C" w:rsidRPr="00F81955" w:rsidRDefault="00C076D8" w:rsidP="00C076D8">
      <w:pPr>
        <w:pStyle w:val="ManualConsidrant"/>
        <w:rPr>
          <w:noProof/>
        </w:rPr>
      </w:pPr>
      <w:r w:rsidRPr="00C076D8">
        <w:rPr>
          <w:noProof/>
        </w:rPr>
        <w:t>(8)</w:t>
      </w:r>
      <w:r w:rsidRPr="00C076D8">
        <w:rPr>
          <w:noProof/>
        </w:rPr>
        <w:tab/>
      </w:r>
      <w:r w:rsidR="004D730C" w:rsidRPr="00F81955">
        <w:rPr>
          <w:noProof/>
        </w:rPr>
        <w:t xml:space="preserve">With a view to </w:t>
      </w:r>
      <w:r w:rsidR="00113A86" w:rsidRPr="00F81955">
        <w:rPr>
          <w:noProof/>
        </w:rPr>
        <w:t xml:space="preserve">ensuring </w:t>
      </w:r>
      <w:r w:rsidR="004D730C" w:rsidRPr="00F81955">
        <w:rPr>
          <w:noProof/>
        </w:rPr>
        <w:t xml:space="preserve">the </w:t>
      </w:r>
      <w:r w:rsidR="00FC28F7" w:rsidRPr="00F81955">
        <w:rPr>
          <w:noProof/>
        </w:rPr>
        <w:t xml:space="preserve">smooth </w:t>
      </w:r>
      <w:r w:rsidR="004D730C" w:rsidRPr="00F81955">
        <w:rPr>
          <w:noProof/>
        </w:rPr>
        <w:t>application</w:t>
      </w:r>
      <w:r w:rsidR="00113A86" w:rsidRPr="00F81955">
        <w:rPr>
          <w:noProof/>
        </w:rPr>
        <w:t xml:space="preserve"> and consistency</w:t>
      </w:r>
      <w:r w:rsidR="004D730C" w:rsidRPr="00F81955">
        <w:rPr>
          <w:noProof/>
        </w:rPr>
        <w:t xml:space="preserve"> of Regulation (EU) 2024/1689, amendments should be made to </w:t>
      </w:r>
      <w:r w:rsidR="00113A86" w:rsidRPr="00F81955">
        <w:rPr>
          <w:noProof/>
        </w:rPr>
        <w:t>it</w:t>
      </w:r>
      <w:r w:rsidR="004D730C" w:rsidRPr="00F81955">
        <w:rPr>
          <w:noProof/>
        </w:rPr>
        <w:t xml:space="preserve">. </w:t>
      </w:r>
      <w:r w:rsidR="00944967" w:rsidRPr="00F81955">
        <w:rPr>
          <w:noProof/>
        </w:rPr>
        <w:t>A technical correction to Article 43</w:t>
      </w:r>
      <w:r w:rsidR="004D4FBA" w:rsidRPr="00F81955">
        <w:rPr>
          <w:noProof/>
        </w:rPr>
        <w:t>(3)</w:t>
      </w:r>
      <w:r w:rsidR="00457ECE" w:rsidRPr="00F81955">
        <w:rPr>
          <w:noProof/>
        </w:rPr>
        <w:t>, first subparagraph,</w:t>
      </w:r>
      <w:r w:rsidR="00944967" w:rsidRPr="00F81955">
        <w:rPr>
          <w:noProof/>
        </w:rPr>
        <w:t xml:space="preserve"> </w:t>
      </w:r>
      <w:r w:rsidR="00457ECE" w:rsidRPr="00F81955">
        <w:rPr>
          <w:noProof/>
        </w:rPr>
        <w:t xml:space="preserve">of Regulation (EU) 2024/1689 </w:t>
      </w:r>
      <w:r w:rsidR="00944967" w:rsidRPr="00F81955">
        <w:rPr>
          <w:noProof/>
        </w:rPr>
        <w:t xml:space="preserve">should be added to align the conformity assessment requirements </w:t>
      </w:r>
      <w:r w:rsidR="00FC28F7" w:rsidRPr="00F81955">
        <w:rPr>
          <w:noProof/>
        </w:rPr>
        <w:t>with the requirements of providers of high-risk AI systems in Article 16 of that Regulation</w:t>
      </w:r>
      <w:r w:rsidR="00944967" w:rsidRPr="00F81955">
        <w:rPr>
          <w:noProof/>
        </w:rPr>
        <w:t xml:space="preserve">. </w:t>
      </w:r>
      <w:r w:rsidR="001657BB" w:rsidRPr="00F81955">
        <w:rPr>
          <w:noProof/>
        </w:rPr>
        <w:t>Moreover, it should be clarified</w:t>
      </w:r>
      <w:r w:rsidR="004805C1" w:rsidRPr="00F81955">
        <w:rPr>
          <w:noProof/>
        </w:rPr>
        <w:t xml:space="preserve"> that </w:t>
      </w:r>
      <w:r w:rsidR="001657BB" w:rsidRPr="00F81955">
        <w:rPr>
          <w:noProof/>
        </w:rPr>
        <w:t>w</w:t>
      </w:r>
      <w:r w:rsidR="00027FC0" w:rsidRPr="00F81955">
        <w:rPr>
          <w:noProof/>
        </w:rPr>
        <w:t xml:space="preserve">here a provider </w:t>
      </w:r>
      <w:r w:rsidR="001D01D8" w:rsidRPr="00F81955">
        <w:rPr>
          <w:noProof/>
        </w:rPr>
        <w:t>of a</w:t>
      </w:r>
      <w:r w:rsidR="00027FC0" w:rsidRPr="00F81955">
        <w:rPr>
          <w:noProof/>
        </w:rPr>
        <w:t xml:space="preserve"> high-risk AI system</w:t>
      </w:r>
      <w:r w:rsidR="001D01D8" w:rsidRPr="00F81955">
        <w:rPr>
          <w:noProof/>
        </w:rPr>
        <w:t xml:space="preserve"> is subject to</w:t>
      </w:r>
      <w:r w:rsidR="00027FC0" w:rsidRPr="00F81955">
        <w:rPr>
          <w:noProof/>
        </w:rPr>
        <w:t xml:space="preserve"> the conformity assessment procedure under Union harmonisation legislation listed in Section A of Annex I</w:t>
      </w:r>
      <w:r w:rsidR="005415AE" w:rsidRPr="00F81955">
        <w:rPr>
          <w:noProof/>
        </w:rPr>
        <w:t xml:space="preserve"> to Regulation (EU) 2024/1689</w:t>
      </w:r>
      <w:r w:rsidR="00027FC0" w:rsidRPr="00F81955">
        <w:rPr>
          <w:noProof/>
        </w:rPr>
        <w:t xml:space="preserve">, and the conformity assessment extends to compliance of the quality management system </w:t>
      </w:r>
      <w:r w:rsidR="005415AE" w:rsidRPr="00F81955">
        <w:rPr>
          <w:noProof/>
        </w:rPr>
        <w:t>of that Regulation</w:t>
      </w:r>
      <w:r w:rsidR="00027FC0" w:rsidRPr="00F81955">
        <w:rPr>
          <w:noProof/>
        </w:rPr>
        <w:t xml:space="preserve"> and </w:t>
      </w:r>
      <w:r w:rsidR="005415AE" w:rsidRPr="00F81955">
        <w:rPr>
          <w:noProof/>
        </w:rPr>
        <w:t>of</w:t>
      </w:r>
      <w:r w:rsidR="00027FC0" w:rsidRPr="00F81955">
        <w:rPr>
          <w:noProof/>
        </w:rPr>
        <w:t xml:space="preserve"> such Union harmonisation legislation, the provider should </w:t>
      </w:r>
      <w:r w:rsidR="00254B0E" w:rsidRPr="00F81955">
        <w:rPr>
          <w:noProof/>
        </w:rPr>
        <w:t>be able to</w:t>
      </w:r>
      <w:r w:rsidR="00027FC0" w:rsidRPr="00F81955">
        <w:rPr>
          <w:noProof/>
        </w:rPr>
        <w:t xml:space="preserve"> include aspects related to quality management systems under </w:t>
      </w:r>
      <w:r w:rsidR="006E30E1" w:rsidRPr="00F81955">
        <w:rPr>
          <w:noProof/>
        </w:rPr>
        <w:t>that</w:t>
      </w:r>
      <w:r w:rsidR="00027FC0" w:rsidRPr="00F81955">
        <w:rPr>
          <w:noProof/>
        </w:rPr>
        <w:t xml:space="preserve"> Regulation as part of the quality management systems under such Union harmonisation legislation</w:t>
      </w:r>
      <w:r w:rsidR="006E30E1" w:rsidRPr="00F81955">
        <w:rPr>
          <w:noProof/>
        </w:rPr>
        <w:t>, in line with Article 17(3) of Regulation (EU) 2024/1689</w:t>
      </w:r>
      <w:r w:rsidR="00027FC0" w:rsidRPr="00F81955">
        <w:rPr>
          <w:noProof/>
        </w:rPr>
        <w:t xml:space="preserve">. </w:t>
      </w:r>
      <w:r w:rsidR="00EC6648" w:rsidRPr="00F81955">
        <w:rPr>
          <w:noProof/>
        </w:rPr>
        <w:t>Article 43</w:t>
      </w:r>
      <w:r w:rsidR="00457ECE" w:rsidRPr="00F81955">
        <w:rPr>
          <w:noProof/>
        </w:rPr>
        <w:t>(3), second subparagraph,</w:t>
      </w:r>
      <w:r w:rsidR="00EC6648" w:rsidRPr="00F81955">
        <w:rPr>
          <w:noProof/>
        </w:rPr>
        <w:t xml:space="preserve"> </w:t>
      </w:r>
      <w:r w:rsidR="00045E01" w:rsidRPr="00F81955">
        <w:rPr>
          <w:noProof/>
        </w:rPr>
        <w:t xml:space="preserve">should be </w:t>
      </w:r>
      <w:r w:rsidR="00EC6648" w:rsidRPr="00F81955">
        <w:rPr>
          <w:noProof/>
        </w:rPr>
        <w:t xml:space="preserve">amended to </w:t>
      </w:r>
      <w:r w:rsidR="00423E3D" w:rsidRPr="00F81955">
        <w:rPr>
          <w:noProof/>
        </w:rPr>
        <w:t xml:space="preserve">clarify that </w:t>
      </w:r>
      <w:r w:rsidR="002E548D" w:rsidRPr="00F81955">
        <w:rPr>
          <w:noProof/>
        </w:rPr>
        <w:t xml:space="preserve">notified bodies </w:t>
      </w:r>
      <w:r w:rsidR="0025630F" w:rsidRPr="00F81955">
        <w:rPr>
          <w:noProof/>
        </w:rPr>
        <w:t xml:space="preserve">which have been notified under </w:t>
      </w:r>
      <w:r w:rsidR="00045E01" w:rsidRPr="00F81955">
        <w:rPr>
          <w:noProof/>
        </w:rPr>
        <w:t xml:space="preserve">the </w:t>
      </w:r>
      <w:r w:rsidR="0025630F" w:rsidRPr="00F81955">
        <w:rPr>
          <w:noProof/>
        </w:rPr>
        <w:t>Union harmonisation legislation listed in Sec</w:t>
      </w:r>
      <w:r w:rsidR="0099539A" w:rsidRPr="00F81955">
        <w:rPr>
          <w:noProof/>
        </w:rPr>
        <w:t>tion A of Annex I</w:t>
      </w:r>
      <w:r w:rsidR="00967810" w:rsidRPr="00F81955">
        <w:rPr>
          <w:noProof/>
        </w:rPr>
        <w:t xml:space="preserve"> </w:t>
      </w:r>
      <w:r w:rsidR="00045E01" w:rsidRPr="00F81955">
        <w:rPr>
          <w:noProof/>
        </w:rPr>
        <w:t xml:space="preserve">to </w:t>
      </w:r>
      <w:r w:rsidR="005415AE" w:rsidRPr="00F81955">
        <w:rPr>
          <w:rFonts w:eastAsia="Times New Roman"/>
          <w:noProof/>
        </w:rPr>
        <w:t xml:space="preserve">Regulation (EU) 2024/1689 </w:t>
      </w:r>
      <w:r w:rsidR="00967810" w:rsidRPr="00F81955">
        <w:rPr>
          <w:noProof/>
        </w:rPr>
        <w:t>and which</w:t>
      </w:r>
      <w:r w:rsidR="00F7372C" w:rsidRPr="00F81955">
        <w:rPr>
          <w:noProof/>
        </w:rPr>
        <w:t xml:space="preserve"> </w:t>
      </w:r>
      <w:r w:rsidR="00967810" w:rsidRPr="00F81955">
        <w:rPr>
          <w:noProof/>
        </w:rPr>
        <w:t>aim to assess high-risk AI systems</w:t>
      </w:r>
      <w:r w:rsidR="000B5C3E" w:rsidRPr="00F81955">
        <w:rPr>
          <w:noProof/>
        </w:rPr>
        <w:t xml:space="preserve"> covered by the Union har</w:t>
      </w:r>
      <w:r w:rsidR="004A74F0" w:rsidRPr="00F81955">
        <w:rPr>
          <w:noProof/>
        </w:rPr>
        <w:t>monisation legislation listed in Section A of Annex I</w:t>
      </w:r>
      <w:r w:rsidR="005415AE" w:rsidRPr="00F81955">
        <w:rPr>
          <w:noProof/>
        </w:rPr>
        <w:t xml:space="preserve"> to that Regulation</w:t>
      </w:r>
      <w:r w:rsidR="00F96BCD" w:rsidRPr="00F81955">
        <w:rPr>
          <w:noProof/>
        </w:rPr>
        <w:t xml:space="preserve">, should apply for the designation as a notified body under </w:t>
      </w:r>
      <w:r w:rsidR="005415AE" w:rsidRPr="00F81955">
        <w:rPr>
          <w:noProof/>
        </w:rPr>
        <w:t xml:space="preserve">that </w:t>
      </w:r>
      <w:r w:rsidR="00F96BCD" w:rsidRPr="00F81955">
        <w:rPr>
          <w:noProof/>
        </w:rPr>
        <w:t xml:space="preserve">Regulation within </w:t>
      </w:r>
      <w:r w:rsidR="00E53BF6" w:rsidRPr="00F81955">
        <w:rPr>
          <w:noProof/>
        </w:rPr>
        <w:t xml:space="preserve">18 </w:t>
      </w:r>
      <w:r w:rsidR="00F96BCD" w:rsidRPr="00F81955">
        <w:rPr>
          <w:noProof/>
        </w:rPr>
        <w:t xml:space="preserve">months </w:t>
      </w:r>
      <w:r w:rsidR="00E53BF6" w:rsidRPr="00F81955">
        <w:rPr>
          <w:noProof/>
        </w:rPr>
        <w:t xml:space="preserve">from [the entry into application of this </w:t>
      </w:r>
      <w:r w:rsidR="00141852" w:rsidRPr="00F81955">
        <w:rPr>
          <w:noProof/>
        </w:rPr>
        <w:t>Regulation</w:t>
      </w:r>
      <w:r w:rsidR="00E53BF6" w:rsidRPr="00F81955">
        <w:rPr>
          <w:noProof/>
        </w:rPr>
        <w:t>]</w:t>
      </w:r>
      <w:r w:rsidR="007C1ECB" w:rsidRPr="00F81955">
        <w:rPr>
          <w:noProof/>
        </w:rPr>
        <w:t>.</w:t>
      </w:r>
      <w:r w:rsidR="00967810" w:rsidRPr="00F81955">
        <w:rPr>
          <w:noProof/>
        </w:rPr>
        <w:t xml:space="preserve"> </w:t>
      </w:r>
      <w:r w:rsidR="00141852" w:rsidRPr="00F81955">
        <w:rPr>
          <w:noProof/>
        </w:rPr>
        <w:t xml:space="preserve">This amendment is without prejudice to Article 28 of Regulation (EU) 2024/1689. </w:t>
      </w:r>
      <w:r w:rsidR="004D730C" w:rsidRPr="00F81955">
        <w:rPr>
          <w:noProof/>
        </w:rPr>
        <w:t xml:space="preserve">Moreover, </w:t>
      </w:r>
      <w:r w:rsidR="0065469B" w:rsidRPr="00F81955">
        <w:rPr>
          <w:noProof/>
        </w:rPr>
        <w:t xml:space="preserve">Regulation (EU) 2024/1689 should be amended to clarify </w:t>
      </w:r>
      <w:r w:rsidR="004D730C" w:rsidRPr="00F81955">
        <w:rPr>
          <w:noProof/>
        </w:rPr>
        <w:t xml:space="preserve">that where a high-risk AI system is both covered by the Union </w:t>
      </w:r>
      <w:r w:rsidR="001D6BAD" w:rsidRPr="00F81955">
        <w:rPr>
          <w:noProof/>
        </w:rPr>
        <w:t xml:space="preserve">harmonisation </w:t>
      </w:r>
      <w:r w:rsidR="004D730C" w:rsidRPr="00F81955">
        <w:rPr>
          <w:noProof/>
        </w:rPr>
        <w:t xml:space="preserve">legislation listed in Section A of Annex I </w:t>
      </w:r>
      <w:r w:rsidR="0065469B" w:rsidRPr="00F81955">
        <w:rPr>
          <w:noProof/>
        </w:rPr>
        <w:t xml:space="preserve">to </w:t>
      </w:r>
      <w:r w:rsidR="004D730C" w:rsidRPr="00F81955">
        <w:rPr>
          <w:noProof/>
        </w:rPr>
        <w:t xml:space="preserve">Regulation (EU) 2024/1689 and falls within one of the use-cases listed in Annex III </w:t>
      </w:r>
      <w:r w:rsidR="0065469B" w:rsidRPr="00F81955">
        <w:rPr>
          <w:noProof/>
        </w:rPr>
        <w:t xml:space="preserve">to </w:t>
      </w:r>
      <w:r w:rsidR="004D730C" w:rsidRPr="00F81955">
        <w:rPr>
          <w:noProof/>
        </w:rPr>
        <w:t xml:space="preserve">that Regulation, the provider </w:t>
      </w:r>
      <w:r w:rsidR="00367794" w:rsidRPr="00F81955">
        <w:rPr>
          <w:noProof/>
        </w:rPr>
        <w:t xml:space="preserve">should </w:t>
      </w:r>
      <w:r w:rsidR="004D730C" w:rsidRPr="00F81955">
        <w:rPr>
          <w:noProof/>
        </w:rPr>
        <w:t xml:space="preserve">follow the relevant conformity assessment procedure as required under </w:t>
      </w:r>
      <w:r w:rsidR="00367794" w:rsidRPr="00F81955">
        <w:rPr>
          <w:noProof/>
        </w:rPr>
        <w:t xml:space="preserve">that </w:t>
      </w:r>
      <w:r w:rsidR="004D730C" w:rsidRPr="00F81955">
        <w:rPr>
          <w:noProof/>
        </w:rPr>
        <w:t>relevant harmonisation legislation.</w:t>
      </w:r>
    </w:p>
    <w:p w:rsidR="2FD5D449" w:rsidRPr="00F81955" w:rsidRDefault="00C076D8" w:rsidP="00C076D8">
      <w:pPr>
        <w:pStyle w:val="ManualConsidrant"/>
        <w:rPr>
          <w:noProof/>
        </w:rPr>
      </w:pPr>
      <w:r w:rsidRPr="00C076D8">
        <w:rPr>
          <w:noProof/>
        </w:rPr>
        <w:t>(9)</w:t>
      </w:r>
      <w:r w:rsidRPr="00C076D8">
        <w:rPr>
          <w:noProof/>
        </w:rPr>
        <w:tab/>
      </w:r>
      <w:r w:rsidR="2FD5D449" w:rsidRPr="00F81955">
        <w:rPr>
          <w:noProof/>
        </w:rPr>
        <w:t xml:space="preserve">To </w:t>
      </w:r>
      <w:r w:rsidR="4D38B6FF" w:rsidRPr="00F81955">
        <w:rPr>
          <w:noProof/>
        </w:rPr>
        <w:t>streamline</w:t>
      </w:r>
      <w:r w:rsidR="2FD5D449" w:rsidRPr="00F81955">
        <w:rPr>
          <w:noProof/>
        </w:rPr>
        <w:t xml:space="preserve"> compliance and reduce the associated costs, providers of AI systems should not be required to register AI systems referred to in Article 6(3)</w:t>
      </w:r>
      <w:r w:rsidR="003345E3" w:rsidRPr="00F81955">
        <w:rPr>
          <w:noProof/>
        </w:rPr>
        <w:t xml:space="preserve"> of Regulation (EU) 2024/1689</w:t>
      </w:r>
      <w:r w:rsidR="0077119F" w:rsidRPr="00F81955">
        <w:rPr>
          <w:noProof/>
        </w:rPr>
        <w:t xml:space="preserve"> in the EU database</w:t>
      </w:r>
      <w:r w:rsidR="00FD0A60" w:rsidRPr="00F81955">
        <w:rPr>
          <w:noProof/>
        </w:rPr>
        <w:t xml:space="preserve"> pursuant </w:t>
      </w:r>
      <w:r w:rsidR="0077119F" w:rsidRPr="00F81955">
        <w:rPr>
          <w:noProof/>
        </w:rPr>
        <w:t>to Article 49(2) of that Regulation</w:t>
      </w:r>
      <w:r w:rsidR="2FD5D449" w:rsidRPr="00F81955">
        <w:rPr>
          <w:noProof/>
        </w:rPr>
        <w:t xml:space="preserve">. Given that such systems </w:t>
      </w:r>
      <w:r w:rsidR="0084715C" w:rsidRPr="00F81955">
        <w:rPr>
          <w:noProof/>
        </w:rPr>
        <w:t xml:space="preserve">are </w:t>
      </w:r>
      <w:r w:rsidR="00327E4D" w:rsidRPr="00F81955">
        <w:rPr>
          <w:noProof/>
        </w:rPr>
        <w:t>not considered</w:t>
      </w:r>
      <w:r w:rsidR="0084715C" w:rsidRPr="00F81955">
        <w:rPr>
          <w:noProof/>
        </w:rPr>
        <w:t xml:space="preserve"> high-risk </w:t>
      </w:r>
      <w:r w:rsidR="00327E4D" w:rsidRPr="00F81955">
        <w:rPr>
          <w:noProof/>
        </w:rPr>
        <w:t xml:space="preserve">under certain conditions where </w:t>
      </w:r>
      <w:r w:rsidR="0084715C" w:rsidRPr="00F81955">
        <w:rPr>
          <w:noProof/>
        </w:rPr>
        <w:t>they do</w:t>
      </w:r>
      <w:r w:rsidR="2FD5D449" w:rsidRPr="00F81955">
        <w:rPr>
          <w:noProof/>
        </w:rPr>
        <w:t xml:space="preserve"> not pose significant risk of harm to the health, safety or fundamental rights of persons, imposing registration requirements would constitute a disproportionate compliance burden. Nevertheless, a provider who considers that an AI system falls under Article 6(3) </w:t>
      </w:r>
      <w:r w:rsidR="00105530" w:rsidRPr="00F81955">
        <w:rPr>
          <w:noProof/>
        </w:rPr>
        <w:t>remains obligated</w:t>
      </w:r>
      <w:r w:rsidR="2FD5D449" w:rsidRPr="00F81955">
        <w:rPr>
          <w:noProof/>
        </w:rPr>
        <w:t xml:space="preserve"> to document its assessment before that system is placed on the market or put into service. This assessment may be requested by national competent authorities.</w:t>
      </w:r>
    </w:p>
    <w:p w:rsidR="004D730C" w:rsidRPr="00F81955" w:rsidRDefault="00C076D8" w:rsidP="00C076D8">
      <w:pPr>
        <w:pStyle w:val="ManualConsidrant"/>
        <w:rPr>
          <w:noProof/>
        </w:rPr>
      </w:pPr>
      <w:r w:rsidRPr="00C076D8">
        <w:rPr>
          <w:noProof/>
        </w:rPr>
        <w:t>(10)</w:t>
      </w:r>
      <w:r w:rsidRPr="00C076D8">
        <w:rPr>
          <w:noProof/>
        </w:rPr>
        <w:tab/>
      </w:r>
      <w:r w:rsidR="004D730C" w:rsidRPr="00F81955">
        <w:rPr>
          <w:noProof/>
        </w:rPr>
        <w:t>Articles 57</w:t>
      </w:r>
      <w:r w:rsidR="00DC1688" w:rsidRPr="00F81955">
        <w:rPr>
          <w:noProof/>
        </w:rPr>
        <w:t>, 58</w:t>
      </w:r>
      <w:r w:rsidR="004D730C" w:rsidRPr="00F81955">
        <w:rPr>
          <w:noProof/>
        </w:rPr>
        <w:t xml:space="preserve"> and 60</w:t>
      </w:r>
      <w:r w:rsidR="00D502A1" w:rsidRPr="00F81955">
        <w:rPr>
          <w:noProof/>
        </w:rPr>
        <w:t xml:space="preserve"> of Regulation (EU) 2024/1689</w:t>
      </w:r>
      <w:r w:rsidR="004D730C" w:rsidRPr="00F81955">
        <w:rPr>
          <w:noProof/>
        </w:rPr>
        <w:t xml:space="preserve"> </w:t>
      </w:r>
      <w:r w:rsidR="00D502A1" w:rsidRPr="00F81955">
        <w:rPr>
          <w:noProof/>
        </w:rPr>
        <w:t>should be amended to</w:t>
      </w:r>
      <w:r w:rsidR="004D730C" w:rsidRPr="00F81955">
        <w:rPr>
          <w:noProof/>
        </w:rPr>
        <w:t xml:space="preserve"> strengthen further cooperation at </w:t>
      </w:r>
      <w:r w:rsidR="00105530" w:rsidRPr="00F81955">
        <w:rPr>
          <w:noProof/>
        </w:rPr>
        <w:t xml:space="preserve">Union </w:t>
      </w:r>
      <w:r w:rsidR="004D730C" w:rsidRPr="00F81955">
        <w:rPr>
          <w:noProof/>
        </w:rPr>
        <w:t>level of AI regulatory sandboxes</w:t>
      </w:r>
      <w:r w:rsidR="00DC1688" w:rsidRPr="00F81955">
        <w:rPr>
          <w:noProof/>
        </w:rPr>
        <w:t xml:space="preserve">, foster clarity and consistency in </w:t>
      </w:r>
      <w:r w:rsidR="00946BAD" w:rsidRPr="00F81955">
        <w:rPr>
          <w:noProof/>
        </w:rPr>
        <w:t xml:space="preserve">the </w:t>
      </w:r>
      <w:r w:rsidR="00DC1688" w:rsidRPr="00F81955">
        <w:rPr>
          <w:noProof/>
        </w:rPr>
        <w:t>governance of AI regulatory sandboxes,</w:t>
      </w:r>
      <w:r w:rsidR="004D730C" w:rsidRPr="00F81955">
        <w:rPr>
          <w:noProof/>
        </w:rPr>
        <w:t xml:space="preserve"> and </w:t>
      </w:r>
      <w:r w:rsidR="00105530" w:rsidRPr="00F81955">
        <w:rPr>
          <w:noProof/>
        </w:rPr>
        <w:t xml:space="preserve">to </w:t>
      </w:r>
      <w:r w:rsidR="004D730C" w:rsidRPr="00F81955">
        <w:rPr>
          <w:noProof/>
        </w:rPr>
        <w:t xml:space="preserve">extend the scope of real-world testing outside AI regulatory sandboxes to high-risk AI systems </w:t>
      </w:r>
      <w:r w:rsidR="00420F61" w:rsidRPr="00F81955">
        <w:rPr>
          <w:noProof/>
        </w:rPr>
        <w:t>covered by the Union harmonisation legislation listed in Annex I to that Regulation</w:t>
      </w:r>
      <w:r w:rsidR="004D730C" w:rsidRPr="00F81955">
        <w:rPr>
          <w:noProof/>
        </w:rPr>
        <w:t>.</w:t>
      </w:r>
      <w:r w:rsidR="00986307" w:rsidRPr="00F81955">
        <w:rPr>
          <w:noProof/>
        </w:rPr>
        <w:t xml:space="preserve"> In particular, to allow procedural simplification, where applicable, in the projects supervised in the AI regulatory sandboxes that include also real</w:t>
      </w:r>
      <w:r w:rsidR="00E3757F" w:rsidRPr="00F81955">
        <w:rPr>
          <w:noProof/>
        </w:rPr>
        <w:t>-</w:t>
      </w:r>
      <w:r w:rsidR="00986307" w:rsidRPr="00F81955">
        <w:rPr>
          <w:noProof/>
        </w:rPr>
        <w:t>world testing, the real-world testing plan should be integrated in the sandbox plan</w:t>
      </w:r>
      <w:r w:rsidR="00E3757F" w:rsidRPr="00F81955">
        <w:rPr>
          <w:noProof/>
        </w:rPr>
        <w:t xml:space="preserve"> agreed by the providers or prospective providers and th</w:t>
      </w:r>
      <w:r w:rsidR="00FE6771" w:rsidRPr="00F81955">
        <w:rPr>
          <w:noProof/>
        </w:rPr>
        <w:t>e competent authority</w:t>
      </w:r>
      <w:r w:rsidR="00986307" w:rsidRPr="00F81955">
        <w:rPr>
          <w:noProof/>
        </w:rPr>
        <w:t xml:space="preserve"> in a single document.</w:t>
      </w:r>
      <w:r w:rsidR="004D730C" w:rsidRPr="00F81955">
        <w:rPr>
          <w:noProof/>
        </w:rPr>
        <w:t xml:space="preserve"> In addition, it is appropriate </w:t>
      </w:r>
      <w:r w:rsidR="00420F61" w:rsidRPr="00F81955">
        <w:rPr>
          <w:noProof/>
        </w:rPr>
        <w:t>to provide for the possibility of</w:t>
      </w:r>
      <w:r w:rsidR="004D730C" w:rsidRPr="00F81955">
        <w:rPr>
          <w:noProof/>
        </w:rPr>
        <w:t xml:space="preserve"> the AI Office to establish an AI regulatory sandbox at </w:t>
      </w:r>
      <w:r w:rsidR="00420F61" w:rsidRPr="00F81955">
        <w:rPr>
          <w:noProof/>
        </w:rPr>
        <w:t xml:space="preserve">Union </w:t>
      </w:r>
      <w:r w:rsidR="004D730C" w:rsidRPr="00F81955">
        <w:rPr>
          <w:noProof/>
        </w:rPr>
        <w:t xml:space="preserve">level for AI systems that are covered by Article 75(1) of Regulation (EU) 2024/1689. By leveraging these infrastructures and facilitating cross-border collaboration, </w:t>
      </w:r>
      <w:r w:rsidR="00CE454A" w:rsidRPr="00F81955">
        <w:rPr>
          <w:noProof/>
        </w:rPr>
        <w:t>coordination would be better streamlined and resources optimally utilised</w:t>
      </w:r>
      <w:r w:rsidR="004D730C" w:rsidRPr="00F81955">
        <w:rPr>
          <w:noProof/>
        </w:rPr>
        <w:t>.</w:t>
      </w:r>
    </w:p>
    <w:p w:rsidR="001E1B04" w:rsidRPr="00F81955" w:rsidRDefault="00C076D8" w:rsidP="00C076D8">
      <w:pPr>
        <w:pStyle w:val="ManualConsidrant"/>
        <w:rPr>
          <w:noProof/>
        </w:rPr>
      </w:pPr>
      <w:r w:rsidRPr="00C076D8">
        <w:rPr>
          <w:noProof/>
        </w:rPr>
        <w:t>(11)</w:t>
      </w:r>
      <w:r w:rsidRPr="00C076D8">
        <w:rPr>
          <w:noProof/>
        </w:rPr>
        <w:tab/>
      </w:r>
      <w:r w:rsidR="004D730C" w:rsidRPr="00F81955">
        <w:rPr>
          <w:noProof/>
        </w:rPr>
        <w:t>To foster innovation</w:t>
      </w:r>
      <w:r w:rsidR="00140E71" w:rsidRPr="00F81955">
        <w:rPr>
          <w:noProof/>
        </w:rPr>
        <w:t>,</w:t>
      </w:r>
      <w:r w:rsidR="004D730C" w:rsidRPr="00F81955">
        <w:rPr>
          <w:noProof/>
        </w:rPr>
        <w:t xml:space="preserve"> it is also appropriate to extend the scope of real-world testing outside AI regulatory sandboxes in Article 60</w:t>
      </w:r>
      <w:r w:rsidR="00140E71" w:rsidRPr="00F81955">
        <w:rPr>
          <w:noProof/>
        </w:rPr>
        <w:t xml:space="preserve"> of Regulation (EU) 2024/1689</w:t>
      </w:r>
      <w:r w:rsidR="004D730C" w:rsidRPr="00F81955">
        <w:rPr>
          <w:noProof/>
        </w:rPr>
        <w:t xml:space="preserve">, currently applicable to high-risk AI systems listed in Annex III </w:t>
      </w:r>
      <w:r w:rsidR="00CE454A" w:rsidRPr="00F81955">
        <w:rPr>
          <w:noProof/>
        </w:rPr>
        <w:t xml:space="preserve">to </w:t>
      </w:r>
      <w:r w:rsidR="00EF620B" w:rsidRPr="00F81955">
        <w:rPr>
          <w:noProof/>
        </w:rPr>
        <w:t xml:space="preserve">that </w:t>
      </w:r>
      <w:r w:rsidR="004D730C" w:rsidRPr="00F81955">
        <w:rPr>
          <w:noProof/>
        </w:rPr>
        <w:t xml:space="preserve">Regulation, and allow providers and prospective providers of high-risk AI systems </w:t>
      </w:r>
      <w:r w:rsidR="00BD3B96" w:rsidRPr="00F81955">
        <w:rPr>
          <w:noProof/>
        </w:rPr>
        <w:t xml:space="preserve">covered by the Union harmonisation legislation </w:t>
      </w:r>
      <w:r w:rsidR="004D730C" w:rsidRPr="00F81955">
        <w:rPr>
          <w:noProof/>
        </w:rPr>
        <w:t xml:space="preserve">listed in Annex I </w:t>
      </w:r>
      <w:r w:rsidR="007856FC" w:rsidRPr="00F81955">
        <w:rPr>
          <w:noProof/>
        </w:rPr>
        <w:t xml:space="preserve">to </w:t>
      </w:r>
      <w:r w:rsidR="004D730C" w:rsidRPr="00F81955">
        <w:rPr>
          <w:noProof/>
        </w:rPr>
        <w:t xml:space="preserve">that Regulation to also test such systems in real-world conditions. This is without prejudice to other Union or national law on the testing in real-world conditions of high-risk AI systems related to products covered by </w:t>
      </w:r>
      <w:r w:rsidR="00BD3B96" w:rsidRPr="00F81955">
        <w:rPr>
          <w:noProof/>
        </w:rPr>
        <w:t xml:space="preserve">that </w:t>
      </w:r>
      <w:r w:rsidR="004D730C" w:rsidRPr="00F81955">
        <w:rPr>
          <w:noProof/>
        </w:rPr>
        <w:t>Union harmonisation legislation.</w:t>
      </w:r>
      <w:r w:rsidR="00CB503A" w:rsidRPr="00F81955">
        <w:rPr>
          <w:noProof/>
        </w:rPr>
        <w:t xml:space="preserve"> To address the specific situation of high-risk AI systems covered </w:t>
      </w:r>
      <w:r w:rsidR="00BE411C" w:rsidRPr="00F81955">
        <w:rPr>
          <w:noProof/>
        </w:rPr>
        <w:t xml:space="preserve">the Union harmonisation legislation listed in </w:t>
      </w:r>
      <w:r w:rsidR="00CB503A" w:rsidRPr="00F81955">
        <w:rPr>
          <w:noProof/>
        </w:rPr>
        <w:t xml:space="preserve">Section B of Annex I </w:t>
      </w:r>
      <w:r w:rsidR="00BE411C" w:rsidRPr="00F81955">
        <w:rPr>
          <w:noProof/>
        </w:rPr>
        <w:t xml:space="preserve">to </w:t>
      </w:r>
      <w:r w:rsidR="00CB503A" w:rsidRPr="00F81955">
        <w:rPr>
          <w:noProof/>
        </w:rPr>
        <w:t xml:space="preserve">that Regulation, </w:t>
      </w:r>
      <w:r w:rsidR="00BE411C" w:rsidRPr="00F81955">
        <w:rPr>
          <w:noProof/>
        </w:rPr>
        <w:t>it is necessary to allow</w:t>
      </w:r>
      <w:r w:rsidR="00E93D34" w:rsidRPr="00F81955">
        <w:rPr>
          <w:noProof/>
        </w:rPr>
        <w:t xml:space="preserve"> </w:t>
      </w:r>
      <w:r w:rsidR="00EF620B" w:rsidRPr="00F81955">
        <w:rPr>
          <w:noProof/>
        </w:rPr>
        <w:t xml:space="preserve">the </w:t>
      </w:r>
      <w:r w:rsidR="00E93D34" w:rsidRPr="00F81955">
        <w:rPr>
          <w:noProof/>
        </w:rPr>
        <w:t>conclusion of voluntary agreements between the Commission and Member States to enable testing of such high-risk AI systems in real-world conditions.</w:t>
      </w:r>
    </w:p>
    <w:p w:rsidR="007C5E2E" w:rsidRPr="00F81955" w:rsidRDefault="00C076D8" w:rsidP="00C076D8">
      <w:pPr>
        <w:pStyle w:val="ManualConsidrant"/>
        <w:rPr>
          <w:noProof/>
        </w:rPr>
      </w:pPr>
      <w:r w:rsidRPr="00C076D8">
        <w:rPr>
          <w:noProof/>
        </w:rPr>
        <w:t>(12)</w:t>
      </w:r>
      <w:r w:rsidRPr="00C076D8">
        <w:rPr>
          <w:noProof/>
        </w:rPr>
        <w:tab/>
      </w:r>
      <w:r w:rsidR="007C5E2E" w:rsidRPr="00F81955">
        <w:rPr>
          <w:noProof/>
        </w:rPr>
        <w:t xml:space="preserve">Article 63 of Regulation (EU) 2024/1689 offers microenterprises who are providers of high-risk AI systems the possibility to benefit from a simplified way to comply with the obligation to establish a quality management system. With a view to </w:t>
      </w:r>
      <w:r w:rsidR="00AD0AE3" w:rsidRPr="00F81955">
        <w:rPr>
          <w:noProof/>
        </w:rPr>
        <w:t>facilitat</w:t>
      </w:r>
      <w:r w:rsidR="00BE411C" w:rsidRPr="00F81955">
        <w:rPr>
          <w:noProof/>
        </w:rPr>
        <w:t>ing</w:t>
      </w:r>
      <w:r w:rsidR="00AD0AE3" w:rsidRPr="00F81955">
        <w:rPr>
          <w:noProof/>
        </w:rPr>
        <w:t xml:space="preserve"> compliance for</w:t>
      </w:r>
      <w:r w:rsidR="007C5E2E" w:rsidRPr="00F81955">
        <w:rPr>
          <w:noProof/>
        </w:rPr>
        <w:t xml:space="preserve"> more innovators</w:t>
      </w:r>
      <w:r w:rsidR="00AD0AE3" w:rsidRPr="00F81955">
        <w:rPr>
          <w:noProof/>
        </w:rPr>
        <w:t>,</w:t>
      </w:r>
      <w:r w:rsidR="007C5E2E" w:rsidRPr="00F81955">
        <w:rPr>
          <w:noProof/>
        </w:rPr>
        <w:t xml:space="preserve"> th</w:t>
      </w:r>
      <w:r w:rsidR="00BE411C" w:rsidRPr="00F81955">
        <w:rPr>
          <w:noProof/>
        </w:rPr>
        <w:t>at possibility</w:t>
      </w:r>
      <w:r w:rsidR="007C5E2E" w:rsidRPr="00F81955">
        <w:rPr>
          <w:noProof/>
        </w:rPr>
        <w:t xml:space="preserve"> should be extended to all SMEs</w:t>
      </w:r>
      <w:r w:rsidR="00AD0AE3" w:rsidRPr="00F81955">
        <w:rPr>
          <w:noProof/>
        </w:rPr>
        <w:t>, including start-ups</w:t>
      </w:r>
      <w:r w:rsidR="007C5E2E" w:rsidRPr="00F81955">
        <w:rPr>
          <w:noProof/>
        </w:rPr>
        <w:t>.</w:t>
      </w:r>
    </w:p>
    <w:p w:rsidR="004D730C" w:rsidRPr="00F81955" w:rsidRDefault="00C076D8" w:rsidP="00C076D8">
      <w:pPr>
        <w:pStyle w:val="ManualConsidrant"/>
        <w:rPr>
          <w:noProof/>
        </w:rPr>
      </w:pPr>
      <w:r w:rsidRPr="00C076D8">
        <w:rPr>
          <w:noProof/>
        </w:rPr>
        <w:t>(13)</w:t>
      </w:r>
      <w:r w:rsidRPr="00C076D8">
        <w:rPr>
          <w:noProof/>
        </w:rPr>
        <w:tab/>
      </w:r>
      <w:r w:rsidR="00D77898" w:rsidRPr="00F81955">
        <w:rPr>
          <w:noProof/>
        </w:rPr>
        <w:t>Article 69 of Regulation (EU) 2024/1689 should be amended t</w:t>
      </w:r>
      <w:r w:rsidR="004D730C" w:rsidRPr="00F81955">
        <w:rPr>
          <w:noProof/>
        </w:rPr>
        <w:t>o simplify the fee structure of the scientific panel</w:t>
      </w:r>
      <w:r w:rsidR="00CF0EC2" w:rsidRPr="00F81955">
        <w:rPr>
          <w:noProof/>
        </w:rPr>
        <w:t>.</w:t>
      </w:r>
      <w:r w:rsidR="004D730C" w:rsidRPr="00F81955">
        <w:rPr>
          <w:noProof/>
        </w:rPr>
        <w:t xml:space="preserve"> </w:t>
      </w:r>
      <w:r w:rsidR="00CF0EC2" w:rsidRPr="00F81955">
        <w:rPr>
          <w:noProof/>
        </w:rPr>
        <w:t>I</w:t>
      </w:r>
      <w:r w:rsidR="004D730C" w:rsidRPr="00F81955">
        <w:rPr>
          <w:noProof/>
        </w:rPr>
        <w:t xml:space="preserve">f Member States call upon </w:t>
      </w:r>
      <w:r w:rsidR="00BE411C" w:rsidRPr="00F81955">
        <w:rPr>
          <w:noProof/>
        </w:rPr>
        <w:t xml:space="preserve">the panel’s </w:t>
      </w:r>
      <w:r w:rsidR="004D730C" w:rsidRPr="00F81955">
        <w:rPr>
          <w:noProof/>
        </w:rPr>
        <w:t>expertise, the fees they may be required to pay the experts should be equivalent to the remuneration the Commission</w:t>
      </w:r>
      <w:r w:rsidR="00BE411C" w:rsidRPr="00F81955">
        <w:rPr>
          <w:noProof/>
        </w:rPr>
        <w:t xml:space="preserve"> is obliged to pay in similar circumstances</w:t>
      </w:r>
      <w:r w:rsidR="004D730C" w:rsidRPr="00F81955">
        <w:rPr>
          <w:noProof/>
        </w:rPr>
        <w:t>. Furthermore, to reduce the procedural complexity, Member States should be able to consult the experts</w:t>
      </w:r>
      <w:r w:rsidR="00BE411C" w:rsidRPr="00F81955">
        <w:rPr>
          <w:noProof/>
        </w:rPr>
        <w:t xml:space="preserve"> of the scientific panel</w:t>
      </w:r>
      <w:r w:rsidR="004D730C" w:rsidRPr="00F81955">
        <w:rPr>
          <w:noProof/>
        </w:rPr>
        <w:t xml:space="preserve"> directly, without involvement of the Commission. </w:t>
      </w:r>
    </w:p>
    <w:p w:rsidR="004D730C" w:rsidRPr="00F81955" w:rsidRDefault="00C076D8" w:rsidP="00C076D8">
      <w:pPr>
        <w:pStyle w:val="ManualConsidrant"/>
        <w:rPr>
          <w:noProof/>
        </w:rPr>
      </w:pPr>
      <w:r w:rsidRPr="00C076D8">
        <w:rPr>
          <w:noProof/>
        </w:rPr>
        <w:t>(14)</w:t>
      </w:r>
      <w:r w:rsidRPr="00C076D8">
        <w:rPr>
          <w:noProof/>
        </w:rPr>
        <w:tab/>
      </w:r>
      <w:r w:rsidR="004D730C" w:rsidRPr="00F81955">
        <w:rPr>
          <w:noProof/>
        </w:rPr>
        <w:t>I</w:t>
      </w:r>
      <w:r w:rsidR="00BE411C" w:rsidRPr="00F81955">
        <w:rPr>
          <w:noProof/>
        </w:rPr>
        <w:t>n order</w:t>
      </w:r>
      <w:r w:rsidR="004D730C" w:rsidRPr="00F81955">
        <w:rPr>
          <w:noProof/>
        </w:rPr>
        <w:t xml:space="preserve"> to strengthen the governance system for AI systems based on general-purpose AI models</w:t>
      </w:r>
      <w:r w:rsidR="00BE411C" w:rsidRPr="00F81955">
        <w:rPr>
          <w:noProof/>
        </w:rPr>
        <w:t>, it is necessary to</w:t>
      </w:r>
      <w:r w:rsidR="004D730C" w:rsidRPr="00F81955">
        <w:rPr>
          <w:noProof/>
        </w:rPr>
        <w:t xml:space="preserve"> clarify the role of the AI Office in monitoring and supervising compliance of such AI systems with Regulation (EU) 2024/1689, while excluding AI systems related to products covered by </w:t>
      </w:r>
      <w:r w:rsidR="00BE411C" w:rsidRPr="00F81955">
        <w:rPr>
          <w:noProof/>
        </w:rPr>
        <w:t xml:space="preserve">the </w:t>
      </w:r>
      <w:r w:rsidR="004D730C" w:rsidRPr="00F81955">
        <w:rPr>
          <w:noProof/>
        </w:rPr>
        <w:t xml:space="preserve">Union harmonisation legislation listed in Annex I </w:t>
      </w:r>
      <w:r w:rsidR="00BE411C" w:rsidRPr="00F81955">
        <w:rPr>
          <w:noProof/>
        </w:rPr>
        <w:t xml:space="preserve">to </w:t>
      </w:r>
      <w:r w:rsidR="004D730C" w:rsidRPr="00F81955">
        <w:rPr>
          <w:noProof/>
        </w:rPr>
        <w:t xml:space="preserve">that Regulation. </w:t>
      </w:r>
      <w:r w:rsidR="00D44EA6" w:rsidRPr="00F81955">
        <w:rPr>
          <w:noProof/>
        </w:rPr>
        <w:t>While sectoral authorities continue to remain responsible for the supervision of AI systems related to products covered by that Union harmonisation legislation,</w:t>
      </w:r>
      <w:r w:rsidR="004D730C" w:rsidRPr="00F81955">
        <w:rPr>
          <w:noProof/>
        </w:rPr>
        <w:t xml:space="preserve"> </w:t>
      </w:r>
      <w:r w:rsidR="009B1C1F" w:rsidRPr="00F81955">
        <w:rPr>
          <w:noProof/>
        </w:rPr>
        <w:t xml:space="preserve">Article 75(1) Regulation (EU) 2024/1689 should be modified </w:t>
      </w:r>
      <w:r w:rsidR="0046706B" w:rsidRPr="00F81955">
        <w:rPr>
          <w:noProof/>
        </w:rPr>
        <w:t>to bring</w:t>
      </w:r>
      <w:r w:rsidR="009B1C1F" w:rsidRPr="00F81955">
        <w:rPr>
          <w:noProof/>
        </w:rPr>
        <w:t xml:space="preserve"> </w:t>
      </w:r>
      <w:r w:rsidR="004D730C" w:rsidRPr="00F81955">
        <w:rPr>
          <w:noProof/>
        </w:rPr>
        <w:t xml:space="preserve">all AI systems based on general-purpose AI models developed by the same provider within the scope of the AI Office's supervision. </w:t>
      </w:r>
      <w:r w:rsidR="00E96991" w:rsidRPr="00F81955">
        <w:rPr>
          <w:noProof/>
        </w:rPr>
        <w:t xml:space="preserve">This does not include AI systems placed on the market, put into service or used by Union institutions, bodies, offices or agencies, which are under the supervision of the European Data Protection Supervisor pursuant to Article 74(9) of Regulation (EU) 2024/1689. </w:t>
      </w:r>
      <w:r w:rsidR="004D730C" w:rsidRPr="00F81955">
        <w:rPr>
          <w:noProof/>
        </w:rPr>
        <w:t xml:space="preserve">To ensure effective supervision for </w:t>
      </w:r>
      <w:r w:rsidR="00D44EA6" w:rsidRPr="00F81955">
        <w:rPr>
          <w:noProof/>
        </w:rPr>
        <w:t xml:space="preserve">those AI </w:t>
      </w:r>
      <w:r w:rsidR="004D730C" w:rsidRPr="00F81955">
        <w:rPr>
          <w:noProof/>
        </w:rPr>
        <w:t>systems in accordance with the tasks and responsibilities assigned to market surveillance authorities under Regulation (EU) 2024/1689, the AI Office should be empowered to take the appropriate measures and decisions to adequately exercise its powers provided for in that Section and Regulation (EU) 2019/1020</w:t>
      </w:r>
      <w:r w:rsidR="00E65101" w:rsidRPr="00F81955">
        <w:rPr>
          <w:noProof/>
        </w:rPr>
        <w:t xml:space="preserve"> of the European Parliament and of the Council</w:t>
      </w:r>
      <w:r w:rsidR="00E65101" w:rsidRPr="00F81955">
        <w:rPr>
          <w:rStyle w:val="FootnoteReference"/>
          <w:noProof/>
        </w:rPr>
        <w:footnoteReference w:id="23"/>
      </w:r>
      <w:r w:rsidR="004D730C" w:rsidRPr="00F81955">
        <w:rPr>
          <w:noProof/>
        </w:rPr>
        <w:t xml:space="preserve">. Article 14 of Regulation (EU) 2019/1020 should apply mutatis mutandis. Furthermore, to ensure effective enforcement, the authorities involved in the application of Regulation (EU) 2024/1689 should cooperate actively in the exercise of </w:t>
      </w:r>
      <w:r w:rsidR="00E65101" w:rsidRPr="00F81955">
        <w:rPr>
          <w:noProof/>
        </w:rPr>
        <w:t xml:space="preserve">those </w:t>
      </w:r>
      <w:r w:rsidR="004D730C" w:rsidRPr="00F81955">
        <w:rPr>
          <w:noProof/>
        </w:rPr>
        <w:t xml:space="preserve">powers, in particular where enforcement actions need to be taken in the territory of a Member State. </w:t>
      </w:r>
    </w:p>
    <w:p w:rsidR="004D730C" w:rsidRPr="00F81955" w:rsidRDefault="00C076D8" w:rsidP="00C076D8">
      <w:pPr>
        <w:pStyle w:val="ManualConsidrant"/>
        <w:rPr>
          <w:noProof/>
        </w:rPr>
      </w:pPr>
      <w:r w:rsidRPr="00C076D8">
        <w:rPr>
          <w:noProof/>
        </w:rPr>
        <w:t>(15)</w:t>
      </w:r>
      <w:r w:rsidRPr="00C076D8">
        <w:rPr>
          <w:noProof/>
        </w:rPr>
        <w:tab/>
      </w:r>
      <w:r w:rsidR="004D730C" w:rsidRPr="00F81955">
        <w:rPr>
          <w:noProof/>
        </w:rPr>
        <w:t>Considering the existing supervisory and enforcement system under Regulation (EU) 2022/2065</w:t>
      </w:r>
      <w:r w:rsidR="001D699D" w:rsidRPr="00F81955">
        <w:rPr>
          <w:noProof/>
        </w:rPr>
        <w:t xml:space="preserve"> of the European Parliament and of the Council</w:t>
      </w:r>
      <w:r w:rsidR="001D699D" w:rsidRPr="00F81955">
        <w:rPr>
          <w:rStyle w:val="FootnoteReference"/>
          <w:noProof/>
        </w:rPr>
        <w:footnoteReference w:id="24"/>
      </w:r>
      <w:r w:rsidR="004D730C" w:rsidRPr="00F81955">
        <w:rPr>
          <w:noProof/>
        </w:rPr>
        <w:t xml:space="preserve">, it is appropriate to grant the Commission the powers </w:t>
      </w:r>
      <w:r w:rsidR="001D699D" w:rsidRPr="00F81955">
        <w:rPr>
          <w:noProof/>
        </w:rPr>
        <w:t>of a</w:t>
      </w:r>
      <w:r w:rsidR="004D730C" w:rsidRPr="00F81955">
        <w:rPr>
          <w:noProof/>
        </w:rPr>
        <w:t xml:space="preserve"> competent market surveillance authority under Regulation</w:t>
      </w:r>
      <w:r w:rsidR="007B39D4" w:rsidRPr="00F81955">
        <w:rPr>
          <w:noProof/>
        </w:rPr>
        <w:t xml:space="preserve"> (EU) 2024/1689</w:t>
      </w:r>
      <w:r w:rsidR="004D730C" w:rsidRPr="00F81955">
        <w:rPr>
          <w:noProof/>
        </w:rPr>
        <w:t xml:space="preserve"> where an AI system qualifies as a</w:t>
      </w:r>
      <w:r w:rsidR="002D1402" w:rsidRPr="00F81955">
        <w:rPr>
          <w:noProof/>
        </w:rPr>
        <w:t xml:space="preserve"> very large</w:t>
      </w:r>
      <w:r w:rsidR="004D730C" w:rsidRPr="00F81955">
        <w:rPr>
          <w:noProof/>
        </w:rPr>
        <w:t xml:space="preserve"> online platform or a</w:t>
      </w:r>
      <w:r w:rsidR="002D1402" w:rsidRPr="00F81955">
        <w:rPr>
          <w:noProof/>
        </w:rPr>
        <w:t xml:space="preserve"> very large</w:t>
      </w:r>
      <w:r w:rsidR="004D730C" w:rsidRPr="00F81955">
        <w:rPr>
          <w:noProof/>
        </w:rPr>
        <w:t xml:space="preserve"> online search engine within the meaning of Regulation (EU) 2022/2065, or</w:t>
      </w:r>
      <w:r w:rsidR="007B39D4" w:rsidRPr="00F81955">
        <w:rPr>
          <w:noProof/>
        </w:rPr>
        <w:t xml:space="preserve"> where it</w:t>
      </w:r>
      <w:r w:rsidR="004D730C" w:rsidRPr="00F81955">
        <w:rPr>
          <w:noProof/>
        </w:rPr>
        <w:t xml:space="preserve"> is embedded in </w:t>
      </w:r>
      <w:r w:rsidR="007B39D4" w:rsidRPr="00F81955">
        <w:rPr>
          <w:noProof/>
        </w:rPr>
        <w:t>such a platform or search engine</w:t>
      </w:r>
      <w:r w:rsidR="004D730C" w:rsidRPr="00F81955">
        <w:rPr>
          <w:noProof/>
        </w:rPr>
        <w:t>. This should contribute to ensuring that the exercise of the Commission’s supervision and enforcement powers under Regulation</w:t>
      </w:r>
      <w:r w:rsidR="007B39D4" w:rsidRPr="00F81955">
        <w:rPr>
          <w:noProof/>
        </w:rPr>
        <w:t xml:space="preserve"> (EU) 2024/1689</w:t>
      </w:r>
      <w:r w:rsidR="004D730C" w:rsidRPr="00F81955">
        <w:rPr>
          <w:noProof/>
        </w:rPr>
        <w:t xml:space="preserve"> and Regulation (EU) 2022/2065, as well as those applicable to general-purpose AI models integrated into such platforms or search engines, are carried out in a coherent manner. In the case of AI systems embedded in or qualifying as a very large online platform or search engine, the first point of entry </w:t>
      </w:r>
      <w:r w:rsidR="000348F3" w:rsidRPr="00F81955">
        <w:rPr>
          <w:noProof/>
        </w:rPr>
        <w:t>for the</w:t>
      </w:r>
      <w:r w:rsidR="004D730C" w:rsidRPr="00F81955">
        <w:rPr>
          <w:noProof/>
        </w:rPr>
        <w:t xml:space="preserve"> assessment of the AI systems are the risk assessment, mitigating measures and audit</w:t>
      </w:r>
      <w:r w:rsidR="002E1508" w:rsidRPr="00F81955">
        <w:rPr>
          <w:noProof/>
        </w:rPr>
        <w:t xml:space="preserve"> obligations</w:t>
      </w:r>
      <w:r w:rsidR="004D730C" w:rsidRPr="00F81955">
        <w:rPr>
          <w:noProof/>
        </w:rPr>
        <w:t xml:space="preserve"> prescribed by Articles 34, 35 and 37 of Regulation (EU) 2022/2065</w:t>
      </w:r>
      <w:r w:rsidR="006C05A3" w:rsidRPr="00F81955">
        <w:rPr>
          <w:noProof/>
        </w:rPr>
        <w:t>,</w:t>
      </w:r>
      <w:r w:rsidR="004D730C" w:rsidRPr="00F81955">
        <w:rPr>
          <w:noProof/>
        </w:rPr>
        <w:t xml:space="preserve"> without prejudice to the AI Office’s powers to investigate and enforce </w:t>
      </w:r>
      <w:r w:rsidR="004D730C" w:rsidRPr="00F81955">
        <w:rPr>
          <w:i/>
          <w:noProof/>
        </w:rPr>
        <w:t>ex post</w:t>
      </w:r>
      <w:r w:rsidR="004D730C" w:rsidRPr="00F81955">
        <w:rPr>
          <w:noProof/>
        </w:rPr>
        <w:t xml:space="preserve"> non-compliance with the rules of this Regulation. In the context of the analysis of this risk assessment, mitigating measures and audits, the Commission services responsible for the enforcement of Regulation (EU) 2022/2065 may seek the opinion of the AI Office on the outcome of a potential earlier or parallel risk assessment carried out under this Regulation and the applicability of prohibitions under this Regulation. In addition, the AI Office and the </w:t>
      </w:r>
      <w:r w:rsidR="00CA0812" w:rsidRPr="00F81955">
        <w:rPr>
          <w:noProof/>
        </w:rPr>
        <w:t xml:space="preserve">competent </w:t>
      </w:r>
      <w:r w:rsidR="004D730C" w:rsidRPr="00F81955">
        <w:rPr>
          <w:noProof/>
        </w:rPr>
        <w:t xml:space="preserve">national authorities </w:t>
      </w:r>
      <w:r w:rsidR="00CA0812" w:rsidRPr="00F81955">
        <w:rPr>
          <w:noProof/>
        </w:rPr>
        <w:t xml:space="preserve">under (EU) 2024/1689 </w:t>
      </w:r>
      <w:r w:rsidR="004D730C" w:rsidRPr="00F81955">
        <w:rPr>
          <w:noProof/>
        </w:rPr>
        <w:t xml:space="preserve">should coordinate their enforcement efforts with the authorities </w:t>
      </w:r>
      <w:r w:rsidR="00CA0812" w:rsidRPr="00F81955">
        <w:rPr>
          <w:noProof/>
        </w:rPr>
        <w:t xml:space="preserve">competent </w:t>
      </w:r>
      <w:r w:rsidR="004D730C" w:rsidRPr="00F81955">
        <w:rPr>
          <w:noProof/>
        </w:rPr>
        <w:t xml:space="preserve">for the </w:t>
      </w:r>
      <w:r w:rsidR="00CA0812" w:rsidRPr="00F81955">
        <w:rPr>
          <w:noProof/>
        </w:rPr>
        <w:t xml:space="preserve">supervision and </w:t>
      </w:r>
      <w:r w:rsidR="004D730C" w:rsidRPr="00F81955">
        <w:rPr>
          <w:noProof/>
        </w:rPr>
        <w:t>enforcement of Regulation (EU) 2022/2065, including the Commission, in order to ensure that the principles of loyal cooperation, proportionality and non bis in idem are respected</w:t>
      </w:r>
      <w:r w:rsidR="002D1402" w:rsidRPr="00F81955">
        <w:rPr>
          <w:noProof/>
        </w:rPr>
        <w:t>, while information obtained under the respective other Regulation would be used for the purposes of supervision and enforcement of the other only provided the undertaking agrees</w:t>
      </w:r>
      <w:r w:rsidR="004D730C" w:rsidRPr="00F81955">
        <w:rPr>
          <w:noProof/>
        </w:rPr>
        <w:t xml:space="preserve">. In particular, </w:t>
      </w:r>
      <w:r w:rsidR="00E27A96" w:rsidRPr="00F81955">
        <w:rPr>
          <w:noProof/>
        </w:rPr>
        <w:t>those authorities</w:t>
      </w:r>
      <w:r w:rsidR="004D730C" w:rsidRPr="00F81955">
        <w:rPr>
          <w:noProof/>
        </w:rPr>
        <w:t xml:space="preserve"> should exchange views regularly and take into account, in their respective areas of competence, any fines and penalties imposed on the same </w:t>
      </w:r>
      <w:r w:rsidR="00E27A96" w:rsidRPr="00F81955">
        <w:rPr>
          <w:noProof/>
        </w:rPr>
        <w:t>provider</w:t>
      </w:r>
      <w:r w:rsidR="004D730C" w:rsidRPr="00F81955">
        <w:rPr>
          <w:noProof/>
        </w:rPr>
        <w:t xml:space="preserve"> for the same </w:t>
      </w:r>
      <w:r w:rsidR="00E27A96" w:rsidRPr="00F81955">
        <w:rPr>
          <w:noProof/>
        </w:rPr>
        <w:t xml:space="preserve">conduct </w:t>
      </w:r>
      <w:r w:rsidR="004D730C" w:rsidRPr="00F81955">
        <w:rPr>
          <w:noProof/>
        </w:rPr>
        <w:t>through a final decision in proceedings relating to an infringement of other Union or national rules, so as to ensure that the overall fines and penalties imposed are proportionate and correspond to the seriousness of the infringements committed.</w:t>
      </w:r>
    </w:p>
    <w:p w:rsidR="004D730C" w:rsidRPr="00F81955" w:rsidRDefault="00C076D8" w:rsidP="00C076D8">
      <w:pPr>
        <w:pStyle w:val="ManualConsidrant"/>
        <w:rPr>
          <w:noProof/>
        </w:rPr>
      </w:pPr>
      <w:r w:rsidRPr="00C076D8">
        <w:rPr>
          <w:noProof/>
        </w:rPr>
        <w:t>(16)</w:t>
      </w:r>
      <w:r w:rsidRPr="00C076D8">
        <w:rPr>
          <w:noProof/>
        </w:rPr>
        <w:tab/>
      </w:r>
      <w:r w:rsidR="004D730C" w:rsidRPr="00F81955">
        <w:rPr>
          <w:noProof/>
        </w:rPr>
        <w:t xml:space="preserve">To </w:t>
      </w:r>
      <w:r w:rsidR="0046706B" w:rsidRPr="00F81955">
        <w:rPr>
          <w:noProof/>
        </w:rPr>
        <w:t xml:space="preserve">further </w:t>
      </w:r>
      <w:r w:rsidR="004D730C" w:rsidRPr="00F81955">
        <w:rPr>
          <w:noProof/>
        </w:rPr>
        <w:t xml:space="preserve">operationalise </w:t>
      </w:r>
      <w:r w:rsidR="0046706B" w:rsidRPr="00F81955">
        <w:rPr>
          <w:noProof/>
        </w:rPr>
        <w:t>the AI Office’s</w:t>
      </w:r>
      <w:r w:rsidR="002146E7" w:rsidRPr="00F81955">
        <w:rPr>
          <w:noProof/>
        </w:rPr>
        <w:t xml:space="preserve"> supervision and enforcement</w:t>
      </w:r>
      <w:r w:rsidR="0046706B" w:rsidRPr="00F81955">
        <w:rPr>
          <w:noProof/>
        </w:rPr>
        <w:t xml:space="preserve"> set out in Article 75(1) of Regulation (EU) 2024/1689</w:t>
      </w:r>
      <w:r w:rsidR="004D730C" w:rsidRPr="00F81955">
        <w:rPr>
          <w:noProof/>
        </w:rPr>
        <w:t xml:space="preserve">, it is necessary to </w:t>
      </w:r>
      <w:r w:rsidR="006F6B7D" w:rsidRPr="00F81955">
        <w:rPr>
          <w:noProof/>
        </w:rPr>
        <w:t xml:space="preserve">further </w:t>
      </w:r>
      <w:r w:rsidR="004D730C" w:rsidRPr="00F81955">
        <w:rPr>
          <w:noProof/>
        </w:rPr>
        <w:t xml:space="preserve">define the </w:t>
      </w:r>
      <w:r w:rsidR="00656F35" w:rsidRPr="00F81955">
        <w:rPr>
          <w:noProof/>
        </w:rPr>
        <w:t xml:space="preserve">which of the powers listed in Article 14 of Regulation (EU) 2019/1020 should be conferred upon </w:t>
      </w:r>
      <w:r w:rsidR="004D730C" w:rsidRPr="00F81955">
        <w:rPr>
          <w:noProof/>
        </w:rPr>
        <w:t>the AI Office. The Commission should therefore</w:t>
      </w:r>
      <w:r w:rsidR="00656F35" w:rsidRPr="00F81955">
        <w:rPr>
          <w:noProof/>
        </w:rPr>
        <w:t xml:space="preserve"> be empowered to</w:t>
      </w:r>
      <w:r w:rsidR="004D730C" w:rsidRPr="00F81955">
        <w:rPr>
          <w:noProof/>
        </w:rPr>
        <w:t xml:space="preserve"> adopt implementing act</w:t>
      </w:r>
      <w:r w:rsidR="00E67513" w:rsidRPr="00F81955">
        <w:rPr>
          <w:noProof/>
        </w:rPr>
        <w:t>s</w:t>
      </w:r>
      <w:r w:rsidR="004D730C" w:rsidRPr="00F81955">
        <w:rPr>
          <w:noProof/>
        </w:rPr>
        <w:t xml:space="preserve"> to specify th</w:t>
      </w:r>
      <w:r w:rsidR="00656F35" w:rsidRPr="00F81955">
        <w:rPr>
          <w:noProof/>
        </w:rPr>
        <w:t>os</w:t>
      </w:r>
      <w:r w:rsidR="004D730C" w:rsidRPr="00F81955">
        <w:rPr>
          <w:noProof/>
        </w:rPr>
        <w:t xml:space="preserve">e powers, including the ability to impose penalties, such as fines or other administrative sanctions, in accordance with the conditions and ceilings </w:t>
      </w:r>
      <w:r w:rsidR="00656F35" w:rsidRPr="00F81955">
        <w:rPr>
          <w:noProof/>
        </w:rPr>
        <w:t xml:space="preserve">referred to </w:t>
      </w:r>
      <w:r w:rsidR="004D730C" w:rsidRPr="00F81955">
        <w:rPr>
          <w:noProof/>
        </w:rPr>
        <w:t xml:space="preserve">in Article 99, and applicable procedures. This </w:t>
      </w:r>
      <w:r w:rsidR="00656F35" w:rsidRPr="00F81955">
        <w:rPr>
          <w:noProof/>
        </w:rPr>
        <w:t xml:space="preserve">should </w:t>
      </w:r>
      <w:r w:rsidR="004D730C" w:rsidRPr="00F81955">
        <w:rPr>
          <w:noProof/>
        </w:rPr>
        <w:t>ensure that the AI Office has the necessary tools to effectively monitor and supervise compliance with Regulation</w:t>
      </w:r>
      <w:r w:rsidR="00656F35" w:rsidRPr="00F81955">
        <w:rPr>
          <w:noProof/>
        </w:rPr>
        <w:t xml:space="preserve"> (EU) 2024/1689</w:t>
      </w:r>
      <w:r w:rsidR="004D730C" w:rsidRPr="00F81955">
        <w:rPr>
          <w:noProof/>
        </w:rPr>
        <w:t>.</w:t>
      </w:r>
    </w:p>
    <w:p w:rsidR="004D730C" w:rsidRPr="00F81955" w:rsidRDefault="00C076D8" w:rsidP="00C076D8">
      <w:pPr>
        <w:pStyle w:val="ManualConsidrant"/>
        <w:rPr>
          <w:noProof/>
        </w:rPr>
      </w:pPr>
      <w:r w:rsidRPr="00C076D8">
        <w:rPr>
          <w:noProof/>
        </w:rPr>
        <w:t>(17)</w:t>
      </w:r>
      <w:r w:rsidRPr="00C076D8">
        <w:rPr>
          <w:noProof/>
        </w:rPr>
        <w:tab/>
      </w:r>
      <w:r w:rsidR="004D730C" w:rsidRPr="00F81955">
        <w:rPr>
          <w:noProof/>
        </w:rPr>
        <w:t xml:space="preserve">Additionally, it is essential to ensure that effective procedural safeguards apply to providers of AI systems subject to </w:t>
      </w:r>
      <w:r w:rsidR="00656F35" w:rsidRPr="00F81955">
        <w:rPr>
          <w:noProof/>
        </w:rPr>
        <w:t xml:space="preserve">monitoring and </w:t>
      </w:r>
      <w:r w:rsidR="004D730C" w:rsidRPr="00F81955">
        <w:rPr>
          <w:noProof/>
        </w:rPr>
        <w:t xml:space="preserve">supervision </w:t>
      </w:r>
      <w:r w:rsidR="00656F35" w:rsidRPr="00F81955">
        <w:rPr>
          <w:noProof/>
        </w:rPr>
        <w:t xml:space="preserve">by </w:t>
      </w:r>
      <w:r w:rsidR="004D730C" w:rsidRPr="00F81955">
        <w:rPr>
          <w:noProof/>
        </w:rPr>
        <w:t xml:space="preserve">the AI Office. To </w:t>
      </w:r>
      <w:r w:rsidR="00656F35" w:rsidRPr="00F81955">
        <w:rPr>
          <w:noProof/>
        </w:rPr>
        <w:t xml:space="preserve">that </w:t>
      </w:r>
      <w:r w:rsidR="004D730C" w:rsidRPr="00F81955">
        <w:rPr>
          <w:noProof/>
        </w:rPr>
        <w:t xml:space="preserve">end, the </w:t>
      </w:r>
      <w:r w:rsidR="00656F35" w:rsidRPr="00F81955">
        <w:rPr>
          <w:noProof/>
        </w:rPr>
        <w:t>procedural rights provided for in</w:t>
      </w:r>
      <w:r w:rsidR="004D730C" w:rsidRPr="00F81955">
        <w:rPr>
          <w:noProof/>
        </w:rPr>
        <w:t xml:space="preserve"> Article 18 of Regulation (EU) 2019/1020 should apply mutatis mutandis to providers of AI systems, without prejudice to more specific procedural rights provided for in Regulation (EU) 2024/1689.</w:t>
      </w:r>
    </w:p>
    <w:p w:rsidR="00B572EA" w:rsidRPr="00F81955" w:rsidRDefault="00C076D8" w:rsidP="00C076D8">
      <w:pPr>
        <w:pStyle w:val="ManualConsidrant"/>
        <w:rPr>
          <w:noProof/>
        </w:rPr>
      </w:pPr>
      <w:r w:rsidRPr="00C076D8">
        <w:rPr>
          <w:noProof/>
        </w:rPr>
        <w:t>(18)</w:t>
      </w:r>
      <w:r w:rsidRPr="00C076D8">
        <w:rPr>
          <w:noProof/>
        </w:rPr>
        <w:tab/>
      </w:r>
      <w:r w:rsidR="00B1781B" w:rsidRPr="00F81955">
        <w:rPr>
          <w:noProof/>
        </w:rPr>
        <w:t xml:space="preserve">To enable </w:t>
      </w:r>
      <w:r w:rsidR="00C462E3" w:rsidRPr="00F81955">
        <w:rPr>
          <w:noProof/>
        </w:rPr>
        <w:t xml:space="preserve">access to </w:t>
      </w:r>
      <w:r w:rsidR="007023A0" w:rsidRPr="00F81955">
        <w:rPr>
          <w:noProof/>
        </w:rPr>
        <w:t xml:space="preserve">Union </w:t>
      </w:r>
      <w:r w:rsidR="00C462E3" w:rsidRPr="00F81955">
        <w:rPr>
          <w:noProof/>
        </w:rPr>
        <w:t>market</w:t>
      </w:r>
      <w:r w:rsidR="00960673" w:rsidRPr="00F81955">
        <w:rPr>
          <w:noProof/>
        </w:rPr>
        <w:t xml:space="preserve"> for AI systems which are </w:t>
      </w:r>
      <w:r w:rsidR="006F2429" w:rsidRPr="00F81955">
        <w:rPr>
          <w:noProof/>
        </w:rPr>
        <w:t xml:space="preserve">under the supervision </w:t>
      </w:r>
      <w:r w:rsidR="00185782" w:rsidRPr="00F81955">
        <w:rPr>
          <w:noProof/>
        </w:rPr>
        <w:t>by the AI Office pursuant to</w:t>
      </w:r>
      <w:r w:rsidR="00960673" w:rsidRPr="00F81955">
        <w:rPr>
          <w:noProof/>
        </w:rPr>
        <w:t xml:space="preserve"> Article 75 of Regulation (EU) </w:t>
      </w:r>
      <w:r w:rsidR="00072A2E" w:rsidRPr="00F81955">
        <w:rPr>
          <w:noProof/>
        </w:rPr>
        <w:t>2024</w:t>
      </w:r>
      <w:r w:rsidR="00960673" w:rsidRPr="00F81955">
        <w:rPr>
          <w:noProof/>
        </w:rPr>
        <w:t xml:space="preserve">/1689 and subject to third party conformity assessment, </w:t>
      </w:r>
      <w:r w:rsidR="00EA532E" w:rsidRPr="00F81955">
        <w:rPr>
          <w:noProof/>
        </w:rPr>
        <w:t>the Commission should be enabled to carry out pre-market conformity assessments of those systems.</w:t>
      </w:r>
    </w:p>
    <w:p w:rsidR="004D730C" w:rsidRPr="00F81955" w:rsidRDefault="00C076D8" w:rsidP="00C076D8">
      <w:pPr>
        <w:pStyle w:val="ManualConsidrant"/>
        <w:rPr>
          <w:noProof/>
        </w:rPr>
      </w:pPr>
      <w:r w:rsidRPr="00C076D8">
        <w:rPr>
          <w:noProof/>
        </w:rPr>
        <w:t>(19)</w:t>
      </w:r>
      <w:r w:rsidRPr="00C076D8">
        <w:rPr>
          <w:noProof/>
        </w:rPr>
        <w:tab/>
      </w:r>
      <w:r w:rsidR="004D730C" w:rsidRPr="00F81955">
        <w:rPr>
          <w:noProof/>
        </w:rPr>
        <w:t xml:space="preserve">Article 77 and related provisions </w:t>
      </w:r>
      <w:r w:rsidR="007023A0" w:rsidRPr="00F81955">
        <w:rPr>
          <w:noProof/>
        </w:rPr>
        <w:t xml:space="preserve">of </w:t>
      </w:r>
      <w:r w:rsidR="004D730C" w:rsidRPr="00F81955">
        <w:rPr>
          <w:noProof/>
        </w:rPr>
        <w:t xml:space="preserve">Regulation (EU) </w:t>
      </w:r>
      <w:r w:rsidR="00072A2E" w:rsidRPr="00F81955">
        <w:rPr>
          <w:noProof/>
        </w:rPr>
        <w:t>2024</w:t>
      </w:r>
      <w:r w:rsidR="004D730C" w:rsidRPr="00F81955">
        <w:rPr>
          <w:noProof/>
        </w:rPr>
        <w:t xml:space="preserve">/1689 constitute an important </w:t>
      </w:r>
      <w:r w:rsidR="007023A0" w:rsidRPr="00F81955">
        <w:rPr>
          <w:noProof/>
        </w:rPr>
        <w:t xml:space="preserve">governance </w:t>
      </w:r>
      <w:r w:rsidR="004D730C" w:rsidRPr="00F81955">
        <w:rPr>
          <w:noProof/>
        </w:rPr>
        <w:t xml:space="preserve">mechanism, as they aim to enable authorities or bodies responsible </w:t>
      </w:r>
      <w:r w:rsidR="007023A0" w:rsidRPr="00F81955">
        <w:rPr>
          <w:noProof/>
        </w:rPr>
        <w:t xml:space="preserve">for </w:t>
      </w:r>
      <w:r w:rsidR="004D730C" w:rsidRPr="00F81955">
        <w:rPr>
          <w:noProof/>
        </w:rPr>
        <w:t>enforc</w:t>
      </w:r>
      <w:r w:rsidR="007023A0" w:rsidRPr="00F81955">
        <w:rPr>
          <w:noProof/>
        </w:rPr>
        <w:t>ing</w:t>
      </w:r>
      <w:r w:rsidR="004D730C" w:rsidRPr="00F81955">
        <w:rPr>
          <w:noProof/>
        </w:rPr>
        <w:t xml:space="preserve"> or supervis</w:t>
      </w:r>
      <w:r w:rsidR="007023A0" w:rsidRPr="00F81955">
        <w:rPr>
          <w:noProof/>
        </w:rPr>
        <w:t>ing</w:t>
      </w:r>
      <w:r w:rsidR="004D730C" w:rsidRPr="00F81955">
        <w:rPr>
          <w:noProof/>
        </w:rPr>
        <w:t xml:space="preserve"> Union law intended to protect fundamental rights to fulfil their mandate under specific conditions and to foster cooperation with market surveillance authorities responsible for the supervision and enforcement of that Regulation. It is necessary to clarify the scope of </w:t>
      </w:r>
      <w:r w:rsidR="00983434" w:rsidRPr="00F81955">
        <w:rPr>
          <w:noProof/>
        </w:rPr>
        <w:t xml:space="preserve">such </w:t>
      </w:r>
      <w:r w:rsidR="004D730C" w:rsidRPr="00F81955">
        <w:rPr>
          <w:noProof/>
        </w:rPr>
        <w:t xml:space="preserve">cooperation, as well as </w:t>
      </w:r>
      <w:r w:rsidR="003F5C3A" w:rsidRPr="00F81955">
        <w:rPr>
          <w:noProof/>
        </w:rPr>
        <w:t>to clarify which</w:t>
      </w:r>
      <w:r w:rsidR="004D730C" w:rsidRPr="00F81955">
        <w:rPr>
          <w:noProof/>
        </w:rPr>
        <w:t xml:space="preserve"> public authorities or bodies benefit from </w:t>
      </w:r>
      <w:r w:rsidR="003F5C3A" w:rsidRPr="00F81955">
        <w:rPr>
          <w:noProof/>
        </w:rPr>
        <w:t>it</w:t>
      </w:r>
      <w:r w:rsidR="004D730C" w:rsidRPr="00F81955">
        <w:rPr>
          <w:noProof/>
        </w:rPr>
        <w:t>. With a view to reinforc</w:t>
      </w:r>
      <w:r w:rsidR="003F5C3A" w:rsidRPr="00F81955">
        <w:rPr>
          <w:noProof/>
        </w:rPr>
        <w:t>ing</w:t>
      </w:r>
      <w:r w:rsidR="004D730C" w:rsidRPr="00F81955">
        <w:rPr>
          <w:noProof/>
        </w:rPr>
        <w:t xml:space="preserve"> the cooperation, it should be clarified that request</w:t>
      </w:r>
      <w:r w:rsidR="00E67513" w:rsidRPr="00F81955">
        <w:rPr>
          <w:noProof/>
        </w:rPr>
        <w:t>s</w:t>
      </w:r>
      <w:r w:rsidR="004D730C" w:rsidRPr="00F81955">
        <w:rPr>
          <w:noProof/>
        </w:rPr>
        <w:t xml:space="preserve"> to access information and documentation should be made to the competent market surveillance authority, which should respond to </w:t>
      </w:r>
      <w:r w:rsidR="00887A95" w:rsidRPr="00F81955">
        <w:rPr>
          <w:noProof/>
        </w:rPr>
        <w:t xml:space="preserve">such </w:t>
      </w:r>
      <w:r w:rsidR="004D730C" w:rsidRPr="00F81955">
        <w:rPr>
          <w:noProof/>
        </w:rPr>
        <w:t xml:space="preserve">requests, and that </w:t>
      </w:r>
      <w:r w:rsidR="003F5C3A" w:rsidRPr="00F81955">
        <w:rPr>
          <w:noProof/>
        </w:rPr>
        <w:t>the involved authorities or bodies</w:t>
      </w:r>
      <w:r w:rsidR="004D730C" w:rsidRPr="00F81955">
        <w:rPr>
          <w:noProof/>
        </w:rPr>
        <w:t xml:space="preserve"> should </w:t>
      </w:r>
      <w:r w:rsidR="003F5C3A" w:rsidRPr="00F81955">
        <w:rPr>
          <w:noProof/>
        </w:rPr>
        <w:t xml:space="preserve">have </w:t>
      </w:r>
      <w:r w:rsidR="004D730C" w:rsidRPr="00F81955">
        <w:rPr>
          <w:noProof/>
        </w:rPr>
        <w:t>a mutual obligation to cooperate.</w:t>
      </w:r>
    </w:p>
    <w:p w:rsidR="004D730C" w:rsidRPr="00F81955" w:rsidRDefault="00C076D8" w:rsidP="00C076D8">
      <w:pPr>
        <w:pStyle w:val="ManualConsidrant"/>
        <w:rPr>
          <w:noProof/>
        </w:rPr>
      </w:pPr>
      <w:r w:rsidRPr="00C076D8">
        <w:rPr>
          <w:noProof/>
        </w:rPr>
        <w:t>(20)</w:t>
      </w:r>
      <w:r w:rsidRPr="00C076D8">
        <w:rPr>
          <w:noProof/>
        </w:rPr>
        <w:tab/>
      </w:r>
      <w:r w:rsidR="004D730C" w:rsidRPr="00F81955">
        <w:rPr>
          <w:noProof/>
        </w:rPr>
        <w:t xml:space="preserve">To </w:t>
      </w:r>
      <w:r w:rsidR="00EE4348" w:rsidRPr="00F81955">
        <w:rPr>
          <w:noProof/>
        </w:rPr>
        <w:t xml:space="preserve">allow </w:t>
      </w:r>
      <w:r w:rsidR="004D730C" w:rsidRPr="00F81955">
        <w:rPr>
          <w:noProof/>
        </w:rPr>
        <w:t xml:space="preserve">sufficient time for providers of generative AI systems subject to </w:t>
      </w:r>
      <w:r w:rsidR="00EE4348" w:rsidRPr="00F81955">
        <w:rPr>
          <w:noProof/>
        </w:rPr>
        <w:t xml:space="preserve">the </w:t>
      </w:r>
      <w:r w:rsidR="004D730C" w:rsidRPr="00F81955">
        <w:rPr>
          <w:noProof/>
        </w:rPr>
        <w:t>marking obligations</w:t>
      </w:r>
      <w:r w:rsidR="00EE4348" w:rsidRPr="00F81955">
        <w:rPr>
          <w:noProof/>
        </w:rPr>
        <w:t xml:space="preserve"> laid down</w:t>
      </w:r>
      <w:r w:rsidR="004D730C" w:rsidRPr="00F81955">
        <w:rPr>
          <w:noProof/>
        </w:rPr>
        <w:t xml:space="preserve"> in Article 50(2) of Regulation (EU) 2024/1689 to adapt their practices within a reasonable time without disrupting the market, it is appropriate to introduce a </w:t>
      </w:r>
      <w:r w:rsidR="00F5098F" w:rsidRPr="00F81955">
        <w:rPr>
          <w:noProof/>
        </w:rPr>
        <w:t>transitional</w:t>
      </w:r>
      <w:r w:rsidR="004D730C" w:rsidRPr="00F81955">
        <w:rPr>
          <w:noProof/>
        </w:rPr>
        <w:t xml:space="preserve"> period of </w:t>
      </w:r>
      <w:r w:rsidR="00F5098F" w:rsidRPr="00F81955">
        <w:rPr>
          <w:noProof/>
        </w:rPr>
        <w:t>6 months</w:t>
      </w:r>
      <w:r w:rsidR="004D730C" w:rsidRPr="00F81955">
        <w:rPr>
          <w:noProof/>
        </w:rPr>
        <w:t xml:space="preserve"> for providers who have already placed their systems on the market before the 2 August 2026.</w:t>
      </w:r>
    </w:p>
    <w:p w:rsidR="003020AA" w:rsidRPr="00F81955" w:rsidRDefault="00C076D8" w:rsidP="00C076D8">
      <w:pPr>
        <w:pStyle w:val="ManualConsidrant"/>
        <w:rPr>
          <w:noProof/>
        </w:rPr>
      </w:pPr>
      <w:r w:rsidRPr="00C076D8">
        <w:rPr>
          <w:noProof/>
        </w:rPr>
        <w:t>(21)</w:t>
      </w:r>
      <w:r w:rsidRPr="00C076D8">
        <w:rPr>
          <w:noProof/>
        </w:rPr>
        <w:tab/>
      </w:r>
      <w:r w:rsidR="00B973F5" w:rsidRPr="00F81955">
        <w:rPr>
          <w:noProof/>
        </w:rPr>
        <w:t>To provide sufficient time for providers of high-risk AI systems and to clarify applicable rules to the AI systems already placed on the market or put into service before</w:t>
      </w:r>
      <w:r w:rsidR="003020AA" w:rsidRPr="00F81955">
        <w:rPr>
          <w:noProof/>
        </w:rPr>
        <w:t xml:space="preserve"> the entry into application of </w:t>
      </w:r>
      <w:r w:rsidR="00B973F5" w:rsidRPr="00F81955">
        <w:rPr>
          <w:noProof/>
        </w:rPr>
        <w:t>relevant provision</w:t>
      </w:r>
      <w:r w:rsidR="00830386" w:rsidRPr="00F81955">
        <w:rPr>
          <w:noProof/>
        </w:rPr>
        <w:t>s</w:t>
      </w:r>
      <w:r w:rsidR="00B973F5" w:rsidRPr="00F81955">
        <w:rPr>
          <w:noProof/>
        </w:rPr>
        <w:t xml:space="preserve"> of the </w:t>
      </w:r>
      <w:r w:rsidR="003020AA" w:rsidRPr="00F81955">
        <w:rPr>
          <w:noProof/>
        </w:rPr>
        <w:t xml:space="preserve">Regulation (EU) </w:t>
      </w:r>
      <w:r w:rsidR="00ED6469" w:rsidRPr="00F81955">
        <w:rPr>
          <w:noProof/>
        </w:rPr>
        <w:t>2024</w:t>
      </w:r>
      <w:r w:rsidR="003020AA" w:rsidRPr="00F81955">
        <w:rPr>
          <w:noProof/>
        </w:rPr>
        <w:t xml:space="preserve">/1689, </w:t>
      </w:r>
      <w:r w:rsidR="00B973F5" w:rsidRPr="00F81955">
        <w:rPr>
          <w:noProof/>
        </w:rPr>
        <w:t>it is appropriate to clarify the application of a grace period</w:t>
      </w:r>
      <w:r w:rsidR="00D652F0" w:rsidRPr="00F81955">
        <w:rPr>
          <w:noProof/>
        </w:rPr>
        <w:t xml:space="preserve"> provided in </w:t>
      </w:r>
      <w:r w:rsidR="003020AA" w:rsidRPr="00F81955">
        <w:rPr>
          <w:noProof/>
        </w:rPr>
        <w:t>Article 111(2)</w:t>
      </w:r>
      <w:r w:rsidR="00E67513" w:rsidRPr="00F81955">
        <w:rPr>
          <w:noProof/>
        </w:rPr>
        <w:t xml:space="preserve"> of that Regulation</w:t>
      </w:r>
      <w:r w:rsidR="003020AA" w:rsidRPr="00F81955">
        <w:rPr>
          <w:noProof/>
        </w:rPr>
        <w:t>.</w:t>
      </w:r>
      <w:r w:rsidR="00E67513" w:rsidRPr="00F81955">
        <w:rPr>
          <w:noProof/>
        </w:rPr>
        <w:t xml:space="preserve"> </w:t>
      </w:r>
      <w:r w:rsidR="00D652F0" w:rsidRPr="00F81955">
        <w:rPr>
          <w:noProof/>
        </w:rPr>
        <w:t>The grace period</w:t>
      </w:r>
      <w:r w:rsidR="003020AA" w:rsidRPr="00F81955">
        <w:rPr>
          <w:noProof/>
        </w:rPr>
        <w:t>, for the purpose of Article 111(2),</w:t>
      </w:r>
      <w:r w:rsidR="00B828AF" w:rsidRPr="00F81955">
        <w:rPr>
          <w:noProof/>
        </w:rPr>
        <w:t xml:space="preserve"> should apply to a type and model of AI systems already placed in the market</w:t>
      </w:r>
      <w:r w:rsidR="003020AA" w:rsidRPr="00F81955">
        <w:rPr>
          <w:noProof/>
        </w:rPr>
        <w:t>. This means that if at least one individual unit of the high-risk AI system has been lawfully placed on the market or put into service before the date specified in Article 111</w:t>
      </w:r>
      <w:r w:rsidR="00E67513" w:rsidRPr="00F81955">
        <w:rPr>
          <w:noProof/>
        </w:rPr>
        <w:t>(2)</w:t>
      </w:r>
      <w:r w:rsidR="003020AA" w:rsidRPr="00F81955">
        <w:rPr>
          <w:noProof/>
        </w:rPr>
        <w:t xml:space="preserve">, other individual units of the same type and model of high-risk AI system </w:t>
      </w:r>
      <w:r w:rsidR="005D1EBC" w:rsidRPr="00F81955">
        <w:rPr>
          <w:noProof/>
        </w:rPr>
        <w:t xml:space="preserve">are subject to the grace period provided in Article 111(2) and thus </w:t>
      </w:r>
      <w:r w:rsidR="003020AA" w:rsidRPr="00F81955">
        <w:rPr>
          <w:noProof/>
        </w:rPr>
        <w:t xml:space="preserve">may continue to be placed on the market, made available or put into service on the Union market without any additional obligations, requirements or the need for additional certification, as long as the design of that high-risk AI system remains unchanged. For the purposes of </w:t>
      </w:r>
      <w:r w:rsidR="005D1EBC" w:rsidRPr="00F81955">
        <w:rPr>
          <w:noProof/>
        </w:rPr>
        <w:t xml:space="preserve">application of the grace period provided in </w:t>
      </w:r>
      <w:r w:rsidR="003020AA" w:rsidRPr="00F81955">
        <w:rPr>
          <w:noProof/>
        </w:rPr>
        <w:t>Article 111</w:t>
      </w:r>
      <w:r w:rsidR="00E67513" w:rsidRPr="00F81955">
        <w:rPr>
          <w:noProof/>
        </w:rPr>
        <w:t>(2)</w:t>
      </w:r>
      <w:r w:rsidR="003020AA" w:rsidRPr="00F81955">
        <w:rPr>
          <w:noProof/>
        </w:rPr>
        <w:t>, the decisive factor is the date on which the first unit of that type and model of high-risk AI system was placed on the market or put into service on the Union market for the first time. Any significant change to the design of that AI system after the date specified in Article 111</w:t>
      </w:r>
      <w:r w:rsidR="00E67513" w:rsidRPr="00F81955">
        <w:rPr>
          <w:noProof/>
        </w:rPr>
        <w:t>(2)</w:t>
      </w:r>
      <w:r w:rsidR="003020AA" w:rsidRPr="00F81955">
        <w:rPr>
          <w:noProof/>
        </w:rPr>
        <w:t xml:space="preserve"> should trigger the obligation of the provider to comply fully with all relevant provisions of this Regulation applicable to high-risk AI systems, including the conformity assessment requirements.</w:t>
      </w:r>
    </w:p>
    <w:p w:rsidR="00AF64B6" w:rsidRDefault="00C076D8" w:rsidP="00C076D8">
      <w:pPr>
        <w:pStyle w:val="ManualConsidrant"/>
        <w:rPr>
          <w:rFonts w:eastAsiaTheme="minorEastAsia"/>
          <w:noProof/>
        </w:rPr>
      </w:pPr>
      <w:r w:rsidRPr="00C076D8">
        <w:rPr>
          <w:noProof/>
        </w:rPr>
        <w:t>(22)</w:t>
      </w:r>
      <w:r w:rsidRPr="00C076D8">
        <w:rPr>
          <w:noProof/>
        </w:rPr>
        <w:tab/>
      </w:r>
      <w:r w:rsidR="00040D9F" w:rsidRPr="00F81955">
        <w:rPr>
          <w:noProof/>
        </w:rPr>
        <w:t xml:space="preserve">Article 113 </w:t>
      </w:r>
      <w:r w:rsidR="00E67513" w:rsidRPr="00F81955">
        <w:rPr>
          <w:noProof/>
        </w:rPr>
        <w:t xml:space="preserve">of Regulation (EU) </w:t>
      </w:r>
      <w:r w:rsidR="00E50F12" w:rsidRPr="00F81955">
        <w:rPr>
          <w:noProof/>
        </w:rPr>
        <w:t>20</w:t>
      </w:r>
      <w:r w:rsidR="00072A2E" w:rsidRPr="00F81955">
        <w:rPr>
          <w:noProof/>
        </w:rPr>
        <w:t>2</w:t>
      </w:r>
      <w:r w:rsidR="00E50F12" w:rsidRPr="00F81955">
        <w:rPr>
          <w:noProof/>
        </w:rPr>
        <w:t xml:space="preserve">4/1689 </w:t>
      </w:r>
      <w:r w:rsidR="004D730C" w:rsidRPr="00F81955">
        <w:rPr>
          <w:noProof/>
        </w:rPr>
        <w:t xml:space="preserve">establishes the </w:t>
      </w:r>
      <w:r w:rsidR="00F11E92" w:rsidRPr="00F81955">
        <w:rPr>
          <w:noProof/>
        </w:rPr>
        <w:t xml:space="preserve">dates of </w:t>
      </w:r>
      <w:r w:rsidR="004D730C" w:rsidRPr="00F81955">
        <w:rPr>
          <w:noProof/>
        </w:rPr>
        <w:t xml:space="preserve">entry into force and application of that Regulation, notably that the general </w:t>
      </w:r>
      <w:r w:rsidR="001A6485" w:rsidRPr="00F81955">
        <w:rPr>
          <w:noProof/>
        </w:rPr>
        <w:t xml:space="preserve">date of </w:t>
      </w:r>
      <w:r w:rsidR="004D730C" w:rsidRPr="00F81955">
        <w:rPr>
          <w:noProof/>
        </w:rPr>
        <w:t>application is 2 August 2026</w:t>
      </w:r>
      <w:r w:rsidR="00B3528D" w:rsidRPr="00F81955">
        <w:rPr>
          <w:noProof/>
        </w:rPr>
        <w:t>.</w:t>
      </w:r>
      <w:r w:rsidR="00040D9F">
        <w:rPr>
          <w:noProof/>
        </w:rPr>
        <w:t xml:space="preserve"> </w:t>
      </w:r>
      <w:r w:rsidR="00040D9F" w:rsidRPr="00F81955">
        <w:rPr>
          <w:noProof/>
        </w:rPr>
        <w:t xml:space="preserve">For the obligations related to high-risk AI systems laid down in Sections 1, 2 and 3 of Chapter III of Regulation (EU) 2024/1689, the delayed availability of </w:t>
      </w:r>
      <w:r w:rsidR="00040D9F" w:rsidRPr="00F81955">
        <w:rPr>
          <w:rFonts w:eastAsia="Times New Roman"/>
          <w:noProof/>
          <w:szCs w:val="24"/>
        </w:rPr>
        <w:t xml:space="preserve">standards, common specifications, and alternative guidance and the delayed establishment of national competent authorities lead to challenges that jeopardise those obligation’s effective entry into application and that risk to significantly increase implementation costs in a way that does not justify maintaining their initial date of application, namely 2 August 2026. Building on experience, </w:t>
      </w:r>
      <w:r w:rsidR="00A203C3" w:rsidRPr="00F81955">
        <w:rPr>
          <w:rFonts w:eastAsia="Times New Roman"/>
          <w:noProof/>
          <w:szCs w:val="24"/>
        </w:rPr>
        <w:t xml:space="preserve">it is appropriate to put in place a mechanism </w:t>
      </w:r>
      <w:r w:rsidR="004B69B8" w:rsidRPr="00F81955">
        <w:rPr>
          <w:rFonts w:eastAsia="Times New Roman"/>
          <w:noProof/>
          <w:szCs w:val="24"/>
        </w:rPr>
        <w:t>that links the entry into application to</w:t>
      </w:r>
      <w:r w:rsidR="00A203C3" w:rsidRPr="00F81955">
        <w:rPr>
          <w:rFonts w:eastAsia="Times New Roman"/>
          <w:noProof/>
          <w:szCs w:val="24"/>
        </w:rPr>
        <w:t xml:space="preserve"> </w:t>
      </w:r>
      <w:r w:rsidR="00D83534" w:rsidRPr="00F81955">
        <w:rPr>
          <w:rFonts w:eastAsia="Times New Roman"/>
          <w:noProof/>
          <w:szCs w:val="24"/>
        </w:rPr>
        <w:t>the availability of measures in support of compliance with Chapter III, which may include</w:t>
      </w:r>
      <w:r w:rsidR="00A203C3" w:rsidRPr="00F81955">
        <w:rPr>
          <w:rFonts w:eastAsia="Times New Roman"/>
          <w:noProof/>
          <w:szCs w:val="24"/>
        </w:rPr>
        <w:t xml:space="preserve"> harmonised standards, common specifications</w:t>
      </w:r>
      <w:r w:rsidR="00FB65ED" w:rsidRPr="00F81955">
        <w:rPr>
          <w:rFonts w:eastAsia="Times New Roman"/>
          <w:noProof/>
          <w:szCs w:val="24"/>
        </w:rPr>
        <w:t xml:space="preserve">, and Commission guidelines. </w:t>
      </w:r>
      <w:r w:rsidR="004B69B8" w:rsidRPr="00F81955">
        <w:rPr>
          <w:rFonts w:eastAsia="Times New Roman"/>
          <w:noProof/>
          <w:szCs w:val="24"/>
        </w:rPr>
        <w:t>This should be confirmed by the Commission by decision, following which</w:t>
      </w:r>
      <w:r w:rsidR="00A358E3" w:rsidRPr="00F81955">
        <w:rPr>
          <w:rFonts w:eastAsia="Times New Roman"/>
          <w:noProof/>
          <w:szCs w:val="24"/>
        </w:rPr>
        <w:t xml:space="preserve"> the rules obligations for high-risk AI systems should apply after 6 months </w:t>
      </w:r>
      <w:r w:rsidR="003B189F" w:rsidRPr="00F81955">
        <w:rPr>
          <w:noProof/>
        </w:rPr>
        <w:t xml:space="preserve">as regards AI systems classified as high-risk pursuant to Article 6(2) and Annex III and after 12 months as regards AI systems classified as high-risk pursuant to Article 6(1) and Annex I to </w:t>
      </w:r>
      <w:r w:rsidR="005C294F" w:rsidRPr="00F81955">
        <w:rPr>
          <w:noProof/>
        </w:rPr>
        <w:t>Regulation (EU) 2024/1689</w:t>
      </w:r>
      <w:r w:rsidR="003B189F" w:rsidRPr="00F81955">
        <w:rPr>
          <w:noProof/>
        </w:rPr>
        <w:t>.</w:t>
      </w:r>
      <w:r w:rsidR="00A358E3" w:rsidRPr="00F81955">
        <w:rPr>
          <w:rFonts w:eastAsia="Times New Roman"/>
          <w:noProof/>
          <w:szCs w:val="24"/>
        </w:rPr>
        <w:t xml:space="preserve"> </w:t>
      </w:r>
      <w:r w:rsidR="005C294F" w:rsidRPr="00F81955">
        <w:rPr>
          <w:rFonts w:eastAsia="Times New Roman"/>
          <w:noProof/>
          <w:szCs w:val="24"/>
        </w:rPr>
        <w:t xml:space="preserve">However, this </w:t>
      </w:r>
      <w:r w:rsidR="000F27E4" w:rsidRPr="00F81955">
        <w:rPr>
          <w:rFonts w:eastAsia="Times New Roman"/>
          <w:noProof/>
          <w:szCs w:val="24"/>
        </w:rPr>
        <w:t xml:space="preserve">flexibility should only be extended until 2 December 2027 </w:t>
      </w:r>
      <w:r w:rsidR="000F27E4" w:rsidRPr="00F81955">
        <w:rPr>
          <w:noProof/>
        </w:rPr>
        <w:t>as regards AI systems classified as high-risk pursuant to Article 6(2) and Annex III and until 2 August 2028 as regards AI systems classified as high-risk pursuant to Article 6(1) and Annex I to that Regulation</w:t>
      </w:r>
      <w:r w:rsidR="00AA344D" w:rsidRPr="00F81955">
        <w:rPr>
          <w:noProof/>
        </w:rPr>
        <w:t>, by which dates those rules should enter into application in any case.</w:t>
      </w:r>
      <w:r w:rsidR="007C7E8D" w:rsidRPr="00F81955">
        <w:rPr>
          <w:noProof/>
        </w:rPr>
        <w:t xml:space="preserve"> </w:t>
      </w:r>
      <w:r w:rsidR="008B1696" w:rsidRPr="00F81955">
        <w:rPr>
          <w:noProof/>
        </w:rPr>
        <w:t>The distinction between the entry into application of the rules as regards AI systems classified as high-risk pursuant to Article 6(2) and Annex III and Article 6(1) and Annex I to that Regulation is consistent with the difference between the initial dates of application envisaged in Regulation (EU) 2024/1689 and aims to provide the necessary time for adaptation and implementation of the corresponding obligations</w:t>
      </w:r>
      <w:r w:rsidR="007B0B4E" w:rsidRPr="00F81955">
        <w:rPr>
          <w:noProof/>
        </w:rPr>
        <w:t>.</w:t>
      </w:r>
    </w:p>
    <w:p w:rsidR="004D730C" w:rsidRPr="00F81955" w:rsidRDefault="00C076D8" w:rsidP="00C076D8">
      <w:pPr>
        <w:pStyle w:val="ManualConsidrant"/>
        <w:rPr>
          <w:noProof/>
        </w:rPr>
      </w:pPr>
      <w:r w:rsidRPr="00C076D8">
        <w:rPr>
          <w:noProof/>
        </w:rPr>
        <w:t>(23)</w:t>
      </w:r>
      <w:r w:rsidRPr="00C076D8">
        <w:rPr>
          <w:noProof/>
        </w:rPr>
        <w:tab/>
      </w:r>
      <w:r w:rsidR="004D730C" w:rsidRPr="00F81955">
        <w:rPr>
          <w:noProof/>
        </w:rPr>
        <w:t xml:space="preserve">In light of the objective </w:t>
      </w:r>
      <w:r w:rsidR="009516A9" w:rsidRPr="00F81955">
        <w:rPr>
          <w:noProof/>
        </w:rPr>
        <w:t xml:space="preserve">to </w:t>
      </w:r>
      <w:r w:rsidR="004D730C" w:rsidRPr="00F81955">
        <w:rPr>
          <w:noProof/>
        </w:rPr>
        <w:t xml:space="preserve">reduce implementation challenges for citizens, businesses and public administrations, it is essential that harmonised conditions for the implementation of certain rules are adopted only where strictly necessary. For that purpose, it is appropriate to remove </w:t>
      </w:r>
      <w:r w:rsidR="006A2E95" w:rsidRPr="00F81955">
        <w:rPr>
          <w:noProof/>
        </w:rPr>
        <w:t xml:space="preserve">certain </w:t>
      </w:r>
      <w:r w:rsidR="004D730C" w:rsidRPr="00F81955">
        <w:rPr>
          <w:noProof/>
        </w:rPr>
        <w:t xml:space="preserve">empowerments </w:t>
      </w:r>
      <w:r w:rsidR="006A2E95" w:rsidRPr="00F81955">
        <w:rPr>
          <w:noProof/>
        </w:rPr>
        <w:t xml:space="preserve">bestowed on </w:t>
      </w:r>
      <w:r w:rsidR="004D730C" w:rsidRPr="00F81955">
        <w:rPr>
          <w:noProof/>
        </w:rPr>
        <w:t xml:space="preserve">the Commission to adopt such harmonised conditions by means of implementing acts in cases where </w:t>
      </w:r>
      <w:r w:rsidR="006A2E95" w:rsidRPr="00F81955">
        <w:rPr>
          <w:noProof/>
        </w:rPr>
        <w:t xml:space="preserve">those </w:t>
      </w:r>
      <w:r w:rsidR="004D730C" w:rsidRPr="00F81955">
        <w:rPr>
          <w:noProof/>
        </w:rPr>
        <w:t>conditions are not met</w:t>
      </w:r>
      <w:r w:rsidR="006A2E95" w:rsidRPr="00F81955">
        <w:rPr>
          <w:noProof/>
        </w:rPr>
        <w:t xml:space="preserve">. Regulation (EU) 2024/1689 should therefore be amended </w:t>
      </w:r>
      <w:r w:rsidR="004D730C" w:rsidRPr="00F81955">
        <w:rPr>
          <w:noProof/>
        </w:rPr>
        <w:t xml:space="preserve">to remove the empowerments </w:t>
      </w:r>
      <w:r w:rsidR="006A2E95" w:rsidRPr="00F81955">
        <w:rPr>
          <w:noProof/>
        </w:rPr>
        <w:t>conferred on the Commission in</w:t>
      </w:r>
      <w:r w:rsidR="004D730C" w:rsidRPr="00F81955">
        <w:rPr>
          <w:noProof/>
        </w:rPr>
        <w:t xml:space="preserve"> Article 50(7), Article 56(6), and Article 72(3)</w:t>
      </w:r>
      <w:r w:rsidR="006A2E95" w:rsidRPr="00F81955">
        <w:rPr>
          <w:noProof/>
        </w:rPr>
        <w:t xml:space="preserve"> thereof to adopt implementing acts</w:t>
      </w:r>
      <w:r w:rsidR="004D730C" w:rsidRPr="00F81955">
        <w:rPr>
          <w:noProof/>
        </w:rPr>
        <w:t xml:space="preserve">. </w:t>
      </w:r>
      <w:r w:rsidR="00160698" w:rsidRPr="00F81955">
        <w:rPr>
          <w:noProof/>
        </w:rPr>
        <w:t>The removal of the empowerment to adopt</w:t>
      </w:r>
      <w:r w:rsidR="00F0667B" w:rsidRPr="00F81955">
        <w:rPr>
          <w:noProof/>
        </w:rPr>
        <w:t xml:space="preserve"> a</w:t>
      </w:r>
      <w:r w:rsidR="00160698" w:rsidRPr="00F81955">
        <w:rPr>
          <w:noProof/>
        </w:rPr>
        <w:t xml:space="preserve"> </w:t>
      </w:r>
      <w:r w:rsidR="00F0667B" w:rsidRPr="00F81955">
        <w:rPr>
          <w:noProof/>
        </w:rPr>
        <w:t>harmonised template for a post-market monitoring plan</w:t>
      </w:r>
      <w:r w:rsidR="00160698" w:rsidRPr="00F81955">
        <w:rPr>
          <w:noProof/>
        </w:rPr>
        <w:t xml:space="preserve"> in Article 72(3) </w:t>
      </w:r>
      <w:r w:rsidR="006A2E95" w:rsidRPr="00F81955">
        <w:rPr>
          <w:noProof/>
        </w:rPr>
        <w:t xml:space="preserve">of Regulation (EU) 2024/1689 </w:t>
      </w:r>
      <w:r w:rsidR="00C34E36" w:rsidRPr="00F81955">
        <w:rPr>
          <w:noProof/>
        </w:rPr>
        <w:t xml:space="preserve">has as an additional benefit that it will offer more flexibility for providers of high-risk AI systems to put in place a system for post-market monitoring that </w:t>
      </w:r>
      <w:r w:rsidR="00F0667B" w:rsidRPr="00F81955">
        <w:rPr>
          <w:noProof/>
        </w:rPr>
        <w:t>is tailored to their organisation.</w:t>
      </w:r>
      <w:r w:rsidR="008E5821" w:rsidRPr="00F81955">
        <w:rPr>
          <w:noProof/>
        </w:rPr>
        <w:t xml:space="preserve"> At the same time, </w:t>
      </w:r>
      <w:r w:rsidR="001D6BAD" w:rsidRPr="00F81955">
        <w:rPr>
          <w:noProof/>
        </w:rPr>
        <w:t xml:space="preserve">recognising </w:t>
      </w:r>
      <w:r w:rsidR="00363715" w:rsidRPr="00F81955">
        <w:rPr>
          <w:noProof/>
        </w:rPr>
        <w:t xml:space="preserve">the need to offer clarity how providers of high-risk AI systems are required to comply, </w:t>
      </w:r>
      <w:r w:rsidR="008E5821" w:rsidRPr="00F81955">
        <w:rPr>
          <w:noProof/>
        </w:rPr>
        <w:t xml:space="preserve">the Commission should be required to </w:t>
      </w:r>
      <w:r w:rsidR="0010152A" w:rsidRPr="00F81955">
        <w:rPr>
          <w:noProof/>
        </w:rPr>
        <w:t>publish</w:t>
      </w:r>
      <w:r w:rsidR="008E5821" w:rsidRPr="00F81955">
        <w:rPr>
          <w:noProof/>
        </w:rPr>
        <w:t xml:space="preserve"> guidance</w:t>
      </w:r>
      <w:r w:rsidR="00033451" w:rsidRPr="00F81955">
        <w:rPr>
          <w:noProof/>
        </w:rPr>
        <w:t>.</w:t>
      </w:r>
    </w:p>
    <w:p w:rsidR="00D7012A" w:rsidRPr="00F81955" w:rsidRDefault="00C076D8" w:rsidP="00C076D8">
      <w:pPr>
        <w:pStyle w:val="ManualConsidrant"/>
        <w:rPr>
          <w:noProof/>
        </w:rPr>
      </w:pPr>
      <w:r w:rsidRPr="00C076D8">
        <w:rPr>
          <w:noProof/>
        </w:rPr>
        <w:t>(24)</w:t>
      </w:r>
      <w:r w:rsidRPr="00C076D8">
        <w:rPr>
          <w:noProof/>
        </w:rPr>
        <w:tab/>
      </w:r>
      <w:r w:rsidR="000560BC" w:rsidRPr="00F81955">
        <w:rPr>
          <w:noProof/>
        </w:rPr>
        <w:t xml:space="preserve">Conformity assessment of high-risk AI systems under Regulation (EU) 2024/1689 may require involvement of conformity assessment bodies. Only conformity assessment bodies that have been designated under </w:t>
      </w:r>
      <w:r w:rsidR="00EE5439" w:rsidRPr="00F81955">
        <w:rPr>
          <w:noProof/>
        </w:rPr>
        <w:t>that</w:t>
      </w:r>
      <w:r w:rsidR="000560BC" w:rsidRPr="00F81955">
        <w:rPr>
          <w:noProof/>
        </w:rPr>
        <w:t xml:space="preserve"> Regulation may carry out conformity assessments and only for the activities related to the categories and types of AI systems concerned.</w:t>
      </w:r>
      <w:r w:rsidR="006067E0" w:rsidRPr="00F81955">
        <w:rPr>
          <w:noProof/>
        </w:rPr>
        <w:t xml:space="preserve"> </w:t>
      </w:r>
      <w:r w:rsidR="00EE5439" w:rsidRPr="00F81955">
        <w:rPr>
          <w:noProof/>
        </w:rPr>
        <w:t>To</w:t>
      </w:r>
      <w:r w:rsidR="006067E0" w:rsidRPr="00F81955">
        <w:rPr>
          <w:noProof/>
        </w:rPr>
        <w:t xml:space="preserve"> enable the specification of the scope of the designation of conformity assessment bodies notified under Article 30</w:t>
      </w:r>
      <w:r w:rsidR="00EE5439" w:rsidRPr="00F81955">
        <w:rPr>
          <w:noProof/>
        </w:rPr>
        <w:t xml:space="preserve"> of Regulation (EU) 2024/1689,</w:t>
      </w:r>
      <w:r w:rsidR="006067E0" w:rsidRPr="00F81955">
        <w:rPr>
          <w:noProof/>
        </w:rPr>
        <w:t xml:space="preserve"> it is necessary to draw up </w:t>
      </w:r>
      <w:r w:rsidR="00EE5439" w:rsidRPr="00F81955">
        <w:rPr>
          <w:noProof/>
        </w:rPr>
        <w:t xml:space="preserve">a </w:t>
      </w:r>
      <w:r w:rsidR="006067E0" w:rsidRPr="00F81955">
        <w:rPr>
          <w:noProof/>
        </w:rPr>
        <w:t xml:space="preserve">list of codes, categories, and corresponding types of AI systems. </w:t>
      </w:r>
      <w:r w:rsidR="009B1FED" w:rsidRPr="00F81955">
        <w:rPr>
          <w:noProof/>
        </w:rPr>
        <w:t>The list</w:t>
      </w:r>
      <w:r w:rsidR="00EE5439" w:rsidRPr="00F81955">
        <w:rPr>
          <w:noProof/>
        </w:rPr>
        <w:t xml:space="preserve"> </w:t>
      </w:r>
      <w:r w:rsidR="009B1FED" w:rsidRPr="00F81955">
        <w:rPr>
          <w:noProof/>
        </w:rPr>
        <w:t>of codes should take into account whether the AI system is a component of a product or itself a product covered by the Union harmonisation legislation listed in Annex I (</w:t>
      </w:r>
      <w:r w:rsidR="00264209" w:rsidRPr="00F81955">
        <w:rPr>
          <w:noProof/>
        </w:rPr>
        <w:t>referred to as ‘</w:t>
      </w:r>
      <w:r w:rsidR="009B1FED" w:rsidRPr="00F81955">
        <w:rPr>
          <w:noProof/>
        </w:rPr>
        <w:t>AIP codes</w:t>
      </w:r>
      <w:r w:rsidR="00264209" w:rsidRPr="00F81955">
        <w:rPr>
          <w:noProof/>
        </w:rPr>
        <w:t>’</w:t>
      </w:r>
      <w:r w:rsidR="0099257E" w:rsidRPr="00F81955">
        <w:rPr>
          <w:noProof/>
        </w:rPr>
        <w:t>, for AI systems covered by product legislation</w:t>
      </w:r>
      <w:r w:rsidR="009B1FED" w:rsidRPr="00F81955">
        <w:rPr>
          <w:noProof/>
        </w:rPr>
        <w:t xml:space="preserve">) or a system referred in Annex III of </w:t>
      </w:r>
      <w:r w:rsidR="00EE5439" w:rsidRPr="00F81955">
        <w:rPr>
          <w:noProof/>
        </w:rPr>
        <w:t>Regulation (EU) 2024/1689</w:t>
      </w:r>
      <w:r w:rsidR="003D31C3" w:rsidRPr="00F81955">
        <w:rPr>
          <w:noProof/>
        </w:rPr>
        <w:t>, which currently concerns only biometric AI systems referred to in point (1) of Annex III</w:t>
      </w:r>
      <w:r w:rsidR="009B1FED" w:rsidRPr="00F81955">
        <w:rPr>
          <w:noProof/>
        </w:rPr>
        <w:t xml:space="preserve"> (</w:t>
      </w:r>
      <w:r w:rsidR="00264209" w:rsidRPr="00F81955">
        <w:rPr>
          <w:noProof/>
        </w:rPr>
        <w:t>referred to as ‘</w:t>
      </w:r>
      <w:r w:rsidR="009B1FED" w:rsidRPr="00F81955">
        <w:rPr>
          <w:noProof/>
        </w:rPr>
        <w:t>AIB codes</w:t>
      </w:r>
      <w:r w:rsidR="00264209" w:rsidRPr="00F81955">
        <w:rPr>
          <w:noProof/>
        </w:rPr>
        <w:t>’</w:t>
      </w:r>
      <w:r w:rsidR="0099257E" w:rsidRPr="00F81955">
        <w:rPr>
          <w:noProof/>
        </w:rPr>
        <w:t>, for</w:t>
      </w:r>
      <w:r w:rsidR="003D31C3" w:rsidRPr="00F81955">
        <w:rPr>
          <w:noProof/>
        </w:rPr>
        <w:t xml:space="preserve"> biometric</w:t>
      </w:r>
      <w:r w:rsidR="0099257E" w:rsidRPr="00F81955">
        <w:rPr>
          <w:noProof/>
        </w:rPr>
        <w:t xml:space="preserve"> AI systems</w:t>
      </w:r>
      <w:r w:rsidR="009B1FED" w:rsidRPr="00F81955">
        <w:rPr>
          <w:noProof/>
        </w:rPr>
        <w:t xml:space="preserve">). </w:t>
      </w:r>
      <w:r w:rsidR="004F1D1A" w:rsidRPr="00F81955">
        <w:rPr>
          <w:noProof/>
        </w:rPr>
        <w:t>Both AIP codes and AI</w:t>
      </w:r>
      <w:r w:rsidR="000560BC">
        <w:rPr>
          <w:noProof/>
        </w:rPr>
        <w:t>B</w:t>
      </w:r>
      <w:r w:rsidR="004F1D1A" w:rsidRPr="00F81955">
        <w:rPr>
          <w:noProof/>
        </w:rPr>
        <w:t xml:space="preserve"> codes are vertical</w:t>
      </w:r>
      <w:r w:rsidR="0059201C" w:rsidRPr="00F81955">
        <w:rPr>
          <w:noProof/>
        </w:rPr>
        <w:t xml:space="preserve"> codes. </w:t>
      </w:r>
      <w:r w:rsidR="004F1D1A" w:rsidRPr="00F81955">
        <w:rPr>
          <w:noProof/>
        </w:rPr>
        <w:t xml:space="preserve">The AIP codes </w:t>
      </w:r>
      <w:r w:rsidR="0059201C" w:rsidRPr="00F81955">
        <w:rPr>
          <w:noProof/>
        </w:rPr>
        <w:t>are</w:t>
      </w:r>
      <w:r w:rsidR="004F1D1A" w:rsidRPr="00F81955">
        <w:rPr>
          <w:noProof/>
        </w:rPr>
        <w:t xml:space="preserve"> reference codes to provide a link to the Union harmonisation legislation listed in Section A of Annex I of Regulation (EU) 2024/1689. </w:t>
      </w:r>
      <w:r w:rsidR="00264209" w:rsidRPr="00F81955">
        <w:rPr>
          <w:noProof/>
        </w:rPr>
        <w:t>The AIB codes are new codes specific to Regulation (EU) 2024/1689 to identify biometric AI systems referred in paragraph 1 of Annex III of that Regulation</w:t>
      </w:r>
      <w:r w:rsidR="00F477B0" w:rsidRPr="00F81955">
        <w:rPr>
          <w:noProof/>
        </w:rPr>
        <w:t>.</w:t>
      </w:r>
      <w:r w:rsidR="00264209" w:rsidRPr="00F81955">
        <w:rPr>
          <w:noProof/>
        </w:rPr>
        <w:t xml:space="preserve"> </w:t>
      </w:r>
      <w:r w:rsidR="009B1FED" w:rsidRPr="00F81955">
        <w:rPr>
          <w:noProof/>
        </w:rPr>
        <w:t>The list of codes should also take into account specific types and underlying technologies of AI systems (</w:t>
      </w:r>
      <w:r w:rsidR="0059201C" w:rsidRPr="00F81955">
        <w:rPr>
          <w:noProof/>
        </w:rPr>
        <w:t>referred to as ‘</w:t>
      </w:r>
      <w:r w:rsidR="009B1FED" w:rsidRPr="00F81955">
        <w:rPr>
          <w:noProof/>
        </w:rPr>
        <w:t>AIH codes</w:t>
      </w:r>
      <w:r w:rsidR="0059201C" w:rsidRPr="00F81955">
        <w:rPr>
          <w:noProof/>
        </w:rPr>
        <w:t>’</w:t>
      </w:r>
      <w:r w:rsidR="003D31C3" w:rsidRPr="00F81955">
        <w:rPr>
          <w:noProof/>
        </w:rPr>
        <w:t xml:space="preserve">, for </w:t>
      </w:r>
      <w:r w:rsidR="000B53E1" w:rsidRPr="00F81955">
        <w:rPr>
          <w:noProof/>
        </w:rPr>
        <w:t>horizontal AI system codes</w:t>
      </w:r>
      <w:r w:rsidR="009B1FED" w:rsidRPr="00F81955">
        <w:rPr>
          <w:noProof/>
        </w:rPr>
        <w:t xml:space="preserve">). </w:t>
      </w:r>
      <w:r w:rsidR="005B4CFE" w:rsidRPr="00F81955">
        <w:rPr>
          <w:noProof/>
        </w:rPr>
        <w:t>The AIH codes are</w:t>
      </w:r>
      <w:r w:rsidR="00E55C7B" w:rsidRPr="00F81955">
        <w:rPr>
          <w:noProof/>
        </w:rPr>
        <w:t xml:space="preserve"> </w:t>
      </w:r>
      <w:r w:rsidR="005B4CFE" w:rsidRPr="00F81955">
        <w:rPr>
          <w:noProof/>
        </w:rPr>
        <w:t xml:space="preserve">new AI </w:t>
      </w:r>
      <w:r w:rsidR="000560BC">
        <w:rPr>
          <w:noProof/>
        </w:rPr>
        <w:t>technology-</w:t>
      </w:r>
      <w:r w:rsidR="005B4CFE" w:rsidRPr="00F81955">
        <w:rPr>
          <w:noProof/>
        </w:rPr>
        <w:t>specific codes and can be applied in conjunction with AIP or AIB vertical codes. The AIH codes cover AI systems’ underlying types and technologies. The list of codes, including three categories, should provide for a multi-dimensional typology of AI systems which ensures that conformity assessment bodies designated as notified bodies are fully competent for the AI systems they are required to assess.</w:t>
      </w:r>
    </w:p>
    <w:p w:rsidR="006F20EB" w:rsidRPr="00F81955" w:rsidRDefault="00C076D8" w:rsidP="00C076D8">
      <w:pPr>
        <w:pStyle w:val="ManualConsidrant"/>
        <w:rPr>
          <w:noProof/>
        </w:rPr>
      </w:pPr>
      <w:r w:rsidRPr="00C076D8">
        <w:rPr>
          <w:noProof/>
        </w:rPr>
        <w:t>(25)</w:t>
      </w:r>
      <w:r w:rsidRPr="00C076D8">
        <w:rPr>
          <w:noProof/>
        </w:rPr>
        <w:tab/>
      </w:r>
      <w:r w:rsidR="00151A99" w:rsidRPr="00F81955">
        <w:rPr>
          <w:noProof/>
        </w:rPr>
        <w:t>Regulation (EU) 2018/1139 of the European Parliament and the Council</w:t>
      </w:r>
      <w:r w:rsidR="00151A99" w:rsidRPr="00F81955">
        <w:rPr>
          <w:rStyle w:val="FootnoteReference"/>
          <w:noProof/>
        </w:rPr>
        <w:footnoteReference w:id="25"/>
      </w:r>
      <w:r w:rsidR="00151A99" w:rsidRPr="00F81955">
        <w:rPr>
          <w:noProof/>
        </w:rPr>
        <w:t xml:space="preserve"> </w:t>
      </w:r>
      <w:r w:rsidR="004339A1" w:rsidRPr="00F81955">
        <w:rPr>
          <w:noProof/>
        </w:rPr>
        <w:t>lays down common rules in the field of civil aviation.</w:t>
      </w:r>
      <w:r w:rsidR="00151A99" w:rsidRPr="00F81955">
        <w:rPr>
          <w:noProof/>
        </w:rPr>
        <w:t xml:space="preserve"> </w:t>
      </w:r>
      <w:r w:rsidR="006F20EB" w:rsidRPr="00F81955">
        <w:rPr>
          <w:noProof/>
        </w:rPr>
        <w:t xml:space="preserve">Article 108 </w:t>
      </w:r>
      <w:r w:rsidR="00FB68EF" w:rsidRPr="00F81955">
        <w:rPr>
          <w:noProof/>
        </w:rPr>
        <w:t xml:space="preserve">of Regulation (EU) 2024/1689 </w:t>
      </w:r>
      <w:r w:rsidR="006F20EB" w:rsidRPr="00F81955">
        <w:rPr>
          <w:noProof/>
        </w:rPr>
        <w:t>sets out amend</w:t>
      </w:r>
      <w:r w:rsidR="00192F7C" w:rsidRPr="00F81955">
        <w:rPr>
          <w:noProof/>
        </w:rPr>
        <w:t>ments to</w:t>
      </w:r>
      <w:r w:rsidR="006F20EB" w:rsidRPr="00F81955">
        <w:rPr>
          <w:noProof/>
        </w:rPr>
        <w:t xml:space="preserve"> Regulation (EU) 2018/1139</w:t>
      </w:r>
      <w:r w:rsidR="008E397D" w:rsidRPr="00F81955">
        <w:rPr>
          <w:noProof/>
        </w:rPr>
        <w:t xml:space="preserve"> to ensure that the Commission takes into account, on the basis of the technical and regulatory specificities of </w:t>
      </w:r>
      <w:r w:rsidR="00FE44A2" w:rsidRPr="00F81955">
        <w:rPr>
          <w:noProof/>
        </w:rPr>
        <w:t>the civil aviation sector</w:t>
      </w:r>
      <w:r w:rsidR="008E397D" w:rsidRPr="00F81955">
        <w:rPr>
          <w:noProof/>
        </w:rPr>
        <w:t xml:space="preserve">, and without interfering with existing governance, conformity assessment and enforcement mechanisms and authorities established therein, the mandatory requirements for high-risk AI systems laid down in Regulation (EU) 2024/1689 when adopting any relevant delegated or implementing acts on the basis of </w:t>
      </w:r>
      <w:r w:rsidR="00A8646A" w:rsidRPr="00F81955">
        <w:rPr>
          <w:noProof/>
        </w:rPr>
        <w:t>that</w:t>
      </w:r>
      <w:r w:rsidR="008E397D" w:rsidRPr="00F81955">
        <w:rPr>
          <w:noProof/>
        </w:rPr>
        <w:t xml:space="preserve"> act</w:t>
      </w:r>
      <w:r w:rsidR="006F20EB" w:rsidRPr="00F81955">
        <w:rPr>
          <w:noProof/>
        </w:rPr>
        <w:t>. A technical correction extending specific articles of Regulation (EU) 2018/1139 is necessary to ensure that</w:t>
      </w:r>
      <w:r w:rsidR="00A8646A" w:rsidRPr="00F81955">
        <w:rPr>
          <w:noProof/>
        </w:rPr>
        <w:t xml:space="preserve"> those</w:t>
      </w:r>
      <w:r w:rsidR="006F20EB" w:rsidRPr="00F81955">
        <w:rPr>
          <w:noProof/>
        </w:rPr>
        <w:t xml:space="preserve"> mandatory requirements for high-risk AI systems laid down in Regulation (EU) 2024/1689 are fully covered when adopting relevant delegated or implementing acts on the basis of Regulation (EU) 2018/1139.</w:t>
      </w:r>
    </w:p>
    <w:p w:rsidR="009C3EE2" w:rsidRPr="00F81955" w:rsidRDefault="00C076D8" w:rsidP="00C076D8">
      <w:pPr>
        <w:pStyle w:val="ManualConsidrant"/>
        <w:rPr>
          <w:noProof/>
        </w:rPr>
      </w:pPr>
      <w:r w:rsidRPr="00C076D8">
        <w:rPr>
          <w:noProof/>
        </w:rPr>
        <w:t>(26)</w:t>
      </w:r>
      <w:r w:rsidRPr="00C076D8">
        <w:rPr>
          <w:noProof/>
        </w:rPr>
        <w:tab/>
      </w:r>
      <w:r w:rsidR="00E60493" w:rsidRPr="00F81955">
        <w:rPr>
          <w:noProof/>
        </w:rPr>
        <w:t xml:space="preserve">In order to ensure legal certainty as soon as possible, with a view to the imminent general application </w:t>
      </w:r>
      <w:r w:rsidR="00040D9F" w:rsidRPr="00F81955">
        <w:rPr>
          <w:noProof/>
        </w:rPr>
        <w:t xml:space="preserve">of </w:t>
      </w:r>
      <w:r w:rsidR="00E60493" w:rsidRPr="00F81955">
        <w:rPr>
          <w:noProof/>
        </w:rPr>
        <w:t>Regulation (EU) 2024/1689, this Regulation should enter into force as a matter of urgency</w:t>
      </w:r>
      <w:r w:rsidR="009C3EE2" w:rsidRPr="00F81955">
        <w:rPr>
          <w:noProof/>
        </w:rPr>
        <w:t>,</w:t>
      </w:r>
    </w:p>
    <w:p w:rsidR="009C3EE2" w:rsidRPr="00F81955" w:rsidRDefault="009C3EE2" w:rsidP="0002735A">
      <w:pPr>
        <w:pStyle w:val="Formuledadoption"/>
        <w:rPr>
          <w:noProof/>
        </w:rPr>
      </w:pPr>
      <w:r w:rsidRPr="00F81955">
        <w:rPr>
          <w:noProof/>
        </w:rPr>
        <w:t>HAVE ADOPTED THIS REGULATION:</w:t>
      </w:r>
    </w:p>
    <w:p w:rsidR="009C3EE2" w:rsidRPr="00F81955" w:rsidRDefault="009C3EE2" w:rsidP="0002735A">
      <w:pPr>
        <w:pStyle w:val="Titrearticle"/>
        <w:rPr>
          <w:noProof/>
        </w:rPr>
      </w:pPr>
      <w:r w:rsidRPr="00F81955">
        <w:rPr>
          <w:noProof/>
        </w:rPr>
        <w:t>Article 1</w:t>
      </w:r>
    </w:p>
    <w:p w:rsidR="00E60493" w:rsidRPr="00F81955" w:rsidRDefault="00E60493" w:rsidP="00E60493">
      <w:pPr>
        <w:pStyle w:val="Titrearticle"/>
        <w:rPr>
          <w:noProof/>
        </w:rPr>
      </w:pPr>
      <w:r w:rsidRPr="00F81955">
        <w:rPr>
          <w:noProof/>
        </w:rPr>
        <w:t>Amendments to Regulation (EU) 2024/1689</w:t>
      </w:r>
    </w:p>
    <w:p w:rsidR="00BC4D42" w:rsidRPr="00F81955" w:rsidRDefault="00BC4D42" w:rsidP="00E6135C">
      <w:pPr>
        <w:pStyle w:val="Point0"/>
        <w:rPr>
          <w:noProof/>
        </w:rPr>
      </w:pPr>
      <w:r w:rsidRPr="00F81955">
        <w:rPr>
          <w:noProof/>
        </w:rPr>
        <w:t>Regulation (EU) 2024/1689 is amended as follows:</w:t>
      </w:r>
    </w:p>
    <w:p w:rsidR="00B33531" w:rsidRPr="00F81955" w:rsidRDefault="00C076D8" w:rsidP="00C076D8">
      <w:pPr>
        <w:pStyle w:val="Point1"/>
        <w:rPr>
          <w:noProof/>
        </w:rPr>
      </w:pPr>
      <w:r w:rsidRPr="00C076D8">
        <w:rPr>
          <w:noProof/>
        </w:rPr>
        <w:t>(1)</w:t>
      </w:r>
      <w:r w:rsidRPr="00C076D8">
        <w:rPr>
          <w:noProof/>
        </w:rPr>
        <w:tab/>
      </w:r>
      <w:r w:rsidR="00B33531" w:rsidRPr="00F81955">
        <w:rPr>
          <w:noProof/>
        </w:rPr>
        <w:t>in Article 1(2), point (g) is replaced by the following:</w:t>
      </w:r>
    </w:p>
    <w:p w:rsidR="00B33531" w:rsidRPr="00F81955" w:rsidRDefault="00B33531" w:rsidP="56C5C902">
      <w:pPr>
        <w:pStyle w:val="Point2"/>
        <w:rPr>
          <w:noProof/>
        </w:rPr>
      </w:pPr>
      <w:r w:rsidRPr="00F81955">
        <w:rPr>
          <w:noProof/>
        </w:rPr>
        <w:t>’(g) measures to support innovation, with a particular focus on small mid-cap enterprises (SMCs) and small and medium-sized enterprises (SMEs), including start-ups.’;</w:t>
      </w:r>
    </w:p>
    <w:p w:rsidR="00BC4D42" w:rsidRPr="00F81955" w:rsidRDefault="00C076D8" w:rsidP="00C076D8">
      <w:pPr>
        <w:pStyle w:val="Point1"/>
        <w:rPr>
          <w:noProof/>
        </w:rPr>
      </w:pPr>
      <w:r w:rsidRPr="00C076D8">
        <w:rPr>
          <w:noProof/>
        </w:rPr>
        <w:t>(2)</w:t>
      </w:r>
      <w:r w:rsidRPr="00C076D8">
        <w:rPr>
          <w:noProof/>
        </w:rPr>
        <w:tab/>
      </w:r>
      <w:r w:rsidR="00BC4D42" w:rsidRPr="00F81955">
        <w:rPr>
          <w:noProof/>
        </w:rPr>
        <w:t>in Article 2</w:t>
      </w:r>
      <w:r w:rsidR="00A248A8" w:rsidRPr="00F81955">
        <w:rPr>
          <w:noProof/>
        </w:rPr>
        <w:t>,</w:t>
      </w:r>
      <w:r w:rsidR="00BC4D42" w:rsidRPr="00F81955">
        <w:rPr>
          <w:noProof/>
        </w:rPr>
        <w:t xml:space="preserve"> paragraph 2 is </w:t>
      </w:r>
      <w:r w:rsidR="00E36BCF" w:rsidRPr="00F81955">
        <w:rPr>
          <w:noProof/>
        </w:rPr>
        <w:t xml:space="preserve">replaced </w:t>
      </w:r>
      <w:r w:rsidR="00BC4D42" w:rsidRPr="00F81955">
        <w:rPr>
          <w:noProof/>
        </w:rPr>
        <w:t>by the following:</w:t>
      </w:r>
    </w:p>
    <w:p w:rsidR="00BC4D42" w:rsidRPr="00F81955" w:rsidRDefault="00BC4D42" w:rsidP="00865CF2">
      <w:pPr>
        <w:pStyle w:val="Point2"/>
        <w:rPr>
          <w:noProof/>
        </w:rPr>
      </w:pPr>
      <w:r w:rsidRPr="00F81955">
        <w:rPr>
          <w:noProof/>
        </w:rPr>
        <w:t>‘2. For AI systems classified as high-risk AI systems in accordance with Article 6(1) related to products covered by the Union harmonisation legislation listed in Section B of Annex I, only Article 6(1), Article 60</w:t>
      </w:r>
      <w:r w:rsidR="009451EF" w:rsidRPr="00F81955">
        <w:rPr>
          <w:noProof/>
        </w:rPr>
        <w:t>a</w:t>
      </w:r>
      <w:r w:rsidRPr="00F81955">
        <w:rPr>
          <w:noProof/>
        </w:rPr>
        <w:t>, Articles 102 to 109 and Article</w:t>
      </w:r>
      <w:r w:rsidR="00F42E8C" w:rsidRPr="00F81955">
        <w:rPr>
          <w:noProof/>
        </w:rPr>
        <w:t>s</w:t>
      </w:r>
      <w:r w:rsidRPr="00F81955">
        <w:rPr>
          <w:noProof/>
        </w:rPr>
        <w:t xml:space="preserve"> 111</w:t>
      </w:r>
      <w:r w:rsidR="00806CE2" w:rsidRPr="00F81955">
        <w:rPr>
          <w:noProof/>
        </w:rPr>
        <w:t xml:space="preserve"> </w:t>
      </w:r>
      <w:r w:rsidR="00F42E8C" w:rsidRPr="00F81955">
        <w:rPr>
          <w:noProof/>
        </w:rPr>
        <w:t xml:space="preserve">and 112 </w:t>
      </w:r>
      <w:r w:rsidR="00806CE2" w:rsidRPr="00F81955">
        <w:rPr>
          <w:noProof/>
        </w:rPr>
        <w:t>shall</w:t>
      </w:r>
      <w:r w:rsidRPr="00F81955">
        <w:rPr>
          <w:noProof/>
        </w:rPr>
        <w:t xml:space="preserve"> apply. Article 57 </w:t>
      </w:r>
      <w:r w:rsidR="00806CE2" w:rsidRPr="00F81955">
        <w:rPr>
          <w:noProof/>
        </w:rPr>
        <w:t xml:space="preserve">shall </w:t>
      </w:r>
      <w:r w:rsidRPr="00F81955">
        <w:rPr>
          <w:noProof/>
        </w:rPr>
        <w:t>appl</w:t>
      </w:r>
      <w:r w:rsidR="00806CE2" w:rsidRPr="00F81955">
        <w:rPr>
          <w:noProof/>
        </w:rPr>
        <w:t>y</w:t>
      </w:r>
      <w:r w:rsidRPr="00F81955">
        <w:rPr>
          <w:noProof/>
        </w:rPr>
        <w:t xml:space="preserve"> only in so far as the requirements for high-risk AI systems under this Regulation have been integrated in that Union harmonisation legislation.;</w:t>
      </w:r>
    </w:p>
    <w:p w:rsidR="00BC4D42" w:rsidRPr="00F81955" w:rsidRDefault="00C076D8" w:rsidP="00C076D8">
      <w:pPr>
        <w:pStyle w:val="Point1"/>
        <w:rPr>
          <w:noProof/>
        </w:rPr>
      </w:pPr>
      <w:r w:rsidRPr="00C076D8">
        <w:rPr>
          <w:noProof/>
        </w:rPr>
        <w:t>(3)</w:t>
      </w:r>
      <w:r w:rsidRPr="00C076D8">
        <w:rPr>
          <w:noProof/>
        </w:rPr>
        <w:tab/>
      </w:r>
      <w:r w:rsidR="00BC4D42" w:rsidRPr="00F81955">
        <w:rPr>
          <w:noProof/>
        </w:rPr>
        <w:t xml:space="preserve">in Article 3, the following </w:t>
      </w:r>
      <w:r w:rsidR="001F11C4" w:rsidRPr="00F81955">
        <w:rPr>
          <w:noProof/>
        </w:rPr>
        <w:t xml:space="preserve">points (14a) and (14b) </w:t>
      </w:r>
      <w:r w:rsidR="00BC4D42" w:rsidRPr="00F81955">
        <w:rPr>
          <w:noProof/>
        </w:rPr>
        <w:t xml:space="preserve">are </w:t>
      </w:r>
      <w:r w:rsidR="001F11C4" w:rsidRPr="00F81955">
        <w:rPr>
          <w:noProof/>
        </w:rPr>
        <w:t>inserted</w:t>
      </w:r>
      <w:r w:rsidR="00BC4D42" w:rsidRPr="00F81955">
        <w:rPr>
          <w:noProof/>
        </w:rPr>
        <w:t>:</w:t>
      </w:r>
    </w:p>
    <w:p w:rsidR="00BC4D42" w:rsidRPr="00F81955" w:rsidRDefault="00BC4D42" w:rsidP="0078585D">
      <w:pPr>
        <w:pStyle w:val="Point2"/>
        <w:rPr>
          <w:noProof/>
        </w:rPr>
      </w:pPr>
      <w:r w:rsidRPr="00F81955">
        <w:rPr>
          <w:noProof/>
        </w:rPr>
        <w:t>‘</w:t>
      </w:r>
      <w:r w:rsidR="00DD6D1B" w:rsidRPr="00F81955">
        <w:rPr>
          <w:noProof/>
        </w:rPr>
        <w:t>(</w:t>
      </w:r>
      <w:r w:rsidR="005D7D7A" w:rsidRPr="00F81955">
        <w:rPr>
          <w:noProof/>
        </w:rPr>
        <w:t>14a</w:t>
      </w:r>
      <w:r w:rsidR="00DD6D1B" w:rsidRPr="00F81955">
        <w:rPr>
          <w:noProof/>
        </w:rPr>
        <w:t xml:space="preserve">) </w:t>
      </w:r>
      <w:r w:rsidR="00816B75" w:rsidRPr="00F81955">
        <w:rPr>
          <w:noProof/>
        </w:rPr>
        <w:t>micro, small and medium-sized enterprise (</w:t>
      </w:r>
      <w:r w:rsidR="009F13A8" w:rsidRPr="00F81955">
        <w:rPr>
          <w:noProof/>
        </w:rPr>
        <w:t>‘</w:t>
      </w:r>
      <w:r w:rsidRPr="00F81955">
        <w:rPr>
          <w:noProof/>
        </w:rPr>
        <w:t>SME’</w:t>
      </w:r>
      <w:r w:rsidR="00816B75" w:rsidRPr="00F81955">
        <w:rPr>
          <w:noProof/>
        </w:rPr>
        <w:t>)</w:t>
      </w:r>
      <w:r w:rsidRPr="00F81955">
        <w:rPr>
          <w:noProof/>
        </w:rPr>
        <w:t xml:space="preserve"> means a </w:t>
      </w:r>
      <w:r w:rsidR="00816B75" w:rsidRPr="00F81955">
        <w:rPr>
          <w:noProof/>
        </w:rPr>
        <w:t xml:space="preserve">micro, </w:t>
      </w:r>
      <w:r w:rsidRPr="00F81955">
        <w:rPr>
          <w:noProof/>
        </w:rPr>
        <w:t xml:space="preserve">small or medium-sized enterprise </w:t>
      </w:r>
      <w:r w:rsidR="00816B75" w:rsidRPr="00F81955">
        <w:rPr>
          <w:noProof/>
        </w:rPr>
        <w:t>as defined in Article 2</w:t>
      </w:r>
      <w:r w:rsidRPr="00F81955">
        <w:rPr>
          <w:noProof/>
        </w:rPr>
        <w:t xml:space="preserve"> of the Annex to Commission Recommendation 2003/361/EC;</w:t>
      </w:r>
    </w:p>
    <w:p w:rsidR="00BC4D42" w:rsidRPr="00F81955" w:rsidRDefault="009F13A8" w:rsidP="0078585D">
      <w:pPr>
        <w:pStyle w:val="Point2"/>
        <w:rPr>
          <w:noProof/>
        </w:rPr>
      </w:pPr>
      <w:r w:rsidRPr="00F81955">
        <w:rPr>
          <w:noProof/>
        </w:rPr>
        <w:t>(</w:t>
      </w:r>
      <w:r w:rsidR="005D7D7A" w:rsidRPr="00F81955">
        <w:rPr>
          <w:noProof/>
        </w:rPr>
        <w:t>14b</w:t>
      </w:r>
      <w:r w:rsidRPr="00F81955">
        <w:rPr>
          <w:noProof/>
        </w:rPr>
        <w:t xml:space="preserve">) </w:t>
      </w:r>
      <w:r w:rsidR="004B3133" w:rsidRPr="00F81955">
        <w:rPr>
          <w:noProof/>
        </w:rPr>
        <w:t>small mid-cap enterprise (</w:t>
      </w:r>
      <w:r w:rsidRPr="00F81955">
        <w:rPr>
          <w:noProof/>
        </w:rPr>
        <w:t>‘</w:t>
      </w:r>
      <w:r w:rsidR="00BC4D42" w:rsidRPr="00F81955">
        <w:rPr>
          <w:noProof/>
        </w:rPr>
        <w:t>SMC’</w:t>
      </w:r>
      <w:r w:rsidR="004B3133" w:rsidRPr="00F81955">
        <w:rPr>
          <w:noProof/>
        </w:rPr>
        <w:t>)</w:t>
      </w:r>
      <w:r w:rsidR="00BC4D42" w:rsidRPr="00F81955">
        <w:rPr>
          <w:noProof/>
        </w:rPr>
        <w:t xml:space="preserve"> means a small mid-cap enterprise </w:t>
      </w:r>
      <w:r w:rsidR="004B3133" w:rsidRPr="00F81955">
        <w:rPr>
          <w:noProof/>
        </w:rPr>
        <w:t>as defined in point (2)</w:t>
      </w:r>
      <w:r w:rsidR="00BC4D42" w:rsidRPr="00F81955">
        <w:rPr>
          <w:noProof/>
        </w:rPr>
        <w:t xml:space="preserve"> of the Annex to Commission Recommendation </w:t>
      </w:r>
      <w:r w:rsidR="004B3133" w:rsidRPr="00F81955">
        <w:rPr>
          <w:noProof/>
        </w:rPr>
        <w:t xml:space="preserve">(EU) </w:t>
      </w:r>
      <w:r w:rsidR="00BC4D42" w:rsidRPr="00F81955">
        <w:rPr>
          <w:noProof/>
        </w:rPr>
        <w:t>2025/</w:t>
      </w:r>
      <w:r w:rsidR="004B3133" w:rsidRPr="00F81955">
        <w:rPr>
          <w:noProof/>
        </w:rPr>
        <w:t>1099</w:t>
      </w:r>
      <w:r w:rsidR="00BC4D42" w:rsidRPr="00F81955">
        <w:rPr>
          <w:noProof/>
        </w:rPr>
        <w:t xml:space="preserve">’; </w:t>
      </w:r>
    </w:p>
    <w:p w:rsidR="00BC4D42" w:rsidRPr="00F81955" w:rsidRDefault="00C076D8" w:rsidP="00C076D8">
      <w:pPr>
        <w:pStyle w:val="Point1"/>
        <w:rPr>
          <w:noProof/>
        </w:rPr>
      </w:pPr>
      <w:r w:rsidRPr="00C076D8">
        <w:rPr>
          <w:noProof/>
        </w:rPr>
        <w:t>(4)</w:t>
      </w:r>
      <w:r w:rsidRPr="00C076D8">
        <w:rPr>
          <w:noProof/>
        </w:rPr>
        <w:tab/>
      </w:r>
      <w:r w:rsidR="00BC4D42" w:rsidRPr="00F81955">
        <w:rPr>
          <w:noProof/>
        </w:rPr>
        <w:t xml:space="preserve">Article 4 is replaced by the following: </w:t>
      </w:r>
    </w:p>
    <w:p w:rsidR="008F418B" w:rsidRPr="00F81955" w:rsidRDefault="00BC4D42" w:rsidP="008F418B">
      <w:pPr>
        <w:pStyle w:val="Point2"/>
        <w:rPr>
          <w:i/>
          <w:iCs/>
          <w:noProof/>
        </w:rPr>
      </w:pPr>
      <w:r w:rsidRPr="00F81955">
        <w:rPr>
          <w:noProof/>
        </w:rPr>
        <w:t>‘</w:t>
      </w:r>
      <w:r w:rsidR="008F418B" w:rsidRPr="00F81955">
        <w:rPr>
          <w:noProof/>
        </w:rPr>
        <w:tab/>
      </w:r>
      <w:r w:rsidR="008F418B" w:rsidRPr="00F81955">
        <w:rPr>
          <w:noProof/>
        </w:rPr>
        <w:tab/>
      </w:r>
      <w:r w:rsidR="008F418B" w:rsidRPr="00F81955">
        <w:rPr>
          <w:noProof/>
        </w:rPr>
        <w:tab/>
      </w:r>
      <w:r w:rsidR="008F418B" w:rsidRPr="00F81955">
        <w:rPr>
          <w:noProof/>
        </w:rPr>
        <w:tab/>
      </w:r>
      <w:r w:rsidR="008F418B" w:rsidRPr="00F81955">
        <w:rPr>
          <w:i/>
          <w:iCs/>
          <w:noProof/>
        </w:rPr>
        <w:t>Article 4</w:t>
      </w:r>
    </w:p>
    <w:p w:rsidR="008F418B" w:rsidRPr="00F81955" w:rsidRDefault="008F418B" w:rsidP="008F418B">
      <w:pPr>
        <w:pStyle w:val="Point2"/>
        <w:ind w:left="3390" w:firstLine="210"/>
        <w:rPr>
          <w:b/>
          <w:bCs/>
          <w:noProof/>
        </w:rPr>
      </w:pPr>
      <w:r w:rsidRPr="00F81955">
        <w:rPr>
          <w:b/>
          <w:bCs/>
          <w:noProof/>
        </w:rPr>
        <w:t>AI literacy</w:t>
      </w:r>
    </w:p>
    <w:p w:rsidR="00BC4D42" w:rsidRPr="00F81955" w:rsidRDefault="00BC4D42" w:rsidP="004D5576">
      <w:pPr>
        <w:pStyle w:val="Point2"/>
        <w:rPr>
          <w:noProof/>
        </w:rPr>
      </w:pPr>
      <w:r w:rsidRPr="00F81955">
        <w:rPr>
          <w:noProof/>
        </w:rPr>
        <w:t xml:space="preserve">‘The Commission and Member States shall encourage providers and deployers of AI systems to take measures to ensure a sufficient level of AI literacy of their staff and other persons dealing with the operation and use of AI systems on their behalf, taking into account their technical knowledge, experience, </w:t>
      </w:r>
      <w:r w:rsidR="00CA0D5E" w:rsidRPr="00F81955">
        <w:rPr>
          <w:noProof/>
        </w:rPr>
        <w:t xml:space="preserve">level of </w:t>
      </w:r>
      <w:r w:rsidRPr="00F81955">
        <w:rPr>
          <w:noProof/>
        </w:rPr>
        <w:t>education and training and the context the AI systems are to be used in, and considering the persons or groups of persons on whom the AI systems are to be used.’;</w:t>
      </w:r>
    </w:p>
    <w:p w:rsidR="00BC4D42" w:rsidRPr="00F81955" w:rsidRDefault="00C076D8" w:rsidP="00C076D8">
      <w:pPr>
        <w:pStyle w:val="Point1"/>
        <w:rPr>
          <w:noProof/>
        </w:rPr>
      </w:pPr>
      <w:r w:rsidRPr="00C076D8">
        <w:rPr>
          <w:noProof/>
        </w:rPr>
        <w:t>(5)</w:t>
      </w:r>
      <w:r w:rsidRPr="00C076D8">
        <w:rPr>
          <w:noProof/>
        </w:rPr>
        <w:tab/>
      </w:r>
      <w:r w:rsidR="00BC4D42" w:rsidRPr="00F81955">
        <w:rPr>
          <w:noProof/>
        </w:rPr>
        <w:t>the following Article 4a is inserted</w:t>
      </w:r>
      <w:r w:rsidR="009C10CA" w:rsidRPr="00F81955">
        <w:rPr>
          <w:noProof/>
        </w:rPr>
        <w:t xml:space="preserve"> in Chapter I</w:t>
      </w:r>
      <w:r w:rsidR="00BC4D42" w:rsidRPr="00F81955">
        <w:rPr>
          <w:noProof/>
        </w:rPr>
        <w:t>:</w:t>
      </w:r>
    </w:p>
    <w:p w:rsidR="00340725" w:rsidRPr="00F81955" w:rsidRDefault="00BC4D42" w:rsidP="00340725">
      <w:pPr>
        <w:pStyle w:val="Point2"/>
        <w:jc w:val="center"/>
        <w:rPr>
          <w:noProof/>
        </w:rPr>
      </w:pPr>
      <w:r w:rsidRPr="00F81955">
        <w:rPr>
          <w:noProof/>
        </w:rPr>
        <w:t>‘</w:t>
      </w:r>
      <w:r w:rsidR="00340725" w:rsidRPr="00F81955">
        <w:rPr>
          <w:i/>
          <w:noProof/>
        </w:rPr>
        <w:t>Article 4a</w:t>
      </w:r>
    </w:p>
    <w:p w:rsidR="00340725" w:rsidRPr="00F81955" w:rsidRDefault="00083E80" w:rsidP="00175212">
      <w:pPr>
        <w:pStyle w:val="Point2"/>
        <w:ind w:left="3390" w:firstLine="210"/>
        <w:rPr>
          <w:b/>
          <w:bCs/>
          <w:noProof/>
        </w:rPr>
      </w:pPr>
      <w:r w:rsidRPr="00F81955">
        <w:rPr>
          <w:b/>
          <w:bCs/>
          <w:noProof/>
        </w:rPr>
        <w:t>Processing of special categories of personal data for bias detection and mitigation</w:t>
      </w:r>
    </w:p>
    <w:p w:rsidR="00BC4D42" w:rsidRPr="00F81955" w:rsidRDefault="00340725" w:rsidP="0078585D">
      <w:pPr>
        <w:pStyle w:val="Point2"/>
        <w:rPr>
          <w:noProof/>
        </w:rPr>
      </w:pPr>
      <w:r w:rsidRPr="00F81955">
        <w:rPr>
          <w:noProof/>
        </w:rPr>
        <w:t xml:space="preserve">1. </w:t>
      </w:r>
      <w:r w:rsidR="00BC4D42" w:rsidRPr="00F81955">
        <w:rPr>
          <w:noProof/>
        </w:rPr>
        <w:t xml:space="preserve">To the extent necessary </w:t>
      </w:r>
      <w:r w:rsidRPr="00F81955">
        <w:rPr>
          <w:noProof/>
        </w:rPr>
        <w:t>to</w:t>
      </w:r>
      <w:r w:rsidR="00BC4D42" w:rsidRPr="00F81955">
        <w:rPr>
          <w:noProof/>
        </w:rPr>
        <w:t xml:space="preserve"> ensur</w:t>
      </w:r>
      <w:r w:rsidRPr="00F81955">
        <w:rPr>
          <w:noProof/>
        </w:rPr>
        <w:t>e</w:t>
      </w:r>
      <w:r w:rsidR="00BC4D42" w:rsidRPr="00F81955">
        <w:rPr>
          <w:noProof/>
        </w:rPr>
        <w:t xml:space="preserve"> bias detection and correction in relation to high-risk AI systems in accordance with Article 10 (2), points (f) and (g)</w:t>
      </w:r>
      <w:r w:rsidR="00907428" w:rsidRPr="00F81955">
        <w:rPr>
          <w:noProof/>
        </w:rPr>
        <w:t>,</w:t>
      </w:r>
      <w:r w:rsidR="00BC4D42" w:rsidRPr="00F81955">
        <w:rPr>
          <w:noProof/>
        </w:rPr>
        <w:t xml:space="preserve"> of this Regulation, providers of such systems may exceptionally process special categories of personal data, subject to appropriate safeguards for the fundamental rights and freedoms of natural persons. In addition to the safeguards set out in Regulations (EU) 2016/679 and (EU) 2018/1725</w:t>
      </w:r>
      <w:r w:rsidR="6138CCC3" w:rsidRPr="00F81955">
        <w:rPr>
          <w:noProof/>
        </w:rPr>
        <w:t xml:space="preserve"> and </w:t>
      </w:r>
      <w:r w:rsidR="6138CCC3" w:rsidRPr="00F81955">
        <w:rPr>
          <w:rFonts w:eastAsia="Times New Roman"/>
          <w:noProof/>
          <w:color w:val="333333"/>
        </w:rPr>
        <w:t>Directive (EU) 2016/680</w:t>
      </w:r>
      <w:r w:rsidR="00BC4D42" w:rsidRPr="00F81955">
        <w:rPr>
          <w:noProof/>
        </w:rPr>
        <w:t>,</w:t>
      </w:r>
      <w:r w:rsidR="6A238494" w:rsidRPr="00F81955">
        <w:rPr>
          <w:noProof/>
        </w:rPr>
        <w:t xml:space="preserve"> as applicable,</w:t>
      </w:r>
      <w:r w:rsidR="00BC4D42" w:rsidRPr="00F81955">
        <w:rPr>
          <w:noProof/>
        </w:rPr>
        <w:t xml:space="preserve"> all the following conditions </w:t>
      </w:r>
      <w:r w:rsidR="00907428" w:rsidRPr="00F81955">
        <w:rPr>
          <w:noProof/>
        </w:rPr>
        <w:t xml:space="preserve">shall </w:t>
      </w:r>
      <w:r w:rsidR="00BC4D42" w:rsidRPr="00F81955">
        <w:rPr>
          <w:noProof/>
        </w:rPr>
        <w:t>be met in order for such processing to occur:</w:t>
      </w:r>
    </w:p>
    <w:p w:rsidR="00BC4D42" w:rsidRPr="00F81955" w:rsidRDefault="00BC4D42" w:rsidP="0078585D">
      <w:pPr>
        <w:pStyle w:val="Point2"/>
        <w:rPr>
          <w:noProof/>
        </w:rPr>
      </w:pPr>
      <w:r w:rsidRPr="00F81955">
        <w:rPr>
          <w:noProof/>
        </w:rPr>
        <w:t>(a) the bias detection and correction cannot be effectively fulfilled by processing other data, including synthetic or anonymised data;</w:t>
      </w:r>
    </w:p>
    <w:p w:rsidR="00BC4D42" w:rsidRPr="00F81955" w:rsidRDefault="00BC4D42" w:rsidP="0078585D">
      <w:pPr>
        <w:pStyle w:val="Point2"/>
        <w:rPr>
          <w:noProof/>
        </w:rPr>
      </w:pPr>
      <w:r w:rsidRPr="00F81955">
        <w:rPr>
          <w:noProof/>
        </w:rPr>
        <w:t>(b) the special categories of personal data are subject to technical limitations on the re-use of the personal data, and state-of-the-art security and privacy-preserving measures, including pseudonymisation;</w:t>
      </w:r>
    </w:p>
    <w:p w:rsidR="00BC4D42" w:rsidRPr="00F81955" w:rsidRDefault="00BC4D42" w:rsidP="0078585D">
      <w:pPr>
        <w:pStyle w:val="Point2"/>
        <w:rPr>
          <w:noProof/>
        </w:rPr>
      </w:pPr>
      <w:r w:rsidRPr="00F81955">
        <w:rPr>
          <w:noProof/>
        </w:rPr>
        <w:t>(c) the special categories of personal data are subject to measures to ensure that the personal data processed are secured, protected, subject to suitable safeguards, including strict controls and documentation of the access, to avoid misuse and ensure that only authorised persons have access to those personal data with appropriate confidentiality obligations;</w:t>
      </w:r>
    </w:p>
    <w:p w:rsidR="00BC4D42" w:rsidRPr="00F81955" w:rsidRDefault="00BC4D42" w:rsidP="0078585D">
      <w:pPr>
        <w:pStyle w:val="Point2"/>
        <w:rPr>
          <w:noProof/>
        </w:rPr>
      </w:pPr>
      <w:r w:rsidRPr="00F81955">
        <w:rPr>
          <w:noProof/>
        </w:rPr>
        <w:t>(d) the special categories of personal data are not transmitted, transferred or otherwise accessed by other parties;</w:t>
      </w:r>
    </w:p>
    <w:p w:rsidR="00BC4D42" w:rsidRPr="00F81955" w:rsidRDefault="00BC4D42" w:rsidP="0078585D">
      <w:pPr>
        <w:pStyle w:val="Point2"/>
        <w:rPr>
          <w:noProof/>
        </w:rPr>
      </w:pPr>
      <w:r w:rsidRPr="00F81955">
        <w:rPr>
          <w:noProof/>
        </w:rPr>
        <w:t>(e) the special categories of personal data are deleted once the bias has been corrected or the personal data has reached the end of its retention period, whichever comes first;</w:t>
      </w:r>
    </w:p>
    <w:p w:rsidR="00BC4D42" w:rsidRPr="00F81955" w:rsidRDefault="00BC4D42" w:rsidP="0078585D">
      <w:pPr>
        <w:pStyle w:val="Point2"/>
        <w:rPr>
          <w:noProof/>
        </w:rPr>
      </w:pPr>
      <w:r w:rsidRPr="00F81955">
        <w:rPr>
          <w:noProof/>
        </w:rPr>
        <w:t xml:space="preserve">(f) the records of processing activities pursuant to Regulations (EU) 2016/679 and (EU) 2018/1725 </w:t>
      </w:r>
      <w:r w:rsidR="4ADA5AE5" w:rsidRPr="00F81955">
        <w:rPr>
          <w:noProof/>
        </w:rPr>
        <w:t xml:space="preserve">and </w:t>
      </w:r>
      <w:r w:rsidR="4ADA5AE5" w:rsidRPr="00F81955">
        <w:rPr>
          <w:rFonts w:eastAsia="Times New Roman"/>
          <w:noProof/>
          <w:color w:val="333333"/>
        </w:rPr>
        <w:t>Directive (EU) 2016/680</w:t>
      </w:r>
      <w:r w:rsidR="4ADA5AE5" w:rsidRPr="00F81955">
        <w:rPr>
          <w:noProof/>
        </w:rPr>
        <w:t xml:space="preserve"> </w:t>
      </w:r>
      <w:r w:rsidRPr="00F81955">
        <w:rPr>
          <w:noProof/>
        </w:rPr>
        <w:t>include the reasons why the processing of special categories of personal data was necessary to detect and correct biases, and why that objective could not be achieved by processing other data.</w:t>
      </w:r>
    </w:p>
    <w:p w:rsidR="00BC4D42" w:rsidRPr="00F81955" w:rsidRDefault="00BC4D42" w:rsidP="0078585D">
      <w:pPr>
        <w:pStyle w:val="Point2"/>
        <w:rPr>
          <w:noProof/>
        </w:rPr>
      </w:pPr>
      <w:r w:rsidRPr="00F81955">
        <w:rPr>
          <w:noProof/>
        </w:rPr>
        <w:t>2. P</w:t>
      </w:r>
      <w:r w:rsidR="00DE043A" w:rsidRPr="00F81955">
        <w:rPr>
          <w:noProof/>
        </w:rPr>
        <w:t xml:space="preserve">aragraph 1 </w:t>
      </w:r>
      <w:r w:rsidR="003817DA" w:rsidRPr="00F81955">
        <w:rPr>
          <w:noProof/>
        </w:rPr>
        <w:t>may</w:t>
      </w:r>
      <w:r w:rsidR="00DE043A" w:rsidRPr="00F81955">
        <w:rPr>
          <w:noProof/>
        </w:rPr>
        <w:t xml:space="preserve"> apply to p</w:t>
      </w:r>
      <w:r w:rsidRPr="00F81955">
        <w:rPr>
          <w:noProof/>
        </w:rPr>
        <w:t>roviders and deployers of other AI systems and models</w:t>
      </w:r>
      <w:r w:rsidR="00E124FE" w:rsidRPr="00F81955">
        <w:rPr>
          <w:noProof/>
        </w:rPr>
        <w:t xml:space="preserve"> and deployers of high-risk AI systems</w:t>
      </w:r>
      <w:r w:rsidRPr="00F81955">
        <w:rPr>
          <w:noProof/>
        </w:rPr>
        <w:t xml:space="preserve"> where necessary</w:t>
      </w:r>
      <w:r w:rsidR="00834F4F" w:rsidRPr="00F81955">
        <w:rPr>
          <w:noProof/>
        </w:rPr>
        <w:t xml:space="preserve"> and proportionate</w:t>
      </w:r>
      <w:r w:rsidRPr="00F81955">
        <w:rPr>
          <w:noProof/>
        </w:rPr>
        <w:t xml:space="preserve"> </w:t>
      </w:r>
      <w:r w:rsidR="003817DA" w:rsidRPr="00F81955">
        <w:rPr>
          <w:noProof/>
        </w:rPr>
        <w:t xml:space="preserve">if the processing occurs for </w:t>
      </w:r>
      <w:r w:rsidRPr="00F81955">
        <w:rPr>
          <w:noProof/>
        </w:rPr>
        <w:t>the purpose</w:t>
      </w:r>
      <w:r w:rsidR="003817DA" w:rsidRPr="00F81955">
        <w:rPr>
          <w:noProof/>
        </w:rPr>
        <w:t>s</w:t>
      </w:r>
      <w:r w:rsidRPr="00F81955">
        <w:rPr>
          <w:noProof/>
        </w:rPr>
        <w:t xml:space="preserve"> </w:t>
      </w:r>
      <w:r w:rsidR="003817DA" w:rsidRPr="00F81955">
        <w:rPr>
          <w:noProof/>
        </w:rPr>
        <w:t xml:space="preserve">set out therein </w:t>
      </w:r>
      <w:r w:rsidRPr="00F81955">
        <w:rPr>
          <w:noProof/>
        </w:rPr>
        <w:t xml:space="preserve">and </w:t>
      </w:r>
      <w:r w:rsidR="003817DA" w:rsidRPr="00F81955">
        <w:rPr>
          <w:noProof/>
        </w:rPr>
        <w:t xml:space="preserve">provided that the conditions set out </w:t>
      </w:r>
      <w:r w:rsidRPr="00F81955">
        <w:rPr>
          <w:noProof/>
        </w:rPr>
        <w:t>under the safeguards set out in this paragraph.;</w:t>
      </w:r>
    </w:p>
    <w:p w:rsidR="088FC654" w:rsidRPr="00F81955" w:rsidRDefault="00C076D8" w:rsidP="00C076D8">
      <w:pPr>
        <w:pStyle w:val="Point1"/>
        <w:rPr>
          <w:noProof/>
        </w:rPr>
      </w:pPr>
      <w:r w:rsidRPr="00C076D8">
        <w:rPr>
          <w:noProof/>
        </w:rPr>
        <w:t>(6)</w:t>
      </w:r>
      <w:r w:rsidRPr="00C076D8">
        <w:rPr>
          <w:noProof/>
        </w:rPr>
        <w:tab/>
      </w:r>
      <w:r w:rsidR="088FC654" w:rsidRPr="00F81955">
        <w:rPr>
          <w:noProof/>
        </w:rPr>
        <w:t>in</w:t>
      </w:r>
      <w:r w:rsidR="0C0DFB99" w:rsidRPr="00F81955">
        <w:rPr>
          <w:noProof/>
        </w:rPr>
        <w:t xml:space="preserve"> Article 6(4), </w:t>
      </w:r>
      <w:r w:rsidR="00DA0E75" w:rsidRPr="00F81955">
        <w:rPr>
          <w:noProof/>
        </w:rPr>
        <w:t>paragraph 4 is replaced by the following:</w:t>
      </w:r>
    </w:p>
    <w:p w:rsidR="00DA0E75" w:rsidRPr="00F81955" w:rsidRDefault="001F09D6" w:rsidP="69C9579D">
      <w:pPr>
        <w:pStyle w:val="Point2"/>
        <w:rPr>
          <w:noProof/>
        </w:rPr>
      </w:pPr>
      <w:r w:rsidRPr="00F81955">
        <w:rPr>
          <w:noProof/>
        </w:rPr>
        <w:t>‘4. A provider who considers that an AI system referred to in Annex III is not high-risk shall document its assessment before that system is placed on the market or put into service. Upon request of national competent authorities, the provider shall provide the documentation of the assessment.’;</w:t>
      </w:r>
    </w:p>
    <w:p w:rsidR="00BC4D42" w:rsidRPr="00F81955" w:rsidRDefault="00C076D8" w:rsidP="00C076D8">
      <w:pPr>
        <w:pStyle w:val="Point1"/>
        <w:rPr>
          <w:noProof/>
        </w:rPr>
      </w:pPr>
      <w:r w:rsidRPr="00C076D8">
        <w:rPr>
          <w:noProof/>
        </w:rPr>
        <w:t>(7)</w:t>
      </w:r>
      <w:r w:rsidRPr="00C076D8">
        <w:rPr>
          <w:noProof/>
        </w:rPr>
        <w:tab/>
      </w:r>
      <w:r w:rsidR="00BC4D42" w:rsidRPr="00F81955">
        <w:rPr>
          <w:noProof/>
        </w:rPr>
        <w:t>Article 10</w:t>
      </w:r>
      <w:r w:rsidR="001F09D6" w:rsidRPr="00F81955">
        <w:rPr>
          <w:noProof/>
        </w:rPr>
        <w:t xml:space="preserve"> </w:t>
      </w:r>
      <w:r w:rsidR="00BC4D42" w:rsidRPr="00F81955">
        <w:rPr>
          <w:noProof/>
        </w:rPr>
        <w:t xml:space="preserve">is amended </w:t>
      </w:r>
      <w:r w:rsidR="001F09D6" w:rsidRPr="00F81955">
        <w:rPr>
          <w:noProof/>
        </w:rPr>
        <w:t>as follows</w:t>
      </w:r>
      <w:r w:rsidR="00BC4D42" w:rsidRPr="00F81955">
        <w:rPr>
          <w:noProof/>
        </w:rPr>
        <w:t>:</w:t>
      </w:r>
    </w:p>
    <w:p w:rsidR="001F09D6" w:rsidRPr="00F81955" w:rsidRDefault="00C076D8" w:rsidP="00C076D8">
      <w:pPr>
        <w:pStyle w:val="Point1"/>
        <w:rPr>
          <w:noProof/>
        </w:rPr>
      </w:pPr>
      <w:r w:rsidRPr="00C076D8">
        <w:rPr>
          <w:noProof/>
        </w:rPr>
        <w:t>(a)</w:t>
      </w:r>
      <w:r w:rsidRPr="00C076D8">
        <w:rPr>
          <w:noProof/>
        </w:rPr>
        <w:tab/>
      </w:r>
      <w:r w:rsidR="001F09D6" w:rsidRPr="00F81955">
        <w:rPr>
          <w:noProof/>
        </w:rPr>
        <w:t>paragraph 1 is replaced by the following:</w:t>
      </w:r>
    </w:p>
    <w:p w:rsidR="00BC4D42" w:rsidRPr="00F81955" w:rsidRDefault="00BC4D42" w:rsidP="0078585D">
      <w:pPr>
        <w:pStyle w:val="Point2"/>
        <w:rPr>
          <w:noProof/>
        </w:rPr>
      </w:pPr>
      <w:r w:rsidRPr="00F81955">
        <w:rPr>
          <w:noProof/>
        </w:rPr>
        <w:t>‘1. High-risk AI systems which make use of techniques involving the training of AI models with data shall be developed on the basis of training, validation and testing data sets that meet the quality criteria referred to in paragraphs 2</w:t>
      </w:r>
      <w:r w:rsidR="003F4763" w:rsidRPr="00F81955">
        <w:rPr>
          <w:noProof/>
        </w:rPr>
        <w:t>, 3</w:t>
      </w:r>
      <w:r w:rsidRPr="00F81955">
        <w:rPr>
          <w:noProof/>
        </w:rPr>
        <w:t xml:space="preserve"> </w:t>
      </w:r>
      <w:r w:rsidR="003F4763" w:rsidRPr="00F81955">
        <w:rPr>
          <w:noProof/>
        </w:rPr>
        <w:t>and</w:t>
      </w:r>
      <w:r w:rsidRPr="00F81955">
        <w:rPr>
          <w:noProof/>
        </w:rPr>
        <w:t xml:space="preserve"> 4 of this Article and </w:t>
      </w:r>
      <w:r w:rsidR="001F09D6" w:rsidRPr="00F81955">
        <w:rPr>
          <w:noProof/>
        </w:rPr>
        <w:t xml:space="preserve">in </w:t>
      </w:r>
      <w:r w:rsidRPr="00F81955">
        <w:rPr>
          <w:noProof/>
        </w:rPr>
        <w:t>Article 4a</w:t>
      </w:r>
      <w:r w:rsidR="003F4763" w:rsidRPr="00F81955">
        <w:rPr>
          <w:noProof/>
        </w:rPr>
        <w:t>(1)</w:t>
      </w:r>
      <w:r w:rsidRPr="00F81955">
        <w:rPr>
          <w:noProof/>
        </w:rPr>
        <w:t xml:space="preserve"> whenever such data sets are used.’;</w:t>
      </w:r>
    </w:p>
    <w:p w:rsidR="00BC4D42" w:rsidRPr="00F81955" w:rsidRDefault="00C076D8" w:rsidP="00C076D8">
      <w:pPr>
        <w:pStyle w:val="Point1"/>
        <w:rPr>
          <w:noProof/>
        </w:rPr>
      </w:pPr>
      <w:r w:rsidRPr="00C076D8">
        <w:rPr>
          <w:noProof/>
        </w:rPr>
        <w:t>(b)</w:t>
      </w:r>
      <w:r w:rsidRPr="00C076D8">
        <w:rPr>
          <w:noProof/>
        </w:rPr>
        <w:tab/>
      </w:r>
      <w:r w:rsidR="00BC4D42" w:rsidRPr="00F81955">
        <w:rPr>
          <w:noProof/>
        </w:rPr>
        <w:t>paragraph 5 is deleted</w:t>
      </w:r>
      <w:r w:rsidR="001F09D6" w:rsidRPr="00F81955">
        <w:rPr>
          <w:noProof/>
        </w:rPr>
        <w:t>;</w:t>
      </w:r>
    </w:p>
    <w:p w:rsidR="00BC4D42" w:rsidRPr="00F81955" w:rsidRDefault="00C076D8" w:rsidP="00C076D8">
      <w:pPr>
        <w:pStyle w:val="Point1"/>
        <w:rPr>
          <w:noProof/>
        </w:rPr>
      </w:pPr>
      <w:r w:rsidRPr="00C076D8">
        <w:rPr>
          <w:noProof/>
        </w:rPr>
        <w:t>(c)</w:t>
      </w:r>
      <w:r w:rsidRPr="00C076D8">
        <w:rPr>
          <w:noProof/>
        </w:rPr>
        <w:tab/>
      </w:r>
      <w:r w:rsidR="00BC4D42" w:rsidRPr="00F81955">
        <w:rPr>
          <w:noProof/>
        </w:rPr>
        <w:t xml:space="preserve">paragraph 6 is </w:t>
      </w:r>
      <w:r w:rsidR="006F4BDF" w:rsidRPr="00F81955">
        <w:rPr>
          <w:noProof/>
        </w:rPr>
        <w:t xml:space="preserve">replaced </w:t>
      </w:r>
      <w:r w:rsidR="00BC4D42" w:rsidRPr="00F81955">
        <w:rPr>
          <w:noProof/>
        </w:rPr>
        <w:t>by the following:</w:t>
      </w:r>
    </w:p>
    <w:p w:rsidR="00BC4D42" w:rsidRPr="00F81955" w:rsidRDefault="00BC4D42" w:rsidP="0078585D">
      <w:pPr>
        <w:pStyle w:val="Point2"/>
        <w:rPr>
          <w:noProof/>
        </w:rPr>
      </w:pPr>
      <w:r w:rsidRPr="00F81955">
        <w:rPr>
          <w:noProof/>
        </w:rPr>
        <w:t>‘</w:t>
      </w:r>
      <w:r w:rsidR="008B5B1B" w:rsidRPr="00F81955">
        <w:rPr>
          <w:noProof/>
        </w:rPr>
        <w:t xml:space="preserve">6. </w:t>
      </w:r>
      <w:r w:rsidRPr="00F81955">
        <w:rPr>
          <w:noProof/>
        </w:rPr>
        <w:t>For the development of high-risk AI systems not using techniques involving the training of AI models, paragraphs 2</w:t>
      </w:r>
      <w:r w:rsidR="003F4763" w:rsidRPr="00F81955">
        <w:rPr>
          <w:noProof/>
        </w:rPr>
        <w:t>, 3</w:t>
      </w:r>
      <w:r w:rsidRPr="00F81955">
        <w:rPr>
          <w:noProof/>
        </w:rPr>
        <w:t xml:space="preserve"> </w:t>
      </w:r>
      <w:r w:rsidR="003F4763" w:rsidRPr="00F81955">
        <w:rPr>
          <w:noProof/>
        </w:rPr>
        <w:t>and</w:t>
      </w:r>
      <w:r w:rsidRPr="00F81955">
        <w:rPr>
          <w:noProof/>
        </w:rPr>
        <w:t xml:space="preserve"> 4 of this Article and Article 4a</w:t>
      </w:r>
      <w:r w:rsidR="008B5B1B" w:rsidRPr="00F81955">
        <w:rPr>
          <w:noProof/>
        </w:rPr>
        <w:t>(1)</w:t>
      </w:r>
      <w:r w:rsidRPr="00F81955">
        <w:rPr>
          <w:noProof/>
        </w:rPr>
        <w:t xml:space="preserve"> </w:t>
      </w:r>
      <w:r w:rsidR="008B5B1B" w:rsidRPr="00F81955">
        <w:rPr>
          <w:noProof/>
        </w:rPr>
        <w:t xml:space="preserve">shall </w:t>
      </w:r>
      <w:r w:rsidRPr="00F81955">
        <w:rPr>
          <w:noProof/>
        </w:rPr>
        <w:t>apply only to the testing data sets.’</w:t>
      </w:r>
      <w:r w:rsidR="00040D9F" w:rsidRPr="00F81955">
        <w:rPr>
          <w:noProof/>
        </w:rPr>
        <w:t>;</w:t>
      </w:r>
    </w:p>
    <w:p w:rsidR="00BC4D42" w:rsidRPr="00F81955" w:rsidRDefault="00C076D8" w:rsidP="00C076D8">
      <w:pPr>
        <w:pStyle w:val="Point1"/>
        <w:rPr>
          <w:noProof/>
        </w:rPr>
      </w:pPr>
      <w:r w:rsidRPr="00C076D8">
        <w:rPr>
          <w:noProof/>
        </w:rPr>
        <w:t>(8)</w:t>
      </w:r>
      <w:r w:rsidRPr="00C076D8">
        <w:rPr>
          <w:noProof/>
        </w:rPr>
        <w:tab/>
      </w:r>
      <w:r w:rsidR="00BC4D42" w:rsidRPr="00F81955">
        <w:rPr>
          <w:noProof/>
        </w:rPr>
        <w:t>in Article 11(1), the second subparagraph is replaced by the following:</w:t>
      </w:r>
    </w:p>
    <w:p w:rsidR="00BC4D42" w:rsidRPr="00F81955" w:rsidRDefault="00BC4D42" w:rsidP="69C9579D">
      <w:pPr>
        <w:pStyle w:val="Point2"/>
        <w:rPr>
          <w:noProof/>
        </w:rPr>
      </w:pPr>
      <w:r w:rsidRPr="00F81955">
        <w:rPr>
          <w:noProof/>
        </w:rPr>
        <w:t xml:space="preserve">‘That technical documentation shall be drawn up in such a way as to demonstrate that the high-risk AI system complies with the requirements set out in this Section and to provide national competent authorities and notified bodies with the necessary information in a clear and comprehensive form to assess the compliance of the AI system with those requirements. It shall contain, at a minimum, the elements set out in Annex IV. SMCs and SMEs, including start-ups, may provide the elements of the technical documentation specified in Annex IV in a simplified manner. To that end, the Commission shall establish a simplified technical documentation form targeted at the needs of </w:t>
      </w:r>
      <w:r w:rsidR="0093254D" w:rsidRPr="00F81955">
        <w:rPr>
          <w:noProof/>
        </w:rPr>
        <w:t>SMCs and SMEs, including start-ups</w:t>
      </w:r>
      <w:r w:rsidRPr="00F81955">
        <w:rPr>
          <w:noProof/>
        </w:rPr>
        <w:t xml:space="preserve">. Where an SMC or SME, including a start-up, opts to provide the information required in Annex IV in a simplified manner, it shall use the form referred to in this paragraph. Notified bodies shall accept the form for the purposes of the conformity assessment.’; </w:t>
      </w:r>
    </w:p>
    <w:p w:rsidR="00BC4D42" w:rsidRPr="00F81955" w:rsidRDefault="00C076D8" w:rsidP="00C076D8">
      <w:pPr>
        <w:pStyle w:val="Point1"/>
        <w:rPr>
          <w:noProof/>
        </w:rPr>
      </w:pPr>
      <w:r w:rsidRPr="00C076D8">
        <w:rPr>
          <w:noProof/>
        </w:rPr>
        <w:t>(9)</w:t>
      </w:r>
      <w:r w:rsidRPr="00C076D8">
        <w:rPr>
          <w:noProof/>
        </w:rPr>
        <w:tab/>
      </w:r>
      <w:r w:rsidR="00EC0FF6" w:rsidRPr="00F81955">
        <w:rPr>
          <w:noProof/>
        </w:rPr>
        <w:t>i</w:t>
      </w:r>
      <w:r w:rsidR="00BC4D42" w:rsidRPr="00F81955">
        <w:rPr>
          <w:noProof/>
        </w:rPr>
        <w:t>n Article 17, paragraph 2 is replaced by the following:</w:t>
      </w:r>
    </w:p>
    <w:p w:rsidR="00BC4D42" w:rsidRPr="00F81955" w:rsidRDefault="00BC4D42" w:rsidP="0078585D">
      <w:pPr>
        <w:pStyle w:val="Point2"/>
        <w:rPr>
          <w:noProof/>
        </w:rPr>
      </w:pPr>
      <w:r w:rsidRPr="00F81955">
        <w:rPr>
          <w:noProof/>
        </w:rPr>
        <w:t xml:space="preserve">‘2. The implementation of the aspects referred to in paragraph 1 shall be proportionate to the size of the provider’s organisation, in particular, if the </w:t>
      </w:r>
      <w:r w:rsidR="00E107F8" w:rsidRPr="00F81955">
        <w:rPr>
          <w:noProof/>
        </w:rPr>
        <w:t>provider is an</w:t>
      </w:r>
      <w:r w:rsidRPr="00F81955">
        <w:rPr>
          <w:noProof/>
        </w:rPr>
        <w:t xml:space="preserve"> SMC or </w:t>
      </w:r>
      <w:r w:rsidR="00E107F8" w:rsidRPr="00F81955">
        <w:rPr>
          <w:noProof/>
        </w:rPr>
        <w:t xml:space="preserve">an </w:t>
      </w:r>
      <w:r w:rsidRPr="00F81955">
        <w:rPr>
          <w:noProof/>
        </w:rPr>
        <w:t>SME, including</w:t>
      </w:r>
      <w:r w:rsidR="00E107F8" w:rsidRPr="00F81955">
        <w:rPr>
          <w:noProof/>
        </w:rPr>
        <w:t xml:space="preserve"> a</w:t>
      </w:r>
      <w:r w:rsidRPr="00F81955">
        <w:rPr>
          <w:noProof/>
        </w:rPr>
        <w:t xml:space="preserve"> start-up. Providers shall, in any event, respect the degree of rigour and the level of protection required to ensure the compliance of their high-risk AI systems with this Regulation.’</w:t>
      </w:r>
      <w:r w:rsidR="00040D9F" w:rsidRPr="00F81955">
        <w:rPr>
          <w:noProof/>
        </w:rPr>
        <w:t>;</w:t>
      </w:r>
      <w:r w:rsidRPr="00F81955">
        <w:rPr>
          <w:noProof/>
        </w:rPr>
        <w:t xml:space="preserve"> </w:t>
      </w:r>
    </w:p>
    <w:p w:rsidR="00BC4D42" w:rsidRPr="00F81955" w:rsidRDefault="00C076D8" w:rsidP="00C076D8">
      <w:pPr>
        <w:pStyle w:val="Point1"/>
        <w:rPr>
          <w:noProof/>
        </w:rPr>
      </w:pPr>
      <w:r w:rsidRPr="00C076D8">
        <w:rPr>
          <w:noProof/>
        </w:rPr>
        <w:t>(10)</w:t>
      </w:r>
      <w:r w:rsidRPr="00C076D8">
        <w:rPr>
          <w:noProof/>
        </w:rPr>
        <w:tab/>
      </w:r>
      <w:r w:rsidR="00BC4D42" w:rsidRPr="00F81955">
        <w:rPr>
          <w:noProof/>
        </w:rPr>
        <w:t xml:space="preserve">in Article 28, the following paragraph </w:t>
      </w:r>
      <w:r w:rsidR="00F65B0F" w:rsidRPr="00F81955">
        <w:rPr>
          <w:noProof/>
        </w:rPr>
        <w:t>8</w:t>
      </w:r>
      <w:r w:rsidR="00BC4D42" w:rsidRPr="00F81955">
        <w:rPr>
          <w:noProof/>
        </w:rPr>
        <w:t xml:space="preserve"> is </w:t>
      </w:r>
      <w:r w:rsidR="00AA1065" w:rsidRPr="00F81955">
        <w:rPr>
          <w:noProof/>
        </w:rPr>
        <w:t>added</w:t>
      </w:r>
      <w:r w:rsidR="00BC4D42" w:rsidRPr="00F81955">
        <w:rPr>
          <w:noProof/>
        </w:rPr>
        <w:t>:</w:t>
      </w:r>
    </w:p>
    <w:p w:rsidR="00C44D47" w:rsidRPr="00F81955" w:rsidRDefault="00BC4D42" w:rsidP="0078585D">
      <w:pPr>
        <w:pStyle w:val="Point2"/>
        <w:rPr>
          <w:noProof/>
        </w:rPr>
      </w:pPr>
      <w:r w:rsidRPr="00F81955">
        <w:rPr>
          <w:noProof/>
        </w:rPr>
        <w:t>‘</w:t>
      </w:r>
      <w:r w:rsidR="00AA1065" w:rsidRPr="00F81955">
        <w:rPr>
          <w:noProof/>
        </w:rPr>
        <w:t xml:space="preserve">8. </w:t>
      </w:r>
      <w:r w:rsidR="00F65B0F" w:rsidRPr="00F81955">
        <w:rPr>
          <w:noProof/>
        </w:rPr>
        <w:t xml:space="preserve">Notifying authorities designated under this Regulation responsible for AI systems covered by </w:t>
      </w:r>
      <w:r w:rsidR="00AA1065" w:rsidRPr="00F81955">
        <w:rPr>
          <w:noProof/>
        </w:rPr>
        <w:t xml:space="preserve">the </w:t>
      </w:r>
      <w:r w:rsidR="00F65B0F" w:rsidRPr="00F81955">
        <w:rPr>
          <w:noProof/>
        </w:rPr>
        <w:t xml:space="preserve">Union harmonisation legislation listed in Section A of Annex I shall be established, </w:t>
      </w:r>
      <w:r w:rsidR="001D6BAD" w:rsidRPr="00F81955">
        <w:rPr>
          <w:noProof/>
        </w:rPr>
        <w:t xml:space="preserve">organised </w:t>
      </w:r>
      <w:r w:rsidR="00F65B0F" w:rsidRPr="00F81955">
        <w:rPr>
          <w:noProof/>
        </w:rPr>
        <w:t xml:space="preserve">and operated in such a way </w:t>
      </w:r>
      <w:r w:rsidR="00AA1065" w:rsidRPr="00F81955">
        <w:rPr>
          <w:noProof/>
        </w:rPr>
        <w:t>that</w:t>
      </w:r>
      <w:r w:rsidR="00F65B0F" w:rsidRPr="00F81955">
        <w:rPr>
          <w:noProof/>
        </w:rPr>
        <w:t xml:space="preserve"> ensure</w:t>
      </w:r>
      <w:r w:rsidR="00AA1065" w:rsidRPr="00F81955">
        <w:rPr>
          <w:noProof/>
        </w:rPr>
        <w:t>s</w:t>
      </w:r>
      <w:r w:rsidR="00F65B0F" w:rsidRPr="00F81955">
        <w:rPr>
          <w:noProof/>
        </w:rPr>
        <w:t xml:space="preserve"> that the conformity assessment body that applies for designation both under this Regulation and </w:t>
      </w:r>
      <w:r w:rsidR="00AA1065" w:rsidRPr="00F81955">
        <w:rPr>
          <w:noProof/>
        </w:rPr>
        <w:t xml:space="preserve">the </w:t>
      </w:r>
      <w:r w:rsidR="00F65B0F" w:rsidRPr="00F81955">
        <w:rPr>
          <w:noProof/>
        </w:rPr>
        <w:t xml:space="preserve">Union </w:t>
      </w:r>
      <w:r w:rsidR="001D6BAD" w:rsidRPr="00F81955">
        <w:rPr>
          <w:noProof/>
        </w:rPr>
        <w:t xml:space="preserve">harmonisation </w:t>
      </w:r>
      <w:r w:rsidR="00F65B0F" w:rsidRPr="00F81955">
        <w:rPr>
          <w:noProof/>
        </w:rPr>
        <w:t xml:space="preserve">legislation listed in Section A of Annex I shall be provided with the possibility to submit a single application and undergo a single assessment procedure to be designated under this Regulation and Union </w:t>
      </w:r>
      <w:r w:rsidR="001D6BAD" w:rsidRPr="00F81955">
        <w:rPr>
          <w:noProof/>
        </w:rPr>
        <w:t xml:space="preserve">harmonisation </w:t>
      </w:r>
      <w:r w:rsidR="00F65B0F" w:rsidRPr="00F81955">
        <w:rPr>
          <w:noProof/>
        </w:rPr>
        <w:t xml:space="preserve">legislation listed in Section A of Annex I, where </w:t>
      </w:r>
      <w:r w:rsidR="00AA1065" w:rsidRPr="00F81955">
        <w:rPr>
          <w:noProof/>
        </w:rPr>
        <w:t xml:space="preserve">the relevant </w:t>
      </w:r>
      <w:r w:rsidR="00F65B0F" w:rsidRPr="00F81955">
        <w:rPr>
          <w:noProof/>
        </w:rPr>
        <w:t>Union harmonisation legislation provides for such single application and single assessment procedure.</w:t>
      </w:r>
    </w:p>
    <w:p w:rsidR="00C44D47" w:rsidRPr="00F81955" w:rsidRDefault="00C44D47" w:rsidP="00C44D47">
      <w:pPr>
        <w:pStyle w:val="Point2"/>
        <w:rPr>
          <w:noProof/>
        </w:rPr>
      </w:pPr>
      <w:r w:rsidRPr="00F81955">
        <w:rPr>
          <w:noProof/>
        </w:rPr>
        <w:t xml:space="preserve">The single application and single assessment procedure referred to in this </w:t>
      </w:r>
      <w:r w:rsidR="009F1991" w:rsidRPr="00F81955">
        <w:rPr>
          <w:noProof/>
        </w:rPr>
        <w:t xml:space="preserve">paragraph </w:t>
      </w:r>
      <w:r w:rsidRPr="00F81955">
        <w:rPr>
          <w:noProof/>
        </w:rPr>
        <w:t xml:space="preserve">shall also be made available to notified bodies already designated under the </w:t>
      </w:r>
      <w:r w:rsidR="009F1991" w:rsidRPr="00F81955">
        <w:rPr>
          <w:noProof/>
        </w:rPr>
        <w:t xml:space="preserve">Union </w:t>
      </w:r>
      <w:r w:rsidR="001D6BAD" w:rsidRPr="00F81955">
        <w:rPr>
          <w:noProof/>
        </w:rPr>
        <w:t xml:space="preserve">harmonisation </w:t>
      </w:r>
      <w:r w:rsidRPr="00F81955">
        <w:rPr>
          <w:noProof/>
        </w:rPr>
        <w:t xml:space="preserve">legislation listed in Section A of Annex I, when those notified bodies apply for designation under this Regulation, provided that the relevant Union </w:t>
      </w:r>
      <w:r w:rsidR="001D6BAD" w:rsidRPr="00F81955">
        <w:rPr>
          <w:noProof/>
        </w:rPr>
        <w:t xml:space="preserve">harmonisation </w:t>
      </w:r>
      <w:r w:rsidRPr="00F81955">
        <w:rPr>
          <w:noProof/>
        </w:rPr>
        <w:t xml:space="preserve">legislation </w:t>
      </w:r>
      <w:r w:rsidR="009F1991" w:rsidRPr="00F81955">
        <w:rPr>
          <w:noProof/>
        </w:rPr>
        <w:t xml:space="preserve">provides for </w:t>
      </w:r>
      <w:r w:rsidRPr="00F81955">
        <w:rPr>
          <w:noProof/>
        </w:rPr>
        <w:t>such a procedure.</w:t>
      </w:r>
    </w:p>
    <w:p w:rsidR="00BC4D42" w:rsidRPr="00F81955" w:rsidRDefault="003A335C" w:rsidP="0078585D">
      <w:pPr>
        <w:pStyle w:val="Point2"/>
        <w:rPr>
          <w:noProof/>
        </w:rPr>
      </w:pPr>
      <w:r w:rsidRPr="00F81955">
        <w:rPr>
          <w:noProof/>
        </w:rPr>
        <w:t xml:space="preserve">The </w:t>
      </w:r>
      <w:r w:rsidR="00C44D47" w:rsidRPr="00F81955">
        <w:rPr>
          <w:noProof/>
        </w:rPr>
        <w:t xml:space="preserve">single application and single assessment </w:t>
      </w:r>
      <w:r w:rsidR="00817E33" w:rsidRPr="00F81955">
        <w:rPr>
          <w:noProof/>
        </w:rPr>
        <w:t xml:space="preserve">procedure </w:t>
      </w:r>
      <w:r w:rsidR="00C44D47" w:rsidRPr="00F81955">
        <w:rPr>
          <w:noProof/>
        </w:rPr>
        <w:t xml:space="preserve">shall avoid any unnecessary duplications, build on the existing procedures for designation under </w:t>
      </w:r>
      <w:r w:rsidRPr="00F81955">
        <w:rPr>
          <w:noProof/>
        </w:rPr>
        <w:t xml:space="preserve">the </w:t>
      </w:r>
      <w:r w:rsidR="00C44D47" w:rsidRPr="00F81955">
        <w:rPr>
          <w:noProof/>
        </w:rPr>
        <w:t>Union harmonisation legislation listed in Section A of Annex I and ensure compliance with the requirements both relating to notified bodies under this Regulation and</w:t>
      </w:r>
      <w:r w:rsidR="007A4D97" w:rsidRPr="00F81955">
        <w:rPr>
          <w:noProof/>
        </w:rPr>
        <w:t xml:space="preserve"> the relevant</w:t>
      </w:r>
      <w:r w:rsidR="00C44D47" w:rsidRPr="00F81955">
        <w:rPr>
          <w:noProof/>
        </w:rPr>
        <w:t xml:space="preserve"> Union harmonisation legislation.</w:t>
      </w:r>
      <w:r>
        <w:rPr>
          <w:noProof/>
        </w:rPr>
        <w:t>’</w:t>
      </w:r>
      <w:r w:rsidR="00040D9F" w:rsidRPr="00F81955">
        <w:rPr>
          <w:noProof/>
        </w:rPr>
        <w:t>;</w:t>
      </w:r>
      <w:r w:rsidR="00BC4D42" w:rsidRPr="00F81955">
        <w:rPr>
          <w:noProof/>
        </w:rPr>
        <w:t xml:space="preserve"> </w:t>
      </w:r>
    </w:p>
    <w:p w:rsidR="00BC4D42" w:rsidRPr="00F81955" w:rsidRDefault="00C076D8" w:rsidP="00C076D8">
      <w:pPr>
        <w:pStyle w:val="Point1"/>
        <w:rPr>
          <w:noProof/>
        </w:rPr>
      </w:pPr>
      <w:r w:rsidRPr="00C076D8">
        <w:rPr>
          <w:noProof/>
        </w:rPr>
        <w:t>(11)</w:t>
      </w:r>
      <w:r w:rsidRPr="00C076D8">
        <w:rPr>
          <w:noProof/>
        </w:rPr>
        <w:tab/>
      </w:r>
      <w:r w:rsidR="00EC0FF6" w:rsidRPr="00F81955">
        <w:rPr>
          <w:noProof/>
        </w:rPr>
        <w:t>i</w:t>
      </w:r>
      <w:r w:rsidR="00BC4D42" w:rsidRPr="00F81955">
        <w:rPr>
          <w:noProof/>
        </w:rPr>
        <w:t>n Article 29, paragraph 4 is replaced by the following:</w:t>
      </w:r>
    </w:p>
    <w:p w:rsidR="00332A05" w:rsidRPr="00F81955" w:rsidRDefault="00BC4D42" w:rsidP="00332A05">
      <w:pPr>
        <w:pStyle w:val="Point2"/>
        <w:rPr>
          <w:noProof/>
        </w:rPr>
      </w:pPr>
      <w:r w:rsidRPr="00F81955">
        <w:rPr>
          <w:noProof/>
        </w:rPr>
        <w:t xml:space="preserve">‘4. </w:t>
      </w:r>
      <w:r w:rsidR="00332A05" w:rsidRPr="00F81955">
        <w:rPr>
          <w:noProof/>
        </w:rPr>
        <w:t>For notified bodies which are designated under any other Union harmonisation legislation, all documents and certificates linked to those designations may be used to support and expedite their designation procedure under this Regulation, as appropriate.</w:t>
      </w:r>
    </w:p>
    <w:p w:rsidR="00332A05" w:rsidRPr="00F81955" w:rsidRDefault="00332A05" w:rsidP="00332A05">
      <w:pPr>
        <w:pStyle w:val="Point2"/>
        <w:rPr>
          <w:noProof/>
        </w:rPr>
      </w:pPr>
      <w:r w:rsidRPr="00F81955">
        <w:rPr>
          <w:noProof/>
        </w:rPr>
        <w:t>Notified bodies</w:t>
      </w:r>
      <w:r w:rsidR="003719BE" w:rsidRPr="00F81955">
        <w:rPr>
          <w:noProof/>
        </w:rPr>
        <w:t>,</w:t>
      </w:r>
      <w:r w:rsidRPr="00F81955">
        <w:rPr>
          <w:noProof/>
        </w:rPr>
        <w:t xml:space="preserve"> which are designated under</w:t>
      </w:r>
      <w:r w:rsidR="00D62F0B" w:rsidRPr="00F81955">
        <w:rPr>
          <w:noProof/>
        </w:rPr>
        <w:t xml:space="preserve"> any of the</w:t>
      </w:r>
      <w:r w:rsidRPr="00F81955">
        <w:rPr>
          <w:noProof/>
        </w:rPr>
        <w:t xml:space="preserve"> Union harmonisation legislation listed in Section A of Annex I</w:t>
      </w:r>
      <w:r w:rsidR="00D62F0B" w:rsidRPr="00F81955">
        <w:rPr>
          <w:noProof/>
        </w:rPr>
        <w:t xml:space="preserve"> and which </w:t>
      </w:r>
      <w:r w:rsidRPr="00F81955">
        <w:rPr>
          <w:noProof/>
        </w:rPr>
        <w:t xml:space="preserve">apply for the single assessment </w:t>
      </w:r>
      <w:r w:rsidR="00D62F0B" w:rsidRPr="00F81955">
        <w:rPr>
          <w:noProof/>
        </w:rPr>
        <w:t>referred to in</w:t>
      </w:r>
      <w:r w:rsidRPr="00F81955">
        <w:rPr>
          <w:noProof/>
        </w:rPr>
        <w:t xml:space="preserve"> Article 28(8)</w:t>
      </w:r>
      <w:r w:rsidR="003719BE" w:rsidRPr="00F81955">
        <w:rPr>
          <w:noProof/>
        </w:rPr>
        <w:t>,</w:t>
      </w:r>
      <w:r w:rsidRPr="00F81955">
        <w:rPr>
          <w:noProof/>
        </w:rPr>
        <w:t xml:space="preserve"> shall submit the single application for assessment to the notifying authority designated in accordance with</w:t>
      </w:r>
      <w:r w:rsidR="00D62F0B" w:rsidRPr="00F81955">
        <w:rPr>
          <w:noProof/>
        </w:rPr>
        <w:t xml:space="preserve"> that</w:t>
      </w:r>
      <w:r w:rsidRPr="00F81955">
        <w:rPr>
          <w:noProof/>
        </w:rPr>
        <w:t xml:space="preserve"> Union harmonisation legislation.</w:t>
      </w:r>
    </w:p>
    <w:p w:rsidR="00BC4D42" w:rsidRPr="00F81955" w:rsidRDefault="00332A05" w:rsidP="0078585D">
      <w:pPr>
        <w:pStyle w:val="Point2"/>
        <w:rPr>
          <w:noProof/>
        </w:rPr>
      </w:pPr>
      <w:r w:rsidRPr="00F81955">
        <w:rPr>
          <w:noProof/>
        </w:rPr>
        <w:t>The notified body shall update the documentation referred to in paragraphs 2 and 3 of this Article whenever relevant changes occur, in order to enable the authority responsible for notified bodies to monitor and verify continuous compliance with all the requirements laid down in Article 31.</w:t>
      </w:r>
      <w:r w:rsidR="00BC4D42" w:rsidRPr="00F81955">
        <w:rPr>
          <w:noProof/>
        </w:rPr>
        <w:t>’;</w:t>
      </w:r>
    </w:p>
    <w:p w:rsidR="00BC4D42" w:rsidRPr="00F81955" w:rsidRDefault="00C076D8" w:rsidP="00C076D8">
      <w:pPr>
        <w:pStyle w:val="Point1"/>
        <w:rPr>
          <w:noProof/>
        </w:rPr>
      </w:pPr>
      <w:r w:rsidRPr="00C076D8">
        <w:rPr>
          <w:noProof/>
        </w:rPr>
        <w:t>(12)</w:t>
      </w:r>
      <w:r w:rsidRPr="00C076D8">
        <w:rPr>
          <w:noProof/>
        </w:rPr>
        <w:tab/>
      </w:r>
      <w:r w:rsidR="00BC4D42" w:rsidRPr="00F81955">
        <w:rPr>
          <w:noProof/>
        </w:rPr>
        <w:t xml:space="preserve">in Article 30, </w:t>
      </w:r>
      <w:r w:rsidR="008B6F83" w:rsidRPr="00F81955">
        <w:rPr>
          <w:noProof/>
        </w:rPr>
        <w:t>paragraph 2 is replaced by the following</w:t>
      </w:r>
      <w:r w:rsidR="00BC4D42" w:rsidRPr="00F81955">
        <w:rPr>
          <w:noProof/>
        </w:rPr>
        <w:t>:</w:t>
      </w:r>
    </w:p>
    <w:p w:rsidR="0090032C" w:rsidRPr="00F81955" w:rsidRDefault="00BC4D42" w:rsidP="0078585D">
      <w:pPr>
        <w:pStyle w:val="Point2"/>
        <w:rPr>
          <w:noProof/>
        </w:rPr>
      </w:pPr>
      <w:r w:rsidRPr="00F81955">
        <w:rPr>
          <w:noProof/>
        </w:rPr>
        <w:t>‘</w:t>
      </w:r>
      <w:r w:rsidR="004D2DA2" w:rsidRPr="00F81955">
        <w:rPr>
          <w:noProof/>
        </w:rPr>
        <w:t>2. Notifying authorities shall notify the Commission and the other Member States, based on the list of codes, categories, and corresponding types of AI systems referred to in Annex XIV, and using the electronic notification tool developed and managed by the Commission, of each conformity assessment body referred to in paragraph 1.</w:t>
      </w:r>
    </w:p>
    <w:p w:rsidR="00BC4D42" w:rsidRPr="00F81955" w:rsidRDefault="0090032C" w:rsidP="0078585D">
      <w:pPr>
        <w:pStyle w:val="Point2"/>
        <w:rPr>
          <w:noProof/>
        </w:rPr>
      </w:pPr>
      <w:r w:rsidRPr="00F81955">
        <w:rPr>
          <w:noProof/>
        </w:rPr>
        <w:t>The Commission is empowered to adopt delegated acts in accordance with Article 97 to amend Annex XIV, in the light of technical progress, advances in knowledge or new scientific evidence by adding to the list of codes, categories, and corresponding types of AI systems a new code, a category or a type of AI system, withdrawing an existing code, category or a type of AI system from that list or moving a code or type of AI system from one category to another.</w:t>
      </w:r>
      <w:r w:rsidR="00BC4D42" w:rsidRPr="00F81955">
        <w:rPr>
          <w:noProof/>
        </w:rPr>
        <w:t>’;</w:t>
      </w:r>
    </w:p>
    <w:p w:rsidR="00BC4D42" w:rsidRPr="00F81955" w:rsidRDefault="00C076D8" w:rsidP="00C076D8">
      <w:pPr>
        <w:pStyle w:val="Point1"/>
        <w:rPr>
          <w:noProof/>
        </w:rPr>
      </w:pPr>
      <w:r w:rsidRPr="00C076D8">
        <w:rPr>
          <w:noProof/>
        </w:rPr>
        <w:t>(13)</w:t>
      </w:r>
      <w:r w:rsidRPr="00C076D8">
        <w:rPr>
          <w:noProof/>
        </w:rPr>
        <w:tab/>
      </w:r>
      <w:r w:rsidR="005D0AE7" w:rsidRPr="00F81955">
        <w:rPr>
          <w:noProof/>
        </w:rPr>
        <w:t xml:space="preserve">in </w:t>
      </w:r>
      <w:r w:rsidR="00BC4D42" w:rsidRPr="00F81955">
        <w:rPr>
          <w:noProof/>
        </w:rPr>
        <w:t>Article 43</w:t>
      </w:r>
      <w:r w:rsidR="005D0AE7" w:rsidRPr="00F81955">
        <w:rPr>
          <w:noProof/>
        </w:rPr>
        <w:t xml:space="preserve">, paragraph </w:t>
      </w:r>
      <w:r w:rsidR="00BC4D42" w:rsidRPr="00F81955">
        <w:rPr>
          <w:noProof/>
        </w:rPr>
        <w:t xml:space="preserve">3 is </w:t>
      </w:r>
      <w:r w:rsidR="005D0AE7" w:rsidRPr="00F81955">
        <w:rPr>
          <w:noProof/>
        </w:rPr>
        <w:t>replaced by the following</w:t>
      </w:r>
      <w:r w:rsidR="00BC4D42" w:rsidRPr="00F81955">
        <w:rPr>
          <w:noProof/>
        </w:rPr>
        <w:t>:</w:t>
      </w:r>
    </w:p>
    <w:p w:rsidR="00BC4D42" w:rsidRPr="00F81955" w:rsidRDefault="00BC4D42" w:rsidP="0078585D">
      <w:pPr>
        <w:pStyle w:val="Point2"/>
        <w:rPr>
          <w:noProof/>
        </w:rPr>
      </w:pPr>
      <w:r w:rsidRPr="00F81955">
        <w:rPr>
          <w:noProof/>
        </w:rPr>
        <w:t>‘</w:t>
      </w:r>
      <w:r w:rsidR="007C1E4E" w:rsidRPr="00F81955">
        <w:rPr>
          <w:noProof/>
        </w:rPr>
        <w:t xml:space="preserve">For high-risk AI systems covered by the Union harmonisation legislation listed in Section A of Annex I, the provider </w:t>
      </w:r>
      <w:r w:rsidR="005D0AE7" w:rsidRPr="00F81955">
        <w:rPr>
          <w:noProof/>
        </w:rPr>
        <w:t xml:space="preserve">of the system </w:t>
      </w:r>
      <w:r w:rsidR="007C1E4E" w:rsidRPr="00F81955">
        <w:rPr>
          <w:noProof/>
        </w:rPr>
        <w:t xml:space="preserve">shall follow the relevant conformity assessment procedure as required under the </w:t>
      </w:r>
      <w:r w:rsidR="005D0AE7" w:rsidRPr="00F81955">
        <w:rPr>
          <w:noProof/>
        </w:rPr>
        <w:t>relevant Union harmonisation legislation</w:t>
      </w:r>
      <w:r w:rsidR="007C1E4E" w:rsidRPr="00F81955">
        <w:rPr>
          <w:noProof/>
        </w:rPr>
        <w:t xml:space="preserve">. The requirements set out in Section 2 of this Chapter shall apply to those high-risk AI systems and shall be part of that assessment. </w:t>
      </w:r>
      <w:r w:rsidR="00D878DC" w:rsidRPr="00F81955">
        <w:rPr>
          <w:noProof/>
          <w:szCs w:val="24"/>
        </w:rPr>
        <w:t>Assessment of the quality management system set out in Article 17 and Annex VII shall also apply.</w:t>
      </w:r>
    </w:p>
    <w:p w:rsidR="00BC4D42" w:rsidRPr="00F81955" w:rsidRDefault="00933CBD" w:rsidP="0078585D">
      <w:pPr>
        <w:pStyle w:val="Point2"/>
        <w:rPr>
          <w:noProof/>
        </w:rPr>
      </w:pPr>
      <w:r w:rsidRPr="00F81955">
        <w:rPr>
          <w:noProof/>
        </w:rPr>
        <w:t xml:space="preserve">For the purposes of that </w:t>
      </w:r>
      <w:r w:rsidR="005D0AE7" w:rsidRPr="00F81955">
        <w:rPr>
          <w:noProof/>
        </w:rPr>
        <w:t xml:space="preserve">conformity </w:t>
      </w:r>
      <w:r w:rsidRPr="00F81955">
        <w:rPr>
          <w:noProof/>
        </w:rPr>
        <w:t xml:space="preserve">assessment, notified bodies which have been notified under </w:t>
      </w:r>
      <w:r w:rsidR="005D0AE7" w:rsidRPr="00F81955">
        <w:rPr>
          <w:noProof/>
        </w:rPr>
        <w:t>the Union harmonisation legislation listed in Section A of Annex I</w:t>
      </w:r>
      <w:r w:rsidRPr="00F81955">
        <w:rPr>
          <w:noProof/>
        </w:rPr>
        <w:t xml:space="preserve"> shall </w:t>
      </w:r>
      <w:r w:rsidR="00E4656F" w:rsidRPr="00F81955">
        <w:rPr>
          <w:noProof/>
        </w:rPr>
        <w:t>have the power</w:t>
      </w:r>
      <w:r w:rsidRPr="00F81955">
        <w:rPr>
          <w:noProof/>
        </w:rPr>
        <w:t xml:space="preserve"> to </w:t>
      </w:r>
      <w:r w:rsidR="005D0AE7" w:rsidRPr="00F81955">
        <w:rPr>
          <w:noProof/>
        </w:rPr>
        <w:t xml:space="preserve">assess </w:t>
      </w:r>
      <w:r w:rsidRPr="00F81955">
        <w:rPr>
          <w:noProof/>
        </w:rPr>
        <w:t xml:space="preserve">the conformity of high-risk AI systems with the requirements set out in Section 2, provided that the compliance of those notified bodies with </w:t>
      </w:r>
      <w:r w:rsidR="005D0AE7" w:rsidRPr="00F81955">
        <w:rPr>
          <w:noProof/>
        </w:rPr>
        <w:t xml:space="preserve">the </w:t>
      </w:r>
      <w:r w:rsidRPr="00F81955">
        <w:rPr>
          <w:noProof/>
        </w:rPr>
        <w:t xml:space="preserve">requirements laid down in Article 31(4), (5), (10) and (11) has been assessed in the context of the notification procedure under </w:t>
      </w:r>
      <w:r w:rsidR="00167B2C" w:rsidRPr="00F81955">
        <w:rPr>
          <w:noProof/>
        </w:rPr>
        <w:t>the relevant Union harmonisation legislation</w:t>
      </w:r>
      <w:r w:rsidRPr="00F81955">
        <w:rPr>
          <w:noProof/>
        </w:rPr>
        <w:t xml:space="preserve">. </w:t>
      </w:r>
      <w:r w:rsidR="00E76D72" w:rsidRPr="00F81955">
        <w:rPr>
          <w:noProof/>
        </w:rPr>
        <w:t>Without prejudice to Article 28,</w:t>
      </w:r>
      <w:r w:rsidR="00167B2C" w:rsidRPr="00F81955">
        <w:rPr>
          <w:noProof/>
        </w:rPr>
        <w:t xml:space="preserve"> such </w:t>
      </w:r>
      <w:r w:rsidR="00E76D72" w:rsidRPr="00F81955">
        <w:rPr>
          <w:noProof/>
        </w:rPr>
        <w:t>n</w:t>
      </w:r>
      <w:r w:rsidRPr="00F81955">
        <w:rPr>
          <w:noProof/>
        </w:rPr>
        <w:t xml:space="preserve">otified bodies which have been notified under </w:t>
      </w:r>
      <w:r w:rsidR="00167B2C" w:rsidRPr="00F81955">
        <w:rPr>
          <w:noProof/>
        </w:rPr>
        <w:t>the Union harmonisation legislation in Section A of Annex I</w:t>
      </w:r>
      <w:r w:rsidR="00B01C7D" w:rsidRPr="00F81955">
        <w:rPr>
          <w:noProof/>
        </w:rPr>
        <w:t>,</w:t>
      </w:r>
      <w:r w:rsidRPr="00F81955">
        <w:rPr>
          <w:noProof/>
        </w:rPr>
        <w:t xml:space="preserve"> shall apply for designation in accordance with Section 4 </w:t>
      </w:r>
      <w:r w:rsidR="00672EB0" w:rsidRPr="00F81955">
        <w:rPr>
          <w:noProof/>
        </w:rPr>
        <w:t>at the latest [</w:t>
      </w:r>
      <w:r w:rsidR="00E53BF6" w:rsidRPr="00F81955">
        <w:rPr>
          <w:noProof/>
        </w:rPr>
        <w:t xml:space="preserve">18 </w:t>
      </w:r>
      <w:r w:rsidRPr="00F81955">
        <w:rPr>
          <w:noProof/>
        </w:rPr>
        <w:t xml:space="preserve">months </w:t>
      </w:r>
      <w:r w:rsidR="00E53BF6" w:rsidRPr="00F81955">
        <w:rPr>
          <w:noProof/>
        </w:rPr>
        <w:t>from the entry into application of this Regulation</w:t>
      </w:r>
      <w:r w:rsidRPr="00F81955">
        <w:rPr>
          <w:noProof/>
        </w:rPr>
        <w:t>].</w:t>
      </w:r>
    </w:p>
    <w:p w:rsidR="00BC4D42" w:rsidRPr="00F81955" w:rsidRDefault="00BC4D42" w:rsidP="0078585D">
      <w:pPr>
        <w:pStyle w:val="Point2"/>
        <w:rPr>
          <w:noProof/>
        </w:rPr>
      </w:pPr>
      <w:r w:rsidRPr="00F81955">
        <w:rPr>
          <w:noProof/>
        </w:rPr>
        <w:t xml:space="preserve">Where </w:t>
      </w:r>
      <w:r w:rsidR="00672EB0" w:rsidRPr="00F81955">
        <w:rPr>
          <w:noProof/>
        </w:rPr>
        <w:t>Union harmonisation legislation</w:t>
      </w:r>
      <w:r w:rsidRPr="00F81955">
        <w:rPr>
          <w:noProof/>
        </w:rPr>
        <w:t xml:space="preserve"> listed in Section A of Annex I </w:t>
      </w:r>
      <w:r w:rsidR="00672EB0" w:rsidRPr="00F81955">
        <w:rPr>
          <w:noProof/>
        </w:rPr>
        <w:t xml:space="preserve">provides </w:t>
      </w:r>
      <w:r w:rsidRPr="00F81955">
        <w:rPr>
          <w:noProof/>
        </w:rPr>
        <w:t xml:space="preserve">the product manufacturer </w:t>
      </w:r>
      <w:r w:rsidR="00672EB0" w:rsidRPr="00F81955">
        <w:rPr>
          <w:noProof/>
        </w:rPr>
        <w:t xml:space="preserve">with an option </w:t>
      </w:r>
      <w:r w:rsidRPr="00F81955">
        <w:rPr>
          <w:noProof/>
        </w:rPr>
        <w:t>to opt out from a third-party conformity assessment, provided that that manufacturer has applied harmonised standards covering all the relevant requirements, that manufacturer may use that option only if it has also applied harmonised standards or, where applicable, common specifications referred to in Article 41, covering all requirements set out in Section 2 of this Chapter.</w:t>
      </w:r>
    </w:p>
    <w:p w:rsidR="00BC4D42" w:rsidRPr="00F81955" w:rsidRDefault="00BC4D42" w:rsidP="0078585D">
      <w:pPr>
        <w:pStyle w:val="Point2"/>
        <w:rPr>
          <w:noProof/>
        </w:rPr>
      </w:pPr>
      <w:r w:rsidRPr="00F81955">
        <w:rPr>
          <w:noProof/>
        </w:rPr>
        <w:t xml:space="preserve"> Where a high-risk AI system is both covered by the Union </w:t>
      </w:r>
      <w:r w:rsidR="001235E3" w:rsidRPr="00F81955">
        <w:rPr>
          <w:noProof/>
        </w:rPr>
        <w:t xml:space="preserve">harmonisation </w:t>
      </w:r>
      <w:r w:rsidRPr="00F81955">
        <w:rPr>
          <w:noProof/>
        </w:rPr>
        <w:t>legislation listed in Section A of Annex I and</w:t>
      </w:r>
      <w:r w:rsidR="00E5465F" w:rsidRPr="00F81955">
        <w:rPr>
          <w:noProof/>
        </w:rPr>
        <w:t xml:space="preserve"> it</w:t>
      </w:r>
      <w:r w:rsidRPr="00F81955">
        <w:rPr>
          <w:noProof/>
        </w:rPr>
        <w:t xml:space="preserve"> falls within one of the categories listed in Annex III, the provider </w:t>
      </w:r>
      <w:r w:rsidR="00E5465F" w:rsidRPr="00F81955">
        <w:rPr>
          <w:noProof/>
        </w:rPr>
        <w:t xml:space="preserve">of the system </w:t>
      </w:r>
      <w:r w:rsidRPr="00F81955">
        <w:rPr>
          <w:noProof/>
        </w:rPr>
        <w:t xml:space="preserve">shall follow the relevant conformity assessment procedure as required under the relevant </w:t>
      </w:r>
      <w:r w:rsidR="00E5465F" w:rsidRPr="00F81955">
        <w:rPr>
          <w:noProof/>
        </w:rPr>
        <w:t xml:space="preserve">Union </w:t>
      </w:r>
      <w:r w:rsidRPr="00F81955">
        <w:rPr>
          <w:noProof/>
        </w:rPr>
        <w:t>harmonisation legislation listed in Section A of Annex I.</w:t>
      </w:r>
      <w:r>
        <w:rPr>
          <w:noProof/>
        </w:rPr>
        <w:t>’</w:t>
      </w:r>
      <w:r w:rsidR="00040D9F" w:rsidRPr="00F81955">
        <w:rPr>
          <w:noProof/>
        </w:rPr>
        <w:t>;</w:t>
      </w:r>
    </w:p>
    <w:p w:rsidR="00BC4D42" w:rsidRPr="00F81955" w:rsidRDefault="00C076D8" w:rsidP="00C076D8">
      <w:pPr>
        <w:pStyle w:val="Point1"/>
        <w:rPr>
          <w:noProof/>
        </w:rPr>
      </w:pPr>
      <w:r w:rsidRPr="00C076D8">
        <w:rPr>
          <w:noProof/>
        </w:rPr>
        <w:t>(14)</w:t>
      </w:r>
      <w:r w:rsidRPr="00C076D8">
        <w:rPr>
          <w:noProof/>
        </w:rPr>
        <w:tab/>
      </w:r>
      <w:r w:rsidR="60D9A582" w:rsidRPr="00F81955">
        <w:rPr>
          <w:noProof/>
        </w:rPr>
        <w:t>in Article 49, paragraph 2 is deleted</w:t>
      </w:r>
      <w:r w:rsidR="00E5465F" w:rsidRPr="00F81955">
        <w:rPr>
          <w:noProof/>
        </w:rPr>
        <w:t>;</w:t>
      </w:r>
    </w:p>
    <w:p w:rsidR="00BC4D42" w:rsidRPr="00F81955" w:rsidRDefault="00C076D8" w:rsidP="00C076D8">
      <w:pPr>
        <w:pStyle w:val="Point1"/>
        <w:rPr>
          <w:noProof/>
        </w:rPr>
      </w:pPr>
      <w:r w:rsidRPr="00C076D8">
        <w:rPr>
          <w:noProof/>
        </w:rPr>
        <w:t>(15)</w:t>
      </w:r>
      <w:r w:rsidRPr="00C076D8">
        <w:rPr>
          <w:noProof/>
        </w:rPr>
        <w:tab/>
      </w:r>
      <w:r w:rsidR="00BC4D42" w:rsidRPr="00F81955">
        <w:rPr>
          <w:noProof/>
        </w:rPr>
        <w:t xml:space="preserve">in Article 50, paragraph 7 is replaced by the following: </w:t>
      </w:r>
    </w:p>
    <w:p w:rsidR="00BC4D42" w:rsidRPr="00F81955" w:rsidRDefault="00BC4D42" w:rsidP="0078585D">
      <w:pPr>
        <w:pStyle w:val="Point2"/>
        <w:rPr>
          <w:noProof/>
        </w:rPr>
      </w:pPr>
      <w:r w:rsidRPr="00F81955">
        <w:rPr>
          <w:noProof/>
        </w:rPr>
        <w:t>‘7. The AI Office shall encourage and facilitate the drawing up of codes of practice at Union level to facilitate the effective implementation of the obligations regarding the</w:t>
      </w:r>
      <w:r w:rsidR="006C0EF5" w:rsidRPr="00F81955">
        <w:rPr>
          <w:noProof/>
        </w:rPr>
        <w:t xml:space="preserve"> </w:t>
      </w:r>
      <w:r w:rsidRPr="00F81955">
        <w:rPr>
          <w:noProof/>
        </w:rPr>
        <w:t>detection</w:t>
      </w:r>
      <w:r w:rsidR="00E5465F" w:rsidRPr="00F81955">
        <w:rPr>
          <w:noProof/>
        </w:rPr>
        <w:t>,</w:t>
      </w:r>
      <w:r w:rsidRPr="00F81955">
        <w:rPr>
          <w:noProof/>
        </w:rPr>
        <w:t xml:space="preserve"> </w:t>
      </w:r>
      <w:r w:rsidR="00E5465F" w:rsidRPr="00F81955">
        <w:rPr>
          <w:noProof/>
        </w:rPr>
        <w:t xml:space="preserve">marking </w:t>
      </w:r>
      <w:r w:rsidRPr="00F81955">
        <w:rPr>
          <w:noProof/>
        </w:rPr>
        <w:t xml:space="preserve">and labelling of artificially generated or manipulated content. The Commission may </w:t>
      </w:r>
      <w:r w:rsidR="0094665A" w:rsidRPr="00F81955">
        <w:rPr>
          <w:noProof/>
        </w:rPr>
        <w:t xml:space="preserve">assess whether adherence to </w:t>
      </w:r>
      <w:r w:rsidRPr="00F81955">
        <w:rPr>
          <w:noProof/>
        </w:rPr>
        <w:t>those codes of practice</w:t>
      </w:r>
      <w:r w:rsidR="0094665A" w:rsidRPr="00F81955">
        <w:rPr>
          <w:noProof/>
        </w:rPr>
        <w:t xml:space="preserve"> is adequate to ensure compliance with the obligation laid down in paragraph 2,</w:t>
      </w:r>
      <w:r w:rsidRPr="00F81955">
        <w:rPr>
          <w:noProof/>
        </w:rPr>
        <w:t xml:space="preserve"> in accordance with the procedure laid down in Article 56(6)</w:t>
      </w:r>
      <w:r w:rsidR="00644F28" w:rsidRPr="00F81955">
        <w:rPr>
          <w:noProof/>
        </w:rPr>
        <w:t>, first subparagraph</w:t>
      </w:r>
      <w:r w:rsidRPr="00F81955">
        <w:rPr>
          <w:noProof/>
        </w:rPr>
        <w:t>. If it deems the code is not adequate, the Commission may adopt an implementing act specifying common rules for the implementation of those obligations in accordance with the examination procedure laid down in Article 98(2).’;</w:t>
      </w:r>
    </w:p>
    <w:p w:rsidR="00BC4D42" w:rsidRPr="00F81955" w:rsidRDefault="00C076D8" w:rsidP="00C076D8">
      <w:pPr>
        <w:pStyle w:val="Point1"/>
        <w:rPr>
          <w:noProof/>
        </w:rPr>
      </w:pPr>
      <w:r w:rsidRPr="00C076D8">
        <w:rPr>
          <w:noProof/>
        </w:rPr>
        <w:t>(16)</w:t>
      </w:r>
      <w:r w:rsidRPr="00C076D8">
        <w:rPr>
          <w:noProof/>
        </w:rPr>
        <w:tab/>
      </w:r>
      <w:r w:rsidR="00BC4D42" w:rsidRPr="00F81955">
        <w:rPr>
          <w:noProof/>
        </w:rPr>
        <w:t>in Article 56</w:t>
      </w:r>
      <w:r w:rsidR="00644F28" w:rsidRPr="00F81955">
        <w:rPr>
          <w:noProof/>
        </w:rPr>
        <w:t>(</w:t>
      </w:r>
      <w:r w:rsidR="00BC4D42" w:rsidRPr="00F81955">
        <w:rPr>
          <w:noProof/>
        </w:rPr>
        <w:t>6</w:t>
      </w:r>
      <w:r w:rsidR="00644F28" w:rsidRPr="00F81955">
        <w:rPr>
          <w:noProof/>
        </w:rPr>
        <w:t>), the first subparagraph</w:t>
      </w:r>
      <w:r w:rsidR="00BC4D42" w:rsidRPr="00F81955">
        <w:rPr>
          <w:noProof/>
        </w:rPr>
        <w:t xml:space="preserve"> is replaced by the following:</w:t>
      </w:r>
    </w:p>
    <w:p w:rsidR="00BC4D42" w:rsidRPr="00F81955" w:rsidRDefault="00BC4D42" w:rsidP="69C9579D">
      <w:pPr>
        <w:pStyle w:val="Point2"/>
        <w:rPr>
          <w:noProof/>
        </w:rPr>
      </w:pPr>
      <w:r w:rsidRPr="00F81955">
        <w:rPr>
          <w:noProof/>
        </w:rPr>
        <w:t>‘6. The Commission and the Board shall regularly monitor and evaluate the achievement of the objectives of the codes of practice by the participants and their contribution to the proper application of this Regulation. The Commission, taking utmost account of the opinion of the Board, shall assess whether the codes of practice cover the obligations provided for in Articles 53 and 55, and shall regularly monitor and evaluate the achievement of their objectives. The Commission shall publish its assessment of the adequacy of the codes of practice.’</w:t>
      </w:r>
      <w:r w:rsidR="00040D9F" w:rsidRPr="00F81955">
        <w:rPr>
          <w:noProof/>
        </w:rPr>
        <w:t>;</w:t>
      </w:r>
    </w:p>
    <w:p w:rsidR="00BC4D42" w:rsidRPr="00F81955" w:rsidRDefault="00C076D8" w:rsidP="00C076D8">
      <w:pPr>
        <w:pStyle w:val="Point1"/>
        <w:rPr>
          <w:noProof/>
        </w:rPr>
      </w:pPr>
      <w:r w:rsidRPr="00C076D8">
        <w:rPr>
          <w:noProof/>
        </w:rPr>
        <w:t>(17)</w:t>
      </w:r>
      <w:r w:rsidRPr="00C076D8">
        <w:rPr>
          <w:noProof/>
        </w:rPr>
        <w:tab/>
      </w:r>
      <w:r w:rsidR="00BC4D42" w:rsidRPr="00F81955">
        <w:rPr>
          <w:noProof/>
        </w:rPr>
        <w:t>Article 57 is amended as follows:</w:t>
      </w:r>
    </w:p>
    <w:p w:rsidR="00BC4D42" w:rsidRPr="00F81955" w:rsidRDefault="00C076D8" w:rsidP="00C076D8">
      <w:pPr>
        <w:pStyle w:val="Point1"/>
        <w:rPr>
          <w:noProof/>
        </w:rPr>
      </w:pPr>
      <w:r w:rsidRPr="00C076D8">
        <w:rPr>
          <w:noProof/>
        </w:rPr>
        <w:t>(a)</w:t>
      </w:r>
      <w:r w:rsidRPr="00C076D8">
        <w:rPr>
          <w:noProof/>
        </w:rPr>
        <w:tab/>
      </w:r>
      <w:r w:rsidR="00BC4D42" w:rsidRPr="00F81955">
        <w:rPr>
          <w:noProof/>
        </w:rPr>
        <w:t>the following paragraph 3a is inserted:</w:t>
      </w:r>
    </w:p>
    <w:p w:rsidR="00BC4D42" w:rsidRPr="00F81955" w:rsidRDefault="00BC4D42" w:rsidP="0078585D">
      <w:pPr>
        <w:pStyle w:val="Point2"/>
        <w:rPr>
          <w:noProof/>
        </w:rPr>
      </w:pPr>
      <w:r w:rsidRPr="00F81955">
        <w:rPr>
          <w:noProof/>
        </w:rPr>
        <w:t xml:space="preserve">‘The AI Office may also establish an AI regulatory sandbox at </w:t>
      </w:r>
      <w:r w:rsidR="00353684" w:rsidRPr="00F81955">
        <w:rPr>
          <w:noProof/>
        </w:rPr>
        <w:t xml:space="preserve">Union </w:t>
      </w:r>
      <w:r w:rsidRPr="00F81955">
        <w:rPr>
          <w:noProof/>
        </w:rPr>
        <w:t>level for AI systems covered by Article 75(1). Such a</w:t>
      </w:r>
      <w:r w:rsidR="00353684" w:rsidRPr="00F81955">
        <w:rPr>
          <w:noProof/>
        </w:rPr>
        <w:t>n AI regulatory</w:t>
      </w:r>
      <w:r w:rsidRPr="00F81955">
        <w:rPr>
          <w:noProof/>
        </w:rPr>
        <w:t xml:space="preserve"> sandbox </w:t>
      </w:r>
      <w:r w:rsidR="00353684" w:rsidRPr="00F81955">
        <w:rPr>
          <w:noProof/>
        </w:rPr>
        <w:t>shall</w:t>
      </w:r>
      <w:r w:rsidRPr="00F81955">
        <w:rPr>
          <w:noProof/>
        </w:rPr>
        <w:t xml:space="preserve"> be implemented in close </w:t>
      </w:r>
      <w:r w:rsidR="006958B0" w:rsidRPr="00F81955">
        <w:rPr>
          <w:noProof/>
        </w:rPr>
        <w:t>cooperation with</w:t>
      </w:r>
      <w:r w:rsidRPr="00F81955">
        <w:rPr>
          <w:noProof/>
        </w:rPr>
        <w:t xml:space="preserve"> relevant competent authorities, in particular when Union legislation </w:t>
      </w:r>
      <w:r w:rsidR="005C13B6" w:rsidRPr="00F81955">
        <w:rPr>
          <w:noProof/>
        </w:rPr>
        <w:t xml:space="preserve">other than this Regulation </w:t>
      </w:r>
      <w:r w:rsidRPr="00F81955">
        <w:rPr>
          <w:noProof/>
        </w:rPr>
        <w:t xml:space="preserve">is supervised in the </w:t>
      </w:r>
      <w:r w:rsidR="005C13B6" w:rsidRPr="00F81955">
        <w:rPr>
          <w:noProof/>
        </w:rPr>
        <w:t xml:space="preserve">AI regulatory </w:t>
      </w:r>
      <w:r w:rsidRPr="00F81955">
        <w:rPr>
          <w:noProof/>
        </w:rPr>
        <w:t>sandbox</w:t>
      </w:r>
      <w:r w:rsidR="005C13B6" w:rsidRPr="00F81955">
        <w:rPr>
          <w:noProof/>
        </w:rPr>
        <w:t>,</w:t>
      </w:r>
      <w:r w:rsidR="38E71E65" w:rsidRPr="00F81955">
        <w:rPr>
          <w:noProof/>
        </w:rPr>
        <w:t xml:space="preserve"> and </w:t>
      </w:r>
      <w:r w:rsidR="003E19CA" w:rsidRPr="00F81955">
        <w:rPr>
          <w:noProof/>
        </w:rPr>
        <w:t xml:space="preserve">shall </w:t>
      </w:r>
      <w:r w:rsidR="38E71E65" w:rsidRPr="00F81955">
        <w:rPr>
          <w:noProof/>
        </w:rPr>
        <w:t>provide priority access to SMEs</w:t>
      </w:r>
      <w:r>
        <w:rPr>
          <w:noProof/>
        </w:rPr>
        <w:t>.’</w:t>
      </w:r>
      <w:r w:rsidRPr="00F81955">
        <w:rPr>
          <w:noProof/>
        </w:rPr>
        <w:t>;</w:t>
      </w:r>
    </w:p>
    <w:p w:rsidR="00BC4D42" w:rsidRPr="00F81955" w:rsidRDefault="00C076D8" w:rsidP="00C076D8">
      <w:pPr>
        <w:pStyle w:val="Point1"/>
        <w:rPr>
          <w:noProof/>
        </w:rPr>
      </w:pPr>
      <w:r w:rsidRPr="00C076D8">
        <w:rPr>
          <w:noProof/>
        </w:rPr>
        <w:t>(b)</w:t>
      </w:r>
      <w:r w:rsidRPr="00C076D8">
        <w:rPr>
          <w:noProof/>
        </w:rPr>
        <w:tab/>
      </w:r>
      <w:r w:rsidR="00BC4D42" w:rsidRPr="00F81955">
        <w:rPr>
          <w:noProof/>
        </w:rPr>
        <w:t>paragraph 5 is replaced by the following:</w:t>
      </w:r>
    </w:p>
    <w:p w:rsidR="00BC4D42" w:rsidRPr="00F81955" w:rsidRDefault="00BC4D42" w:rsidP="0078585D">
      <w:pPr>
        <w:pStyle w:val="Point2"/>
        <w:rPr>
          <w:noProof/>
        </w:rPr>
      </w:pPr>
      <w:r w:rsidRPr="00F81955">
        <w:rPr>
          <w:noProof/>
        </w:rPr>
        <w:t>‘5. AI regulatory sandboxes established under this Article shall provide for a controlled environment that fosters innovation and facilitates the development, training, testing and validation of innovative AI systems for a limited time before their being placed on the market or put into service pursuant to a specific sandbox plan agreed between the providers or prospective providers and the competent authority</w:t>
      </w:r>
      <w:r w:rsidR="004F4A7C" w:rsidRPr="00F81955">
        <w:rPr>
          <w:noProof/>
        </w:rPr>
        <w:t>, ensuring that appropriate safeguards are in place</w:t>
      </w:r>
      <w:r w:rsidRPr="00F81955">
        <w:rPr>
          <w:noProof/>
        </w:rPr>
        <w:t>. Such sandboxes may include testing in real world conditions supervised therein.</w:t>
      </w:r>
      <w:r w:rsidR="00BB66F3" w:rsidRPr="00F81955">
        <w:rPr>
          <w:noProof/>
        </w:rPr>
        <w:t xml:space="preserve"> When applicable, the sandbox plan shall incorporate in a single document the real-world testing plan.</w:t>
      </w:r>
      <w:r w:rsidRPr="00F81955">
        <w:rPr>
          <w:noProof/>
        </w:rPr>
        <w:t>’;</w:t>
      </w:r>
    </w:p>
    <w:p w:rsidR="0031111A" w:rsidRPr="00F81955" w:rsidRDefault="00C076D8" w:rsidP="00C076D8">
      <w:pPr>
        <w:pStyle w:val="Point1"/>
        <w:rPr>
          <w:noProof/>
        </w:rPr>
      </w:pPr>
      <w:r w:rsidRPr="00C076D8">
        <w:rPr>
          <w:noProof/>
        </w:rPr>
        <w:t>(c)</w:t>
      </w:r>
      <w:r w:rsidRPr="00C076D8">
        <w:rPr>
          <w:noProof/>
        </w:rPr>
        <w:tab/>
      </w:r>
      <w:r w:rsidR="0031111A" w:rsidRPr="00F81955">
        <w:rPr>
          <w:noProof/>
        </w:rPr>
        <w:t>paragraph 9, point (e) is replaced by the following:</w:t>
      </w:r>
    </w:p>
    <w:p w:rsidR="0031111A" w:rsidRPr="00F81955" w:rsidRDefault="0031111A" w:rsidP="0031111A">
      <w:pPr>
        <w:pStyle w:val="Point2"/>
        <w:rPr>
          <w:noProof/>
        </w:rPr>
      </w:pPr>
      <w:r w:rsidRPr="00F81955">
        <w:rPr>
          <w:noProof/>
        </w:rPr>
        <w:t>‘(e) facilitating and accelerating access to the Union market for AI systems, in particular when provided by SMCs and SMEs, including start-ups.’;</w:t>
      </w:r>
    </w:p>
    <w:p w:rsidR="00BC4D42" w:rsidRPr="00F81955" w:rsidRDefault="00C076D8" w:rsidP="00C076D8">
      <w:pPr>
        <w:pStyle w:val="Point1"/>
        <w:rPr>
          <w:noProof/>
        </w:rPr>
      </w:pPr>
      <w:r w:rsidRPr="00C076D8">
        <w:rPr>
          <w:noProof/>
        </w:rPr>
        <w:t>(d)</w:t>
      </w:r>
      <w:r w:rsidRPr="00C076D8">
        <w:rPr>
          <w:noProof/>
        </w:rPr>
        <w:tab/>
      </w:r>
      <w:r w:rsidR="00BC4D42" w:rsidRPr="00F81955">
        <w:rPr>
          <w:noProof/>
        </w:rPr>
        <w:t>paragraph 13 is replaced by the following:</w:t>
      </w:r>
    </w:p>
    <w:p w:rsidR="00BC4D42" w:rsidRPr="00F81955" w:rsidRDefault="00521E69" w:rsidP="0078585D">
      <w:pPr>
        <w:pStyle w:val="Point2"/>
        <w:rPr>
          <w:noProof/>
        </w:rPr>
      </w:pPr>
      <w:r w:rsidRPr="00F81955">
        <w:rPr>
          <w:noProof/>
        </w:rPr>
        <w:t xml:space="preserve">’13. </w:t>
      </w:r>
      <w:r w:rsidR="00BC4D42" w:rsidRPr="00F81955">
        <w:rPr>
          <w:noProof/>
        </w:rPr>
        <w:t>The AI regulatory sandboxes shall be designed and implemented in such a way that they facilitate cross-border cooperation between national competent authorities.’</w:t>
      </w:r>
      <w:r w:rsidR="61944A4D" w:rsidRPr="00F81955">
        <w:rPr>
          <w:noProof/>
        </w:rPr>
        <w:t>;</w:t>
      </w:r>
    </w:p>
    <w:p w:rsidR="00BC4D42" w:rsidRPr="00F81955" w:rsidRDefault="00C076D8" w:rsidP="00C076D8">
      <w:pPr>
        <w:pStyle w:val="Point1"/>
        <w:rPr>
          <w:noProof/>
        </w:rPr>
      </w:pPr>
      <w:r w:rsidRPr="00C076D8">
        <w:rPr>
          <w:noProof/>
        </w:rPr>
        <w:t>(e)</w:t>
      </w:r>
      <w:r w:rsidRPr="00C076D8">
        <w:rPr>
          <w:noProof/>
        </w:rPr>
        <w:tab/>
      </w:r>
      <w:r w:rsidR="00BC4D42" w:rsidRPr="00F81955">
        <w:rPr>
          <w:noProof/>
        </w:rPr>
        <w:t>paragraph 14 is replaced by the following:</w:t>
      </w:r>
    </w:p>
    <w:p w:rsidR="00BC4D42" w:rsidRPr="00F81955" w:rsidRDefault="00521E69" w:rsidP="002B67E4">
      <w:pPr>
        <w:pStyle w:val="Point2"/>
        <w:rPr>
          <w:noProof/>
        </w:rPr>
      </w:pPr>
      <w:r w:rsidRPr="00F81955">
        <w:rPr>
          <w:noProof/>
        </w:rPr>
        <w:t xml:space="preserve">’14. </w:t>
      </w:r>
      <w:r w:rsidR="00BC4D42" w:rsidRPr="00F81955">
        <w:rPr>
          <w:rFonts w:eastAsia="Times New Roman"/>
          <w:noProof/>
        </w:rPr>
        <w:t xml:space="preserve">National competent authorities shall coordinate their activities and cooperate within the framework of the Board. </w:t>
      </w:r>
      <w:r w:rsidRPr="00F81955">
        <w:rPr>
          <w:rFonts w:eastAsia="Times New Roman"/>
          <w:noProof/>
        </w:rPr>
        <w:t>They</w:t>
      </w:r>
      <w:r w:rsidR="00BC4D42" w:rsidRPr="00F81955">
        <w:rPr>
          <w:rFonts w:eastAsia="Times New Roman"/>
          <w:noProof/>
        </w:rPr>
        <w:t xml:space="preserve"> shall support the </w:t>
      </w:r>
      <w:r w:rsidR="00683F95" w:rsidRPr="00F81955">
        <w:rPr>
          <w:rFonts w:eastAsia="Times New Roman"/>
          <w:noProof/>
        </w:rPr>
        <w:t xml:space="preserve">joint </w:t>
      </w:r>
      <w:r w:rsidR="00BC4D42" w:rsidRPr="00F81955">
        <w:rPr>
          <w:rFonts w:eastAsia="Times New Roman"/>
          <w:noProof/>
        </w:rPr>
        <w:t xml:space="preserve">establishment and operation of </w:t>
      </w:r>
      <w:r w:rsidR="00683F95" w:rsidRPr="00F81955">
        <w:rPr>
          <w:rFonts w:eastAsia="Times New Roman"/>
          <w:noProof/>
        </w:rPr>
        <w:t xml:space="preserve">AI regulatory </w:t>
      </w:r>
      <w:r w:rsidR="00BC4D42" w:rsidRPr="00F81955">
        <w:rPr>
          <w:rFonts w:eastAsia="Times New Roman"/>
          <w:noProof/>
        </w:rPr>
        <w:t>sandboxes, including in different sectors.’</w:t>
      </w:r>
      <w:r w:rsidR="00BC4D42" w:rsidRPr="00F81955">
        <w:rPr>
          <w:noProof/>
        </w:rPr>
        <w:t>;</w:t>
      </w:r>
    </w:p>
    <w:p w:rsidR="004A4E82" w:rsidRPr="00F81955" w:rsidRDefault="00C076D8" w:rsidP="00C076D8">
      <w:pPr>
        <w:pStyle w:val="Point1"/>
        <w:rPr>
          <w:noProof/>
        </w:rPr>
      </w:pPr>
      <w:r w:rsidRPr="00C076D8">
        <w:rPr>
          <w:noProof/>
        </w:rPr>
        <w:t>(18)</w:t>
      </w:r>
      <w:r w:rsidRPr="00C076D8">
        <w:rPr>
          <w:noProof/>
        </w:rPr>
        <w:tab/>
      </w:r>
      <w:r w:rsidR="004A4E82" w:rsidRPr="00F81955">
        <w:rPr>
          <w:noProof/>
        </w:rPr>
        <w:t>Article 58, paragraph 1, is replaced by the following:</w:t>
      </w:r>
    </w:p>
    <w:p w:rsidR="005426A0" w:rsidRPr="00F81955" w:rsidRDefault="004A4E82" w:rsidP="005426A0">
      <w:pPr>
        <w:pStyle w:val="Point2"/>
        <w:rPr>
          <w:noProof/>
        </w:rPr>
      </w:pPr>
      <w:r w:rsidRPr="00F81955">
        <w:rPr>
          <w:noProof/>
        </w:rPr>
        <w:t>‘</w:t>
      </w:r>
      <w:r w:rsidR="005426A0" w:rsidRPr="00F81955">
        <w:rPr>
          <w:noProof/>
        </w:rPr>
        <w:t>1. In order to avoid fragmentation across the Union, the Commission shall adopt implementing acts specifying the detailed arrangements for the establishment, development, implementation, operation, governance, and supervision of the AI regulatory sandboxes. The implementing acts shall include common principles on the following issues:</w:t>
      </w:r>
    </w:p>
    <w:p w:rsidR="005426A0" w:rsidRPr="00F81955" w:rsidRDefault="005426A0" w:rsidP="005426A0">
      <w:pPr>
        <w:pStyle w:val="Point2"/>
        <w:rPr>
          <w:noProof/>
        </w:rPr>
      </w:pPr>
      <w:r w:rsidRPr="00F81955">
        <w:rPr>
          <w:noProof/>
        </w:rPr>
        <w:t>(a) eligibility and selection criteria for participation in the AI regulatory sandbox;</w:t>
      </w:r>
    </w:p>
    <w:p w:rsidR="005426A0" w:rsidRPr="00F81955" w:rsidRDefault="005426A0" w:rsidP="005426A0">
      <w:pPr>
        <w:pStyle w:val="Point2"/>
        <w:rPr>
          <w:noProof/>
        </w:rPr>
      </w:pPr>
      <w:r w:rsidRPr="00F81955">
        <w:rPr>
          <w:noProof/>
        </w:rPr>
        <w:t>(b) procedures for the application, participation, monitoring, exiting from and termination of the AI regulatory sandbox, including the sandbox plan and the exit report;</w:t>
      </w:r>
    </w:p>
    <w:p w:rsidR="005426A0" w:rsidRPr="00F81955" w:rsidRDefault="005426A0" w:rsidP="005426A0">
      <w:pPr>
        <w:pStyle w:val="Point2"/>
        <w:rPr>
          <w:noProof/>
        </w:rPr>
      </w:pPr>
      <w:r w:rsidRPr="00F81955">
        <w:rPr>
          <w:noProof/>
        </w:rPr>
        <w:t>(c) the terms and conditions applicable to the participants;</w:t>
      </w:r>
    </w:p>
    <w:p w:rsidR="004A4E82" w:rsidRPr="00F81955" w:rsidRDefault="005426A0" w:rsidP="00BF60C4">
      <w:pPr>
        <w:pStyle w:val="Point2"/>
        <w:rPr>
          <w:noProof/>
        </w:rPr>
      </w:pPr>
      <w:r w:rsidRPr="00F81955">
        <w:rPr>
          <w:noProof/>
        </w:rPr>
        <w:t>(d) the detailed rules applicable to the governance of AI regulatory sandboxes covered under Article 57, including as regards the exercise of the tasks of the competent authorities and the coordination and cooperation at national and EU level.</w:t>
      </w:r>
      <w:r w:rsidR="00FA5690" w:rsidRPr="00F81955">
        <w:rPr>
          <w:noProof/>
        </w:rPr>
        <w:t>’</w:t>
      </w:r>
      <w:r w:rsidR="00BF60C4" w:rsidRPr="00F81955">
        <w:rPr>
          <w:noProof/>
        </w:rPr>
        <w:t>;</w:t>
      </w:r>
      <w:r w:rsidRPr="00F81955">
        <w:rPr>
          <w:noProof/>
        </w:rPr>
        <w:t xml:space="preserve"> </w:t>
      </w:r>
    </w:p>
    <w:p w:rsidR="00BC4D42" w:rsidRPr="00F81955" w:rsidRDefault="00C076D8" w:rsidP="00C076D8">
      <w:pPr>
        <w:pStyle w:val="Point1"/>
        <w:rPr>
          <w:noProof/>
        </w:rPr>
      </w:pPr>
      <w:r w:rsidRPr="00C076D8">
        <w:rPr>
          <w:noProof/>
        </w:rPr>
        <w:t>(19)</w:t>
      </w:r>
      <w:r w:rsidRPr="00C076D8">
        <w:rPr>
          <w:noProof/>
        </w:rPr>
        <w:tab/>
      </w:r>
      <w:r w:rsidR="00BC4D42" w:rsidRPr="00F81955">
        <w:rPr>
          <w:noProof/>
        </w:rPr>
        <w:t>Article 60 is amended as follows:</w:t>
      </w:r>
    </w:p>
    <w:p w:rsidR="00BC4D42" w:rsidRPr="00F81955" w:rsidRDefault="00C076D8" w:rsidP="00C076D8">
      <w:pPr>
        <w:pStyle w:val="Point1"/>
        <w:rPr>
          <w:noProof/>
        </w:rPr>
      </w:pPr>
      <w:r w:rsidRPr="00C076D8">
        <w:rPr>
          <w:noProof/>
        </w:rPr>
        <w:t>(a)</w:t>
      </w:r>
      <w:r w:rsidRPr="00C076D8">
        <w:rPr>
          <w:noProof/>
        </w:rPr>
        <w:tab/>
      </w:r>
      <w:r w:rsidR="00BC4D42" w:rsidRPr="00F81955">
        <w:rPr>
          <w:noProof/>
        </w:rPr>
        <w:t>in paragraph 1, the first subparagraph is replaced by the following:</w:t>
      </w:r>
    </w:p>
    <w:p w:rsidR="00BC4D42" w:rsidRPr="00F81955" w:rsidRDefault="00BC4D42" w:rsidP="002B67E4">
      <w:pPr>
        <w:pStyle w:val="Point2"/>
        <w:rPr>
          <w:noProof/>
        </w:rPr>
      </w:pPr>
      <w:r w:rsidRPr="00F81955">
        <w:rPr>
          <w:noProof/>
        </w:rPr>
        <w:t xml:space="preserve">‘Testing of high-risk AI systems in real world conditions outside AI regulatory sandboxes may be conducted by providers or prospective providers of high-risk AI systems listed in Annex III </w:t>
      </w:r>
      <w:r w:rsidR="00251A47" w:rsidRPr="00F81955">
        <w:rPr>
          <w:noProof/>
        </w:rPr>
        <w:t xml:space="preserve">or covered by Union harmonisation legislation listed </w:t>
      </w:r>
      <w:r w:rsidRPr="00F81955">
        <w:rPr>
          <w:noProof/>
        </w:rPr>
        <w:t>in Section A of Annex I, in accordance with this Article and the real-world testing plan referred to in this Article, without prejudice to the prohibitions under Article 5.</w:t>
      </w:r>
      <w:r w:rsidR="00FA5690" w:rsidRPr="00F81955">
        <w:rPr>
          <w:noProof/>
        </w:rPr>
        <w:t>’</w:t>
      </w:r>
      <w:r w:rsidRPr="00F81955">
        <w:rPr>
          <w:noProof/>
        </w:rPr>
        <w:t>;</w:t>
      </w:r>
    </w:p>
    <w:p w:rsidR="00BC4D42" w:rsidRPr="00F81955" w:rsidRDefault="00C076D8" w:rsidP="00C076D8">
      <w:pPr>
        <w:pStyle w:val="Point1"/>
        <w:rPr>
          <w:noProof/>
        </w:rPr>
      </w:pPr>
      <w:r w:rsidRPr="00C076D8">
        <w:rPr>
          <w:noProof/>
        </w:rPr>
        <w:t>(b)</w:t>
      </w:r>
      <w:r w:rsidRPr="00C076D8">
        <w:rPr>
          <w:noProof/>
        </w:rPr>
        <w:tab/>
      </w:r>
      <w:r w:rsidR="00BC4D42" w:rsidRPr="00F81955">
        <w:rPr>
          <w:noProof/>
        </w:rPr>
        <w:t>paragraph 2 is replaced by the following:</w:t>
      </w:r>
    </w:p>
    <w:p w:rsidR="00BC4D42" w:rsidRPr="00F81955" w:rsidRDefault="00BC4D42" w:rsidP="002B67E4">
      <w:pPr>
        <w:pStyle w:val="Point2"/>
        <w:rPr>
          <w:noProof/>
        </w:rPr>
      </w:pPr>
      <w:r w:rsidRPr="00F81955">
        <w:rPr>
          <w:noProof/>
        </w:rPr>
        <w:t xml:space="preserve">‘2. Providers or prospective providers may conduct testing of high-risk AI systems referred to in Annex III </w:t>
      </w:r>
      <w:r w:rsidR="005D6D0A" w:rsidRPr="00F81955">
        <w:rPr>
          <w:noProof/>
        </w:rPr>
        <w:t xml:space="preserve">or covered by Union harmonisation legislation listed </w:t>
      </w:r>
      <w:r w:rsidRPr="00F81955">
        <w:rPr>
          <w:noProof/>
        </w:rPr>
        <w:t>in Section A of Annex I in real world conditions at any time before the placing on the market or the putting into service of the AI system on their own or in partnership with one or more deployers or prospective deployers.’;</w:t>
      </w:r>
    </w:p>
    <w:p w:rsidR="00E5289A" w:rsidRPr="00F81955" w:rsidRDefault="00C076D8" w:rsidP="00C076D8">
      <w:pPr>
        <w:pStyle w:val="Point1"/>
        <w:rPr>
          <w:noProof/>
        </w:rPr>
      </w:pPr>
      <w:r w:rsidRPr="00C076D8">
        <w:rPr>
          <w:noProof/>
        </w:rPr>
        <w:t>(20)</w:t>
      </w:r>
      <w:r w:rsidRPr="00C076D8">
        <w:rPr>
          <w:noProof/>
        </w:rPr>
        <w:tab/>
      </w:r>
      <w:r w:rsidR="005D6D0A" w:rsidRPr="00F81955">
        <w:rPr>
          <w:noProof/>
        </w:rPr>
        <w:t xml:space="preserve">the </w:t>
      </w:r>
      <w:r w:rsidR="00E5289A" w:rsidRPr="00F81955">
        <w:rPr>
          <w:noProof/>
        </w:rPr>
        <w:t xml:space="preserve">following Article 60a is </w:t>
      </w:r>
      <w:r w:rsidR="005D6D0A" w:rsidRPr="00F81955">
        <w:rPr>
          <w:noProof/>
        </w:rPr>
        <w:t>inserted</w:t>
      </w:r>
      <w:r w:rsidR="00E5289A" w:rsidRPr="00F81955">
        <w:rPr>
          <w:noProof/>
        </w:rPr>
        <w:t>:</w:t>
      </w:r>
    </w:p>
    <w:p w:rsidR="001675E9" w:rsidRPr="00F81955" w:rsidRDefault="00E5289A" w:rsidP="001675E9">
      <w:pPr>
        <w:pStyle w:val="Point2"/>
        <w:jc w:val="center"/>
        <w:rPr>
          <w:noProof/>
        </w:rPr>
      </w:pPr>
      <w:r w:rsidRPr="00F81955">
        <w:rPr>
          <w:noProof/>
        </w:rPr>
        <w:t>‘</w:t>
      </w:r>
      <w:r w:rsidR="001675E9" w:rsidRPr="00F81955">
        <w:rPr>
          <w:i/>
          <w:iCs/>
          <w:noProof/>
        </w:rPr>
        <w:t>Article 60a</w:t>
      </w:r>
    </w:p>
    <w:p w:rsidR="002E2590" w:rsidRPr="00F81955" w:rsidRDefault="001675E9" w:rsidP="00175212">
      <w:pPr>
        <w:pStyle w:val="Point2"/>
        <w:jc w:val="center"/>
        <w:rPr>
          <w:b/>
          <w:bCs/>
          <w:noProof/>
        </w:rPr>
      </w:pPr>
      <w:r w:rsidRPr="00F81955">
        <w:rPr>
          <w:b/>
          <w:bCs/>
          <w:noProof/>
        </w:rPr>
        <w:t>Testing of high-risk AI systems covered by Union harmonisation legislation listed in Section B of Annex I in real-world conditions outside AI regulatory sandboxes</w:t>
      </w:r>
    </w:p>
    <w:p w:rsidR="00B3281C" w:rsidRPr="00F81955" w:rsidRDefault="00B3281C" w:rsidP="00B3281C">
      <w:pPr>
        <w:pStyle w:val="Point2"/>
        <w:rPr>
          <w:noProof/>
        </w:rPr>
      </w:pPr>
      <w:r w:rsidRPr="00F81955">
        <w:rPr>
          <w:noProof/>
        </w:rPr>
        <w:t>1.</w:t>
      </w:r>
      <w:r w:rsidRPr="00F81955">
        <w:rPr>
          <w:noProof/>
        </w:rPr>
        <w:tab/>
        <w:t xml:space="preserve">Testing of high-risk AI systems in real world conditions outside AI regulatory sandboxes may be conducted by providers or prospective providers of AI enabled products covered </w:t>
      </w:r>
      <w:r w:rsidR="00085A3F" w:rsidRPr="00F81955">
        <w:rPr>
          <w:noProof/>
        </w:rPr>
        <w:t xml:space="preserve">by Union harmonisation legislation listed in </w:t>
      </w:r>
      <w:r w:rsidRPr="00F81955">
        <w:rPr>
          <w:noProof/>
        </w:rPr>
        <w:t>Section B of Annex I</w:t>
      </w:r>
      <w:r w:rsidR="00085A3F" w:rsidRPr="00F81955">
        <w:rPr>
          <w:noProof/>
        </w:rPr>
        <w:t>, in accordance with this Article and a</w:t>
      </w:r>
      <w:r w:rsidRPr="00F81955">
        <w:rPr>
          <w:noProof/>
        </w:rPr>
        <w:t xml:space="preserve"> voluntary real-world testing agreement</w:t>
      </w:r>
      <w:r w:rsidR="00085A3F" w:rsidRPr="00F81955">
        <w:rPr>
          <w:noProof/>
        </w:rPr>
        <w:t>,</w:t>
      </w:r>
      <w:r w:rsidRPr="00F81955">
        <w:rPr>
          <w:noProof/>
        </w:rPr>
        <w:t xml:space="preserve"> without prejudice to the prohibitions under Article 5.</w:t>
      </w:r>
    </w:p>
    <w:p w:rsidR="00B3281C" w:rsidRPr="00F81955" w:rsidRDefault="00B3281C" w:rsidP="00B3281C">
      <w:pPr>
        <w:pStyle w:val="Point2"/>
        <w:rPr>
          <w:noProof/>
        </w:rPr>
      </w:pPr>
      <w:r w:rsidRPr="00F81955">
        <w:rPr>
          <w:noProof/>
        </w:rPr>
        <w:t>2.</w:t>
      </w:r>
      <w:r w:rsidRPr="00F81955">
        <w:rPr>
          <w:noProof/>
        </w:rPr>
        <w:tab/>
      </w:r>
      <w:r w:rsidR="0057781A" w:rsidRPr="00F81955">
        <w:rPr>
          <w:noProof/>
        </w:rPr>
        <w:t xml:space="preserve">The voluntary real-world testing agreement referred to in paragraph 1 shall be concluded in writing between interested Member States and the Commission. </w:t>
      </w:r>
      <w:r w:rsidR="000D6864" w:rsidRPr="00F81955">
        <w:rPr>
          <w:noProof/>
        </w:rPr>
        <w:t>It</w:t>
      </w:r>
      <w:r w:rsidRPr="00F81955">
        <w:rPr>
          <w:noProof/>
        </w:rPr>
        <w:t xml:space="preserve"> shall set the </w:t>
      </w:r>
      <w:r w:rsidR="000D6864" w:rsidRPr="00F81955">
        <w:rPr>
          <w:noProof/>
        </w:rPr>
        <w:t xml:space="preserve">requirements </w:t>
      </w:r>
      <w:r w:rsidRPr="00F81955">
        <w:rPr>
          <w:noProof/>
        </w:rPr>
        <w:t>for</w:t>
      </w:r>
      <w:r w:rsidR="000D6864" w:rsidRPr="00F81955">
        <w:rPr>
          <w:noProof/>
        </w:rPr>
        <w:t xml:space="preserve"> the</w:t>
      </w:r>
      <w:r w:rsidRPr="00F81955">
        <w:rPr>
          <w:noProof/>
        </w:rPr>
        <w:t xml:space="preserve"> testing </w:t>
      </w:r>
      <w:r w:rsidR="000D6864" w:rsidRPr="00F81955">
        <w:rPr>
          <w:noProof/>
        </w:rPr>
        <w:t xml:space="preserve">of </w:t>
      </w:r>
      <w:r w:rsidRPr="00F81955">
        <w:rPr>
          <w:noProof/>
        </w:rPr>
        <w:t xml:space="preserve">those </w:t>
      </w:r>
      <w:r w:rsidR="00D202E8" w:rsidRPr="00F81955">
        <w:rPr>
          <w:noProof/>
        </w:rPr>
        <w:t>AI-</w:t>
      </w:r>
      <w:r w:rsidRPr="00F81955">
        <w:rPr>
          <w:noProof/>
        </w:rPr>
        <w:t xml:space="preserve">enabled products covered </w:t>
      </w:r>
      <w:r w:rsidR="00933E20" w:rsidRPr="00F81955">
        <w:rPr>
          <w:noProof/>
        </w:rPr>
        <w:t xml:space="preserve">by Union harmonisation legislation listed </w:t>
      </w:r>
      <w:r w:rsidRPr="00F81955">
        <w:rPr>
          <w:noProof/>
        </w:rPr>
        <w:t xml:space="preserve">in Section B of Annex I in </w:t>
      </w:r>
      <w:r w:rsidR="00D93E93" w:rsidRPr="00F81955">
        <w:rPr>
          <w:noProof/>
        </w:rPr>
        <w:t>real-</w:t>
      </w:r>
      <w:r w:rsidRPr="00F81955">
        <w:rPr>
          <w:noProof/>
        </w:rPr>
        <w:t xml:space="preserve">world conditions. </w:t>
      </w:r>
    </w:p>
    <w:p w:rsidR="00B3281C" w:rsidRPr="00F81955" w:rsidRDefault="00B3281C" w:rsidP="00B3281C">
      <w:pPr>
        <w:pStyle w:val="Point2"/>
        <w:rPr>
          <w:noProof/>
        </w:rPr>
      </w:pPr>
      <w:r w:rsidRPr="00F81955">
        <w:rPr>
          <w:noProof/>
        </w:rPr>
        <w:t>3.</w:t>
      </w:r>
      <w:r w:rsidRPr="00F81955">
        <w:rPr>
          <w:noProof/>
        </w:rPr>
        <w:tab/>
        <w:t>Member States, the Commission, market surveillance authorities and public authorities responsible for</w:t>
      </w:r>
      <w:r w:rsidR="00B07E1A" w:rsidRPr="00F81955">
        <w:rPr>
          <w:noProof/>
        </w:rPr>
        <w:t xml:space="preserve"> the</w:t>
      </w:r>
      <w:r w:rsidRPr="00F81955">
        <w:rPr>
          <w:noProof/>
        </w:rPr>
        <w:t xml:space="preserve"> management and operation of infrastructure and products covered by Union harmonisation legislation listed in Section B of Annex I shall cooperate closely with each other and in good faith, and shall remove any practical obstacles, including on procedural rules providing access to physical public infrastructure, where this is necessary, to successfully implement the</w:t>
      </w:r>
      <w:r w:rsidR="00B07E1A" w:rsidRPr="00F81955">
        <w:rPr>
          <w:noProof/>
        </w:rPr>
        <w:t xml:space="preserve"> voluntary</w:t>
      </w:r>
      <w:r w:rsidRPr="00F81955">
        <w:rPr>
          <w:noProof/>
        </w:rPr>
        <w:t xml:space="preserve"> real-world testing agreement and test </w:t>
      </w:r>
      <w:r w:rsidR="00D202E8" w:rsidRPr="00F81955">
        <w:rPr>
          <w:noProof/>
        </w:rPr>
        <w:t>AI-</w:t>
      </w:r>
      <w:r w:rsidRPr="00F81955">
        <w:rPr>
          <w:noProof/>
        </w:rPr>
        <w:t xml:space="preserve">enabled products </w:t>
      </w:r>
      <w:r w:rsidR="00D202E8" w:rsidRPr="00F81955">
        <w:rPr>
          <w:noProof/>
        </w:rPr>
        <w:t>covered by Union harmonisation legislation listed in Section B of Annex</w:t>
      </w:r>
      <w:r w:rsidRPr="00F81955">
        <w:rPr>
          <w:noProof/>
        </w:rPr>
        <w:t xml:space="preserve">. </w:t>
      </w:r>
    </w:p>
    <w:p w:rsidR="00B3281C" w:rsidRPr="00F81955" w:rsidRDefault="00B3281C" w:rsidP="00B3281C">
      <w:pPr>
        <w:pStyle w:val="Point2"/>
        <w:rPr>
          <w:noProof/>
        </w:rPr>
      </w:pPr>
      <w:r w:rsidRPr="00F81955">
        <w:rPr>
          <w:noProof/>
        </w:rPr>
        <w:t>4.</w:t>
      </w:r>
      <w:r w:rsidRPr="00F81955">
        <w:rPr>
          <w:noProof/>
        </w:rPr>
        <w:tab/>
        <w:t xml:space="preserve">The signatories of the </w:t>
      </w:r>
      <w:r w:rsidR="00D202E8" w:rsidRPr="00F81955">
        <w:rPr>
          <w:noProof/>
        </w:rPr>
        <w:t xml:space="preserve">voluntary </w:t>
      </w:r>
      <w:r w:rsidRPr="00F81955">
        <w:rPr>
          <w:noProof/>
        </w:rPr>
        <w:t xml:space="preserve">real-world testing agreement, shall specify conditions of the testing in real world conditions and establish detailed elements of the real-world testing plan for AI systems covered by Union </w:t>
      </w:r>
      <w:r w:rsidR="001235E3" w:rsidRPr="00F81955">
        <w:rPr>
          <w:noProof/>
        </w:rPr>
        <w:t xml:space="preserve">harmonisation </w:t>
      </w:r>
      <w:r w:rsidRPr="00F81955">
        <w:rPr>
          <w:noProof/>
        </w:rPr>
        <w:t>legislation listed in Section B of Annex I.</w:t>
      </w:r>
    </w:p>
    <w:p w:rsidR="00E5289A" w:rsidRPr="00F81955" w:rsidRDefault="00B3281C" w:rsidP="00AF4894">
      <w:pPr>
        <w:pStyle w:val="Point2"/>
        <w:rPr>
          <w:noProof/>
        </w:rPr>
      </w:pPr>
      <w:r w:rsidRPr="00F81955">
        <w:rPr>
          <w:noProof/>
        </w:rPr>
        <w:t>5.</w:t>
      </w:r>
      <w:r w:rsidRPr="00F81955">
        <w:rPr>
          <w:noProof/>
        </w:rPr>
        <w:tab/>
        <w:t>Article 60</w:t>
      </w:r>
      <w:r w:rsidR="003B678B" w:rsidRPr="00F81955">
        <w:rPr>
          <w:noProof/>
        </w:rPr>
        <w:t>(</w:t>
      </w:r>
      <w:r w:rsidRPr="00F81955">
        <w:rPr>
          <w:noProof/>
        </w:rPr>
        <w:t>2</w:t>
      </w:r>
      <w:r w:rsidR="003B678B" w:rsidRPr="00F81955">
        <w:rPr>
          <w:noProof/>
        </w:rPr>
        <w:t>)</w:t>
      </w:r>
      <w:r w:rsidRPr="00F81955">
        <w:rPr>
          <w:noProof/>
        </w:rPr>
        <w:t xml:space="preserve">, </w:t>
      </w:r>
      <w:r w:rsidR="003B678B" w:rsidRPr="00F81955">
        <w:rPr>
          <w:noProof/>
        </w:rPr>
        <w:t>(</w:t>
      </w:r>
      <w:r w:rsidRPr="00F81955">
        <w:rPr>
          <w:noProof/>
        </w:rPr>
        <w:t>5</w:t>
      </w:r>
      <w:r w:rsidR="003B678B" w:rsidRPr="00F81955">
        <w:rPr>
          <w:noProof/>
        </w:rPr>
        <w:t>)</w:t>
      </w:r>
      <w:r w:rsidRPr="00F81955">
        <w:rPr>
          <w:noProof/>
        </w:rPr>
        <w:t xml:space="preserve"> and </w:t>
      </w:r>
      <w:r w:rsidR="003B678B" w:rsidRPr="00F81955">
        <w:rPr>
          <w:noProof/>
        </w:rPr>
        <w:t>(</w:t>
      </w:r>
      <w:r w:rsidRPr="00F81955">
        <w:rPr>
          <w:noProof/>
        </w:rPr>
        <w:t>9</w:t>
      </w:r>
      <w:r w:rsidR="003B678B" w:rsidRPr="00F81955">
        <w:rPr>
          <w:noProof/>
        </w:rPr>
        <w:t>) shall</w:t>
      </w:r>
      <w:r w:rsidRPr="00F81955">
        <w:rPr>
          <w:noProof/>
        </w:rPr>
        <w:t xml:space="preserve"> apply.’;</w:t>
      </w:r>
    </w:p>
    <w:p w:rsidR="000E5521" w:rsidRPr="00F81955" w:rsidRDefault="00C076D8" w:rsidP="00C076D8">
      <w:pPr>
        <w:pStyle w:val="Point1"/>
        <w:rPr>
          <w:noProof/>
        </w:rPr>
      </w:pPr>
      <w:r w:rsidRPr="00C076D8">
        <w:rPr>
          <w:noProof/>
        </w:rPr>
        <w:t>(21)</w:t>
      </w:r>
      <w:r w:rsidRPr="00C076D8">
        <w:rPr>
          <w:noProof/>
        </w:rPr>
        <w:tab/>
      </w:r>
      <w:r w:rsidR="000E5521" w:rsidRPr="00F81955">
        <w:rPr>
          <w:noProof/>
        </w:rPr>
        <w:t>Article 63(</w:t>
      </w:r>
      <w:r w:rsidR="003B678B" w:rsidRPr="00F81955">
        <w:rPr>
          <w:noProof/>
        </w:rPr>
        <w:t>1</w:t>
      </w:r>
      <w:r w:rsidR="000E5521" w:rsidRPr="00F81955">
        <w:rPr>
          <w:noProof/>
        </w:rPr>
        <w:t>) is replaced by the following:</w:t>
      </w:r>
    </w:p>
    <w:p w:rsidR="000E5521" w:rsidRPr="00F81955" w:rsidRDefault="00503C85" w:rsidP="00503C85">
      <w:pPr>
        <w:pStyle w:val="Point2"/>
        <w:rPr>
          <w:noProof/>
        </w:rPr>
      </w:pPr>
      <w:r w:rsidRPr="00F81955">
        <w:rPr>
          <w:noProof/>
        </w:rPr>
        <w:t>‘1. SME</w:t>
      </w:r>
      <w:r w:rsidR="00AD0AE3" w:rsidRPr="00F81955">
        <w:rPr>
          <w:noProof/>
        </w:rPr>
        <w:t>s, including start-ups,</w:t>
      </w:r>
      <w:r w:rsidRPr="00F81955">
        <w:rPr>
          <w:noProof/>
        </w:rPr>
        <w:t xml:space="preserve"> may comply with certain elements of the quality management system required by Article 17 in a simplified manner. For that purpose, the Commission shall develop guidelines on the elements of the quality management system which may be complied with in a simplified manner considering the needs of </w:t>
      </w:r>
      <w:r w:rsidR="00FF5688" w:rsidRPr="00F81955">
        <w:rPr>
          <w:noProof/>
        </w:rPr>
        <w:t>SME</w:t>
      </w:r>
      <w:r w:rsidR="008510C4" w:rsidRPr="00F81955">
        <w:rPr>
          <w:noProof/>
        </w:rPr>
        <w:t>s</w:t>
      </w:r>
      <w:r w:rsidRPr="00F81955">
        <w:rPr>
          <w:noProof/>
        </w:rPr>
        <w:t>, without affecting the level of protection or the need for compliance with the requirements in respect of high-risk AI systems.’;</w:t>
      </w:r>
    </w:p>
    <w:p w:rsidR="00BC4D42" w:rsidRPr="00F81955" w:rsidRDefault="00C076D8" w:rsidP="00C076D8">
      <w:pPr>
        <w:pStyle w:val="Point1"/>
        <w:rPr>
          <w:noProof/>
        </w:rPr>
      </w:pPr>
      <w:r w:rsidRPr="00C076D8">
        <w:rPr>
          <w:noProof/>
        </w:rPr>
        <w:t>(22)</w:t>
      </w:r>
      <w:r w:rsidRPr="00C076D8">
        <w:rPr>
          <w:noProof/>
        </w:rPr>
        <w:tab/>
      </w:r>
      <w:r w:rsidR="00BC4D42" w:rsidRPr="00F81955">
        <w:rPr>
          <w:noProof/>
        </w:rPr>
        <w:t>Article 69 is amended as follows:</w:t>
      </w:r>
    </w:p>
    <w:p w:rsidR="00BC4D42" w:rsidRPr="00F81955" w:rsidRDefault="00C076D8" w:rsidP="00C076D8">
      <w:pPr>
        <w:pStyle w:val="Point1"/>
        <w:rPr>
          <w:noProof/>
        </w:rPr>
      </w:pPr>
      <w:r w:rsidRPr="00C076D8">
        <w:rPr>
          <w:noProof/>
        </w:rPr>
        <w:t>(a)</w:t>
      </w:r>
      <w:r w:rsidRPr="00C076D8">
        <w:rPr>
          <w:noProof/>
        </w:rPr>
        <w:tab/>
      </w:r>
      <w:r w:rsidR="00BC4D42" w:rsidRPr="00F81955">
        <w:rPr>
          <w:noProof/>
        </w:rPr>
        <w:t>paragraph 2 is replaced by the following:</w:t>
      </w:r>
    </w:p>
    <w:p w:rsidR="00BC4D42" w:rsidRPr="00F81955" w:rsidRDefault="00BC4D42" w:rsidP="00473EAA">
      <w:pPr>
        <w:pStyle w:val="Point2"/>
        <w:rPr>
          <w:noProof/>
        </w:rPr>
      </w:pPr>
      <w:r w:rsidRPr="00F81955">
        <w:rPr>
          <w:noProof/>
        </w:rPr>
        <w:t xml:space="preserve">‘2. The Member States may be required to pay fees for the advice and support provided by the experts at a rate equivalent to the remuneration fees applicable to the Commission </w:t>
      </w:r>
      <w:r w:rsidR="00151558" w:rsidRPr="00F81955">
        <w:rPr>
          <w:noProof/>
        </w:rPr>
        <w:t>pursuant to</w:t>
      </w:r>
      <w:r w:rsidRPr="00F81955">
        <w:rPr>
          <w:noProof/>
        </w:rPr>
        <w:t xml:space="preserve"> the implementing act referred to in Article 68(1).’</w:t>
      </w:r>
      <w:r w:rsidR="00473EAA" w:rsidRPr="00F81955">
        <w:rPr>
          <w:noProof/>
        </w:rPr>
        <w:t>;</w:t>
      </w:r>
    </w:p>
    <w:p w:rsidR="00BC4D42" w:rsidRPr="00F81955" w:rsidRDefault="00C076D8" w:rsidP="00C076D8">
      <w:pPr>
        <w:pStyle w:val="Point1"/>
        <w:rPr>
          <w:noProof/>
        </w:rPr>
      </w:pPr>
      <w:r w:rsidRPr="00C076D8">
        <w:rPr>
          <w:noProof/>
        </w:rPr>
        <w:t>(b)</w:t>
      </w:r>
      <w:r w:rsidRPr="00C076D8">
        <w:rPr>
          <w:noProof/>
        </w:rPr>
        <w:tab/>
      </w:r>
      <w:r w:rsidR="00BC4D42" w:rsidRPr="00F81955">
        <w:rPr>
          <w:noProof/>
        </w:rPr>
        <w:t>paragraph 3 is deleted.</w:t>
      </w:r>
    </w:p>
    <w:p w:rsidR="00B47478" w:rsidRPr="00F81955" w:rsidRDefault="00C076D8" w:rsidP="00C076D8">
      <w:pPr>
        <w:pStyle w:val="Point1"/>
        <w:rPr>
          <w:noProof/>
        </w:rPr>
      </w:pPr>
      <w:r w:rsidRPr="00C076D8">
        <w:rPr>
          <w:noProof/>
        </w:rPr>
        <w:t>(23)</w:t>
      </w:r>
      <w:r w:rsidRPr="00C076D8">
        <w:rPr>
          <w:noProof/>
        </w:rPr>
        <w:tab/>
      </w:r>
      <w:r w:rsidR="00B47478" w:rsidRPr="00F81955">
        <w:rPr>
          <w:noProof/>
        </w:rPr>
        <w:t>in Article 70, paragraph 8 is replaced by the following:</w:t>
      </w:r>
    </w:p>
    <w:p w:rsidR="00B47478" w:rsidRPr="00F81955" w:rsidRDefault="00B47478" w:rsidP="00B47478">
      <w:pPr>
        <w:pStyle w:val="Point2"/>
        <w:rPr>
          <w:noProof/>
        </w:rPr>
      </w:pPr>
      <w:r w:rsidRPr="00F81955">
        <w:rPr>
          <w:noProof/>
        </w:rPr>
        <w:t>‘8. National competent authorities may provide guidance and advice on the implementation of this Regulation, in particular to SMCs and SMEs, including start-ups, taking into account the guidance and advice of the Board and the Commission, as appropriate. Whenever national competent authorities intend to provide guidance and advice with regard to an AI system in areas covered by other Union law, the national competent authorities under that Union law shall be consulted, as appropriate.’;</w:t>
      </w:r>
    </w:p>
    <w:p w:rsidR="00BC4D42" w:rsidRPr="00F81955" w:rsidRDefault="00C076D8" w:rsidP="00C076D8">
      <w:pPr>
        <w:pStyle w:val="Point1"/>
        <w:rPr>
          <w:noProof/>
        </w:rPr>
      </w:pPr>
      <w:r w:rsidRPr="00C076D8">
        <w:rPr>
          <w:noProof/>
        </w:rPr>
        <w:t>(24)</w:t>
      </w:r>
      <w:r w:rsidRPr="00C076D8">
        <w:rPr>
          <w:noProof/>
        </w:rPr>
        <w:tab/>
      </w:r>
      <w:r w:rsidR="00BC4D42" w:rsidRPr="00F81955">
        <w:rPr>
          <w:noProof/>
        </w:rPr>
        <w:t>in Article 72, paragraph 3 is replaced by the following:</w:t>
      </w:r>
    </w:p>
    <w:p w:rsidR="00BC4D42" w:rsidRPr="00F81955" w:rsidRDefault="00BC4D42" w:rsidP="00473EAA">
      <w:pPr>
        <w:pStyle w:val="Point2"/>
        <w:rPr>
          <w:noProof/>
        </w:rPr>
      </w:pPr>
      <w:r w:rsidRPr="00F81955">
        <w:rPr>
          <w:noProof/>
        </w:rPr>
        <w:t>‘3. The post-market monitoring system shall be based on a post-market monitoring plan. The post-market monitoring plan shall be part of the technical documentation referred to in Annex IV. The Commission shall adopt guidance on the post-market monitoring plan.’;</w:t>
      </w:r>
    </w:p>
    <w:p w:rsidR="00BC4D42" w:rsidRPr="00F81955" w:rsidRDefault="00C076D8" w:rsidP="00C076D8">
      <w:pPr>
        <w:pStyle w:val="Point1"/>
        <w:rPr>
          <w:noProof/>
        </w:rPr>
      </w:pPr>
      <w:r w:rsidRPr="00C076D8">
        <w:rPr>
          <w:noProof/>
        </w:rPr>
        <w:t>(25)</w:t>
      </w:r>
      <w:r w:rsidRPr="00C076D8">
        <w:rPr>
          <w:noProof/>
        </w:rPr>
        <w:tab/>
      </w:r>
      <w:r w:rsidR="00BC4D42" w:rsidRPr="00F81955">
        <w:rPr>
          <w:noProof/>
        </w:rPr>
        <w:t>Article 75 is amended as follows:</w:t>
      </w:r>
    </w:p>
    <w:p w:rsidR="00BC4D42" w:rsidRPr="00F81955" w:rsidRDefault="00C076D8" w:rsidP="00C076D8">
      <w:pPr>
        <w:pStyle w:val="Point1"/>
        <w:rPr>
          <w:noProof/>
        </w:rPr>
      </w:pPr>
      <w:r w:rsidRPr="00C076D8">
        <w:rPr>
          <w:noProof/>
        </w:rPr>
        <w:t>(a)</w:t>
      </w:r>
      <w:r w:rsidRPr="00C076D8">
        <w:rPr>
          <w:noProof/>
        </w:rPr>
        <w:tab/>
      </w:r>
      <w:r w:rsidR="00BC4D42" w:rsidRPr="00F81955">
        <w:rPr>
          <w:noProof/>
        </w:rPr>
        <w:t>the heading of Article 75 is replaced by the following:</w:t>
      </w:r>
    </w:p>
    <w:p w:rsidR="00BC4D42" w:rsidRPr="00F81955" w:rsidRDefault="00BC4D42" w:rsidP="36847363">
      <w:pPr>
        <w:pStyle w:val="Point2"/>
        <w:rPr>
          <w:noProof/>
        </w:rPr>
      </w:pPr>
      <w:r w:rsidRPr="00F81955">
        <w:rPr>
          <w:noProof/>
        </w:rPr>
        <w:t>‘</w:t>
      </w:r>
      <w:r w:rsidR="008D43D5" w:rsidRPr="00F81955">
        <w:rPr>
          <w:b/>
          <w:bCs/>
          <w:noProof/>
        </w:rPr>
        <w:t>Market surveillance and control of AI systems and mutual assistance</w:t>
      </w:r>
      <w:r w:rsidR="008D43D5" w:rsidRPr="00F81955">
        <w:rPr>
          <w:noProof/>
        </w:rPr>
        <w:t>’</w:t>
      </w:r>
      <w:r w:rsidRPr="00F81955">
        <w:rPr>
          <w:noProof/>
        </w:rPr>
        <w:t>;</w:t>
      </w:r>
    </w:p>
    <w:p w:rsidR="00BC4D42" w:rsidRPr="00F81955" w:rsidRDefault="00C076D8" w:rsidP="00C076D8">
      <w:pPr>
        <w:pStyle w:val="Point1"/>
        <w:rPr>
          <w:noProof/>
        </w:rPr>
      </w:pPr>
      <w:r w:rsidRPr="00C076D8">
        <w:rPr>
          <w:noProof/>
        </w:rPr>
        <w:t>(b)</w:t>
      </w:r>
      <w:r w:rsidRPr="00C076D8">
        <w:rPr>
          <w:noProof/>
        </w:rPr>
        <w:tab/>
      </w:r>
      <w:r w:rsidR="00BC4D42" w:rsidRPr="00F81955">
        <w:rPr>
          <w:noProof/>
        </w:rPr>
        <w:t>paragraph 1 is replaced by the following:</w:t>
      </w:r>
    </w:p>
    <w:p w:rsidR="00D12D9E" w:rsidRPr="00F81955" w:rsidRDefault="00BC4D42" w:rsidP="00473EAA">
      <w:pPr>
        <w:pStyle w:val="Point2"/>
        <w:rPr>
          <w:noProof/>
        </w:rPr>
      </w:pPr>
      <w:r w:rsidRPr="00F81955">
        <w:rPr>
          <w:noProof/>
        </w:rPr>
        <w:t xml:space="preserve">‘1. Where an AI system is based on a general-purpose AI model, with the exclusion of AI systems related to products covered by the Union harmonisation legislation listed in Annex I, and </w:t>
      </w:r>
      <w:r w:rsidR="007875FA" w:rsidRPr="00F81955">
        <w:rPr>
          <w:noProof/>
        </w:rPr>
        <w:t xml:space="preserve">that </w:t>
      </w:r>
      <w:r w:rsidRPr="00F81955">
        <w:rPr>
          <w:noProof/>
        </w:rPr>
        <w:t xml:space="preserve">model and </w:t>
      </w:r>
      <w:r w:rsidR="007875FA" w:rsidRPr="00F81955">
        <w:rPr>
          <w:noProof/>
        </w:rPr>
        <w:t xml:space="preserve">that </w:t>
      </w:r>
      <w:r w:rsidRPr="00F81955">
        <w:rPr>
          <w:noProof/>
        </w:rPr>
        <w:t xml:space="preserve">system are developed by the same provider, the AI Office shall </w:t>
      </w:r>
      <w:r w:rsidR="00B45E21" w:rsidRPr="00F81955">
        <w:rPr>
          <w:noProof/>
        </w:rPr>
        <w:t>be exclusively competent for the supervision and enforcement of that system</w:t>
      </w:r>
      <w:r w:rsidRPr="00F81955">
        <w:rPr>
          <w:noProof/>
        </w:rPr>
        <w:t xml:space="preserve"> with </w:t>
      </w:r>
      <w:r w:rsidR="00B45E21" w:rsidRPr="00F81955">
        <w:rPr>
          <w:noProof/>
        </w:rPr>
        <w:t xml:space="preserve">the </w:t>
      </w:r>
      <w:r w:rsidRPr="00F81955">
        <w:rPr>
          <w:noProof/>
        </w:rPr>
        <w:t xml:space="preserve">obligations </w:t>
      </w:r>
      <w:r w:rsidR="00B45E21" w:rsidRPr="00F81955">
        <w:rPr>
          <w:noProof/>
        </w:rPr>
        <w:t xml:space="preserve">of </w:t>
      </w:r>
      <w:r w:rsidRPr="00F81955">
        <w:rPr>
          <w:noProof/>
        </w:rPr>
        <w:t xml:space="preserve">this Regulation in accordance with the tasks and responsibilities assigned by it to market surveillance authorities. </w:t>
      </w:r>
      <w:r w:rsidR="00FD3444" w:rsidRPr="00F81955">
        <w:rPr>
          <w:noProof/>
        </w:rPr>
        <w:t xml:space="preserve">The AI Office shall also be exclusively competent for the supervision and enforcement of the obligations under this Regulation in relation to </w:t>
      </w:r>
      <w:r w:rsidR="00D12D9E" w:rsidRPr="00F81955">
        <w:rPr>
          <w:noProof/>
        </w:rPr>
        <w:t>AI system that constitute or that are integrated into a designated very large online platform or very large online search engine within the meaning of Regulation (EU) 2022/2065.</w:t>
      </w:r>
    </w:p>
    <w:p w:rsidR="00D12D9E" w:rsidRPr="00F81955" w:rsidRDefault="00D12D9E" w:rsidP="00473EAA">
      <w:pPr>
        <w:pStyle w:val="Point2"/>
        <w:rPr>
          <w:noProof/>
        </w:rPr>
      </w:pPr>
      <w:r w:rsidRPr="00F81955">
        <w:rPr>
          <w:noProof/>
        </w:rPr>
        <w:t>When exercising its tasks of supervision and enforcement under the first subparagraph, t</w:t>
      </w:r>
      <w:r w:rsidR="00BC4D42" w:rsidRPr="00F81955">
        <w:rPr>
          <w:noProof/>
        </w:rPr>
        <w:t xml:space="preserve">he AI Office shall have all the powers of a market surveillance authority provided for in this Section and </w:t>
      </w:r>
      <w:r w:rsidRPr="00F81955">
        <w:rPr>
          <w:noProof/>
        </w:rPr>
        <w:t xml:space="preserve">in </w:t>
      </w:r>
      <w:r w:rsidR="00BC4D42" w:rsidRPr="00F81955">
        <w:rPr>
          <w:noProof/>
        </w:rPr>
        <w:t>Regulation (EU) 2019/1020</w:t>
      </w:r>
      <w:r w:rsidRPr="00F81955">
        <w:rPr>
          <w:noProof/>
        </w:rPr>
        <w:t xml:space="preserve">. The AI Office shall </w:t>
      </w:r>
      <w:r w:rsidR="00BC4D42" w:rsidRPr="00F81955">
        <w:rPr>
          <w:noProof/>
        </w:rPr>
        <w:t>be empowered to take appropriate measures and decisions to adequately exercise its</w:t>
      </w:r>
      <w:r w:rsidRPr="00F81955">
        <w:rPr>
          <w:noProof/>
        </w:rPr>
        <w:t xml:space="preserve"> supervisory and enforcement</w:t>
      </w:r>
      <w:r w:rsidR="00BC4D42" w:rsidRPr="00F81955">
        <w:rPr>
          <w:noProof/>
        </w:rPr>
        <w:t xml:space="preserve"> powers. Article 14 of Regulation (EU) 2019/1020 shall apply mutatis mutandis. </w:t>
      </w:r>
    </w:p>
    <w:p w:rsidR="00BC4D42" w:rsidRPr="00F81955" w:rsidRDefault="00BC4D42" w:rsidP="00473EAA">
      <w:pPr>
        <w:pStyle w:val="Point2"/>
        <w:rPr>
          <w:noProof/>
          <w:highlight w:val="yellow"/>
        </w:rPr>
      </w:pPr>
      <w:r w:rsidRPr="00F81955">
        <w:rPr>
          <w:noProof/>
        </w:rPr>
        <w:t>The authorities involved in the application of this Regulation shall cooperate actively in the exercise of these powers, in particular where enforcement actions need to be taken in the territory of a Member State.’;</w:t>
      </w:r>
    </w:p>
    <w:p w:rsidR="00BC4D42" w:rsidRPr="00F81955" w:rsidRDefault="00C076D8" w:rsidP="00C076D8">
      <w:pPr>
        <w:pStyle w:val="Point1"/>
        <w:rPr>
          <w:noProof/>
        </w:rPr>
      </w:pPr>
      <w:r w:rsidRPr="00C076D8">
        <w:rPr>
          <w:noProof/>
        </w:rPr>
        <w:t>(c)</w:t>
      </w:r>
      <w:r w:rsidRPr="00C076D8">
        <w:rPr>
          <w:noProof/>
        </w:rPr>
        <w:tab/>
      </w:r>
      <w:r w:rsidR="00BC4D42" w:rsidRPr="00F81955">
        <w:rPr>
          <w:noProof/>
        </w:rPr>
        <w:t>the following paragraph</w:t>
      </w:r>
      <w:r w:rsidR="007B7F63" w:rsidRPr="00F81955">
        <w:rPr>
          <w:noProof/>
        </w:rPr>
        <w:t>s</w:t>
      </w:r>
      <w:r w:rsidR="00BC4D42" w:rsidRPr="00F81955">
        <w:rPr>
          <w:noProof/>
        </w:rPr>
        <w:t xml:space="preserve"> </w:t>
      </w:r>
      <w:r w:rsidR="007B7F63" w:rsidRPr="00F81955">
        <w:rPr>
          <w:noProof/>
        </w:rPr>
        <w:t xml:space="preserve">1a to </w:t>
      </w:r>
      <w:r w:rsidR="00BC4D42" w:rsidRPr="00F81955">
        <w:rPr>
          <w:noProof/>
        </w:rPr>
        <w:t>1</w:t>
      </w:r>
      <w:r w:rsidR="007B7F63" w:rsidRPr="00F81955">
        <w:rPr>
          <w:noProof/>
        </w:rPr>
        <w:t>c</w:t>
      </w:r>
      <w:r w:rsidR="00BC4D42" w:rsidRPr="00F81955">
        <w:rPr>
          <w:noProof/>
        </w:rPr>
        <w:t xml:space="preserve"> </w:t>
      </w:r>
      <w:r w:rsidR="007B7F63" w:rsidRPr="00F81955">
        <w:rPr>
          <w:noProof/>
        </w:rPr>
        <w:t>are</w:t>
      </w:r>
      <w:r w:rsidR="00BC4D42" w:rsidRPr="00F81955">
        <w:rPr>
          <w:noProof/>
        </w:rPr>
        <w:t xml:space="preserve"> inserted:</w:t>
      </w:r>
    </w:p>
    <w:p w:rsidR="00BC4D42" w:rsidRPr="00F81955" w:rsidRDefault="00BC4D42" w:rsidP="00473EAA">
      <w:pPr>
        <w:pStyle w:val="Point2"/>
        <w:rPr>
          <w:noProof/>
        </w:rPr>
      </w:pPr>
      <w:r w:rsidRPr="00F81955">
        <w:rPr>
          <w:noProof/>
        </w:rPr>
        <w:t>‘1</w:t>
      </w:r>
      <w:r w:rsidR="004512BA" w:rsidRPr="00F81955">
        <w:rPr>
          <w:noProof/>
        </w:rPr>
        <w:t>a</w:t>
      </w:r>
      <w:r w:rsidRPr="00F81955">
        <w:rPr>
          <w:noProof/>
        </w:rPr>
        <w:t>. The Commission shall adopt an implementing act to define the enforcement powers and the procedures for the exercise of those powers of the AI Office, including its ability to impose penalties, such as fines or other administrative sanctions, in accordance with the conditions and ceilings identified in Article 99, in relation to AI systems referenced to in paragraphs 1 and 1a of this Article that are found to be non-compliant with this Regulation, in the context of its monitoring and supervision tasks under this Article.’</w:t>
      </w:r>
    </w:p>
    <w:p w:rsidR="00BC4D42" w:rsidRPr="00F81955" w:rsidRDefault="00BC4D42" w:rsidP="00473EAA">
      <w:pPr>
        <w:pStyle w:val="Point2"/>
        <w:rPr>
          <w:noProof/>
        </w:rPr>
      </w:pPr>
      <w:r w:rsidRPr="00F81955">
        <w:rPr>
          <w:noProof/>
        </w:rPr>
        <w:t>‘1</w:t>
      </w:r>
      <w:r w:rsidR="004512BA" w:rsidRPr="00F81955">
        <w:rPr>
          <w:noProof/>
        </w:rPr>
        <w:t>b</w:t>
      </w:r>
      <w:r w:rsidRPr="00F81955">
        <w:rPr>
          <w:noProof/>
        </w:rPr>
        <w:t>. Article 18 of Regulation (EU) 2019/1020 shall apply mutatis mutandis to providers of AI systems refer</w:t>
      </w:r>
      <w:r w:rsidR="007214BF" w:rsidRPr="00F81955">
        <w:rPr>
          <w:noProof/>
        </w:rPr>
        <w:t>r</w:t>
      </w:r>
      <w:r w:rsidRPr="00F81955">
        <w:rPr>
          <w:noProof/>
        </w:rPr>
        <w:t xml:space="preserve">ed to in </w:t>
      </w:r>
      <w:r w:rsidR="004512BA" w:rsidRPr="00F81955">
        <w:rPr>
          <w:noProof/>
        </w:rPr>
        <w:t>paragraph 1</w:t>
      </w:r>
      <w:r w:rsidRPr="00F81955">
        <w:rPr>
          <w:noProof/>
        </w:rPr>
        <w:t>, without prejudice to more specific procedural rights provided for in this Regulation.’</w:t>
      </w:r>
    </w:p>
    <w:p w:rsidR="00A47BE6" w:rsidRPr="00F81955" w:rsidRDefault="00A47BE6" w:rsidP="007A3385">
      <w:pPr>
        <w:pStyle w:val="Point2"/>
        <w:rPr>
          <w:noProof/>
        </w:rPr>
      </w:pPr>
      <w:r w:rsidRPr="00F81955">
        <w:rPr>
          <w:noProof/>
        </w:rPr>
        <w:t>‘</w:t>
      </w:r>
      <w:r w:rsidR="004512BA" w:rsidRPr="00F81955">
        <w:rPr>
          <w:noProof/>
        </w:rPr>
        <w:t xml:space="preserve">1c. </w:t>
      </w:r>
      <w:r w:rsidRPr="00F81955">
        <w:rPr>
          <w:noProof/>
        </w:rPr>
        <w:t xml:space="preserve">The Commission shall organise and carry out pre-market conformity assessments and tests of AI systems referred to in </w:t>
      </w:r>
      <w:r w:rsidR="004512BA" w:rsidRPr="00F81955">
        <w:rPr>
          <w:noProof/>
        </w:rPr>
        <w:t>paragraph 1</w:t>
      </w:r>
      <w:r w:rsidRPr="00F81955">
        <w:rPr>
          <w:noProof/>
        </w:rPr>
        <w:t xml:space="preserve"> that are classified as high-risk and subject to third-party conformity assessment under Article 43</w:t>
      </w:r>
      <w:r w:rsidR="00EB6CF1" w:rsidRPr="00F81955">
        <w:rPr>
          <w:noProof/>
        </w:rPr>
        <w:t xml:space="preserve"> before such AI systems are placed on the market or put into service</w:t>
      </w:r>
      <w:r w:rsidRPr="00F81955">
        <w:rPr>
          <w:noProof/>
        </w:rPr>
        <w:t xml:space="preserve">. These tests and assessments shall verify that the systems comply with the relevant requirements of this Regulation and may be placed on the market or put into service in the Union in accordance with this Regulation. The Commission may entrust the performance of these tests or assessments to notified bodies designated under </w:t>
      </w:r>
      <w:r w:rsidR="004512BA" w:rsidRPr="00F81955">
        <w:rPr>
          <w:noProof/>
        </w:rPr>
        <w:t>this Regulation</w:t>
      </w:r>
      <w:r w:rsidRPr="00F81955">
        <w:rPr>
          <w:noProof/>
        </w:rPr>
        <w:t xml:space="preserve">, in which case the notified body shall act on behalf of the Commission. Article 34(1) and (2) shall apply </w:t>
      </w:r>
      <w:r w:rsidR="00712AAA" w:rsidRPr="00F81955">
        <w:rPr>
          <w:i/>
          <w:iCs/>
          <w:noProof/>
        </w:rPr>
        <w:t>mutatis mutandis</w:t>
      </w:r>
      <w:r w:rsidRPr="00F81955">
        <w:rPr>
          <w:noProof/>
        </w:rPr>
        <w:t xml:space="preserve"> to the Commission when exercising its powers under this paragraph.</w:t>
      </w:r>
    </w:p>
    <w:p w:rsidR="00A47BE6" w:rsidRPr="00F81955" w:rsidRDefault="00A47BE6" w:rsidP="00A47BE6">
      <w:pPr>
        <w:pStyle w:val="Point2"/>
        <w:rPr>
          <w:noProof/>
        </w:rPr>
      </w:pPr>
      <w:r w:rsidRPr="00F81955">
        <w:rPr>
          <w:noProof/>
        </w:rPr>
        <w:t xml:space="preserve">The fees for testing and assessment activities shall be levied on the provider of a high-risk AI system who </w:t>
      </w:r>
      <w:r w:rsidR="004512BA" w:rsidRPr="00F81955">
        <w:rPr>
          <w:noProof/>
        </w:rPr>
        <w:t xml:space="preserve">has </w:t>
      </w:r>
      <w:r w:rsidRPr="00F81955">
        <w:rPr>
          <w:noProof/>
        </w:rPr>
        <w:t>applied for third-party conformity assessment to the Commission. The costs related to the services entrusted by the Commission to the notified bodies in accordance with this Article shall be directly paid by the provider to the notified body.’</w:t>
      </w:r>
      <w:r w:rsidR="00A13232" w:rsidRPr="00F81955">
        <w:rPr>
          <w:noProof/>
        </w:rPr>
        <w:t>;</w:t>
      </w:r>
    </w:p>
    <w:p w:rsidR="00BC4D42" w:rsidRPr="00F81955" w:rsidRDefault="00C076D8" w:rsidP="00C076D8">
      <w:pPr>
        <w:pStyle w:val="Point1"/>
        <w:rPr>
          <w:noProof/>
        </w:rPr>
      </w:pPr>
      <w:r w:rsidRPr="00C076D8">
        <w:rPr>
          <w:noProof/>
        </w:rPr>
        <w:t>(26)</w:t>
      </w:r>
      <w:r w:rsidRPr="00C076D8">
        <w:rPr>
          <w:noProof/>
        </w:rPr>
        <w:tab/>
      </w:r>
      <w:r w:rsidR="00BC4D42" w:rsidRPr="00F81955">
        <w:rPr>
          <w:noProof/>
        </w:rPr>
        <w:t>Article 77 is amended as follows:</w:t>
      </w:r>
    </w:p>
    <w:p w:rsidR="00BC4D42" w:rsidRPr="00F81955" w:rsidRDefault="00C076D8" w:rsidP="00C076D8">
      <w:pPr>
        <w:pStyle w:val="Point1"/>
        <w:rPr>
          <w:noProof/>
        </w:rPr>
      </w:pPr>
      <w:r w:rsidRPr="00C076D8">
        <w:rPr>
          <w:noProof/>
        </w:rPr>
        <w:t>(a)</w:t>
      </w:r>
      <w:r w:rsidRPr="00C076D8">
        <w:rPr>
          <w:noProof/>
        </w:rPr>
        <w:tab/>
      </w:r>
      <w:r w:rsidR="00BC4D42" w:rsidRPr="00F81955">
        <w:rPr>
          <w:noProof/>
        </w:rPr>
        <w:t>the heading is replaced by the following:</w:t>
      </w:r>
    </w:p>
    <w:p w:rsidR="00BC4D42" w:rsidRPr="00F81955" w:rsidRDefault="00BC4D42" w:rsidP="00473EAA">
      <w:pPr>
        <w:pStyle w:val="Point2"/>
        <w:rPr>
          <w:noProof/>
        </w:rPr>
      </w:pPr>
      <w:r w:rsidRPr="00F81955">
        <w:rPr>
          <w:noProof/>
        </w:rPr>
        <w:t>‘</w:t>
      </w:r>
      <w:r w:rsidR="00F05355" w:rsidRPr="00F81955">
        <w:rPr>
          <w:b/>
          <w:bCs/>
          <w:noProof/>
        </w:rPr>
        <w:t>Powers of authorities protecting fundamental rights and cooperation with market surveillance authorities</w:t>
      </w:r>
      <w:r w:rsidRPr="00F81955">
        <w:rPr>
          <w:noProof/>
        </w:rPr>
        <w:t>’</w:t>
      </w:r>
    </w:p>
    <w:p w:rsidR="00BC4D42" w:rsidRPr="00F81955" w:rsidRDefault="00C076D8" w:rsidP="00C076D8">
      <w:pPr>
        <w:pStyle w:val="Point1"/>
        <w:rPr>
          <w:noProof/>
        </w:rPr>
      </w:pPr>
      <w:r w:rsidRPr="00C076D8">
        <w:rPr>
          <w:noProof/>
        </w:rPr>
        <w:t>(b)</w:t>
      </w:r>
      <w:r w:rsidRPr="00C076D8">
        <w:rPr>
          <w:noProof/>
        </w:rPr>
        <w:tab/>
      </w:r>
      <w:r w:rsidR="00BC4D42" w:rsidRPr="00F81955">
        <w:rPr>
          <w:noProof/>
        </w:rPr>
        <w:t>paragraph 1 is replaced by the following:</w:t>
      </w:r>
    </w:p>
    <w:p w:rsidR="00BC4D42" w:rsidRPr="00F81955" w:rsidRDefault="00BC4D42" w:rsidP="00473EAA">
      <w:pPr>
        <w:pStyle w:val="Point2"/>
        <w:rPr>
          <w:noProof/>
        </w:rPr>
      </w:pPr>
      <w:r w:rsidRPr="00F81955">
        <w:rPr>
          <w:noProof/>
        </w:rPr>
        <w:t xml:space="preserve">‘1. National public authorities or bodies which supervise or enforce the respect of obligations under Union law protecting fundamental rights, including the right to non-discrimination, shall have the power to make a request and access any information or documentation created or maintained from the relevant market surveillance authority under this Regulation in accessible language and format </w:t>
      </w:r>
      <w:r w:rsidR="00F05355" w:rsidRPr="00F81955">
        <w:rPr>
          <w:noProof/>
        </w:rPr>
        <w:t xml:space="preserve">where </w:t>
      </w:r>
      <w:r w:rsidRPr="00F81955">
        <w:rPr>
          <w:noProof/>
        </w:rPr>
        <w:t>access to that information or documentation is necessary for effectively fulfilling their mandates within the limits of their jurisdiction.</w:t>
      </w:r>
      <w:r w:rsidR="00473EAA" w:rsidRPr="00F81955">
        <w:rPr>
          <w:noProof/>
        </w:rPr>
        <w:t>’</w:t>
      </w:r>
      <w:r w:rsidRPr="00F81955">
        <w:rPr>
          <w:noProof/>
        </w:rPr>
        <w:t>;</w:t>
      </w:r>
    </w:p>
    <w:p w:rsidR="00BC4D42" w:rsidRPr="00F81955" w:rsidRDefault="00C076D8" w:rsidP="00C076D8">
      <w:pPr>
        <w:pStyle w:val="Point1"/>
        <w:rPr>
          <w:noProof/>
        </w:rPr>
      </w:pPr>
      <w:r w:rsidRPr="00C076D8">
        <w:rPr>
          <w:noProof/>
        </w:rPr>
        <w:t>(c)</w:t>
      </w:r>
      <w:r w:rsidRPr="00C076D8">
        <w:rPr>
          <w:noProof/>
        </w:rPr>
        <w:tab/>
      </w:r>
      <w:r w:rsidR="00BC4D42" w:rsidRPr="00F81955">
        <w:rPr>
          <w:noProof/>
        </w:rPr>
        <w:t xml:space="preserve">the following paragraph 1a </w:t>
      </w:r>
      <w:r w:rsidR="00F05355" w:rsidRPr="00F81955">
        <w:rPr>
          <w:noProof/>
        </w:rPr>
        <w:t>and 1b are</w:t>
      </w:r>
      <w:r w:rsidR="00BC4D42" w:rsidRPr="00F81955">
        <w:rPr>
          <w:noProof/>
        </w:rPr>
        <w:t xml:space="preserve"> inserted:</w:t>
      </w:r>
    </w:p>
    <w:p w:rsidR="00BC4D42" w:rsidRPr="00F81955" w:rsidRDefault="00BC4D42" w:rsidP="00473EAA">
      <w:pPr>
        <w:pStyle w:val="Point2"/>
        <w:rPr>
          <w:noProof/>
        </w:rPr>
      </w:pPr>
      <w:r w:rsidRPr="00F81955">
        <w:rPr>
          <w:noProof/>
        </w:rPr>
        <w:t xml:space="preserve">‘1a. Subject to the conditions specified in this </w:t>
      </w:r>
      <w:r w:rsidR="00F05355" w:rsidRPr="00F81955">
        <w:rPr>
          <w:noProof/>
        </w:rPr>
        <w:t>Article</w:t>
      </w:r>
      <w:r w:rsidRPr="00F81955">
        <w:rPr>
          <w:noProof/>
        </w:rPr>
        <w:t>, the market surveillance authority shall grant the relevant public authority or body referred to in paragraph 1 access to such information or documentation, including by requesting such information or documentation from the provider or the deployer, where necessary</w:t>
      </w:r>
      <w:r>
        <w:rPr>
          <w:noProof/>
        </w:rPr>
        <w:t>.’</w:t>
      </w:r>
    </w:p>
    <w:p w:rsidR="00BC4D42" w:rsidRPr="00F81955" w:rsidRDefault="00BC4D42" w:rsidP="00473EAA">
      <w:pPr>
        <w:pStyle w:val="Point2"/>
        <w:rPr>
          <w:noProof/>
        </w:rPr>
      </w:pPr>
      <w:r w:rsidRPr="00F81955">
        <w:rPr>
          <w:noProof/>
        </w:rPr>
        <w:t>‘1b. Market surveillance authorities and public authorities or bodies referred to in paragraph 1 shall cooperate closely and provide each other with mutual assistance necessary for fulfilling their respective mandates, with a view to ensur</w:t>
      </w:r>
      <w:r w:rsidR="00F05355" w:rsidRPr="00F81955">
        <w:rPr>
          <w:noProof/>
        </w:rPr>
        <w:t>ing</w:t>
      </w:r>
      <w:r w:rsidRPr="00F81955">
        <w:rPr>
          <w:noProof/>
        </w:rPr>
        <w:t xml:space="preserve"> coherent application of this Regulation and Union law protecting fundamental rights and streamlin</w:t>
      </w:r>
      <w:r w:rsidR="00F05355" w:rsidRPr="00F81955">
        <w:rPr>
          <w:noProof/>
        </w:rPr>
        <w:t>ing</w:t>
      </w:r>
      <w:r w:rsidRPr="00F81955">
        <w:rPr>
          <w:noProof/>
        </w:rPr>
        <w:t xml:space="preserve"> procedures. This shall include, in particular, exchange of information where necessary for the effective supervision or enforcement of this Regulation and the respective other Union legislation.’;</w:t>
      </w:r>
    </w:p>
    <w:p w:rsidR="0001384E" w:rsidRPr="00F81955" w:rsidRDefault="00C076D8" w:rsidP="00C076D8">
      <w:pPr>
        <w:pStyle w:val="Point1"/>
        <w:rPr>
          <w:noProof/>
        </w:rPr>
      </w:pPr>
      <w:r w:rsidRPr="00C076D8">
        <w:rPr>
          <w:noProof/>
        </w:rPr>
        <w:t>(27)</w:t>
      </w:r>
      <w:r w:rsidRPr="00C076D8">
        <w:rPr>
          <w:noProof/>
        </w:rPr>
        <w:tab/>
      </w:r>
      <w:r w:rsidR="0001384E" w:rsidRPr="00F81955">
        <w:rPr>
          <w:noProof/>
        </w:rPr>
        <w:t>Article 95, paragraph 4 is replaced by the following:</w:t>
      </w:r>
    </w:p>
    <w:p w:rsidR="0001384E" w:rsidRPr="00F81955" w:rsidRDefault="0001384E" w:rsidP="0001384E">
      <w:pPr>
        <w:pStyle w:val="Point2"/>
        <w:rPr>
          <w:noProof/>
        </w:rPr>
      </w:pPr>
      <w:r w:rsidRPr="00F81955">
        <w:rPr>
          <w:noProof/>
        </w:rPr>
        <w:t xml:space="preserve">‘4. The AI Office and the Member States shall take into account the specific interests and needs of </w:t>
      </w:r>
      <w:r w:rsidR="008654C5" w:rsidRPr="00F81955">
        <w:rPr>
          <w:noProof/>
        </w:rPr>
        <w:t xml:space="preserve">SMCs and </w:t>
      </w:r>
      <w:r w:rsidRPr="00F81955">
        <w:rPr>
          <w:noProof/>
        </w:rPr>
        <w:t>SMEs, including start-ups, when encouraging and facilitating the drawing up of codes of conduct.’;</w:t>
      </w:r>
    </w:p>
    <w:p w:rsidR="0001384E" w:rsidRPr="00F81955" w:rsidRDefault="00C076D8" w:rsidP="00C076D8">
      <w:pPr>
        <w:pStyle w:val="Point1"/>
        <w:rPr>
          <w:noProof/>
        </w:rPr>
      </w:pPr>
      <w:r w:rsidRPr="00C076D8">
        <w:rPr>
          <w:noProof/>
        </w:rPr>
        <w:t>(28)</w:t>
      </w:r>
      <w:r w:rsidRPr="00C076D8">
        <w:rPr>
          <w:noProof/>
        </w:rPr>
        <w:tab/>
      </w:r>
      <w:r w:rsidR="0001384E" w:rsidRPr="00F81955">
        <w:rPr>
          <w:noProof/>
        </w:rPr>
        <w:t>in Article 96(1), the second subparagraph is replaced by the following:</w:t>
      </w:r>
    </w:p>
    <w:p w:rsidR="0001384E" w:rsidRPr="00F81955" w:rsidRDefault="0001384E" w:rsidP="0001384E">
      <w:pPr>
        <w:pStyle w:val="Point2"/>
        <w:rPr>
          <w:noProof/>
        </w:rPr>
      </w:pPr>
      <w:r w:rsidRPr="00F81955">
        <w:rPr>
          <w:noProof/>
        </w:rPr>
        <w:t xml:space="preserve">‘When issuing such guidelines, the Commission shall pay particular attention to the needs of </w:t>
      </w:r>
      <w:r w:rsidR="008654C5" w:rsidRPr="00F81955">
        <w:rPr>
          <w:noProof/>
        </w:rPr>
        <w:t xml:space="preserve">SMCs and </w:t>
      </w:r>
      <w:r w:rsidRPr="00F81955">
        <w:rPr>
          <w:noProof/>
        </w:rPr>
        <w:t>SMEs including start-ups, of local public authorities and of the sectors most likely to be affected by this Regulation.’;</w:t>
      </w:r>
    </w:p>
    <w:p w:rsidR="00BC4D42" w:rsidRPr="00F81955" w:rsidRDefault="00C076D8" w:rsidP="00C076D8">
      <w:pPr>
        <w:pStyle w:val="Point1"/>
        <w:rPr>
          <w:noProof/>
        </w:rPr>
      </w:pPr>
      <w:r w:rsidRPr="00C076D8">
        <w:rPr>
          <w:noProof/>
        </w:rPr>
        <w:t>(29)</w:t>
      </w:r>
      <w:r w:rsidRPr="00C076D8">
        <w:rPr>
          <w:noProof/>
        </w:rPr>
        <w:tab/>
      </w:r>
      <w:r w:rsidR="00BC4D42" w:rsidRPr="00F81955">
        <w:rPr>
          <w:noProof/>
        </w:rPr>
        <w:t>Article 99 is amended as follows:</w:t>
      </w:r>
    </w:p>
    <w:p w:rsidR="00BC4D42" w:rsidRPr="00F81955" w:rsidRDefault="00C076D8" w:rsidP="00C076D8">
      <w:pPr>
        <w:pStyle w:val="Point1"/>
        <w:rPr>
          <w:noProof/>
        </w:rPr>
      </w:pPr>
      <w:r w:rsidRPr="00C076D8">
        <w:rPr>
          <w:noProof/>
        </w:rPr>
        <w:t>(a)</w:t>
      </w:r>
      <w:r w:rsidRPr="00C076D8">
        <w:rPr>
          <w:noProof/>
        </w:rPr>
        <w:tab/>
      </w:r>
      <w:r w:rsidR="00BC4D42" w:rsidRPr="00F81955">
        <w:rPr>
          <w:noProof/>
        </w:rPr>
        <w:t>paragraph 1 is replaced by the following:</w:t>
      </w:r>
    </w:p>
    <w:p w:rsidR="00BC4D42" w:rsidRPr="00F81955" w:rsidRDefault="00BC4D42" w:rsidP="59CF96A7">
      <w:pPr>
        <w:pStyle w:val="Point2"/>
        <w:rPr>
          <w:noProof/>
        </w:rPr>
      </w:pPr>
      <w:r w:rsidRPr="00F81955">
        <w:rPr>
          <w:noProof/>
        </w:rPr>
        <w:t xml:space="preserve">‘1. In accordance with the terms and conditions laid down in this Regulation, Member States shall lay down the rules on penalties and other enforcement measures, which may also include warnings and non-monetary measures, applicable to infringements of this Regulation by operators, and shall take all measures necessary to ensure that they are properly and effectively implemented, thereby taking into account the guidelines issued by the Commission pursuant to Article 96. The penalties provided for shall be effective, proportionate and dissuasive. </w:t>
      </w:r>
      <w:r w:rsidR="00F05355" w:rsidRPr="00F81955">
        <w:rPr>
          <w:noProof/>
        </w:rPr>
        <w:t xml:space="preserve">The Member States </w:t>
      </w:r>
      <w:r w:rsidRPr="00F81955">
        <w:rPr>
          <w:noProof/>
        </w:rPr>
        <w:t>shall take into account the interests of SMCs and SMEs, including start-ups, and their economic viability</w:t>
      </w:r>
      <w:r w:rsidR="00F05355" w:rsidRPr="00F81955">
        <w:rPr>
          <w:noProof/>
        </w:rPr>
        <w:t xml:space="preserve"> when imposing penalties</w:t>
      </w:r>
      <w:r w:rsidRPr="00F81955">
        <w:rPr>
          <w:noProof/>
        </w:rPr>
        <w:t xml:space="preserve">.’; </w:t>
      </w:r>
    </w:p>
    <w:p w:rsidR="00BC4D42" w:rsidRPr="00F81955" w:rsidRDefault="00C076D8" w:rsidP="00C076D8">
      <w:pPr>
        <w:pStyle w:val="Point1"/>
        <w:rPr>
          <w:noProof/>
        </w:rPr>
      </w:pPr>
      <w:r w:rsidRPr="00C076D8">
        <w:rPr>
          <w:noProof/>
        </w:rPr>
        <w:t>(b)</w:t>
      </w:r>
      <w:r w:rsidRPr="00C076D8">
        <w:rPr>
          <w:noProof/>
        </w:rPr>
        <w:tab/>
      </w:r>
      <w:r w:rsidR="00BC4D42" w:rsidRPr="00F81955">
        <w:rPr>
          <w:noProof/>
        </w:rPr>
        <w:t>paragraph 6 is replaced by the following:</w:t>
      </w:r>
    </w:p>
    <w:p w:rsidR="00BC4D42" w:rsidRPr="00F81955" w:rsidRDefault="00BC4D42" w:rsidP="002D1402">
      <w:pPr>
        <w:pStyle w:val="Point2"/>
        <w:rPr>
          <w:noProof/>
        </w:rPr>
      </w:pPr>
      <w:r w:rsidRPr="00F81955">
        <w:rPr>
          <w:noProof/>
        </w:rPr>
        <w:t xml:space="preserve">‘6. In the case of SMCs and SMEs, including start-ups, each fine referred to in this Article shall be up to the percentages or amount referred to in paragraphs 3, 4 and 5, whichever thereof is lower.’; </w:t>
      </w:r>
    </w:p>
    <w:p w:rsidR="00BC4D42" w:rsidRPr="00F81955" w:rsidRDefault="00C076D8" w:rsidP="00C076D8">
      <w:pPr>
        <w:pStyle w:val="Point1"/>
        <w:rPr>
          <w:noProof/>
        </w:rPr>
      </w:pPr>
      <w:r w:rsidRPr="00C076D8">
        <w:rPr>
          <w:noProof/>
        </w:rPr>
        <w:t>(30)</w:t>
      </w:r>
      <w:r w:rsidRPr="00C076D8">
        <w:rPr>
          <w:noProof/>
        </w:rPr>
        <w:tab/>
      </w:r>
      <w:r w:rsidR="00BC4D42" w:rsidRPr="00F81955">
        <w:rPr>
          <w:noProof/>
        </w:rPr>
        <w:t>Article 111 is amended as follows:</w:t>
      </w:r>
    </w:p>
    <w:p w:rsidR="00BC4D42" w:rsidRPr="00F81955" w:rsidRDefault="00C076D8" w:rsidP="00C076D8">
      <w:pPr>
        <w:pStyle w:val="Point1"/>
        <w:rPr>
          <w:noProof/>
        </w:rPr>
      </w:pPr>
      <w:r w:rsidRPr="00C076D8">
        <w:rPr>
          <w:noProof/>
        </w:rPr>
        <w:t>(a)</w:t>
      </w:r>
      <w:r w:rsidRPr="00C076D8">
        <w:rPr>
          <w:noProof/>
        </w:rPr>
        <w:tab/>
      </w:r>
      <w:r w:rsidR="00BC4D42" w:rsidRPr="00F81955">
        <w:rPr>
          <w:noProof/>
        </w:rPr>
        <w:t>paragraph 2 is replaced by the following:</w:t>
      </w:r>
    </w:p>
    <w:p w:rsidR="00BC4D42" w:rsidRPr="00F81955" w:rsidRDefault="00BC4D42" w:rsidP="002D1402">
      <w:pPr>
        <w:pStyle w:val="Point2"/>
        <w:rPr>
          <w:noProof/>
        </w:rPr>
      </w:pPr>
      <w:r w:rsidRPr="00F81955">
        <w:rPr>
          <w:noProof/>
        </w:rPr>
        <w:t xml:space="preserve">‘2. Without prejudice to the application of Article 5 as referred to in Article 113(3), </w:t>
      </w:r>
      <w:r w:rsidR="00F05355" w:rsidRPr="00F81955">
        <w:rPr>
          <w:noProof/>
        </w:rPr>
        <w:t xml:space="preserve">third paragraph, </w:t>
      </w:r>
      <w:r w:rsidRPr="00F81955">
        <w:rPr>
          <w:noProof/>
        </w:rPr>
        <w:t xml:space="preserve">point (a), this Regulation shall apply to operators of high-risk AI systems, other than the systems referred to in paragraph 1 of this Article, that have been placed on the market or put into service before the date of application of Chapter III and corresponding obligations referred to in Article 113, only if, as from that date, those systems are subject to significant changes in their designs. In any case, the providers and deployers of high-risk AI systems intended to be used by public authorities shall take the necessary steps to comply with the requirements and obligations </w:t>
      </w:r>
      <w:r w:rsidR="00F05355" w:rsidRPr="00F81955">
        <w:rPr>
          <w:noProof/>
        </w:rPr>
        <w:t xml:space="preserve">laid down in </w:t>
      </w:r>
      <w:r w:rsidRPr="00F81955">
        <w:rPr>
          <w:noProof/>
        </w:rPr>
        <w:t>this Regulation by 2 August 2030.’;</w:t>
      </w:r>
    </w:p>
    <w:p w:rsidR="00BC4D42" w:rsidRPr="00F81955" w:rsidRDefault="00C076D8" w:rsidP="00C076D8">
      <w:pPr>
        <w:pStyle w:val="Point1"/>
        <w:rPr>
          <w:noProof/>
        </w:rPr>
      </w:pPr>
      <w:r w:rsidRPr="00C076D8">
        <w:rPr>
          <w:noProof/>
        </w:rPr>
        <w:t>(b)</w:t>
      </w:r>
      <w:r w:rsidRPr="00C076D8">
        <w:rPr>
          <w:noProof/>
        </w:rPr>
        <w:tab/>
      </w:r>
      <w:r w:rsidR="00BC4D42" w:rsidRPr="00F81955">
        <w:rPr>
          <w:noProof/>
        </w:rPr>
        <w:t>the following paragraph 4 is added:</w:t>
      </w:r>
    </w:p>
    <w:p w:rsidR="00BC4D42" w:rsidRPr="00F81955" w:rsidRDefault="00BC4D42" w:rsidP="002D1402">
      <w:pPr>
        <w:pStyle w:val="Point2"/>
        <w:rPr>
          <w:noProof/>
        </w:rPr>
      </w:pPr>
      <w:r w:rsidRPr="00F81955">
        <w:rPr>
          <w:noProof/>
        </w:rPr>
        <w:t>‘4. Providers of AI systems, including general-purpose AI systems, generating synthetic audio, image, video or text content, that have been placed on the market before 2 August 2026 shall take the necessary steps in order to comply with Article 50(2) by 2 </w:t>
      </w:r>
      <w:r w:rsidR="00F5098F" w:rsidRPr="00F81955">
        <w:rPr>
          <w:noProof/>
        </w:rPr>
        <w:t>February</w:t>
      </w:r>
      <w:r w:rsidRPr="00F81955">
        <w:rPr>
          <w:noProof/>
        </w:rPr>
        <w:t xml:space="preserve"> 2027.’; </w:t>
      </w:r>
    </w:p>
    <w:p w:rsidR="00BC4D42" w:rsidRPr="00F81955" w:rsidRDefault="00C076D8" w:rsidP="00C076D8">
      <w:pPr>
        <w:pStyle w:val="Point1"/>
        <w:rPr>
          <w:noProof/>
        </w:rPr>
      </w:pPr>
      <w:r w:rsidRPr="00C076D8">
        <w:rPr>
          <w:noProof/>
        </w:rPr>
        <w:t>(31)</w:t>
      </w:r>
      <w:r w:rsidRPr="00C076D8">
        <w:rPr>
          <w:noProof/>
        </w:rPr>
        <w:tab/>
      </w:r>
      <w:r w:rsidR="00BC4D42" w:rsidRPr="00F81955">
        <w:rPr>
          <w:noProof/>
        </w:rPr>
        <w:t>Article 113 is amended as follows:</w:t>
      </w:r>
    </w:p>
    <w:p w:rsidR="00AF64B6" w:rsidRDefault="00C076D8" w:rsidP="00C076D8">
      <w:pPr>
        <w:pStyle w:val="Point1"/>
        <w:rPr>
          <w:noProof/>
        </w:rPr>
      </w:pPr>
      <w:r w:rsidRPr="00C076D8">
        <w:rPr>
          <w:noProof/>
        </w:rPr>
        <w:t>(a)</w:t>
      </w:r>
      <w:r w:rsidRPr="00C076D8">
        <w:rPr>
          <w:noProof/>
        </w:rPr>
        <w:tab/>
      </w:r>
      <w:r w:rsidR="009A76B0" w:rsidRPr="00F81955">
        <w:rPr>
          <w:noProof/>
        </w:rPr>
        <w:t>in the third paragraph, point (d) is added:</w:t>
      </w:r>
    </w:p>
    <w:p w:rsidR="00663758" w:rsidRPr="00F81955" w:rsidRDefault="00663758" w:rsidP="00663758">
      <w:pPr>
        <w:pStyle w:val="Point2"/>
        <w:rPr>
          <w:noProof/>
        </w:rPr>
      </w:pPr>
      <w:r w:rsidRPr="00F81955">
        <w:rPr>
          <w:noProof/>
        </w:rPr>
        <w:t>‘</w:t>
      </w:r>
      <w:r w:rsidR="0066606C" w:rsidRPr="00F81955">
        <w:rPr>
          <w:noProof/>
        </w:rPr>
        <w:t xml:space="preserve">(d) </w:t>
      </w:r>
      <w:r w:rsidRPr="00F81955">
        <w:rPr>
          <w:noProof/>
        </w:rPr>
        <w:t>Chapter III, Sections 1, 2, and 3, shall apply following the adoption of a decision of the Commission confirming that adequate measures in support of compliance with Chapter III are available, from the following dates:</w:t>
      </w:r>
    </w:p>
    <w:p w:rsidR="00663758" w:rsidRPr="00F81955" w:rsidRDefault="0066606C" w:rsidP="0066606C">
      <w:pPr>
        <w:pStyle w:val="Point2"/>
        <w:rPr>
          <w:noProof/>
        </w:rPr>
      </w:pPr>
      <w:r w:rsidRPr="00F81955">
        <w:rPr>
          <w:noProof/>
        </w:rPr>
        <w:t xml:space="preserve">(i) </w:t>
      </w:r>
      <w:r w:rsidR="00663758" w:rsidRPr="00F81955">
        <w:rPr>
          <w:noProof/>
        </w:rPr>
        <w:t>6 months after the adoption of th</w:t>
      </w:r>
      <w:r w:rsidR="00AD50F6" w:rsidRPr="00F81955">
        <w:rPr>
          <w:noProof/>
        </w:rPr>
        <w:t>at</w:t>
      </w:r>
      <w:r w:rsidR="00663758" w:rsidRPr="00F81955">
        <w:rPr>
          <w:noProof/>
        </w:rPr>
        <w:t xml:space="preserve"> decision as regards AI systems classified as high-risk pursuant to Article 6(2) and Annex III, and </w:t>
      </w:r>
    </w:p>
    <w:p w:rsidR="00663758" w:rsidRPr="00F81955" w:rsidRDefault="0066606C" w:rsidP="00663758">
      <w:pPr>
        <w:pStyle w:val="Point2"/>
        <w:rPr>
          <w:noProof/>
        </w:rPr>
      </w:pPr>
      <w:r w:rsidRPr="00F81955">
        <w:rPr>
          <w:noProof/>
        </w:rPr>
        <w:t xml:space="preserve">(ii) </w:t>
      </w:r>
      <w:r w:rsidR="00663758" w:rsidRPr="00F81955">
        <w:rPr>
          <w:noProof/>
        </w:rPr>
        <w:t xml:space="preserve">12 months after the adoption of the decision as regards AI systems classified as high-risk pursuant to Article 6(1) and Annex I. </w:t>
      </w:r>
    </w:p>
    <w:p w:rsidR="00663758" w:rsidRPr="00F81955" w:rsidRDefault="00663758" w:rsidP="00663758">
      <w:pPr>
        <w:pStyle w:val="Point2"/>
        <w:rPr>
          <w:noProof/>
        </w:rPr>
      </w:pPr>
      <w:r w:rsidRPr="00F81955">
        <w:rPr>
          <w:noProof/>
        </w:rPr>
        <w:t xml:space="preserve">In the absence of the adoption of the decision </w:t>
      </w:r>
      <w:r w:rsidR="00DD1FD3" w:rsidRPr="00F81955">
        <w:rPr>
          <w:noProof/>
        </w:rPr>
        <w:t xml:space="preserve">within the meaning of </w:t>
      </w:r>
      <w:r w:rsidRPr="00F81955">
        <w:rPr>
          <w:noProof/>
        </w:rPr>
        <w:t xml:space="preserve">subparagraph 1, or where the dates below are earlier than those that follow the adoption of </w:t>
      </w:r>
      <w:r w:rsidR="00AD50F6" w:rsidRPr="00F81955">
        <w:rPr>
          <w:noProof/>
        </w:rPr>
        <w:t>that</w:t>
      </w:r>
      <w:r w:rsidRPr="00F81955">
        <w:rPr>
          <w:noProof/>
        </w:rPr>
        <w:t xml:space="preserve"> decision, Chapter III, Sections 1, 2, and 3, shall apply:</w:t>
      </w:r>
    </w:p>
    <w:p w:rsidR="00663758" w:rsidRPr="00F81955" w:rsidRDefault="0066606C" w:rsidP="0066606C">
      <w:pPr>
        <w:pStyle w:val="Point2"/>
        <w:rPr>
          <w:noProof/>
        </w:rPr>
      </w:pPr>
      <w:r w:rsidRPr="00F81955">
        <w:rPr>
          <w:noProof/>
        </w:rPr>
        <w:t xml:space="preserve">(i) </w:t>
      </w:r>
      <w:r w:rsidR="00663758" w:rsidRPr="00F81955">
        <w:rPr>
          <w:noProof/>
        </w:rPr>
        <w:t>on 2 December 2027 as regards AI systems classified as high-risk pursuant to Article 6(2) and Annex III, and</w:t>
      </w:r>
    </w:p>
    <w:p w:rsidR="00CB1196" w:rsidRPr="00F81955" w:rsidRDefault="0066606C" w:rsidP="00663758">
      <w:pPr>
        <w:pStyle w:val="Point2"/>
        <w:rPr>
          <w:noProof/>
        </w:rPr>
      </w:pPr>
      <w:r w:rsidRPr="00F81955">
        <w:rPr>
          <w:noProof/>
        </w:rPr>
        <w:t xml:space="preserve">(ii) </w:t>
      </w:r>
      <w:r w:rsidR="00663758" w:rsidRPr="00F81955">
        <w:rPr>
          <w:noProof/>
        </w:rPr>
        <w:t>on 2 August 2028 as regards AI systems classified as high-risk pursuant to Article 6(1) and Annex I.’;</w:t>
      </w:r>
    </w:p>
    <w:p w:rsidR="00CB1196" w:rsidRPr="00F81955" w:rsidRDefault="00C076D8" w:rsidP="00C076D8">
      <w:pPr>
        <w:pStyle w:val="Point1"/>
        <w:rPr>
          <w:noProof/>
        </w:rPr>
      </w:pPr>
      <w:r w:rsidRPr="00C076D8">
        <w:rPr>
          <w:noProof/>
        </w:rPr>
        <w:t>(b)</w:t>
      </w:r>
      <w:r w:rsidRPr="00C076D8">
        <w:rPr>
          <w:noProof/>
        </w:rPr>
        <w:tab/>
      </w:r>
      <w:r w:rsidR="0066606C" w:rsidRPr="00F81955">
        <w:rPr>
          <w:noProof/>
        </w:rPr>
        <w:t xml:space="preserve">in the third paragraph, </w:t>
      </w:r>
      <w:r w:rsidR="00FA543F" w:rsidRPr="00F81955">
        <w:rPr>
          <w:noProof/>
        </w:rPr>
        <w:t>point (e) is added</w:t>
      </w:r>
      <w:r w:rsidR="00CB1196" w:rsidRPr="00F81955">
        <w:rPr>
          <w:noProof/>
        </w:rPr>
        <w:t>:</w:t>
      </w:r>
    </w:p>
    <w:p w:rsidR="00BC4D42" w:rsidRPr="00F81955" w:rsidRDefault="00CB1196" w:rsidP="002D1402">
      <w:pPr>
        <w:pStyle w:val="Point2"/>
        <w:rPr>
          <w:noProof/>
        </w:rPr>
      </w:pPr>
      <w:r w:rsidRPr="00F81955">
        <w:rPr>
          <w:noProof/>
        </w:rPr>
        <w:t xml:space="preserve">‘ 3. </w:t>
      </w:r>
      <w:r w:rsidR="00791D3F" w:rsidRPr="00F81955">
        <w:rPr>
          <w:noProof/>
        </w:rPr>
        <w:t xml:space="preserve">Articles 102 to 110 shall apply </w:t>
      </w:r>
      <w:r w:rsidR="005274D8" w:rsidRPr="00F81955">
        <w:rPr>
          <w:noProof/>
        </w:rPr>
        <w:t>from [the date of entry into application of this Regulation]</w:t>
      </w:r>
      <w:r w:rsidR="00B5289C" w:rsidRPr="00F81955">
        <w:rPr>
          <w:noProof/>
        </w:rPr>
        <w:t>.</w:t>
      </w:r>
      <w:r w:rsidR="00601C74" w:rsidRPr="00F81955">
        <w:rPr>
          <w:noProof/>
        </w:rPr>
        <w:t>’</w:t>
      </w:r>
      <w:r w:rsidR="00BC4D42" w:rsidRPr="00F81955">
        <w:rPr>
          <w:noProof/>
        </w:rPr>
        <w:t>;</w:t>
      </w:r>
    </w:p>
    <w:p w:rsidR="00023077" w:rsidRPr="00F81955" w:rsidRDefault="00C076D8" w:rsidP="00C076D8">
      <w:pPr>
        <w:pStyle w:val="Point1"/>
        <w:rPr>
          <w:noProof/>
        </w:rPr>
      </w:pPr>
      <w:r w:rsidRPr="00C076D8">
        <w:rPr>
          <w:noProof/>
        </w:rPr>
        <w:t>(32)</w:t>
      </w:r>
      <w:r w:rsidRPr="00C076D8">
        <w:rPr>
          <w:noProof/>
        </w:rPr>
        <w:tab/>
      </w:r>
      <w:r w:rsidR="5ED247F2" w:rsidRPr="00F81955">
        <w:rPr>
          <w:noProof/>
        </w:rPr>
        <w:t>in Annex VIII, section B is deleted</w:t>
      </w:r>
      <w:r w:rsidR="00023077" w:rsidRPr="00F81955">
        <w:rPr>
          <w:noProof/>
        </w:rPr>
        <w:t>;</w:t>
      </w:r>
    </w:p>
    <w:p w:rsidR="00003ADB" w:rsidRPr="00F81955" w:rsidRDefault="00C076D8" w:rsidP="00C076D8">
      <w:pPr>
        <w:pStyle w:val="Point1"/>
        <w:rPr>
          <w:noProof/>
        </w:rPr>
      </w:pPr>
      <w:r w:rsidRPr="00C076D8">
        <w:rPr>
          <w:noProof/>
        </w:rPr>
        <w:t>(33)</w:t>
      </w:r>
      <w:r w:rsidRPr="00C076D8">
        <w:rPr>
          <w:noProof/>
        </w:rPr>
        <w:tab/>
      </w:r>
      <w:r w:rsidR="00003ADB" w:rsidRPr="00F81955">
        <w:rPr>
          <w:noProof/>
        </w:rPr>
        <w:t>the following Annex XIV is added:</w:t>
      </w:r>
    </w:p>
    <w:p w:rsidR="00BD50B6" w:rsidRPr="00F81955" w:rsidRDefault="00BD50B6" w:rsidP="00BD50B6">
      <w:pPr>
        <w:spacing w:after="0"/>
        <w:jc w:val="center"/>
        <w:rPr>
          <w:b/>
          <w:bCs/>
          <w:noProof/>
        </w:rPr>
      </w:pPr>
      <w:r w:rsidRPr="00F81955">
        <w:rPr>
          <w:b/>
          <w:bCs/>
          <w:noProof/>
        </w:rPr>
        <w:t>‘Annex XIV</w:t>
      </w:r>
    </w:p>
    <w:p w:rsidR="00BD50B6" w:rsidRPr="00F81955" w:rsidRDefault="00BD50B6" w:rsidP="00BD50B6">
      <w:pPr>
        <w:spacing w:after="0"/>
        <w:jc w:val="center"/>
        <w:rPr>
          <w:b/>
          <w:bCs/>
          <w:noProof/>
        </w:rPr>
      </w:pPr>
    </w:p>
    <w:p w:rsidR="00BD50B6" w:rsidRPr="00F81955" w:rsidRDefault="00BD50B6" w:rsidP="00BD50B6">
      <w:pPr>
        <w:spacing w:after="0"/>
        <w:jc w:val="center"/>
        <w:rPr>
          <w:b/>
          <w:bCs/>
          <w:noProof/>
        </w:rPr>
      </w:pPr>
      <w:r w:rsidRPr="00F81955">
        <w:rPr>
          <w:b/>
          <w:bCs/>
          <w:noProof/>
        </w:rPr>
        <w:t>The list of codes, categories and corresponding types of AI systems for the purpose of the notification procedure referred to in Article 30 specifying the scope of the designation as notified bodies</w:t>
      </w:r>
    </w:p>
    <w:p w:rsidR="00BD50B6" w:rsidRPr="00F81955" w:rsidRDefault="00BD50B6" w:rsidP="00BD50B6">
      <w:pPr>
        <w:rPr>
          <w:b/>
          <w:bCs/>
          <w:noProof/>
        </w:rPr>
      </w:pPr>
    </w:p>
    <w:p w:rsidR="00BD50B6" w:rsidRPr="00F81955" w:rsidRDefault="00C076D8" w:rsidP="00C076D8">
      <w:pPr>
        <w:pStyle w:val="ManualNumPar1"/>
        <w:rPr>
          <w:noProof/>
        </w:rPr>
      </w:pPr>
      <w:r w:rsidRPr="00C076D8">
        <w:rPr>
          <w:noProof/>
        </w:rPr>
        <w:t>1.</w:t>
      </w:r>
      <w:r w:rsidRPr="00C076D8">
        <w:rPr>
          <w:noProof/>
        </w:rPr>
        <w:tab/>
      </w:r>
      <w:r w:rsidR="00BD50B6" w:rsidRPr="00F81955">
        <w:rPr>
          <w:noProof/>
        </w:rPr>
        <w:t xml:space="preserve">Introduction </w:t>
      </w:r>
    </w:p>
    <w:p w:rsidR="00BD50B6" w:rsidRPr="00F81955" w:rsidRDefault="00BD50B6" w:rsidP="00BD50B6">
      <w:pPr>
        <w:ind w:left="360"/>
        <w:rPr>
          <w:noProof/>
        </w:rPr>
      </w:pPr>
      <w:r w:rsidRPr="00F81955">
        <w:rPr>
          <w:noProof/>
        </w:rPr>
        <w:t>Conformity assessment of high-risk AI systems under this Regulation may require involvement of conformity assessment bodies. Only conformity assessment bodies that have been designated in accordance with this Regulation may carry out conformity assessments and only for the activities related to the types of AI systems concerned. The list of codes, categories, and corresponding types of AI systems sets the scope of the designation of conformity assessment bodies notified under Article 30 of this Regulation</w:t>
      </w:r>
      <w:r w:rsidR="00DD17CD" w:rsidRPr="00F81955">
        <w:rPr>
          <w:noProof/>
        </w:rPr>
        <w:t>.</w:t>
      </w:r>
    </w:p>
    <w:p w:rsidR="00BD50B6" w:rsidRPr="00F81955" w:rsidRDefault="00BD50B6" w:rsidP="00BD50B6">
      <w:pPr>
        <w:pStyle w:val="ListParagraph"/>
        <w:rPr>
          <w:b/>
          <w:bCs/>
          <w:noProof/>
        </w:rPr>
      </w:pPr>
    </w:p>
    <w:p w:rsidR="00BD50B6" w:rsidRPr="00F81955" w:rsidRDefault="00C076D8" w:rsidP="00C076D8">
      <w:pPr>
        <w:pStyle w:val="ManualNumPar1"/>
        <w:rPr>
          <w:noProof/>
        </w:rPr>
      </w:pPr>
      <w:r w:rsidRPr="00C076D8">
        <w:rPr>
          <w:noProof/>
        </w:rPr>
        <w:t>2.</w:t>
      </w:r>
      <w:r w:rsidRPr="00C076D8">
        <w:rPr>
          <w:noProof/>
        </w:rPr>
        <w:tab/>
      </w:r>
      <w:r w:rsidR="00BD50B6" w:rsidRPr="00F81955">
        <w:rPr>
          <w:noProof/>
        </w:rPr>
        <w:t>List of Codes, categories, and corresponding AI systems</w:t>
      </w:r>
    </w:p>
    <w:p w:rsidR="00BD50B6" w:rsidRPr="00F81955" w:rsidRDefault="00BD50B6" w:rsidP="00BD50B6">
      <w:pPr>
        <w:pStyle w:val="ListParagraph"/>
        <w:ind w:left="1080"/>
        <w:rPr>
          <w:b/>
          <w:bCs/>
          <w:noProof/>
        </w:rPr>
      </w:pPr>
    </w:p>
    <w:p w:rsidR="00BD50B6" w:rsidRPr="00F81955" w:rsidRDefault="00226B4E" w:rsidP="00226B4E">
      <w:pPr>
        <w:pStyle w:val="Point1"/>
        <w:rPr>
          <w:b/>
          <w:bCs/>
          <w:i/>
          <w:iCs/>
          <w:noProof/>
          <w:u w:val="single"/>
        </w:rPr>
      </w:pPr>
      <w:r w:rsidRPr="00F81955">
        <w:rPr>
          <w:b/>
          <w:bCs/>
          <w:i/>
          <w:iCs/>
          <w:noProof/>
        </w:rPr>
        <w:t>1.</w:t>
      </w:r>
      <w:r w:rsidRPr="00F81955">
        <w:rPr>
          <w:b/>
          <w:bCs/>
          <w:i/>
          <w:iCs/>
          <w:noProof/>
        </w:rPr>
        <w:tab/>
      </w:r>
      <w:r w:rsidR="00BD50B6" w:rsidRPr="00F81955">
        <w:rPr>
          <w:b/>
          <w:bCs/>
          <w:i/>
          <w:iCs/>
          <w:noProof/>
          <w:u w:val="single"/>
        </w:rPr>
        <w:t>AI systems subject to Annex I of the AI Act</w:t>
      </w:r>
    </w:p>
    <w:p w:rsidR="00BD50B6" w:rsidRPr="00F81955" w:rsidRDefault="00BD50B6" w:rsidP="00BD50B6">
      <w:pPr>
        <w:pStyle w:val="ListParagraph"/>
        <w:ind w:left="1080"/>
        <w:rPr>
          <w:b/>
          <w:bCs/>
          <w:i/>
          <w:iCs/>
          <w:noProof/>
        </w:rPr>
      </w:pPr>
    </w:p>
    <w:tbl>
      <w:tblPr>
        <w:tblStyle w:val="TableGrid"/>
        <w:tblW w:w="8296"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6894"/>
      </w:tblGrid>
      <w:tr w:rsidR="00BD50B6" w:rsidRPr="00F81955" w:rsidTr="00175212">
        <w:tc>
          <w:tcPr>
            <w:tcW w:w="1402" w:type="dxa"/>
          </w:tcPr>
          <w:p w:rsidR="00BD50B6" w:rsidRPr="00F81955" w:rsidRDefault="00BD50B6">
            <w:pPr>
              <w:pStyle w:val="ListParagraph"/>
              <w:ind w:left="0"/>
              <w:rPr>
                <w:b/>
                <w:bCs/>
                <w:noProof/>
              </w:rPr>
            </w:pPr>
            <w:r w:rsidRPr="00F81955">
              <w:rPr>
                <w:b/>
                <w:bCs/>
                <w:noProof/>
              </w:rPr>
              <w:t>AIA Code</w:t>
            </w:r>
          </w:p>
        </w:tc>
        <w:tc>
          <w:tcPr>
            <w:tcW w:w="6894" w:type="dxa"/>
          </w:tcPr>
          <w:p w:rsidR="00BD50B6" w:rsidRPr="00F81955" w:rsidRDefault="00BD50B6">
            <w:pPr>
              <w:pStyle w:val="ListParagraph"/>
              <w:ind w:left="0"/>
              <w:rPr>
                <w:b/>
                <w:bCs/>
                <w:noProof/>
              </w:rPr>
            </w:pPr>
          </w:p>
        </w:tc>
      </w:tr>
      <w:tr w:rsidR="00BD50B6" w:rsidRPr="00F81955" w:rsidTr="00175212">
        <w:tc>
          <w:tcPr>
            <w:tcW w:w="1402" w:type="dxa"/>
          </w:tcPr>
          <w:p w:rsidR="00BD50B6" w:rsidRPr="00F81955" w:rsidRDefault="00BD50B6">
            <w:pPr>
              <w:pStyle w:val="ListParagraph"/>
              <w:ind w:left="0"/>
              <w:rPr>
                <w:b/>
                <w:bCs/>
                <w:noProof/>
              </w:rPr>
            </w:pPr>
            <w:r w:rsidRPr="00F81955">
              <w:rPr>
                <w:b/>
                <w:bCs/>
                <w:noProof/>
              </w:rPr>
              <w:t>AIP 0101</w:t>
            </w:r>
          </w:p>
        </w:tc>
        <w:tc>
          <w:tcPr>
            <w:tcW w:w="6894" w:type="dxa"/>
          </w:tcPr>
          <w:p w:rsidR="00BD50B6" w:rsidRPr="00F81955" w:rsidRDefault="00BD50B6">
            <w:pPr>
              <w:pStyle w:val="ListParagraph"/>
              <w:ind w:left="0"/>
              <w:rPr>
                <w:noProof/>
              </w:rPr>
            </w:pPr>
            <w:r w:rsidRPr="00F81955">
              <w:rPr>
                <w:noProof/>
              </w:rPr>
              <w:t>AI systems subject to Annex I.A.1. of the AI Act.</w:t>
            </w:r>
          </w:p>
        </w:tc>
      </w:tr>
      <w:tr w:rsidR="00BD50B6" w:rsidRPr="00F81955" w:rsidTr="00175212">
        <w:tc>
          <w:tcPr>
            <w:tcW w:w="1402" w:type="dxa"/>
          </w:tcPr>
          <w:p w:rsidR="00BD50B6" w:rsidRPr="00F81955" w:rsidRDefault="00BD50B6">
            <w:pPr>
              <w:pStyle w:val="ListParagraph"/>
              <w:ind w:left="0"/>
              <w:rPr>
                <w:b/>
                <w:bCs/>
                <w:noProof/>
              </w:rPr>
            </w:pPr>
            <w:r w:rsidRPr="00F81955">
              <w:rPr>
                <w:b/>
                <w:bCs/>
                <w:noProof/>
              </w:rPr>
              <w:t>AIP 0102</w:t>
            </w:r>
          </w:p>
        </w:tc>
        <w:tc>
          <w:tcPr>
            <w:tcW w:w="6894" w:type="dxa"/>
          </w:tcPr>
          <w:p w:rsidR="00BD50B6" w:rsidRPr="00F81955" w:rsidRDefault="00BD50B6">
            <w:pPr>
              <w:pStyle w:val="ListParagraph"/>
              <w:ind w:left="0"/>
              <w:rPr>
                <w:b/>
                <w:bCs/>
                <w:noProof/>
              </w:rPr>
            </w:pPr>
            <w:r w:rsidRPr="00F81955">
              <w:rPr>
                <w:noProof/>
              </w:rPr>
              <w:t>AI systems subject to Annex I.A.2. of the AI Act.</w:t>
            </w:r>
          </w:p>
        </w:tc>
      </w:tr>
      <w:tr w:rsidR="00BD50B6" w:rsidRPr="00F81955" w:rsidTr="00175212">
        <w:tc>
          <w:tcPr>
            <w:tcW w:w="1402" w:type="dxa"/>
          </w:tcPr>
          <w:p w:rsidR="00BD50B6" w:rsidRPr="00F81955" w:rsidRDefault="00BD50B6">
            <w:pPr>
              <w:pStyle w:val="ListParagraph"/>
              <w:ind w:left="0"/>
              <w:rPr>
                <w:b/>
                <w:bCs/>
                <w:noProof/>
              </w:rPr>
            </w:pPr>
            <w:r w:rsidRPr="00F81955">
              <w:rPr>
                <w:b/>
                <w:bCs/>
                <w:noProof/>
              </w:rPr>
              <w:t>AIP 0103</w:t>
            </w:r>
          </w:p>
        </w:tc>
        <w:tc>
          <w:tcPr>
            <w:tcW w:w="6894" w:type="dxa"/>
          </w:tcPr>
          <w:p w:rsidR="00BD50B6" w:rsidRPr="00F81955" w:rsidRDefault="00BD50B6">
            <w:pPr>
              <w:pStyle w:val="ListParagraph"/>
              <w:ind w:left="0"/>
              <w:rPr>
                <w:b/>
                <w:bCs/>
                <w:noProof/>
              </w:rPr>
            </w:pPr>
            <w:r w:rsidRPr="00F81955">
              <w:rPr>
                <w:noProof/>
              </w:rPr>
              <w:t>AI systems subject to Annex I.A.3. of the AI Act.</w:t>
            </w:r>
          </w:p>
        </w:tc>
      </w:tr>
      <w:tr w:rsidR="00BD50B6" w:rsidRPr="00F81955" w:rsidTr="00175212">
        <w:tc>
          <w:tcPr>
            <w:tcW w:w="1402" w:type="dxa"/>
          </w:tcPr>
          <w:p w:rsidR="00BD50B6" w:rsidRPr="00F81955" w:rsidRDefault="00BD50B6">
            <w:pPr>
              <w:pStyle w:val="ListParagraph"/>
              <w:ind w:left="0"/>
              <w:rPr>
                <w:b/>
                <w:bCs/>
                <w:noProof/>
              </w:rPr>
            </w:pPr>
            <w:r w:rsidRPr="00F81955">
              <w:rPr>
                <w:b/>
                <w:bCs/>
                <w:noProof/>
              </w:rPr>
              <w:t>AIP 0104</w:t>
            </w:r>
          </w:p>
        </w:tc>
        <w:tc>
          <w:tcPr>
            <w:tcW w:w="6894" w:type="dxa"/>
          </w:tcPr>
          <w:p w:rsidR="00BD50B6" w:rsidRPr="00F81955" w:rsidRDefault="00BD50B6">
            <w:pPr>
              <w:pStyle w:val="ListParagraph"/>
              <w:ind w:left="0"/>
              <w:rPr>
                <w:b/>
                <w:bCs/>
                <w:noProof/>
              </w:rPr>
            </w:pPr>
            <w:r w:rsidRPr="00F81955">
              <w:rPr>
                <w:noProof/>
              </w:rPr>
              <w:t>AI systems subject to Annex I.A.4. of the AI Act.</w:t>
            </w:r>
          </w:p>
        </w:tc>
      </w:tr>
      <w:tr w:rsidR="00BD50B6" w:rsidRPr="00F81955" w:rsidTr="00175212">
        <w:tc>
          <w:tcPr>
            <w:tcW w:w="1402" w:type="dxa"/>
          </w:tcPr>
          <w:p w:rsidR="00BD50B6" w:rsidRPr="00F81955" w:rsidRDefault="00BD50B6">
            <w:pPr>
              <w:pStyle w:val="ListParagraph"/>
              <w:ind w:left="0"/>
              <w:rPr>
                <w:b/>
                <w:bCs/>
                <w:noProof/>
              </w:rPr>
            </w:pPr>
            <w:r w:rsidRPr="00F81955">
              <w:rPr>
                <w:b/>
                <w:bCs/>
                <w:noProof/>
              </w:rPr>
              <w:t>AIP 0105</w:t>
            </w:r>
          </w:p>
        </w:tc>
        <w:tc>
          <w:tcPr>
            <w:tcW w:w="6894" w:type="dxa"/>
          </w:tcPr>
          <w:p w:rsidR="00BD50B6" w:rsidRPr="00F81955" w:rsidRDefault="00BD50B6">
            <w:pPr>
              <w:pStyle w:val="ListParagraph"/>
              <w:ind w:left="0"/>
              <w:rPr>
                <w:b/>
                <w:bCs/>
                <w:noProof/>
              </w:rPr>
            </w:pPr>
            <w:r w:rsidRPr="00F81955">
              <w:rPr>
                <w:noProof/>
              </w:rPr>
              <w:t>AI systems subject to Annex I.A.5. of the AI Act.</w:t>
            </w:r>
          </w:p>
        </w:tc>
      </w:tr>
      <w:tr w:rsidR="00BD50B6" w:rsidRPr="00F81955" w:rsidTr="00175212">
        <w:tc>
          <w:tcPr>
            <w:tcW w:w="1402" w:type="dxa"/>
          </w:tcPr>
          <w:p w:rsidR="00BD50B6" w:rsidRPr="00F81955" w:rsidRDefault="00BD50B6">
            <w:pPr>
              <w:pStyle w:val="ListParagraph"/>
              <w:ind w:left="0"/>
              <w:rPr>
                <w:b/>
                <w:bCs/>
                <w:noProof/>
              </w:rPr>
            </w:pPr>
            <w:bookmarkStart w:id="0" w:name="_Hlk211344084"/>
            <w:r w:rsidRPr="00F81955">
              <w:rPr>
                <w:b/>
                <w:bCs/>
                <w:noProof/>
              </w:rPr>
              <w:t>AIP 0106</w:t>
            </w:r>
            <w:bookmarkEnd w:id="0"/>
          </w:p>
        </w:tc>
        <w:tc>
          <w:tcPr>
            <w:tcW w:w="6894" w:type="dxa"/>
          </w:tcPr>
          <w:p w:rsidR="00BD50B6" w:rsidRPr="00F81955" w:rsidRDefault="00BD50B6">
            <w:pPr>
              <w:pStyle w:val="ListParagraph"/>
              <w:ind w:left="0"/>
              <w:rPr>
                <w:b/>
                <w:bCs/>
                <w:noProof/>
              </w:rPr>
            </w:pPr>
            <w:r w:rsidRPr="00F81955">
              <w:rPr>
                <w:noProof/>
              </w:rPr>
              <w:t>AI systems subject to Annex I.A.6. of the AI Act.</w:t>
            </w:r>
          </w:p>
        </w:tc>
      </w:tr>
      <w:tr w:rsidR="00BD50B6" w:rsidRPr="00F81955" w:rsidTr="00175212">
        <w:tc>
          <w:tcPr>
            <w:tcW w:w="1402" w:type="dxa"/>
          </w:tcPr>
          <w:p w:rsidR="00BD50B6" w:rsidRPr="00F81955" w:rsidRDefault="00BD50B6">
            <w:pPr>
              <w:pStyle w:val="ListParagraph"/>
              <w:ind w:left="0"/>
              <w:rPr>
                <w:b/>
                <w:bCs/>
                <w:noProof/>
              </w:rPr>
            </w:pPr>
            <w:r w:rsidRPr="00F81955">
              <w:rPr>
                <w:b/>
                <w:bCs/>
                <w:noProof/>
              </w:rPr>
              <w:t>AIP 0107</w:t>
            </w:r>
          </w:p>
        </w:tc>
        <w:tc>
          <w:tcPr>
            <w:tcW w:w="6894" w:type="dxa"/>
          </w:tcPr>
          <w:p w:rsidR="00BD50B6" w:rsidRPr="00F81955" w:rsidRDefault="00BD50B6">
            <w:pPr>
              <w:pStyle w:val="ListParagraph"/>
              <w:ind w:left="0"/>
              <w:rPr>
                <w:b/>
                <w:bCs/>
                <w:noProof/>
              </w:rPr>
            </w:pPr>
            <w:r w:rsidRPr="00F81955">
              <w:rPr>
                <w:noProof/>
              </w:rPr>
              <w:t>AI systems subject to Annex I.A.7. of the AI Act.</w:t>
            </w:r>
          </w:p>
        </w:tc>
      </w:tr>
      <w:tr w:rsidR="00BD50B6" w:rsidRPr="00F81955" w:rsidTr="00175212">
        <w:tc>
          <w:tcPr>
            <w:tcW w:w="1402" w:type="dxa"/>
          </w:tcPr>
          <w:p w:rsidR="00BD50B6" w:rsidRPr="00F81955" w:rsidRDefault="00BD50B6">
            <w:pPr>
              <w:pStyle w:val="ListParagraph"/>
              <w:ind w:left="0"/>
              <w:rPr>
                <w:b/>
                <w:bCs/>
                <w:noProof/>
              </w:rPr>
            </w:pPr>
            <w:r w:rsidRPr="00F81955">
              <w:rPr>
                <w:b/>
                <w:bCs/>
                <w:noProof/>
              </w:rPr>
              <w:t>AIP 0108</w:t>
            </w:r>
          </w:p>
        </w:tc>
        <w:tc>
          <w:tcPr>
            <w:tcW w:w="6894" w:type="dxa"/>
          </w:tcPr>
          <w:p w:rsidR="00BD50B6" w:rsidRPr="00F81955" w:rsidRDefault="00BD50B6">
            <w:pPr>
              <w:pStyle w:val="ListParagraph"/>
              <w:ind w:left="0"/>
              <w:rPr>
                <w:b/>
                <w:bCs/>
                <w:noProof/>
              </w:rPr>
            </w:pPr>
            <w:r w:rsidRPr="00F81955">
              <w:rPr>
                <w:noProof/>
              </w:rPr>
              <w:t>AI systems subject to Annex I.A.8. of the AI Act.</w:t>
            </w:r>
          </w:p>
        </w:tc>
      </w:tr>
      <w:tr w:rsidR="00BD50B6" w:rsidRPr="00F81955" w:rsidTr="00175212">
        <w:tc>
          <w:tcPr>
            <w:tcW w:w="1402" w:type="dxa"/>
          </w:tcPr>
          <w:p w:rsidR="00BD50B6" w:rsidRPr="00F81955" w:rsidRDefault="00BD50B6">
            <w:pPr>
              <w:pStyle w:val="ListParagraph"/>
              <w:ind w:left="0"/>
              <w:rPr>
                <w:b/>
                <w:bCs/>
                <w:noProof/>
              </w:rPr>
            </w:pPr>
            <w:r w:rsidRPr="00F81955">
              <w:rPr>
                <w:b/>
                <w:bCs/>
                <w:noProof/>
              </w:rPr>
              <w:t>AIP 0109</w:t>
            </w:r>
          </w:p>
        </w:tc>
        <w:tc>
          <w:tcPr>
            <w:tcW w:w="6894" w:type="dxa"/>
          </w:tcPr>
          <w:p w:rsidR="00BD50B6" w:rsidRPr="00F81955" w:rsidRDefault="00BD50B6">
            <w:pPr>
              <w:pStyle w:val="ListParagraph"/>
              <w:ind w:left="0"/>
              <w:rPr>
                <w:b/>
                <w:bCs/>
                <w:noProof/>
              </w:rPr>
            </w:pPr>
            <w:r w:rsidRPr="00F81955">
              <w:rPr>
                <w:noProof/>
              </w:rPr>
              <w:t>AI systems subject to Annex I.A.9. of the AI Act.</w:t>
            </w:r>
          </w:p>
        </w:tc>
      </w:tr>
      <w:tr w:rsidR="00BD50B6" w:rsidRPr="00F81955" w:rsidTr="00175212">
        <w:tc>
          <w:tcPr>
            <w:tcW w:w="1402" w:type="dxa"/>
          </w:tcPr>
          <w:p w:rsidR="00BD50B6" w:rsidRPr="00F81955" w:rsidRDefault="00BD50B6">
            <w:pPr>
              <w:pStyle w:val="ListParagraph"/>
              <w:ind w:left="0"/>
              <w:rPr>
                <w:b/>
                <w:bCs/>
                <w:noProof/>
              </w:rPr>
            </w:pPr>
            <w:r w:rsidRPr="00F81955">
              <w:rPr>
                <w:b/>
                <w:bCs/>
                <w:noProof/>
              </w:rPr>
              <w:t>AIP 0110</w:t>
            </w:r>
          </w:p>
        </w:tc>
        <w:tc>
          <w:tcPr>
            <w:tcW w:w="6894" w:type="dxa"/>
          </w:tcPr>
          <w:p w:rsidR="00BD50B6" w:rsidRPr="00F81955" w:rsidRDefault="00BD50B6">
            <w:pPr>
              <w:pStyle w:val="ListParagraph"/>
              <w:ind w:left="0"/>
              <w:rPr>
                <w:b/>
                <w:bCs/>
                <w:noProof/>
              </w:rPr>
            </w:pPr>
            <w:r w:rsidRPr="00F81955">
              <w:rPr>
                <w:noProof/>
              </w:rPr>
              <w:t>AI systems subject to Annex I.A.10. of the AI Act.</w:t>
            </w:r>
          </w:p>
        </w:tc>
      </w:tr>
      <w:tr w:rsidR="00BD50B6" w:rsidRPr="00F81955" w:rsidTr="00175212">
        <w:tc>
          <w:tcPr>
            <w:tcW w:w="1402" w:type="dxa"/>
          </w:tcPr>
          <w:p w:rsidR="00BD50B6" w:rsidRPr="00F81955" w:rsidRDefault="00BD50B6">
            <w:pPr>
              <w:pStyle w:val="ListParagraph"/>
              <w:ind w:left="0"/>
              <w:rPr>
                <w:b/>
                <w:bCs/>
                <w:noProof/>
              </w:rPr>
            </w:pPr>
            <w:r w:rsidRPr="00F81955">
              <w:rPr>
                <w:b/>
                <w:bCs/>
                <w:noProof/>
              </w:rPr>
              <w:t>AIP 0111</w:t>
            </w:r>
          </w:p>
        </w:tc>
        <w:tc>
          <w:tcPr>
            <w:tcW w:w="6894" w:type="dxa"/>
          </w:tcPr>
          <w:p w:rsidR="00BD50B6" w:rsidRPr="00F81955" w:rsidRDefault="00BD50B6">
            <w:pPr>
              <w:pStyle w:val="ListParagraph"/>
              <w:ind w:left="0"/>
              <w:rPr>
                <w:b/>
                <w:bCs/>
                <w:noProof/>
              </w:rPr>
            </w:pPr>
            <w:r w:rsidRPr="00F81955">
              <w:rPr>
                <w:noProof/>
              </w:rPr>
              <w:t>AI systems subject to Annex I.A.11. of the AI Act.</w:t>
            </w:r>
          </w:p>
        </w:tc>
      </w:tr>
      <w:tr w:rsidR="00BD50B6" w:rsidRPr="00F81955" w:rsidTr="00175212">
        <w:tc>
          <w:tcPr>
            <w:tcW w:w="1402" w:type="dxa"/>
          </w:tcPr>
          <w:p w:rsidR="00BD50B6" w:rsidRPr="00F81955" w:rsidRDefault="00BD50B6">
            <w:pPr>
              <w:pStyle w:val="ListParagraph"/>
              <w:ind w:left="0"/>
              <w:rPr>
                <w:b/>
                <w:bCs/>
                <w:noProof/>
              </w:rPr>
            </w:pPr>
            <w:r w:rsidRPr="00F81955">
              <w:rPr>
                <w:b/>
                <w:bCs/>
                <w:noProof/>
              </w:rPr>
              <w:t>AIP 0112</w:t>
            </w:r>
          </w:p>
        </w:tc>
        <w:tc>
          <w:tcPr>
            <w:tcW w:w="6894" w:type="dxa"/>
          </w:tcPr>
          <w:p w:rsidR="00BD50B6" w:rsidRPr="00F81955" w:rsidRDefault="00BD50B6">
            <w:pPr>
              <w:pStyle w:val="ListParagraph"/>
              <w:ind w:left="0"/>
              <w:rPr>
                <w:b/>
                <w:bCs/>
                <w:noProof/>
              </w:rPr>
            </w:pPr>
            <w:r w:rsidRPr="00F81955">
              <w:rPr>
                <w:noProof/>
              </w:rPr>
              <w:t>AI systems subject to Annex I.A.12. of the AI Act.</w:t>
            </w:r>
          </w:p>
        </w:tc>
      </w:tr>
    </w:tbl>
    <w:p w:rsidR="00BD50B6" w:rsidRPr="00F81955" w:rsidRDefault="00BD50B6" w:rsidP="00BD50B6">
      <w:pPr>
        <w:ind w:left="360"/>
        <w:rPr>
          <w:b/>
          <w:bCs/>
          <w:i/>
          <w:iCs/>
          <w:noProof/>
        </w:rPr>
      </w:pPr>
    </w:p>
    <w:p w:rsidR="00BD50B6" w:rsidRPr="00F81955" w:rsidRDefault="00226B4E" w:rsidP="00226B4E">
      <w:pPr>
        <w:pStyle w:val="Point1"/>
        <w:rPr>
          <w:b/>
          <w:bCs/>
          <w:i/>
          <w:iCs/>
          <w:noProof/>
          <w:u w:val="single"/>
        </w:rPr>
      </w:pPr>
      <w:r w:rsidRPr="00F81955">
        <w:rPr>
          <w:b/>
          <w:bCs/>
          <w:i/>
          <w:iCs/>
          <w:noProof/>
        </w:rPr>
        <w:t>2.</w:t>
      </w:r>
      <w:r w:rsidRPr="00F81955">
        <w:rPr>
          <w:b/>
          <w:bCs/>
          <w:i/>
          <w:iCs/>
          <w:noProof/>
        </w:rPr>
        <w:tab/>
      </w:r>
      <w:r w:rsidR="00BD50B6" w:rsidRPr="00F81955">
        <w:rPr>
          <w:b/>
          <w:bCs/>
          <w:i/>
          <w:iCs/>
          <w:noProof/>
          <w:u w:val="single"/>
        </w:rPr>
        <w:t>AI systems subject to Annex III.1 of the AI Act</w:t>
      </w:r>
    </w:p>
    <w:tbl>
      <w:tblPr>
        <w:tblStyle w:val="TableGrid"/>
        <w:tblW w:w="8296"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6894"/>
      </w:tblGrid>
      <w:tr w:rsidR="00BD50B6" w:rsidRPr="00F81955" w:rsidTr="00175212">
        <w:tc>
          <w:tcPr>
            <w:tcW w:w="1402" w:type="dxa"/>
          </w:tcPr>
          <w:p w:rsidR="00BD50B6" w:rsidRPr="00F81955" w:rsidRDefault="00BD50B6">
            <w:pPr>
              <w:pStyle w:val="ListParagraph"/>
              <w:ind w:left="0"/>
              <w:rPr>
                <w:b/>
                <w:bCs/>
                <w:noProof/>
              </w:rPr>
            </w:pPr>
            <w:r w:rsidRPr="00F81955">
              <w:rPr>
                <w:b/>
                <w:bCs/>
                <w:noProof/>
              </w:rPr>
              <w:t>AIA Code</w:t>
            </w:r>
          </w:p>
        </w:tc>
        <w:tc>
          <w:tcPr>
            <w:tcW w:w="6894" w:type="dxa"/>
          </w:tcPr>
          <w:p w:rsidR="00BD50B6" w:rsidRPr="00F81955" w:rsidRDefault="00BD50B6">
            <w:pPr>
              <w:pStyle w:val="ListParagraph"/>
              <w:ind w:left="0"/>
              <w:rPr>
                <w:b/>
                <w:bCs/>
                <w:noProof/>
              </w:rPr>
            </w:pPr>
          </w:p>
        </w:tc>
      </w:tr>
      <w:tr w:rsidR="00BD50B6" w:rsidRPr="00F81955" w:rsidTr="00175212">
        <w:tc>
          <w:tcPr>
            <w:tcW w:w="1402" w:type="dxa"/>
          </w:tcPr>
          <w:p w:rsidR="00BD50B6" w:rsidRPr="00F81955" w:rsidRDefault="00BD50B6">
            <w:pPr>
              <w:pStyle w:val="ListParagraph"/>
              <w:ind w:left="0"/>
              <w:rPr>
                <w:b/>
                <w:bCs/>
                <w:noProof/>
              </w:rPr>
            </w:pPr>
            <w:r w:rsidRPr="00F81955">
              <w:rPr>
                <w:b/>
                <w:bCs/>
                <w:noProof/>
              </w:rPr>
              <w:t>AIB 0201</w:t>
            </w:r>
          </w:p>
        </w:tc>
        <w:tc>
          <w:tcPr>
            <w:tcW w:w="6894" w:type="dxa"/>
          </w:tcPr>
          <w:p w:rsidR="00BD50B6" w:rsidRPr="00F81955" w:rsidRDefault="00BD50B6">
            <w:pPr>
              <w:pStyle w:val="ListParagraph"/>
              <w:ind w:left="0"/>
              <w:rPr>
                <w:noProof/>
              </w:rPr>
            </w:pPr>
            <w:r w:rsidRPr="00F81955">
              <w:rPr>
                <w:noProof/>
              </w:rPr>
              <w:t>Remote biometric identification systems under Annex III.1.a. of the AI Act intended to be put into service by Union institutions, bodies, offices or agencies.</w:t>
            </w:r>
          </w:p>
        </w:tc>
      </w:tr>
      <w:tr w:rsidR="00BD50B6" w:rsidRPr="00F81955" w:rsidTr="00175212">
        <w:tc>
          <w:tcPr>
            <w:tcW w:w="1402" w:type="dxa"/>
          </w:tcPr>
          <w:p w:rsidR="00BD50B6" w:rsidRPr="00F81955" w:rsidRDefault="00BD50B6">
            <w:pPr>
              <w:pStyle w:val="ListParagraph"/>
              <w:ind w:left="0"/>
              <w:rPr>
                <w:b/>
                <w:bCs/>
                <w:noProof/>
              </w:rPr>
            </w:pPr>
            <w:r w:rsidRPr="00F81955">
              <w:rPr>
                <w:b/>
                <w:bCs/>
                <w:noProof/>
              </w:rPr>
              <w:t>AIB 0202</w:t>
            </w:r>
          </w:p>
        </w:tc>
        <w:tc>
          <w:tcPr>
            <w:tcW w:w="6894" w:type="dxa"/>
          </w:tcPr>
          <w:p w:rsidR="00BD50B6" w:rsidRPr="00F81955" w:rsidRDefault="00BD50B6">
            <w:pPr>
              <w:pStyle w:val="ListParagraph"/>
              <w:ind w:left="0"/>
              <w:rPr>
                <w:noProof/>
              </w:rPr>
            </w:pPr>
            <w:r w:rsidRPr="00F81955">
              <w:rPr>
                <w:noProof/>
              </w:rPr>
              <w:t>Biometric categorisation AI systems under Annex III.1.b. of the AI Act intended to be put into service by Union institutions, bodies, offices or agencies.</w:t>
            </w:r>
          </w:p>
        </w:tc>
      </w:tr>
      <w:tr w:rsidR="00BD50B6" w:rsidRPr="00F81955" w:rsidTr="00175212">
        <w:tc>
          <w:tcPr>
            <w:tcW w:w="1402" w:type="dxa"/>
          </w:tcPr>
          <w:p w:rsidR="00BD50B6" w:rsidRPr="00F81955" w:rsidRDefault="00BD50B6">
            <w:pPr>
              <w:pStyle w:val="ListParagraph"/>
              <w:ind w:left="0"/>
              <w:rPr>
                <w:b/>
                <w:bCs/>
                <w:noProof/>
              </w:rPr>
            </w:pPr>
            <w:r w:rsidRPr="00F81955">
              <w:rPr>
                <w:b/>
                <w:bCs/>
                <w:noProof/>
              </w:rPr>
              <w:t>AIB 0203</w:t>
            </w:r>
          </w:p>
        </w:tc>
        <w:tc>
          <w:tcPr>
            <w:tcW w:w="6894" w:type="dxa"/>
          </w:tcPr>
          <w:p w:rsidR="00BD50B6" w:rsidRPr="00F81955" w:rsidRDefault="00BD50B6">
            <w:pPr>
              <w:pStyle w:val="ListParagraph"/>
              <w:ind w:left="0"/>
              <w:rPr>
                <w:noProof/>
              </w:rPr>
            </w:pPr>
            <w:r w:rsidRPr="00F81955">
              <w:rPr>
                <w:noProof/>
              </w:rPr>
              <w:t>Emotion recognition AI systems under Annex III.1.c. of the AI Act intended to be put into service by Union institutions, bodies, offices or agencies.</w:t>
            </w:r>
          </w:p>
        </w:tc>
      </w:tr>
      <w:tr w:rsidR="00BD50B6" w:rsidRPr="00F81955" w:rsidTr="00175212">
        <w:tc>
          <w:tcPr>
            <w:tcW w:w="1402" w:type="dxa"/>
          </w:tcPr>
          <w:p w:rsidR="00BD50B6" w:rsidRPr="00F81955" w:rsidRDefault="00BD50B6">
            <w:pPr>
              <w:pStyle w:val="ListParagraph"/>
              <w:ind w:left="0"/>
              <w:rPr>
                <w:b/>
                <w:bCs/>
                <w:noProof/>
              </w:rPr>
            </w:pPr>
            <w:r w:rsidRPr="00F81955">
              <w:rPr>
                <w:b/>
                <w:bCs/>
                <w:noProof/>
              </w:rPr>
              <w:t>AIB 0204</w:t>
            </w:r>
          </w:p>
        </w:tc>
        <w:tc>
          <w:tcPr>
            <w:tcW w:w="6894" w:type="dxa"/>
          </w:tcPr>
          <w:p w:rsidR="00BD50B6" w:rsidRPr="00F81955" w:rsidRDefault="00BD50B6">
            <w:pPr>
              <w:pStyle w:val="ListParagraph"/>
              <w:ind w:left="0"/>
              <w:rPr>
                <w:noProof/>
              </w:rPr>
            </w:pPr>
            <w:r w:rsidRPr="00F81955">
              <w:rPr>
                <w:noProof/>
              </w:rPr>
              <w:t xml:space="preserve">Remote biometric identification systems under Annex III.1.a. of the AI Act </w:t>
            </w:r>
            <w:bookmarkStart w:id="1" w:name="_Hlk212107973"/>
            <w:r w:rsidRPr="00F81955">
              <w:rPr>
                <w:noProof/>
              </w:rPr>
              <w:t>intended to be put into service by law enforcement, immigration or asylum authorities</w:t>
            </w:r>
            <w:bookmarkEnd w:id="1"/>
            <w:r w:rsidRPr="00F81955">
              <w:rPr>
                <w:noProof/>
              </w:rPr>
              <w:t>.</w:t>
            </w:r>
          </w:p>
        </w:tc>
      </w:tr>
      <w:tr w:rsidR="00BD50B6" w:rsidRPr="00F81955" w:rsidTr="00175212">
        <w:tc>
          <w:tcPr>
            <w:tcW w:w="1402" w:type="dxa"/>
          </w:tcPr>
          <w:p w:rsidR="00BD50B6" w:rsidRPr="00F81955" w:rsidRDefault="00BD50B6">
            <w:pPr>
              <w:pStyle w:val="ListParagraph"/>
              <w:ind w:left="0"/>
              <w:rPr>
                <w:b/>
                <w:bCs/>
                <w:noProof/>
              </w:rPr>
            </w:pPr>
            <w:r w:rsidRPr="00F81955">
              <w:rPr>
                <w:b/>
                <w:bCs/>
                <w:noProof/>
              </w:rPr>
              <w:t>AIB 0205</w:t>
            </w:r>
          </w:p>
        </w:tc>
        <w:tc>
          <w:tcPr>
            <w:tcW w:w="6894" w:type="dxa"/>
          </w:tcPr>
          <w:p w:rsidR="00BD50B6" w:rsidRPr="00F81955" w:rsidRDefault="00BD50B6">
            <w:pPr>
              <w:pStyle w:val="ListParagraph"/>
              <w:ind w:left="0"/>
              <w:rPr>
                <w:noProof/>
              </w:rPr>
            </w:pPr>
            <w:r w:rsidRPr="00F81955">
              <w:rPr>
                <w:noProof/>
              </w:rPr>
              <w:t>Biometric categorisation AI systems under Annex III.1.b. of the AI Act intended to be put into service by law enforcement, immigration or asylum authorities.</w:t>
            </w:r>
          </w:p>
        </w:tc>
      </w:tr>
      <w:tr w:rsidR="00BD50B6" w:rsidRPr="00F81955" w:rsidTr="00175212">
        <w:tc>
          <w:tcPr>
            <w:tcW w:w="1402" w:type="dxa"/>
          </w:tcPr>
          <w:p w:rsidR="00BD50B6" w:rsidRPr="00F81955" w:rsidRDefault="00BD50B6">
            <w:pPr>
              <w:pStyle w:val="ListParagraph"/>
              <w:ind w:left="0"/>
              <w:rPr>
                <w:b/>
                <w:bCs/>
                <w:noProof/>
              </w:rPr>
            </w:pPr>
            <w:r w:rsidRPr="00F81955">
              <w:rPr>
                <w:b/>
                <w:bCs/>
                <w:noProof/>
              </w:rPr>
              <w:t>AIB 0206</w:t>
            </w:r>
          </w:p>
        </w:tc>
        <w:tc>
          <w:tcPr>
            <w:tcW w:w="6894" w:type="dxa"/>
          </w:tcPr>
          <w:p w:rsidR="00BD50B6" w:rsidRPr="00F81955" w:rsidRDefault="00BD50B6">
            <w:pPr>
              <w:pStyle w:val="ListParagraph"/>
              <w:ind w:left="0"/>
              <w:rPr>
                <w:noProof/>
              </w:rPr>
            </w:pPr>
            <w:r w:rsidRPr="00F81955">
              <w:rPr>
                <w:noProof/>
              </w:rPr>
              <w:t>Emotion recognition AI systems under Annex III.1.c. of the AI Act intended to be put into service by law enforcement, immigration or asylum authorities.</w:t>
            </w:r>
          </w:p>
        </w:tc>
      </w:tr>
      <w:tr w:rsidR="00BD50B6" w:rsidRPr="00F81955" w:rsidTr="00175212">
        <w:tc>
          <w:tcPr>
            <w:tcW w:w="1402" w:type="dxa"/>
          </w:tcPr>
          <w:p w:rsidR="00BD50B6" w:rsidRPr="00F81955" w:rsidRDefault="00BD50B6">
            <w:pPr>
              <w:pStyle w:val="ListParagraph"/>
              <w:ind w:left="0"/>
              <w:rPr>
                <w:b/>
                <w:bCs/>
                <w:noProof/>
              </w:rPr>
            </w:pPr>
            <w:r w:rsidRPr="00F81955">
              <w:rPr>
                <w:b/>
                <w:bCs/>
                <w:noProof/>
              </w:rPr>
              <w:t>AIB 0207</w:t>
            </w:r>
          </w:p>
        </w:tc>
        <w:tc>
          <w:tcPr>
            <w:tcW w:w="6894" w:type="dxa"/>
          </w:tcPr>
          <w:p w:rsidR="00BD50B6" w:rsidRPr="00F81955" w:rsidRDefault="00BD50B6">
            <w:pPr>
              <w:pStyle w:val="ListParagraph"/>
              <w:ind w:left="0"/>
              <w:rPr>
                <w:noProof/>
              </w:rPr>
            </w:pPr>
            <w:r w:rsidRPr="00F81955">
              <w:rPr>
                <w:noProof/>
              </w:rPr>
              <w:t>Remote biometric identification systems under Annex III.1.a. of the AI Act (general).</w:t>
            </w:r>
          </w:p>
        </w:tc>
      </w:tr>
      <w:tr w:rsidR="00BD50B6" w:rsidRPr="00F81955" w:rsidTr="00175212">
        <w:tc>
          <w:tcPr>
            <w:tcW w:w="1402" w:type="dxa"/>
          </w:tcPr>
          <w:p w:rsidR="00BD50B6" w:rsidRPr="00F81955" w:rsidRDefault="00BD50B6">
            <w:pPr>
              <w:pStyle w:val="ListParagraph"/>
              <w:ind w:left="0"/>
              <w:rPr>
                <w:b/>
                <w:bCs/>
                <w:noProof/>
              </w:rPr>
            </w:pPr>
            <w:r w:rsidRPr="00F81955">
              <w:rPr>
                <w:b/>
                <w:bCs/>
                <w:noProof/>
              </w:rPr>
              <w:t>AIB 0208</w:t>
            </w:r>
          </w:p>
        </w:tc>
        <w:tc>
          <w:tcPr>
            <w:tcW w:w="6894" w:type="dxa"/>
          </w:tcPr>
          <w:p w:rsidR="00BD50B6" w:rsidRPr="00F81955" w:rsidRDefault="00BD50B6">
            <w:pPr>
              <w:pStyle w:val="ListParagraph"/>
              <w:ind w:left="0"/>
              <w:rPr>
                <w:b/>
                <w:bCs/>
                <w:noProof/>
              </w:rPr>
            </w:pPr>
            <w:r w:rsidRPr="00F81955">
              <w:rPr>
                <w:noProof/>
              </w:rPr>
              <w:t>Biometric categorisation AI systems under Annex III.1.b. of the AI Act (general).</w:t>
            </w:r>
          </w:p>
        </w:tc>
      </w:tr>
      <w:tr w:rsidR="00BD50B6" w:rsidRPr="00F81955" w:rsidTr="00175212">
        <w:tc>
          <w:tcPr>
            <w:tcW w:w="1402" w:type="dxa"/>
          </w:tcPr>
          <w:p w:rsidR="00BD50B6" w:rsidRPr="00F81955" w:rsidRDefault="00BD50B6">
            <w:pPr>
              <w:pStyle w:val="ListParagraph"/>
              <w:ind w:left="0"/>
              <w:rPr>
                <w:b/>
                <w:bCs/>
                <w:noProof/>
              </w:rPr>
            </w:pPr>
            <w:r w:rsidRPr="00F81955">
              <w:rPr>
                <w:b/>
                <w:bCs/>
                <w:noProof/>
              </w:rPr>
              <w:t>AIB 0209</w:t>
            </w:r>
          </w:p>
        </w:tc>
        <w:tc>
          <w:tcPr>
            <w:tcW w:w="6894" w:type="dxa"/>
          </w:tcPr>
          <w:p w:rsidR="00BD50B6" w:rsidRPr="00F81955" w:rsidRDefault="00BD50B6">
            <w:pPr>
              <w:pStyle w:val="ListParagraph"/>
              <w:ind w:left="0"/>
              <w:rPr>
                <w:b/>
                <w:bCs/>
                <w:noProof/>
              </w:rPr>
            </w:pPr>
            <w:r w:rsidRPr="00F81955">
              <w:rPr>
                <w:noProof/>
              </w:rPr>
              <w:t>Emotion recognition AI systems under Annex III.1.c. of the AI Act (general).</w:t>
            </w:r>
          </w:p>
        </w:tc>
      </w:tr>
    </w:tbl>
    <w:p w:rsidR="00BD50B6" w:rsidRPr="00F81955" w:rsidRDefault="00BD50B6" w:rsidP="00BD50B6">
      <w:pPr>
        <w:pStyle w:val="ListParagraph"/>
        <w:ind w:left="1080"/>
        <w:rPr>
          <w:b/>
          <w:bCs/>
          <w:i/>
          <w:iCs/>
          <w:noProof/>
        </w:rPr>
      </w:pPr>
    </w:p>
    <w:p w:rsidR="00BD50B6" w:rsidRPr="00F81955" w:rsidRDefault="00226B4E" w:rsidP="00226B4E">
      <w:pPr>
        <w:pStyle w:val="Point1"/>
        <w:rPr>
          <w:noProof/>
        </w:rPr>
      </w:pPr>
      <w:r w:rsidRPr="00F81955">
        <w:rPr>
          <w:b/>
          <w:bCs/>
          <w:i/>
          <w:iCs/>
          <w:noProof/>
        </w:rPr>
        <w:t>3.</w:t>
      </w:r>
      <w:r w:rsidRPr="00F81955">
        <w:rPr>
          <w:b/>
          <w:bCs/>
          <w:i/>
          <w:iCs/>
          <w:noProof/>
        </w:rPr>
        <w:tab/>
      </w:r>
      <w:r w:rsidR="00BD50B6" w:rsidRPr="00F81955">
        <w:rPr>
          <w:b/>
          <w:bCs/>
          <w:i/>
          <w:iCs/>
          <w:noProof/>
          <w:u w:val="single"/>
        </w:rPr>
        <w:t>AI technology-specific codes</w:t>
      </w:r>
    </w:p>
    <w:p w:rsidR="00BD50B6" w:rsidRPr="00F81955" w:rsidRDefault="00BD50B6" w:rsidP="00BD50B6">
      <w:pPr>
        <w:pStyle w:val="ListParagraph"/>
        <w:ind w:left="1080"/>
        <w:rPr>
          <w:b/>
          <w:bCs/>
          <w:i/>
          <w:iCs/>
          <w:noProof/>
        </w:rPr>
      </w:pPr>
    </w:p>
    <w:p w:rsidR="00BD50B6" w:rsidRPr="00F81955" w:rsidRDefault="00226B4E" w:rsidP="00226B4E">
      <w:pPr>
        <w:pStyle w:val="Point1"/>
        <w:rPr>
          <w:noProof/>
        </w:rPr>
      </w:pPr>
      <w:r w:rsidRPr="00F81955">
        <w:rPr>
          <w:b/>
          <w:bCs/>
          <w:i/>
          <w:iCs/>
          <w:noProof/>
        </w:rPr>
        <w:t>a)</w:t>
      </w:r>
      <w:r w:rsidRPr="00F81955">
        <w:rPr>
          <w:b/>
          <w:bCs/>
          <w:i/>
          <w:iCs/>
          <w:noProof/>
        </w:rPr>
        <w:tab/>
      </w:r>
      <w:r w:rsidR="00BD50B6" w:rsidRPr="00F81955">
        <w:rPr>
          <w:b/>
          <w:bCs/>
          <w:i/>
          <w:iCs/>
          <w:noProof/>
          <w:u w:val="single"/>
        </w:rPr>
        <w:t>Symbolic AI, expert systems and mathematical optimization</w:t>
      </w:r>
    </w:p>
    <w:tbl>
      <w:tblPr>
        <w:tblStyle w:val="TableGrid"/>
        <w:tblW w:w="8296"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6894"/>
      </w:tblGrid>
      <w:tr w:rsidR="00BD50B6" w:rsidRPr="00F81955" w:rsidTr="00175212">
        <w:trPr>
          <w:trHeight w:val="300"/>
        </w:trPr>
        <w:tc>
          <w:tcPr>
            <w:tcW w:w="1402" w:type="dxa"/>
          </w:tcPr>
          <w:p w:rsidR="00BD50B6" w:rsidRPr="00F81955" w:rsidRDefault="00BD50B6">
            <w:pPr>
              <w:pStyle w:val="ListParagraph"/>
              <w:ind w:left="0"/>
              <w:rPr>
                <w:b/>
                <w:bCs/>
                <w:noProof/>
              </w:rPr>
            </w:pPr>
            <w:r w:rsidRPr="00F81955">
              <w:rPr>
                <w:b/>
                <w:bCs/>
                <w:noProof/>
              </w:rPr>
              <w:t>AIA Code</w:t>
            </w:r>
          </w:p>
        </w:tc>
        <w:tc>
          <w:tcPr>
            <w:tcW w:w="6894" w:type="dxa"/>
          </w:tcPr>
          <w:p w:rsidR="00BD50B6" w:rsidRPr="00F81955" w:rsidRDefault="00BD50B6">
            <w:pPr>
              <w:pStyle w:val="ListParagraph"/>
              <w:ind w:left="0"/>
              <w:rPr>
                <w:b/>
                <w:bCs/>
                <w:noProof/>
                <w:highlight w:val="yellow"/>
              </w:rPr>
            </w:pPr>
          </w:p>
        </w:tc>
      </w:tr>
      <w:tr w:rsidR="00BD50B6" w:rsidRPr="00F81955" w:rsidTr="00175212">
        <w:trPr>
          <w:trHeight w:val="300"/>
        </w:trPr>
        <w:tc>
          <w:tcPr>
            <w:tcW w:w="1402" w:type="dxa"/>
          </w:tcPr>
          <w:p w:rsidR="00BD50B6" w:rsidRPr="00F81955" w:rsidRDefault="00BD50B6">
            <w:pPr>
              <w:pStyle w:val="ListParagraph"/>
              <w:ind w:left="0"/>
              <w:rPr>
                <w:b/>
                <w:bCs/>
                <w:noProof/>
              </w:rPr>
            </w:pPr>
            <w:r w:rsidRPr="00F81955">
              <w:rPr>
                <w:b/>
                <w:bCs/>
                <w:noProof/>
              </w:rPr>
              <w:t>AIH 0101</w:t>
            </w:r>
          </w:p>
        </w:tc>
        <w:tc>
          <w:tcPr>
            <w:tcW w:w="6894" w:type="dxa"/>
          </w:tcPr>
          <w:p w:rsidR="00BD50B6" w:rsidRPr="00F81955" w:rsidRDefault="00F5098F">
            <w:pPr>
              <w:pStyle w:val="ListParagraph"/>
              <w:ind w:left="0"/>
              <w:rPr>
                <w:noProof/>
                <w:highlight w:val="yellow"/>
              </w:rPr>
            </w:pPr>
            <w:r w:rsidRPr="00F81955">
              <w:rPr>
                <w:noProof/>
              </w:rPr>
              <w:t>Logic- and knowledge-based AI systems that infer from encoded knowledge or symbolic representation, expert systems</w:t>
            </w:r>
          </w:p>
        </w:tc>
      </w:tr>
      <w:tr w:rsidR="00BD50B6" w:rsidRPr="00F81955" w:rsidTr="00175212">
        <w:trPr>
          <w:trHeight w:val="300"/>
        </w:trPr>
        <w:tc>
          <w:tcPr>
            <w:tcW w:w="1402" w:type="dxa"/>
          </w:tcPr>
          <w:p w:rsidR="00BD50B6" w:rsidRPr="00F81955" w:rsidRDefault="00BD50B6">
            <w:pPr>
              <w:pStyle w:val="ListParagraph"/>
              <w:ind w:left="0"/>
              <w:rPr>
                <w:b/>
                <w:bCs/>
                <w:noProof/>
              </w:rPr>
            </w:pPr>
            <w:r w:rsidRPr="00F81955">
              <w:rPr>
                <w:b/>
                <w:bCs/>
                <w:noProof/>
              </w:rPr>
              <w:t>AIH 0102</w:t>
            </w:r>
          </w:p>
        </w:tc>
        <w:tc>
          <w:tcPr>
            <w:tcW w:w="6894" w:type="dxa"/>
          </w:tcPr>
          <w:p w:rsidR="00BD50B6" w:rsidRPr="00F81955" w:rsidRDefault="007049B3">
            <w:pPr>
              <w:rPr>
                <w:noProof/>
              </w:rPr>
            </w:pPr>
            <w:r w:rsidRPr="00F81955">
              <w:rPr>
                <w:noProof/>
              </w:rPr>
              <w:t>Logic-based AI systems</w:t>
            </w:r>
            <w:r w:rsidR="00BD50B6" w:rsidRPr="00F81955">
              <w:rPr>
                <w:noProof/>
              </w:rPr>
              <w:t>, excluding basic data processing</w:t>
            </w:r>
          </w:p>
        </w:tc>
      </w:tr>
    </w:tbl>
    <w:p w:rsidR="00BD50B6" w:rsidRPr="00F81955" w:rsidRDefault="00BD50B6" w:rsidP="00BD50B6">
      <w:pPr>
        <w:pStyle w:val="ListParagraph"/>
        <w:ind w:left="1080"/>
        <w:rPr>
          <w:b/>
          <w:bCs/>
          <w:i/>
          <w:iCs/>
          <w:noProof/>
          <w:u w:val="single"/>
        </w:rPr>
      </w:pPr>
    </w:p>
    <w:p w:rsidR="00BD50B6" w:rsidRPr="00F81955" w:rsidRDefault="00226B4E" w:rsidP="00226B4E">
      <w:pPr>
        <w:pStyle w:val="Point1"/>
        <w:rPr>
          <w:b/>
          <w:bCs/>
          <w:i/>
          <w:iCs/>
          <w:noProof/>
        </w:rPr>
      </w:pPr>
      <w:r w:rsidRPr="00F81955">
        <w:rPr>
          <w:b/>
          <w:bCs/>
          <w:i/>
          <w:iCs/>
          <w:noProof/>
        </w:rPr>
        <w:t>b)</w:t>
      </w:r>
      <w:r w:rsidRPr="00F81955">
        <w:rPr>
          <w:b/>
          <w:bCs/>
          <w:i/>
          <w:iCs/>
          <w:noProof/>
        </w:rPr>
        <w:tab/>
      </w:r>
      <w:r w:rsidR="00BD50B6" w:rsidRPr="00F81955">
        <w:rPr>
          <w:b/>
          <w:bCs/>
          <w:i/>
          <w:iCs/>
          <w:noProof/>
          <w:u w:val="single"/>
        </w:rPr>
        <w:t>Machine learning, excluding GPAI and single modality generative AI</w:t>
      </w:r>
    </w:p>
    <w:tbl>
      <w:tblPr>
        <w:tblStyle w:val="TableGrid"/>
        <w:tblW w:w="8296"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6894"/>
      </w:tblGrid>
      <w:tr w:rsidR="00BD50B6" w:rsidRPr="00F81955" w:rsidTr="00175212">
        <w:trPr>
          <w:trHeight w:val="300"/>
        </w:trPr>
        <w:tc>
          <w:tcPr>
            <w:tcW w:w="1402" w:type="dxa"/>
          </w:tcPr>
          <w:p w:rsidR="00BD50B6" w:rsidRPr="00F81955" w:rsidRDefault="00BD50B6">
            <w:pPr>
              <w:pStyle w:val="ListParagraph"/>
              <w:ind w:left="0"/>
              <w:rPr>
                <w:b/>
                <w:bCs/>
                <w:noProof/>
              </w:rPr>
            </w:pPr>
            <w:r w:rsidRPr="00F81955">
              <w:rPr>
                <w:b/>
                <w:bCs/>
                <w:noProof/>
              </w:rPr>
              <w:t>AIA Code</w:t>
            </w:r>
          </w:p>
        </w:tc>
        <w:tc>
          <w:tcPr>
            <w:tcW w:w="6894" w:type="dxa"/>
          </w:tcPr>
          <w:p w:rsidR="00BD50B6" w:rsidRPr="00F81955" w:rsidRDefault="00BD50B6">
            <w:pPr>
              <w:pStyle w:val="ListParagraph"/>
              <w:ind w:left="0"/>
              <w:rPr>
                <w:b/>
                <w:bCs/>
                <w:noProof/>
                <w:highlight w:val="yellow"/>
              </w:rPr>
            </w:pPr>
          </w:p>
        </w:tc>
      </w:tr>
      <w:tr w:rsidR="00BD50B6" w:rsidRPr="00F81955" w:rsidTr="00175212">
        <w:trPr>
          <w:trHeight w:val="300"/>
        </w:trPr>
        <w:tc>
          <w:tcPr>
            <w:tcW w:w="1402" w:type="dxa"/>
          </w:tcPr>
          <w:p w:rsidR="00BD50B6" w:rsidRPr="00F81955" w:rsidRDefault="00BD50B6">
            <w:pPr>
              <w:pStyle w:val="ListParagraph"/>
              <w:ind w:left="0"/>
              <w:rPr>
                <w:b/>
                <w:bCs/>
                <w:noProof/>
              </w:rPr>
            </w:pPr>
            <w:r w:rsidRPr="00F81955">
              <w:rPr>
                <w:b/>
                <w:bCs/>
                <w:noProof/>
              </w:rPr>
              <w:t>AIH 0201</w:t>
            </w:r>
          </w:p>
        </w:tc>
        <w:tc>
          <w:tcPr>
            <w:tcW w:w="6894" w:type="dxa"/>
            <w:shd w:val="clear" w:color="auto" w:fill="FFFFFF" w:themeFill="background1"/>
          </w:tcPr>
          <w:p w:rsidR="00BD50B6" w:rsidRPr="00F81955" w:rsidRDefault="00BD50B6">
            <w:pPr>
              <w:pStyle w:val="ListParagraph"/>
              <w:ind w:left="0"/>
              <w:rPr>
                <w:noProof/>
                <w:highlight w:val="yellow"/>
              </w:rPr>
            </w:pPr>
            <w:r w:rsidRPr="00F81955">
              <w:rPr>
                <w:noProof/>
              </w:rPr>
              <w:t>AI systems that process structured data</w:t>
            </w:r>
          </w:p>
        </w:tc>
      </w:tr>
      <w:tr w:rsidR="00BD50B6" w:rsidRPr="00F81955" w:rsidTr="00175212">
        <w:trPr>
          <w:trHeight w:val="300"/>
        </w:trPr>
        <w:tc>
          <w:tcPr>
            <w:tcW w:w="1402" w:type="dxa"/>
          </w:tcPr>
          <w:p w:rsidR="00BD50B6" w:rsidRPr="00F81955" w:rsidRDefault="00BD50B6">
            <w:pPr>
              <w:pStyle w:val="ListParagraph"/>
              <w:ind w:left="0"/>
              <w:rPr>
                <w:b/>
                <w:bCs/>
                <w:noProof/>
              </w:rPr>
            </w:pPr>
            <w:r w:rsidRPr="00F81955">
              <w:rPr>
                <w:b/>
                <w:bCs/>
                <w:noProof/>
              </w:rPr>
              <w:t>AIH 0202</w:t>
            </w:r>
          </w:p>
        </w:tc>
        <w:tc>
          <w:tcPr>
            <w:tcW w:w="6894" w:type="dxa"/>
            <w:shd w:val="clear" w:color="auto" w:fill="FFFFFF" w:themeFill="background1"/>
          </w:tcPr>
          <w:p w:rsidR="00BD50B6" w:rsidRPr="00F81955" w:rsidRDefault="00BD50B6">
            <w:pPr>
              <w:pStyle w:val="ListParagraph"/>
              <w:ind w:left="0"/>
              <w:rPr>
                <w:noProof/>
                <w:highlight w:val="yellow"/>
              </w:rPr>
            </w:pPr>
            <w:r w:rsidRPr="00F81955">
              <w:rPr>
                <w:noProof/>
              </w:rPr>
              <w:t>AI systems that process signal and audio data</w:t>
            </w:r>
          </w:p>
        </w:tc>
      </w:tr>
      <w:tr w:rsidR="00BD50B6" w:rsidRPr="00F81955" w:rsidTr="00175212">
        <w:trPr>
          <w:trHeight w:val="300"/>
        </w:trPr>
        <w:tc>
          <w:tcPr>
            <w:tcW w:w="1402" w:type="dxa"/>
          </w:tcPr>
          <w:p w:rsidR="00BD50B6" w:rsidRPr="00F81955" w:rsidRDefault="00BD50B6">
            <w:pPr>
              <w:pStyle w:val="ListParagraph"/>
              <w:ind w:left="0"/>
              <w:rPr>
                <w:b/>
                <w:bCs/>
                <w:noProof/>
              </w:rPr>
            </w:pPr>
            <w:r w:rsidRPr="00F81955">
              <w:rPr>
                <w:b/>
                <w:bCs/>
                <w:noProof/>
              </w:rPr>
              <w:t>AIH 0203</w:t>
            </w:r>
          </w:p>
        </w:tc>
        <w:tc>
          <w:tcPr>
            <w:tcW w:w="6894" w:type="dxa"/>
            <w:shd w:val="clear" w:color="auto" w:fill="FFFFFF" w:themeFill="background1"/>
          </w:tcPr>
          <w:p w:rsidR="00BD50B6" w:rsidRPr="00F81955" w:rsidRDefault="00BD50B6">
            <w:pPr>
              <w:pStyle w:val="ListParagraph"/>
              <w:ind w:left="0"/>
              <w:rPr>
                <w:noProof/>
                <w:highlight w:val="yellow"/>
              </w:rPr>
            </w:pPr>
            <w:r w:rsidRPr="00F81955">
              <w:rPr>
                <w:noProof/>
              </w:rPr>
              <w:t>AI systems that process text data</w:t>
            </w:r>
          </w:p>
        </w:tc>
      </w:tr>
      <w:tr w:rsidR="00BD50B6" w:rsidRPr="00F81955" w:rsidTr="00175212">
        <w:trPr>
          <w:trHeight w:val="300"/>
        </w:trPr>
        <w:tc>
          <w:tcPr>
            <w:tcW w:w="1402" w:type="dxa"/>
          </w:tcPr>
          <w:p w:rsidR="00BD50B6" w:rsidRPr="00F81955" w:rsidRDefault="00BD50B6">
            <w:pPr>
              <w:pStyle w:val="ListParagraph"/>
              <w:ind w:left="0"/>
              <w:rPr>
                <w:b/>
                <w:bCs/>
                <w:noProof/>
              </w:rPr>
            </w:pPr>
            <w:r w:rsidRPr="00F81955">
              <w:rPr>
                <w:b/>
                <w:bCs/>
                <w:noProof/>
              </w:rPr>
              <w:t>AIH 0204</w:t>
            </w:r>
          </w:p>
        </w:tc>
        <w:tc>
          <w:tcPr>
            <w:tcW w:w="6894" w:type="dxa"/>
          </w:tcPr>
          <w:p w:rsidR="00BD50B6" w:rsidRPr="00F81955" w:rsidRDefault="00BD50B6">
            <w:pPr>
              <w:pStyle w:val="ListParagraph"/>
              <w:ind w:left="0"/>
              <w:rPr>
                <w:noProof/>
                <w:highlight w:val="yellow"/>
              </w:rPr>
            </w:pPr>
            <w:r w:rsidRPr="00F81955">
              <w:rPr>
                <w:noProof/>
              </w:rPr>
              <w:t>AI systems that process image and video</w:t>
            </w:r>
          </w:p>
        </w:tc>
      </w:tr>
      <w:tr w:rsidR="00BD50B6" w:rsidRPr="00F81955" w:rsidTr="00175212">
        <w:trPr>
          <w:trHeight w:val="300"/>
        </w:trPr>
        <w:tc>
          <w:tcPr>
            <w:tcW w:w="1402" w:type="dxa"/>
          </w:tcPr>
          <w:p w:rsidR="00BD50B6" w:rsidRPr="00F81955" w:rsidRDefault="00BD50B6">
            <w:pPr>
              <w:rPr>
                <w:b/>
                <w:bCs/>
                <w:noProof/>
              </w:rPr>
            </w:pPr>
            <w:r w:rsidRPr="00F81955">
              <w:rPr>
                <w:b/>
                <w:bCs/>
                <w:noProof/>
              </w:rPr>
              <w:t>AIH 0205</w:t>
            </w:r>
          </w:p>
        </w:tc>
        <w:tc>
          <w:tcPr>
            <w:tcW w:w="6894" w:type="dxa"/>
          </w:tcPr>
          <w:p w:rsidR="00BD50B6" w:rsidRPr="00F81955" w:rsidRDefault="00BD50B6">
            <w:pPr>
              <w:rPr>
                <w:noProof/>
              </w:rPr>
            </w:pPr>
            <w:r w:rsidRPr="00F81955">
              <w:rPr>
                <w:noProof/>
              </w:rPr>
              <w:t>AI systems that learn from their environment, excluding agentic AI</w:t>
            </w:r>
          </w:p>
        </w:tc>
      </w:tr>
    </w:tbl>
    <w:p w:rsidR="00BD50B6" w:rsidRPr="00F81955" w:rsidRDefault="00BD50B6" w:rsidP="00BD50B6">
      <w:pPr>
        <w:pStyle w:val="ListParagraph"/>
        <w:ind w:left="1080"/>
        <w:rPr>
          <w:b/>
          <w:bCs/>
          <w:i/>
          <w:iCs/>
          <w:noProof/>
          <w:u w:val="single"/>
        </w:rPr>
      </w:pPr>
    </w:p>
    <w:p w:rsidR="00BD50B6" w:rsidRPr="00F81955" w:rsidRDefault="00226B4E" w:rsidP="00226B4E">
      <w:pPr>
        <w:pStyle w:val="Point1"/>
        <w:rPr>
          <w:b/>
          <w:bCs/>
          <w:i/>
          <w:iCs/>
          <w:noProof/>
        </w:rPr>
      </w:pPr>
      <w:r w:rsidRPr="00F81955">
        <w:rPr>
          <w:b/>
          <w:bCs/>
          <w:i/>
          <w:iCs/>
          <w:noProof/>
        </w:rPr>
        <w:t>c)</w:t>
      </w:r>
      <w:r w:rsidRPr="00F81955">
        <w:rPr>
          <w:b/>
          <w:bCs/>
          <w:i/>
          <w:iCs/>
          <w:noProof/>
        </w:rPr>
        <w:tab/>
      </w:r>
      <w:r w:rsidR="00BD50B6" w:rsidRPr="00F81955">
        <w:rPr>
          <w:b/>
          <w:bCs/>
          <w:i/>
          <w:iCs/>
          <w:noProof/>
          <w:u w:val="single"/>
        </w:rPr>
        <w:t>AI systems based on GPAI or single modality generative AI</w:t>
      </w:r>
    </w:p>
    <w:tbl>
      <w:tblPr>
        <w:tblStyle w:val="TableGrid"/>
        <w:tblW w:w="8296"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6894"/>
      </w:tblGrid>
      <w:tr w:rsidR="00BD50B6" w:rsidRPr="00F81955" w:rsidTr="00175212">
        <w:trPr>
          <w:trHeight w:val="300"/>
        </w:trPr>
        <w:tc>
          <w:tcPr>
            <w:tcW w:w="1402" w:type="dxa"/>
          </w:tcPr>
          <w:p w:rsidR="00BD50B6" w:rsidRPr="00F81955" w:rsidRDefault="00BD50B6">
            <w:pPr>
              <w:pStyle w:val="ListParagraph"/>
              <w:ind w:left="0"/>
              <w:rPr>
                <w:b/>
                <w:bCs/>
                <w:noProof/>
              </w:rPr>
            </w:pPr>
            <w:r w:rsidRPr="00F81955">
              <w:rPr>
                <w:b/>
                <w:bCs/>
                <w:noProof/>
              </w:rPr>
              <w:t>AIA Code</w:t>
            </w:r>
          </w:p>
        </w:tc>
        <w:tc>
          <w:tcPr>
            <w:tcW w:w="6894" w:type="dxa"/>
          </w:tcPr>
          <w:p w:rsidR="00BD50B6" w:rsidRPr="00F81955" w:rsidRDefault="00BD50B6">
            <w:pPr>
              <w:pStyle w:val="ListParagraph"/>
              <w:ind w:left="0"/>
              <w:rPr>
                <w:b/>
                <w:bCs/>
                <w:noProof/>
                <w:highlight w:val="yellow"/>
              </w:rPr>
            </w:pPr>
          </w:p>
        </w:tc>
      </w:tr>
      <w:tr w:rsidR="00BD50B6" w:rsidRPr="00F81955" w:rsidTr="00175212">
        <w:trPr>
          <w:trHeight w:val="300"/>
        </w:trPr>
        <w:tc>
          <w:tcPr>
            <w:tcW w:w="1402" w:type="dxa"/>
          </w:tcPr>
          <w:p w:rsidR="00BD50B6" w:rsidRPr="00F81955" w:rsidRDefault="00BD50B6">
            <w:pPr>
              <w:pStyle w:val="ListParagraph"/>
              <w:ind w:left="0"/>
              <w:rPr>
                <w:b/>
                <w:bCs/>
                <w:noProof/>
              </w:rPr>
            </w:pPr>
            <w:r w:rsidRPr="00F81955">
              <w:rPr>
                <w:b/>
                <w:bCs/>
                <w:noProof/>
              </w:rPr>
              <w:t>AIH 0301</w:t>
            </w:r>
          </w:p>
        </w:tc>
        <w:tc>
          <w:tcPr>
            <w:tcW w:w="6894" w:type="dxa"/>
          </w:tcPr>
          <w:p w:rsidR="00BD50B6" w:rsidRPr="00F81955" w:rsidRDefault="00BD50B6">
            <w:pPr>
              <w:pStyle w:val="ListParagraph"/>
              <w:ind w:left="0"/>
              <w:rPr>
                <w:noProof/>
              </w:rPr>
            </w:pPr>
            <w:r w:rsidRPr="00F81955">
              <w:rPr>
                <w:noProof/>
              </w:rPr>
              <w:t>Single modality generative AI systems</w:t>
            </w:r>
          </w:p>
        </w:tc>
      </w:tr>
      <w:tr w:rsidR="00BD50B6" w:rsidRPr="00F81955" w:rsidTr="00175212">
        <w:trPr>
          <w:trHeight w:val="300"/>
        </w:trPr>
        <w:tc>
          <w:tcPr>
            <w:tcW w:w="1402" w:type="dxa"/>
          </w:tcPr>
          <w:p w:rsidR="00BD50B6" w:rsidRPr="00F81955" w:rsidRDefault="00BD50B6">
            <w:pPr>
              <w:rPr>
                <w:b/>
                <w:bCs/>
                <w:noProof/>
              </w:rPr>
            </w:pPr>
            <w:r w:rsidRPr="00F81955">
              <w:rPr>
                <w:b/>
                <w:bCs/>
                <w:noProof/>
              </w:rPr>
              <w:t>AIH 0302</w:t>
            </w:r>
          </w:p>
        </w:tc>
        <w:tc>
          <w:tcPr>
            <w:tcW w:w="6894" w:type="dxa"/>
          </w:tcPr>
          <w:p w:rsidR="00BD50B6" w:rsidRPr="00F81955" w:rsidRDefault="00BD50B6">
            <w:pPr>
              <w:rPr>
                <w:noProof/>
              </w:rPr>
            </w:pPr>
            <w:r w:rsidRPr="00F81955">
              <w:rPr>
                <w:noProof/>
              </w:rPr>
              <w:t>Multimodal generative AI systems, including AI systems based on GPAI models</w:t>
            </w:r>
          </w:p>
        </w:tc>
      </w:tr>
    </w:tbl>
    <w:p w:rsidR="00BD50B6" w:rsidRPr="00F81955" w:rsidRDefault="00BD50B6" w:rsidP="00BD50B6">
      <w:pPr>
        <w:pStyle w:val="ListParagraph"/>
        <w:ind w:left="1080"/>
        <w:rPr>
          <w:b/>
          <w:bCs/>
          <w:i/>
          <w:iCs/>
          <w:noProof/>
        </w:rPr>
      </w:pPr>
    </w:p>
    <w:p w:rsidR="00BD50B6" w:rsidRPr="00F81955" w:rsidRDefault="00226B4E" w:rsidP="00226B4E">
      <w:pPr>
        <w:pStyle w:val="Point1"/>
        <w:rPr>
          <w:b/>
          <w:bCs/>
          <w:i/>
          <w:iCs/>
          <w:noProof/>
        </w:rPr>
      </w:pPr>
      <w:r w:rsidRPr="00F81955">
        <w:rPr>
          <w:b/>
          <w:bCs/>
          <w:i/>
          <w:iCs/>
          <w:noProof/>
        </w:rPr>
        <w:t>d)</w:t>
      </w:r>
      <w:r w:rsidRPr="00F81955">
        <w:rPr>
          <w:b/>
          <w:bCs/>
          <w:i/>
          <w:iCs/>
          <w:noProof/>
        </w:rPr>
        <w:tab/>
      </w:r>
      <w:r w:rsidR="00BD50B6" w:rsidRPr="00F81955">
        <w:rPr>
          <w:b/>
          <w:bCs/>
          <w:i/>
          <w:iCs/>
          <w:noProof/>
          <w:u w:val="single"/>
        </w:rPr>
        <w:t>Agentic AI</w:t>
      </w:r>
    </w:p>
    <w:tbl>
      <w:tblPr>
        <w:tblStyle w:val="TableGrid"/>
        <w:tblW w:w="8296"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6894"/>
      </w:tblGrid>
      <w:tr w:rsidR="00BD50B6" w:rsidRPr="00F81955" w:rsidTr="00175212">
        <w:trPr>
          <w:trHeight w:val="300"/>
        </w:trPr>
        <w:tc>
          <w:tcPr>
            <w:tcW w:w="1402" w:type="dxa"/>
          </w:tcPr>
          <w:p w:rsidR="00BD50B6" w:rsidRPr="00F81955" w:rsidRDefault="00BD50B6">
            <w:pPr>
              <w:pStyle w:val="ListParagraph"/>
              <w:ind w:left="0"/>
              <w:rPr>
                <w:b/>
                <w:bCs/>
                <w:noProof/>
              </w:rPr>
            </w:pPr>
            <w:r w:rsidRPr="00F81955">
              <w:rPr>
                <w:b/>
                <w:bCs/>
                <w:noProof/>
              </w:rPr>
              <w:t>AIA Code</w:t>
            </w:r>
          </w:p>
        </w:tc>
        <w:tc>
          <w:tcPr>
            <w:tcW w:w="6894" w:type="dxa"/>
          </w:tcPr>
          <w:p w:rsidR="00BD50B6" w:rsidRPr="00F81955" w:rsidRDefault="00BD50B6">
            <w:pPr>
              <w:pStyle w:val="ListParagraph"/>
              <w:ind w:left="0"/>
              <w:rPr>
                <w:b/>
                <w:bCs/>
                <w:noProof/>
                <w:highlight w:val="yellow"/>
              </w:rPr>
            </w:pPr>
          </w:p>
        </w:tc>
      </w:tr>
      <w:tr w:rsidR="00BD50B6" w:rsidRPr="00F81955" w:rsidTr="00175212">
        <w:trPr>
          <w:trHeight w:val="300"/>
        </w:trPr>
        <w:tc>
          <w:tcPr>
            <w:tcW w:w="1402" w:type="dxa"/>
          </w:tcPr>
          <w:p w:rsidR="00BD50B6" w:rsidRPr="00F81955" w:rsidRDefault="00BD50B6">
            <w:pPr>
              <w:pStyle w:val="ListParagraph"/>
              <w:ind w:left="0"/>
              <w:rPr>
                <w:b/>
                <w:bCs/>
                <w:noProof/>
              </w:rPr>
            </w:pPr>
            <w:r w:rsidRPr="00F81955">
              <w:rPr>
                <w:b/>
                <w:bCs/>
                <w:noProof/>
              </w:rPr>
              <w:t>AIH 0401</w:t>
            </w:r>
          </w:p>
        </w:tc>
        <w:tc>
          <w:tcPr>
            <w:tcW w:w="6894" w:type="dxa"/>
          </w:tcPr>
          <w:p w:rsidR="00BD50B6" w:rsidRPr="00F81955" w:rsidRDefault="00BD50B6">
            <w:pPr>
              <w:pStyle w:val="ListParagraph"/>
              <w:ind w:left="0"/>
              <w:rPr>
                <w:noProof/>
              </w:rPr>
            </w:pPr>
            <w:r w:rsidRPr="00F81955">
              <w:rPr>
                <w:noProof/>
              </w:rPr>
              <w:t>Agentic AI</w:t>
            </w:r>
          </w:p>
        </w:tc>
      </w:tr>
    </w:tbl>
    <w:p w:rsidR="00BD50B6" w:rsidRPr="00F81955" w:rsidRDefault="00BD50B6" w:rsidP="00BD50B6">
      <w:pPr>
        <w:pStyle w:val="ListParagraph"/>
        <w:ind w:left="1080"/>
        <w:rPr>
          <w:noProof/>
        </w:rPr>
      </w:pPr>
      <w:r w:rsidRPr="00F81955">
        <w:rPr>
          <w:noProof/>
        </w:rPr>
        <w:t xml:space="preserve"> </w:t>
      </w:r>
    </w:p>
    <w:p w:rsidR="00BD50B6" w:rsidRPr="00F81955" w:rsidRDefault="00C076D8" w:rsidP="00C076D8">
      <w:pPr>
        <w:pStyle w:val="ManualNumPar1"/>
        <w:rPr>
          <w:noProof/>
        </w:rPr>
      </w:pPr>
      <w:r w:rsidRPr="00C076D8">
        <w:rPr>
          <w:noProof/>
        </w:rPr>
        <w:t>3.</w:t>
      </w:r>
      <w:r w:rsidRPr="00C076D8">
        <w:rPr>
          <w:noProof/>
        </w:rPr>
        <w:tab/>
      </w:r>
      <w:r w:rsidR="00BD50B6" w:rsidRPr="00F81955">
        <w:rPr>
          <w:noProof/>
        </w:rPr>
        <w:t>Application for designation</w:t>
      </w:r>
    </w:p>
    <w:p w:rsidR="00BD50B6" w:rsidRPr="00F81955" w:rsidRDefault="00BD50B6" w:rsidP="00CB6259">
      <w:pPr>
        <w:rPr>
          <w:b/>
          <w:bCs/>
          <w:noProof/>
        </w:rPr>
      </w:pPr>
    </w:p>
    <w:p w:rsidR="00BC4D42" w:rsidRPr="00F81955" w:rsidRDefault="00BD50B6" w:rsidP="00CB6259">
      <w:pPr>
        <w:pStyle w:val="Text1"/>
        <w:rPr>
          <w:noProof/>
        </w:rPr>
      </w:pPr>
      <w:r w:rsidRPr="00F81955">
        <w:rPr>
          <w:noProof/>
        </w:rPr>
        <w:t>Conformity assessment bodies shall use the lists of codes, categories and corresponding types of AI systems set out in this Annex when specifying the types of AI systems in the application for designation referred to in Article 29 of this Regulation.</w:t>
      </w:r>
      <w:r w:rsidR="006B6638" w:rsidRPr="00F81955">
        <w:rPr>
          <w:noProof/>
        </w:rPr>
        <w:t>’</w:t>
      </w:r>
      <w:r w:rsidR="5ED247F2" w:rsidRPr="00F81955">
        <w:rPr>
          <w:noProof/>
        </w:rPr>
        <w:t>.</w:t>
      </w:r>
    </w:p>
    <w:p w:rsidR="009C3EE2" w:rsidRPr="00F81955" w:rsidRDefault="009C3EE2" w:rsidP="0002735A">
      <w:pPr>
        <w:pStyle w:val="Titrearticle"/>
        <w:rPr>
          <w:noProof/>
        </w:rPr>
      </w:pPr>
      <w:r w:rsidRPr="00F81955">
        <w:rPr>
          <w:noProof/>
        </w:rPr>
        <w:t>Article</w:t>
      </w:r>
      <w:r w:rsidR="00E60493" w:rsidRPr="00F81955">
        <w:rPr>
          <w:noProof/>
        </w:rPr>
        <w:t xml:space="preserve"> 2</w:t>
      </w:r>
    </w:p>
    <w:p w:rsidR="00B05832" w:rsidRPr="00F81955" w:rsidRDefault="00B05832" w:rsidP="00175212">
      <w:pPr>
        <w:jc w:val="center"/>
        <w:rPr>
          <w:b/>
          <w:bCs/>
          <w:noProof/>
        </w:rPr>
      </w:pPr>
      <w:r w:rsidRPr="00F81955">
        <w:rPr>
          <w:b/>
          <w:bCs/>
          <w:noProof/>
        </w:rPr>
        <w:t xml:space="preserve">Amendments to </w:t>
      </w:r>
      <w:bookmarkStart w:id="2" w:name="_Hlk213332308"/>
      <w:r w:rsidRPr="00F81955">
        <w:rPr>
          <w:b/>
          <w:bCs/>
          <w:noProof/>
        </w:rPr>
        <w:t>Regulation (EU) 2018/1139</w:t>
      </w:r>
      <w:bookmarkEnd w:id="2"/>
    </w:p>
    <w:p w:rsidR="00F95DD8" w:rsidRPr="00F81955" w:rsidRDefault="001C13AC" w:rsidP="00175212">
      <w:pPr>
        <w:jc w:val="left"/>
        <w:rPr>
          <w:noProof/>
        </w:rPr>
      </w:pPr>
      <w:r w:rsidRPr="00F81955">
        <w:rPr>
          <w:noProof/>
        </w:rPr>
        <w:t>Regulation (EU) 2018/1139 is amended as follows:</w:t>
      </w:r>
    </w:p>
    <w:p w:rsidR="00F95DD8" w:rsidRPr="00F81955" w:rsidRDefault="00C076D8" w:rsidP="00C076D8">
      <w:pPr>
        <w:pStyle w:val="Point0"/>
        <w:rPr>
          <w:noProof/>
        </w:rPr>
      </w:pPr>
      <w:r w:rsidRPr="00C076D8">
        <w:rPr>
          <w:noProof/>
        </w:rPr>
        <w:t>(1)</w:t>
      </w:r>
      <w:r w:rsidRPr="00C076D8">
        <w:rPr>
          <w:noProof/>
        </w:rPr>
        <w:tab/>
      </w:r>
      <w:r w:rsidR="006C0EF5" w:rsidRPr="00F81955">
        <w:rPr>
          <w:noProof/>
        </w:rPr>
        <w:t>i</w:t>
      </w:r>
      <w:r w:rsidR="00F95DD8" w:rsidRPr="00F81955">
        <w:rPr>
          <w:noProof/>
        </w:rPr>
        <w:t>n Article 27, the following paragraph is added:</w:t>
      </w:r>
    </w:p>
    <w:p w:rsidR="00F95DD8" w:rsidRPr="00F81955" w:rsidRDefault="00F95DD8" w:rsidP="00F95DD8">
      <w:pPr>
        <w:pStyle w:val="Point2"/>
        <w:rPr>
          <w:noProof/>
        </w:rPr>
      </w:pPr>
      <w:r w:rsidRPr="00F81955">
        <w:rPr>
          <w:noProof/>
        </w:rPr>
        <w:t>‘3.</w:t>
      </w:r>
      <w:r w:rsidR="00774AC1" w:rsidRPr="00F81955">
        <w:rPr>
          <w:noProof/>
        </w:rPr>
        <w:t xml:space="preserve"> </w:t>
      </w:r>
      <w:r w:rsidRPr="00F81955">
        <w:rPr>
          <w:noProof/>
        </w:rPr>
        <w:t>Without prejudice to paragraph 2, when adopting implementing acts pursuant to paragraph 1 concerning Artificial Intelligence systems which are safety components within the meaning of Regulation (EU) 2024/1689 of the European Parliament and of the Council</w:t>
      </w:r>
      <w:r w:rsidR="003B49D1" w:rsidRPr="00F81955">
        <w:rPr>
          <w:rStyle w:val="FootnoteReference"/>
          <w:noProof/>
        </w:rPr>
        <w:footnoteReference w:id="26"/>
      </w:r>
      <w:r w:rsidRPr="00F81955">
        <w:rPr>
          <w:noProof/>
        </w:rPr>
        <w:t>, the requirements set out in Chapter III, Section 2, of that Regulation shall be taken into account.’</w:t>
      </w:r>
      <w:r w:rsidR="00B05832" w:rsidRPr="00F81955">
        <w:rPr>
          <w:noProof/>
        </w:rPr>
        <w:t>;</w:t>
      </w:r>
    </w:p>
    <w:p w:rsidR="00F95DD8" w:rsidRPr="00F81955" w:rsidRDefault="00C076D8" w:rsidP="00C076D8">
      <w:pPr>
        <w:pStyle w:val="Point0"/>
        <w:rPr>
          <w:noProof/>
        </w:rPr>
      </w:pPr>
      <w:r w:rsidRPr="00C076D8">
        <w:rPr>
          <w:noProof/>
        </w:rPr>
        <w:t>(2)</w:t>
      </w:r>
      <w:r w:rsidRPr="00C076D8">
        <w:rPr>
          <w:noProof/>
        </w:rPr>
        <w:tab/>
      </w:r>
      <w:r w:rsidR="00F95DD8" w:rsidRPr="00F81955">
        <w:rPr>
          <w:noProof/>
        </w:rPr>
        <w:t>in Article 31, the following paragraph is added:</w:t>
      </w:r>
    </w:p>
    <w:p w:rsidR="00F95DD8" w:rsidRPr="00F81955" w:rsidRDefault="00F95DD8" w:rsidP="00F95DD8">
      <w:pPr>
        <w:pStyle w:val="Point2"/>
        <w:rPr>
          <w:noProof/>
        </w:rPr>
      </w:pPr>
      <w:r w:rsidRPr="00F81955">
        <w:rPr>
          <w:noProof/>
        </w:rPr>
        <w:t>‘3.</w:t>
      </w:r>
      <w:r w:rsidR="00774AC1" w:rsidRPr="00F81955">
        <w:rPr>
          <w:noProof/>
        </w:rPr>
        <w:t xml:space="preserve"> </w:t>
      </w:r>
      <w:r w:rsidRPr="00F81955">
        <w:rPr>
          <w:noProof/>
        </w:rPr>
        <w:t>Without prejudice to paragraph 2, when adopting implementing acts pursuant to paragraph 1 concerning Artificial Intelligence systems which are safety components within the meaning of Regulation (EU) 2024/1689 of the European Parliament and of the Council, the requirements set out in Chapter III, Section 2, of that Regulation shall be taken into account.’</w:t>
      </w:r>
      <w:r w:rsidR="00B05832" w:rsidRPr="00F81955">
        <w:rPr>
          <w:noProof/>
        </w:rPr>
        <w:t>;</w:t>
      </w:r>
    </w:p>
    <w:p w:rsidR="00F95DD8" w:rsidRPr="00F81955" w:rsidRDefault="00C076D8" w:rsidP="00C076D8">
      <w:pPr>
        <w:pStyle w:val="Point0"/>
        <w:rPr>
          <w:noProof/>
        </w:rPr>
      </w:pPr>
      <w:r w:rsidRPr="00C076D8">
        <w:rPr>
          <w:noProof/>
        </w:rPr>
        <w:t>(3)</w:t>
      </w:r>
      <w:r w:rsidRPr="00C076D8">
        <w:rPr>
          <w:noProof/>
        </w:rPr>
        <w:tab/>
      </w:r>
      <w:r w:rsidR="00F95DD8" w:rsidRPr="00F81955">
        <w:rPr>
          <w:noProof/>
        </w:rPr>
        <w:t>in Article 32, the following paragraph is added:</w:t>
      </w:r>
    </w:p>
    <w:p w:rsidR="00F95DD8" w:rsidRPr="00F81955" w:rsidRDefault="00F95DD8" w:rsidP="00F95DD8">
      <w:pPr>
        <w:pStyle w:val="Point2"/>
        <w:rPr>
          <w:noProof/>
        </w:rPr>
      </w:pPr>
      <w:r w:rsidRPr="00F81955">
        <w:rPr>
          <w:noProof/>
        </w:rPr>
        <w:t>‘3. When adopting delegated acts pursuant to paragraph 1 concerning Artificial Intelligence systems which are safety components within the meaning of Regulation (EU) 2024/1689 of the European Parliament and of the Council (*), the requirements set out in Chapter III, Section 2, of that Regulation shall be taken into account.’</w:t>
      </w:r>
      <w:r w:rsidR="00B05832" w:rsidRPr="00F81955">
        <w:rPr>
          <w:noProof/>
        </w:rPr>
        <w:t>;</w:t>
      </w:r>
    </w:p>
    <w:p w:rsidR="00F95DD8" w:rsidRPr="00F81955" w:rsidRDefault="00C076D8" w:rsidP="00C076D8">
      <w:pPr>
        <w:pStyle w:val="Point0"/>
        <w:rPr>
          <w:noProof/>
        </w:rPr>
      </w:pPr>
      <w:r w:rsidRPr="00C076D8">
        <w:rPr>
          <w:noProof/>
        </w:rPr>
        <w:t>(4)</w:t>
      </w:r>
      <w:r w:rsidRPr="00C076D8">
        <w:rPr>
          <w:noProof/>
        </w:rPr>
        <w:tab/>
      </w:r>
      <w:r w:rsidR="00F95DD8" w:rsidRPr="00F81955">
        <w:rPr>
          <w:noProof/>
        </w:rPr>
        <w:t>in Article 36, the following paragraph is added:</w:t>
      </w:r>
    </w:p>
    <w:p w:rsidR="00F95DD8" w:rsidRPr="00F81955" w:rsidRDefault="00F95DD8" w:rsidP="00F95DD8">
      <w:pPr>
        <w:pStyle w:val="Point2"/>
        <w:rPr>
          <w:noProof/>
        </w:rPr>
      </w:pPr>
      <w:r w:rsidRPr="00F81955">
        <w:rPr>
          <w:noProof/>
        </w:rPr>
        <w:t>‘3.</w:t>
      </w:r>
      <w:r w:rsidR="00774AC1" w:rsidRPr="00F81955">
        <w:rPr>
          <w:noProof/>
        </w:rPr>
        <w:t xml:space="preserve"> </w:t>
      </w:r>
      <w:r w:rsidRPr="00F81955">
        <w:rPr>
          <w:noProof/>
        </w:rPr>
        <w:t>Without prejudice to paragraph 2, when adopting implementing acts pursuant to paragraph 1 concerning Artificial Intelligence systems which are safety components within the meaning of Regulation (EU) 2024/1689 of the European Parliament and of the Council, the requirements set out in Chapter III, Section 2, of that Regulation shall be taken into account.’</w:t>
      </w:r>
      <w:r w:rsidR="00B05832" w:rsidRPr="00F81955">
        <w:rPr>
          <w:noProof/>
        </w:rPr>
        <w:t>;</w:t>
      </w:r>
    </w:p>
    <w:p w:rsidR="00F95DD8" w:rsidRPr="00F81955" w:rsidRDefault="00C076D8" w:rsidP="00C076D8">
      <w:pPr>
        <w:pStyle w:val="Point0"/>
        <w:rPr>
          <w:noProof/>
        </w:rPr>
      </w:pPr>
      <w:r w:rsidRPr="00C076D8">
        <w:rPr>
          <w:noProof/>
        </w:rPr>
        <w:t>(5)</w:t>
      </w:r>
      <w:r w:rsidRPr="00C076D8">
        <w:rPr>
          <w:noProof/>
        </w:rPr>
        <w:tab/>
      </w:r>
      <w:r w:rsidR="00F95DD8" w:rsidRPr="00F81955">
        <w:rPr>
          <w:noProof/>
        </w:rPr>
        <w:t>in Article 39 the following paragraph is added:</w:t>
      </w:r>
    </w:p>
    <w:p w:rsidR="00F95DD8" w:rsidRPr="00F81955" w:rsidRDefault="00F95DD8" w:rsidP="00B27AC0">
      <w:pPr>
        <w:pStyle w:val="Point2"/>
        <w:rPr>
          <w:noProof/>
        </w:rPr>
      </w:pPr>
      <w:r w:rsidRPr="00F81955">
        <w:rPr>
          <w:noProof/>
        </w:rPr>
        <w:t>‘3.</w:t>
      </w:r>
      <w:r w:rsidR="00774AC1" w:rsidRPr="00F81955">
        <w:rPr>
          <w:noProof/>
        </w:rPr>
        <w:t xml:space="preserve"> </w:t>
      </w:r>
      <w:r w:rsidRPr="00F81955">
        <w:rPr>
          <w:noProof/>
        </w:rPr>
        <w:t>When adopting delegated acts pursuant to paragraph 1 concerning Artificial Intelligence systems which are safety components within the meaning of Regulation (EU) 2024/1689 of the European Parliament and of the Council, the requirements set out in Chapter III, Section 2, of that Regulation shall be taken into account.’</w:t>
      </w:r>
      <w:r w:rsidR="00B05832" w:rsidRPr="00F81955">
        <w:rPr>
          <w:noProof/>
        </w:rPr>
        <w:t>;</w:t>
      </w:r>
    </w:p>
    <w:p w:rsidR="00F95DD8" w:rsidRPr="00F81955" w:rsidRDefault="00C076D8" w:rsidP="00C076D8">
      <w:pPr>
        <w:pStyle w:val="Point0"/>
        <w:rPr>
          <w:noProof/>
        </w:rPr>
      </w:pPr>
      <w:r w:rsidRPr="00C076D8">
        <w:rPr>
          <w:noProof/>
        </w:rPr>
        <w:t>(6)</w:t>
      </w:r>
      <w:r w:rsidRPr="00C076D8">
        <w:rPr>
          <w:noProof/>
        </w:rPr>
        <w:tab/>
      </w:r>
      <w:r w:rsidR="00F95DD8" w:rsidRPr="00F81955">
        <w:rPr>
          <w:noProof/>
        </w:rPr>
        <w:t>in Article 50, the following paragraph is added:</w:t>
      </w:r>
    </w:p>
    <w:p w:rsidR="00F95DD8" w:rsidRPr="00F81955" w:rsidRDefault="00F95DD8" w:rsidP="00F95DD8">
      <w:pPr>
        <w:pStyle w:val="Point2"/>
        <w:rPr>
          <w:noProof/>
        </w:rPr>
      </w:pPr>
      <w:r w:rsidRPr="00F81955">
        <w:rPr>
          <w:noProof/>
        </w:rPr>
        <w:t>‘3.</w:t>
      </w:r>
      <w:r w:rsidR="00774AC1" w:rsidRPr="00F81955">
        <w:rPr>
          <w:noProof/>
        </w:rPr>
        <w:t xml:space="preserve"> </w:t>
      </w:r>
      <w:r w:rsidRPr="00F81955">
        <w:rPr>
          <w:noProof/>
        </w:rPr>
        <w:t>Without prejudice to paragraph 2, when adopting implementing acts pursuant to paragraph 1 concerning Artificial Intelligence systems which are safety components within the meaning of Regulation (EU) 2024/1689 of the European Parliament and of the Council, the requirements set out in Chapter III, Section 2, of that Regulation shall be taken into account.’</w:t>
      </w:r>
      <w:r w:rsidR="00B05832" w:rsidRPr="00F81955">
        <w:rPr>
          <w:noProof/>
        </w:rPr>
        <w:t>;</w:t>
      </w:r>
    </w:p>
    <w:p w:rsidR="00F95DD8" w:rsidRPr="00F81955" w:rsidRDefault="00C076D8" w:rsidP="00C076D8">
      <w:pPr>
        <w:pStyle w:val="Point0"/>
        <w:rPr>
          <w:noProof/>
        </w:rPr>
      </w:pPr>
      <w:r w:rsidRPr="00C076D8">
        <w:rPr>
          <w:noProof/>
        </w:rPr>
        <w:t>(7)</w:t>
      </w:r>
      <w:r w:rsidRPr="00C076D8">
        <w:rPr>
          <w:noProof/>
        </w:rPr>
        <w:tab/>
      </w:r>
      <w:r w:rsidR="00F95DD8" w:rsidRPr="00F81955">
        <w:rPr>
          <w:noProof/>
        </w:rPr>
        <w:t>in Article 53, the following paragraph is added:</w:t>
      </w:r>
    </w:p>
    <w:p w:rsidR="00F95DD8" w:rsidRPr="00F81955" w:rsidRDefault="00F95DD8" w:rsidP="00F95DD8">
      <w:pPr>
        <w:pStyle w:val="Point2"/>
        <w:rPr>
          <w:noProof/>
        </w:rPr>
      </w:pPr>
      <w:r w:rsidRPr="00F81955">
        <w:rPr>
          <w:noProof/>
        </w:rPr>
        <w:t>‘3.</w:t>
      </w:r>
      <w:r w:rsidR="00774AC1" w:rsidRPr="00F81955">
        <w:rPr>
          <w:noProof/>
        </w:rPr>
        <w:t xml:space="preserve"> </w:t>
      </w:r>
      <w:r w:rsidRPr="00F81955">
        <w:rPr>
          <w:noProof/>
        </w:rPr>
        <w:t>Without prejudice to paragraph 2, when adopting implementing acts pursuant to paragraph 1 concerning Artificial Intelligence systems which are safety components within the meaning of Regulation (EU) 2024/1689 of the European Parliament and of the Council, the requirements set out in Chapter III, Section 2, of that Regulation shall be taken into account.’</w:t>
      </w:r>
      <w:r w:rsidR="00B05832" w:rsidRPr="00F81955">
        <w:rPr>
          <w:noProof/>
        </w:rPr>
        <w:t>.</w:t>
      </w:r>
    </w:p>
    <w:p w:rsidR="00F95DD8" w:rsidRPr="00F81955" w:rsidRDefault="00F95DD8" w:rsidP="0002735A">
      <w:pPr>
        <w:rPr>
          <w:noProof/>
        </w:rPr>
      </w:pPr>
    </w:p>
    <w:p w:rsidR="00F95DD8" w:rsidRPr="00F81955" w:rsidRDefault="00F95DD8" w:rsidP="00F95DD8">
      <w:pPr>
        <w:pStyle w:val="Titrearticle"/>
        <w:rPr>
          <w:noProof/>
        </w:rPr>
      </w:pPr>
      <w:r w:rsidRPr="00F81955">
        <w:rPr>
          <w:noProof/>
        </w:rPr>
        <w:t>Article 3</w:t>
      </w:r>
    </w:p>
    <w:p w:rsidR="00943DB8" w:rsidRPr="00F81955" w:rsidRDefault="00943DB8" w:rsidP="00175212">
      <w:pPr>
        <w:jc w:val="center"/>
        <w:rPr>
          <w:noProof/>
        </w:rPr>
      </w:pPr>
      <w:r w:rsidRPr="00F81955">
        <w:rPr>
          <w:b/>
          <w:bCs/>
          <w:noProof/>
        </w:rPr>
        <w:t xml:space="preserve">Entry into force and application </w:t>
      </w:r>
    </w:p>
    <w:p w:rsidR="009C3EE2" w:rsidRPr="00F81955" w:rsidRDefault="009C3EE2" w:rsidP="0002735A">
      <w:pPr>
        <w:rPr>
          <w:noProof/>
        </w:rPr>
      </w:pPr>
      <w:r w:rsidRPr="00F81955">
        <w:rPr>
          <w:noProof/>
        </w:rPr>
        <w:t>This Regulation shall enter into force on the</w:t>
      </w:r>
      <w:r w:rsidR="00E60493" w:rsidRPr="00F81955">
        <w:rPr>
          <w:noProof/>
        </w:rPr>
        <w:t xml:space="preserve"> third</w:t>
      </w:r>
      <w:r w:rsidRPr="00F81955">
        <w:rPr>
          <w:noProof/>
        </w:rPr>
        <w:t xml:space="preserve"> day following that of its publication in the </w:t>
      </w:r>
      <w:r w:rsidRPr="00F81955">
        <w:rPr>
          <w:i/>
          <w:noProof/>
        </w:rPr>
        <w:t>Official Journal of the European Union</w:t>
      </w:r>
      <w:r w:rsidRPr="00F81955">
        <w:rPr>
          <w:noProof/>
        </w:rPr>
        <w:t>.</w:t>
      </w:r>
    </w:p>
    <w:p w:rsidR="009C3EE2" w:rsidRPr="00F81955" w:rsidRDefault="009C3EE2" w:rsidP="00CA327A">
      <w:pPr>
        <w:pStyle w:val="Applicationdirecte"/>
        <w:keepNext/>
        <w:keepLines/>
        <w:rPr>
          <w:noProof/>
        </w:rPr>
      </w:pPr>
      <w:r w:rsidRPr="00F81955">
        <w:rPr>
          <w:noProof/>
        </w:rPr>
        <w:t>This Regulation shall be binding in its entirety and directly applicable in all Member States.</w:t>
      </w:r>
    </w:p>
    <w:p w:rsidR="009C3EE2" w:rsidRPr="00F81955" w:rsidRDefault="004623B1" w:rsidP="004623B1">
      <w:pPr>
        <w:pStyle w:val="Fait"/>
        <w:rPr>
          <w:noProof/>
        </w:rPr>
      </w:pPr>
      <w:r w:rsidRPr="004623B1">
        <w:t>Done at Brussels,</w:t>
      </w:r>
    </w:p>
    <w:p w:rsidR="009C3EE2" w:rsidRPr="00F81955" w:rsidRDefault="009C3EE2" w:rsidP="00CA327A">
      <w:pPr>
        <w:pStyle w:val="Institutionquisigne"/>
        <w:rPr>
          <w:noProof/>
        </w:rPr>
      </w:pPr>
      <w:r w:rsidRPr="00F81955">
        <w:rPr>
          <w:noProof/>
        </w:rPr>
        <w:t>For the European Parliament</w:t>
      </w:r>
      <w:r w:rsidRPr="00F81955">
        <w:rPr>
          <w:noProof/>
        </w:rPr>
        <w:tab/>
        <w:t>For the Council</w:t>
      </w:r>
    </w:p>
    <w:p w:rsidR="009C3EE2" w:rsidRPr="00F81955" w:rsidRDefault="009C3EE2" w:rsidP="009C3EE2">
      <w:pPr>
        <w:pStyle w:val="Personnequisigne"/>
        <w:rPr>
          <w:noProof/>
        </w:rPr>
      </w:pPr>
      <w:r w:rsidRPr="00F81955">
        <w:rPr>
          <w:noProof/>
        </w:rPr>
        <w:t>The President</w:t>
      </w:r>
      <w:r w:rsidRPr="00F81955">
        <w:rPr>
          <w:noProof/>
        </w:rPr>
        <w:tab/>
        <w:t>The President</w:t>
      </w:r>
    </w:p>
    <w:p w:rsidR="009C3EE2" w:rsidRPr="00F81955" w:rsidRDefault="009C3EE2" w:rsidP="009C3EE2">
      <w:pPr>
        <w:rPr>
          <w:noProof/>
        </w:rPr>
        <w:sectPr w:rsidR="009C3EE2" w:rsidRPr="00F81955" w:rsidSect="004623B1">
          <w:footnotePr>
            <w:numRestart w:val="eachSect"/>
          </w:footnotePr>
          <w:pgSz w:w="11907" w:h="16839"/>
          <w:pgMar w:top="1134" w:right="1417" w:bottom="1134" w:left="1417" w:header="709" w:footer="709" w:gutter="0"/>
          <w:cols w:space="708"/>
          <w:docGrid w:linePitch="360"/>
        </w:sectPr>
      </w:pPr>
    </w:p>
    <w:p w:rsidR="009C3EE2" w:rsidRPr="00F81955" w:rsidRDefault="009C3EE2" w:rsidP="0002735A">
      <w:pPr>
        <w:pStyle w:val="Fichefinanciretitre"/>
        <w:keepNext/>
        <w:rPr>
          <w:noProof/>
        </w:rPr>
      </w:pPr>
      <w:r w:rsidRPr="00F81955">
        <w:rPr>
          <w:noProof/>
        </w:rPr>
        <w:t>LEGISLATIVE FINANCIAL AND DIGITAL STATEMENT</w:t>
      </w:r>
    </w:p>
    <w:p w:rsidR="009C3EE2" w:rsidRPr="00F81955" w:rsidRDefault="009C3EE2" w:rsidP="0002735A">
      <w:pPr>
        <w:pStyle w:val="TOC1"/>
        <w:rPr>
          <w:rFonts w:asciiTheme="minorHAnsi" w:eastAsiaTheme="minorEastAsia" w:hAnsiTheme="minorHAnsi" w:cstheme="minorBidi"/>
          <w:noProof/>
          <w:kern w:val="2"/>
          <w:sz w:val="22"/>
          <w:lang w:eastAsia="en-GB"/>
          <w14:ligatures w14:val="standardContextual"/>
        </w:rPr>
      </w:pPr>
      <w:r w:rsidRPr="00F81955">
        <w:rPr>
          <w:noProof/>
        </w:rPr>
        <w:t>1.</w:t>
      </w:r>
      <w:r w:rsidRPr="00F81955">
        <w:rPr>
          <w:rFonts w:asciiTheme="minorHAnsi" w:eastAsiaTheme="minorEastAsia" w:hAnsiTheme="minorHAnsi" w:cstheme="minorBidi"/>
          <w:noProof/>
          <w:kern w:val="2"/>
          <w:sz w:val="22"/>
          <w:lang w:eastAsia="en-GB"/>
          <w14:ligatures w14:val="standardContextual"/>
        </w:rPr>
        <w:tab/>
      </w:r>
      <w:r w:rsidRPr="00F81955">
        <w:rPr>
          <w:noProof/>
        </w:rPr>
        <w:t>FRAMEWORK OF THE PROPOSAL/INITIATIVE</w:t>
      </w:r>
      <w:r w:rsidRPr="00F81955">
        <w:rPr>
          <w:noProof/>
          <w:webHidden/>
        </w:rPr>
        <w:tab/>
        <w:t>3</w:t>
      </w:r>
    </w:p>
    <w:p w:rsidR="009C3EE2" w:rsidRPr="00F81955" w:rsidRDefault="009C3EE2" w:rsidP="0002735A">
      <w:pPr>
        <w:pStyle w:val="TOC2"/>
        <w:rPr>
          <w:rFonts w:asciiTheme="minorHAnsi" w:eastAsiaTheme="minorEastAsia" w:hAnsiTheme="minorHAnsi" w:cstheme="minorBidi"/>
          <w:noProof/>
          <w:kern w:val="2"/>
          <w:sz w:val="22"/>
          <w:lang w:eastAsia="en-GB"/>
          <w14:ligatures w14:val="standardContextual"/>
        </w:rPr>
      </w:pPr>
      <w:r w:rsidRPr="00F81955">
        <w:rPr>
          <w:noProof/>
        </w:rPr>
        <w:t>1.1.</w:t>
      </w:r>
      <w:r w:rsidRPr="00F81955">
        <w:rPr>
          <w:rFonts w:asciiTheme="minorHAnsi" w:eastAsiaTheme="minorEastAsia" w:hAnsiTheme="minorHAnsi" w:cstheme="minorBidi"/>
          <w:noProof/>
          <w:kern w:val="2"/>
          <w:sz w:val="22"/>
          <w:lang w:eastAsia="en-GB"/>
          <w14:ligatures w14:val="standardContextual"/>
        </w:rPr>
        <w:tab/>
      </w:r>
      <w:r w:rsidRPr="00F81955">
        <w:rPr>
          <w:noProof/>
        </w:rPr>
        <w:t>Title of the proposal/initiative</w:t>
      </w:r>
      <w:r w:rsidRPr="00F81955">
        <w:rPr>
          <w:noProof/>
          <w:webHidden/>
        </w:rPr>
        <w:tab/>
        <w:t>3</w:t>
      </w:r>
    </w:p>
    <w:p w:rsidR="009C3EE2" w:rsidRPr="00F81955" w:rsidRDefault="009C3EE2" w:rsidP="0002735A">
      <w:pPr>
        <w:pStyle w:val="TOC2"/>
        <w:rPr>
          <w:rFonts w:asciiTheme="minorHAnsi" w:eastAsiaTheme="minorEastAsia" w:hAnsiTheme="minorHAnsi" w:cstheme="minorBidi"/>
          <w:noProof/>
          <w:kern w:val="2"/>
          <w:sz w:val="22"/>
          <w:lang w:eastAsia="en-GB"/>
          <w14:ligatures w14:val="standardContextual"/>
        </w:rPr>
      </w:pPr>
      <w:r w:rsidRPr="00F81955">
        <w:rPr>
          <w:noProof/>
        </w:rPr>
        <w:t>1.2.</w:t>
      </w:r>
      <w:r w:rsidRPr="00F81955">
        <w:rPr>
          <w:rFonts w:asciiTheme="minorHAnsi" w:eastAsiaTheme="minorEastAsia" w:hAnsiTheme="minorHAnsi" w:cstheme="minorBidi"/>
          <w:noProof/>
          <w:kern w:val="2"/>
          <w:sz w:val="22"/>
          <w:lang w:eastAsia="en-GB"/>
          <w14:ligatures w14:val="standardContextual"/>
        </w:rPr>
        <w:tab/>
      </w:r>
      <w:r w:rsidRPr="00F81955">
        <w:rPr>
          <w:noProof/>
        </w:rPr>
        <w:t>Policy area(s) concerned</w:t>
      </w:r>
      <w:r w:rsidRPr="00F81955">
        <w:rPr>
          <w:noProof/>
          <w:webHidden/>
        </w:rPr>
        <w:tab/>
        <w:t>3</w:t>
      </w:r>
    </w:p>
    <w:p w:rsidR="009C3EE2" w:rsidRPr="00F81955" w:rsidRDefault="009C3EE2" w:rsidP="0002735A">
      <w:pPr>
        <w:pStyle w:val="TOC2"/>
        <w:rPr>
          <w:rFonts w:asciiTheme="minorHAnsi" w:eastAsiaTheme="minorEastAsia" w:hAnsiTheme="minorHAnsi" w:cstheme="minorBidi"/>
          <w:noProof/>
          <w:kern w:val="2"/>
          <w:sz w:val="22"/>
          <w:lang w:eastAsia="en-GB"/>
          <w14:ligatures w14:val="standardContextual"/>
        </w:rPr>
      </w:pPr>
      <w:r w:rsidRPr="00F81955">
        <w:rPr>
          <w:noProof/>
        </w:rPr>
        <w:t>1.3.</w:t>
      </w:r>
      <w:r w:rsidRPr="00F81955">
        <w:rPr>
          <w:rFonts w:asciiTheme="minorHAnsi" w:eastAsiaTheme="minorEastAsia" w:hAnsiTheme="minorHAnsi" w:cstheme="minorBidi"/>
          <w:noProof/>
          <w:kern w:val="2"/>
          <w:sz w:val="22"/>
          <w:lang w:eastAsia="en-GB"/>
          <w14:ligatures w14:val="standardContextual"/>
        </w:rPr>
        <w:tab/>
      </w:r>
      <w:r w:rsidRPr="00F81955">
        <w:rPr>
          <w:noProof/>
        </w:rPr>
        <w:t>Objective(s)</w:t>
      </w:r>
      <w:r w:rsidRPr="00F81955">
        <w:rPr>
          <w:noProof/>
          <w:webHidden/>
        </w:rPr>
        <w:tab/>
        <w:t>3</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1.3.1.</w:t>
      </w:r>
      <w:r w:rsidRPr="00F81955">
        <w:rPr>
          <w:rFonts w:asciiTheme="minorHAnsi" w:eastAsiaTheme="minorEastAsia" w:hAnsiTheme="minorHAnsi" w:cstheme="minorBidi"/>
          <w:noProof/>
          <w:kern w:val="2"/>
          <w:sz w:val="22"/>
          <w:lang w:eastAsia="en-GB"/>
          <w14:ligatures w14:val="standardContextual"/>
        </w:rPr>
        <w:tab/>
      </w:r>
      <w:r w:rsidRPr="00F81955">
        <w:rPr>
          <w:noProof/>
        </w:rPr>
        <w:t>General objective(s)</w:t>
      </w:r>
      <w:r w:rsidRPr="00F81955">
        <w:rPr>
          <w:noProof/>
          <w:webHidden/>
        </w:rPr>
        <w:tab/>
        <w:t>3</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1.3.2.</w:t>
      </w:r>
      <w:r w:rsidRPr="00F81955">
        <w:rPr>
          <w:rFonts w:asciiTheme="minorHAnsi" w:eastAsiaTheme="minorEastAsia" w:hAnsiTheme="minorHAnsi" w:cstheme="minorBidi"/>
          <w:noProof/>
          <w:kern w:val="2"/>
          <w:sz w:val="22"/>
          <w:lang w:eastAsia="en-GB"/>
          <w14:ligatures w14:val="standardContextual"/>
        </w:rPr>
        <w:tab/>
      </w:r>
      <w:r w:rsidRPr="00F81955">
        <w:rPr>
          <w:noProof/>
        </w:rPr>
        <w:t>Specific objective(s)</w:t>
      </w:r>
      <w:r w:rsidRPr="00F81955">
        <w:rPr>
          <w:noProof/>
          <w:webHidden/>
        </w:rPr>
        <w:tab/>
        <w:t>3</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1.3.3.</w:t>
      </w:r>
      <w:r w:rsidRPr="00F81955">
        <w:rPr>
          <w:rFonts w:asciiTheme="minorHAnsi" w:eastAsiaTheme="minorEastAsia" w:hAnsiTheme="minorHAnsi" w:cstheme="minorBidi"/>
          <w:noProof/>
          <w:kern w:val="2"/>
          <w:sz w:val="22"/>
          <w:lang w:eastAsia="en-GB"/>
          <w14:ligatures w14:val="standardContextual"/>
        </w:rPr>
        <w:tab/>
      </w:r>
      <w:r w:rsidRPr="00F81955">
        <w:rPr>
          <w:noProof/>
        </w:rPr>
        <w:t>Expected result(s) and impact</w:t>
      </w:r>
      <w:r w:rsidRPr="00F81955">
        <w:rPr>
          <w:noProof/>
          <w:webHidden/>
        </w:rPr>
        <w:tab/>
        <w:t>3</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1.3.4.</w:t>
      </w:r>
      <w:r w:rsidRPr="00F81955">
        <w:rPr>
          <w:rFonts w:asciiTheme="minorHAnsi" w:eastAsiaTheme="minorEastAsia" w:hAnsiTheme="minorHAnsi" w:cstheme="minorBidi"/>
          <w:noProof/>
          <w:kern w:val="2"/>
          <w:sz w:val="22"/>
          <w:lang w:eastAsia="en-GB"/>
          <w14:ligatures w14:val="standardContextual"/>
        </w:rPr>
        <w:tab/>
      </w:r>
      <w:r w:rsidRPr="00F81955">
        <w:rPr>
          <w:noProof/>
        </w:rPr>
        <w:t>Indicators of performance</w:t>
      </w:r>
      <w:r w:rsidRPr="00F81955">
        <w:rPr>
          <w:noProof/>
          <w:webHidden/>
        </w:rPr>
        <w:tab/>
        <w:t>3</w:t>
      </w:r>
    </w:p>
    <w:p w:rsidR="009C3EE2" w:rsidRPr="00F81955" w:rsidRDefault="009C3EE2" w:rsidP="0002735A">
      <w:pPr>
        <w:pStyle w:val="TOC2"/>
        <w:rPr>
          <w:rFonts w:asciiTheme="minorHAnsi" w:eastAsiaTheme="minorEastAsia" w:hAnsiTheme="minorHAnsi" w:cstheme="minorBidi"/>
          <w:noProof/>
          <w:kern w:val="2"/>
          <w:sz w:val="22"/>
          <w:lang w:eastAsia="en-GB"/>
          <w14:ligatures w14:val="standardContextual"/>
        </w:rPr>
      </w:pPr>
      <w:r w:rsidRPr="00F81955">
        <w:rPr>
          <w:noProof/>
        </w:rPr>
        <w:t>1.4.</w:t>
      </w:r>
      <w:r w:rsidRPr="00F81955">
        <w:rPr>
          <w:rFonts w:asciiTheme="minorHAnsi" w:eastAsiaTheme="minorEastAsia" w:hAnsiTheme="minorHAnsi" w:cstheme="minorBidi"/>
          <w:noProof/>
          <w:kern w:val="2"/>
          <w:sz w:val="22"/>
          <w:lang w:eastAsia="en-GB"/>
          <w14:ligatures w14:val="standardContextual"/>
        </w:rPr>
        <w:tab/>
      </w:r>
      <w:r w:rsidRPr="00F81955">
        <w:rPr>
          <w:noProof/>
        </w:rPr>
        <w:t>The proposal/initiative relates to:</w:t>
      </w:r>
      <w:r w:rsidRPr="00F81955">
        <w:rPr>
          <w:noProof/>
          <w:webHidden/>
        </w:rPr>
        <w:tab/>
        <w:t>4</w:t>
      </w:r>
    </w:p>
    <w:p w:rsidR="009C3EE2" w:rsidRPr="00F81955" w:rsidRDefault="009C3EE2" w:rsidP="0002735A">
      <w:pPr>
        <w:pStyle w:val="TOC2"/>
        <w:rPr>
          <w:rFonts w:asciiTheme="minorHAnsi" w:eastAsiaTheme="minorEastAsia" w:hAnsiTheme="minorHAnsi" w:cstheme="minorBidi"/>
          <w:noProof/>
          <w:kern w:val="2"/>
          <w:sz w:val="22"/>
          <w:lang w:eastAsia="en-GB"/>
          <w14:ligatures w14:val="standardContextual"/>
        </w:rPr>
      </w:pPr>
      <w:r w:rsidRPr="00F81955">
        <w:rPr>
          <w:noProof/>
        </w:rPr>
        <w:t>1.5.</w:t>
      </w:r>
      <w:r w:rsidRPr="00F81955">
        <w:rPr>
          <w:rFonts w:asciiTheme="minorHAnsi" w:eastAsiaTheme="minorEastAsia" w:hAnsiTheme="minorHAnsi" w:cstheme="minorBidi"/>
          <w:noProof/>
          <w:kern w:val="2"/>
          <w:sz w:val="22"/>
          <w:lang w:eastAsia="en-GB"/>
          <w14:ligatures w14:val="standardContextual"/>
        </w:rPr>
        <w:tab/>
      </w:r>
      <w:r w:rsidRPr="00F81955">
        <w:rPr>
          <w:noProof/>
        </w:rPr>
        <w:t>Grounds for the proposal/initiative</w:t>
      </w:r>
      <w:r w:rsidRPr="00F81955">
        <w:rPr>
          <w:noProof/>
          <w:webHidden/>
        </w:rPr>
        <w:tab/>
        <w:t>4</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1.5.1.</w:t>
      </w:r>
      <w:r w:rsidRPr="00F81955">
        <w:rPr>
          <w:rFonts w:asciiTheme="minorHAnsi" w:eastAsiaTheme="minorEastAsia" w:hAnsiTheme="minorHAnsi" w:cstheme="minorBidi"/>
          <w:noProof/>
          <w:kern w:val="2"/>
          <w:sz w:val="22"/>
          <w:lang w:eastAsia="en-GB"/>
          <w14:ligatures w14:val="standardContextual"/>
        </w:rPr>
        <w:tab/>
      </w:r>
      <w:r w:rsidRPr="00F81955">
        <w:rPr>
          <w:noProof/>
        </w:rPr>
        <w:t>Requirement(s) to be met in the short or long term including a detailed timeline for roll-out of the implementation of the initiative</w:t>
      </w:r>
      <w:r w:rsidRPr="00F81955">
        <w:rPr>
          <w:noProof/>
          <w:webHidden/>
        </w:rPr>
        <w:tab/>
        <w:t>4</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1.5.2.</w:t>
      </w:r>
      <w:r w:rsidRPr="00F81955">
        <w:rPr>
          <w:rFonts w:asciiTheme="minorHAnsi" w:eastAsiaTheme="minorEastAsia" w:hAnsiTheme="minorHAnsi" w:cstheme="minorBidi"/>
          <w:noProof/>
          <w:kern w:val="2"/>
          <w:sz w:val="22"/>
          <w:lang w:eastAsia="en-GB"/>
          <w14:ligatures w14:val="standardContextual"/>
        </w:rPr>
        <w:tab/>
      </w:r>
      <w:r w:rsidRPr="00F81955">
        <w:rPr>
          <w:noProof/>
        </w:rPr>
        <w:t xml:space="preserve">Added value of EU involvement (it may result from different factors, e.g. coordination gains, legal certainty, greater effectiveness or complementarities). For the purposes of this section </w:t>
      </w:r>
      <w:r w:rsidR="001235E3" w:rsidRPr="00F81955">
        <w:rPr>
          <w:noProof/>
        </w:rPr>
        <w:t>‘</w:t>
      </w:r>
      <w:r w:rsidRPr="00F81955">
        <w:rPr>
          <w:noProof/>
        </w:rPr>
        <w:t>added value of EU involvement</w:t>
      </w:r>
      <w:r w:rsidR="001235E3" w:rsidRPr="00F81955">
        <w:rPr>
          <w:noProof/>
        </w:rPr>
        <w:t>’</w:t>
      </w:r>
      <w:r w:rsidRPr="00F81955">
        <w:rPr>
          <w:noProof/>
        </w:rPr>
        <w:t xml:space="preserve"> is the value resulting from EU action, that is additional to the value that would have been otherwise created by Member States alone.</w:t>
      </w:r>
      <w:r w:rsidRPr="00F81955">
        <w:rPr>
          <w:noProof/>
          <w:webHidden/>
        </w:rPr>
        <w:tab/>
        <w:t>4</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1.5.3.</w:t>
      </w:r>
      <w:r w:rsidRPr="00F81955">
        <w:rPr>
          <w:rFonts w:asciiTheme="minorHAnsi" w:eastAsiaTheme="minorEastAsia" w:hAnsiTheme="minorHAnsi" w:cstheme="minorBidi"/>
          <w:noProof/>
          <w:kern w:val="2"/>
          <w:sz w:val="22"/>
          <w:lang w:eastAsia="en-GB"/>
          <w14:ligatures w14:val="standardContextual"/>
        </w:rPr>
        <w:tab/>
      </w:r>
      <w:r w:rsidRPr="00F81955">
        <w:rPr>
          <w:noProof/>
        </w:rPr>
        <w:t>Lessons learned from similar experiences in the past</w:t>
      </w:r>
      <w:r w:rsidRPr="00F81955">
        <w:rPr>
          <w:noProof/>
          <w:webHidden/>
        </w:rPr>
        <w:tab/>
        <w:t>4</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1.5.4.</w:t>
      </w:r>
      <w:r w:rsidRPr="00F81955">
        <w:rPr>
          <w:rFonts w:asciiTheme="minorHAnsi" w:eastAsiaTheme="minorEastAsia" w:hAnsiTheme="minorHAnsi" w:cstheme="minorBidi"/>
          <w:noProof/>
          <w:kern w:val="2"/>
          <w:sz w:val="22"/>
          <w:lang w:eastAsia="en-GB"/>
          <w14:ligatures w14:val="standardContextual"/>
        </w:rPr>
        <w:tab/>
      </w:r>
      <w:r w:rsidRPr="00F81955">
        <w:rPr>
          <w:noProof/>
        </w:rPr>
        <w:t>Compatibility with the multiannual financial framework and possible synergies with other appropriate instruments</w:t>
      </w:r>
      <w:r w:rsidRPr="00F81955">
        <w:rPr>
          <w:noProof/>
          <w:webHidden/>
        </w:rPr>
        <w:tab/>
        <w:t>5</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1.5.5.</w:t>
      </w:r>
      <w:r w:rsidRPr="00F81955">
        <w:rPr>
          <w:rFonts w:asciiTheme="minorHAnsi" w:eastAsiaTheme="minorEastAsia" w:hAnsiTheme="minorHAnsi" w:cstheme="minorBidi"/>
          <w:noProof/>
          <w:kern w:val="2"/>
          <w:sz w:val="22"/>
          <w:lang w:eastAsia="en-GB"/>
          <w14:ligatures w14:val="standardContextual"/>
        </w:rPr>
        <w:tab/>
      </w:r>
      <w:r w:rsidRPr="00F81955">
        <w:rPr>
          <w:noProof/>
        </w:rPr>
        <w:t>Assessment of the different available financing options, including scope for redeployment</w:t>
      </w:r>
      <w:r w:rsidRPr="00F81955">
        <w:rPr>
          <w:noProof/>
          <w:webHidden/>
        </w:rPr>
        <w:tab/>
        <w:t>5</w:t>
      </w:r>
    </w:p>
    <w:p w:rsidR="009C3EE2" w:rsidRPr="00F81955" w:rsidRDefault="009C3EE2" w:rsidP="0002735A">
      <w:pPr>
        <w:pStyle w:val="TOC2"/>
        <w:rPr>
          <w:rFonts w:asciiTheme="minorHAnsi" w:eastAsiaTheme="minorEastAsia" w:hAnsiTheme="minorHAnsi" w:cstheme="minorBidi"/>
          <w:noProof/>
          <w:kern w:val="2"/>
          <w:sz w:val="22"/>
          <w:lang w:eastAsia="en-GB"/>
          <w14:ligatures w14:val="standardContextual"/>
        </w:rPr>
      </w:pPr>
      <w:r w:rsidRPr="00F81955">
        <w:rPr>
          <w:noProof/>
        </w:rPr>
        <w:t>1.6.</w:t>
      </w:r>
      <w:r w:rsidRPr="00F81955">
        <w:rPr>
          <w:rFonts w:asciiTheme="minorHAnsi" w:eastAsiaTheme="minorEastAsia" w:hAnsiTheme="minorHAnsi" w:cstheme="minorBidi"/>
          <w:noProof/>
          <w:kern w:val="2"/>
          <w:sz w:val="22"/>
          <w:lang w:eastAsia="en-GB"/>
          <w14:ligatures w14:val="standardContextual"/>
        </w:rPr>
        <w:tab/>
      </w:r>
      <w:r w:rsidRPr="00F81955">
        <w:rPr>
          <w:noProof/>
        </w:rPr>
        <w:t>Duration of the proposal/initiative and of its financial impact</w:t>
      </w:r>
      <w:r w:rsidRPr="00F81955">
        <w:rPr>
          <w:noProof/>
          <w:webHidden/>
        </w:rPr>
        <w:tab/>
        <w:t>6</w:t>
      </w:r>
    </w:p>
    <w:p w:rsidR="009C3EE2" w:rsidRPr="00F81955" w:rsidRDefault="009C3EE2" w:rsidP="0002735A">
      <w:pPr>
        <w:pStyle w:val="TOC2"/>
        <w:rPr>
          <w:rFonts w:asciiTheme="minorHAnsi" w:eastAsiaTheme="minorEastAsia" w:hAnsiTheme="minorHAnsi" w:cstheme="minorBidi"/>
          <w:noProof/>
          <w:kern w:val="2"/>
          <w:sz w:val="22"/>
          <w:lang w:eastAsia="en-GB"/>
          <w14:ligatures w14:val="standardContextual"/>
        </w:rPr>
      </w:pPr>
      <w:r w:rsidRPr="00F81955">
        <w:rPr>
          <w:noProof/>
        </w:rPr>
        <w:t>1.7.</w:t>
      </w:r>
      <w:r w:rsidRPr="00F81955">
        <w:rPr>
          <w:rFonts w:asciiTheme="minorHAnsi" w:eastAsiaTheme="minorEastAsia" w:hAnsiTheme="minorHAnsi" w:cstheme="minorBidi"/>
          <w:noProof/>
          <w:kern w:val="2"/>
          <w:sz w:val="22"/>
          <w:lang w:eastAsia="en-GB"/>
          <w14:ligatures w14:val="standardContextual"/>
        </w:rPr>
        <w:tab/>
      </w:r>
      <w:r w:rsidRPr="00F81955">
        <w:rPr>
          <w:noProof/>
        </w:rPr>
        <w:t>Method(s) of budget implementation planned</w:t>
      </w:r>
      <w:r w:rsidRPr="00F81955">
        <w:rPr>
          <w:noProof/>
          <w:webHidden/>
        </w:rPr>
        <w:tab/>
        <w:t>6</w:t>
      </w:r>
    </w:p>
    <w:p w:rsidR="009C3EE2" w:rsidRPr="00F81955" w:rsidRDefault="009C3EE2" w:rsidP="0002735A">
      <w:pPr>
        <w:pStyle w:val="TOC1"/>
        <w:rPr>
          <w:rFonts w:asciiTheme="minorHAnsi" w:eastAsiaTheme="minorEastAsia" w:hAnsiTheme="minorHAnsi" w:cstheme="minorBidi"/>
          <w:noProof/>
          <w:kern w:val="2"/>
          <w:sz w:val="22"/>
          <w:lang w:eastAsia="en-GB"/>
          <w14:ligatures w14:val="standardContextual"/>
        </w:rPr>
      </w:pPr>
      <w:r w:rsidRPr="00F81955">
        <w:rPr>
          <w:noProof/>
        </w:rPr>
        <w:t>2.</w:t>
      </w:r>
      <w:r w:rsidRPr="00F81955">
        <w:rPr>
          <w:rFonts w:asciiTheme="minorHAnsi" w:eastAsiaTheme="minorEastAsia" w:hAnsiTheme="minorHAnsi" w:cstheme="minorBidi"/>
          <w:noProof/>
          <w:kern w:val="2"/>
          <w:sz w:val="22"/>
          <w:lang w:eastAsia="en-GB"/>
          <w14:ligatures w14:val="standardContextual"/>
        </w:rPr>
        <w:tab/>
      </w:r>
      <w:r w:rsidRPr="00F81955">
        <w:rPr>
          <w:noProof/>
        </w:rPr>
        <w:t>MANAGEMENT MEASURES</w:t>
      </w:r>
      <w:r w:rsidRPr="00F81955">
        <w:rPr>
          <w:noProof/>
          <w:webHidden/>
        </w:rPr>
        <w:tab/>
        <w:t>8</w:t>
      </w:r>
    </w:p>
    <w:p w:rsidR="009C3EE2" w:rsidRPr="00F81955" w:rsidRDefault="009C3EE2" w:rsidP="0002735A">
      <w:pPr>
        <w:pStyle w:val="TOC2"/>
        <w:rPr>
          <w:rFonts w:asciiTheme="minorHAnsi" w:eastAsiaTheme="minorEastAsia" w:hAnsiTheme="minorHAnsi" w:cstheme="minorBidi"/>
          <w:noProof/>
          <w:kern w:val="2"/>
          <w:sz w:val="22"/>
          <w:lang w:eastAsia="en-GB"/>
          <w14:ligatures w14:val="standardContextual"/>
        </w:rPr>
      </w:pPr>
      <w:r w:rsidRPr="00F81955">
        <w:rPr>
          <w:noProof/>
        </w:rPr>
        <w:t>2.1.</w:t>
      </w:r>
      <w:r w:rsidRPr="00F81955">
        <w:rPr>
          <w:rFonts w:asciiTheme="minorHAnsi" w:eastAsiaTheme="minorEastAsia" w:hAnsiTheme="minorHAnsi" w:cstheme="minorBidi"/>
          <w:noProof/>
          <w:kern w:val="2"/>
          <w:sz w:val="22"/>
          <w:lang w:eastAsia="en-GB"/>
          <w14:ligatures w14:val="standardContextual"/>
        </w:rPr>
        <w:tab/>
      </w:r>
      <w:r w:rsidRPr="00F81955">
        <w:rPr>
          <w:noProof/>
        </w:rPr>
        <w:t>Monitoring and reporting rules</w:t>
      </w:r>
      <w:r w:rsidRPr="00F81955">
        <w:rPr>
          <w:noProof/>
          <w:webHidden/>
        </w:rPr>
        <w:tab/>
        <w:t>8</w:t>
      </w:r>
    </w:p>
    <w:p w:rsidR="009C3EE2" w:rsidRPr="00F81955" w:rsidRDefault="009C3EE2" w:rsidP="0002735A">
      <w:pPr>
        <w:pStyle w:val="TOC2"/>
        <w:rPr>
          <w:rFonts w:asciiTheme="minorHAnsi" w:eastAsiaTheme="minorEastAsia" w:hAnsiTheme="minorHAnsi" w:cstheme="minorBidi"/>
          <w:noProof/>
          <w:kern w:val="2"/>
          <w:sz w:val="22"/>
          <w:lang w:eastAsia="en-GB"/>
          <w14:ligatures w14:val="standardContextual"/>
        </w:rPr>
      </w:pPr>
      <w:r w:rsidRPr="00F81955">
        <w:rPr>
          <w:noProof/>
        </w:rPr>
        <w:t>2.2.</w:t>
      </w:r>
      <w:r w:rsidRPr="00F81955">
        <w:rPr>
          <w:rFonts w:asciiTheme="minorHAnsi" w:eastAsiaTheme="minorEastAsia" w:hAnsiTheme="minorHAnsi" w:cstheme="minorBidi"/>
          <w:noProof/>
          <w:kern w:val="2"/>
          <w:sz w:val="22"/>
          <w:lang w:eastAsia="en-GB"/>
          <w14:ligatures w14:val="standardContextual"/>
        </w:rPr>
        <w:tab/>
      </w:r>
      <w:r w:rsidRPr="00F81955">
        <w:rPr>
          <w:noProof/>
        </w:rPr>
        <w:t>Management and control system(s)</w:t>
      </w:r>
      <w:r w:rsidRPr="00F81955">
        <w:rPr>
          <w:noProof/>
          <w:webHidden/>
        </w:rPr>
        <w:tab/>
        <w:t>8</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2.2.1.</w:t>
      </w:r>
      <w:r w:rsidRPr="00F81955">
        <w:rPr>
          <w:rFonts w:asciiTheme="minorHAnsi" w:eastAsiaTheme="minorEastAsia" w:hAnsiTheme="minorHAnsi" w:cstheme="minorBidi"/>
          <w:noProof/>
          <w:kern w:val="2"/>
          <w:sz w:val="22"/>
          <w:lang w:eastAsia="en-GB"/>
          <w14:ligatures w14:val="standardContextual"/>
        </w:rPr>
        <w:tab/>
      </w:r>
      <w:r w:rsidRPr="00F81955">
        <w:rPr>
          <w:noProof/>
        </w:rPr>
        <w:t>Justification of the budget implementation method(s), the funding implementation mechanism(s), the payment modalities and the control strategy proposed</w:t>
      </w:r>
      <w:r w:rsidRPr="00F81955">
        <w:rPr>
          <w:noProof/>
          <w:webHidden/>
        </w:rPr>
        <w:tab/>
        <w:t>8</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2.2.2.</w:t>
      </w:r>
      <w:r w:rsidRPr="00F81955">
        <w:rPr>
          <w:rFonts w:asciiTheme="minorHAnsi" w:eastAsiaTheme="minorEastAsia" w:hAnsiTheme="minorHAnsi" w:cstheme="minorBidi"/>
          <w:noProof/>
          <w:kern w:val="2"/>
          <w:sz w:val="22"/>
          <w:lang w:eastAsia="en-GB"/>
          <w14:ligatures w14:val="standardContextual"/>
        </w:rPr>
        <w:tab/>
      </w:r>
      <w:r w:rsidRPr="00F81955">
        <w:rPr>
          <w:noProof/>
        </w:rPr>
        <w:t>Information concerning the risks identified and the internal control system(s) set up to mitigate them</w:t>
      </w:r>
      <w:r w:rsidRPr="00F81955">
        <w:rPr>
          <w:noProof/>
          <w:webHidden/>
        </w:rPr>
        <w:tab/>
        <w:t>8</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2.2.3.</w:t>
      </w:r>
      <w:r w:rsidRPr="00F81955">
        <w:rPr>
          <w:rFonts w:asciiTheme="minorHAnsi" w:eastAsiaTheme="minorEastAsia" w:hAnsiTheme="minorHAnsi" w:cstheme="minorBidi"/>
          <w:noProof/>
          <w:kern w:val="2"/>
          <w:sz w:val="22"/>
          <w:lang w:eastAsia="en-GB"/>
          <w14:ligatures w14:val="standardContextual"/>
        </w:rPr>
        <w:tab/>
      </w:r>
      <w:r w:rsidRPr="00F81955">
        <w:rPr>
          <w:noProof/>
        </w:rPr>
        <w:t>Estimation and justification of the cost-effectiveness of the controls (ratio between the control costs and the value of the related funds managed), and assessment of the expected levels of risk of error (at payment &amp; at closure)</w:t>
      </w:r>
      <w:r w:rsidRPr="00F81955">
        <w:rPr>
          <w:noProof/>
          <w:webHidden/>
        </w:rPr>
        <w:tab/>
        <w:t>8</w:t>
      </w:r>
    </w:p>
    <w:p w:rsidR="009C3EE2" w:rsidRPr="00F81955" w:rsidRDefault="009C3EE2" w:rsidP="0002735A">
      <w:pPr>
        <w:pStyle w:val="TOC2"/>
        <w:rPr>
          <w:rFonts w:asciiTheme="minorHAnsi" w:eastAsiaTheme="minorEastAsia" w:hAnsiTheme="minorHAnsi" w:cstheme="minorBidi"/>
          <w:noProof/>
          <w:kern w:val="2"/>
          <w:sz w:val="22"/>
          <w:lang w:eastAsia="en-GB"/>
          <w14:ligatures w14:val="standardContextual"/>
        </w:rPr>
      </w:pPr>
      <w:r w:rsidRPr="00F81955">
        <w:rPr>
          <w:noProof/>
        </w:rPr>
        <w:t>2.3.</w:t>
      </w:r>
      <w:r w:rsidRPr="00F81955">
        <w:rPr>
          <w:rFonts w:asciiTheme="minorHAnsi" w:eastAsiaTheme="minorEastAsia" w:hAnsiTheme="minorHAnsi" w:cstheme="minorBidi"/>
          <w:noProof/>
          <w:kern w:val="2"/>
          <w:sz w:val="22"/>
          <w:lang w:eastAsia="en-GB"/>
          <w14:ligatures w14:val="standardContextual"/>
        </w:rPr>
        <w:tab/>
      </w:r>
      <w:r w:rsidRPr="00F81955">
        <w:rPr>
          <w:noProof/>
        </w:rPr>
        <w:t>Measures to prevent fraud and irregularities</w:t>
      </w:r>
      <w:r w:rsidRPr="00F81955">
        <w:rPr>
          <w:noProof/>
          <w:webHidden/>
        </w:rPr>
        <w:tab/>
        <w:t>9</w:t>
      </w:r>
    </w:p>
    <w:p w:rsidR="009C3EE2" w:rsidRPr="00F81955" w:rsidRDefault="009C3EE2" w:rsidP="0002735A">
      <w:pPr>
        <w:pStyle w:val="TOC1"/>
        <w:rPr>
          <w:rFonts w:asciiTheme="minorHAnsi" w:eastAsiaTheme="minorEastAsia" w:hAnsiTheme="minorHAnsi" w:cstheme="minorBidi"/>
          <w:noProof/>
          <w:kern w:val="2"/>
          <w:sz w:val="22"/>
          <w:lang w:eastAsia="en-GB"/>
          <w14:ligatures w14:val="standardContextual"/>
        </w:rPr>
      </w:pPr>
      <w:r w:rsidRPr="00F81955">
        <w:rPr>
          <w:noProof/>
        </w:rPr>
        <w:t>3.</w:t>
      </w:r>
      <w:r w:rsidRPr="00F81955">
        <w:rPr>
          <w:rFonts w:asciiTheme="minorHAnsi" w:eastAsiaTheme="minorEastAsia" w:hAnsiTheme="minorHAnsi" w:cstheme="minorBidi"/>
          <w:noProof/>
          <w:kern w:val="2"/>
          <w:sz w:val="22"/>
          <w:lang w:eastAsia="en-GB"/>
          <w14:ligatures w14:val="standardContextual"/>
        </w:rPr>
        <w:tab/>
      </w:r>
      <w:r w:rsidRPr="00F81955">
        <w:rPr>
          <w:noProof/>
        </w:rPr>
        <w:t>ESTIMATED FINANCIAL IMPACT OF THE PROPOSAL/INITIATIVE</w:t>
      </w:r>
      <w:r w:rsidRPr="00F81955">
        <w:rPr>
          <w:noProof/>
          <w:webHidden/>
        </w:rPr>
        <w:tab/>
        <w:t>10</w:t>
      </w:r>
    </w:p>
    <w:p w:rsidR="009C3EE2" w:rsidRPr="00F81955" w:rsidRDefault="009C3EE2" w:rsidP="0002735A">
      <w:pPr>
        <w:pStyle w:val="TOC2"/>
        <w:rPr>
          <w:rFonts w:asciiTheme="minorHAnsi" w:eastAsiaTheme="minorEastAsia" w:hAnsiTheme="minorHAnsi" w:cstheme="minorBidi"/>
          <w:noProof/>
          <w:kern w:val="2"/>
          <w:sz w:val="22"/>
          <w:lang w:eastAsia="en-GB"/>
          <w14:ligatures w14:val="standardContextual"/>
        </w:rPr>
      </w:pPr>
      <w:r w:rsidRPr="00F81955">
        <w:rPr>
          <w:noProof/>
        </w:rPr>
        <w:t>3.1.</w:t>
      </w:r>
      <w:r w:rsidRPr="00F81955">
        <w:rPr>
          <w:rFonts w:asciiTheme="minorHAnsi" w:eastAsiaTheme="minorEastAsia" w:hAnsiTheme="minorHAnsi" w:cstheme="minorBidi"/>
          <w:noProof/>
          <w:kern w:val="2"/>
          <w:sz w:val="22"/>
          <w:lang w:eastAsia="en-GB"/>
          <w14:ligatures w14:val="standardContextual"/>
        </w:rPr>
        <w:tab/>
      </w:r>
      <w:r w:rsidRPr="00F81955">
        <w:rPr>
          <w:noProof/>
        </w:rPr>
        <w:t>Heading(s) of the multiannual financial framework and expenditure budget line(s) affected</w:t>
      </w:r>
      <w:r w:rsidRPr="00F81955">
        <w:rPr>
          <w:noProof/>
          <w:webHidden/>
        </w:rPr>
        <w:tab/>
        <w:t>10</w:t>
      </w:r>
    </w:p>
    <w:p w:rsidR="009C3EE2" w:rsidRPr="00F81955" w:rsidRDefault="009C3EE2" w:rsidP="0002735A">
      <w:pPr>
        <w:pStyle w:val="TOC2"/>
        <w:rPr>
          <w:rFonts w:asciiTheme="minorHAnsi" w:eastAsiaTheme="minorEastAsia" w:hAnsiTheme="minorHAnsi" w:cstheme="minorBidi"/>
          <w:noProof/>
          <w:kern w:val="2"/>
          <w:sz w:val="22"/>
          <w:lang w:eastAsia="en-GB"/>
          <w14:ligatures w14:val="standardContextual"/>
        </w:rPr>
      </w:pPr>
      <w:r w:rsidRPr="00F81955">
        <w:rPr>
          <w:noProof/>
        </w:rPr>
        <w:t>3.2.</w:t>
      </w:r>
      <w:r w:rsidRPr="00F81955">
        <w:rPr>
          <w:rFonts w:asciiTheme="minorHAnsi" w:eastAsiaTheme="minorEastAsia" w:hAnsiTheme="minorHAnsi" w:cstheme="minorBidi"/>
          <w:noProof/>
          <w:kern w:val="2"/>
          <w:sz w:val="22"/>
          <w:lang w:eastAsia="en-GB"/>
          <w14:ligatures w14:val="standardContextual"/>
        </w:rPr>
        <w:tab/>
      </w:r>
      <w:r w:rsidRPr="00F81955">
        <w:rPr>
          <w:noProof/>
        </w:rPr>
        <w:t>Estimated financial impact of the proposal on appropriations</w:t>
      </w:r>
      <w:r w:rsidRPr="00F81955">
        <w:rPr>
          <w:noProof/>
          <w:webHidden/>
        </w:rPr>
        <w:tab/>
        <w:t>12</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3.2.1.</w:t>
      </w:r>
      <w:r w:rsidRPr="00F81955">
        <w:rPr>
          <w:rFonts w:asciiTheme="minorHAnsi" w:eastAsiaTheme="minorEastAsia" w:hAnsiTheme="minorHAnsi" w:cstheme="minorBidi"/>
          <w:noProof/>
          <w:kern w:val="2"/>
          <w:sz w:val="22"/>
          <w:lang w:eastAsia="en-GB"/>
          <w14:ligatures w14:val="standardContextual"/>
        </w:rPr>
        <w:tab/>
      </w:r>
      <w:r w:rsidRPr="00F81955">
        <w:rPr>
          <w:noProof/>
        </w:rPr>
        <w:t>Summary of estimated impact on operational appropriations</w:t>
      </w:r>
      <w:r w:rsidRPr="00F81955">
        <w:rPr>
          <w:noProof/>
          <w:webHidden/>
        </w:rPr>
        <w:tab/>
        <w:t>12</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3.2.1.1.</w:t>
      </w:r>
      <w:r w:rsidRPr="00F81955">
        <w:rPr>
          <w:rFonts w:asciiTheme="minorHAnsi" w:eastAsiaTheme="minorEastAsia" w:hAnsiTheme="minorHAnsi" w:cstheme="minorBidi"/>
          <w:noProof/>
          <w:kern w:val="2"/>
          <w:sz w:val="22"/>
          <w:lang w:eastAsia="en-GB"/>
          <w14:ligatures w14:val="standardContextual"/>
        </w:rPr>
        <w:tab/>
      </w:r>
      <w:r w:rsidRPr="00F81955">
        <w:rPr>
          <w:noProof/>
        </w:rPr>
        <w:t>Appropriations from voted budget</w:t>
      </w:r>
      <w:r w:rsidRPr="00F81955">
        <w:rPr>
          <w:noProof/>
          <w:webHidden/>
        </w:rPr>
        <w:tab/>
        <w:t>12</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3.2.1.2.</w:t>
      </w:r>
      <w:r w:rsidRPr="00F81955">
        <w:rPr>
          <w:rFonts w:asciiTheme="minorHAnsi" w:eastAsiaTheme="minorEastAsia" w:hAnsiTheme="minorHAnsi" w:cstheme="minorBidi"/>
          <w:noProof/>
          <w:kern w:val="2"/>
          <w:sz w:val="22"/>
          <w:lang w:eastAsia="en-GB"/>
          <w14:ligatures w14:val="standardContextual"/>
        </w:rPr>
        <w:tab/>
      </w:r>
      <w:r w:rsidRPr="00F81955">
        <w:rPr>
          <w:noProof/>
        </w:rPr>
        <w:t>Appropriations from external assigned revenues</w:t>
      </w:r>
      <w:r w:rsidRPr="00F81955">
        <w:rPr>
          <w:noProof/>
          <w:webHidden/>
        </w:rPr>
        <w:tab/>
        <w:t>17</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3.2.2.</w:t>
      </w:r>
      <w:r w:rsidRPr="00F81955">
        <w:rPr>
          <w:rFonts w:asciiTheme="minorHAnsi" w:eastAsiaTheme="minorEastAsia" w:hAnsiTheme="minorHAnsi" w:cstheme="minorBidi"/>
          <w:noProof/>
          <w:kern w:val="2"/>
          <w:sz w:val="22"/>
          <w:lang w:eastAsia="en-GB"/>
          <w14:ligatures w14:val="standardContextual"/>
        </w:rPr>
        <w:tab/>
      </w:r>
      <w:r w:rsidRPr="00F81955">
        <w:rPr>
          <w:noProof/>
        </w:rPr>
        <w:t>Estimated output funded from operational appropriations</w:t>
      </w:r>
      <w:r w:rsidRPr="00F81955">
        <w:rPr>
          <w:noProof/>
          <w:webHidden/>
        </w:rPr>
        <w:tab/>
        <w:t>22</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3.2.3.</w:t>
      </w:r>
      <w:r w:rsidRPr="00F81955">
        <w:rPr>
          <w:rFonts w:asciiTheme="minorHAnsi" w:eastAsiaTheme="minorEastAsia" w:hAnsiTheme="minorHAnsi" w:cstheme="minorBidi"/>
          <w:noProof/>
          <w:kern w:val="2"/>
          <w:sz w:val="22"/>
          <w:lang w:eastAsia="en-GB"/>
          <w14:ligatures w14:val="standardContextual"/>
        </w:rPr>
        <w:tab/>
      </w:r>
      <w:r w:rsidRPr="00F81955">
        <w:rPr>
          <w:noProof/>
        </w:rPr>
        <w:t>Summary of estimated impact on administrative appropriations</w:t>
      </w:r>
      <w:r w:rsidRPr="00F81955">
        <w:rPr>
          <w:noProof/>
          <w:webHidden/>
        </w:rPr>
        <w:tab/>
        <w:t>24</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 xml:space="preserve">3.2.3.1. Appropriations </w:t>
      </w:r>
      <w:r w:rsidRPr="00F81955">
        <w:rPr>
          <w:rFonts w:eastAsia="Calibri"/>
          <w:noProof/>
        </w:rPr>
        <w:t>from</w:t>
      </w:r>
      <w:r w:rsidRPr="00F81955">
        <w:rPr>
          <w:noProof/>
        </w:rPr>
        <w:t xml:space="preserve"> voted budget</w:t>
      </w:r>
      <w:r w:rsidRPr="00F81955">
        <w:rPr>
          <w:noProof/>
          <w:webHidden/>
        </w:rPr>
        <w:tab/>
        <w:t>24</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3.2.3.2.</w:t>
      </w:r>
      <w:r w:rsidRPr="00F81955">
        <w:rPr>
          <w:rFonts w:asciiTheme="minorHAnsi" w:eastAsiaTheme="minorEastAsia" w:hAnsiTheme="minorHAnsi" w:cstheme="minorBidi"/>
          <w:noProof/>
          <w:kern w:val="2"/>
          <w:sz w:val="22"/>
          <w:lang w:eastAsia="en-GB"/>
          <w14:ligatures w14:val="standardContextual"/>
        </w:rPr>
        <w:tab/>
      </w:r>
      <w:r w:rsidRPr="00F81955">
        <w:rPr>
          <w:noProof/>
        </w:rPr>
        <w:t>Appropriations from external assigned revenues</w:t>
      </w:r>
      <w:r w:rsidRPr="00F81955">
        <w:rPr>
          <w:noProof/>
          <w:webHidden/>
        </w:rPr>
        <w:tab/>
        <w:t>24</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3.2.3.3.</w:t>
      </w:r>
      <w:r w:rsidRPr="00F81955">
        <w:rPr>
          <w:rFonts w:asciiTheme="minorHAnsi" w:eastAsiaTheme="minorEastAsia" w:hAnsiTheme="minorHAnsi" w:cstheme="minorBidi"/>
          <w:noProof/>
          <w:kern w:val="2"/>
          <w:sz w:val="22"/>
          <w:lang w:eastAsia="en-GB"/>
          <w14:ligatures w14:val="standardContextual"/>
        </w:rPr>
        <w:tab/>
      </w:r>
      <w:r w:rsidRPr="00F81955">
        <w:rPr>
          <w:noProof/>
        </w:rPr>
        <w:t>Total appropriations</w:t>
      </w:r>
      <w:r w:rsidRPr="00F81955">
        <w:rPr>
          <w:noProof/>
          <w:webHidden/>
        </w:rPr>
        <w:tab/>
        <w:t>24</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3.2.4.</w:t>
      </w:r>
      <w:r w:rsidRPr="00F81955">
        <w:rPr>
          <w:rFonts w:asciiTheme="minorHAnsi" w:eastAsiaTheme="minorEastAsia" w:hAnsiTheme="minorHAnsi" w:cstheme="minorBidi"/>
          <w:noProof/>
          <w:kern w:val="2"/>
          <w:sz w:val="22"/>
          <w:lang w:eastAsia="en-GB"/>
          <w14:ligatures w14:val="standardContextual"/>
        </w:rPr>
        <w:tab/>
      </w:r>
      <w:r w:rsidRPr="00F81955">
        <w:rPr>
          <w:noProof/>
        </w:rPr>
        <w:t>Estimated requirements of human resources</w:t>
      </w:r>
      <w:r w:rsidRPr="00F81955">
        <w:rPr>
          <w:noProof/>
          <w:webHidden/>
        </w:rPr>
        <w:tab/>
        <w:t>25</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3.2.4.1.</w:t>
      </w:r>
      <w:r w:rsidRPr="00F81955">
        <w:rPr>
          <w:rFonts w:asciiTheme="minorHAnsi" w:eastAsiaTheme="minorEastAsia" w:hAnsiTheme="minorHAnsi" w:cstheme="minorBidi"/>
          <w:noProof/>
          <w:kern w:val="2"/>
          <w:sz w:val="22"/>
          <w:lang w:eastAsia="en-GB"/>
          <w14:ligatures w14:val="standardContextual"/>
        </w:rPr>
        <w:tab/>
      </w:r>
      <w:r w:rsidRPr="00F81955">
        <w:rPr>
          <w:noProof/>
        </w:rPr>
        <w:t>Financed from voted budget</w:t>
      </w:r>
      <w:r w:rsidRPr="00F81955">
        <w:rPr>
          <w:noProof/>
          <w:webHidden/>
        </w:rPr>
        <w:tab/>
        <w:t>25</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3.2.4.2.</w:t>
      </w:r>
      <w:r w:rsidRPr="00F81955">
        <w:rPr>
          <w:rFonts w:asciiTheme="minorHAnsi" w:eastAsiaTheme="minorEastAsia" w:hAnsiTheme="minorHAnsi" w:cstheme="minorBidi"/>
          <w:noProof/>
          <w:kern w:val="2"/>
          <w:sz w:val="22"/>
          <w:lang w:eastAsia="en-GB"/>
          <w14:ligatures w14:val="standardContextual"/>
        </w:rPr>
        <w:tab/>
      </w:r>
      <w:r w:rsidRPr="00F81955">
        <w:rPr>
          <w:noProof/>
        </w:rPr>
        <w:t>Financed from external assigned revenues</w:t>
      </w:r>
      <w:r w:rsidRPr="00F81955">
        <w:rPr>
          <w:noProof/>
          <w:webHidden/>
        </w:rPr>
        <w:tab/>
        <w:t>26</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3.2.4.3.</w:t>
      </w:r>
      <w:r w:rsidRPr="00F81955">
        <w:rPr>
          <w:rFonts w:asciiTheme="minorHAnsi" w:eastAsiaTheme="minorEastAsia" w:hAnsiTheme="minorHAnsi" w:cstheme="minorBidi"/>
          <w:noProof/>
          <w:kern w:val="2"/>
          <w:sz w:val="22"/>
          <w:lang w:eastAsia="en-GB"/>
          <w14:ligatures w14:val="standardContextual"/>
        </w:rPr>
        <w:tab/>
      </w:r>
      <w:r w:rsidRPr="00F81955">
        <w:rPr>
          <w:noProof/>
        </w:rPr>
        <w:t>Total requirements of human resources</w:t>
      </w:r>
      <w:r w:rsidRPr="00F81955">
        <w:rPr>
          <w:noProof/>
          <w:webHidden/>
        </w:rPr>
        <w:tab/>
        <w:t>26</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3.2.5.</w:t>
      </w:r>
      <w:r w:rsidRPr="00F81955">
        <w:rPr>
          <w:rFonts w:asciiTheme="minorHAnsi" w:eastAsiaTheme="minorEastAsia" w:hAnsiTheme="minorHAnsi" w:cstheme="minorBidi"/>
          <w:noProof/>
          <w:kern w:val="2"/>
          <w:sz w:val="22"/>
          <w:lang w:eastAsia="en-GB"/>
          <w14:ligatures w14:val="standardContextual"/>
        </w:rPr>
        <w:tab/>
      </w:r>
      <w:r w:rsidRPr="00F81955">
        <w:rPr>
          <w:noProof/>
        </w:rPr>
        <w:t>Overview of estimated impact on digital technology-related investments</w:t>
      </w:r>
      <w:r w:rsidRPr="00F81955">
        <w:rPr>
          <w:noProof/>
          <w:webHidden/>
        </w:rPr>
        <w:tab/>
        <w:t>28</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3.2.6.</w:t>
      </w:r>
      <w:r w:rsidRPr="00F81955">
        <w:rPr>
          <w:rFonts w:asciiTheme="minorHAnsi" w:eastAsiaTheme="minorEastAsia" w:hAnsiTheme="minorHAnsi" w:cstheme="minorBidi"/>
          <w:noProof/>
          <w:kern w:val="2"/>
          <w:sz w:val="22"/>
          <w:lang w:eastAsia="en-GB"/>
          <w14:ligatures w14:val="standardContextual"/>
        </w:rPr>
        <w:tab/>
      </w:r>
      <w:r w:rsidRPr="00F81955">
        <w:rPr>
          <w:noProof/>
        </w:rPr>
        <w:t>Compatibility with the current multiannual financial framework</w:t>
      </w:r>
      <w:r w:rsidRPr="00F81955">
        <w:rPr>
          <w:noProof/>
          <w:webHidden/>
        </w:rPr>
        <w:tab/>
        <w:t>28</w:t>
      </w:r>
    </w:p>
    <w:p w:rsidR="009C3EE2" w:rsidRPr="00F81955" w:rsidRDefault="009C3EE2" w:rsidP="0002735A">
      <w:pPr>
        <w:pStyle w:val="TOC3"/>
        <w:rPr>
          <w:rFonts w:asciiTheme="minorHAnsi" w:eastAsiaTheme="minorEastAsia" w:hAnsiTheme="minorHAnsi" w:cstheme="minorBidi"/>
          <w:noProof/>
          <w:kern w:val="2"/>
          <w:sz w:val="22"/>
          <w:lang w:eastAsia="en-GB"/>
          <w14:ligatures w14:val="standardContextual"/>
        </w:rPr>
      </w:pPr>
      <w:r w:rsidRPr="00F81955">
        <w:rPr>
          <w:noProof/>
        </w:rPr>
        <w:t>3.2.7.</w:t>
      </w:r>
      <w:r w:rsidRPr="00F81955">
        <w:rPr>
          <w:rFonts w:asciiTheme="minorHAnsi" w:eastAsiaTheme="minorEastAsia" w:hAnsiTheme="minorHAnsi" w:cstheme="minorBidi"/>
          <w:noProof/>
          <w:kern w:val="2"/>
          <w:sz w:val="22"/>
          <w:lang w:eastAsia="en-GB"/>
          <w14:ligatures w14:val="standardContextual"/>
        </w:rPr>
        <w:tab/>
      </w:r>
      <w:r w:rsidRPr="00F81955">
        <w:rPr>
          <w:noProof/>
        </w:rPr>
        <w:t>Third-party contributions</w:t>
      </w:r>
      <w:r w:rsidRPr="00F81955">
        <w:rPr>
          <w:noProof/>
          <w:webHidden/>
        </w:rPr>
        <w:tab/>
        <w:t>28</w:t>
      </w:r>
    </w:p>
    <w:p w:rsidR="009C3EE2" w:rsidRPr="00F81955" w:rsidRDefault="009C3EE2" w:rsidP="0002735A">
      <w:pPr>
        <w:pStyle w:val="TOC2"/>
        <w:rPr>
          <w:rFonts w:asciiTheme="minorHAnsi" w:eastAsiaTheme="minorEastAsia" w:hAnsiTheme="minorHAnsi" w:cstheme="minorBidi"/>
          <w:noProof/>
          <w:kern w:val="2"/>
          <w:sz w:val="22"/>
          <w:lang w:eastAsia="en-GB"/>
          <w14:ligatures w14:val="standardContextual"/>
        </w:rPr>
      </w:pPr>
      <w:r w:rsidRPr="00F81955">
        <w:rPr>
          <w:noProof/>
        </w:rPr>
        <w:t>3.3.</w:t>
      </w:r>
      <w:r w:rsidRPr="00F81955">
        <w:rPr>
          <w:rFonts w:asciiTheme="minorHAnsi" w:eastAsiaTheme="minorEastAsia" w:hAnsiTheme="minorHAnsi" w:cstheme="minorBidi"/>
          <w:noProof/>
          <w:kern w:val="2"/>
          <w:sz w:val="22"/>
          <w:lang w:eastAsia="en-GB"/>
          <w14:ligatures w14:val="standardContextual"/>
        </w:rPr>
        <w:tab/>
      </w:r>
      <w:r w:rsidRPr="00F81955">
        <w:rPr>
          <w:noProof/>
        </w:rPr>
        <w:t>Estimated impact on revenue</w:t>
      </w:r>
      <w:r w:rsidRPr="00F81955">
        <w:rPr>
          <w:noProof/>
          <w:webHidden/>
        </w:rPr>
        <w:tab/>
        <w:t>29</w:t>
      </w:r>
    </w:p>
    <w:p w:rsidR="009C3EE2" w:rsidRPr="00F81955" w:rsidRDefault="009C3EE2" w:rsidP="0002735A">
      <w:pPr>
        <w:pStyle w:val="TOC1"/>
        <w:rPr>
          <w:rFonts w:asciiTheme="minorHAnsi" w:eastAsiaTheme="minorEastAsia" w:hAnsiTheme="minorHAnsi" w:cstheme="minorBidi"/>
          <w:noProof/>
          <w:kern w:val="2"/>
          <w:sz w:val="22"/>
          <w:lang w:eastAsia="en-GB"/>
          <w14:ligatures w14:val="standardContextual"/>
        </w:rPr>
      </w:pPr>
      <w:r w:rsidRPr="00F81955">
        <w:rPr>
          <w:noProof/>
        </w:rPr>
        <w:t>4.</w:t>
      </w:r>
      <w:r w:rsidRPr="00F81955">
        <w:rPr>
          <w:rFonts w:asciiTheme="minorHAnsi" w:eastAsiaTheme="minorEastAsia" w:hAnsiTheme="minorHAnsi" w:cstheme="minorBidi"/>
          <w:noProof/>
          <w:kern w:val="2"/>
          <w:sz w:val="22"/>
          <w:lang w:eastAsia="en-GB"/>
          <w14:ligatures w14:val="standardContextual"/>
        </w:rPr>
        <w:tab/>
      </w:r>
      <w:r w:rsidRPr="00F81955">
        <w:rPr>
          <w:caps/>
          <w:noProof/>
        </w:rPr>
        <w:t>Digital dimensions</w:t>
      </w:r>
      <w:r w:rsidRPr="00F81955">
        <w:rPr>
          <w:noProof/>
          <w:webHidden/>
        </w:rPr>
        <w:tab/>
        <w:t>29</w:t>
      </w:r>
    </w:p>
    <w:p w:rsidR="009C3EE2" w:rsidRPr="00F81955" w:rsidRDefault="009C3EE2" w:rsidP="0002735A">
      <w:pPr>
        <w:pStyle w:val="TOC2"/>
        <w:rPr>
          <w:rFonts w:asciiTheme="minorHAnsi" w:eastAsiaTheme="minorEastAsia" w:hAnsiTheme="minorHAnsi" w:cstheme="minorBidi"/>
          <w:noProof/>
          <w:kern w:val="2"/>
          <w:sz w:val="22"/>
          <w:lang w:eastAsia="en-GB"/>
          <w14:ligatures w14:val="standardContextual"/>
        </w:rPr>
      </w:pPr>
      <w:r w:rsidRPr="00F81955">
        <w:rPr>
          <w:noProof/>
        </w:rPr>
        <w:t>4.1.</w:t>
      </w:r>
      <w:r w:rsidRPr="00F81955">
        <w:rPr>
          <w:rFonts w:asciiTheme="minorHAnsi" w:eastAsiaTheme="minorEastAsia" w:hAnsiTheme="minorHAnsi" w:cstheme="minorBidi"/>
          <w:noProof/>
          <w:kern w:val="2"/>
          <w:sz w:val="22"/>
          <w:lang w:eastAsia="en-GB"/>
          <w14:ligatures w14:val="standardContextual"/>
        </w:rPr>
        <w:tab/>
      </w:r>
      <w:r w:rsidRPr="00F81955">
        <w:rPr>
          <w:noProof/>
        </w:rPr>
        <w:t>Requirements of digital relevance</w:t>
      </w:r>
      <w:r w:rsidRPr="00F81955">
        <w:rPr>
          <w:noProof/>
          <w:webHidden/>
        </w:rPr>
        <w:tab/>
        <w:t>30</w:t>
      </w:r>
    </w:p>
    <w:p w:rsidR="009C3EE2" w:rsidRPr="00F81955" w:rsidRDefault="009C3EE2" w:rsidP="0002735A">
      <w:pPr>
        <w:pStyle w:val="TOC2"/>
        <w:rPr>
          <w:rFonts w:asciiTheme="minorHAnsi" w:eastAsiaTheme="minorEastAsia" w:hAnsiTheme="minorHAnsi" w:cstheme="minorBidi"/>
          <w:noProof/>
          <w:kern w:val="2"/>
          <w:sz w:val="22"/>
          <w:lang w:eastAsia="en-GB"/>
          <w14:ligatures w14:val="standardContextual"/>
        </w:rPr>
      </w:pPr>
      <w:r w:rsidRPr="00F81955">
        <w:rPr>
          <w:noProof/>
        </w:rPr>
        <w:t>4.2.</w:t>
      </w:r>
      <w:r w:rsidRPr="00F81955">
        <w:rPr>
          <w:rFonts w:asciiTheme="minorHAnsi" w:eastAsiaTheme="minorEastAsia" w:hAnsiTheme="minorHAnsi" w:cstheme="minorBidi"/>
          <w:noProof/>
          <w:kern w:val="2"/>
          <w:sz w:val="22"/>
          <w:lang w:eastAsia="en-GB"/>
          <w14:ligatures w14:val="standardContextual"/>
        </w:rPr>
        <w:tab/>
      </w:r>
      <w:r w:rsidRPr="00F81955">
        <w:rPr>
          <w:noProof/>
        </w:rPr>
        <w:t>Data</w:t>
      </w:r>
      <w:r w:rsidRPr="00F81955">
        <w:rPr>
          <w:noProof/>
          <w:webHidden/>
        </w:rPr>
        <w:tab/>
        <w:t>30</w:t>
      </w:r>
    </w:p>
    <w:p w:rsidR="009C3EE2" w:rsidRPr="00F81955" w:rsidRDefault="009C3EE2" w:rsidP="0002735A">
      <w:pPr>
        <w:pStyle w:val="TOC2"/>
        <w:rPr>
          <w:rFonts w:asciiTheme="minorHAnsi" w:eastAsiaTheme="minorEastAsia" w:hAnsiTheme="minorHAnsi" w:cstheme="minorBidi"/>
          <w:noProof/>
          <w:kern w:val="2"/>
          <w:sz w:val="22"/>
          <w:lang w:eastAsia="en-GB"/>
          <w14:ligatures w14:val="standardContextual"/>
        </w:rPr>
      </w:pPr>
      <w:r w:rsidRPr="00F81955">
        <w:rPr>
          <w:noProof/>
        </w:rPr>
        <w:t>4.3.</w:t>
      </w:r>
      <w:r w:rsidRPr="00F81955">
        <w:rPr>
          <w:rFonts w:asciiTheme="minorHAnsi" w:eastAsiaTheme="minorEastAsia" w:hAnsiTheme="minorHAnsi" w:cstheme="minorBidi"/>
          <w:noProof/>
          <w:kern w:val="2"/>
          <w:sz w:val="22"/>
          <w:lang w:eastAsia="en-GB"/>
          <w14:ligatures w14:val="standardContextual"/>
        </w:rPr>
        <w:tab/>
      </w:r>
      <w:r w:rsidRPr="00F81955">
        <w:rPr>
          <w:noProof/>
        </w:rPr>
        <w:t>Digital solutions</w:t>
      </w:r>
      <w:r w:rsidRPr="00F81955">
        <w:rPr>
          <w:noProof/>
          <w:webHidden/>
        </w:rPr>
        <w:tab/>
        <w:t>31</w:t>
      </w:r>
    </w:p>
    <w:p w:rsidR="009C3EE2" w:rsidRPr="00F81955" w:rsidRDefault="009C3EE2" w:rsidP="0002735A">
      <w:pPr>
        <w:pStyle w:val="TOC2"/>
        <w:rPr>
          <w:rFonts w:asciiTheme="minorHAnsi" w:eastAsiaTheme="minorEastAsia" w:hAnsiTheme="minorHAnsi" w:cstheme="minorBidi"/>
          <w:noProof/>
          <w:kern w:val="2"/>
          <w:sz w:val="22"/>
          <w:lang w:eastAsia="en-GB"/>
          <w14:ligatures w14:val="standardContextual"/>
        </w:rPr>
      </w:pPr>
      <w:r w:rsidRPr="00F81955">
        <w:rPr>
          <w:bCs/>
          <w:noProof/>
        </w:rPr>
        <w:t>4.4.</w:t>
      </w:r>
      <w:r w:rsidRPr="00F81955">
        <w:rPr>
          <w:rFonts w:asciiTheme="minorHAnsi" w:eastAsiaTheme="minorEastAsia" w:hAnsiTheme="minorHAnsi" w:cstheme="minorBidi"/>
          <w:noProof/>
          <w:kern w:val="2"/>
          <w:sz w:val="22"/>
          <w:lang w:eastAsia="en-GB"/>
          <w14:ligatures w14:val="standardContextual"/>
        </w:rPr>
        <w:tab/>
      </w:r>
      <w:r w:rsidRPr="00F81955">
        <w:rPr>
          <w:bCs/>
          <w:noProof/>
        </w:rPr>
        <w:t>Interoperability assessment</w:t>
      </w:r>
      <w:r w:rsidRPr="00F81955">
        <w:rPr>
          <w:noProof/>
          <w:webHidden/>
        </w:rPr>
        <w:tab/>
        <w:t>31</w:t>
      </w:r>
    </w:p>
    <w:p w:rsidR="009C3EE2" w:rsidRPr="00F81955" w:rsidRDefault="009C3EE2" w:rsidP="0002735A">
      <w:pPr>
        <w:pStyle w:val="TOC2"/>
        <w:rPr>
          <w:rFonts w:asciiTheme="minorHAnsi" w:eastAsiaTheme="minorEastAsia" w:hAnsiTheme="minorHAnsi" w:cstheme="minorBidi"/>
          <w:noProof/>
          <w:kern w:val="2"/>
          <w:sz w:val="22"/>
          <w:lang w:eastAsia="en-GB"/>
          <w14:ligatures w14:val="standardContextual"/>
        </w:rPr>
      </w:pPr>
      <w:r w:rsidRPr="00F81955">
        <w:rPr>
          <w:noProof/>
        </w:rPr>
        <w:t>4.5.</w:t>
      </w:r>
      <w:r w:rsidRPr="00F81955">
        <w:rPr>
          <w:rFonts w:asciiTheme="minorHAnsi" w:eastAsiaTheme="minorEastAsia" w:hAnsiTheme="minorHAnsi" w:cstheme="minorBidi"/>
          <w:noProof/>
          <w:kern w:val="2"/>
          <w:sz w:val="22"/>
          <w:lang w:eastAsia="en-GB"/>
          <w14:ligatures w14:val="standardContextual"/>
        </w:rPr>
        <w:tab/>
      </w:r>
      <w:r w:rsidRPr="00F81955">
        <w:rPr>
          <w:noProof/>
        </w:rPr>
        <w:t>Measures to support digital implementation</w:t>
      </w:r>
      <w:r w:rsidRPr="00F81955">
        <w:rPr>
          <w:noProof/>
          <w:webHidden/>
        </w:rPr>
        <w:tab/>
        <w:t>32</w:t>
      </w:r>
    </w:p>
    <w:p w:rsidR="009C3EE2" w:rsidRPr="00F81955" w:rsidRDefault="009C3EE2" w:rsidP="0002735A">
      <w:pPr>
        <w:pStyle w:val="TOC1"/>
        <w:ind w:left="0" w:firstLine="0"/>
        <w:rPr>
          <w:noProof/>
        </w:rPr>
        <w:sectPr w:rsidR="009C3EE2" w:rsidRPr="00F81955" w:rsidSect="004623B1">
          <w:pgSz w:w="11907" w:h="16840" w:code="9"/>
          <w:pgMar w:top="1134" w:right="1418" w:bottom="1134" w:left="1418" w:header="709" w:footer="709" w:gutter="0"/>
          <w:pgNumType w:start="1"/>
          <w:cols w:space="720"/>
          <w:docGrid w:linePitch="360"/>
        </w:sectPr>
      </w:pPr>
    </w:p>
    <w:p w:rsidR="009C3EE2" w:rsidRPr="00F81955" w:rsidRDefault="009C3EE2" w:rsidP="0002735A">
      <w:pPr>
        <w:pStyle w:val="ManualHeading1"/>
        <w:rPr>
          <w:noProof/>
        </w:rPr>
      </w:pPr>
      <w:r w:rsidRPr="00F81955">
        <w:rPr>
          <w:noProof/>
        </w:rPr>
        <w:t>1.</w:t>
      </w:r>
      <w:r w:rsidRPr="00F81955">
        <w:rPr>
          <w:noProof/>
        </w:rPr>
        <w:tab/>
        <w:t xml:space="preserve">FRAMEWORK OF THE PROPOSAL/INITIATIVE </w:t>
      </w:r>
    </w:p>
    <w:p w:rsidR="009C3EE2" w:rsidRPr="00F81955" w:rsidRDefault="009C3EE2" w:rsidP="0002735A">
      <w:pPr>
        <w:pStyle w:val="ManualHeading2"/>
        <w:rPr>
          <w:noProof/>
        </w:rPr>
      </w:pPr>
      <w:r w:rsidRPr="00F81955">
        <w:rPr>
          <w:noProof/>
        </w:rPr>
        <w:t>1.1.</w:t>
      </w:r>
      <w:r w:rsidRPr="00F81955">
        <w:rPr>
          <w:noProof/>
        </w:rPr>
        <w:tab/>
        <w:t>Title of the proposal/initiative</w:t>
      </w:r>
    </w:p>
    <w:p w:rsidR="00C90C9C" w:rsidRPr="00F81955" w:rsidRDefault="00491B3F" w:rsidP="00C90C9C">
      <w:pPr>
        <w:pStyle w:val="Text1"/>
        <w:pBdr>
          <w:top w:val="single" w:sz="4" w:space="1" w:color="auto"/>
          <w:left w:val="single" w:sz="4" w:space="4" w:color="auto"/>
          <w:bottom w:val="single" w:sz="4" w:space="1" w:color="auto"/>
          <w:right w:val="single" w:sz="4" w:space="4" w:color="auto"/>
        </w:pBdr>
        <w:rPr>
          <w:noProof/>
        </w:rPr>
      </w:pPr>
      <w:r w:rsidRPr="00F81955">
        <w:rPr>
          <w:noProof/>
        </w:rPr>
        <w:t xml:space="preserve">Proposal for a </w:t>
      </w:r>
      <w:r w:rsidR="00C90C9C" w:rsidRPr="00F81955">
        <w:rPr>
          <w:noProof/>
        </w:rPr>
        <w:t xml:space="preserve">Regulation of the European Parliament and of the Council </w:t>
      </w:r>
      <w:r w:rsidRPr="00F81955">
        <w:rPr>
          <w:noProof/>
        </w:rPr>
        <w:t>amending Regulations (EU) 2024/1689 and (EU) 2018/1139 as regards the simplification of the implementation of harmonised rules on artificial intelligence (Digital Omnibus on AI)</w:t>
      </w:r>
    </w:p>
    <w:p w:rsidR="009C3EE2" w:rsidRPr="00F81955" w:rsidRDefault="009C3EE2" w:rsidP="0002735A">
      <w:pPr>
        <w:pStyle w:val="ManualHeading2"/>
        <w:rPr>
          <w:i/>
          <w:noProof/>
        </w:rPr>
      </w:pPr>
      <w:r w:rsidRPr="00F81955">
        <w:rPr>
          <w:noProof/>
        </w:rPr>
        <w:t>1.2.</w:t>
      </w:r>
      <w:r w:rsidRPr="00F81955">
        <w:rPr>
          <w:noProof/>
        </w:rPr>
        <w:tab/>
        <w:t>Policy area(s) concerned</w:t>
      </w:r>
      <w:r w:rsidRPr="00F81955">
        <w:rPr>
          <w:i/>
          <w:noProof/>
        </w:rPr>
        <w:t xml:space="preserve"> </w:t>
      </w:r>
    </w:p>
    <w:p w:rsidR="00C90C9C" w:rsidRPr="00F81955" w:rsidRDefault="00C90C9C" w:rsidP="00C90C9C">
      <w:pPr>
        <w:pStyle w:val="Text1"/>
        <w:pBdr>
          <w:top w:val="single" w:sz="4" w:space="1" w:color="auto"/>
          <w:left w:val="single" w:sz="4" w:space="4" w:color="auto"/>
          <w:bottom w:val="single" w:sz="4" w:space="1" w:color="auto"/>
          <w:right w:val="single" w:sz="4" w:space="4" w:color="auto"/>
        </w:pBdr>
        <w:rPr>
          <w:noProof/>
        </w:rPr>
      </w:pPr>
      <w:r w:rsidRPr="00F81955">
        <w:rPr>
          <w:noProof/>
        </w:rPr>
        <w:t xml:space="preserve">Communications Networks, Content and Technology; </w:t>
      </w:r>
    </w:p>
    <w:p w:rsidR="00C90C9C" w:rsidRPr="00F81955" w:rsidRDefault="00C90C9C" w:rsidP="00C90C9C">
      <w:pPr>
        <w:pStyle w:val="Text1"/>
        <w:pBdr>
          <w:top w:val="single" w:sz="4" w:space="1" w:color="auto"/>
          <w:left w:val="single" w:sz="4" w:space="4" w:color="auto"/>
          <w:bottom w:val="single" w:sz="4" w:space="1" w:color="auto"/>
          <w:right w:val="single" w:sz="4" w:space="4" w:color="auto"/>
        </w:pBdr>
        <w:rPr>
          <w:noProof/>
        </w:rPr>
      </w:pPr>
      <w:r w:rsidRPr="00F81955">
        <w:rPr>
          <w:noProof/>
        </w:rPr>
        <w:t>Internal Market, Industry, Entrepreneurship and SMEs</w:t>
      </w:r>
    </w:p>
    <w:p w:rsidR="00C90C9C" w:rsidRPr="00F81955" w:rsidRDefault="00C90C9C" w:rsidP="00C90C9C">
      <w:pPr>
        <w:pStyle w:val="Text1"/>
        <w:pBdr>
          <w:top w:val="single" w:sz="4" w:space="1" w:color="auto"/>
          <w:left w:val="single" w:sz="4" w:space="4" w:color="auto"/>
          <w:bottom w:val="single" w:sz="4" w:space="1" w:color="auto"/>
          <w:right w:val="single" w:sz="4" w:space="4" w:color="auto"/>
        </w:pBdr>
        <w:rPr>
          <w:noProof/>
        </w:rPr>
      </w:pPr>
      <w:r w:rsidRPr="00F81955">
        <w:rPr>
          <w:noProof/>
        </w:rPr>
        <w:t>The budgetary impact concerns the new tasks entrusted with the AI Office.</w:t>
      </w:r>
    </w:p>
    <w:p w:rsidR="009C3EE2" w:rsidRPr="00F81955" w:rsidRDefault="009C3EE2" w:rsidP="0002735A">
      <w:pPr>
        <w:pStyle w:val="ManualHeading2"/>
        <w:rPr>
          <w:noProof/>
        </w:rPr>
      </w:pPr>
      <w:r w:rsidRPr="00F81955">
        <w:rPr>
          <w:noProof/>
        </w:rPr>
        <w:t>1.3.</w:t>
      </w:r>
      <w:r w:rsidRPr="00F81955">
        <w:rPr>
          <w:noProof/>
        </w:rPr>
        <w:tab/>
        <w:t>Objective(s)</w:t>
      </w:r>
    </w:p>
    <w:p w:rsidR="009C3EE2" w:rsidRPr="00F81955" w:rsidRDefault="009C3EE2" w:rsidP="0002735A">
      <w:pPr>
        <w:pStyle w:val="ManualHeading3"/>
        <w:rPr>
          <w:noProof/>
        </w:rPr>
      </w:pPr>
      <w:r w:rsidRPr="00F81955">
        <w:rPr>
          <w:noProof/>
        </w:rPr>
        <w:t>1.3.1.</w:t>
      </w:r>
      <w:r w:rsidRPr="00F81955">
        <w:rPr>
          <w:noProof/>
        </w:rPr>
        <w:tab/>
        <w:t>General objective(s)</w:t>
      </w:r>
    </w:p>
    <w:p w:rsidR="00C90C9C" w:rsidRPr="00F81955" w:rsidRDefault="00C90C9C" w:rsidP="00C90C9C">
      <w:pPr>
        <w:pStyle w:val="Text1"/>
        <w:pBdr>
          <w:top w:val="single" w:sz="4" w:space="1" w:color="auto"/>
          <w:left w:val="single" w:sz="4" w:space="4" w:color="auto"/>
          <w:bottom w:val="single" w:sz="4" w:space="1" w:color="auto"/>
          <w:right w:val="single" w:sz="4" w:space="4" w:color="auto"/>
        </w:pBdr>
        <w:rPr>
          <w:noProof/>
        </w:rPr>
      </w:pPr>
      <w:r w:rsidRPr="00F81955">
        <w:rPr>
          <w:noProof/>
        </w:rPr>
        <w:t xml:space="preserve">1. To strengthen the monitoring and supervision of certain categories of AI systems by the AI Office. </w:t>
      </w:r>
    </w:p>
    <w:p w:rsidR="00C90C9C" w:rsidRPr="00F81955" w:rsidRDefault="00C90C9C" w:rsidP="00C90C9C">
      <w:pPr>
        <w:pStyle w:val="Text1"/>
        <w:pBdr>
          <w:top w:val="single" w:sz="4" w:space="1" w:color="auto"/>
          <w:left w:val="single" w:sz="4" w:space="4" w:color="auto"/>
          <w:bottom w:val="single" w:sz="4" w:space="1" w:color="auto"/>
          <w:right w:val="single" w:sz="4" w:space="4" w:color="auto"/>
        </w:pBdr>
        <w:rPr>
          <w:noProof/>
        </w:rPr>
      </w:pPr>
      <w:r w:rsidRPr="00F81955">
        <w:rPr>
          <w:noProof/>
        </w:rPr>
        <w:t xml:space="preserve">2. To facilitate the development and testing at EU level of innovative AI systems under strict regulatory oversight before these systems are placed on the market or otherwise put into service. </w:t>
      </w:r>
    </w:p>
    <w:p w:rsidR="009C3EE2" w:rsidRPr="00F81955" w:rsidRDefault="009C3EE2" w:rsidP="0002735A">
      <w:pPr>
        <w:pStyle w:val="ManualHeading3"/>
        <w:rPr>
          <w:noProof/>
        </w:rPr>
      </w:pPr>
      <w:r w:rsidRPr="00F81955">
        <w:rPr>
          <w:noProof/>
        </w:rPr>
        <w:t>1.3.2.</w:t>
      </w:r>
      <w:r w:rsidRPr="00F81955">
        <w:rPr>
          <w:noProof/>
        </w:rPr>
        <w:tab/>
        <w:t>Specific objective(s)</w:t>
      </w:r>
    </w:p>
    <w:p w:rsidR="00C90C9C" w:rsidRPr="00F81955" w:rsidRDefault="00C90C9C" w:rsidP="00C90C9C">
      <w:pPr>
        <w:pStyle w:val="Text1"/>
        <w:pBdr>
          <w:top w:val="single" w:sz="4" w:space="1" w:color="auto"/>
          <w:left w:val="single" w:sz="4" w:space="4" w:color="auto"/>
          <w:bottom w:val="single" w:sz="4" w:space="1" w:color="auto"/>
          <w:right w:val="single" w:sz="4" w:space="4" w:color="auto"/>
        </w:pBdr>
        <w:rPr>
          <w:noProof/>
          <w:u w:val="single"/>
        </w:rPr>
      </w:pPr>
      <w:r w:rsidRPr="00F81955">
        <w:rPr>
          <w:noProof/>
          <w:u w:val="single"/>
        </w:rPr>
        <w:t>Specific objective No 1</w:t>
      </w:r>
    </w:p>
    <w:p w:rsidR="00C90C9C" w:rsidRPr="00F81955" w:rsidRDefault="00C90C9C" w:rsidP="00C90C9C">
      <w:pPr>
        <w:pStyle w:val="Text1"/>
        <w:pBdr>
          <w:top w:val="single" w:sz="4" w:space="1" w:color="auto"/>
          <w:left w:val="single" w:sz="4" w:space="4" w:color="auto"/>
          <w:bottom w:val="single" w:sz="4" w:space="1" w:color="auto"/>
          <w:right w:val="single" w:sz="4" w:space="4" w:color="auto"/>
        </w:pBdr>
        <w:rPr>
          <w:noProof/>
        </w:rPr>
      </w:pPr>
      <w:r w:rsidRPr="00F81955">
        <w:rPr>
          <w:noProof/>
        </w:rPr>
        <w:t xml:space="preserve">To enhance governance and effective enforcement of the AI Act rules related to AI systems by reinforcing the powers and procedures applicable as well as by providing for new resources for the AI Office in charge of the enforcement. </w:t>
      </w:r>
    </w:p>
    <w:p w:rsidR="00C90C9C" w:rsidRPr="00F81955" w:rsidRDefault="00C90C9C" w:rsidP="00C90C9C">
      <w:pPr>
        <w:pStyle w:val="Text1"/>
        <w:pBdr>
          <w:top w:val="single" w:sz="4" w:space="1" w:color="auto"/>
          <w:left w:val="single" w:sz="4" w:space="4" w:color="auto"/>
          <w:bottom w:val="single" w:sz="4" w:space="1" w:color="auto"/>
          <w:right w:val="single" w:sz="4" w:space="4" w:color="auto"/>
        </w:pBdr>
        <w:rPr>
          <w:noProof/>
          <w:u w:val="single"/>
        </w:rPr>
      </w:pPr>
      <w:r w:rsidRPr="00F81955">
        <w:rPr>
          <w:noProof/>
          <w:u w:val="single"/>
        </w:rPr>
        <w:t>Specific objective No 2</w:t>
      </w:r>
    </w:p>
    <w:p w:rsidR="00C90C9C" w:rsidRPr="00F81955" w:rsidRDefault="00C90C9C" w:rsidP="4574C7F4">
      <w:pPr>
        <w:pStyle w:val="Text1"/>
        <w:pBdr>
          <w:top w:val="single" w:sz="4" w:space="1" w:color="auto"/>
          <w:left w:val="single" w:sz="4" w:space="4" w:color="auto"/>
          <w:bottom w:val="single" w:sz="4" w:space="1" w:color="auto"/>
          <w:right w:val="single" w:sz="4" w:space="4" w:color="auto"/>
        </w:pBdr>
        <w:rPr>
          <w:noProof/>
        </w:rPr>
      </w:pPr>
      <w:r w:rsidRPr="00F81955">
        <w:rPr>
          <w:noProof/>
        </w:rPr>
        <w:t xml:space="preserve">To provide for the establishment of </w:t>
      </w:r>
      <w:r w:rsidR="2FF27B48" w:rsidRPr="00F81955">
        <w:rPr>
          <w:noProof/>
        </w:rPr>
        <w:t xml:space="preserve">a </w:t>
      </w:r>
      <w:r w:rsidRPr="00F81955">
        <w:rPr>
          <w:noProof/>
        </w:rPr>
        <w:t>sandbox at EU level, enabling cross border activities and testing.</w:t>
      </w:r>
    </w:p>
    <w:p w:rsidR="009C3EE2" w:rsidRPr="00F81955" w:rsidRDefault="009C3EE2" w:rsidP="0002735A">
      <w:pPr>
        <w:pStyle w:val="ManualHeading3"/>
        <w:rPr>
          <w:noProof/>
        </w:rPr>
      </w:pPr>
      <w:r w:rsidRPr="00F81955">
        <w:rPr>
          <w:noProof/>
        </w:rPr>
        <w:t>1.3.3.</w:t>
      </w:r>
      <w:r w:rsidRPr="00F81955">
        <w:rPr>
          <w:noProof/>
        </w:rPr>
        <w:tab/>
        <w:t>Expected result(s) and impact</w:t>
      </w:r>
    </w:p>
    <w:p w:rsidR="009C3EE2" w:rsidRPr="00F81955" w:rsidRDefault="009C3EE2" w:rsidP="0002735A">
      <w:pPr>
        <w:pStyle w:val="Text1"/>
        <w:rPr>
          <w:i/>
          <w:noProof/>
          <w:sz w:val="20"/>
        </w:rPr>
      </w:pPr>
      <w:r w:rsidRPr="00F81955">
        <w:rPr>
          <w:i/>
          <w:iCs/>
          <w:noProof/>
          <w:sz w:val="20"/>
          <w:szCs w:val="20"/>
        </w:rPr>
        <w:t>Specify the effects which the proposal/initiative should have on the beneficiaries/groups targeted.</w:t>
      </w:r>
    </w:p>
    <w:p w:rsidR="00C90C9C" w:rsidRPr="00F81955" w:rsidRDefault="00C90C9C" w:rsidP="00F22A3E">
      <w:pPr>
        <w:pStyle w:val="Text1"/>
        <w:pBdr>
          <w:top w:val="single" w:sz="4" w:space="1" w:color="auto"/>
          <w:left w:val="single" w:sz="4" w:space="4" w:color="auto"/>
          <w:bottom w:val="single" w:sz="4" w:space="1" w:color="auto"/>
          <w:right w:val="single" w:sz="4" w:space="4" w:color="auto"/>
        </w:pBdr>
        <w:rPr>
          <w:noProof/>
        </w:rPr>
      </w:pPr>
      <w:r w:rsidRPr="00F81955">
        <w:rPr>
          <w:noProof/>
        </w:rPr>
        <w:t>AI providers should benefit from a centralised level of governance and the access to</w:t>
      </w:r>
      <w:r w:rsidR="56A1A0B9" w:rsidRPr="00F81955">
        <w:rPr>
          <w:noProof/>
        </w:rPr>
        <w:t xml:space="preserve"> a</w:t>
      </w:r>
      <w:r w:rsidR="000316EE" w:rsidRPr="00F81955">
        <w:rPr>
          <w:noProof/>
        </w:rPr>
        <w:t>n</w:t>
      </w:r>
      <w:r w:rsidRPr="00F81955">
        <w:rPr>
          <w:noProof/>
        </w:rPr>
        <w:t xml:space="preserve"> EU-level sandbox for certain categories of AI systems, avoiding duplication of procedures and costs.</w:t>
      </w:r>
    </w:p>
    <w:p w:rsidR="009C3EE2" w:rsidRPr="00F81955" w:rsidRDefault="009C3EE2" w:rsidP="0002735A">
      <w:pPr>
        <w:pStyle w:val="ManualHeading3"/>
        <w:rPr>
          <w:noProof/>
        </w:rPr>
      </w:pPr>
      <w:r w:rsidRPr="00F81955">
        <w:rPr>
          <w:noProof/>
        </w:rPr>
        <w:t>1.3.4.</w:t>
      </w:r>
      <w:r w:rsidRPr="00F81955">
        <w:rPr>
          <w:noProof/>
        </w:rPr>
        <w:tab/>
        <w:t>Indicators of performance</w:t>
      </w:r>
    </w:p>
    <w:p w:rsidR="009C3EE2" w:rsidRPr="00F81955" w:rsidRDefault="009C3EE2" w:rsidP="0002735A">
      <w:pPr>
        <w:pStyle w:val="Text1"/>
        <w:rPr>
          <w:i/>
          <w:noProof/>
          <w:sz w:val="20"/>
        </w:rPr>
      </w:pPr>
      <w:r w:rsidRPr="00F81955">
        <w:rPr>
          <w:i/>
          <w:noProof/>
          <w:sz w:val="20"/>
        </w:rPr>
        <w:t>Specify the indicators for monitoring progress and achievements.</w:t>
      </w:r>
    </w:p>
    <w:p w:rsidR="00C90C9C" w:rsidRPr="00F81955" w:rsidRDefault="00C90C9C" w:rsidP="00C90C9C">
      <w:pPr>
        <w:pStyle w:val="Text1"/>
        <w:pBdr>
          <w:top w:val="single" w:sz="4" w:space="1" w:color="auto"/>
          <w:left w:val="single" w:sz="4" w:space="4" w:color="auto"/>
          <w:bottom w:val="single" w:sz="4" w:space="1" w:color="auto"/>
          <w:right w:val="single" w:sz="4" w:space="4" w:color="auto"/>
        </w:pBdr>
        <w:rPr>
          <w:noProof/>
          <w:u w:val="single"/>
        </w:rPr>
      </w:pPr>
      <w:r w:rsidRPr="00F81955">
        <w:rPr>
          <w:noProof/>
          <w:u w:val="single"/>
        </w:rPr>
        <w:t>Indicator 1</w:t>
      </w:r>
    </w:p>
    <w:p w:rsidR="00C90C9C" w:rsidRPr="00F81955" w:rsidRDefault="00C90C9C" w:rsidP="00C90C9C">
      <w:pPr>
        <w:pStyle w:val="Text1"/>
        <w:pBdr>
          <w:top w:val="single" w:sz="4" w:space="1" w:color="auto"/>
          <w:left w:val="single" w:sz="4" w:space="4" w:color="auto"/>
          <w:bottom w:val="single" w:sz="4" w:space="1" w:color="auto"/>
          <w:right w:val="single" w:sz="4" w:space="4" w:color="auto"/>
        </w:pBdr>
        <w:rPr>
          <w:noProof/>
        </w:rPr>
      </w:pPr>
      <w:r w:rsidRPr="00F81955">
        <w:rPr>
          <w:noProof/>
        </w:rPr>
        <w:t>Number of AI systems falling under the scope of the monitoring and supervision tasks to be carried out by the AI Office.</w:t>
      </w:r>
    </w:p>
    <w:p w:rsidR="00C90C9C" w:rsidRPr="00F81955" w:rsidRDefault="00C90C9C" w:rsidP="00C90C9C">
      <w:pPr>
        <w:pStyle w:val="Text1"/>
        <w:pBdr>
          <w:top w:val="single" w:sz="4" w:space="1" w:color="auto"/>
          <w:left w:val="single" w:sz="4" w:space="4" w:color="auto"/>
          <w:bottom w:val="single" w:sz="4" w:space="1" w:color="auto"/>
          <w:right w:val="single" w:sz="4" w:space="4" w:color="auto"/>
        </w:pBdr>
        <w:rPr>
          <w:noProof/>
          <w:u w:val="single"/>
        </w:rPr>
      </w:pPr>
      <w:r w:rsidRPr="00F81955">
        <w:rPr>
          <w:noProof/>
          <w:u w:val="single"/>
        </w:rPr>
        <w:t>Indicator 2</w:t>
      </w:r>
    </w:p>
    <w:p w:rsidR="00C90C9C" w:rsidRPr="00F81955" w:rsidRDefault="00C90C9C" w:rsidP="4574C7F4">
      <w:pPr>
        <w:pStyle w:val="Text1"/>
        <w:pBdr>
          <w:top w:val="single" w:sz="4" w:space="1" w:color="auto"/>
          <w:left w:val="single" w:sz="4" w:space="4" w:color="auto"/>
          <w:bottom w:val="single" w:sz="4" w:space="1" w:color="auto"/>
          <w:right w:val="single" w:sz="4" w:space="4" w:color="auto"/>
        </w:pBdr>
        <w:rPr>
          <w:noProof/>
        </w:rPr>
      </w:pPr>
      <w:r w:rsidRPr="00F81955">
        <w:rPr>
          <w:noProof/>
        </w:rPr>
        <w:t xml:space="preserve">Number of </w:t>
      </w:r>
      <w:r w:rsidR="78BEEDF3" w:rsidRPr="00F81955">
        <w:rPr>
          <w:noProof/>
        </w:rPr>
        <w:t xml:space="preserve">providers and prospective providers requesting access to the </w:t>
      </w:r>
      <w:r w:rsidRPr="00F81955">
        <w:rPr>
          <w:noProof/>
        </w:rPr>
        <w:t>sandbox at EU level.</w:t>
      </w:r>
    </w:p>
    <w:p w:rsidR="009C3EE2" w:rsidRPr="00F81955" w:rsidRDefault="009C3EE2" w:rsidP="0002735A">
      <w:pPr>
        <w:pStyle w:val="ManualHeading2"/>
        <w:rPr>
          <w:noProof/>
        </w:rPr>
      </w:pPr>
      <w:r w:rsidRPr="00F81955">
        <w:rPr>
          <w:noProof/>
        </w:rPr>
        <w:t>1.4.</w:t>
      </w:r>
      <w:r w:rsidRPr="00F81955">
        <w:rPr>
          <w:noProof/>
        </w:rPr>
        <w:tab/>
        <w:t xml:space="preserve">The proposal/initiative relates to: </w:t>
      </w:r>
    </w:p>
    <w:p w:rsidR="009C3EE2" w:rsidRPr="00F81955" w:rsidRDefault="009C3EE2" w:rsidP="0002735A">
      <w:pPr>
        <w:pStyle w:val="Text1"/>
        <w:rPr>
          <w:noProof/>
          <w:sz w:val="22"/>
        </w:rPr>
      </w:pPr>
      <w:r w:rsidRPr="00F81955">
        <w:rPr>
          <w:rFonts w:ascii="Wingdings" w:eastAsia="Wingdings" w:hAnsi="Wingdings" w:cs="Wingdings"/>
          <w:noProof/>
          <w:sz w:val="22"/>
        </w:rPr>
        <w:t></w:t>
      </w:r>
      <w:r w:rsidRPr="00F81955">
        <w:rPr>
          <w:i/>
          <w:iCs/>
          <w:noProof/>
          <w:sz w:val="22"/>
        </w:rPr>
        <w:t xml:space="preserve"> </w:t>
      </w:r>
      <w:r w:rsidRPr="00F81955">
        <w:rPr>
          <w:noProof/>
        </w:rPr>
        <w:t>a new action</w:t>
      </w:r>
      <w:r w:rsidRPr="00F81955">
        <w:rPr>
          <w:noProof/>
          <w:sz w:val="22"/>
        </w:rPr>
        <w:t xml:space="preserve"> </w:t>
      </w:r>
    </w:p>
    <w:p w:rsidR="009C3EE2" w:rsidRPr="00F81955" w:rsidRDefault="009C3EE2" w:rsidP="0002735A">
      <w:pPr>
        <w:pStyle w:val="Text1"/>
        <w:rPr>
          <w:noProof/>
          <w:sz w:val="22"/>
        </w:rPr>
      </w:pPr>
      <w:r w:rsidRPr="00F81955">
        <w:rPr>
          <w:rFonts w:ascii="Wingdings" w:eastAsia="Wingdings" w:hAnsi="Wingdings" w:cs="Wingdings"/>
          <w:noProof/>
          <w:sz w:val="22"/>
        </w:rPr>
        <w:t></w:t>
      </w:r>
      <w:r w:rsidRPr="00F81955">
        <w:rPr>
          <w:i/>
          <w:iCs/>
          <w:noProof/>
          <w:sz w:val="22"/>
        </w:rPr>
        <w:t xml:space="preserve"> </w:t>
      </w:r>
      <w:r w:rsidRPr="00F81955">
        <w:rPr>
          <w:noProof/>
        </w:rPr>
        <w:t>a new action following a pilot project / preparatory action</w:t>
      </w:r>
      <w:r w:rsidRPr="00F81955">
        <w:rPr>
          <w:rStyle w:val="FootnoteReference"/>
          <w:noProof/>
        </w:rPr>
        <w:footnoteReference w:id="27"/>
      </w:r>
      <w:r w:rsidRPr="00F81955">
        <w:rPr>
          <w:noProof/>
          <w:sz w:val="22"/>
        </w:rPr>
        <w:t xml:space="preserve"> </w:t>
      </w:r>
    </w:p>
    <w:p w:rsidR="009C3EE2" w:rsidRPr="00F81955" w:rsidRDefault="00C90C9C" w:rsidP="0002735A">
      <w:pPr>
        <w:pStyle w:val="Text1"/>
        <w:rPr>
          <w:noProof/>
          <w:sz w:val="22"/>
        </w:rPr>
      </w:pPr>
      <w:r w:rsidRPr="00F81955">
        <w:rPr>
          <w:rFonts w:ascii="Wingdings" w:eastAsia="Wingdings" w:hAnsi="Wingdings" w:cs="Wingdings"/>
          <w:noProof/>
          <w:sz w:val="22"/>
        </w:rPr>
        <w:t></w:t>
      </w:r>
      <w:r w:rsidR="009C3EE2" w:rsidRPr="00F81955">
        <w:rPr>
          <w:i/>
          <w:iCs/>
          <w:noProof/>
          <w:sz w:val="22"/>
        </w:rPr>
        <w:t xml:space="preserve"> </w:t>
      </w:r>
      <w:r w:rsidR="009C3EE2" w:rsidRPr="00F81955">
        <w:rPr>
          <w:noProof/>
        </w:rPr>
        <w:t>the extension of an existing action</w:t>
      </w:r>
      <w:r w:rsidR="009C3EE2" w:rsidRPr="00F81955">
        <w:rPr>
          <w:noProof/>
          <w:sz w:val="22"/>
        </w:rPr>
        <w:t xml:space="preserve"> </w:t>
      </w:r>
    </w:p>
    <w:p w:rsidR="009C3EE2" w:rsidRPr="00F81955" w:rsidRDefault="009C3EE2" w:rsidP="0002735A">
      <w:pPr>
        <w:pStyle w:val="Text1"/>
        <w:rPr>
          <w:noProof/>
        </w:rPr>
      </w:pPr>
      <w:r w:rsidRPr="00F81955">
        <w:rPr>
          <w:rFonts w:ascii="Wingdings" w:eastAsia="Wingdings" w:hAnsi="Wingdings" w:cs="Wingdings"/>
          <w:noProof/>
          <w:sz w:val="22"/>
        </w:rPr>
        <w:t></w:t>
      </w:r>
      <w:r w:rsidRPr="00F81955">
        <w:rPr>
          <w:i/>
          <w:iCs/>
          <w:noProof/>
          <w:sz w:val="22"/>
        </w:rPr>
        <w:t xml:space="preserve"> </w:t>
      </w:r>
      <w:r w:rsidRPr="00F81955">
        <w:rPr>
          <w:noProof/>
        </w:rPr>
        <w:t>a merger or redirection of one or more actions towards another/a new action</w:t>
      </w:r>
    </w:p>
    <w:p w:rsidR="009C3EE2" w:rsidRPr="00F81955" w:rsidRDefault="009C3EE2" w:rsidP="0002735A">
      <w:pPr>
        <w:pStyle w:val="ManualHeading2"/>
        <w:rPr>
          <w:bCs/>
          <w:noProof/>
          <w:szCs w:val="24"/>
        </w:rPr>
      </w:pPr>
      <w:r w:rsidRPr="00F81955">
        <w:rPr>
          <w:noProof/>
        </w:rPr>
        <w:t>1.5.</w:t>
      </w:r>
      <w:r w:rsidRPr="00F81955">
        <w:rPr>
          <w:noProof/>
        </w:rPr>
        <w:tab/>
        <w:t xml:space="preserve">Grounds for the proposal/initiative </w:t>
      </w:r>
    </w:p>
    <w:p w:rsidR="009C3EE2" w:rsidRPr="00F81955" w:rsidRDefault="009C3EE2" w:rsidP="0002735A">
      <w:pPr>
        <w:pStyle w:val="ManualHeading3"/>
        <w:rPr>
          <w:noProof/>
        </w:rPr>
      </w:pPr>
      <w:r w:rsidRPr="00F81955">
        <w:rPr>
          <w:noProof/>
        </w:rPr>
        <w:t>1.5.1.</w:t>
      </w:r>
      <w:r w:rsidRPr="00F81955">
        <w:rPr>
          <w:noProof/>
        </w:rPr>
        <w:tab/>
        <w:t>Requirement(s) to be met in the short or long term including a detailed timeline for roll-out of the implementation of the initiative</w:t>
      </w:r>
    </w:p>
    <w:p w:rsidR="00C90C9C" w:rsidRPr="00F81955" w:rsidRDefault="00C90C9C" w:rsidP="00C90C9C">
      <w:pPr>
        <w:pStyle w:val="Text1"/>
        <w:pBdr>
          <w:top w:val="single" w:sz="4" w:space="1" w:color="auto"/>
          <w:left w:val="single" w:sz="4" w:space="4" w:color="auto"/>
          <w:bottom w:val="single" w:sz="4" w:space="1" w:color="auto"/>
          <w:right w:val="single" w:sz="4" w:space="4" w:color="auto"/>
        </w:pBdr>
        <w:rPr>
          <w:noProof/>
        </w:rPr>
      </w:pPr>
      <w:r w:rsidRPr="00F81955">
        <w:rPr>
          <w:noProof/>
        </w:rPr>
        <w:t xml:space="preserve">The additional elements relevant for the enhancement of the governance structure of the AI Office should be in place before the entry into </w:t>
      </w:r>
      <w:r w:rsidR="000316EE" w:rsidRPr="00F81955">
        <w:rPr>
          <w:noProof/>
        </w:rPr>
        <w:t xml:space="preserve">application </w:t>
      </w:r>
      <w:r w:rsidRPr="00F81955">
        <w:rPr>
          <w:noProof/>
        </w:rPr>
        <w:t>of the provisions applicable to AI systems.</w:t>
      </w:r>
    </w:p>
    <w:p w:rsidR="00C90C9C" w:rsidRPr="00F81955" w:rsidRDefault="00C90C9C" w:rsidP="00C90C9C">
      <w:pPr>
        <w:pStyle w:val="Text1"/>
        <w:pBdr>
          <w:top w:val="single" w:sz="4" w:space="1" w:color="auto"/>
          <w:left w:val="single" w:sz="4" w:space="4" w:color="auto"/>
          <w:bottom w:val="single" w:sz="4" w:space="1" w:color="auto"/>
          <w:right w:val="single" w:sz="4" w:space="4" w:color="auto"/>
        </w:pBdr>
        <w:rPr>
          <w:noProof/>
        </w:rPr>
      </w:pPr>
      <w:r w:rsidRPr="00F81955">
        <w:rPr>
          <w:noProof/>
        </w:rPr>
        <w:t xml:space="preserve">The first EU sandbox is expected to be operational </w:t>
      </w:r>
      <w:r w:rsidR="2D0C4DD8" w:rsidRPr="00F81955">
        <w:rPr>
          <w:noProof/>
        </w:rPr>
        <w:t>in 2028</w:t>
      </w:r>
      <w:r w:rsidRPr="00F81955">
        <w:rPr>
          <w:noProof/>
        </w:rPr>
        <w:t>, although some key setting details should be established beforehand.</w:t>
      </w:r>
    </w:p>
    <w:p w:rsidR="009C3EE2" w:rsidRPr="00F81955" w:rsidRDefault="009C3EE2" w:rsidP="0002735A">
      <w:pPr>
        <w:pStyle w:val="ManualHeading3"/>
        <w:rPr>
          <w:bCs/>
          <w:noProof/>
          <w:szCs w:val="24"/>
        </w:rPr>
      </w:pPr>
      <w:r w:rsidRPr="00F81955">
        <w:rPr>
          <w:noProof/>
        </w:rPr>
        <w:t>1.5.2.</w:t>
      </w:r>
      <w:r w:rsidRPr="00F81955">
        <w:rPr>
          <w:noProof/>
        </w:rPr>
        <w:tab/>
        <w:t>Added value of EU involvement (it may result from different factors, e.g. coordination gains, legal certainty, greater effectiveness or complementarities). For the purposes of this section 'added value of EU involvement' is the value resulting from EU action, that is additional to the value that would have been otherwise created by Member States alone.</w:t>
      </w:r>
    </w:p>
    <w:p w:rsidR="00C90C9C" w:rsidRPr="00F81955" w:rsidRDefault="00C90C9C" w:rsidP="00C90C9C">
      <w:pPr>
        <w:pStyle w:val="Text1"/>
        <w:pBdr>
          <w:top w:val="single" w:sz="4" w:space="1" w:color="auto"/>
          <w:left w:val="single" w:sz="4" w:space="4" w:color="auto"/>
          <w:bottom w:val="single" w:sz="4" w:space="1" w:color="auto"/>
          <w:right w:val="single" w:sz="4" w:space="4" w:color="auto"/>
        </w:pBdr>
        <w:rPr>
          <w:noProof/>
        </w:rPr>
      </w:pPr>
      <w:r w:rsidRPr="00F81955">
        <w:rPr>
          <w:noProof/>
        </w:rPr>
        <w:t>The AI Office will have the power to monitor and supervise the compliance of all AI systems based on general-purpose AI (GPAI) models, where the model and the system are developed by the same provider, as well as all AI systems embedded in</w:t>
      </w:r>
      <w:r w:rsidR="00414055" w:rsidRPr="00F81955">
        <w:rPr>
          <w:noProof/>
        </w:rPr>
        <w:t xml:space="preserve"> or constituting</w:t>
      </w:r>
      <w:r w:rsidRPr="00F81955">
        <w:rPr>
          <w:noProof/>
        </w:rPr>
        <w:t xml:space="preserve"> </w:t>
      </w:r>
      <w:r w:rsidR="00EB60AC" w:rsidRPr="00F81955">
        <w:rPr>
          <w:noProof/>
        </w:rPr>
        <w:t xml:space="preserve">very large online </w:t>
      </w:r>
      <w:r w:rsidRPr="00F81955">
        <w:rPr>
          <w:noProof/>
        </w:rPr>
        <w:t>platforms</w:t>
      </w:r>
      <w:r w:rsidR="00EB60AC" w:rsidRPr="00F81955">
        <w:rPr>
          <w:noProof/>
        </w:rPr>
        <w:t xml:space="preserve"> or search engines</w:t>
      </w:r>
      <w:r w:rsidRPr="00F81955">
        <w:rPr>
          <w:noProof/>
        </w:rPr>
        <w:t xml:space="preserve">, even if the system and GPAI model provider are different. The tasks that the AI Office would need to carry out for this vast range of AI systems include requesting full access to documentation, training/validation/testing datasets, and, when necessary, the source code of high-risk AI systems, supervising real-world testing, identifying and evaluating risks, dealing with serious incidents, taking preventive and corrective measures while ensuring cooperation with national </w:t>
      </w:r>
      <w:r>
        <w:rPr>
          <w:noProof/>
        </w:rPr>
        <w:t>market surveillance authorities</w:t>
      </w:r>
      <w:r w:rsidRPr="00F81955">
        <w:rPr>
          <w:noProof/>
        </w:rPr>
        <w:t xml:space="preserve">, dealing with AI systems classified as not high-risk by the provider, dealing with complaints of non-compliance, and imposing penalties. </w:t>
      </w:r>
      <w:r w:rsidR="008E6064" w:rsidRPr="00F81955">
        <w:rPr>
          <w:noProof/>
        </w:rPr>
        <w:t>Moreover, to allow market access for AI systems</w:t>
      </w:r>
      <w:r w:rsidR="001A17BB" w:rsidRPr="00F81955">
        <w:rPr>
          <w:noProof/>
        </w:rPr>
        <w:t xml:space="preserve"> in the scope of this provision</w:t>
      </w:r>
      <w:r w:rsidR="008E6064" w:rsidRPr="00F81955">
        <w:rPr>
          <w:noProof/>
        </w:rPr>
        <w:t xml:space="preserve"> which are </w:t>
      </w:r>
      <w:r w:rsidR="001A17BB" w:rsidRPr="00F81955">
        <w:rPr>
          <w:noProof/>
        </w:rPr>
        <w:t xml:space="preserve">also </w:t>
      </w:r>
      <w:r w:rsidR="008E6064" w:rsidRPr="00F81955">
        <w:rPr>
          <w:noProof/>
        </w:rPr>
        <w:t xml:space="preserve">subject to </w:t>
      </w:r>
      <w:r w:rsidR="00BA15A9" w:rsidRPr="00F81955">
        <w:rPr>
          <w:noProof/>
        </w:rPr>
        <w:t xml:space="preserve">pre-market </w:t>
      </w:r>
      <w:r w:rsidR="008E6064" w:rsidRPr="00F81955">
        <w:rPr>
          <w:noProof/>
        </w:rPr>
        <w:t>third</w:t>
      </w:r>
      <w:r w:rsidR="00BA15A9" w:rsidRPr="00F81955">
        <w:rPr>
          <w:noProof/>
        </w:rPr>
        <w:t>-</w:t>
      </w:r>
      <w:r w:rsidR="008E6064" w:rsidRPr="00F81955">
        <w:rPr>
          <w:noProof/>
        </w:rPr>
        <w:t>party conformity assessment under</w:t>
      </w:r>
      <w:r w:rsidR="001A17BB" w:rsidRPr="00F81955">
        <w:rPr>
          <w:noProof/>
        </w:rPr>
        <w:t xml:space="preserve"> the AI Act, the AI Office will be the responsible body to carry out conformity assessments.</w:t>
      </w:r>
      <w:r w:rsidR="008E6064" w:rsidRPr="00F81955">
        <w:rPr>
          <w:noProof/>
        </w:rPr>
        <w:t xml:space="preserve"> </w:t>
      </w:r>
      <w:r w:rsidRPr="00F81955">
        <w:rPr>
          <w:noProof/>
        </w:rPr>
        <w:t>All these actions require resources and a set of enforcement procedures to be developed and implemented, as well as the appropriate technical support to assess and evaluate systems.</w:t>
      </w:r>
    </w:p>
    <w:p w:rsidR="00C90C9C" w:rsidRPr="00F81955" w:rsidRDefault="00C90C9C" w:rsidP="00C90C9C">
      <w:pPr>
        <w:pStyle w:val="Text1"/>
        <w:pBdr>
          <w:top w:val="single" w:sz="4" w:space="1" w:color="auto"/>
          <w:left w:val="single" w:sz="4" w:space="4" w:color="auto"/>
          <w:bottom w:val="single" w:sz="4" w:space="1" w:color="auto"/>
          <w:right w:val="single" w:sz="4" w:space="4" w:color="auto"/>
        </w:pBdr>
        <w:rPr>
          <w:noProof/>
        </w:rPr>
      </w:pPr>
      <w:r w:rsidRPr="00F81955">
        <w:rPr>
          <w:noProof/>
        </w:rPr>
        <w:t>The AI Office</w:t>
      </w:r>
      <w:r w:rsidR="009E41D0" w:rsidRPr="00F81955">
        <w:rPr>
          <w:noProof/>
        </w:rPr>
        <w:t>’</w:t>
      </w:r>
      <w:r w:rsidRPr="00F81955">
        <w:rPr>
          <w:noProof/>
        </w:rPr>
        <w:t>s role in ensuring compliance would also involve ensuring synergies with the evaluation of the GPAI models, which would strengthen the overall evaluations of models and systems provided by the same provider. This would enable a more comprehensive understanding of the AI systems and their associated risks, allowing for more effective monitoring and enforcement. The AI Office will also need to consider the unique challenges posed by agentic AI, which can operate autonomously and make decisions that may have significant consequences, and develop strategies to address these risks</w:t>
      </w:r>
      <w:r w:rsidR="00A43C1D" w:rsidRPr="00F81955">
        <w:rPr>
          <w:noProof/>
        </w:rPr>
        <w:t xml:space="preserve"> in line with Commission policies</w:t>
      </w:r>
      <w:r w:rsidRPr="00F81955">
        <w:rPr>
          <w:noProof/>
        </w:rPr>
        <w:t xml:space="preserve">. </w:t>
      </w:r>
    </w:p>
    <w:p w:rsidR="00C90C9C" w:rsidRPr="00F81955" w:rsidRDefault="00C90C9C" w:rsidP="00C90C9C">
      <w:pPr>
        <w:pStyle w:val="Text1"/>
        <w:pBdr>
          <w:top w:val="single" w:sz="4" w:space="1" w:color="auto"/>
          <w:left w:val="single" w:sz="4" w:space="4" w:color="auto"/>
          <w:bottom w:val="single" w:sz="4" w:space="1" w:color="auto"/>
          <w:right w:val="single" w:sz="4" w:space="4" w:color="auto"/>
        </w:pBdr>
        <w:rPr>
          <w:noProof/>
        </w:rPr>
      </w:pPr>
      <w:r w:rsidRPr="00F81955">
        <w:rPr>
          <w:noProof/>
        </w:rPr>
        <w:t>The enhancement of the AI Office’s governance would bring numerous benefits to the regulation of AI systems in the EU. One of the primary advantages is the consistency and coherence it would ensure in the application of the AI Act across the EU. By having a single authority overseeing the implementation of the AI Act in relation to certain categories of AI systems, the risk of conflicting interpretations and decisions would be significantly reduced, providing clarity and certainty for companies operating in the EU.</w:t>
      </w:r>
    </w:p>
    <w:p w:rsidR="00C90C9C" w:rsidRPr="00F81955" w:rsidRDefault="00C90C9C" w:rsidP="00C90C9C">
      <w:pPr>
        <w:pStyle w:val="Text1"/>
        <w:pBdr>
          <w:top w:val="single" w:sz="4" w:space="1" w:color="auto"/>
          <w:left w:val="single" w:sz="4" w:space="4" w:color="auto"/>
          <w:bottom w:val="single" w:sz="4" w:space="1" w:color="auto"/>
          <w:right w:val="single" w:sz="4" w:space="4" w:color="auto"/>
        </w:pBdr>
        <w:rPr>
          <w:noProof/>
        </w:rPr>
      </w:pPr>
      <w:r w:rsidRPr="00F81955">
        <w:rPr>
          <w:noProof/>
        </w:rPr>
        <w:t xml:space="preserve">Furthermore, this would simplify the regulatory landscape for companies, as they would only need to deal with one regulator, rather than multiple national authorities. This would reduce the complexity and administrative burden associated with navigating different regulatory frameworks, allowing companies to focus on innovation and growth. The </w:t>
      </w:r>
      <w:r w:rsidR="009E41D0" w:rsidRPr="00F81955">
        <w:rPr>
          <w:noProof/>
        </w:rPr>
        <w:t xml:space="preserve">centralised </w:t>
      </w:r>
      <w:r w:rsidRPr="00F81955">
        <w:rPr>
          <w:noProof/>
        </w:rPr>
        <w:t xml:space="preserve">approach would also enable the development within the Commission of </w:t>
      </w:r>
      <w:r w:rsidR="009E41D0" w:rsidRPr="00F81955">
        <w:rPr>
          <w:noProof/>
        </w:rPr>
        <w:t xml:space="preserve">specialised </w:t>
      </w:r>
      <w:r w:rsidRPr="00F81955">
        <w:rPr>
          <w:noProof/>
        </w:rPr>
        <w:t>expertise in AI systems and GPAI models, enabling more effective monitoring and enforcement of the AI Act.</w:t>
      </w:r>
    </w:p>
    <w:p w:rsidR="3D1C7454" w:rsidRPr="00F81955" w:rsidRDefault="3D1C7454" w:rsidP="008E297A">
      <w:pPr>
        <w:pStyle w:val="Text1"/>
        <w:pBdr>
          <w:top w:val="single" w:sz="4" w:space="1" w:color="auto"/>
          <w:left w:val="single" w:sz="4" w:space="4" w:color="auto"/>
          <w:bottom w:val="single" w:sz="4" w:space="1" w:color="auto"/>
          <w:right w:val="single" w:sz="4" w:space="4" w:color="auto"/>
        </w:pBdr>
        <w:rPr>
          <w:rFonts w:eastAsia="Calibri"/>
          <w:noProof/>
        </w:rPr>
      </w:pPr>
      <w:r w:rsidRPr="00F81955">
        <w:rPr>
          <w:rFonts w:eastAsia="Calibri"/>
          <w:noProof/>
        </w:rPr>
        <w:t>This approach would avoid diverging national enforcement actions on the AI systems concerned that may lead to the fragmentation of the internal market and decrease legal certainty for operators. This would also address the challenges faced by Member States in securing speciali</w:t>
      </w:r>
      <w:r w:rsidR="00B550BB" w:rsidRPr="00F81955">
        <w:rPr>
          <w:rFonts w:eastAsia="Calibri"/>
          <w:noProof/>
        </w:rPr>
        <w:t>s</w:t>
      </w:r>
      <w:r w:rsidRPr="00F81955">
        <w:rPr>
          <w:rFonts w:eastAsia="Calibri"/>
          <w:noProof/>
        </w:rPr>
        <w:t xml:space="preserve">ed resources to staff their authorities responsible for implementing the AI Act and overseeing AI systems within their territories. By centralizing market surveillance authorities’ powers within the AI Office, this scenario would enable the AI Office to assume responsibility for evaluating and monitoring complex AI systems provided by the same model provider, as well as AI systems constituting or embedded into platforms, thereby alleviating the burden on national authorities. This would leverage the AI Office's existing expertise in evaluating GPAI models and monitoring their compliance, creating a unique concentration of specialized knowledge and capabilities. As a result, the AI Office would be well-positioned to provide consistent and effective oversight, while also supporting Member States in their efforts to implement the AI Act and ensure a harmonized regulatory environment across the EU. With the AI Office handling these additional tasks, national authorities could focus more on their enforcement actions under the AI Act, allowing for a more efficient allocation of resources and a more effective implementation of the AI Act across </w:t>
      </w:r>
      <w:r w:rsidR="00B550BB" w:rsidRPr="00F81955">
        <w:rPr>
          <w:rFonts w:eastAsia="Calibri"/>
          <w:noProof/>
        </w:rPr>
        <w:t>the EU</w:t>
      </w:r>
      <w:r w:rsidRPr="00F81955">
        <w:rPr>
          <w:rFonts w:eastAsia="Calibri"/>
          <w:noProof/>
        </w:rPr>
        <w:t>.</w:t>
      </w:r>
    </w:p>
    <w:p w:rsidR="009C3EE2" w:rsidRPr="00F81955" w:rsidRDefault="009C3EE2" w:rsidP="0002735A">
      <w:pPr>
        <w:pStyle w:val="ManualHeading3"/>
        <w:rPr>
          <w:noProof/>
        </w:rPr>
      </w:pPr>
      <w:r w:rsidRPr="00F81955">
        <w:rPr>
          <w:noProof/>
        </w:rPr>
        <w:t>1.5.3.</w:t>
      </w:r>
      <w:r w:rsidRPr="00F81955">
        <w:rPr>
          <w:noProof/>
        </w:rPr>
        <w:tab/>
        <w:t>Lessons learned from similar experiences in the past</w:t>
      </w:r>
    </w:p>
    <w:p w:rsidR="00C90C9C" w:rsidRPr="00F81955" w:rsidRDefault="00C90C9C" w:rsidP="00C90C9C">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81955">
        <w:rPr>
          <w:rFonts w:eastAsia="Times New Roman"/>
          <w:noProof/>
          <w:szCs w:val="24"/>
        </w:rPr>
        <w:t>The European Commission's experience in enforcing the Digital Services Act (DSA) provides valuable lessons that can be applied to the enforcement of the AI Act. In particular, the establishment of a robust and transparent enforcement framework, which sets out clear procedures for investigating and addressing breaches of the DSA and the close cooperation with national authorities, to ensure that enforcement actions are coordinated and effective, represent relevant elements in this context.</w:t>
      </w:r>
    </w:p>
    <w:p w:rsidR="00C90C9C" w:rsidRPr="00F81955" w:rsidRDefault="00C90C9C" w:rsidP="00C90C9C">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81955">
        <w:rPr>
          <w:rFonts w:eastAsia="Times New Roman"/>
          <w:noProof/>
          <w:szCs w:val="24"/>
        </w:rPr>
        <w:t xml:space="preserve">The </w:t>
      </w:r>
      <w:r w:rsidR="009E41D0" w:rsidRPr="00F81955">
        <w:rPr>
          <w:rFonts w:eastAsia="Times New Roman"/>
          <w:noProof/>
          <w:szCs w:val="24"/>
        </w:rPr>
        <w:t xml:space="preserve">Commission’s </w:t>
      </w:r>
      <w:r w:rsidRPr="00F81955">
        <w:rPr>
          <w:rFonts w:eastAsia="Times New Roman"/>
          <w:noProof/>
          <w:szCs w:val="24"/>
        </w:rPr>
        <w:t>experience with DSA enforcement has shown that this approach can be effective in promoting compliance and protecting users' rights. For example, the Commission has already taken action against several online platforms for breaches of the DSA, and has worked with national authorities to develop guidance and best practices for compliance.</w:t>
      </w:r>
    </w:p>
    <w:p w:rsidR="00C90C9C" w:rsidRPr="00F81955" w:rsidRDefault="00C90C9C" w:rsidP="00C90C9C">
      <w:pPr>
        <w:pStyle w:val="Text1"/>
        <w:pBdr>
          <w:top w:val="single" w:sz="8" w:space="1" w:color="000000"/>
          <w:left w:val="single" w:sz="8" w:space="4" w:color="000000"/>
          <w:bottom w:val="single" w:sz="8" w:space="1" w:color="000000"/>
          <w:right w:val="single" w:sz="8" w:space="4" w:color="000000"/>
        </w:pBdr>
        <w:rPr>
          <w:rFonts w:eastAsia="Times New Roman"/>
          <w:noProof/>
        </w:rPr>
      </w:pPr>
      <w:r w:rsidRPr="00F81955">
        <w:rPr>
          <w:rFonts w:eastAsia="Times New Roman"/>
          <w:noProof/>
        </w:rPr>
        <w:t>By building on the lessons learned from DSA enforcement, the Commission can develop an effective enforcement framework for the AI Act that promotes compliance, and supports the development of a trustworthy and innovative AI ecosystem in the EU. This will involve enhancing the AI Office enforcement role to duly monitor and supervision certain categories of AI systems, and working closely with national authorities to ensure that the AI Act is enforced in a consistent and effective manner.</w:t>
      </w:r>
    </w:p>
    <w:p w:rsidR="00C90C9C" w:rsidRPr="00F81955" w:rsidRDefault="00C90C9C" w:rsidP="4574C7F4">
      <w:pPr>
        <w:pStyle w:val="Text1"/>
        <w:pBdr>
          <w:top w:val="single" w:sz="8" w:space="1" w:color="000000"/>
          <w:left w:val="single" w:sz="8" w:space="4" w:color="000000"/>
          <w:bottom w:val="single" w:sz="8" w:space="1" w:color="000000"/>
          <w:right w:val="single" w:sz="8" w:space="4" w:color="000000"/>
        </w:pBdr>
        <w:rPr>
          <w:rFonts w:eastAsia="Times New Roman"/>
          <w:noProof/>
        </w:rPr>
      </w:pPr>
      <w:r w:rsidRPr="00F81955">
        <w:rPr>
          <w:rFonts w:eastAsia="Times New Roman"/>
          <w:noProof/>
        </w:rPr>
        <w:t>The possibility to provide for</w:t>
      </w:r>
      <w:r w:rsidR="44A195C8" w:rsidRPr="00F81955">
        <w:rPr>
          <w:rFonts w:eastAsia="Times New Roman"/>
          <w:noProof/>
        </w:rPr>
        <w:t xml:space="preserve"> an</w:t>
      </w:r>
      <w:r w:rsidRPr="00F81955">
        <w:rPr>
          <w:rFonts w:eastAsia="Times New Roman"/>
          <w:noProof/>
        </w:rPr>
        <w:t xml:space="preserve"> EU-level sandbox should be seen as complementing the sandboxes established at national level and should be implemented in a way to facilitate cross-border cooperation between national competent authorities. </w:t>
      </w:r>
    </w:p>
    <w:p w:rsidR="009C3EE2" w:rsidRPr="00F81955" w:rsidRDefault="009C3EE2" w:rsidP="0002735A">
      <w:pPr>
        <w:pStyle w:val="ManualHeading3"/>
        <w:rPr>
          <w:noProof/>
        </w:rPr>
      </w:pPr>
      <w:r w:rsidRPr="00F81955">
        <w:rPr>
          <w:noProof/>
        </w:rPr>
        <w:t>1.5.4.</w:t>
      </w:r>
      <w:r w:rsidRPr="00F81955">
        <w:rPr>
          <w:noProof/>
        </w:rPr>
        <w:tab/>
        <w:t>Compatibility with the multiannual financial framework and possible synergies with other appropriate instruments</w:t>
      </w:r>
    </w:p>
    <w:p w:rsidR="00C90C9C" w:rsidRPr="00F81955" w:rsidRDefault="00C90C9C" w:rsidP="00C90C9C">
      <w:pPr>
        <w:pStyle w:val="Text1"/>
        <w:pBdr>
          <w:top w:val="single" w:sz="8" w:space="1" w:color="000000"/>
          <w:left w:val="single" w:sz="8" w:space="4" w:color="000000"/>
          <w:bottom w:val="single" w:sz="8" w:space="1" w:color="000000"/>
          <w:right w:val="single" w:sz="8" w:space="4" w:color="000000"/>
        </w:pBdr>
        <w:rPr>
          <w:noProof/>
        </w:rPr>
      </w:pPr>
      <w:r w:rsidRPr="00F81955">
        <w:rPr>
          <w:noProof/>
        </w:rPr>
        <w:t xml:space="preserve">The amendments proposed to the AI Act </w:t>
      </w:r>
      <w:r w:rsidR="00B671F7" w:rsidRPr="00F81955">
        <w:rPr>
          <w:noProof/>
        </w:rPr>
        <w:t>within this</w:t>
      </w:r>
      <w:r w:rsidRPr="00F81955">
        <w:rPr>
          <w:noProof/>
        </w:rPr>
        <w:t xml:space="preserve"> initiative would result in a significant increase in the number of AI systems subject to the monitoring and supervision of the AI Office, with a corresponding rise in the number of systems potentially eligible to participate in an EU-level sandbox. To effectively manage this expansion, it is essential to strengthen the European regulatory and coordination function, as proposed in this initiative. This reinforcement would enable the AI Office to efficiently oversee the growing number of AI systems, ensure compliance with the regulatory framework, and provide a supportive environment for innovation and testing through the EU-level sandbox.</w:t>
      </w:r>
    </w:p>
    <w:p w:rsidR="009C3EE2" w:rsidRPr="00F81955" w:rsidRDefault="009C3EE2" w:rsidP="0002735A">
      <w:pPr>
        <w:pStyle w:val="ManualHeading3"/>
        <w:rPr>
          <w:noProof/>
        </w:rPr>
      </w:pPr>
      <w:r w:rsidRPr="00F81955">
        <w:rPr>
          <w:noProof/>
        </w:rPr>
        <w:t>1.5.5.</w:t>
      </w:r>
      <w:r w:rsidRPr="00F81955">
        <w:rPr>
          <w:noProof/>
        </w:rPr>
        <w:tab/>
        <w:t>Assessment of the different available financing options, including scope for redeployment</w:t>
      </w:r>
    </w:p>
    <w:p w:rsidR="00C90C9C" w:rsidRPr="003A338C" w:rsidRDefault="36EBDA1E" w:rsidP="008E297A">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Pr>
          <w:rFonts w:eastAsia="Times New Roman"/>
          <w:noProof/>
          <w:szCs w:val="24"/>
        </w:rPr>
        <w:t>The AI Office will make an effort in order to redeploy part of the staff allocated but could do it only partially (15 FTEs) as the staff is currently fully allocated to tasks directly linked to ensuring a timely and correct implementation of the AI Act. New resources will be needed (estimated in 38 additional FTEs) to efficiently exercise the new enforcement tasks.</w:t>
      </w:r>
    </w:p>
    <w:p w:rsidR="00C90C9C" w:rsidRPr="00F81955" w:rsidRDefault="36EBDA1E" w:rsidP="31B4421B">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81955">
        <w:rPr>
          <w:rFonts w:eastAsia="Times New Roman"/>
          <w:noProof/>
          <w:szCs w:val="24"/>
        </w:rPr>
        <w:t xml:space="preserve">In particular, the AI Office plans to identify colleagues with legal and procedural expertise who can take on part of the upcoming </w:t>
      </w:r>
      <w:r w:rsidR="07EDA9A5" w:rsidRPr="00F81955">
        <w:rPr>
          <w:rFonts w:eastAsia="Times New Roman"/>
          <w:noProof/>
          <w:szCs w:val="24"/>
        </w:rPr>
        <w:t xml:space="preserve">new </w:t>
      </w:r>
      <w:r w:rsidR="006E44FA" w:rsidRPr="00F81955">
        <w:rPr>
          <w:rFonts w:eastAsia="Times New Roman"/>
          <w:noProof/>
          <w:szCs w:val="24"/>
        </w:rPr>
        <w:t>e</w:t>
      </w:r>
      <w:r w:rsidRPr="00F81955">
        <w:rPr>
          <w:rFonts w:eastAsia="Times New Roman"/>
          <w:noProof/>
          <w:szCs w:val="24"/>
        </w:rPr>
        <w:t xml:space="preserve">nforcement tasks. At this stage, we estimate that around 5 CAs with relevant profiles can be redeployed for this purpose. </w:t>
      </w:r>
    </w:p>
    <w:p w:rsidR="00C90C9C" w:rsidRPr="00F81955" w:rsidRDefault="36EBDA1E" w:rsidP="008E297A">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81955">
        <w:rPr>
          <w:rFonts w:eastAsia="Times New Roman"/>
          <w:noProof/>
          <w:szCs w:val="24"/>
        </w:rPr>
        <w:t>In addition, the AI Office will make an effort to redeploy 5 officials.</w:t>
      </w:r>
    </w:p>
    <w:p w:rsidR="00C90C9C" w:rsidRPr="00F81955" w:rsidRDefault="36EBDA1E" w:rsidP="31B4421B">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81955">
        <w:rPr>
          <w:rFonts w:eastAsia="Times New Roman"/>
          <w:noProof/>
          <w:szCs w:val="24"/>
        </w:rPr>
        <w:t xml:space="preserve">The AI Office envisages to make fully operational the EU-level sandbox for AI systems falling under </w:t>
      </w:r>
      <w:r w:rsidR="27325169" w:rsidRPr="00F81955">
        <w:rPr>
          <w:rFonts w:eastAsia="Times New Roman"/>
          <w:noProof/>
          <w:szCs w:val="24"/>
        </w:rPr>
        <w:t>its monitoring</w:t>
      </w:r>
      <w:r w:rsidRPr="00F81955">
        <w:rPr>
          <w:rFonts w:eastAsia="Times New Roman"/>
          <w:noProof/>
          <w:szCs w:val="24"/>
        </w:rPr>
        <w:t xml:space="preserve"> in 2028, which </w:t>
      </w:r>
      <w:r w:rsidR="2E8F51F2" w:rsidRPr="00F81955">
        <w:rPr>
          <w:rFonts w:eastAsia="Times New Roman"/>
          <w:noProof/>
          <w:szCs w:val="24"/>
        </w:rPr>
        <w:t>will</w:t>
      </w:r>
      <w:r w:rsidRPr="00F81955">
        <w:rPr>
          <w:rFonts w:eastAsia="Times New Roman"/>
          <w:noProof/>
          <w:szCs w:val="24"/>
        </w:rPr>
        <w:t xml:space="preserve"> make possible a redeployment of 3 CAs needed to set up and run the sandbox. </w:t>
      </w:r>
      <w:r w:rsidR="2817D37C" w:rsidRPr="00F81955">
        <w:rPr>
          <w:rFonts w:eastAsia="Times New Roman"/>
          <w:noProof/>
          <w:szCs w:val="24"/>
        </w:rPr>
        <w:t>T</w:t>
      </w:r>
      <w:r w:rsidRPr="00F81955">
        <w:rPr>
          <w:rFonts w:eastAsia="Times New Roman"/>
          <w:noProof/>
          <w:szCs w:val="24"/>
        </w:rPr>
        <w:t xml:space="preserve">his phased approach would enable to ensure the full operational capacity of the sandbox by 2028, and in particular will also give </w:t>
      </w:r>
      <w:r w:rsidR="623E3BCA" w:rsidRPr="00F81955">
        <w:rPr>
          <w:rFonts w:eastAsia="Times New Roman"/>
          <w:noProof/>
          <w:szCs w:val="24"/>
        </w:rPr>
        <w:t>the AI Office the</w:t>
      </w:r>
      <w:r w:rsidRPr="00F81955">
        <w:rPr>
          <w:rFonts w:eastAsia="Times New Roman"/>
          <w:noProof/>
          <w:szCs w:val="24"/>
        </w:rPr>
        <w:t xml:space="preserve"> time to identify the most suitable staff to cover this task and ensure proper project management for facilitating the development, training, testing, and validation of innovative AI systems.</w:t>
      </w:r>
    </w:p>
    <w:p w:rsidR="00C90C9C" w:rsidRPr="00F81955" w:rsidRDefault="36EBDA1E" w:rsidP="31B4421B">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81955">
        <w:rPr>
          <w:rFonts w:eastAsia="Times New Roman"/>
          <w:noProof/>
          <w:szCs w:val="24"/>
        </w:rPr>
        <w:t xml:space="preserve">In addition, the AI Office </w:t>
      </w:r>
      <w:r w:rsidR="304571E4" w:rsidRPr="00F81955">
        <w:rPr>
          <w:rFonts w:eastAsia="Times New Roman"/>
          <w:noProof/>
          <w:szCs w:val="24"/>
        </w:rPr>
        <w:t>will</w:t>
      </w:r>
      <w:r w:rsidRPr="00F81955">
        <w:rPr>
          <w:rFonts w:eastAsia="Times New Roman"/>
          <w:noProof/>
          <w:szCs w:val="24"/>
        </w:rPr>
        <w:t xml:space="preserve"> explore opportunities to expand the scope of IT tools (currently mostly in development or pre-launch phase) supporting the AI Act to also cover relevant </w:t>
      </w:r>
      <w:r w:rsidR="5FCDF430" w:rsidRPr="00F81955">
        <w:rPr>
          <w:rFonts w:eastAsia="Times New Roman"/>
          <w:noProof/>
          <w:szCs w:val="24"/>
        </w:rPr>
        <w:t xml:space="preserve">new enforcement </w:t>
      </w:r>
      <w:r w:rsidRPr="00F81955">
        <w:rPr>
          <w:rFonts w:eastAsia="Times New Roman"/>
          <w:noProof/>
          <w:szCs w:val="24"/>
        </w:rPr>
        <w:t xml:space="preserve">activities (i.e. case handling, AI system registry, monitoring and reporting, exchange of information with authorities). 2 FTEs with IT and administrative profiles </w:t>
      </w:r>
      <w:r w:rsidR="1480D040" w:rsidRPr="00F81955">
        <w:rPr>
          <w:rFonts w:eastAsia="Times New Roman"/>
          <w:noProof/>
          <w:szCs w:val="24"/>
        </w:rPr>
        <w:t>will</w:t>
      </w:r>
      <w:r w:rsidRPr="00F81955">
        <w:rPr>
          <w:rFonts w:eastAsia="Times New Roman"/>
          <w:noProof/>
          <w:szCs w:val="24"/>
        </w:rPr>
        <w:t xml:space="preserve"> be redeployed to manage these IT tools. This would help to partially cover the management needs related to the new tasks. </w:t>
      </w:r>
    </w:p>
    <w:p w:rsidR="00C90C9C" w:rsidRPr="00F81955" w:rsidRDefault="36EBDA1E" w:rsidP="008E297A">
      <w:pPr>
        <w:pStyle w:val="Text1"/>
        <w:pBdr>
          <w:top w:val="single" w:sz="8" w:space="1" w:color="000000"/>
          <w:left w:val="single" w:sz="8" w:space="4" w:color="000000"/>
          <w:bottom w:val="single" w:sz="8" w:space="1" w:color="000000"/>
          <w:right w:val="single" w:sz="8" w:space="4" w:color="000000"/>
        </w:pBdr>
        <w:rPr>
          <w:rFonts w:eastAsia="Times New Roman"/>
          <w:noProof/>
        </w:rPr>
      </w:pPr>
      <w:r w:rsidRPr="00F81955">
        <w:rPr>
          <w:rFonts w:eastAsia="Times New Roman"/>
          <w:noProof/>
          <w:szCs w:val="24"/>
        </w:rPr>
        <w:t xml:space="preserve">Overall, these redeployment efforts and synergies will help to address some of the staffing needs for the new enforcement tasks, </w:t>
      </w:r>
      <w:r w:rsidR="07C7ADBE" w:rsidRPr="00F81955">
        <w:rPr>
          <w:rFonts w:eastAsia="Times New Roman"/>
          <w:noProof/>
          <w:szCs w:val="24"/>
        </w:rPr>
        <w:t>while</w:t>
      </w:r>
      <w:r w:rsidRPr="00F81955">
        <w:rPr>
          <w:rFonts w:eastAsia="Times New Roman"/>
          <w:noProof/>
          <w:szCs w:val="24"/>
        </w:rPr>
        <w:t xml:space="preserve"> additional resources will be necessary to ensure the effective implementation of </w:t>
      </w:r>
      <w:r w:rsidR="19690E3E" w:rsidRPr="00F81955">
        <w:rPr>
          <w:rFonts w:eastAsia="Times New Roman"/>
          <w:noProof/>
          <w:szCs w:val="24"/>
        </w:rPr>
        <w:t>the AI Act</w:t>
      </w:r>
      <w:r w:rsidRPr="00F81955">
        <w:rPr>
          <w:rFonts w:eastAsia="Times New Roman"/>
          <w:noProof/>
          <w:szCs w:val="24"/>
        </w:rPr>
        <w:t xml:space="preserve">. </w:t>
      </w:r>
    </w:p>
    <w:p w:rsidR="00C90C9C" w:rsidRPr="00F81955" w:rsidRDefault="00C90C9C" w:rsidP="00C90C9C">
      <w:pPr>
        <w:pStyle w:val="Text1"/>
        <w:pBdr>
          <w:top w:val="single" w:sz="8" w:space="1" w:color="000000"/>
          <w:left w:val="single" w:sz="8" w:space="4" w:color="000000"/>
          <w:bottom w:val="single" w:sz="8" w:space="1" w:color="000000"/>
          <w:right w:val="single" w:sz="8" w:space="4" w:color="000000"/>
        </w:pBdr>
        <w:rPr>
          <w:noProof/>
        </w:rPr>
      </w:pPr>
      <w:r w:rsidRPr="00F81955">
        <w:rPr>
          <w:rFonts w:eastAsia="Times New Roman"/>
          <w:noProof/>
        </w:rPr>
        <w:t xml:space="preserve">Additional staff will be funded under DEP support, given that the objectives of the proposed amendments </w:t>
      </w:r>
      <w:r w:rsidRPr="00F81955">
        <w:rPr>
          <w:noProof/>
        </w:rPr>
        <w:t>contribute directly to one key objective of Digital Europe – accelerating AI development and deployment in Europe.</w:t>
      </w:r>
    </w:p>
    <w:p w:rsidR="009C3EE2" w:rsidRPr="00F81955" w:rsidRDefault="009C3EE2" w:rsidP="0002735A">
      <w:pPr>
        <w:pStyle w:val="ManualHeading2"/>
        <w:rPr>
          <w:bCs/>
          <w:noProof/>
          <w:szCs w:val="24"/>
        </w:rPr>
      </w:pPr>
      <w:r w:rsidRPr="00F81955">
        <w:rPr>
          <w:noProof/>
        </w:rPr>
        <w:br w:type="page"/>
        <w:t>1.6.</w:t>
      </w:r>
      <w:r w:rsidRPr="00F81955">
        <w:rPr>
          <w:noProof/>
        </w:rPr>
        <w:tab/>
        <w:t>Duration of the proposal/initiative and of its financial impact</w:t>
      </w:r>
    </w:p>
    <w:p w:rsidR="009C3EE2" w:rsidRPr="00F81955" w:rsidRDefault="009C3EE2" w:rsidP="0002735A">
      <w:pPr>
        <w:pStyle w:val="Text1"/>
        <w:rPr>
          <w:noProof/>
        </w:rPr>
      </w:pPr>
      <w:r w:rsidRPr="00F81955">
        <w:rPr>
          <w:rFonts w:ascii="Wingdings" w:eastAsia="Wingdings" w:hAnsi="Wingdings" w:cs="Wingdings"/>
          <w:noProof/>
        </w:rPr>
        <w:t></w:t>
      </w:r>
      <w:r w:rsidRPr="00F81955">
        <w:rPr>
          <w:b/>
          <w:i/>
          <w:noProof/>
        </w:rPr>
        <w:t xml:space="preserve"> </w:t>
      </w:r>
      <w:r w:rsidRPr="00F81955">
        <w:rPr>
          <w:b/>
          <w:noProof/>
        </w:rPr>
        <w:t xml:space="preserve">limited duration </w:t>
      </w:r>
    </w:p>
    <w:p w:rsidR="009C3EE2" w:rsidRPr="00F81955" w:rsidRDefault="009C3EE2" w:rsidP="0002735A">
      <w:pPr>
        <w:pStyle w:val="ListDash2"/>
        <w:rPr>
          <w:noProof/>
        </w:rPr>
      </w:pPr>
      <w:r w:rsidRPr="00F81955">
        <w:rPr>
          <w:rFonts w:ascii="Wingdings" w:eastAsia="Wingdings" w:hAnsi="Wingdings" w:cs="Wingdings"/>
          <w:noProof/>
        </w:rPr>
        <w:t></w:t>
      </w:r>
      <w:r w:rsidRPr="00F81955">
        <w:rPr>
          <w:noProof/>
        </w:rPr>
        <w:tab/>
        <w:t xml:space="preserve">in effect from [DD/MM]YYYY to [DD/MM]YYYY </w:t>
      </w:r>
    </w:p>
    <w:p w:rsidR="009C3EE2" w:rsidRPr="00F81955" w:rsidRDefault="009C3EE2" w:rsidP="0002735A">
      <w:pPr>
        <w:pStyle w:val="ListDash2"/>
        <w:rPr>
          <w:noProof/>
        </w:rPr>
      </w:pPr>
      <w:r w:rsidRPr="00F81955">
        <w:rPr>
          <w:rFonts w:ascii="Wingdings" w:eastAsia="Wingdings" w:hAnsi="Wingdings" w:cs="Wingdings"/>
          <w:noProof/>
        </w:rPr>
        <w:t></w:t>
      </w:r>
      <w:r w:rsidRPr="00F81955">
        <w:rPr>
          <w:noProof/>
        </w:rPr>
        <w:tab/>
        <w:t xml:space="preserve">financial impact from YYYY to YYYY for commitment appropriations and from YYYY to YYYY for payment appropriations. </w:t>
      </w:r>
    </w:p>
    <w:p w:rsidR="00C90C9C" w:rsidRPr="00F81955" w:rsidRDefault="00C90C9C" w:rsidP="00C90C9C">
      <w:pPr>
        <w:pStyle w:val="Text1"/>
        <w:rPr>
          <w:noProof/>
        </w:rPr>
      </w:pPr>
      <w:r w:rsidRPr="00F81955">
        <w:rPr>
          <w:rFonts w:ascii="Wingdings" w:eastAsia="Wingdings" w:hAnsi="Wingdings" w:cs="Wingdings"/>
          <w:noProof/>
        </w:rPr>
        <w:t></w:t>
      </w:r>
      <w:r w:rsidRPr="00F81955">
        <w:rPr>
          <w:b/>
          <w:bCs/>
          <w:i/>
          <w:iCs/>
          <w:noProof/>
        </w:rPr>
        <w:t xml:space="preserve"> </w:t>
      </w:r>
      <w:r w:rsidRPr="00F81955">
        <w:rPr>
          <w:b/>
          <w:bCs/>
          <w:noProof/>
        </w:rPr>
        <w:t>unlimited duration</w:t>
      </w:r>
    </w:p>
    <w:p w:rsidR="00C90C9C" w:rsidRPr="00F81955" w:rsidRDefault="00C90C9C" w:rsidP="00C90C9C">
      <w:pPr>
        <w:pStyle w:val="ListDash1"/>
        <w:rPr>
          <w:noProof/>
        </w:rPr>
      </w:pPr>
      <w:r w:rsidRPr="00F81955">
        <w:rPr>
          <w:noProof/>
        </w:rPr>
        <w:t>Implementation with a start-up period from 2026 to 2027,</w:t>
      </w:r>
    </w:p>
    <w:p w:rsidR="009C3EE2" w:rsidRPr="00F81955" w:rsidRDefault="009C3EE2" w:rsidP="0002735A">
      <w:pPr>
        <w:pStyle w:val="ListDash1"/>
        <w:rPr>
          <w:noProof/>
        </w:rPr>
      </w:pPr>
      <w:r w:rsidRPr="00F81955">
        <w:rPr>
          <w:noProof/>
        </w:rPr>
        <w:t>followed by full-scale operation.</w:t>
      </w:r>
    </w:p>
    <w:p w:rsidR="00C90C9C" w:rsidRPr="00F81955" w:rsidRDefault="00C90C9C" w:rsidP="00C90C9C">
      <w:pPr>
        <w:pStyle w:val="ManualHeading2"/>
        <w:rPr>
          <w:b w:val="0"/>
          <w:noProof/>
        </w:rPr>
      </w:pPr>
      <w:r w:rsidRPr="00F81955">
        <w:rPr>
          <w:noProof/>
        </w:rPr>
        <w:t>1.7.</w:t>
      </w:r>
      <w:r w:rsidRPr="00F81955">
        <w:rPr>
          <w:noProof/>
        </w:rPr>
        <w:tab/>
        <w:t xml:space="preserve">Method(s) of budget implementation planned </w:t>
      </w:r>
    </w:p>
    <w:p w:rsidR="009C3EE2" w:rsidRPr="00F81955" w:rsidRDefault="00C90C9C" w:rsidP="0002735A">
      <w:pPr>
        <w:pStyle w:val="Text1"/>
        <w:rPr>
          <w:noProof/>
        </w:rPr>
      </w:pPr>
      <w:r w:rsidRPr="00F81955">
        <w:rPr>
          <w:rFonts w:ascii="Wingdings" w:eastAsia="Wingdings" w:hAnsi="Wingdings" w:cs="Wingdings"/>
          <w:noProof/>
        </w:rPr>
        <w:t></w:t>
      </w:r>
      <w:r w:rsidR="009C3EE2" w:rsidRPr="00F81955">
        <w:rPr>
          <w:i/>
          <w:noProof/>
        </w:rPr>
        <w:t xml:space="preserve"> </w:t>
      </w:r>
      <w:r w:rsidR="009C3EE2" w:rsidRPr="00F81955">
        <w:rPr>
          <w:b/>
          <w:noProof/>
        </w:rPr>
        <w:t>Direct management</w:t>
      </w:r>
      <w:r w:rsidR="009C3EE2" w:rsidRPr="00F81955">
        <w:rPr>
          <w:noProof/>
        </w:rPr>
        <w:t xml:space="preserve"> by the Commission</w:t>
      </w:r>
    </w:p>
    <w:p w:rsidR="009C3EE2" w:rsidRPr="00F81955" w:rsidRDefault="009C3EE2" w:rsidP="0002735A">
      <w:pPr>
        <w:pStyle w:val="ListDash2"/>
        <w:rPr>
          <w:rFonts w:cs="EUAlbertina"/>
          <w:noProof/>
        </w:rPr>
      </w:pPr>
      <w:r w:rsidRPr="00F81955">
        <w:rPr>
          <w:rFonts w:ascii="Wingdings" w:eastAsia="Wingdings" w:hAnsi="Wingdings" w:cs="Wingdings"/>
          <w:noProof/>
        </w:rPr>
        <w:t></w:t>
      </w:r>
      <w:r w:rsidRPr="00F81955">
        <w:rPr>
          <w:noProof/>
        </w:rPr>
        <w:t xml:space="preserve"> by its departments, including by its staff in the Union delegations; </w:t>
      </w:r>
    </w:p>
    <w:p w:rsidR="009C3EE2" w:rsidRPr="00F81955" w:rsidRDefault="009C3EE2" w:rsidP="0002735A">
      <w:pPr>
        <w:pStyle w:val="ListDash2"/>
        <w:rPr>
          <w:noProof/>
        </w:rPr>
      </w:pPr>
      <w:r w:rsidRPr="00F81955">
        <w:rPr>
          <w:rFonts w:ascii="Wingdings" w:eastAsia="Wingdings" w:hAnsi="Wingdings" w:cs="Wingdings"/>
          <w:noProof/>
        </w:rPr>
        <w:t></w:t>
      </w:r>
      <w:r w:rsidRPr="00F81955">
        <w:rPr>
          <w:noProof/>
        </w:rPr>
        <w:tab/>
        <w:t xml:space="preserve">by the executive agencies </w:t>
      </w:r>
    </w:p>
    <w:p w:rsidR="009C3EE2" w:rsidRPr="00F81955" w:rsidRDefault="009C3EE2" w:rsidP="0002735A">
      <w:pPr>
        <w:pStyle w:val="Text1"/>
        <w:rPr>
          <w:noProof/>
        </w:rPr>
      </w:pPr>
      <w:r w:rsidRPr="00F81955">
        <w:rPr>
          <w:rFonts w:ascii="Wingdings" w:eastAsia="Wingdings" w:hAnsi="Wingdings" w:cs="Wingdings"/>
          <w:noProof/>
        </w:rPr>
        <w:t></w:t>
      </w:r>
      <w:r w:rsidRPr="00F81955">
        <w:rPr>
          <w:b/>
          <w:i/>
          <w:noProof/>
        </w:rPr>
        <w:t xml:space="preserve"> </w:t>
      </w:r>
      <w:r w:rsidRPr="00F81955">
        <w:rPr>
          <w:b/>
          <w:noProof/>
        </w:rPr>
        <w:t>Shared management</w:t>
      </w:r>
      <w:r w:rsidRPr="00F81955">
        <w:rPr>
          <w:noProof/>
        </w:rPr>
        <w:t xml:space="preserve"> with the Member States </w:t>
      </w:r>
    </w:p>
    <w:p w:rsidR="009C3EE2" w:rsidRPr="00F81955" w:rsidRDefault="009C3EE2" w:rsidP="0002735A">
      <w:pPr>
        <w:pStyle w:val="Text1"/>
        <w:rPr>
          <w:noProof/>
        </w:rPr>
      </w:pPr>
      <w:r w:rsidRPr="00F81955">
        <w:rPr>
          <w:rFonts w:ascii="Wingdings" w:eastAsia="Wingdings" w:hAnsi="Wingdings" w:cs="Wingdings"/>
          <w:noProof/>
        </w:rPr>
        <w:t></w:t>
      </w:r>
      <w:r w:rsidRPr="00F81955">
        <w:rPr>
          <w:i/>
          <w:noProof/>
        </w:rPr>
        <w:t xml:space="preserve"> </w:t>
      </w:r>
      <w:r w:rsidRPr="00F81955">
        <w:rPr>
          <w:b/>
          <w:noProof/>
        </w:rPr>
        <w:t>Indirect management</w:t>
      </w:r>
      <w:r w:rsidRPr="00F81955">
        <w:rPr>
          <w:noProof/>
        </w:rPr>
        <w:t xml:space="preserve"> by entrusting budget implementation tasks to:</w:t>
      </w:r>
    </w:p>
    <w:p w:rsidR="009C3EE2" w:rsidRPr="00F81955" w:rsidRDefault="009C3EE2" w:rsidP="0002735A">
      <w:pPr>
        <w:pStyle w:val="ListDash2"/>
        <w:rPr>
          <w:noProof/>
        </w:rPr>
      </w:pPr>
      <w:r w:rsidRPr="00F81955">
        <w:rPr>
          <w:rFonts w:ascii="Wingdings" w:eastAsia="Wingdings" w:hAnsi="Wingdings" w:cs="Wingdings"/>
          <w:noProof/>
        </w:rPr>
        <w:t></w:t>
      </w:r>
      <w:r w:rsidRPr="00F81955">
        <w:rPr>
          <w:noProof/>
        </w:rPr>
        <w:t xml:space="preserve"> third countries or the bodies they have designated</w:t>
      </w:r>
    </w:p>
    <w:p w:rsidR="009C3EE2" w:rsidRPr="00F81955" w:rsidRDefault="009C3EE2" w:rsidP="0002735A">
      <w:pPr>
        <w:pStyle w:val="ListDash2"/>
        <w:rPr>
          <w:noProof/>
        </w:rPr>
      </w:pPr>
      <w:r w:rsidRPr="00F81955">
        <w:rPr>
          <w:rFonts w:ascii="Wingdings" w:eastAsia="Wingdings" w:hAnsi="Wingdings" w:cs="Wingdings"/>
          <w:noProof/>
        </w:rPr>
        <w:t></w:t>
      </w:r>
      <w:r w:rsidRPr="00F81955">
        <w:rPr>
          <w:noProof/>
        </w:rPr>
        <w:t xml:space="preserve"> international organisations and their agencies (to be specified)</w:t>
      </w:r>
    </w:p>
    <w:p w:rsidR="009C3EE2" w:rsidRPr="00F81955" w:rsidRDefault="009C3EE2" w:rsidP="0002735A">
      <w:pPr>
        <w:pStyle w:val="ListDash2"/>
        <w:rPr>
          <w:noProof/>
        </w:rPr>
      </w:pPr>
      <w:r w:rsidRPr="00F81955">
        <w:rPr>
          <w:rFonts w:ascii="Wingdings" w:eastAsia="Wingdings" w:hAnsi="Wingdings" w:cs="Wingdings"/>
          <w:noProof/>
        </w:rPr>
        <w:t></w:t>
      </w:r>
      <w:r w:rsidRPr="00F81955">
        <w:rPr>
          <w:noProof/>
        </w:rPr>
        <w:t xml:space="preserve"> the European Investment Bank and the European Investment Fund</w:t>
      </w:r>
    </w:p>
    <w:p w:rsidR="009C3EE2" w:rsidRPr="00F81955" w:rsidRDefault="009C3EE2" w:rsidP="0002735A">
      <w:pPr>
        <w:pStyle w:val="ListDash2"/>
        <w:rPr>
          <w:noProof/>
        </w:rPr>
      </w:pPr>
      <w:r w:rsidRPr="00F81955">
        <w:rPr>
          <w:rFonts w:ascii="Wingdings" w:eastAsia="Wingdings" w:hAnsi="Wingdings" w:cs="Wingdings"/>
          <w:noProof/>
        </w:rPr>
        <w:t></w:t>
      </w:r>
      <w:r w:rsidRPr="00F81955">
        <w:rPr>
          <w:noProof/>
        </w:rPr>
        <w:t xml:space="preserve"> bodies referred to in Articles 70 and 71 of the Financial Regulation</w:t>
      </w:r>
    </w:p>
    <w:p w:rsidR="009C3EE2" w:rsidRPr="00F81955" w:rsidRDefault="009C3EE2" w:rsidP="0002735A">
      <w:pPr>
        <w:pStyle w:val="ListDash2"/>
        <w:rPr>
          <w:noProof/>
        </w:rPr>
      </w:pPr>
      <w:r w:rsidRPr="00F81955">
        <w:rPr>
          <w:rFonts w:ascii="Wingdings" w:eastAsia="Wingdings" w:hAnsi="Wingdings" w:cs="Wingdings"/>
          <w:noProof/>
        </w:rPr>
        <w:t></w:t>
      </w:r>
      <w:r w:rsidRPr="00F81955">
        <w:rPr>
          <w:noProof/>
        </w:rPr>
        <w:t xml:space="preserve"> public law bodies</w:t>
      </w:r>
    </w:p>
    <w:p w:rsidR="009C3EE2" w:rsidRPr="00F81955" w:rsidRDefault="009C3EE2" w:rsidP="0002735A">
      <w:pPr>
        <w:pStyle w:val="ListDash2"/>
        <w:rPr>
          <w:noProof/>
        </w:rPr>
      </w:pPr>
      <w:r w:rsidRPr="00F81955">
        <w:rPr>
          <w:rFonts w:ascii="Wingdings" w:eastAsia="Wingdings" w:hAnsi="Wingdings" w:cs="Wingdings"/>
          <w:noProof/>
        </w:rPr>
        <w:t></w:t>
      </w:r>
      <w:r w:rsidRPr="00F81955">
        <w:rPr>
          <w:noProof/>
        </w:rPr>
        <w:t xml:space="preserve"> bodies governed by private law with a public service mission to the extent that they are provided with adequate financial guarantees</w:t>
      </w:r>
    </w:p>
    <w:p w:rsidR="009C3EE2" w:rsidRPr="00F81955" w:rsidRDefault="009C3EE2" w:rsidP="0002735A">
      <w:pPr>
        <w:pStyle w:val="ListDash2"/>
        <w:rPr>
          <w:noProof/>
        </w:rPr>
      </w:pPr>
      <w:r w:rsidRPr="00F81955">
        <w:rPr>
          <w:rFonts w:ascii="Wingdings" w:eastAsia="Wingdings" w:hAnsi="Wingdings" w:cs="Wingdings"/>
          <w:noProof/>
        </w:rPr>
        <w:t></w:t>
      </w:r>
      <w:r w:rsidRPr="00F81955">
        <w:rPr>
          <w:noProof/>
        </w:rPr>
        <w:t xml:space="preserve"> bodies governed by the private law of a Member State that are entrusted with the implementation of a public-private partnership and that are provided with adequate financial guarantees</w:t>
      </w:r>
    </w:p>
    <w:p w:rsidR="009C3EE2" w:rsidRPr="00F81955" w:rsidRDefault="009C3EE2" w:rsidP="0002735A">
      <w:pPr>
        <w:pStyle w:val="ListDash2"/>
        <w:rPr>
          <w:noProof/>
        </w:rPr>
      </w:pPr>
      <w:r w:rsidRPr="00F81955">
        <w:rPr>
          <w:rFonts w:ascii="Wingdings" w:eastAsia="Wingdings" w:hAnsi="Wingdings" w:cs="Wingdings"/>
          <w:noProof/>
        </w:rPr>
        <w:t></w:t>
      </w:r>
      <w:r w:rsidRPr="00F81955">
        <w:rPr>
          <w:noProof/>
        </w:rPr>
        <w:t xml:space="preserve"> bodies or persons entrusted with the implementation of specific actions in the common foreign and security policy pursuant to Title V of the Treaty on European Union, and identified in the relevant basic act</w:t>
      </w:r>
    </w:p>
    <w:p w:rsidR="009C3EE2" w:rsidRPr="00F81955" w:rsidRDefault="009C3EE2" w:rsidP="0002735A">
      <w:pPr>
        <w:pStyle w:val="ListDash2"/>
        <w:rPr>
          <w:noProof/>
        </w:rPr>
      </w:pPr>
      <w:r w:rsidRPr="00F81955">
        <w:rPr>
          <w:rFonts w:ascii="Wingdings" w:eastAsia="Wingdings" w:hAnsi="Wingdings" w:cs="Wingdings"/>
          <w:noProof/>
        </w:rPr>
        <w:t></w:t>
      </w:r>
      <w:r w:rsidRPr="00F81955">
        <w:rPr>
          <w:rFonts w:ascii="Wingdings" w:eastAsia="Wingdings" w:hAnsi="Wingdings" w:cs="Wingdings"/>
          <w:noProof/>
        </w:rPr>
        <w:t></w:t>
      </w:r>
      <w:r w:rsidRPr="00F81955">
        <w:rPr>
          <w:noProof/>
        </w:rPr>
        <w:t>bodies established in a Member State, governed by the private law of a Member State or Union law and eligible to be entrusted, in accordance with sector-specific rules, with the implementation of Union funds or budgetary guarantees, to the extent that such bodies are controlled by public law bodies or by bodies governed by private law with a public service mission, and are provided with adequate financial guarantees in the form of joint and several liability by the controlling bodies or equivalent financial guarantees and which may be, for each action, limited to the maximum amount of the Union support.</w:t>
      </w:r>
    </w:p>
    <w:p w:rsidR="009C3EE2" w:rsidRPr="00F81955" w:rsidRDefault="009C3EE2" w:rsidP="0002735A">
      <w:pPr>
        <w:rPr>
          <w:noProof/>
        </w:rPr>
        <w:sectPr w:rsidR="009C3EE2" w:rsidRPr="00F81955" w:rsidSect="004623B1">
          <w:pgSz w:w="11907" w:h="16840" w:code="9"/>
          <w:pgMar w:top="1134" w:right="1418" w:bottom="1134" w:left="1418" w:header="709" w:footer="709" w:gutter="0"/>
          <w:cols w:space="708"/>
          <w:docGrid w:linePitch="360"/>
        </w:sectPr>
      </w:pPr>
    </w:p>
    <w:p w:rsidR="009C3EE2" w:rsidRPr="00F81955" w:rsidRDefault="009C3EE2" w:rsidP="0002735A">
      <w:pPr>
        <w:pStyle w:val="ManualHeading1"/>
        <w:rPr>
          <w:bCs/>
          <w:noProof/>
          <w:szCs w:val="24"/>
        </w:rPr>
      </w:pPr>
      <w:r w:rsidRPr="00F81955">
        <w:rPr>
          <w:noProof/>
        </w:rPr>
        <w:t>2.</w:t>
      </w:r>
      <w:r w:rsidRPr="00F81955">
        <w:rPr>
          <w:noProof/>
        </w:rPr>
        <w:tab/>
        <w:t xml:space="preserve">MANAGEMENT MEASURES </w:t>
      </w:r>
    </w:p>
    <w:p w:rsidR="009C3EE2" w:rsidRPr="00F81955" w:rsidRDefault="009C3EE2" w:rsidP="0002735A">
      <w:pPr>
        <w:pStyle w:val="ManualHeading2"/>
        <w:rPr>
          <w:noProof/>
        </w:rPr>
      </w:pPr>
      <w:r w:rsidRPr="00F81955">
        <w:rPr>
          <w:noProof/>
        </w:rPr>
        <w:t>2.1.</w:t>
      </w:r>
      <w:r w:rsidRPr="00F81955">
        <w:rPr>
          <w:noProof/>
        </w:rPr>
        <w:tab/>
        <w:t xml:space="preserve">Monitoring and reporting rules </w:t>
      </w:r>
    </w:p>
    <w:p w:rsidR="009C3EE2" w:rsidRPr="00F81955" w:rsidRDefault="009C3EE2" w:rsidP="0002735A">
      <w:pPr>
        <w:pStyle w:val="Text1"/>
        <w:rPr>
          <w:noProof/>
        </w:rPr>
      </w:pPr>
      <w:r w:rsidRPr="00F81955">
        <w:rPr>
          <w:noProof/>
        </w:rPr>
        <w:t>Specify frequency and conditions.</w:t>
      </w:r>
    </w:p>
    <w:p w:rsidR="00C90C9C" w:rsidRPr="00F81955" w:rsidRDefault="00C90C9C" w:rsidP="00C90C9C">
      <w:pPr>
        <w:pStyle w:val="Text1"/>
        <w:pBdr>
          <w:top w:val="single" w:sz="8" w:space="1" w:color="000000"/>
          <w:left w:val="single" w:sz="8" w:space="4" w:color="000000"/>
          <w:bottom w:val="single" w:sz="8" w:space="1" w:color="000000"/>
          <w:right w:val="single" w:sz="8" w:space="4" w:color="000000"/>
        </w:pBdr>
        <w:rPr>
          <w:noProof/>
        </w:rPr>
      </w:pPr>
      <w:r w:rsidRPr="00F81955">
        <w:rPr>
          <w:rFonts w:eastAsia="Times New Roman"/>
          <w:noProof/>
        </w:rPr>
        <w:t>The strengthened dispositions will be reviewed and evaluated with the entire AI Act in August 2029. The Commission will report on the findings of the evaluation to the European Parliament, the Council and the European Economic and Social Committee.</w:t>
      </w:r>
    </w:p>
    <w:p w:rsidR="009C3EE2" w:rsidRPr="00F81955" w:rsidRDefault="009C3EE2" w:rsidP="0002735A">
      <w:pPr>
        <w:pStyle w:val="ManualHeading2"/>
        <w:rPr>
          <w:bCs/>
          <w:noProof/>
          <w:szCs w:val="24"/>
        </w:rPr>
      </w:pPr>
      <w:r w:rsidRPr="00F81955">
        <w:rPr>
          <w:noProof/>
        </w:rPr>
        <w:t>2.2.</w:t>
      </w:r>
      <w:r w:rsidRPr="00F81955">
        <w:rPr>
          <w:noProof/>
        </w:rPr>
        <w:tab/>
        <w:t xml:space="preserve">Management and control system(s) </w:t>
      </w:r>
    </w:p>
    <w:p w:rsidR="009C3EE2" w:rsidRPr="00F81955" w:rsidRDefault="009C3EE2" w:rsidP="0002735A">
      <w:pPr>
        <w:pStyle w:val="ManualHeading3"/>
        <w:rPr>
          <w:noProof/>
        </w:rPr>
      </w:pPr>
      <w:r w:rsidRPr="00F81955">
        <w:rPr>
          <w:noProof/>
        </w:rPr>
        <w:t>2.2.1.</w:t>
      </w:r>
      <w:r w:rsidRPr="00F81955">
        <w:rPr>
          <w:noProof/>
        </w:rPr>
        <w:tab/>
        <w:t>Justification of the budget implementation method(s), the funding implementation mechanism(s), the payment modalities and the control strategy proposed</w:t>
      </w:r>
    </w:p>
    <w:p w:rsidR="00C90C9C" w:rsidRPr="00F81955" w:rsidRDefault="00C90C9C" w:rsidP="00C90C9C">
      <w:pPr>
        <w:pStyle w:val="Text1"/>
        <w:pBdr>
          <w:top w:val="single" w:sz="8" w:space="1" w:color="000000"/>
          <w:left w:val="single" w:sz="8" w:space="4" w:color="000000"/>
          <w:bottom w:val="single" w:sz="8" w:space="1" w:color="000000"/>
          <w:right w:val="single" w:sz="8" w:space="4" w:color="000000"/>
        </w:pBdr>
        <w:rPr>
          <w:noProof/>
        </w:rPr>
      </w:pPr>
      <w:r w:rsidRPr="00F81955">
        <w:rPr>
          <w:rFonts w:eastAsia="Times New Roman"/>
          <w:noProof/>
        </w:rPr>
        <w:t>The regulation reinforces the European policy with regard to harmonised rules for the provision of artificial intelligence systems in the internal market while ensuring the respect of safety and fundamental rights. The simplified single supervision ensures consistency for the cross-border application of the obligations under this Regulation.</w:t>
      </w:r>
    </w:p>
    <w:p w:rsidR="00C90C9C" w:rsidRPr="00F81955" w:rsidRDefault="00C90C9C" w:rsidP="00C90C9C">
      <w:pPr>
        <w:pBdr>
          <w:top w:val="single" w:sz="8" w:space="1" w:color="000000"/>
          <w:left w:val="single" w:sz="8" w:space="4" w:color="000000"/>
          <w:bottom w:val="single" w:sz="8" w:space="1" w:color="000000"/>
          <w:right w:val="single" w:sz="8" w:space="4" w:color="000000"/>
        </w:pBdr>
        <w:ind w:left="850"/>
        <w:rPr>
          <w:rFonts w:eastAsia="Times New Roman"/>
          <w:noProof/>
        </w:rPr>
      </w:pPr>
      <w:r w:rsidRPr="00F81955">
        <w:rPr>
          <w:rFonts w:eastAsia="Times New Roman"/>
          <w:noProof/>
        </w:rPr>
        <w:t xml:space="preserve">In order to face these new tasks, it is necessary to appropriately resource the Commission’s services. The enforcement of the new regulation is estimated to require </w:t>
      </w:r>
      <w:r w:rsidR="00820EEA" w:rsidRPr="00F81955">
        <w:rPr>
          <w:rFonts w:eastAsia="Times New Roman"/>
          <w:noProof/>
        </w:rPr>
        <w:t>53</w:t>
      </w:r>
      <w:r w:rsidRPr="00F81955">
        <w:rPr>
          <w:rFonts w:eastAsia="Times New Roman"/>
          <w:noProof/>
        </w:rPr>
        <w:t xml:space="preserve"> FTE.</w:t>
      </w:r>
    </w:p>
    <w:p w:rsidR="009C3EE2" w:rsidRPr="00F81955" w:rsidRDefault="009C3EE2" w:rsidP="0002735A">
      <w:pPr>
        <w:pStyle w:val="ManualHeading3"/>
        <w:rPr>
          <w:bCs/>
          <w:noProof/>
          <w:szCs w:val="24"/>
        </w:rPr>
      </w:pPr>
      <w:r w:rsidRPr="00F81955">
        <w:rPr>
          <w:noProof/>
        </w:rPr>
        <w:t>2.2.2.</w:t>
      </w:r>
      <w:r w:rsidRPr="00F81955">
        <w:rPr>
          <w:noProof/>
        </w:rPr>
        <w:tab/>
        <w:t>Information concerning the risks identified and the internal control system(s) set up to mitigate them</w:t>
      </w:r>
    </w:p>
    <w:p w:rsidR="00C90C9C" w:rsidRPr="00F81955" w:rsidRDefault="00C90C9C" w:rsidP="00C90C9C">
      <w:pPr>
        <w:pBdr>
          <w:top w:val="single" w:sz="8" w:space="1" w:color="000000"/>
          <w:left w:val="single" w:sz="8" w:space="4" w:color="000000"/>
          <w:bottom w:val="single" w:sz="8" w:space="1" w:color="000000"/>
          <w:right w:val="single" w:sz="8" w:space="4" w:color="000000"/>
        </w:pBdr>
        <w:ind w:left="850"/>
        <w:rPr>
          <w:rFonts w:eastAsia="Times New Roman"/>
          <w:noProof/>
        </w:rPr>
      </w:pPr>
      <w:r w:rsidRPr="00F81955">
        <w:rPr>
          <w:rFonts w:eastAsia="Times New Roman"/>
          <w:noProof/>
        </w:rPr>
        <w:t>The risks correspond to the standard risks of Commission operations and are adequately covered by existing standard risk minimising procedures.</w:t>
      </w:r>
    </w:p>
    <w:p w:rsidR="009C3EE2" w:rsidRPr="00F81955" w:rsidRDefault="009C3EE2" w:rsidP="0002735A">
      <w:pPr>
        <w:pStyle w:val="ManualHeading3"/>
        <w:rPr>
          <w:noProof/>
        </w:rPr>
      </w:pPr>
      <w:r w:rsidRPr="00F81955">
        <w:rPr>
          <w:noProof/>
        </w:rPr>
        <w:t>2.2.3.</w:t>
      </w:r>
      <w:r w:rsidRPr="00F81955">
        <w:rPr>
          <w:noProof/>
        </w:rPr>
        <w:tab/>
        <w:t xml:space="preserve">Estimation and justification of the cost-effectiveness of the controls (ratio between the control costs and the value of the related funds managed), and assessment of the expected levels of risk of error (at payment &amp; at closure) </w:t>
      </w:r>
    </w:p>
    <w:p w:rsidR="00C90C9C" w:rsidRPr="00F81955" w:rsidRDefault="00C90C9C" w:rsidP="00C90C9C">
      <w:pPr>
        <w:pBdr>
          <w:top w:val="single" w:sz="8" w:space="1" w:color="000000"/>
          <w:left w:val="single" w:sz="8" w:space="4" w:color="000000"/>
          <w:bottom w:val="single" w:sz="8" w:space="0" w:color="000000"/>
          <w:right w:val="single" w:sz="8" w:space="4" w:color="000000"/>
        </w:pBdr>
        <w:ind w:left="850"/>
        <w:rPr>
          <w:noProof/>
        </w:rPr>
      </w:pPr>
      <w:r w:rsidRPr="00F81955">
        <w:rPr>
          <w:rFonts w:eastAsia="Times New Roman"/>
          <w:noProof/>
        </w:rPr>
        <w:t xml:space="preserve">For the meeting expenditure, given the low value per transaction (e.g. refunding travel costs for a delegate for a meeting), standard control procedures seem sufficient. </w:t>
      </w:r>
    </w:p>
    <w:p w:rsidR="009C3EE2" w:rsidRPr="00F81955" w:rsidRDefault="009C3EE2" w:rsidP="0002735A">
      <w:pPr>
        <w:pStyle w:val="ManualHeading2"/>
        <w:rPr>
          <w:bCs/>
          <w:noProof/>
          <w:szCs w:val="24"/>
        </w:rPr>
      </w:pPr>
      <w:r w:rsidRPr="00F81955">
        <w:rPr>
          <w:noProof/>
        </w:rPr>
        <w:t>2.3.</w:t>
      </w:r>
      <w:r w:rsidRPr="00F81955">
        <w:rPr>
          <w:noProof/>
        </w:rPr>
        <w:tab/>
        <w:t xml:space="preserve">Measures to prevent fraud and irregularities </w:t>
      </w:r>
    </w:p>
    <w:p w:rsidR="009C3EE2" w:rsidRPr="00F81955" w:rsidRDefault="009C3EE2" w:rsidP="0002735A">
      <w:pPr>
        <w:pStyle w:val="Text1"/>
        <w:rPr>
          <w:noProof/>
        </w:rPr>
      </w:pPr>
      <w:r w:rsidRPr="00F81955">
        <w:rPr>
          <w:noProof/>
        </w:rPr>
        <w:t>Specify existing or envisaged prevention and protection measures, e.g. from the anti-fraud strategy.</w:t>
      </w:r>
    </w:p>
    <w:p w:rsidR="00C90C9C" w:rsidRPr="00F81955" w:rsidRDefault="00C90C9C" w:rsidP="00C90C9C">
      <w:pPr>
        <w:pStyle w:val="Text1"/>
        <w:pBdr>
          <w:top w:val="single" w:sz="8" w:space="1" w:color="000000"/>
          <w:left w:val="single" w:sz="8" w:space="4" w:color="000000"/>
          <w:bottom w:val="single" w:sz="8" w:space="1" w:color="000000"/>
          <w:right w:val="single" w:sz="8" w:space="4" w:color="000000"/>
        </w:pBdr>
        <w:rPr>
          <w:noProof/>
        </w:rPr>
      </w:pPr>
      <w:r w:rsidRPr="00F81955">
        <w:rPr>
          <w:rFonts w:eastAsia="Times New Roman"/>
          <w:noProof/>
        </w:rPr>
        <w:t>The existing fraud prevention measures applicable to the Commission will cover the additional appropriations necessary for this Regulation.</w:t>
      </w:r>
    </w:p>
    <w:p w:rsidR="009C3EE2" w:rsidRPr="00F81955" w:rsidRDefault="009C3EE2" w:rsidP="0002735A">
      <w:pPr>
        <w:rPr>
          <w:noProof/>
        </w:rPr>
        <w:sectPr w:rsidR="009C3EE2" w:rsidRPr="00F81955" w:rsidSect="004623B1">
          <w:pgSz w:w="11907" w:h="16840" w:code="9"/>
          <w:pgMar w:top="1134" w:right="1418" w:bottom="1134" w:left="1418" w:header="709" w:footer="709" w:gutter="0"/>
          <w:cols w:space="708"/>
          <w:docGrid w:linePitch="360"/>
        </w:sectPr>
      </w:pPr>
    </w:p>
    <w:p w:rsidR="009C3EE2" w:rsidRPr="00F81955" w:rsidRDefault="009C3EE2" w:rsidP="0002735A">
      <w:pPr>
        <w:pStyle w:val="ManualHeading1"/>
        <w:rPr>
          <w:bCs/>
          <w:noProof/>
          <w:szCs w:val="24"/>
        </w:rPr>
      </w:pPr>
      <w:r w:rsidRPr="00F81955">
        <w:rPr>
          <w:noProof/>
        </w:rPr>
        <w:t>3.</w:t>
      </w:r>
      <w:r w:rsidRPr="00F81955">
        <w:rPr>
          <w:noProof/>
        </w:rPr>
        <w:tab/>
        <w:t xml:space="preserve">ESTIMATED FINANCIAL IMPACT OF THE PROPOSAL/INITIATIVE </w:t>
      </w:r>
    </w:p>
    <w:p w:rsidR="009C3EE2" w:rsidRPr="00F81955" w:rsidRDefault="009C3EE2" w:rsidP="0002735A">
      <w:pPr>
        <w:pStyle w:val="ManualHeading2"/>
        <w:rPr>
          <w:noProof/>
        </w:rPr>
      </w:pPr>
      <w:r w:rsidRPr="00F81955">
        <w:rPr>
          <w:noProof/>
        </w:rPr>
        <w:t>3.1.</w:t>
      </w:r>
      <w:r w:rsidRPr="00F81955">
        <w:rPr>
          <w:noProof/>
        </w:rPr>
        <w:tab/>
        <w:t xml:space="preserve">Heading(s) of the multiannual financial framework and expenditure budget line(s) affected </w:t>
      </w:r>
    </w:p>
    <w:p w:rsidR="009C3EE2" w:rsidRPr="00F81955" w:rsidRDefault="009C3EE2" w:rsidP="0002735A">
      <w:pPr>
        <w:pStyle w:val="ListBullet1"/>
        <w:rPr>
          <w:noProof/>
        </w:rPr>
      </w:pPr>
      <w:r w:rsidRPr="00F81955">
        <w:rPr>
          <w:noProof/>
        </w:rPr>
        <w:t xml:space="preserve">Existing budget lines </w:t>
      </w:r>
    </w:p>
    <w:p w:rsidR="009C3EE2" w:rsidRPr="00F81955" w:rsidRDefault="009C3EE2" w:rsidP="0002735A">
      <w:pPr>
        <w:pStyle w:val="Text1"/>
        <w:rPr>
          <w:i/>
          <w:noProof/>
        </w:rPr>
      </w:pPr>
      <w:r w:rsidRPr="00F81955">
        <w:rPr>
          <w:i/>
          <w:noProof/>
          <w:u w:val="single"/>
        </w:rPr>
        <w:t>In order</w:t>
      </w:r>
      <w:r w:rsidRPr="00F81955">
        <w:rPr>
          <w:i/>
          <w:noProof/>
        </w:rPr>
        <w:t xml:space="preserve"> of multiannual financial framework headings and budget lines.</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C90C9C" w:rsidRPr="00F81955" w:rsidTr="00DE5C0D">
        <w:trPr>
          <w:jc w:val="center"/>
        </w:trPr>
        <w:tc>
          <w:tcPr>
            <w:tcW w:w="1092" w:type="dxa"/>
            <w:vMerge w:val="restart"/>
            <w:vAlign w:val="center"/>
          </w:tcPr>
          <w:p w:rsidR="00C90C9C" w:rsidRPr="00F81955" w:rsidRDefault="00C90C9C" w:rsidP="00DE5C0D">
            <w:pPr>
              <w:spacing w:before="60" w:after="60"/>
              <w:jc w:val="center"/>
              <w:rPr>
                <w:noProof/>
              </w:rPr>
            </w:pPr>
            <w:r w:rsidRPr="00F81955">
              <w:rPr>
                <w:noProof/>
                <w:sz w:val="18"/>
              </w:rPr>
              <w:t>Heading of multiannual financial framework</w:t>
            </w:r>
          </w:p>
        </w:tc>
        <w:tc>
          <w:tcPr>
            <w:tcW w:w="4002" w:type="dxa"/>
            <w:vAlign w:val="center"/>
          </w:tcPr>
          <w:p w:rsidR="00C90C9C" w:rsidRPr="00F81955" w:rsidRDefault="00C90C9C" w:rsidP="00DE5C0D">
            <w:pPr>
              <w:spacing w:before="60" w:after="60"/>
              <w:jc w:val="center"/>
              <w:rPr>
                <w:noProof/>
              </w:rPr>
            </w:pPr>
            <w:r w:rsidRPr="00F81955">
              <w:rPr>
                <w:noProof/>
                <w:sz w:val="20"/>
              </w:rPr>
              <w:t>Budget line</w:t>
            </w:r>
          </w:p>
        </w:tc>
        <w:tc>
          <w:tcPr>
            <w:tcW w:w="1092" w:type="dxa"/>
            <w:vAlign w:val="center"/>
          </w:tcPr>
          <w:p w:rsidR="00C90C9C" w:rsidRPr="00F81955" w:rsidRDefault="00C90C9C" w:rsidP="00DE5C0D">
            <w:pPr>
              <w:spacing w:before="60" w:after="60"/>
              <w:jc w:val="center"/>
              <w:rPr>
                <w:noProof/>
              </w:rPr>
            </w:pPr>
            <w:r w:rsidRPr="00F81955">
              <w:rPr>
                <w:noProof/>
                <w:sz w:val="18"/>
              </w:rPr>
              <w:t>Type of expenditure</w:t>
            </w:r>
          </w:p>
        </w:tc>
        <w:tc>
          <w:tcPr>
            <w:tcW w:w="4487" w:type="dxa"/>
            <w:gridSpan w:val="4"/>
            <w:vAlign w:val="center"/>
          </w:tcPr>
          <w:p w:rsidR="00C90C9C" w:rsidRPr="00F81955" w:rsidRDefault="00C90C9C" w:rsidP="00DE5C0D">
            <w:pPr>
              <w:spacing w:before="60" w:after="60"/>
              <w:jc w:val="center"/>
              <w:rPr>
                <w:noProof/>
              </w:rPr>
            </w:pPr>
            <w:r w:rsidRPr="00F81955">
              <w:rPr>
                <w:noProof/>
                <w:sz w:val="20"/>
              </w:rPr>
              <w:t xml:space="preserve">Contribution </w:t>
            </w:r>
          </w:p>
        </w:tc>
      </w:tr>
      <w:tr w:rsidR="00C90C9C" w:rsidRPr="00F81955" w:rsidTr="00DE5C0D">
        <w:trPr>
          <w:cantSplit/>
          <w:jc w:val="center"/>
        </w:trPr>
        <w:tc>
          <w:tcPr>
            <w:tcW w:w="1092" w:type="dxa"/>
            <w:vMerge/>
            <w:vAlign w:val="center"/>
          </w:tcPr>
          <w:p w:rsidR="00C90C9C" w:rsidRPr="00F81955" w:rsidRDefault="00C90C9C" w:rsidP="00DE5C0D">
            <w:pPr>
              <w:jc w:val="center"/>
              <w:rPr>
                <w:noProof/>
              </w:rPr>
            </w:pPr>
          </w:p>
        </w:tc>
        <w:tc>
          <w:tcPr>
            <w:tcW w:w="4002" w:type="dxa"/>
            <w:vAlign w:val="center"/>
          </w:tcPr>
          <w:p w:rsidR="00C90C9C" w:rsidRPr="00F81955" w:rsidRDefault="00C90C9C" w:rsidP="00DE5C0D">
            <w:pPr>
              <w:rPr>
                <w:noProof/>
              </w:rPr>
            </w:pPr>
            <w:r w:rsidRPr="00F81955">
              <w:rPr>
                <w:noProof/>
                <w:sz w:val="20"/>
              </w:rPr>
              <w:t xml:space="preserve">Number </w:t>
            </w:r>
            <w:r w:rsidRPr="00F81955">
              <w:rPr>
                <w:noProof/>
                <w:sz w:val="22"/>
              </w:rPr>
              <w:br/>
            </w:r>
          </w:p>
        </w:tc>
        <w:tc>
          <w:tcPr>
            <w:tcW w:w="1092" w:type="dxa"/>
            <w:vAlign w:val="center"/>
          </w:tcPr>
          <w:p w:rsidR="00C90C9C" w:rsidRPr="00F81955" w:rsidRDefault="00C90C9C" w:rsidP="00DE5C0D">
            <w:pPr>
              <w:jc w:val="center"/>
              <w:rPr>
                <w:noProof/>
              </w:rPr>
            </w:pPr>
            <w:r w:rsidRPr="00F81955">
              <w:rPr>
                <w:noProof/>
                <w:sz w:val="18"/>
              </w:rPr>
              <w:t>Diff./Non-diff.</w:t>
            </w:r>
            <w:r w:rsidRPr="00F81955">
              <w:rPr>
                <w:rStyle w:val="FootnoteReference"/>
                <w:noProof/>
                <w:sz w:val="18"/>
              </w:rPr>
              <w:footnoteReference w:id="28"/>
            </w:r>
          </w:p>
        </w:tc>
        <w:tc>
          <w:tcPr>
            <w:tcW w:w="966" w:type="dxa"/>
            <w:vAlign w:val="center"/>
          </w:tcPr>
          <w:p w:rsidR="00C90C9C" w:rsidRPr="00F81955" w:rsidRDefault="00C90C9C" w:rsidP="00DE5C0D">
            <w:pPr>
              <w:jc w:val="center"/>
              <w:rPr>
                <w:b/>
                <w:noProof/>
                <w:sz w:val="18"/>
              </w:rPr>
            </w:pPr>
            <w:r w:rsidRPr="00F81955">
              <w:rPr>
                <w:noProof/>
                <w:sz w:val="18"/>
              </w:rPr>
              <w:t>from EFTA countries</w:t>
            </w:r>
            <w:r w:rsidRPr="00F81955">
              <w:rPr>
                <w:rStyle w:val="FootnoteReference"/>
                <w:noProof/>
                <w:sz w:val="18"/>
              </w:rPr>
              <w:footnoteReference w:id="29"/>
            </w:r>
          </w:p>
        </w:tc>
        <w:tc>
          <w:tcPr>
            <w:tcW w:w="1092" w:type="dxa"/>
            <w:vAlign w:val="center"/>
          </w:tcPr>
          <w:p w:rsidR="00C90C9C" w:rsidRPr="00F81955" w:rsidRDefault="00C90C9C" w:rsidP="00DE5C0D">
            <w:pPr>
              <w:jc w:val="center"/>
              <w:rPr>
                <w:noProof/>
                <w:sz w:val="18"/>
              </w:rPr>
            </w:pPr>
            <w:r w:rsidRPr="00F81955">
              <w:rPr>
                <w:noProof/>
                <w:sz w:val="18"/>
              </w:rPr>
              <w:t>from candidate countries and potential candidates</w:t>
            </w:r>
            <w:r w:rsidRPr="00F81955">
              <w:rPr>
                <w:rStyle w:val="FootnoteReference"/>
                <w:noProof/>
                <w:sz w:val="18"/>
              </w:rPr>
              <w:footnoteReference w:id="30"/>
            </w:r>
          </w:p>
        </w:tc>
        <w:tc>
          <w:tcPr>
            <w:tcW w:w="966" w:type="dxa"/>
            <w:vAlign w:val="center"/>
          </w:tcPr>
          <w:p w:rsidR="00C90C9C" w:rsidRPr="00F81955" w:rsidRDefault="00C90C9C" w:rsidP="00DE5C0D">
            <w:pPr>
              <w:jc w:val="center"/>
              <w:rPr>
                <w:noProof/>
                <w:sz w:val="18"/>
              </w:rPr>
            </w:pPr>
            <w:r w:rsidRPr="00F81955">
              <w:rPr>
                <w:noProof/>
                <w:sz w:val="18"/>
              </w:rPr>
              <w:t>From other third countries</w:t>
            </w:r>
          </w:p>
        </w:tc>
        <w:tc>
          <w:tcPr>
            <w:tcW w:w="1463" w:type="dxa"/>
            <w:vAlign w:val="center"/>
          </w:tcPr>
          <w:p w:rsidR="00C90C9C" w:rsidRPr="00F81955" w:rsidRDefault="00C90C9C" w:rsidP="00DE5C0D">
            <w:pPr>
              <w:jc w:val="center"/>
              <w:rPr>
                <w:noProof/>
              </w:rPr>
            </w:pPr>
            <w:r w:rsidRPr="00F81955">
              <w:rPr>
                <w:noProof/>
                <w:sz w:val="18"/>
                <w:szCs w:val="18"/>
              </w:rPr>
              <w:t>other assigned revenue</w:t>
            </w:r>
          </w:p>
        </w:tc>
      </w:tr>
      <w:tr w:rsidR="00C90C9C" w:rsidRPr="00F81955" w:rsidTr="00DE5C0D">
        <w:trPr>
          <w:jc w:val="center"/>
        </w:trPr>
        <w:tc>
          <w:tcPr>
            <w:tcW w:w="1092" w:type="dxa"/>
            <w:vAlign w:val="center"/>
          </w:tcPr>
          <w:p w:rsidR="00C90C9C" w:rsidRPr="00F81955" w:rsidRDefault="00C90C9C" w:rsidP="00DE5C0D">
            <w:pPr>
              <w:jc w:val="center"/>
              <w:rPr>
                <w:noProof/>
              </w:rPr>
            </w:pPr>
            <w:r w:rsidRPr="00F81955">
              <w:rPr>
                <w:rFonts w:eastAsia="Times New Roman"/>
                <w:noProof/>
                <w:color w:val="0000FF"/>
                <w:szCs w:val="24"/>
              </w:rPr>
              <w:t>7</w:t>
            </w:r>
          </w:p>
        </w:tc>
        <w:tc>
          <w:tcPr>
            <w:tcW w:w="4002" w:type="dxa"/>
            <w:vAlign w:val="center"/>
          </w:tcPr>
          <w:p w:rsidR="00C90C9C" w:rsidRPr="00F81955" w:rsidRDefault="00C90C9C" w:rsidP="00DE5C0D">
            <w:pPr>
              <w:spacing w:before="60"/>
              <w:rPr>
                <w:noProof/>
              </w:rPr>
            </w:pPr>
            <w:r w:rsidRPr="00F81955">
              <w:rPr>
                <w:rFonts w:eastAsia="Times New Roman"/>
                <w:noProof/>
                <w:szCs w:val="24"/>
              </w:rPr>
              <w:t xml:space="preserve">20 02 06 </w:t>
            </w:r>
            <w:r w:rsidRPr="00F81955">
              <w:rPr>
                <w:rFonts w:eastAsia="Times New Roman"/>
                <w:noProof/>
                <w:sz w:val="22"/>
              </w:rPr>
              <w:t>Administrative expenditure</w:t>
            </w:r>
          </w:p>
        </w:tc>
        <w:tc>
          <w:tcPr>
            <w:tcW w:w="1092" w:type="dxa"/>
            <w:vAlign w:val="center"/>
          </w:tcPr>
          <w:p w:rsidR="00C90C9C" w:rsidRPr="00F81955" w:rsidRDefault="00C90C9C" w:rsidP="00DE5C0D">
            <w:pPr>
              <w:jc w:val="center"/>
              <w:rPr>
                <w:noProof/>
              </w:rPr>
            </w:pPr>
            <w:r w:rsidRPr="00F81955">
              <w:rPr>
                <w:rFonts w:eastAsia="Times New Roman"/>
                <w:noProof/>
                <w:sz w:val="22"/>
              </w:rPr>
              <w:t>Nondiff</w:t>
            </w:r>
          </w:p>
        </w:tc>
        <w:tc>
          <w:tcPr>
            <w:tcW w:w="966" w:type="dxa"/>
            <w:vAlign w:val="center"/>
          </w:tcPr>
          <w:p w:rsidR="00C90C9C" w:rsidRPr="00F81955" w:rsidRDefault="00C90C9C" w:rsidP="00DE5C0D">
            <w:pPr>
              <w:jc w:val="center"/>
              <w:rPr>
                <w:noProof/>
              </w:rPr>
            </w:pPr>
            <w:r w:rsidRPr="00F81955">
              <w:rPr>
                <w:rFonts w:eastAsia="Times New Roman"/>
                <w:noProof/>
                <w:sz w:val="20"/>
                <w:szCs w:val="20"/>
              </w:rPr>
              <w:t>No</w:t>
            </w:r>
          </w:p>
        </w:tc>
        <w:tc>
          <w:tcPr>
            <w:tcW w:w="1092" w:type="dxa"/>
            <w:vAlign w:val="center"/>
          </w:tcPr>
          <w:p w:rsidR="00C90C9C" w:rsidRPr="00F81955" w:rsidRDefault="00C90C9C" w:rsidP="00DE5C0D">
            <w:pPr>
              <w:jc w:val="center"/>
              <w:rPr>
                <w:noProof/>
                <w:sz w:val="20"/>
                <w:szCs w:val="20"/>
              </w:rPr>
            </w:pPr>
          </w:p>
        </w:tc>
        <w:tc>
          <w:tcPr>
            <w:tcW w:w="966" w:type="dxa"/>
            <w:vAlign w:val="center"/>
          </w:tcPr>
          <w:p w:rsidR="00C90C9C" w:rsidRPr="00F81955" w:rsidRDefault="00C90C9C" w:rsidP="00DE5C0D">
            <w:pPr>
              <w:jc w:val="center"/>
              <w:rPr>
                <w:noProof/>
                <w:sz w:val="20"/>
                <w:szCs w:val="20"/>
              </w:rPr>
            </w:pPr>
          </w:p>
        </w:tc>
        <w:tc>
          <w:tcPr>
            <w:tcW w:w="1463" w:type="dxa"/>
            <w:vAlign w:val="center"/>
          </w:tcPr>
          <w:p w:rsidR="00C90C9C" w:rsidRPr="00F81955" w:rsidRDefault="00C90C9C" w:rsidP="00DE5C0D">
            <w:pPr>
              <w:jc w:val="center"/>
              <w:rPr>
                <w:noProof/>
                <w:sz w:val="20"/>
                <w:szCs w:val="20"/>
              </w:rPr>
            </w:pPr>
          </w:p>
        </w:tc>
      </w:tr>
      <w:tr w:rsidR="00C90C9C" w:rsidRPr="00F81955" w:rsidTr="00DE5C0D">
        <w:trPr>
          <w:jc w:val="center"/>
        </w:trPr>
        <w:tc>
          <w:tcPr>
            <w:tcW w:w="1092" w:type="dxa"/>
            <w:vAlign w:val="center"/>
          </w:tcPr>
          <w:p w:rsidR="00C90C9C" w:rsidRPr="00F81955" w:rsidRDefault="00C90C9C" w:rsidP="00DE5C0D">
            <w:pPr>
              <w:jc w:val="center"/>
              <w:rPr>
                <w:noProof/>
              </w:rPr>
            </w:pPr>
            <w:r w:rsidRPr="00F81955">
              <w:rPr>
                <w:rFonts w:eastAsia="Times New Roman"/>
                <w:noProof/>
                <w:color w:val="0000FF"/>
                <w:szCs w:val="24"/>
              </w:rPr>
              <w:t>1</w:t>
            </w:r>
          </w:p>
        </w:tc>
        <w:tc>
          <w:tcPr>
            <w:tcW w:w="4002" w:type="dxa"/>
            <w:vAlign w:val="center"/>
          </w:tcPr>
          <w:p w:rsidR="00C90C9C" w:rsidRPr="00F81955" w:rsidRDefault="00C90C9C" w:rsidP="00DE5C0D">
            <w:pPr>
              <w:spacing w:after="60"/>
              <w:rPr>
                <w:noProof/>
              </w:rPr>
            </w:pPr>
            <w:r w:rsidRPr="00F81955">
              <w:rPr>
                <w:rFonts w:eastAsia="Times New Roman"/>
                <w:noProof/>
                <w:sz w:val="22"/>
              </w:rPr>
              <w:t>02 04 03 DEP Artificial Intelligence</w:t>
            </w:r>
          </w:p>
        </w:tc>
        <w:tc>
          <w:tcPr>
            <w:tcW w:w="1092" w:type="dxa"/>
            <w:vAlign w:val="center"/>
          </w:tcPr>
          <w:p w:rsidR="00C90C9C" w:rsidRPr="00F81955" w:rsidRDefault="00C90C9C" w:rsidP="00DE5C0D">
            <w:pPr>
              <w:jc w:val="center"/>
              <w:rPr>
                <w:noProof/>
              </w:rPr>
            </w:pPr>
            <w:r w:rsidRPr="00F81955">
              <w:rPr>
                <w:rFonts w:eastAsia="Times New Roman"/>
                <w:noProof/>
                <w:sz w:val="22"/>
              </w:rPr>
              <w:t>Diff.</w:t>
            </w:r>
          </w:p>
        </w:tc>
        <w:tc>
          <w:tcPr>
            <w:tcW w:w="966" w:type="dxa"/>
            <w:vAlign w:val="center"/>
          </w:tcPr>
          <w:p w:rsidR="00C90C9C" w:rsidRPr="00F81955" w:rsidRDefault="00C90C9C" w:rsidP="00DE5C0D">
            <w:pPr>
              <w:jc w:val="center"/>
              <w:rPr>
                <w:noProof/>
              </w:rPr>
            </w:pPr>
            <w:r w:rsidRPr="00F81955">
              <w:rPr>
                <w:rFonts w:eastAsia="Times New Roman"/>
                <w:noProof/>
                <w:sz w:val="20"/>
                <w:szCs w:val="20"/>
              </w:rPr>
              <w:t>YES</w:t>
            </w:r>
          </w:p>
        </w:tc>
        <w:tc>
          <w:tcPr>
            <w:tcW w:w="1092" w:type="dxa"/>
            <w:vAlign w:val="center"/>
          </w:tcPr>
          <w:p w:rsidR="00C90C9C" w:rsidRPr="00F81955" w:rsidRDefault="00C90C9C" w:rsidP="00DE5C0D">
            <w:pPr>
              <w:jc w:val="center"/>
              <w:rPr>
                <w:noProof/>
              </w:rPr>
            </w:pPr>
            <w:r w:rsidRPr="00F81955">
              <w:rPr>
                <w:rFonts w:eastAsia="Times New Roman"/>
                <w:noProof/>
                <w:sz w:val="20"/>
                <w:szCs w:val="20"/>
              </w:rPr>
              <w:t>NO</w:t>
            </w:r>
          </w:p>
        </w:tc>
        <w:tc>
          <w:tcPr>
            <w:tcW w:w="966" w:type="dxa"/>
            <w:vAlign w:val="center"/>
          </w:tcPr>
          <w:p w:rsidR="00C90C9C" w:rsidRPr="00F81955" w:rsidRDefault="00C90C9C" w:rsidP="00DE5C0D">
            <w:pPr>
              <w:jc w:val="center"/>
              <w:rPr>
                <w:noProof/>
              </w:rPr>
            </w:pPr>
            <w:r w:rsidRPr="00F81955">
              <w:rPr>
                <w:rFonts w:eastAsia="Times New Roman"/>
                <w:noProof/>
                <w:sz w:val="20"/>
                <w:szCs w:val="20"/>
              </w:rPr>
              <w:t>yes</w:t>
            </w:r>
          </w:p>
        </w:tc>
        <w:tc>
          <w:tcPr>
            <w:tcW w:w="1463" w:type="dxa"/>
            <w:vAlign w:val="center"/>
          </w:tcPr>
          <w:p w:rsidR="00C90C9C" w:rsidRPr="00F81955" w:rsidRDefault="00C90C9C" w:rsidP="00DE5C0D">
            <w:pPr>
              <w:jc w:val="center"/>
              <w:rPr>
                <w:noProof/>
              </w:rPr>
            </w:pPr>
            <w:r w:rsidRPr="00F81955">
              <w:rPr>
                <w:rFonts w:eastAsia="Times New Roman"/>
                <w:noProof/>
                <w:sz w:val="20"/>
                <w:szCs w:val="20"/>
              </w:rPr>
              <w:t>NO</w:t>
            </w:r>
          </w:p>
        </w:tc>
      </w:tr>
      <w:tr w:rsidR="00C90C9C" w:rsidRPr="00F81955" w:rsidTr="00DE5C0D">
        <w:trPr>
          <w:jc w:val="center"/>
        </w:trPr>
        <w:tc>
          <w:tcPr>
            <w:tcW w:w="1092" w:type="dxa"/>
            <w:vAlign w:val="center"/>
          </w:tcPr>
          <w:p w:rsidR="00C90C9C" w:rsidRPr="00F81955" w:rsidRDefault="00C90C9C" w:rsidP="00DE5C0D">
            <w:pPr>
              <w:jc w:val="center"/>
              <w:rPr>
                <w:noProof/>
              </w:rPr>
            </w:pPr>
            <w:r w:rsidRPr="00F81955">
              <w:rPr>
                <w:rFonts w:eastAsia="Times New Roman"/>
                <w:noProof/>
                <w:color w:val="0000FF"/>
                <w:szCs w:val="24"/>
              </w:rPr>
              <w:t>1</w:t>
            </w:r>
          </w:p>
        </w:tc>
        <w:tc>
          <w:tcPr>
            <w:tcW w:w="4002" w:type="dxa"/>
            <w:vAlign w:val="center"/>
          </w:tcPr>
          <w:p w:rsidR="00C90C9C" w:rsidRPr="00F81955" w:rsidRDefault="00C90C9C" w:rsidP="00DE5C0D">
            <w:pPr>
              <w:spacing w:after="60"/>
              <w:rPr>
                <w:noProof/>
              </w:rPr>
            </w:pPr>
            <w:r w:rsidRPr="00F81955">
              <w:rPr>
                <w:rFonts w:eastAsia="Times New Roman"/>
                <w:noProof/>
                <w:sz w:val="22"/>
              </w:rPr>
              <w:t>02 01 30 01 Support expenditure for the Digital Europe programme</w:t>
            </w:r>
          </w:p>
        </w:tc>
        <w:tc>
          <w:tcPr>
            <w:tcW w:w="1092" w:type="dxa"/>
            <w:vAlign w:val="center"/>
          </w:tcPr>
          <w:p w:rsidR="00C90C9C" w:rsidRPr="00F81955" w:rsidRDefault="00C90C9C" w:rsidP="00DE5C0D">
            <w:pPr>
              <w:jc w:val="center"/>
              <w:rPr>
                <w:noProof/>
              </w:rPr>
            </w:pPr>
            <w:r w:rsidRPr="00F81955">
              <w:rPr>
                <w:rFonts w:eastAsia="Times New Roman"/>
                <w:noProof/>
                <w:sz w:val="22"/>
              </w:rPr>
              <w:t>Nondiff</w:t>
            </w:r>
          </w:p>
        </w:tc>
        <w:tc>
          <w:tcPr>
            <w:tcW w:w="966" w:type="dxa"/>
            <w:vAlign w:val="center"/>
          </w:tcPr>
          <w:p w:rsidR="00C90C9C" w:rsidRPr="00F81955" w:rsidRDefault="00C90C9C" w:rsidP="00DE5C0D">
            <w:pPr>
              <w:jc w:val="center"/>
              <w:rPr>
                <w:noProof/>
              </w:rPr>
            </w:pPr>
            <w:r w:rsidRPr="00F81955">
              <w:rPr>
                <w:rFonts w:eastAsia="Times New Roman"/>
                <w:noProof/>
                <w:sz w:val="20"/>
                <w:szCs w:val="20"/>
              </w:rPr>
              <w:t>yes</w:t>
            </w:r>
          </w:p>
        </w:tc>
        <w:tc>
          <w:tcPr>
            <w:tcW w:w="1092" w:type="dxa"/>
            <w:vAlign w:val="center"/>
          </w:tcPr>
          <w:p w:rsidR="00C90C9C" w:rsidRPr="00F81955" w:rsidRDefault="00C90C9C" w:rsidP="00DE5C0D">
            <w:pPr>
              <w:jc w:val="center"/>
              <w:rPr>
                <w:noProof/>
              </w:rPr>
            </w:pPr>
            <w:r w:rsidRPr="00F81955">
              <w:rPr>
                <w:rFonts w:eastAsia="Times New Roman"/>
                <w:noProof/>
                <w:sz w:val="20"/>
                <w:szCs w:val="20"/>
              </w:rPr>
              <w:t xml:space="preserve"> </w:t>
            </w:r>
          </w:p>
        </w:tc>
        <w:tc>
          <w:tcPr>
            <w:tcW w:w="966" w:type="dxa"/>
            <w:vAlign w:val="center"/>
          </w:tcPr>
          <w:p w:rsidR="00C90C9C" w:rsidRPr="00F81955" w:rsidRDefault="00C90C9C" w:rsidP="00DE5C0D">
            <w:pPr>
              <w:jc w:val="center"/>
              <w:rPr>
                <w:noProof/>
              </w:rPr>
            </w:pPr>
            <w:r w:rsidRPr="00F81955">
              <w:rPr>
                <w:rFonts w:eastAsia="Times New Roman"/>
                <w:noProof/>
                <w:sz w:val="20"/>
                <w:szCs w:val="20"/>
              </w:rPr>
              <w:t>yes</w:t>
            </w:r>
          </w:p>
        </w:tc>
        <w:tc>
          <w:tcPr>
            <w:tcW w:w="1463" w:type="dxa"/>
            <w:vAlign w:val="center"/>
          </w:tcPr>
          <w:p w:rsidR="00C90C9C" w:rsidRPr="00F81955" w:rsidRDefault="00C90C9C" w:rsidP="00DE5C0D">
            <w:pPr>
              <w:jc w:val="center"/>
              <w:rPr>
                <w:rFonts w:eastAsia="Times New Roman"/>
                <w:noProof/>
                <w:sz w:val="20"/>
                <w:szCs w:val="20"/>
              </w:rPr>
            </w:pPr>
          </w:p>
        </w:tc>
      </w:tr>
    </w:tbl>
    <w:p w:rsidR="00C90C9C" w:rsidRPr="00F81955" w:rsidRDefault="00C90C9C" w:rsidP="00C90C9C">
      <w:pPr>
        <w:rPr>
          <w:noProof/>
        </w:rPr>
      </w:pPr>
    </w:p>
    <w:p w:rsidR="005061E6" w:rsidRPr="00F81955" w:rsidRDefault="005061E6" w:rsidP="005061E6">
      <w:pPr>
        <w:rPr>
          <w:noProof/>
        </w:rPr>
        <w:sectPr w:rsidR="005061E6" w:rsidRPr="00F81955" w:rsidSect="004623B1">
          <w:pgSz w:w="11907" w:h="16840" w:code="1"/>
          <w:pgMar w:top="1134" w:right="1418" w:bottom="1134" w:left="1418" w:header="709" w:footer="709" w:gutter="0"/>
          <w:cols w:space="708"/>
          <w:docGrid w:linePitch="360"/>
        </w:sectPr>
      </w:pPr>
    </w:p>
    <w:p w:rsidR="005061E6" w:rsidRPr="00F81955" w:rsidRDefault="005061E6" w:rsidP="005061E6">
      <w:pPr>
        <w:pStyle w:val="ManualHeading2"/>
        <w:rPr>
          <w:bCs/>
          <w:noProof/>
          <w:szCs w:val="24"/>
        </w:rPr>
      </w:pPr>
      <w:bookmarkStart w:id="3" w:name="_Toc514938052"/>
      <w:bookmarkStart w:id="4" w:name="_Toc520485051"/>
      <w:bookmarkStart w:id="5" w:name="_Toc160804593"/>
      <w:bookmarkStart w:id="6" w:name="_Toc167220285"/>
      <w:bookmarkStart w:id="7" w:name="_Toc177549018"/>
      <w:r w:rsidRPr="00F81955">
        <w:rPr>
          <w:noProof/>
        </w:rPr>
        <w:t>3.2.</w:t>
      </w:r>
      <w:r w:rsidRPr="00F81955">
        <w:rPr>
          <w:noProof/>
        </w:rPr>
        <w:tab/>
        <w:t>Estimated financial impact of the proposal on appropriations</w:t>
      </w:r>
      <w:bookmarkEnd w:id="3"/>
      <w:bookmarkEnd w:id="4"/>
      <w:bookmarkEnd w:id="5"/>
      <w:bookmarkEnd w:id="6"/>
      <w:bookmarkEnd w:id="7"/>
      <w:r w:rsidRPr="00F81955">
        <w:rPr>
          <w:noProof/>
        </w:rPr>
        <w:t xml:space="preserve"> </w:t>
      </w:r>
    </w:p>
    <w:p w:rsidR="005061E6" w:rsidRPr="00F81955" w:rsidRDefault="005061E6" w:rsidP="005061E6">
      <w:pPr>
        <w:pStyle w:val="ManualHeading3"/>
        <w:rPr>
          <w:noProof/>
        </w:rPr>
      </w:pPr>
      <w:bookmarkStart w:id="8" w:name="_Toc514938053"/>
      <w:bookmarkStart w:id="9" w:name="_Toc520485052"/>
      <w:bookmarkStart w:id="10" w:name="_Toc160804594"/>
      <w:bookmarkStart w:id="11" w:name="_Toc167220286"/>
      <w:bookmarkStart w:id="12" w:name="_Toc177549019"/>
      <w:r w:rsidRPr="00F81955">
        <w:rPr>
          <w:noProof/>
        </w:rPr>
        <w:t>3.2.1.</w:t>
      </w:r>
      <w:r w:rsidRPr="00F81955">
        <w:rPr>
          <w:noProof/>
        </w:rPr>
        <w:tab/>
        <w:t>Summary of estimated impact on operational appropriations</w:t>
      </w:r>
      <w:bookmarkEnd w:id="8"/>
      <w:bookmarkEnd w:id="9"/>
      <w:bookmarkEnd w:id="10"/>
      <w:bookmarkEnd w:id="11"/>
      <w:bookmarkEnd w:id="12"/>
      <w:r w:rsidRPr="00F81955">
        <w:rPr>
          <w:noProof/>
        </w:rPr>
        <w:t xml:space="preserve"> </w:t>
      </w:r>
    </w:p>
    <w:p w:rsidR="005061E6" w:rsidRPr="00F81955" w:rsidRDefault="005061E6" w:rsidP="005061E6">
      <w:pPr>
        <w:pStyle w:val="ListDash1"/>
        <w:rPr>
          <w:noProof/>
        </w:rPr>
      </w:pPr>
      <w:r w:rsidRPr="00F81955">
        <w:rPr>
          <w:rFonts w:ascii="Wingdings" w:eastAsia="Wingdings" w:hAnsi="Wingdings" w:cs="Wingdings"/>
          <w:noProof/>
        </w:rPr>
        <w:t></w:t>
      </w:r>
      <w:r w:rsidRPr="00F81955">
        <w:rPr>
          <w:noProof/>
        </w:rPr>
        <w:tab/>
        <w:t xml:space="preserve">The proposal/initiative does not require the use of operational appropriations </w:t>
      </w:r>
    </w:p>
    <w:p w:rsidR="005061E6" w:rsidRPr="00F81955" w:rsidRDefault="005061E6" w:rsidP="005061E6">
      <w:pPr>
        <w:pStyle w:val="ListDash1"/>
        <w:rPr>
          <w:noProof/>
        </w:rPr>
      </w:pPr>
      <w:r w:rsidRPr="00F81955">
        <w:rPr>
          <w:rFonts w:ascii="Wingdings" w:eastAsia="Wingdings" w:hAnsi="Wingdings" w:cs="Wingdings"/>
          <w:noProof/>
        </w:rPr>
        <w:t></w:t>
      </w:r>
      <w:r w:rsidRPr="00F81955">
        <w:rPr>
          <w:noProof/>
        </w:rPr>
        <w:tab/>
        <w:t>The proposal/initiative requires the use of operational appropriations, as explained below</w:t>
      </w:r>
    </w:p>
    <w:p w:rsidR="005061E6" w:rsidRPr="00F81955" w:rsidRDefault="005061E6" w:rsidP="005061E6">
      <w:pPr>
        <w:pStyle w:val="ManualHeading3"/>
        <w:rPr>
          <w:noProof/>
        </w:rPr>
      </w:pPr>
      <w:bookmarkStart w:id="13" w:name="_Toc160804595"/>
      <w:bookmarkStart w:id="14" w:name="_Toc167220287"/>
      <w:bookmarkStart w:id="15" w:name="_Toc177549020"/>
      <w:r w:rsidRPr="00F81955">
        <w:rPr>
          <w:noProof/>
        </w:rPr>
        <w:t>3.2.1.1.</w:t>
      </w:r>
      <w:r w:rsidRPr="00F81955">
        <w:rPr>
          <w:noProof/>
        </w:rPr>
        <w:tab/>
        <w:t>Appropriations from voted budget</w:t>
      </w:r>
      <w:bookmarkEnd w:id="13"/>
      <w:bookmarkEnd w:id="14"/>
      <w:bookmarkEnd w:id="15"/>
    </w:p>
    <w:p w:rsidR="003F3A5E" w:rsidRPr="00F81955" w:rsidRDefault="003F3A5E" w:rsidP="003F3A5E">
      <w:pPr>
        <w:pStyle w:val="Text1"/>
        <w:rPr>
          <w:noProof/>
        </w:rPr>
      </w:pPr>
      <w:r w:rsidRPr="00F81955">
        <w:rPr>
          <w:noProof/>
        </w:rPr>
        <w:t>[</w:t>
      </w:r>
    </w:p>
    <w:p w:rsidR="005061E6" w:rsidRPr="00F81955" w:rsidRDefault="005061E6" w:rsidP="005061E6">
      <w:pPr>
        <w:jc w:val="right"/>
        <w:rPr>
          <w:noProof/>
          <w:sz w:val="18"/>
          <w:szCs w:val="18"/>
        </w:rPr>
      </w:pPr>
      <w:r w:rsidRPr="00F81955">
        <w:rPr>
          <w:noProof/>
          <w:sz w:val="18"/>
          <w:szCs w:val="18"/>
        </w:rPr>
        <w:t>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5061E6" w:rsidRPr="00F81955">
        <w:tc>
          <w:tcPr>
            <w:tcW w:w="1739" w:type="pct"/>
            <w:vAlign w:val="center"/>
          </w:tcPr>
          <w:p w:rsidR="005061E6" w:rsidRPr="00F81955" w:rsidRDefault="005061E6">
            <w:pPr>
              <w:spacing w:before="60" w:after="60"/>
              <w:jc w:val="center"/>
              <w:rPr>
                <w:b/>
                <w:noProof/>
              </w:rPr>
            </w:pPr>
            <w:r w:rsidRPr="00F81955">
              <w:rPr>
                <w:b/>
                <w:noProof/>
                <w:sz w:val="22"/>
              </w:rPr>
              <w:t xml:space="preserve">Heading of multiannual financial framework </w:t>
            </w:r>
          </w:p>
        </w:tc>
        <w:tc>
          <w:tcPr>
            <w:tcW w:w="396" w:type="pct"/>
            <w:vAlign w:val="center"/>
          </w:tcPr>
          <w:p w:rsidR="005061E6" w:rsidRPr="00F81955" w:rsidRDefault="005061E6">
            <w:pPr>
              <w:spacing w:before="60" w:after="60"/>
              <w:jc w:val="center"/>
              <w:rPr>
                <w:noProof/>
              </w:rPr>
            </w:pPr>
            <w:r w:rsidRPr="00F81955">
              <w:rPr>
                <w:noProof/>
                <w:sz w:val="22"/>
              </w:rPr>
              <w:t>1</w:t>
            </w:r>
          </w:p>
        </w:tc>
        <w:tc>
          <w:tcPr>
            <w:tcW w:w="2865" w:type="pct"/>
            <w:vAlign w:val="center"/>
          </w:tcPr>
          <w:p w:rsidR="005061E6" w:rsidRPr="00F81955" w:rsidRDefault="005061E6">
            <w:pPr>
              <w:spacing w:before="60" w:after="60"/>
              <w:rPr>
                <w:noProof/>
              </w:rPr>
            </w:pPr>
          </w:p>
        </w:tc>
      </w:tr>
    </w:tbl>
    <w:p w:rsidR="005061E6" w:rsidRPr="00F81955" w:rsidRDefault="005061E6" w:rsidP="005061E6">
      <w:pPr>
        <w:rPr>
          <w:noProof/>
          <w:sz w:val="16"/>
        </w:rPr>
      </w:pPr>
    </w:p>
    <w:tbl>
      <w:tblPr>
        <w:tblW w:w="14220" w:type="dxa"/>
        <w:tblLook w:val="04A0" w:firstRow="1" w:lastRow="0" w:firstColumn="1" w:lastColumn="0" w:noHBand="0" w:noVBand="1"/>
      </w:tblPr>
      <w:tblGrid>
        <w:gridCol w:w="3556"/>
        <w:gridCol w:w="1386"/>
        <w:gridCol w:w="1306"/>
        <w:gridCol w:w="1305"/>
        <w:gridCol w:w="1305"/>
        <w:gridCol w:w="1305"/>
        <w:gridCol w:w="1261"/>
        <w:gridCol w:w="1261"/>
        <w:gridCol w:w="1535"/>
      </w:tblGrid>
      <w:tr w:rsidR="005061E6" w:rsidRPr="00F81955">
        <w:trPr>
          <w:trHeight w:val="420"/>
        </w:trPr>
        <w:tc>
          <w:tcPr>
            <w:tcW w:w="6248" w:type="dxa"/>
            <w:gridSpan w:val="3"/>
            <w:vMerge w:val="restart"/>
            <w:tcBorders>
              <w:top w:val="single" w:sz="8" w:space="0" w:color="auto"/>
              <w:left w:val="single" w:sz="8" w:space="0" w:color="auto"/>
              <w:bottom w:val="single" w:sz="8" w:space="0" w:color="auto"/>
              <w:right w:val="single" w:sz="8" w:space="0" w:color="auto"/>
            </w:tcBorders>
            <w:vAlign w:val="center"/>
            <w:hideMark/>
          </w:tcPr>
          <w:p w:rsidR="005061E6" w:rsidRPr="00F81955" w:rsidRDefault="005061E6">
            <w:pPr>
              <w:spacing w:before="0" w:after="0"/>
              <w:jc w:val="center"/>
              <w:rPr>
                <w:noProof/>
                <w:color w:val="000000"/>
                <w:sz w:val="22"/>
                <w:lang w:eastAsia="en-IE"/>
              </w:rPr>
            </w:pPr>
            <w:r w:rsidRPr="00F81955">
              <w:rPr>
                <w:noProof/>
                <w:color w:val="000000" w:themeColor="text1"/>
                <w:sz w:val="22"/>
                <w:lang w:eastAsia="en-IE"/>
              </w:rPr>
              <w:t>DG: CNECT</w:t>
            </w:r>
          </w:p>
        </w:tc>
        <w:tc>
          <w:tcPr>
            <w:tcW w:w="1305" w:type="dxa"/>
            <w:tcBorders>
              <w:top w:val="single" w:sz="8" w:space="0" w:color="auto"/>
              <w:left w:val="nil"/>
              <w:bottom w:val="single" w:sz="8" w:space="0" w:color="auto"/>
              <w:right w:val="single" w:sz="8" w:space="0" w:color="auto"/>
            </w:tcBorders>
            <w:vAlign w:val="center"/>
            <w:hideMark/>
          </w:tcPr>
          <w:p w:rsidR="005061E6" w:rsidRPr="00F81955" w:rsidRDefault="005061E6">
            <w:pPr>
              <w:spacing w:before="0" w:after="0"/>
              <w:jc w:val="center"/>
              <w:rPr>
                <w:noProof/>
                <w:color w:val="000000"/>
                <w:sz w:val="20"/>
                <w:szCs w:val="20"/>
                <w:lang w:eastAsia="en-IE"/>
              </w:rPr>
            </w:pPr>
            <w:r w:rsidRPr="00F81955">
              <w:rPr>
                <w:noProof/>
                <w:color w:val="000000"/>
                <w:sz w:val="20"/>
                <w:szCs w:val="20"/>
                <w:lang w:eastAsia="en-IE"/>
              </w:rPr>
              <w:t>Year</w:t>
            </w:r>
          </w:p>
        </w:tc>
        <w:tc>
          <w:tcPr>
            <w:tcW w:w="1305" w:type="dxa"/>
            <w:tcBorders>
              <w:top w:val="single" w:sz="8" w:space="0" w:color="auto"/>
              <w:left w:val="nil"/>
              <w:bottom w:val="single" w:sz="8" w:space="0" w:color="auto"/>
              <w:right w:val="single" w:sz="8" w:space="0" w:color="auto"/>
            </w:tcBorders>
            <w:vAlign w:val="center"/>
            <w:hideMark/>
          </w:tcPr>
          <w:p w:rsidR="005061E6" w:rsidRPr="00F81955" w:rsidRDefault="005061E6">
            <w:pPr>
              <w:spacing w:before="0" w:after="0"/>
              <w:jc w:val="center"/>
              <w:rPr>
                <w:noProof/>
                <w:color w:val="000000"/>
                <w:sz w:val="20"/>
                <w:szCs w:val="20"/>
                <w:lang w:eastAsia="en-IE"/>
              </w:rPr>
            </w:pPr>
            <w:r w:rsidRPr="00F81955">
              <w:rPr>
                <w:noProof/>
                <w:color w:val="000000"/>
                <w:sz w:val="20"/>
                <w:szCs w:val="20"/>
                <w:lang w:eastAsia="en-IE"/>
              </w:rPr>
              <w:t>Year</w:t>
            </w:r>
          </w:p>
        </w:tc>
        <w:tc>
          <w:tcPr>
            <w:tcW w:w="1305" w:type="dxa"/>
            <w:tcBorders>
              <w:top w:val="single" w:sz="8" w:space="0" w:color="auto"/>
              <w:left w:val="nil"/>
              <w:bottom w:val="single" w:sz="8" w:space="0" w:color="auto"/>
              <w:right w:val="single" w:sz="8" w:space="0" w:color="auto"/>
            </w:tcBorders>
            <w:vAlign w:val="center"/>
            <w:hideMark/>
          </w:tcPr>
          <w:p w:rsidR="005061E6" w:rsidRPr="00F81955" w:rsidRDefault="005061E6">
            <w:pPr>
              <w:spacing w:before="0" w:after="0"/>
              <w:jc w:val="center"/>
              <w:rPr>
                <w:noProof/>
                <w:color w:val="000000"/>
                <w:sz w:val="20"/>
                <w:szCs w:val="20"/>
                <w:lang w:eastAsia="en-IE"/>
              </w:rPr>
            </w:pPr>
            <w:r w:rsidRPr="00F81955">
              <w:rPr>
                <w:noProof/>
                <w:color w:val="000000"/>
                <w:sz w:val="20"/>
                <w:szCs w:val="20"/>
                <w:lang w:eastAsia="en-IE"/>
              </w:rPr>
              <w:t>Year</w:t>
            </w:r>
          </w:p>
        </w:tc>
        <w:tc>
          <w:tcPr>
            <w:tcW w:w="1261" w:type="dxa"/>
            <w:tcBorders>
              <w:top w:val="single" w:sz="8" w:space="0" w:color="auto"/>
              <w:left w:val="nil"/>
              <w:bottom w:val="single" w:sz="8" w:space="0" w:color="auto"/>
              <w:right w:val="single" w:sz="8" w:space="0" w:color="auto"/>
            </w:tcBorders>
            <w:vAlign w:val="center"/>
            <w:hideMark/>
          </w:tcPr>
          <w:p w:rsidR="005061E6" w:rsidRPr="00F81955" w:rsidRDefault="005061E6">
            <w:pPr>
              <w:spacing w:before="0" w:after="0"/>
              <w:jc w:val="center"/>
              <w:rPr>
                <w:noProof/>
                <w:color w:val="000000"/>
                <w:sz w:val="20"/>
                <w:szCs w:val="20"/>
                <w:lang w:eastAsia="en-IE"/>
              </w:rPr>
            </w:pPr>
            <w:r w:rsidRPr="00F81955">
              <w:rPr>
                <w:noProof/>
                <w:color w:val="000000"/>
                <w:sz w:val="20"/>
                <w:szCs w:val="20"/>
                <w:lang w:eastAsia="en-IE"/>
              </w:rPr>
              <w:t>Year</w:t>
            </w:r>
          </w:p>
        </w:tc>
        <w:tc>
          <w:tcPr>
            <w:tcW w:w="1261" w:type="dxa"/>
            <w:tcBorders>
              <w:top w:val="single" w:sz="8" w:space="0" w:color="auto"/>
              <w:left w:val="nil"/>
              <w:bottom w:val="single" w:sz="8" w:space="0" w:color="auto"/>
              <w:right w:val="single" w:sz="8" w:space="0" w:color="auto"/>
            </w:tcBorders>
            <w:vAlign w:val="center"/>
          </w:tcPr>
          <w:p w:rsidR="005061E6" w:rsidRPr="00F81955" w:rsidRDefault="005061E6">
            <w:pPr>
              <w:jc w:val="center"/>
              <w:rPr>
                <w:noProof/>
                <w:color w:val="000000" w:themeColor="text1"/>
                <w:sz w:val="20"/>
                <w:szCs w:val="20"/>
                <w:lang w:eastAsia="en-IE"/>
              </w:rPr>
            </w:pPr>
            <w:r w:rsidRPr="00F81955">
              <w:rPr>
                <w:noProof/>
                <w:color w:val="000000" w:themeColor="text1"/>
                <w:sz w:val="20"/>
                <w:szCs w:val="20"/>
                <w:lang w:eastAsia="en-IE"/>
              </w:rPr>
              <w:t>After 2027</w:t>
            </w:r>
          </w:p>
        </w:tc>
        <w:tc>
          <w:tcPr>
            <w:tcW w:w="1535" w:type="dxa"/>
            <w:vMerge w:val="restart"/>
            <w:tcBorders>
              <w:top w:val="single" w:sz="8" w:space="0" w:color="auto"/>
              <w:left w:val="single" w:sz="8" w:space="0" w:color="auto"/>
              <w:bottom w:val="single" w:sz="8" w:space="0" w:color="auto"/>
              <w:right w:val="single" w:sz="8" w:space="0" w:color="auto"/>
            </w:tcBorders>
            <w:vAlign w:val="center"/>
            <w:hideMark/>
          </w:tcPr>
          <w:p w:rsidR="005061E6" w:rsidRPr="00F81955" w:rsidRDefault="005061E6">
            <w:pPr>
              <w:spacing w:before="0" w:after="0"/>
              <w:jc w:val="center"/>
              <w:rPr>
                <w:b/>
                <w:bCs/>
                <w:noProof/>
                <w:color w:val="000000"/>
                <w:sz w:val="20"/>
                <w:szCs w:val="20"/>
                <w:lang w:eastAsia="en-IE"/>
              </w:rPr>
            </w:pPr>
            <w:r w:rsidRPr="00F81955">
              <w:rPr>
                <w:b/>
                <w:bCs/>
                <w:noProof/>
                <w:color w:val="000000"/>
                <w:sz w:val="20"/>
                <w:szCs w:val="20"/>
                <w:lang w:eastAsia="en-IE"/>
              </w:rPr>
              <w:t>TOTAL MFF 2021-2027</w:t>
            </w:r>
          </w:p>
        </w:tc>
      </w:tr>
      <w:tr w:rsidR="005061E6" w:rsidRPr="00F81955">
        <w:trPr>
          <w:trHeight w:val="288"/>
        </w:trPr>
        <w:tc>
          <w:tcPr>
            <w:tcW w:w="6248" w:type="dxa"/>
            <w:gridSpan w:val="3"/>
            <w:vMerge/>
            <w:vAlign w:val="center"/>
            <w:hideMark/>
          </w:tcPr>
          <w:p w:rsidR="005061E6" w:rsidRPr="00F81955" w:rsidRDefault="005061E6">
            <w:pPr>
              <w:spacing w:before="0" w:after="0"/>
              <w:jc w:val="left"/>
              <w:rPr>
                <w:noProof/>
                <w:color w:val="000000"/>
                <w:sz w:val="22"/>
                <w:lang w:eastAsia="en-IE"/>
              </w:rPr>
            </w:pPr>
          </w:p>
        </w:tc>
        <w:tc>
          <w:tcPr>
            <w:tcW w:w="1305" w:type="dxa"/>
            <w:tcBorders>
              <w:top w:val="nil"/>
              <w:left w:val="nil"/>
              <w:bottom w:val="single" w:sz="8" w:space="0" w:color="auto"/>
              <w:right w:val="single" w:sz="8" w:space="0" w:color="auto"/>
            </w:tcBorders>
            <w:vAlign w:val="center"/>
            <w:hideMark/>
          </w:tcPr>
          <w:p w:rsidR="005061E6" w:rsidRPr="00F81955" w:rsidRDefault="005061E6">
            <w:pPr>
              <w:spacing w:before="0" w:after="0"/>
              <w:jc w:val="center"/>
              <w:rPr>
                <w:b/>
                <w:bCs/>
                <w:noProof/>
                <w:color w:val="000000"/>
                <w:sz w:val="20"/>
                <w:szCs w:val="20"/>
                <w:lang w:eastAsia="en-IE"/>
              </w:rPr>
            </w:pPr>
            <w:r w:rsidRPr="00F81955">
              <w:rPr>
                <w:b/>
                <w:bCs/>
                <w:noProof/>
                <w:color w:val="000000"/>
                <w:sz w:val="20"/>
                <w:szCs w:val="20"/>
                <w:lang w:eastAsia="en-IE"/>
              </w:rPr>
              <w:t>2024</w:t>
            </w:r>
          </w:p>
        </w:tc>
        <w:tc>
          <w:tcPr>
            <w:tcW w:w="1305" w:type="dxa"/>
            <w:tcBorders>
              <w:top w:val="nil"/>
              <w:left w:val="nil"/>
              <w:bottom w:val="single" w:sz="8" w:space="0" w:color="auto"/>
              <w:right w:val="single" w:sz="8" w:space="0" w:color="auto"/>
            </w:tcBorders>
            <w:vAlign w:val="center"/>
            <w:hideMark/>
          </w:tcPr>
          <w:p w:rsidR="005061E6" w:rsidRPr="00F81955" w:rsidRDefault="005061E6">
            <w:pPr>
              <w:spacing w:before="0" w:after="0"/>
              <w:jc w:val="center"/>
              <w:rPr>
                <w:b/>
                <w:bCs/>
                <w:noProof/>
                <w:color w:val="000000"/>
                <w:sz w:val="20"/>
                <w:szCs w:val="20"/>
                <w:lang w:eastAsia="en-IE"/>
              </w:rPr>
            </w:pPr>
            <w:r w:rsidRPr="00F81955">
              <w:rPr>
                <w:b/>
                <w:bCs/>
                <w:noProof/>
                <w:color w:val="000000"/>
                <w:sz w:val="20"/>
                <w:szCs w:val="20"/>
                <w:lang w:eastAsia="en-IE"/>
              </w:rPr>
              <w:t>2025</w:t>
            </w:r>
          </w:p>
        </w:tc>
        <w:tc>
          <w:tcPr>
            <w:tcW w:w="1305" w:type="dxa"/>
            <w:tcBorders>
              <w:top w:val="nil"/>
              <w:left w:val="nil"/>
              <w:bottom w:val="single" w:sz="8" w:space="0" w:color="auto"/>
              <w:right w:val="single" w:sz="8" w:space="0" w:color="auto"/>
            </w:tcBorders>
            <w:vAlign w:val="center"/>
            <w:hideMark/>
          </w:tcPr>
          <w:p w:rsidR="005061E6" w:rsidRPr="00F81955" w:rsidRDefault="005061E6">
            <w:pPr>
              <w:spacing w:before="0" w:after="0"/>
              <w:jc w:val="center"/>
              <w:rPr>
                <w:b/>
                <w:bCs/>
                <w:noProof/>
                <w:color w:val="000000"/>
                <w:sz w:val="20"/>
                <w:szCs w:val="20"/>
                <w:lang w:eastAsia="en-IE"/>
              </w:rPr>
            </w:pPr>
            <w:r w:rsidRPr="00F81955">
              <w:rPr>
                <w:b/>
                <w:bCs/>
                <w:noProof/>
                <w:color w:val="000000"/>
                <w:sz w:val="20"/>
                <w:szCs w:val="20"/>
                <w:lang w:eastAsia="en-IE"/>
              </w:rPr>
              <w:t>2026</w:t>
            </w:r>
          </w:p>
        </w:tc>
        <w:tc>
          <w:tcPr>
            <w:tcW w:w="1261" w:type="dxa"/>
            <w:tcBorders>
              <w:top w:val="nil"/>
              <w:left w:val="nil"/>
              <w:bottom w:val="single" w:sz="8" w:space="0" w:color="auto"/>
              <w:right w:val="single" w:sz="8" w:space="0" w:color="auto"/>
            </w:tcBorders>
            <w:vAlign w:val="center"/>
            <w:hideMark/>
          </w:tcPr>
          <w:p w:rsidR="005061E6" w:rsidRPr="00F81955" w:rsidRDefault="005061E6">
            <w:pPr>
              <w:spacing w:before="0" w:after="0"/>
              <w:jc w:val="center"/>
              <w:rPr>
                <w:b/>
                <w:bCs/>
                <w:noProof/>
                <w:color w:val="000000"/>
                <w:sz w:val="20"/>
                <w:szCs w:val="20"/>
                <w:lang w:eastAsia="en-IE"/>
              </w:rPr>
            </w:pPr>
            <w:r w:rsidRPr="00F81955">
              <w:rPr>
                <w:b/>
                <w:bCs/>
                <w:noProof/>
                <w:color w:val="000000"/>
                <w:sz w:val="20"/>
                <w:szCs w:val="20"/>
                <w:lang w:eastAsia="en-IE"/>
              </w:rPr>
              <w:t>2027</w:t>
            </w:r>
          </w:p>
        </w:tc>
        <w:tc>
          <w:tcPr>
            <w:tcW w:w="1261" w:type="dxa"/>
            <w:tcBorders>
              <w:top w:val="nil"/>
              <w:left w:val="nil"/>
              <w:bottom w:val="single" w:sz="8" w:space="0" w:color="auto"/>
              <w:right w:val="single" w:sz="8" w:space="0" w:color="auto"/>
            </w:tcBorders>
            <w:vAlign w:val="center"/>
          </w:tcPr>
          <w:p w:rsidR="005061E6" w:rsidRPr="00F81955" w:rsidRDefault="005061E6">
            <w:pPr>
              <w:jc w:val="center"/>
              <w:rPr>
                <w:b/>
                <w:bCs/>
                <w:noProof/>
                <w:color w:val="000000" w:themeColor="text1"/>
                <w:sz w:val="20"/>
                <w:szCs w:val="20"/>
                <w:lang w:eastAsia="en-IE"/>
              </w:rPr>
            </w:pPr>
            <w:r w:rsidRPr="00F81955">
              <w:rPr>
                <w:b/>
                <w:bCs/>
                <w:noProof/>
                <w:color w:val="000000" w:themeColor="text1"/>
                <w:sz w:val="20"/>
                <w:szCs w:val="20"/>
                <w:lang w:eastAsia="en-IE"/>
              </w:rPr>
              <w:t>After 2027</w:t>
            </w:r>
          </w:p>
        </w:tc>
        <w:tc>
          <w:tcPr>
            <w:tcW w:w="1535" w:type="dxa"/>
            <w:vMerge/>
            <w:vAlign w:val="center"/>
            <w:hideMark/>
          </w:tcPr>
          <w:p w:rsidR="005061E6" w:rsidRPr="00F81955" w:rsidRDefault="005061E6">
            <w:pPr>
              <w:spacing w:before="0" w:after="0"/>
              <w:jc w:val="left"/>
              <w:rPr>
                <w:b/>
                <w:bCs/>
                <w:noProof/>
                <w:color w:val="000000"/>
                <w:sz w:val="20"/>
                <w:szCs w:val="20"/>
                <w:lang w:eastAsia="en-IE"/>
              </w:rPr>
            </w:pPr>
          </w:p>
        </w:tc>
      </w:tr>
      <w:tr w:rsidR="005061E6" w:rsidRPr="00F81955">
        <w:trPr>
          <w:trHeight w:val="300"/>
        </w:trPr>
        <w:tc>
          <w:tcPr>
            <w:tcW w:w="14220" w:type="dxa"/>
            <w:gridSpan w:val="9"/>
            <w:tcBorders>
              <w:top w:val="single" w:sz="8" w:space="0" w:color="auto"/>
              <w:left w:val="single" w:sz="8" w:space="0" w:color="auto"/>
              <w:bottom w:val="single" w:sz="8" w:space="0" w:color="auto"/>
              <w:right w:val="single" w:sz="8" w:space="0" w:color="auto"/>
            </w:tcBorders>
            <w:vAlign w:val="center"/>
          </w:tcPr>
          <w:p w:rsidR="005061E6" w:rsidRPr="00F81955" w:rsidRDefault="005061E6">
            <w:pPr>
              <w:rPr>
                <w:noProof/>
              </w:rPr>
            </w:pPr>
          </w:p>
        </w:tc>
      </w:tr>
      <w:tr w:rsidR="005061E6" w:rsidRPr="00F81955">
        <w:trPr>
          <w:trHeight w:val="420"/>
        </w:trPr>
        <w:tc>
          <w:tcPr>
            <w:tcW w:w="3556" w:type="dxa"/>
            <w:vMerge w:val="restart"/>
            <w:tcBorders>
              <w:top w:val="nil"/>
              <w:left w:val="single" w:sz="8" w:space="0" w:color="auto"/>
              <w:bottom w:val="single" w:sz="8" w:space="0" w:color="auto"/>
              <w:right w:val="single" w:sz="8" w:space="0" w:color="auto"/>
            </w:tcBorders>
            <w:noWrap/>
            <w:vAlign w:val="center"/>
            <w:hideMark/>
          </w:tcPr>
          <w:p w:rsidR="005061E6" w:rsidRPr="00F81955" w:rsidRDefault="005061E6">
            <w:pPr>
              <w:spacing w:before="0" w:after="0"/>
              <w:jc w:val="left"/>
              <w:rPr>
                <w:noProof/>
                <w:color w:val="000000"/>
                <w:sz w:val="22"/>
                <w:lang w:eastAsia="en-IE"/>
              </w:rPr>
            </w:pPr>
            <w:r w:rsidRPr="00F81955">
              <w:rPr>
                <w:noProof/>
                <w:color w:val="000000" w:themeColor="text1"/>
                <w:sz w:val="22"/>
                <w:lang w:eastAsia="en-IE"/>
              </w:rPr>
              <w:t>Budget line 02 04 03</w:t>
            </w:r>
          </w:p>
        </w:tc>
        <w:tc>
          <w:tcPr>
            <w:tcW w:w="1386" w:type="dxa"/>
            <w:tcBorders>
              <w:top w:val="nil"/>
              <w:left w:val="nil"/>
              <w:bottom w:val="single" w:sz="8" w:space="0" w:color="auto"/>
              <w:right w:val="single" w:sz="8" w:space="0" w:color="auto"/>
            </w:tcBorders>
            <w:vAlign w:val="center"/>
            <w:hideMark/>
          </w:tcPr>
          <w:p w:rsidR="005061E6" w:rsidRPr="00F81955" w:rsidRDefault="005061E6">
            <w:pPr>
              <w:spacing w:before="0" w:after="0"/>
              <w:rPr>
                <w:noProof/>
                <w:color w:val="000000"/>
                <w:sz w:val="18"/>
                <w:szCs w:val="18"/>
                <w:lang w:eastAsia="en-IE"/>
              </w:rPr>
            </w:pPr>
            <w:r w:rsidRPr="00F81955">
              <w:rPr>
                <w:noProof/>
                <w:color w:val="000000"/>
                <w:sz w:val="18"/>
                <w:szCs w:val="18"/>
                <w:lang w:eastAsia="en-IE"/>
              </w:rPr>
              <w:t>Commitments</w:t>
            </w:r>
          </w:p>
        </w:tc>
        <w:tc>
          <w:tcPr>
            <w:tcW w:w="1306" w:type="dxa"/>
            <w:tcBorders>
              <w:top w:val="single" w:sz="8" w:space="0" w:color="auto"/>
              <w:left w:val="nil"/>
              <w:bottom w:val="single" w:sz="8" w:space="0" w:color="auto"/>
              <w:right w:val="single" w:sz="8" w:space="0" w:color="auto"/>
            </w:tcBorders>
            <w:vAlign w:val="center"/>
            <w:hideMark/>
          </w:tcPr>
          <w:p w:rsidR="005061E6" w:rsidRPr="00F81955" w:rsidRDefault="005061E6">
            <w:pPr>
              <w:spacing w:before="0" w:after="0"/>
              <w:jc w:val="center"/>
              <w:rPr>
                <w:noProof/>
                <w:color w:val="000000"/>
                <w:sz w:val="14"/>
                <w:szCs w:val="14"/>
                <w:lang w:eastAsia="en-IE"/>
              </w:rPr>
            </w:pPr>
            <w:r w:rsidRPr="00F81955">
              <w:rPr>
                <w:noProof/>
                <w:color w:val="000000"/>
                <w:sz w:val="14"/>
                <w:szCs w:val="14"/>
                <w:lang w:eastAsia="en-IE"/>
              </w:rPr>
              <w:t>(1a)</w:t>
            </w:r>
          </w:p>
        </w:tc>
        <w:tc>
          <w:tcPr>
            <w:tcW w:w="1305" w:type="dxa"/>
            <w:tcBorders>
              <w:top w:val="nil"/>
              <w:left w:val="nil"/>
              <w:bottom w:val="single" w:sz="8" w:space="0" w:color="auto"/>
              <w:right w:val="single" w:sz="8" w:space="0" w:color="auto"/>
            </w:tcBorders>
            <w:vAlign w:val="center"/>
            <w:hideMark/>
          </w:tcPr>
          <w:p w:rsidR="005061E6" w:rsidRPr="00F81955" w:rsidRDefault="005061E6">
            <w:pPr>
              <w:spacing w:before="0" w:after="0"/>
              <w:jc w:val="right"/>
              <w:rPr>
                <w:noProof/>
                <w:color w:val="000000"/>
                <w:sz w:val="20"/>
                <w:szCs w:val="20"/>
                <w:lang w:eastAsia="en-IE"/>
              </w:rPr>
            </w:pPr>
            <w:r w:rsidRPr="00F81955">
              <w:rPr>
                <w:noProof/>
                <w:color w:val="000000"/>
                <w:sz w:val="20"/>
                <w:szCs w:val="20"/>
                <w:lang w:eastAsia="en-IE"/>
              </w:rPr>
              <w:t> </w:t>
            </w:r>
          </w:p>
        </w:tc>
        <w:tc>
          <w:tcPr>
            <w:tcW w:w="1305" w:type="dxa"/>
            <w:tcBorders>
              <w:top w:val="nil"/>
              <w:left w:val="nil"/>
              <w:bottom w:val="single" w:sz="8" w:space="0" w:color="auto"/>
              <w:right w:val="single" w:sz="8" w:space="0" w:color="auto"/>
            </w:tcBorders>
            <w:vAlign w:val="center"/>
            <w:hideMark/>
          </w:tcPr>
          <w:p w:rsidR="005061E6" w:rsidRPr="00F81955" w:rsidRDefault="005061E6">
            <w:pPr>
              <w:spacing w:before="0" w:after="0"/>
              <w:jc w:val="right"/>
              <w:rPr>
                <w:noProof/>
                <w:color w:val="000000"/>
                <w:sz w:val="20"/>
                <w:szCs w:val="20"/>
                <w:lang w:eastAsia="en-IE"/>
              </w:rPr>
            </w:pPr>
            <w:r w:rsidRPr="00F81955">
              <w:rPr>
                <w:noProof/>
                <w:color w:val="000000"/>
                <w:sz w:val="20"/>
                <w:szCs w:val="20"/>
                <w:lang w:eastAsia="en-IE"/>
              </w:rPr>
              <w:t> </w:t>
            </w:r>
          </w:p>
        </w:tc>
        <w:tc>
          <w:tcPr>
            <w:tcW w:w="1305" w:type="dxa"/>
            <w:tcBorders>
              <w:top w:val="nil"/>
              <w:left w:val="nil"/>
              <w:bottom w:val="single" w:sz="8" w:space="0" w:color="auto"/>
              <w:right w:val="single" w:sz="8" w:space="0" w:color="auto"/>
            </w:tcBorders>
            <w:vAlign w:val="center"/>
            <w:hideMark/>
          </w:tcPr>
          <w:p w:rsidR="005061E6" w:rsidRPr="00F81955" w:rsidRDefault="005061E6">
            <w:pPr>
              <w:spacing w:before="0" w:after="0"/>
              <w:jc w:val="right"/>
              <w:rPr>
                <w:noProof/>
                <w:color w:val="000000"/>
                <w:sz w:val="20"/>
                <w:szCs w:val="20"/>
                <w:lang w:eastAsia="en-IE"/>
              </w:rPr>
            </w:pPr>
            <w:r w:rsidRPr="00F81955">
              <w:rPr>
                <w:noProof/>
                <w:color w:val="000000" w:themeColor="text1"/>
                <w:sz w:val="20"/>
                <w:szCs w:val="20"/>
                <w:lang w:eastAsia="en-IE"/>
              </w:rPr>
              <w:t>0,500</w:t>
            </w:r>
            <w:r w:rsidRPr="00F81955">
              <w:rPr>
                <w:rStyle w:val="FootnoteReference"/>
                <w:noProof/>
                <w:color w:val="000000" w:themeColor="text1"/>
                <w:sz w:val="20"/>
                <w:szCs w:val="20"/>
                <w:lang w:eastAsia="en-IE"/>
              </w:rPr>
              <w:footnoteReference w:id="31"/>
            </w:r>
            <w:r w:rsidRPr="00F81955">
              <w:rPr>
                <w:noProof/>
                <w:color w:val="000000" w:themeColor="text1"/>
                <w:sz w:val="20"/>
                <w:szCs w:val="20"/>
                <w:lang w:eastAsia="en-IE"/>
              </w:rPr>
              <w:t> </w:t>
            </w:r>
          </w:p>
        </w:tc>
        <w:tc>
          <w:tcPr>
            <w:tcW w:w="1261" w:type="dxa"/>
            <w:tcBorders>
              <w:top w:val="nil"/>
              <w:left w:val="nil"/>
              <w:bottom w:val="single" w:sz="8" w:space="0" w:color="auto"/>
              <w:right w:val="single" w:sz="8" w:space="0" w:color="auto"/>
            </w:tcBorders>
            <w:vAlign w:val="center"/>
            <w:hideMark/>
          </w:tcPr>
          <w:p w:rsidR="005061E6" w:rsidRPr="00F81955" w:rsidRDefault="005061E6">
            <w:pPr>
              <w:spacing w:before="0" w:after="0"/>
              <w:jc w:val="right"/>
              <w:rPr>
                <w:noProof/>
                <w:color w:val="000000"/>
                <w:sz w:val="20"/>
                <w:szCs w:val="20"/>
                <w:lang w:eastAsia="en-IE"/>
              </w:rPr>
            </w:pPr>
            <w:r w:rsidRPr="00F81955">
              <w:rPr>
                <w:noProof/>
                <w:color w:val="000000" w:themeColor="text1"/>
                <w:sz w:val="20"/>
                <w:szCs w:val="20"/>
                <w:lang w:eastAsia="en-IE"/>
              </w:rPr>
              <w:t>0,500</w:t>
            </w:r>
            <w:r w:rsidRPr="00F81955">
              <w:rPr>
                <w:rStyle w:val="FootnoteReference"/>
                <w:noProof/>
                <w:color w:val="000000" w:themeColor="text1"/>
                <w:sz w:val="20"/>
                <w:szCs w:val="20"/>
                <w:lang w:eastAsia="en-IE"/>
              </w:rPr>
              <w:footnoteReference w:id="32"/>
            </w:r>
            <w:r w:rsidRPr="00F81955">
              <w:rPr>
                <w:noProof/>
                <w:color w:val="000000" w:themeColor="text1"/>
                <w:sz w:val="20"/>
                <w:szCs w:val="20"/>
                <w:lang w:eastAsia="en-IE"/>
              </w:rPr>
              <w:t> </w:t>
            </w:r>
          </w:p>
        </w:tc>
        <w:tc>
          <w:tcPr>
            <w:tcW w:w="1261" w:type="dxa"/>
            <w:tcBorders>
              <w:top w:val="nil"/>
              <w:left w:val="nil"/>
              <w:bottom w:val="single" w:sz="8" w:space="0" w:color="auto"/>
              <w:right w:val="single" w:sz="8" w:space="0" w:color="auto"/>
            </w:tcBorders>
            <w:vAlign w:val="center"/>
          </w:tcPr>
          <w:p w:rsidR="005061E6" w:rsidRPr="00F81955" w:rsidRDefault="005061E6">
            <w:pPr>
              <w:jc w:val="right"/>
              <w:rPr>
                <w:noProof/>
                <w:color w:val="000000" w:themeColor="text1"/>
                <w:sz w:val="20"/>
                <w:szCs w:val="20"/>
                <w:lang w:eastAsia="en-IE"/>
              </w:rPr>
            </w:pPr>
          </w:p>
        </w:tc>
        <w:tc>
          <w:tcPr>
            <w:tcW w:w="1535" w:type="dxa"/>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20"/>
                <w:szCs w:val="20"/>
                <w:lang w:eastAsia="en-IE"/>
              </w:rPr>
            </w:pPr>
            <w:r w:rsidRPr="00F81955">
              <w:rPr>
                <w:b/>
                <w:bCs/>
                <w:noProof/>
                <w:color w:val="000000" w:themeColor="text1"/>
                <w:sz w:val="20"/>
                <w:szCs w:val="20"/>
                <w:lang w:eastAsia="en-IE"/>
              </w:rPr>
              <w:t xml:space="preserve">   1,000</w:t>
            </w:r>
          </w:p>
        </w:tc>
      </w:tr>
      <w:tr w:rsidR="005061E6" w:rsidRPr="00F81955">
        <w:trPr>
          <w:trHeight w:val="315"/>
        </w:trPr>
        <w:tc>
          <w:tcPr>
            <w:tcW w:w="3556" w:type="dxa"/>
            <w:vMerge/>
            <w:vAlign w:val="center"/>
            <w:hideMark/>
          </w:tcPr>
          <w:p w:rsidR="005061E6" w:rsidRPr="00F81955" w:rsidRDefault="005061E6">
            <w:pPr>
              <w:spacing w:before="0" w:after="0"/>
              <w:jc w:val="left"/>
              <w:rPr>
                <w:noProof/>
                <w:color w:val="000000"/>
                <w:sz w:val="22"/>
                <w:lang w:eastAsia="en-IE"/>
              </w:rPr>
            </w:pPr>
          </w:p>
        </w:tc>
        <w:tc>
          <w:tcPr>
            <w:tcW w:w="1386" w:type="dxa"/>
            <w:tcBorders>
              <w:top w:val="nil"/>
              <w:left w:val="nil"/>
              <w:bottom w:val="single" w:sz="8" w:space="0" w:color="auto"/>
              <w:right w:val="single" w:sz="8" w:space="0" w:color="auto"/>
            </w:tcBorders>
            <w:vAlign w:val="center"/>
            <w:hideMark/>
          </w:tcPr>
          <w:p w:rsidR="005061E6" w:rsidRPr="00F81955" w:rsidRDefault="005061E6">
            <w:pPr>
              <w:spacing w:before="0" w:after="0"/>
              <w:rPr>
                <w:noProof/>
                <w:color w:val="000000"/>
                <w:sz w:val="18"/>
                <w:szCs w:val="18"/>
                <w:lang w:eastAsia="en-IE"/>
              </w:rPr>
            </w:pPr>
            <w:r w:rsidRPr="00F81955">
              <w:rPr>
                <w:noProof/>
                <w:color w:val="000000"/>
                <w:sz w:val="18"/>
                <w:szCs w:val="18"/>
                <w:lang w:eastAsia="en-IE"/>
              </w:rPr>
              <w:t>Payments</w:t>
            </w:r>
          </w:p>
        </w:tc>
        <w:tc>
          <w:tcPr>
            <w:tcW w:w="1306" w:type="dxa"/>
            <w:tcBorders>
              <w:top w:val="single" w:sz="8" w:space="0" w:color="auto"/>
              <w:left w:val="nil"/>
              <w:bottom w:val="single" w:sz="8" w:space="0" w:color="auto"/>
              <w:right w:val="single" w:sz="8" w:space="0" w:color="auto"/>
            </w:tcBorders>
            <w:vAlign w:val="center"/>
            <w:hideMark/>
          </w:tcPr>
          <w:p w:rsidR="005061E6" w:rsidRPr="00F81955" w:rsidRDefault="005061E6">
            <w:pPr>
              <w:spacing w:before="0" w:after="0"/>
              <w:jc w:val="center"/>
              <w:rPr>
                <w:noProof/>
                <w:color w:val="000000"/>
                <w:sz w:val="14"/>
                <w:szCs w:val="14"/>
                <w:lang w:eastAsia="en-IE"/>
              </w:rPr>
            </w:pPr>
            <w:r w:rsidRPr="00F81955">
              <w:rPr>
                <w:noProof/>
                <w:color w:val="000000"/>
                <w:sz w:val="14"/>
                <w:szCs w:val="14"/>
                <w:lang w:eastAsia="en-IE"/>
              </w:rPr>
              <w:t>(2a)</w:t>
            </w:r>
          </w:p>
        </w:tc>
        <w:tc>
          <w:tcPr>
            <w:tcW w:w="1305" w:type="dxa"/>
            <w:tcBorders>
              <w:top w:val="nil"/>
              <w:left w:val="nil"/>
              <w:bottom w:val="single" w:sz="8" w:space="0" w:color="auto"/>
              <w:right w:val="single" w:sz="8" w:space="0" w:color="auto"/>
            </w:tcBorders>
            <w:vAlign w:val="center"/>
            <w:hideMark/>
          </w:tcPr>
          <w:p w:rsidR="005061E6" w:rsidRPr="00F81955" w:rsidRDefault="005061E6">
            <w:pPr>
              <w:spacing w:before="0" w:after="0"/>
              <w:jc w:val="right"/>
              <w:rPr>
                <w:noProof/>
                <w:color w:val="000000"/>
                <w:sz w:val="20"/>
                <w:szCs w:val="20"/>
                <w:lang w:eastAsia="en-IE"/>
              </w:rPr>
            </w:pPr>
            <w:r w:rsidRPr="00F81955">
              <w:rPr>
                <w:noProof/>
                <w:color w:val="000000"/>
                <w:sz w:val="20"/>
                <w:szCs w:val="20"/>
                <w:lang w:eastAsia="en-IE"/>
              </w:rPr>
              <w:t> </w:t>
            </w:r>
          </w:p>
        </w:tc>
        <w:tc>
          <w:tcPr>
            <w:tcW w:w="1305" w:type="dxa"/>
            <w:tcBorders>
              <w:top w:val="nil"/>
              <w:left w:val="nil"/>
              <w:bottom w:val="single" w:sz="8" w:space="0" w:color="auto"/>
              <w:right w:val="single" w:sz="8" w:space="0" w:color="auto"/>
            </w:tcBorders>
            <w:vAlign w:val="center"/>
            <w:hideMark/>
          </w:tcPr>
          <w:p w:rsidR="005061E6" w:rsidRPr="00F81955" w:rsidRDefault="005061E6">
            <w:pPr>
              <w:spacing w:before="0" w:after="0"/>
              <w:jc w:val="right"/>
              <w:rPr>
                <w:noProof/>
                <w:color w:val="000000"/>
                <w:sz w:val="20"/>
                <w:szCs w:val="20"/>
                <w:lang w:eastAsia="en-IE"/>
              </w:rPr>
            </w:pPr>
            <w:r w:rsidRPr="00F81955">
              <w:rPr>
                <w:noProof/>
                <w:color w:val="000000"/>
                <w:sz w:val="20"/>
                <w:szCs w:val="20"/>
                <w:lang w:eastAsia="en-IE"/>
              </w:rPr>
              <w:t> </w:t>
            </w:r>
          </w:p>
        </w:tc>
        <w:tc>
          <w:tcPr>
            <w:tcW w:w="1305" w:type="dxa"/>
            <w:tcBorders>
              <w:top w:val="nil"/>
              <w:left w:val="nil"/>
              <w:bottom w:val="single" w:sz="8" w:space="0" w:color="auto"/>
              <w:right w:val="single" w:sz="8" w:space="0" w:color="auto"/>
            </w:tcBorders>
            <w:vAlign w:val="center"/>
            <w:hideMark/>
          </w:tcPr>
          <w:p w:rsidR="005061E6" w:rsidRPr="00F81955" w:rsidRDefault="005061E6">
            <w:pPr>
              <w:spacing w:before="0" w:after="0"/>
              <w:jc w:val="right"/>
              <w:rPr>
                <w:noProof/>
                <w:color w:val="000000"/>
                <w:sz w:val="20"/>
                <w:szCs w:val="20"/>
                <w:lang w:eastAsia="en-IE"/>
              </w:rPr>
            </w:pPr>
          </w:p>
        </w:tc>
        <w:tc>
          <w:tcPr>
            <w:tcW w:w="1261" w:type="dxa"/>
            <w:tcBorders>
              <w:top w:val="nil"/>
              <w:left w:val="nil"/>
              <w:bottom w:val="single" w:sz="8" w:space="0" w:color="auto"/>
              <w:right w:val="single" w:sz="8" w:space="0" w:color="auto"/>
            </w:tcBorders>
            <w:vAlign w:val="center"/>
            <w:hideMark/>
          </w:tcPr>
          <w:p w:rsidR="005061E6" w:rsidRPr="00F81955" w:rsidRDefault="005061E6">
            <w:pPr>
              <w:spacing w:before="0" w:after="0"/>
              <w:jc w:val="right"/>
              <w:rPr>
                <w:noProof/>
                <w:color w:val="000000"/>
                <w:sz w:val="20"/>
                <w:szCs w:val="20"/>
                <w:lang w:eastAsia="en-IE"/>
              </w:rPr>
            </w:pPr>
            <w:r w:rsidRPr="00F81955">
              <w:rPr>
                <w:noProof/>
                <w:color w:val="000000" w:themeColor="text1"/>
                <w:sz w:val="20"/>
                <w:szCs w:val="20"/>
                <w:lang w:eastAsia="en-IE"/>
              </w:rPr>
              <w:t>0,500 </w:t>
            </w:r>
          </w:p>
        </w:tc>
        <w:tc>
          <w:tcPr>
            <w:tcW w:w="1261" w:type="dxa"/>
            <w:tcBorders>
              <w:top w:val="nil"/>
              <w:left w:val="nil"/>
              <w:bottom w:val="single" w:sz="8" w:space="0" w:color="auto"/>
              <w:right w:val="single" w:sz="8" w:space="0" w:color="auto"/>
            </w:tcBorders>
            <w:vAlign w:val="center"/>
          </w:tcPr>
          <w:p w:rsidR="005061E6" w:rsidRPr="00F81955" w:rsidRDefault="005061E6">
            <w:pPr>
              <w:jc w:val="right"/>
              <w:rPr>
                <w:noProof/>
                <w:color w:val="000000" w:themeColor="text1"/>
                <w:sz w:val="20"/>
                <w:szCs w:val="20"/>
                <w:lang w:eastAsia="en-IE"/>
              </w:rPr>
            </w:pPr>
            <w:r w:rsidRPr="00F81955">
              <w:rPr>
                <w:noProof/>
                <w:color w:val="000000" w:themeColor="text1"/>
                <w:sz w:val="20"/>
                <w:szCs w:val="20"/>
                <w:lang w:eastAsia="en-IE"/>
              </w:rPr>
              <w:t>0,500</w:t>
            </w:r>
          </w:p>
        </w:tc>
        <w:tc>
          <w:tcPr>
            <w:tcW w:w="1535" w:type="dxa"/>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20"/>
                <w:szCs w:val="20"/>
                <w:lang w:eastAsia="en-IE"/>
              </w:rPr>
            </w:pPr>
            <w:r w:rsidRPr="00F81955">
              <w:rPr>
                <w:b/>
                <w:bCs/>
                <w:noProof/>
                <w:color w:val="000000" w:themeColor="text1"/>
                <w:sz w:val="20"/>
                <w:szCs w:val="20"/>
                <w:lang w:eastAsia="en-IE"/>
              </w:rPr>
              <w:t>1,000</w:t>
            </w:r>
          </w:p>
        </w:tc>
      </w:tr>
      <w:tr w:rsidR="005061E6" w:rsidRPr="00F81955">
        <w:trPr>
          <w:trHeight w:val="288"/>
        </w:trPr>
        <w:tc>
          <w:tcPr>
            <w:tcW w:w="14220" w:type="dxa"/>
            <w:gridSpan w:val="9"/>
            <w:tcBorders>
              <w:top w:val="single" w:sz="8" w:space="0" w:color="auto"/>
              <w:left w:val="single" w:sz="8" w:space="0" w:color="auto"/>
              <w:bottom w:val="single" w:sz="8" w:space="0" w:color="auto"/>
              <w:right w:val="single" w:sz="8" w:space="0" w:color="auto"/>
            </w:tcBorders>
            <w:vAlign w:val="bottom"/>
          </w:tcPr>
          <w:p w:rsidR="005061E6" w:rsidRPr="00F81955" w:rsidRDefault="005061E6">
            <w:pPr>
              <w:spacing w:before="0" w:after="0"/>
              <w:jc w:val="left"/>
              <w:rPr>
                <w:noProof/>
                <w:color w:val="000000" w:themeColor="text1"/>
                <w:sz w:val="22"/>
                <w:lang w:eastAsia="en-IE"/>
              </w:rPr>
            </w:pPr>
            <w:r w:rsidRPr="00F81955">
              <w:rPr>
                <w:noProof/>
                <w:color w:val="000000" w:themeColor="text1"/>
                <w:sz w:val="22"/>
                <w:lang w:eastAsia="en-IE"/>
              </w:rPr>
              <w:t>Appropriations of an administrative nature financed from the envelope of specific programmes</w:t>
            </w:r>
          </w:p>
        </w:tc>
      </w:tr>
      <w:tr w:rsidR="005061E6" w:rsidRPr="00F81955">
        <w:trPr>
          <w:trHeight w:val="288"/>
        </w:trPr>
        <w:tc>
          <w:tcPr>
            <w:tcW w:w="3556" w:type="dxa"/>
            <w:tcBorders>
              <w:top w:val="nil"/>
              <w:left w:val="single" w:sz="8" w:space="0" w:color="auto"/>
              <w:bottom w:val="single" w:sz="8" w:space="0" w:color="auto"/>
              <w:right w:val="single" w:sz="8" w:space="0" w:color="auto"/>
            </w:tcBorders>
            <w:vAlign w:val="center"/>
            <w:hideMark/>
          </w:tcPr>
          <w:p w:rsidR="005061E6" w:rsidRPr="00F81955" w:rsidRDefault="005061E6">
            <w:pPr>
              <w:spacing w:before="0" w:after="0"/>
              <w:rPr>
                <w:noProof/>
                <w:color w:val="000000"/>
                <w:sz w:val="20"/>
                <w:szCs w:val="20"/>
                <w:lang w:eastAsia="en-IE"/>
              </w:rPr>
            </w:pPr>
            <w:r w:rsidRPr="00F81955">
              <w:rPr>
                <w:noProof/>
                <w:color w:val="000000" w:themeColor="text1"/>
                <w:sz w:val="20"/>
                <w:szCs w:val="20"/>
                <w:lang w:eastAsia="en-IE"/>
              </w:rPr>
              <w:t>Budget line 02 01 30 01</w:t>
            </w:r>
          </w:p>
        </w:tc>
        <w:tc>
          <w:tcPr>
            <w:tcW w:w="1386" w:type="dxa"/>
            <w:tcBorders>
              <w:top w:val="nil"/>
              <w:left w:val="nil"/>
              <w:bottom w:val="single" w:sz="8" w:space="0" w:color="auto"/>
              <w:right w:val="single" w:sz="8" w:space="0" w:color="auto"/>
            </w:tcBorders>
            <w:vAlign w:val="center"/>
            <w:hideMark/>
          </w:tcPr>
          <w:p w:rsidR="005061E6" w:rsidRPr="00F81955" w:rsidRDefault="005061E6">
            <w:pPr>
              <w:spacing w:before="0" w:after="0"/>
              <w:jc w:val="right"/>
              <w:rPr>
                <w:noProof/>
                <w:color w:val="000000"/>
                <w:sz w:val="18"/>
                <w:szCs w:val="18"/>
                <w:lang w:eastAsia="en-IE"/>
              </w:rPr>
            </w:pPr>
            <w:r w:rsidRPr="00F81955">
              <w:rPr>
                <w:noProof/>
                <w:color w:val="000000"/>
                <w:sz w:val="18"/>
                <w:szCs w:val="18"/>
                <w:lang w:eastAsia="en-IE"/>
              </w:rPr>
              <w:t> </w:t>
            </w:r>
          </w:p>
        </w:tc>
        <w:tc>
          <w:tcPr>
            <w:tcW w:w="1306" w:type="dxa"/>
            <w:tcBorders>
              <w:top w:val="single" w:sz="8" w:space="0" w:color="auto"/>
              <w:left w:val="nil"/>
              <w:bottom w:val="single" w:sz="8" w:space="0" w:color="auto"/>
              <w:right w:val="single" w:sz="8" w:space="0" w:color="auto"/>
            </w:tcBorders>
            <w:vAlign w:val="center"/>
            <w:hideMark/>
          </w:tcPr>
          <w:p w:rsidR="005061E6" w:rsidRPr="00F81955" w:rsidRDefault="005061E6">
            <w:pPr>
              <w:spacing w:before="0" w:after="0"/>
              <w:jc w:val="center"/>
              <w:rPr>
                <w:noProof/>
                <w:color w:val="000000"/>
                <w:sz w:val="14"/>
                <w:szCs w:val="14"/>
                <w:lang w:eastAsia="en-IE"/>
              </w:rPr>
            </w:pPr>
            <w:r w:rsidRPr="00F81955">
              <w:rPr>
                <w:noProof/>
                <w:color w:val="000000"/>
                <w:sz w:val="14"/>
                <w:szCs w:val="14"/>
                <w:lang w:eastAsia="en-IE"/>
              </w:rPr>
              <w:t>(3)</w:t>
            </w:r>
          </w:p>
        </w:tc>
        <w:tc>
          <w:tcPr>
            <w:tcW w:w="1305" w:type="dxa"/>
            <w:tcBorders>
              <w:top w:val="nil"/>
              <w:left w:val="nil"/>
              <w:bottom w:val="single" w:sz="8" w:space="0" w:color="auto"/>
              <w:right w:val="single" w:sz="8" w:space="0" w:color="auto"/>
            </w:tcBorders>
            <w:vAlign w:val="center"/>
            <w:hideMark/>
          </w:tcPr>
          <w:p w:rsidR="005061E6" w:rsidRPr="00F81955" w:rsidRDefault="005061E6">
            <w:pPr>
              <w:spacing w:before="0" w:after="0"/>
              <w:jc w:val="right"/>
              <w:rPr>
                <w:b/>
                <w:bCs/>
                <w:noProof/>
                <w:color w:val="000000"/>
                <w:sz w:val="20"/>
                <w:szCs w:val="20"/>
                <w:lang w:eastAsia="en-IE"/>
              </w:rPr>
            </w:pPr>
            <w:r w:rsidRPr="00F81955">
              <w:rPr>
                <w:b/>
                <w:bCs/>
                <w:noProof/>
                <w:color w:val="000000"/>
                <w:sz w:val="20"/>
                <w:szCs w:val="20"/>
                <w:lang w:eastAsia="en-IE"/>
              </w:rPr>
              <w:t> </w:t>
            </w:r>
          </w:p>
        </w:tc>
        <w:tc>
          <w:tcPr>
            <w:tcW w:w="1305" w:type="dxa"/>
            <w:tcBorders>
              <w:top w:val="nil"/>
              <w:left w:val="nil"/>
              <w:bottom w:val="single" w:sz="8" w:space="0" w:color="auto"/>
              <w:right w:val="single" w:sz="8" w:space="0" w:color="auto"/>
            </w:tcBorders>
            <w:vAlign w:val="center"/>
            <w:hideMark/>
          </w:tcPr>
          <w:p w:rsidR="005061E6" w:rsidRPr="00F81955" w:rsidRDefault="005061E6">
            <w:pPr>
              <w:spacing w:before="0" w:after="0"/>
              <w:jc w:val="right"/>
              <w:rPr>
                <w:b/>
                <w:bCs/>
                <w:noProof/>
                <w:color w:val="000000"/>
                <w:sz w:val="20"/>
                <w:szCs w:val="20"/>
                <w:lang w:eastAsia="en-IE"/>
              </w:rPr>
            </w:pPr>
            <w:r w:rsidRPr="00F81955">
              <w:rPr>
                <w:b/>
                <w:bCs/>
                <w:noProof/>
                <w:color w:val="000000"/>
                <w:sz w:val="20"/>
                <w:szCs w:val="20"/>
                <w:lang w:eastAsia="en-IE"/>
              </w:rPr>
              <w:t> </w:t>
            </w:r>
          </w:p>
        </w:tc>
        <w:tc>
          <w:tcPr>
            <w:tcW w:w="1305" w:type="dxa"/>
            <w:tcBorders>
              <w:top w:val="nil"/>
              <w:left w:val="nil"/>
              <w:bottom w:val="single" w:sz="8" w:space="0" w:color="auto"/>
              <w:right w:val="single" w:sz="8" w:space="0" w:color="auto"/>
            </w:tcBorders>
            <w:vAlign w:val="center"/>
            <w:hideMark/>
          </w:tcPr>
          <w:p w:rsidR="005061E6" w:rsidRPr="00F81955" w:rsidRDefault="005061E6">
            <w:pPr>
              <w:spacing w:before="0" w:after="0"/>
              <w:jc w:val="right"/>
              <w:rPr>
                <w:b/>
                <w:bCs/>
                <w:noProof/>
                <w:color w:val="000000"/>
                <w:sz w:val="20"/>
                <w:szCs w:val="20"/>
                <w:lang w:eastAsia="en-IE"/>
              </w:rPr>
            </w:pPr>
            <w:r w:rsidRPr="00F81955">
              <w:rPr>
                <w:b/>
                <w:bCs/>
                <w:noProof/>
                <w:color w:val="000000" w:themeColor="text1"/>
                <w:sz w:val="20"/>
                <w:szCs w:val="20"/>
                <w:lang w:eastAsia="en-IE"/>
              </w:rPr>
              <w:t>2,642</w:t>
            </w:r>
            <w:r w:rsidRPr="00F81955">
              <w:rPr>
                <w:rStyle w:val="FootnoteReference"/>
                <w:b/>
                <w:bCs/>
                <w:noProof/>
                <w:color w:val="000000" w:themeColor="text1"/>
                <w:sz w:val="20"/>
                <w:szCs w:val="20"/>
                <w:lang w:eastAsia="en-IE"/>
              </w:rPr>
              <w:footnoteReference w:id="33"/>
            </w:r>
          </w:p>
        </w:tc>
        <w:tc>
          <w:tcPr>
            <w:tcW w:w="1261" w:type="dxa"/>
            <w:tcBorders>
              <w:top w:val="nil"/>
              <w:left w:val="nil"/>
              <w:bottom w:val="single" w:sz="8" w:space="0" w:color="auto"/>
              <w:right w:val="single" w:sz="8" w:space="0" w:color="auto"/>
            </w:tcBorders>
            <w:vAlign w:val="center"/>
            <w:hideMark/>
          </w:tcPr>
          <w:p w:rsidR="005061E6" w:rsidRPr="00F81955" w:rsidRDefault="005061E6">
            <w:pPr>
              <w:spacing w:before="0" w:after="0"/>
              <w:jc w:val="right"/>
              <w:rPr>
                <w:b/>
                <w:bCs/>
                <w:noProof/>
                <w:color w:val="000000"/>
                <w:sz w:val="20"/>
                <w:szCs w:val="20"/>
                <w:lang w:eastAsia="en-IE"/>
              </w:rPr>
            </w:pPr>
            <w:r w:rsidRPr="00F81955">
              <w:rPr>
                <w:b/>
                <w:bCs/>
                <w:noProof/>
                <w:color w:val="000000" w:themeColor="text1"/>
                <w:sz w:val="20"/>
                <w:szCs w:val="20"/>
                <w:lang w:eastAsia="en-IE"/>
              </w:rPr>
              <w:t>6,283 </w:t>
            </w:r>
            <w:r w:rsidRPr="00F81955">
              <w:rPr>
                <w:rStyle w:val="FootnoteReference"/>
                <w:b/>
                <w:bCs/>
                <w:noProof/>
                <w:color w:val="000000" w:themeColor="text1"/>
                <w:sz w:val="20"/>
                <w:szCs w:val="20"/>
                <w:lang w:eastAsia="en-IE"/>
              </w:rPr>
              <w:footnoteReference w:id="34"/>
            </w:r>
          </w:p>
        </w:tc>
        <w:tc>
          <w:tcPr>
            <w:tcW w:w="1261" w:type="dxa"/>
            <w:tcBorders>
              <w:top w:val="nil"/>
              <w:left w:val="nil"/>
              <w:bottom w:val="single" w:sz="8" w:space="0" w:color="auto"/>
              <w:right w:val="single" w:sz="8" w:space="0" w:color="auto"/>
            </w:tcBorders>
            <w:vAlign w:val="center"/>
          </w:tcPr>
          <w:p w:rsidR="005061E6" w:rsidRPr="00F81955" w:rsidRDefault="005061E6">
            <w:pPr>
              <w:jc w:val="right"/>
              <w:rPr>
                <w:b/>
                <w:bCs/>
                <w:noProof/>
                <w:color w:val="000000" w:themeColor="text1"/>
                <w:sz w:val="20"/>
                <w:szCs w:val="20"/>
                <w:lang w:eastAsia="en-IE"/>
              </w:rPr>
            </w:pPr>
            <w:r w:rsidRPr="00F81955">
              <w:rPr>
                <w:b/>
                <w:bCs/>
                <w:noProof/>
                <w:color w:val="000000" w:themeColor="text1"/>
                <w:sz w:val="20"/>
                <w:szCs w:val="20"/>
                <w:lang w:eastAsia="en-IE"/>
              </w:rPr>
              <w:t>7,</w:t>
            </w:r>
            <w:r w:rsidR="590FAB47" w:rsidRPr="00F81955">
              <w:rPr>
                <w:b/>
                <w:bCs/>
                <w:noProof/>
                <w:color w:val="000000" w:themeColor="text1"/>
                <w:sz w:val="20"/>
                <w:szCs w:val="20"/>
                <w:lang w:eastAsia="en-IE"/>
              </w:rPr>
              <w:t>283</w:t>
            </w:r>
          </w:p>
          <w:p w:rsidR="005061E6" w:rsidRPr="00F81955" w:rsidRDefault="005061E6">
            <w:pPr>
              <w:jc w:val="right"/>
              <w:rPr>
                <w:b/>
                <w:bCs/>
                <w:noProof/>
                <w:color w:val="000000" w:themeColor="text1"/>
                <w:sz w:val="20"/>
                <w:szCs w:val="20"/>
                <w:lang w:eastAsia="en-IE"/>
              </w:rPr>
            </w:pPr>
          </w:p>
        </w:tc>
        <w:tc>
          <w:tcPr>
            <w:tcW w:w="1535" w:type="dxa"/>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20"/>
                <w:szCs w:val="20"/>
                <w:lang w:eastAsia="en-IE"/>
              </w:rPr>
            </w:pPr>
            <w:r w:rsidRPr="00F81955">
              <w:rPr>
                <w:b/>
                <w:bCs/>
                <w:noProof/>
                <w:color w:val="000000" w:themeColor="text1"/>
                <w:sz w:val="20"/>
                <w:szCs w:val="20"/>
                <w:lang w:eastAsia="en-IE"/>
              </w:rPr>
              <w:t>8,925</w:t>
            </w:r>
          </w:p>
        </w:tc>
      </w:tr>
      <w:tr w:rsidR="005061E6" w:rsidRPr="00F81955">
        <w:trPr>
          <w:trHeight w:val="288"/>
        </w:trPr>
        <w:tc>
          <w:tcPr>
            <w:tcW w:w="3556" w:type="dxa"/>
            <w:vMerge w:val="restart"/>
            <w:tcBorders>
              <w:top w:val="nil"/>
              <w:left w:val="single" w:sz="8" w:space="0" w:color="auto"/>
              <w:right w:val="single" w:sz="8" w:space="0" w:color="auto"/>
            </w:tcBorders>
            <w:vAlign w:val="center"/>
            <w:hideMark/>
          </w:tcPr>
          <w:p w:rsidR="005061E6" w:rsidRPr="00F81955" w:rsidRDefault="005061E6">
            <w:pPr>
              <w:spacing w:before="0" w:after="0"/>
              <w:jc w:val="center"/>
              <w:rPr>
                <w:b/>
                <w:bCs/>
                <w:noProof/>
                <w:color w:val="000000"/>
                <w:sz w:val="22"/>
                <w:lang w:eastAsia="en-IE"/>
              </w:rPr>
            </w:pPr>
            <w:r w:rsidRPr="00F81955">
              <w:rPr>
                <w:b/>
                <w:bCs/>
                <w:noProof/>
                <w:color w:val="000000"/>
                <w:sz w:val="22"/>
                <w:lang w:eastAsia="en-IE"/>
              </w:rPr>
              <w:t>TOTAL appropriations</w:t>
            </w:r>
          </w:p>
          <w:p w:rsidR="005061E6" w:rsidRPr="00F81955" w:rsidRDefault="005061E6">
            <w:pPr>
              <w:spacing w:before="0" w:after="0"/>
              <w:jc w:val="center"/>
              <w:rPr>
                <w:noProof/>
                <w:color w:val="000000"/>
                <w:sz w:val="22"/>
                <w:lang w:eastAsia="en-IE"/>
              </w:rPr>
            </w:pPr>
            <w:r w:rsidRPr="00F81955">
              <w:rPr>
                <w:b/>
                <w:bCs/>
                <w:noProof/>
                <w:color w:val="000000" w:themeColor="text1"/>
                <w:sz w:val="22"/>
                <w:lang w:eastAsia="en-IE"/>
              </w:rPr>
              <w:t>for DG CNECT</w:t>
            </w:r>
          </w:p>
        </w:tc>
        <w:tc>
          <w:tcPr>
            <w:tcW w:w="1386" w:type="dxa"/>
            <w:tcBorders>
              <w:top w:val="nil"/>
              <w:left w:val="nil"/>
              <w:bottom w:val="single" w:sz="8" w:space="0" w:color="auto"/>
              <w:right w:val="single" w:sz="8" w:space="0" w:color="auto"/>
            </w:tcBorders>
            <w:vAlign w:val="center"/>
            <w:hideMark/>
          </w:tcPr>
          <w:p w:rsidR="005061E6" w:rsidRPr="00F81955" w:rsidRDefault="005061E6">
            <w:pPr>
              <w:spacing w:before="0" w:after="0"/>
              <w:rPr>
                <w:noProof/>
                <w:color w:val="000000"/>
                <w:sz w:val="18"/>
                <w:szCs w:val="18"/>
                <w:lang w:eastAsia="en-IE"/>
              </w:rPr>
            </w:pPr>
            <w:r w:rsidRPr="00F81955">
              <w:rPr>
                <w:noProof/>
                <w:color w:val="000000"/>
                <w:sz w:val="18"/>
                <w:szCs w:val="18"/>
                <w:lang w:eastAsia="en-IE"/>
              </w:rPr>
              <w:t>Commitments</w:t>
            </w:r>
          </w:p>
        </w:tc>
        <w:tc>
          <w:tcPr>
            <w:tcW w:w="1306" w:type="dxa"/>
            <w:tcBorders>
              <w:top w:val="single" w:sz="8" w:space="0" w:color="auto"/>
              <w:left w:val="nil"/>
              <w:bottom w:val="single" w:sz="8" w:space="0" w:color="auto"/>
              <w:right w:val="single" w:sz="8" w:space="0" w:color="auto"/>
            </w:tcBorders>
            <w:vAlign w:val="center"/>
            <w:hideMark/>
          </w:tcPr>
          <w:p w:rsidR="005061E6" w:rsidRPr="00F81955" w:rsidRDefault="005061E6">
            <w:pPr>
              <w:spacing w:before="0" w:after="0"/>
              <w:jc w:val="center"/>
              <w:rPr>
                <w:noProof/>
                <w:color w:val="000000"/>
                <w:sz w:val="14"/>
                <w:szCs w:val="14"/>
                <w:lang w:eastAsia="en-IE"/>
              </w:rPr>
            </w:pPr>
            <w:r w:rsidRPr="00F81955">
              <w:rPr>
                <w:noProof/>
                <w:color w:val="000000"/>
                <w:sz w:val="14"/>
                <w:szCs w:val="14"/>
                <w:lang w:eastAsia="en-IE"/>
              </w:rPr>
              <w:t>=1a+1b+3</w:t>
            </w:r>
          </w:p>
        </w:tc>
        <w:tc>
          <w:tcPr>
            <w:tcW w:w="1305" w:type="dxa"/>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20"/>
                <w:szCs w:val="20"/>
                <w:lang w:eastAsia="en-IE"/>
              </w:rPr>
            </w:pPr>
          </w:p>
        </w:tc>
        <w:tc>
          <w:tcPr>
            <w:tcW w:w="1305" w:type="dxa"/>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20"/>
                <w:szCs w:val="20"/>
                <w:lang w:eastAsia="en-IE"/>
              </w:rPr>
            </w:pPr>
          </w:p>
        </w:tc>
        <w:tc>
          <w:tcPr>
            <w:tcW w:w="1305" w:type="dxa"/>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20"/>
                <w:szCs w:val="20"/>
                <w:lang w:eastAsia="en-IE"/>
              </w:rPr>
            </w:pPr>
            <w:r w:rsidRPr="00F81955">
              <w:rPr>
                <w:b/>
                <w:bCs/>
                <w:noProof/>
                <w:color w:val="000000" w:themeColor="text1"/>
                <w:sz w:val="20"/>
                <w:szCs w:val="20"/>
                <w:lang w:eastAsia="en-IE"/>
              </w:rPr>
              <w:t>3,142</w:t>
            </w:r>
          </w:p>
        </w:tc>
        <w:tc>
          <w:tcPr>
            <w:tcW w:w="1261" w:type="dxa"/>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20"/>
                <w:szCs w:val="20"/>
                <w:lang w:eastAsia="en-IE"/>
              </w:rPr>
            </w:pPr>
            <w:r w:rsidRPr="00F81955">
              <w:rPr>
                <w:b/>
                <w:bCs/>
                <w:noProof/>
                <w:color w:val="000000" w:themeColor="text1"/>
                <w:sz w:val="20"/>
                <w:szCs w:val="20"/>
                <w:lang w:eastAsia="en-IE"/>
              </w:rPr>
              <w:t>6,783</w:t>
            </w:r>
          </w:p>
        </w:tc>
        <w:tc>
          <w:tcPr>
            <w:tcW w:w="1261" w:type="dxa"/>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jc w:val="right"/>
              <w:rPr>
                <w:b/>
                <w:bCs/>
                <w:noProof/>
                <w:color w:val="000000" w:themeColor="text1"/>
                <w:sz w:val="20"/>
                <w:szCs w:val="20"/>
                <w:lang w:eastAsia="en-IE"/>
              </w:rPr>
            </w:pPr>
            <w:r w:rsidRPr="00F81955">
              <w:rPr>
                <w:b/>
                <w:bCs/>
                <w:noProof/>
                <w:color w:val="000000" w:themeColor="text1"/>
                <w:sz w:val="20"/>
                <w:szCs w:val="20"/>
                <w:lang w:eastAsia="en-IE"/>
              </w:rPr>
              <w:t>7,</w:t>
            </w:r>
            <w:r w:rsidR="4F541393" w:rsidRPr="00F81955">
              <w:rPr>
                <w:b/>
                <w:bCs/>
                <w:noProof/>
                <w:color w:val="000000" w:themeColor="text1"/>
                <w:sz w:val="20"/>
                <w:szCs w:val="20"/>
                <w:lang w:eastAsia="en-IE"/>
              </w:rPr>
              <w:t>283</w:t>
            </w:r>
          </w:p>
        </w:tc>
        <w:tc>
          <w:tcPr>
            <w:tcW w:w="1535" w:type="dxa"/>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20"/>
                <w:szCs w:val="20"/>
                <w:lang w:eastAsia="en-IE"/>
              </w:rPr>
            </w:pPr>
            <w:r w:rsidRPr="00F81955">
              <w:rPr>
                <w:b/>
                <w:bCs/>
                <w:noProof/>
                <w:color w:val="000000" w:themeColor="text1"/>
                <w:sz w:val="20"/>
                <w:szCs w:val="20"/>
                <w:lang w:eastAsia="en-IE"/>
              </w:rPr>
              <w:t>9,925</w:t>
            </w:r>
          </w:p>
        </w:tc>
      </w:tr>
      <w:tr w:rsidR="005061E6" w:rsidRPr="00F81955">
        <w:trPr>
          <w:trHeight w:val="360"/>
        </w:trPr>
        <w:tc>
          <w:tcPr>
            <w:tcW w:w="3556" w:type="dxa"/>
            <w:vMerge/>
            <w:vAlign w:val="center"/>
            <w:hideMark/>
          </w:tcPr>
          <w:p w:rsidR="005061E6" w:rsidRPr="00F81955" w:rsidRDefault="005061E6">
            <w:pPr>
              <w:spacing w:before="0" w:after="0"/>
              <w:jc w:val="center"/>
              <w:rPr>
                <w:b/>
                <w:bCs/>
                <w:noProof/>
                <w:color w:val="000000"/>
                <w:sz w:val="22"/>
                <w:lang w:eastAsia="en-IE"/>
              </w:rPr>
            </w:pPr>
          </w:p>
        </w:tc>
        <w:tc>
          <w:tcPr>
            <w:tcW w:w="1386" w:type="dxa"/>
            <w:tcBorders>
              <w:top w:val="nil"/>
              <w:left w:val="single" w:sz="8" w:space="0" w:color="auto"/>
              <w:bottom w:val="single" w:sz="8" w:space="0" w:color="auto"/>
              <w:right w:val="single" w:sz="8" w:space="0" w:color="auto"/>
            </w:tcBorders>
            <w:vAlign w:val="center"/>
            <w:hideMark/>
          </w:tcPr>
          <w:p w:rsidR="005061E6" w:rsidRPr="00F81955" w:rsidRDefault="005061E6">
            <w:pPr>
              <w:spacing w:before="0" w:after="0"/>
              <w:rPr>
                <w:noProof/>
                <w:color w:val="000000"/>
                <w:sz w:val="18"/>
                <w:szCs w:val="18"/>
                <w:lang w:eastAsia="en-IE"/>
              </w:rPr>
            </w:pPr>
            <w:r w:rsidRPr="00F81955">
              <w:rPr>
                <w:noProof/>
                <w:color w:val="000000"/>
                <w:sz w:val="18"/>
                <w:szCs w:val="18"/>
                <w:lang w:eastAsia="en-IE"/>
              </w:rPr>
              <w:t>Payments</w:t>
            </w:r>
          </w:p>
        </w:tc>
        <w:tc>
          <w:tcPr>
            <w:tcW w:w="1306" w:type="dxa"/>
            <w:tcBorders>
              <w:top w:val="single" w:sz="8" w:space="0" w:color="auto"/>
              <w:left w:val="nil"/>
              <w:bottom w:val="single" w:sz="8" w:space="0" w:color="auto"/>
              <w:right w:val="single" w:sz="8" w:space="0" w:color="auto"/>
            </w:tcBorders>
            <w:vAlign w:val="center"/>
            <w:hideMark/>
          </w:tcPr>
          <w:p w:rsidR="005061E6" w:rsidRPr="00F81955" w:rsidRDefault="005061E6">
            <w:pPr>
              <w:spacing w:before="0" w:after="0"/>
              <w:jc w:val="center"/>
              <w:rPr>
                <w:noProof/>
                <w:color w:val="000000"/>
                <w:sz w:val="14"/>
                <w:szCs w:val="14"/>
                <w:lang w:eastAsia="en-IE"/>
              </w:rPr>
            </w:pPr>
            <w:r w:rsidRPr="00F81955">
              <w:rPr>
                <w:noProof/>
                <w:color w:val="000000"/>
                <w:sz w:val="14"/>
                <w:szCs w:val="14"/>
                <w:lang w:eastAsia="en-IE"/>
              </w:rPr>
              <w:t>=2a+2b+3</w:t>
            </w:r>
          </w:p>
        </w:tc>
        <w:tc>
          <w:tcPr>
            <w:tcW w:w="1305" w:type="dxa"/>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20"/>
                <w:szCs w:val="20"/>
                <w:lang w:eastAsia="en-IE"/>
              </w:rPr>
            </w:pPr>
          </w:p>
        </w:tc>
        <w:tc>
          <w:tcPr>
            <w:tcW w:w="1305" w:type="dxa"/>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20"/>
                <w:szCs w:val="20"/>
                <w:lang w:eastAsia="en-IE"/>
              </w:rPr>
            </w:pPr>
          </w:p>
        </w:tc>
        <w:tc>
          <w:tcPr>
            <w:tcW w:w="1305" w:type="dxa"/>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20"/>
                <w:szCs w:val="20"/>
                <w:lang w:eastAsia="en-IE"/>
              </w:rPr>
            </w:pPr>
            <w:r w:rsidRPr="00F81955">
              <w:rPr>
                <w:b/>
                <w:bCs/>
                <w:noProof/>
                <w:color w:val="000000" w:themeColor="text1"/>
                <w:sz w:val="20"/>
                <w:szCs w:val="20"/>
                <w:lang w:eastAsia="en-IE"/>
              </w:rPr>
              <w:t>2,642</w:t>
            </w:r>
          </w:p>
        </w:tc>
        <w:tc>
          <w:tcPr>
            <w:tcW w:w="1261" w:type="dxa"/>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20"/>
                <w:szCs w:val="20"/>
                <w:lang w:eastAsia="en-IE"/>
              </w:rPr>
            </w:pPr>
            <w:r w:rsidRPr="00F81955">
              <w:rPr>
                <w:b/>
                <w:bCs/>
                <w:noProof/>
                <w:color w:val="000000" w:themeColor="text1"/>
                <w:sz w:val="20"/>
                <w:szCs w:val="20"/>
                <w:lang w:eastAsia="en-IE"/>
              </w:rPr>
              <w:t>6,783</w:t>
            </w:r>
          </w:p>
        </w:tc>
        <w:tc>
          <w:tcPr>
            <w:tcW w:w="1261" w:type="dxa"/>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jc w:val="right"/>
              <w:rPr>
                <w:b/>
                <w:bCs/>
                <w:noProof/>
                <w:color w:val="000000" w:themeColor="text1"/>
                <w:sz w:val="20"/>
                <w:szCs w:val="20"/>
                <w:lang w:eastAsia="en-IE"/>
              </w:rPr>
            </w:pPr>
            <w:r w:rsidRPr="00F81955">
              <w:rPr>
                <w:b/>
                <w:bCs/>
                <w:noProof/>
                <w:color w:val="000000" w:themeColor="text1"/>
                <w:sz w:val="20"/>
                <w:szCs w:val="20"/>
                <w:lang w:eastAsia="en-IE"/>
              </w:rPr>
              <w:t>7,</w:t>
            </w:r>
            <w:r w:rsidR="054CD2BB" w:rsidRPr="00F81955">
              <w:rPr>
                <w:b/>
                <w:bCs/>
                <w:noProof/>
                <w:color w:val="000000" w:themeColor="text1"/>
                <w:sz w:val="20"/>
                <w:szCs w:val="20"/>
                <w:lang w:eastAsia="en-IE"/>
              </w:rPr>
              <w:t>783</w:t>
            </w:r>
          </w:p>
        </w:tc>
        <w:tc>
          <w:tcPr>
            <w:tcW w:w="1535" w:type="dxa"/>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themeColor="text1"/>
                <w:sz w:val="20"/>
                <w:szCs w:val="20"/>
                <w:lang w:eastAsia="en-IE"/>
              </w:rPr>
            </w:pPr>
            <w:r w:rsidRPr="00F81955">
              <w:rPr>
                <w:b/>
                <w:bCs/>
                <w:noProof/>
                <w:color w:val="000000" w:themeColor="text1"/>
                <w:sz w:val="20"/>
                <w:szCs w:val="20"/>
                <w:lang w:eastAsia="en-IE"/>
              </w:rPr>
              <w:t>9,925</w:t>
            </w:r>
          </w:p>
          <w:p w:rsidR="005061E6" w:rsidRPr="00F81955" w:rsidRDefault="005061E6">
            <w:pPr>
              <w:spacing w:before="0" w:after="0"/>
              <w:jc w:val="right"/>
              <w:rPr>
                <w:b/>
                <w:bCs/>
                <w:noProof/>
                <w:color w:val="000000"/>
                <w:sz w:val="20"/>
                <w:szCs w:val="20"/>
                <w:lang w:eastAsia="en-IE"/>
              </w:rPr>
            </w:pPr>
          </w:p>
        </w:tc>
      </w:tr>
    </w:tbl>
    <w:p w:rsidR="005061E6" w:rsidRPr="00F81955" w:rsidRDefault="005061E6" w:rsidP="005061E6">
      <w:pPr>
        <w:rPr>
          <w:noProof/>
        </w:rPr>
      </w:pPr>
    </w:p>
    <w:tbl>
      <w:tblPr>
        <w:tblW w:w="0" w:type="auto"/>
        <w:tblLook w:val="04A0" w:firstRow="1" w:lastRow="0" w:firstColumn="1" w:lastColumn="0" w:noHBand="0" w:noVBand="1"/>
      </w:tblPr>
      <w:tblGrid>
        <w:gridCol w:w="3556"/>
        <w:gridCol w:w="1386"/>
        <w:gridCol w:w="1306"/>
        <w:gridCol w:w="1305"/>
        <w:gridCol w:w="1305"/>
        <w:gridCol w:w="1305"/>
        <w:gridCol w:w="1261"/>
        <w:gridCol w:w="1261"/>
        <w:gridCol w:w="1535"/>
      </w:tblGrid>
      <w:tr w:rsidR="005061E6" w:rsidRPr="00F81955">
        <w:trPr>
          <w:trHeight w:val="300"/>
        </w:trPr>
        <w:tc>
          <w:tcPr>
            <w:tcW w:w="6248" w:type="dxa"/>
            <w:gridSpan w:val="3"/>
            <w:vMerge w:val="restart"/>
            <w:tcBorders>
              <w:top w:val="single" w:sz="8" w:space="0" w:color="auto"/>
              <w:left w:val="single" w:sz="8" w:space="0" w:color="auto"/>
              <w:bottom w:val="single" w:sz="8" w:space="0" w:color="auto"/>
              <w:right w:val="single" w:sz="8" w:space="0" w:color="auto"/>
            </w:tcBorders>
            <w:vAlign w:val="center"/>
          </w:tcPr>
          <w:p w:rsidR="005061E6" w:rsidRPr="00F81955" w:rsidRDefault="005061E6">
            <w:pPr>
              <w:spacing w:before="0" w:after="0"/>
              <w:jc w:val="center"/>
              <w:rPr>
                <w:noProof/>
                <w:color w:val="000000" w:themeColor="text1"/>
                <w:sz w:val="22"/>
                <w:lang w:eastAsia="en-IE"/>
              </w:rPr>
            </w:pPr>
            <w:r w:rsidRPr="00F81955">
              <w:rPr>
                <w:noProof/>
                <w:color w:val="000000" w:themeColor="text1"/>
                <w:sz w:val="22"/>
                <w:lang w:eastAsia="en-IE"/>
              </w:rPr>
              <w:t>TOTAL</w:t>
            </w:r>
          </w:p>
        </w:tc>
        <w:tc>
          <w:tcPr>
            <w:tcW w:w="1305" w:type="dxa"/>
            <w:tcBorders>
              <w:top w:val="single" w:sz="8" w:space="0" w:color="auto"/>
              <w:left w:val="nil"/>
              <w:bottom w:val="single" w:sz="8" w:space="0" w:color="auto"/>
              <w:right w:val="single" w:sz="8" w:space="0" w:color="auto"/>
            </w:tcBorders>
            <w:vAlign w:val="center"/>
          </w:tcPr>
          <w:p w:rsidR="005061E6" w:rsidRPr="00F81955" w:rsidRDefault="005061E6">
            <w:pPr>
              <w:spacing w:before="0" w:after="0"/>
              <w:jc w:val="center"/>
              <w:rPr>
                <w:noProof/>
                <w:color w:val="000000" w:themeColor="text1"/>
                <w:sz w:val="20"/>
                <w:szCs w:val="20"/>
                <w:lang w:eastAsia="en-IE"/>
              </w:rPr>
            </w:pPr>
            <w:r w:rsidRPr="00F81955">
              <w:rPr>
                <w:noProof/>
                <w:color w:val="000000" w:themeColor="text1"/>
                <w:sz w:val="20"/>
                <w:szCs w:val="20"/>
                <w:lang w:eastAsia="en-IE"/>
              </w:rPr>
              <w:t>Year</w:t>
            </w:r>
          </w:p>
        </w:tc>
        <w:tc>
          <w:tcPr>
            <w:tcW w:w="1305" w:type="dxa"/>
            <w:tcBorders>
              <w:top w:val="single" w:sz="8" w:space="0" w:color="auto"/>
              <w:left w:val="nil"/>
              <w:bottom w:val="single" w:sz="8" w:space="0" w:color="auto"/>
              <w:right w:val="single" w:sz="8" w:space="0" w:color="auto"/>
            </w:tcBorders>
            <w:vAlign w:val="center"/>
          </w:tcPr>
          <w:p w:rsidR="005061E6" w:rsidRPr="00F81955" w:rsidRDefault="005061E6">
            <w:pPr>
              <w:spacing w:before="0" w:after="0"/>
              <w:jc w:val="center"/>
              <w:rPr>
                <w:noProof/>
                <w:color w:val="000000" w:themeColor="text1"/>
                <w:sz w:val="20"/>
                <w:szCs w:val="20"/>
                <w:lang w:eastAsia="en-IE"/>
              </w:rPr>
            </w:pPr>
            <w:r w:rsidRPr="00F81955">
              <w:rPr>
                <w:noProof/>
                <w:color w:val="000000" w:themeColor="text1"/>
                <w:sz w:val="20"/>
                <w:szCs w:val="20"/>
                <w:lang w:eastAsia="en-IE"/>
              </w:rPr>
              <w:t>Year</w:t>
            </w:r>
          </w:p>
        </w:tc>
        <w:tc>
          <w:tcPr>
            <w:tcW w:w="1305" w:type="dxa"/>
            <w:tcBorders>
              <w:top w:val="single" w:sz="8" w:space="0" w:color="auto"/>
              <w:left w:val="nil"/>
              <w:bottom w:val="single" w:sz="8" w:space="0" w:color="auto"/>
              <w:right w:val="single" w:sz="8" w:space="0" w:color="auto"/>
            </w:tcBorders>
            <w:vAlign w:val="center"/>
          </w:tcPr>
          <w:p w:rsidR="005061E6" w:rsidRPr="00F81955" w:rsidRDefault="005061E6">
            <w:pPr>
              <w:spacing w:before="0" w:after="0"/>
              <w:jc w:val="center"/>
              <w:rPr>
                <w:noProof/>
                <w:color w:val="000000" w:themeColor="text1"/>
                <w:sz w:val="20"/>
                <w:szCs w:val="20"/>
                <w:lang w:eastAsia="en-IE"/>
              </w:rPr>
            </w:pPr>
            <w:r w:rsidRPr="00F81955">
              <w:rPr>
                <w:noProof/>
                <w:color w:val="000000" w:themeColor="text1"/>
                <w:sz w:val="20"/>
                <w:szCs w:val="20"/>
                <w:lang w:eastAsia="en-IE"/>
              </w:rPr>
              <w:t>Year</w:t>
            </w:r>
          </w:p>
        </w:tc>
        <w:tc>
          <w:tcPr>
            <w:tcW w:w="1261" w:type="dxa"/>
            <w:tcBorders>
              <w:top w:val="single" w:sz="8" w:space="0" w:color="auto"/>
              <w:left w:val="nil"/>
              <w:bottom w:val="single" w:sz="8" w:space="0" w:color="auto"/>
              <w:right w:val="single" w:sz="8" w:space="0" w:color="auto"/>
            </w:tcBorders>
            <w:vAlign w:val="center"/>
          </w:tcPr>
          <w:p w:rsidR="005061E6" w:rsidRPr="00F81955" w:rsidRDefault="005061E6">
            <w:pPr>
              <w:spacing w:before="0" w:after="0"/>
              <w:jc w:val="center"/>
              <w:rPr>
                <w:noProof/>
                <w:color w:val="000000" w:themeColor="text1"/>
                <w:sz w:val="20"/>
                <w:szCs w:val="20"/>
                <w:lang w:eastAsia="en-IE"/>
              </w:rPr>
            </w:pPr>
            <w:r w:rsidRPr="00F81955">
              <w:rPr>
                <w:noProof/>
                <w:color w:val="000000" w:themeColor="text1"/>
                <w:sz w:val="20"/>
                <w:szCs w:val="20"/>
                <w:lang w:eastAsia="en-IE"/>
              </w:rPr>
              <w:t>Year</w:t>
            </w:r>
          </w:p>
        </w:tc>
        <w:tc>
          <w:tcPr>
            <w:tcW w:w="1261" w:type="dxa"/>
            <w:tcBorders>
              <w:top w:val="single" w:sz="8" w:space="0" w:color="auto"/>
              <w:left w:val="nil"/>
              <w:bottom w:val="single" w:sz="8" w:space="0" w:color="auto"/>
              <w:right w:val="single" w:sz="8" w:space="0" w:color="auto"/>
            </w:tcBorders>
            <w:vAlign w:val="center"/>
          </w:tcPr>
          <w:p w:rsidR="005061E6" w:rsidRPr="00F81955" w:rsidRDefault="005061E6">
            <w:pPr>
              <w:jc w:val="center"/>
              <w:rPr>
                <w:noProof/>
                <w:color w:val="000000" w:themeColor="text1"/>
                <w:sz w:val="20"/>
                <w:szCs w:val="20"/>
                <w:lang w:eastAsia="en-IE"/>
              </w:rPr>
            </w:pPr>
            <w:r w:rsidRPr="00F81955">
              <w:rPr>
                <w:noProof/>
                <w:color w:val="000000" w:themeColor="text1"/>
                <w:sz w:val="20"/>
                <w:szCs w:val="20"/>
                <w:lang w:eastAsia="en-IE"/>
              </w:rPr>
              <w:t>After 2027</w:t>
            </w:r>
          </w:p>
        </w:tc>
        <w:tc>
          <w:tcPr>
            <w:tcW w:w="1535" w:type="dxa"/>
            <w:vMerge w:val="restart"/>
            <w:tcBorders>
              <w:top w:val="single" w:sz="8" w:space="0" w:color="auto"/>
              <w:left w:val="single" w:sz="8" w:space="0" w:color="auto"/>
              <w:bottom w:val="single" w:sz="8" w:space="0" w:color="auto"/>
              <w:right w:val="single" w:sz="8" w:space="0" w:color="auto"/>
            </w:tcBorders>
            <w:vAlign w:val="center"/>
          </w:tcPr>
          <w:p w:rsidR="005061E6" w:rsidRPr="00F81955" w:rsidRDefault="005061E6">
            <w:pPr>
              <w:spacing w:before="0" w:after="0"/>
              <w:jc w:val="center"/>
              <w:rPr>
                <w:b/>
                <w:bCs/>
                <w:noProof/>
                <w:color w:val="000000" w:themeColor="text1"/>
                <w:sz w:val="20"/>
                <w:szCs w:val="20"/>
                <w:lang w:eastAsia="en-IE"/>
              </w:rPr>
            </w:pPr>
            <w:r w:rsidRPr="00F81955">
              <w:rPr>
                <w:b/>
                <w:bCs/>
                <w:noProof/>
                <w:color w:val="000000" w:themeColor="text1"/>
                <w:sz w:val="20"/>
                <w:szCs w:val="20"/>
                <w:lang w:eastAsia="en-IE"/>
              </w:rPr>
              <w:t>TOTAL MFF 2021-2027</w:t>
            </w:r>
          </w:p>
        </w:tc>
      </w:tr>
      <w:tr w:rsidR="005061E6" w:rsidRPr="00F81955">
        <w:trPr>
          <w:trHeight w:val="300"/>
        </w:trPr>
        <w:tc>
          <w:tcPr>
            <w:tcW w:w="6248" w:type="dxa"/>
            <w:gridSpan w:val="3"/>
            <w:vMerge/>
          </w:tcPr>
          <w:p w:rsidR="005061E6" w:rsidRPr="00F81955" w:rsidRDefault="005061E6">
            <w:pPr>
              <w:rPr>
                <w:noProof/>
              </w:rPr>
            </w:pPr>
          </w:p>
        </w:tc>
        <w:tc>
          <w:tcPr>
            <w:tcW w:w="1305" w:type="dxa"/>
            <w:tcBorders>
              <w:top w:val="nil"/>
              <w:left w:val="nil"/>
              <w:bottom w:val="single" w:sz="8" w:space="0" w:color="auto"/>
              <w:right w:val="single" w:sz="8" w:space="0" w:color="auto"/>
            </w:tcBorders>
            <w:vAlign w:val="center"/>
          </w:tcPr>
          <w:p w:rsidR="005061E6" w:rsidRPr="00F81955" w:rsidRDefault="005061E6">
            <w:pPr>
              <w:spacing w:before="0" w:after="0"/>
              <w:jc w:val="center"/>
              <w:rPr>
                <w:b/>
                <w:bCs/>
                <w:noProof/>
                <w:color w:val="000000" w:themeColor="text1"/>
                <w:sz w:val="20"/>
                <w:szCs w:val="20"/>
                <w:lang w:eastAsia="en-IE"/>
              </w:rPr>
            </w:pPr>
            <w:r w:rsidRPr="00F81955">
              <w:rPr>
                <w:b/>
                <w:bCs/>
                <w:noProof/>
                <w:color w:val="000000" w:themeColor="text1"/>
                <w:sz w:val="20"/>
                <w:szCs w:val="20"/>
                <w:lang w:eastAsia="en-IE"/>
              </w:rPr>
              <w:t>2024</w:t>
            </w:r>
          </w:p>
        </w:tc>
        <w:tc>
          <w:tcPr>
            <w:tcW w:w="1305" w:type="dxa"/>
            <w:tcBorders>
              <w:top w:val="nil"/>
              <w:left w:val="nil"/>
              <w:bottom w:val="single" w:sz="8" w:space="0" w:color="auto"/>
              <w:right w:val="single" w:sz="8" w:space="0" w:color="auto"/>
            </w:tcBorders>
            <w:vAlign w:val="center"/>
          </w:tcPr>
          <w:p w:rsidR="005061E6" w:rsidRPr="00F81955" w:rsidRDefault="005061E6">
            <w:pPr>
              <w:spacing w:before="0" w:after="0"/>
              <w:jc w:val="center"/>
              <w:rPr>
                <w:b/>
                <w:bCs/>
                <w:noProof/>
                <w:color w:val="000000" w:themeColor="text1"/>
                <w:sz w:val="20"/>
                <w:szCs w:val="20"/>
                <w:lang w:eastAsia="en-IE"/>
              </w:rPr>
            </w:pPr>
            <w:r w:rsidRPr="00F81955">
              <w:rPr>
                <w:b/>
                <w:bCs/>
                <w:noProof/>
                <w:color w:val="000000" w:themeColor="text1"/>
                <w:sz w:val="20"/>
                <w:szCs w:val="20"/>
                <w:lang w:eastAsia="en-IE"/>
              </w:rPr>
              <w:t>2025</w:t>
            </w:r>
          </w:p>
        </w:tc>
        <w:tc>
          <w:tcPr>
            <w:tcW w:w="1305" w:type="dxa"/>
            <w:tcBorders>
              <w:top w:val="nil"/>
              <w:left w:val="nil"/>
              <w:bottom w:val="single" w:sz="8" w:space="0" w:color="auto"/>
              <w:right w:val="single" w:sz="8" w:space="0" w:color="auto"/>
            </w:tcBorders>
            <w:vAlign w:val="center"/>
          </w:tcPr>
          <w:p w:rsidR="005061E6" w:rsidRPr="00F81955" w:rsidRDefault="005061E6">
            <w:pPr>
              <w:spacing w:before="0" w:after="0"/>
              <w:jc w:val="center"/>
              <w:rPr>
                <w:b/>
                <w:bCs/>
                <w:noProof/>
                <w:color w:val="000000" w:themeColor="text1"/>
                <w:sz w:val="20"/>
                <w:szCs w:val="20"/>
                <w:lang w:eastAsia="en-IE"/>
              </w:rPr>
            </w:pPr>
            <w:r w:rsidRPr="00F81955">
              <w:rPr>
                <w:b/>
                <w:bCs/>
                <w:noProof/>
                <w:color w:val="000000" w:themeColor="text1"/>
                <w:sz w:val="20"/>
                <w:szCs w:val="20"/>
                <w:lang w:eastAsia="en-IE"/>
              </w:rPr>
              <w:t>2026</w:t>
            </w:r>
          </w:p>
        </w:tc>
        <w:tc>
          <w:tcPr>
            <w:tcW w:w="1261" w:type="dxa"/>
            <w:tcBorders>
              <w:top w:val="nil"/>
              <w:left w:val="nil"/>
              <w:bottom w:val="single" w:sz="8" w:space="0" w:color="auto"/>
              <w:right w:val="single" w:sz="8" w:space="0" w:color="auto"/>
            </w:tcBorders>
            <w:vAlign w:val="center"/>
          </w:tcPr>
          <w:p w:rsidR="005061E6" w:rsidRPr="00F81955" w:rsidRDefault="005061E6">
            <w:pPr>
              <w:spacing w:before="0" w:after="0"/>
              <w:jc w:val="center"/>
              <w:rPr>
                <w:b/>
                <w:bCs/>
                <w:noProof/>
                <w:color w:val="000000" w:themeColor="text1"/>
                <w:sz w:val="20"/>
                <w:szCs w:val="20"/>
                <w:lang w:eastAsia="en-IE"/>
              </w:rPr>
            </w:pPr>
            <w:r w:rsidRPr="00F81955">
              <w:rPr>
                <w:b/>
                <w:bCs/>
                <w:noProof/>
                <w:color w:val="000000" w:themeColor="text1"/>
                <w:sz w:val="20"/>
                <w:szCs w:val="20"/>
                <w:lang w:eastAsia="en-IE"/>
              </w:rPr>
              <w:t>2027</w:t>
            </w:r>
          </w:p>
        </w:tc>
        <w:tc>
          <w:tcPr>
            <w:tcW w:w="1261" w:type="dxa"/>
            <w:tcBorders>
              <w:top w:val="nil"/>
              <w:left w:val="nil"/>
              <w:bottom w:val="single" w:sz="8" w:space="0" w:color="auto"/>
              <w:right w:val="single" w:sz="8" w:space="0" w:color="auto"/>
            </w:tcBorders>
            <w:vAlign w:val="center"/>
          </w:tcPr>
          <w:p w:rsidR="005061E6" w:rsidRPr="00F81955" w:rsidRDefault="005061E6">
            <w:pPr>
              <w:jc w:val="center"/>
              <w:rPr>
                <w:b/>
                <w:bCs/>
                <w:noProof/>
                <w:color w:val="000000" w:themeColor="text1"/>
                <w:sz w:val="20"/>
                <w:szCs w:val="20"/>
                <w:lang w:eastAsia="en-IE"/>
              </w:rPr>
            </w:pPr>
            <w:r w:rsidRPr="00F81955">
              <w:rPr>
                <w:b/>
                <w:bCs/>
                <w:noProof/>
                <w:color w:val="000000" w:themeColor="text1"/>
                <w:sz w:val="20"/>
                <w:szCs w:val="20"/>
                <w:lang w:eastAsia="en-IE"/>
              </w:rPr>
              <w:t>After 2027</w:t>
            </w:r>
          </w:p>
        </w:tc>
        <w:tc>
          <w:tcPr>
            <w:tcW w:w="1535" w:type="dxa"/>
            <w:vMerge/>
          </w:tcPr>
          <w:p w:rsidR="005061E6" w:rsidRPr="00F81955" w:rsidRDefault="005061E6">
            <w:pPr>
              <w:rPr>
                <w:noProof/>
              </w:rPr>
            </w:pPr>
          </w:p>
        </w:tc>
      </w:tr>
      <w:tr w:rsidR="005061E6" w:rsidRPr="00F81955">
        <w:trPr>
          <w:trHeight w:val="300"/>
        </w:trPr>
        <w:tc>
          <w:tcPr>
            <w:tcW w:w="14220" w:type="dxa"/>
            <w:gridSpan w:val="9"/>
            <w:tcBorders>
              <w:top w:val="single" w:sz="8" w:space="0" w:color="auto"/>
              <w:left w:val="single" w:sz="8" w:space="0" w:color="auto"/>
              <w:bottom w:val="single" w:sz="8" w:space="0" w:color="auto"/>
              <w:right w:val="single" w:sz="8" w:space="0" w:color="auto"/>
            </w:tcBorders>
            <w:vAlign w:val="center"/>
          </w:tcPr>
          <w:p w:rsidR="005061E6" w:rsidRPr="00F81955" w:rsidRDefault="005061E6">
            <w:pPr>
              <w:rPr>
                <w:noProof/>
              </w:rPr>
            </w:pPr>
          </w:p>
        </w:tc>
      </w:tr>
      <w:tr w:rsidR="005061E6" w:rsidRPr="00F81955">
        <w:trPr>
          <w:trHeight w:val="300"/>
        </w:trPr>
        <w:tc>
          <w:tcPr>
            <w:tcW w:w="3556" w:type="dxa"/>
            <w:vMerge w:val="restart"/>
            <w:tcBorders>
              <w:top w:val="nil"/>
              <w:left w:val="single" w:sz="8" w:space="0" w:color="auto"/>
              <w:bottom w:val="single" w:sz="8" w:space="0" w:color="auto"/>
              <w:right w:val="single" w:sz="8" w:space="0" w:color="auto"/>
            </w:tcBorders>
            <w:vAlign w:val="center"/>
          </w:tcPr>
          <w:p w:rsidR="005061E6" w:rsidRPr="00F81955" w:rsidRDefault="005061E6">
            <w:pPr>
              <w:spacing w:before="0" w:after="0"/>
              <w:jc w:val="left"/>
              <w:rPr>
                <w:noProof/>
                <w:color w:val="000000" w:themeColor="text1"/>
                <w:sz w:val="22"/>
                <w:lang w:eastAsia="en-IE"/>
              </w:rPr>
            </w:pPr>
            <w:r w:rsidRPr="00F81955">
              <w:rPr>
                <w:noProof/>
                <w:color w:val="000000" w:themeColor="text1"/>
                <w:sz w:val="22"/>
                <w:lang w:eastAsia="en-IE"/>
              </w:rPr>
              <w:t>Budget line 02 04 03</w:t>
            </w:r>
          </w:p>
        </w:tc>
        <w:tc>
          <w:tcPr>
            <w:tcW w:w="1386" w:type="dxa"/>
            <w:tcBorders>
              <w:top w:val="nil"/>
              <w:left w:val="nil"/>
              <w:bottom w:val="single" w:sz="8" w:space="0" w:color="auto"/>
              <w:right w:val="single" w:sz="8" w:space="0" w:color="auto"/>
            </w:tcBorders>
            <w:vAlign w:val="center"/>
          </w:tcPr>
          <w:p w:rsidR="005061E6" w:rsidRPr="00F81955" w:rsidRDefault="005061E6">
            <w:pPr>
              <w:spacing w:before="0" w:after="0"/>
              <w:rPr>
                <w:noProof/>
                <w:color w:val="000000" w:themeColor="text1"/>
                <w:sz w:val="18"/>
                <w:szCs w:val="18"/>
                <w:lang w:eastAsia="en-IE"/>
              </w:rPr>
            </w:pPr>
            <w:r w:rsidRPr="00F81955">
              <w:rPr>
                <w:noProof/>
                <w:color w:val="000000" w:themeColor="text1"/>
                <w:sz w:val="18"/>
                <w:szCs w:val="18"/>
                <w:lang w:eastAsia="en-IE"/>
              </w:rPr>
              <w:t>Commitments</w:t>
            </w:r>
          </w:p>
        </w:tc>
        <w:tc>
          <w:tcPr>
            <w:tcW w:w="1306" w:type="dxa"/>
            <w:tcBorders>
              <w:top w:val="single" w:sz="8" w:space="0" w:color="auto"/>
              <w:left w:val="nil"/>
              <w:bottom w:val="single" w:sz="8" w:space="0" w:color="auto"/>
              <w:right w:val="single" w:sz="8" w:space="0" w:color="auto"/>
            </w:tcBorders>
            <w:vAlign w:val="center"/>
          </w:tcPr>
          <w:p w:rsidR="005061E6" w:rsidRPr="00F81955" w:rsidRDefault="005061E6">
            <w:pPr>
              <w:spacing w:before="0" w:after="0"/>
              <w:jc w:val="center"/>
              <w:rPr>
                <w:noProof/>
                <w:color w:val="000000" w:themeColor="text1"/>
                <w:sz w:val="14"/>
                <w:szCs w:val="14"/>
                <w:lang w:eastAsia="en-IE"/>
              </w:rPr>
            </w:pPr>
            <w:r w:rsidRPr="00F81955">
              <w:rPr>
                <w:noProof/>
                <w:color w:val="000000" w:themeColor="text1"/>
                <w:sz w:val="14"/>
                <w:szCs w:val="14"/>
                <w:lang w:eastAsia="en-IE"/>
              </w:rPr>
              <w:t>(1a)</w:t>
            </w:r>
          </w:p>
        </w:tc>
        <w:tc>
          <w:tcPr>
            <w:tcW w:w="1305" w:type="dxa"/>
            <w:tcBorders>
              <w:top w:val="nil"/>
              <w:left w:val="nil"/>
              <w:bottom w:val="single" w:sz="8" w:space="0" w:color="auto"/>
              <w:right w:val="single" w:sz="8" w:space="0" w:color="auto"/>
            </w:tcBorders>
            <w:vAlign w:val="center"/>
          </w:tcPr>
          <w:p w:rsidR="005061E6" w:rsidRPr="00F81955" w:rsidRDefault="005061E6">
            <w:pPr>
              <w:spacing w:before="0" w:after="0"/>
              <w:jc w:val="right"/>
              <w:rPr>
                <w:noProof/>
                <w:color w:val="000000" w:themeColor="text1"/>
                <w:sz w:val="20"/>
                <w:szCs w:val="20"/>
                <w:lang w:eastAsia="en-IE"/>
              </w:rPr>
            </w:pPr>
            <w:r w:rsidRPr="00F81955">
              <w:rPr>
                <w:noProof/>
                <w:color w:val="000000" w:themeColor="text1"/>
                <w:sz w:val="20"/>
                <w:szCs w:val="20"/>
                <w:lang w:eastAsia="en-IE"/>
              </w:rPr>
              <w:t> </w:t>
            </w:r>
          </w:p>
        </w:tc>
        <w:tc>
          <w:tcPr>
            <w:tcW w:w="1305" w:type="dxa"/>
            <w:tcBorders>
              <w:top w:val="nil"/>
              <w:left w:val="nil"/>
              <w:bottom w:val="single" w:sz="8" w:space="0" w:color="auto"/>
              <w:right w:val="single" w:sz="8" w:space="0" w:color="auto"/>
            </w:tcBorders>
            <w:vAlign w:val="center"/>
          </w:tcPr>
          <w:p w:rsidR="005061E6" w:rsidRPr="00F81955" w:rsidRDefault="005061E6">
            <w:pPr>
              <w:spacing w:before="0" w:after="0"/>
              <w:jc w:val="right"/>
              <w:rPr>
                <w:noProof/>
                <w:color w:val="000000" w:themeColor="text1"/>
                <w:sz w:val="20"/>
                <w:szCs w:val="20"/>
                <w:lang w:eastAsia="en-IE"/>
              </w:rPr>
            </w:pPr>
            <w:r w:rsidRPr="00F81955">
              <w:rPr>
                <w:noProof/>
                <w:color w:val="000000" w:themeColor="text1"/>
                <w:sz w:val="20"/>
                <w:szCs w:val="20"/>
                <w:lang w:eastAsia="en-IE"/>
              </w:rPr>
              <w:t> </w:t>
            </w:r>
          </w:p>
        </w:tc>
        <w:tc>
          <w:tcPr>
            <w:tcW w:w="1305" w:type="dxa"/>
            <w:tcBorders>
              <w:top w:val="nil"/>
              <w:left w:val="nil"/>
              <w:bottom w:val="single" w:sz="8" w:space="0" w:color="auto"/>
              <w:right w:val="single" w:sz="8" w:space="0" w:color="auto"/>
            </w:tcBorders>
            <w:vAlign w:val="center"/>
          </w:tcPr>
          <w:p w:rsidR="005061E6" w:rsidRPr="00F81955" w:rsidRDefault="005061E6">
            <w:pPr>
              <w:spacing w:before="0" w:after="0"/>
              <w:jc w:val="right"/>
              <w:rPr>
                <w:noProof/>
                <w:color w:val="000000" w:themeColor="text1"/>
                <w:sz w:val="20"/>
                <w:szCs w:val="20"/>
                <w:lang w:eastAsia="en-IE"/>
              </w:rPr>
            </w:pPr>
            <w:r w:rsidRPr="00F81955">
              <w:rPr>
                <w:noProof/>
                <w:color w:val="000000" w:themeColor="text1"/>
                <w:sz w:val="20"/>
                <w:szCs w:val="20"/>
                <w:lang w:eastAsia="en-IE"/>
              </w:rPr>
              <w:t>0,500</w:t>
            </w:r>
            <w:r w:rsidRPr="00F81955">
              <w:rPr>
                <w:rStyle w:val="FootnoteReference"/>
                <w:noProof/>
                <w:color w:val="000000" w:themeColor="text1"/>
                <w:sz w:val="20"/>
                <w:szCs w:val="20"/>
                <w:lang w:eastAsia="en-IE"/>
              </w:rPr>
              <w:footnoteReference w:id="35"/>
            </w:r>
            <w:r w:rsidRPr="00F81955">
              <w:rPr>
                <w:noProof/>
                <w:color w:val="000000" w:themeColor="text1"/>
                <w:sz w:val="20"/>
                <w:szCs w:val="20"/>
                <w:lang w:eastAsia="en-IE"/>
              </w:rPr>
              <w:t> </w:t>
            </w:r>
          </w:p>
        </w:tc>
        <w:tc>
          <w:tcPr>
            <w:tcW w:w="1261" w:type="dxa"/>
            <w:tcBorders>
              <w:top w:val="nil"/>
              <w:left w:val="nil"/>
              <w:bottom w:val="single" w:sz="8" w:space="0" w:color="auto"/>
              <w:right w:val="single" w:sz="8" w:space="0" w:color="auto"/>
            </w:tcBorders>
            <w:vAlign w:val="center"/>
          </w:tcPr>
          <w:p w:rsidR="005061E6" w:rsidRPr="00F81955" w:rsidRDefault="005061E6">
            <w:pPr>
              <w:spacing w:before="0" w:after="0"/>
              <w:jc w:val="right"/>
              <w:rPr>
                <w:noProof/>
                <w:color w:val="000000" w:themeColor="text1"/>
                <w:sz w:val="20"/>
                <w:szCs w:val="20"/>
                <w:lang w:eastAsia="en-IE"/>
              </w:rPr>
            </w:pPr>
            <w:r w:rsidRPr="00F81955">
              <w:rPr>
                <w:noProof/>
                <w:color w:val="000000" w:themeColor="text1"/>
                <w:sz w:val="20"/>
                <w:szCs w:val="20"/>
                <w:lang w:eastAsia="en-IE"/>
              </w:rPr>
              <w:t>0,500</w:t>
            </w:r>
            <w:r w:rsidRPr="00F81955">
              <w:rPr>
                <w:rStyle w:val="FootnoteReference"/>
                <w:noProof/>
                <w:color w:val="000000" w:themeColor="text1"/>
                <w:sz w:val="20"/>
                <w:szCs w:val="20"/>
                <w:lang w:eastAsia="en-IE"/>
              </w:rPr>
              <w:footnoteReference w:id="36"/>
            </w:r>
            <w:r w:rsidRPr="00F81955">
              <w:rPr>
                <w:noProof/>
                <w:color w:val="000000" w:themeColor="text1"/>
                <w:sz w:val="20"/>
                <w:szCs w:val="20"/>
                <w:lang w:eastAsia="en-IE"/>
              </w:rPr>
              <w:t> </w:t>
            </w:r>
          </w:p>
        </w:tc>
        <w:tc>
          <w:tcPr>
            <w:tcW w:w="1261" w:type="dxa"/>
            <w:tcBorders>
              <w:top w:val="nil"/>
              <w:left w:val="nil"/>
              <w:bottom w:val="single" w:sz="8" w:space="0" w:color="auto"/>
              <w:right w:val="single" w:sz="8" w:space="0" w:color="auto"/>
            </w:tcBorders>
            <w:vAlign w:val="center"/>
          </w:tcPr>
          <w:p w:rsidR="005061E6" w:rsidRPr="00F81955" w:rsidRDefault="005061E6">
            <w:pPr>
              <w:jc w:val="right"/>
              <w:rPr>
                <w:noProof/>
                <w:color w:val="000000" w:themeColor="text1"/>
                <w:sz w:val="20"/>
                <w:szCs w:val="20"/>
                <w:lang w:eastAsia="en-IE"/>
              </w:rPr>
            </w:pPr>
          </w:p>
        </w:tc>
        <w:tc>
          <w:tcPr>
            <w:tcW w:w="1535" w:type="dxa"/>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b/>
                <w:bCs/>
                <w:noProof/>
                <w:color w:val="000000" w:themeColor="text1"/>
                <w:sz w:val="20"/>
                <w:szCs w:val="20"/>
                <w:lang w:eastAsia="en-IE"/>
              </w:rPr>
            </w:pPr>
            <w:r w:rsidRPr="00F81955">
              <w:rPr>
                <w:b/>
                <w:bCs/>
                <w:noProof/>
                <w:color w:val="000000" w:themeColor="text1"/>
                <w:sz w:val="20"/>
                <w:szCs w:val="20"/>
                <w:lang w:eastAsia="en-IE"/>
              </w:rPr>
              <w:t xml:space="preserve">   1,000</w:t>
            </w:r>
          </w:p>
        </w:tc>
      </w:tr>
      <w:tr w:rsidR="005061E6" w:rsidRPr="00F81955">
        <w:trPr>
          <w:trHeight w:val="300"/>
        </w:trPr>
        <w:tc>
          <w:tcPr>
            <w:tcW w:w="3556" w:type="dxa"/>
            <w:vMerge/>
          </w:tcPr>
          <w:p w:rsidR="005061E6" w:rsidRPr="00F81955" w:rsidRDefault="005061E6">
            <w:pPr>
              <w:rPr>
                <w:noProof/>
              </w:rPr>
            </w:pPr>
          </w:p>
        </w:tc>
        <w:tc>
          <w:tcPr>
            <w:tcW w:w="1386" w:type="dxa"/>
            <w:tcBorders>
              <w:top w:val="nil"/>
              <w:left w:val="nil"/>
              <w:bottom w:val="single" w:sz="8" w:space="0" w:color="auto"/>
              <w:right w:val="single" w:sz="8" w:space="0" w:color="auto"/>
            </w:tcBorders>
            <w:vAlign w:val="center"/>
          </w:tcPr>
          <w:p w:rsidR="005061E6" w:rsidRPr="00F81955" w:rsidRDefault="005061E6">
            <w:pPr>
              <w:spacing w:before="0" w:after="0"/>
              <w:rPr>
                <w:noProof/>
                <w:color w:val="000000" w:themeColor="text1"/>
                <w:sz w:val="18"/>
                <w:szCs w:val="18"/>
                <w:lang w:eastAsia="en-IE"/>
              </w:rPr>
            </w:pPr>
            <w:r w:rsidRPr="00F81955">
              <w:rPr>
                <w:noProof/>
                <w:color w:val="000000" w:themeColor="text1"/>
                <w:sz w:val="18"/>
                <w:szCs w:val="18"/>
                <w:lang w:eastAsia="en-IE"/>
              </w:rPr>
              <w:t>Payments</w:t>
            </w:r>
          </w:p>
        </w:tc>
        <w:tc>
          <w:tcPr>
            <w:tcW w:w="1306" w:type="dxa"/>
            <w:tcBorders>
              <w:top w:val="single" w:sz="8" w:space="0" w:color="auto"/>
              <w:left w:val="nil"/>
              <w:bottom w:val="single" w:sz="8" w:space="0" w:color="auto"/>
              <w:right w:val="single" w:sz="8" w:space="0" w:color="auto"/>
            </w:tcBorders>
            <w:vAlign w:val="center"/>
          </w:tcPr>
          <w:p w:rsidR="005061E6" w:rsidRPr="00F81955" w:rsidRDefault="005061E6">
            <w:pPr>
              <w:spacing w:before="0" w:after="0"/>
              <w:jc w:val="center"/>
              <w:rPr>
                <w:noProof/>
                <w:color w:val="000000" w:themeColor="text1"/>
                <w:sz w:val="14"/>
                <w:szCs w:val="14"/>
                <w:lang w:eastAsia="en-IE"/>
              </w:rPr>
            </w:pPr>
            <w:r w:rsidRPr="00F81955">
              <w:rPr>
                <w:noProof/>
                <w:color w:val="000000" w:themeColor="text1"/>
                <w:sz w:val="14"/>
                <w:szCs w:val="14"/>
                <w:lang w:eastAsia="en-IE"/>
              </w:rPr>
              <w:t>(2a)</w:t>
            </w:r>
          </w:p>
        </w:tc>
        <w:tc>
          <w:tcPr>
            <w:tcW w:w="1305" w:type="dxa"/>
            <w:tcBorders>
              <w:top w:val="nil"/>
              <w:left w:val="nil"/>
              <w:bottom w:val="single" w:sz="8" w:space="0" w:color="auto"/>
              <w:right w:val="single" w:sz="8" w:space="0" w:color="auto"/>
            </w:tcBorders>
            <w:vAlign w:val="center"/>
          </w:tcPr>
          <w:p w:rsidR="005061E6" w:rsidRPr="00F81955" w:rsidRDefault="005061E6">
            <w:pPr>
              <w:spacing w:before="0" w:after="0"/>
              <w:jc w:val="right"/>
              <w:rPr>
                <w:noProof/>
                <w:color w:val="000000" w:themeColor="text1"/>
                <w:sz w:val="20"/>
                <w:szCs w:val="20"/>
                <w:lang w:eastAsia="en-IE"/>
              </w:rPr>
            </w:pPr>
            <w:r w:rsidRPr="00F81955">
              <w:rPr>
                <w:noProof/>
                <w:color w:val="000000" w:themeColor="text1"/>
                <w:sz w:val="20"/>
                <w:szCs w:val="20"/>
                <w:lang w:eastAsia="en-IE"/>
              </w:rPr>
              <w:t> </w:t>
            </w:r>
          </w:p>
        </w:tc>
        <w:tc>
          <w:tcPr>
            <w:tcW w:w="1305" w:type="dxa"/>
            <w:tcBorders>
              <w:top w:val="nil"/>
              <w:left w:val="nil"/>
              <w:bottom w:val="single" w:sz="8" w:space="0" w:color="auto"/>
              <w:right w:val="single" w:sz="8" w:space="0" w:color="auto"/>
            </w:tcBorders>
            <w:vAlign w:val="center"/>
          </w:tcPr>
          <w:p w:rsidR="005061E6" w:rsidRPr="00F81955" w:rsidRDefault="005061E6">
            <w:pPr>
              <w:spacing w:before="0" w:after="0"/>
              <w:jc w:val="right"/>
              <w:rPr>
                <w:noProof/>
                <w:color w:val="000000" w:themeColor="text1"/>
                <w:sz w:val="20"/>
                <w:szCs w:val="20"/>
                <w:lang w:eastAsia="en-IE"/>
              </w:rPr>
            </w:pPr>
            <w:r w:rsidRPr="00F81955">
              <w:rPr>
                <w:noProof/>
                <w:color w:val="000000" w:themeColor="text1"/>
                <w:sz w:val="20"/>
                <w:szCs w:val="20"/>
                <w:lang w:eastAsia="en-IE"/>
              </w:rPr>
              <w:t> </w:t>
            </w:r>
          </w:p>
        </w:tc>
        <w:tc>
          <w:tcPr>
            <w:tcW w:w="1305" w:type="dxa"/>
            <w:tcBorders>
              <w:top w:val="nil"/>
              <w:left w:val="nil"/>
              <w:bottom w:val="single" w:sz="8" w:space="0" w:color="auto"/>
              <w:right w:val="single" w:sz="8" w:space="0" w:color="auto"/>
            </w:tcBorders>
            <w:vAlign w:val="center"/>
          </w:tcPr>
          <w:p w:rsidR="005061E6" w:rsidRPr="00F81955" w:rsidRDefault="005061E6">
            <w:pPr>
              <w:spacing w:before="0" w:after="0"/>
              <w:jc w:val="right"/>
              <w:rPr>
                <w:noProof/>
                <w:color w:val="000000" w:themeColor="text1"/>
                <w:sz w:val="20"/>
                <w:szCs w:val="20"/>
                <w:lang w:eastAsia="en-IE"/>
              </w:rPr>
            </w:pPr>
          </w:p>
        </w:tc>
        <w:tc>
          <w:tcPr>
            <w:tcW w:w="1261" w:type="dxa"/>
            <w:tcBorders>
              <w:top w:val="nil"/>
              <w:left w:val="nil"/>
              <w:bottom w:val="single" w:sz="8" w:space="0" w:color="auto"/>
              <w:right w:val="single" w:sz="8" w:space="0" w:color="auto"/>
            </w:tcBorders>
            <w:vAlign w:val="center"/>
          </w:tcPr>
          <w:p w:rsidR="005061E6" w:rsidRPr="00F81955" w:rsidRDefault="005061E6">
            <w:pPr>
              <w:spacing w:before="0" w:after="0"/>
              <w:jc w:val="right"/>
              <w:rPr>
                <w:noProof/>
                <w:color w:val="000000" w:themeColor="text1"/>
                <w:sz w:val="20"/>
                <w:szCs w:val="20"/>
                <w:lang w:eastAsia="en-IE"/>
              </w:rPr>
            </w:pPr>
            <w:r w:rsidRPr="00F81955">
              <w:rPr>
                <w:noProof/>
                <w:color w:val="000000" w:themeColor="text1"/>
                <w:sz w:val="20"/>
                <w:szCs w:val="20"/>
                <w:lang w:eastAsia="en-IE"/>
              </w:rPr>
              <w:t>0,500 </w:t>
            </w:r>
          </w:p>
        </w:tc>
        <w:tc>
          <w:tcPr>
            <w:tcW w:w="1261" w:type="dxa"/>
            <w:tcBorders>
              <w:top w:val="nil"/>
              <w:left w:val="nil"/>
              <w:bottom w:val="single" w:sz="8" w:space="0" w:color="auto"/>
              <w:right w:val="single" w:sz="8" w:space="0" w:color="auto"/>
            </w:tcBorders>
            <w:vAlign w:val="center"/>
          </w:tcPr>
          <w:p w:rsidR="005061E6" w:rsidRPr="00F81955" w:rsidRDefault="005061E6">
            <w:pPr>
              <w:jc w:val="right"/>
              <w:rPr>
                <w:noProof/>
                <w:color w:val="000000" w:themeColor="text1"/>
                <w:sz w:val="20"/>
                <w:szCs w:val="20"/>
                <w:lang w:eastAsia="en-IE"/>
              </w:rPr>
            </w:pPr>
            <w:r w:rsidRPr="00F81955">
              <w:rPr>
                <w:noProof/>
                <w:color w:val="000000" w:themeColor="text1"/>
                <w:sz w:val="20"/>
                <w:szCs w:val="20"/>
                <w:lang w:eastAsia="en-IE"/>
              </w:rPr>
              <w:t>0,500</w:t>
            </w:r>
          </w:p>
        </w:tc>
        <w:tc>
          <w:tcPr>
            <w:tcW w:w="1535" w:type="dxa"/>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b/>
                <w:bCs/>
                <w:noProof/>
                <w:color w:val="000000" w:themeColor="text1"/>
                <w:sz w:val="20"/>
                <w:szCs w:val="20"/>
                <w:lang w:eastAsia="en-IE"/>
              </w:rPr>
            </w:pPr>
            <w:r w:rsidRPr="00F81955">
              <w:rPr>
                <w:b/>
                <w:bCs/>
                <w:noProof/>
                <w:color w:val="000000" w:themeColor="text1"/>
                <w:sz w:val="20"/>
                <w:szCs w:val="20"/>
                <w:lang w:eastAsia="en-IE"/>
              </w:rPr>
              <w:t>1,000</w:t>
            </w:r>
          </w:p>
        </w:tc>
      </w:tr>
      <w:tr w:rsidR="005061E6" w:rsidRPr="00F81955">
        <w:trPr>
          <w:trHeight w:val="300"/>
        </w:trPr>
        <w:tc>
          <w:tcPr>
            <w:tcW w:w="14220" w:type="dxa"/>
            <w:gridSpan w:val="9"/>
            <w:tcBorders>
              <w:top w:val="single" w:sz="8" w:space="0" w:color="auto"/>
              <w:left w:val="single" w:sz="8" w:space="0" w:color="auto"/>
              <w:bottom w:val="single" w:sz="8" w:space="0" w:color="auto"/>
              <w:right w:val="single" w:sz="8" w:space="0" w:color="auto"/>
            </w:tcBorders>
            <w:vAlign w:val="bottom"/>
          </w:tcPr>
          <w:p w:rsidR="005061E6" w:rsidRPr="00F81955" w:rsidRDefault="005061E6">
            <w:pPr>
              <w:spacing w:before="0" w:after="0"/>
              <w:jc w:val="left"/>
              <w:rPr>
                <w:noProof/>
                <w:color w:val="000000" w:themeColor="text1"/>
                <w:sz w:val="22"/>
                <w:lang w:eastAsia="en-IE"/>
              </w:rPr>
            </w:pPr>
            <w:r w:rsidRPr="00F81955">
              <w:rPr>
                <w:noProof/>
                <w:color w:val="000000" w:themeColor="text1"/>
                <w:sz w:val="22"/>
                <w:lang w:eastAsia="en-IE"/>
              </w:rPr>
              <w:t>Appropriations of an administrative nature financed from the envelope of specific programmes</w:t>
            </w:r>
          </w:p>
        </w:tc>
      </w:tr>
      <w:tr w:rsidR="005061E6" w:rsidRPr="00F81955">
        <w:trPr>
          <w:trHeight w:val="300"/>
        </w:trPr>
        <w:tc>
          <w:tcPr>
            <w:tcW w:w="3556" w:type="dxa"/>
            <w:tcBorders>
              <w:top w:val="nil"/>
              <w:left w:val="single" w:sz="8" w:space="0" w:color="auto"/>
              <w:bottom w:val="single" w:sz="8" w:space="0" w:color="auto"/>
              <w:right w:val="single" w:sz="8" w:space="0" w:color="auto"/>
            </w:tcBorders>
            <w:vAlign w:val="center"/>
          </w:tcPr>
          <w:p w:rsidR="005061E6" w:rsidRPr="00F81955" w:rsidRDefault="005061E6">
            <w:pPr>
              <w:spacing w:before="0" w:after="0"/>
              <w:rPr>
                <w:noProof/>
                <w:color w:val="000000" w:themeColor="text1"/>
                <w:sz w:val="20"/>
                <w:szCs w:val="20"/>
                <w:lang w:eastAsia="en-IE"/>
              </w:rPr>
            </w:pPr>
            <w:r w:rsidRPr="00F81955">
              <w:rPr>
                <w:noProof/>
                <w:color w:val="000000" w:themeColor="text1"/>
                <w:sz w:val="20"/>
                <w:szCs w:val="20"/>
                <w:lang w:eastAsia="en-IE"/>
              </w:rPr>
              <w:t>Budget line 02 01 30 01</w:t>
            </w:r>
          </w:p>
        </w:tc>
        <w:tc>
          <w:tcPr>
            <w:tcW w:w="1386" w:type="dxa"/>
            <w:tcBorders>
              <w:top w:val="nil"/>
              <w:left w:val="nil"/>
              <w:bottom w:val="single" w:sz="8" w:space="0" w:color="auto"/>
              <w:right w:val="single" w:sz="8" w:space="0" w:color="auto"/>
            </w:tcBorders>
            <w:vAlign w:val="center"/>
          </w:tcPr>
          <w:p w:rsidR="005061E6" w:rsidRPr="00F81955" w:rsidRDefault="005061E6">
            <w:pPr>
              <w:spacing w:before="0" w:after="0"/>
              <w:jc w:val="right"/>
              <w:rPr>
                <w:noProof/>
                <w:color w:val="000000" w:themeColor="text1"/>
                <w:sz w:val="18"/>
                <w:szCs w:val="18"/>
                <w:lang w:eastAsia="en-IE"/>
              </w:rPr>
            </w:pPr>
            <w:r w:rsidRPr="00F81955">
              <w:rPr>
                <w:noProof/>
                <w:color w:val="000000" w:themeColor="text1"/>
                <w:sz w:val="18"/>
                <w:szCs w:val="18"/>
                <w:lang w:eastAsia="en-IE"/>
              </w:rPr>
              <w:t> </w:t>
            </w:r>
          </w:p>
        </w:tc>
        <w:tc>
          <w:tcPr>
            <w:tcW w:w="1306" w:type="dxa"/>
            <w:tcBorders>
              <w:top w:val="single" w:sz="8" w:space="0" w:color="auto"/>
              <w:left w:val="nil"/>
              <w:bottom w:val="single" w:sz="8" w:space="0" w:color="auto"/>
              <w:right w:val="single" w:sz="8" w:space="0" w:color="auto"/>
            </w:tcBorders>
            <w:vAlign w:val="center"/>
          </w:tcPr>
          <w:p w:rsidR="005061E6" w:rsidRPr="00F81955" w:rsidRDefault="005061E6">
            <w:pPr>
              <w:spacing w:before="0" w:after="0"/>
              <w:jc w:val="center"/>
              <w:rPr>
                <w:noProof/>
                <w:color w:val="000000" w:themeColor="text1"/>
                <w:sz w:val="14"/>
                <w:szCs w:val="14"/>
                <w:lang w:eastAsia="en-IE"/>
              </w:rPr>
            </w:pPr>
            <w:r w:rsidRPr="00F81955">
              <w:rPr>
                <w:noProof/>
                <w:color w:val="000000" w:themeColor="text1"/>
                <w:sz w:val="14"/>
                <w:szCs w:val="14"/>
                <w:lang w:eastAsia="en-IE"/>
              </w:rPr>
              <w:t>(3)</w:t>
            </w:r>
          </w:p>
        </w:tc>
        <w:tc>
          <w:tcPr>
            <w:tcW w:w="1305" w:type="dxa"/>
            <w:tcBorders>
              <w:top w:val="nil"/>
              <w:left w:val="nil"/>
              <w:bottom w:val="single" w:sz="8" w:space="0" w:color="auto"/>
              <w:right w:val="single" w:sz="8" w:space="0" w:color="auto"/>
            </w:tcBorders>
            <w:vAlign w:val="center"/>
          </w:tcPr>
          <w:p w:rsidR="005061E6" w:rsidRPr="00F81955" w:rsidRDefault="005061E6">
            <w:pPr>
              <w:spacing w:before="0" w:after="0"/>
              <w:jc w:val="right"/>
              <w:rPr>
                <w:b/>
                <w:bCs/>
                <w:noProof/>
                <w:color w:val="000000" w:themeColor="text1"/>
                <w:sz w:val="20"/>
                <w:szCs w:val="20"/>
                <w:lang w:eastAsia="en-IE"/>
              </w:rPr>
            </w:pPr>
            <w:r w:rsidRPr="00F81955">
              <w:rPr>
                <w:b/>
                <w:bCs/>
                <w:noProof/>
                <w:color w:val="000000" w:themeColor="text1"/>
                <w:sz w:val="20"/>
                <w:szCs w:val="20"/>
                <w:lang w:eastAsia="en-IE"/>
              </w:rPr>
              <w:t> </w:t>
            </w:r>
          </w:p>
        </w:tc>
        <w:tc>
          <w:tcPr>
            <w:tcW w:w="1305" w:type="dxa"/>
            <w:tcBorders>
              <w:top w:val="nil"/>
              <w:left w:val="nil"/>
              <w:bottom w:val="single" w:sz="8" w:space="0" w:color="auto"/>
              <w:right w:val="single" w:sz="8" w:space="0" w:color="auto"/>
            </w:tcBorders>
            <w:vAlign w:val="center"/>
          </w:tcPr>
          <w:p w:rsidR="005061E6" w:rsidRPr="00F81955" w:rsidRDefault="005061E6">
            <w:pPr>
              <w:spacing w:before="0" w:after="0"/>
              <w:jc w:val="right"/>
              <w:rPr>
                <w:b/>
                <w:bCs/>
                <w:noProof/>
                <w:color w:val="000000" w:themeColor="text1"/>
                <w:sz w:val="20"/>
                <w:szCs w:val="20"/>
                <w:lang w:eastAsia="en-IE"/>
              </w:rPr>
            </w:pPr>
            <w:r w:rsidRPr="00F81955">
              <w:rPr>
                <w:b/>
                <w:bCs/>
                <w:noProof/>
                <w:color w:val="000000" w:themeColor="text1"/>
                <w:sz w:val="20"/>
                <w:szCs w:val="20"/>
                <w:lang w:eastAsia="en-IE"/>
              </w:rPr>
              <w:t> </w:t>
            </w:r>
          </w:p>
        </w:tc>
        <w:tc>
          <w:tcPr>
            <w:tcW w:w="1305" w:type="dxa"/>
            <w:tcBorders>
              <w:top w:val="nil"/>
              <w:left w:val="nil"/>
              <w:bottom w:val="single" w:sz="8" w:space="0" w:color="auto"/>
              <w:right w:val="single" w:sz="8" w:space="0" w:color="auto"/>
            </w:tcBorders>
            <w:vAlign w:val="center"/>
          </w:tcPr>
          <w:p w:rsidR="005061E6" w:rsidRPr="00F81955" w:rsidRDefault="005061E6">
            <w:pPr>
              <w:spacing w:before="0" w:after="0"/>
              <w:jc w:val="right"/>
              <w:rPr>
                <w:b/>
                <w:bCs/>
                <w:noProof/>
                <w:color w:val="000000" w:themeColor="text1"/>
                <w:sz w:val="20"/>
                <w:szCs w:val="20"/>
                <w:lang w:eastAsia="en-IE"/>
              </w:rPr>
            </w:pPr>
            <w:r w:rsidRPr="00F81955">
              <w:rPr>
                <w:b/>
                <w:bCs/>
                <w:noProof/>
                <w:color w:val="000000" w:themeColor="text1"/>
                <w:sz w:val="20"/>
                <w:szCs w:val="20"/>
                <w:lang w:eastAsia="en-IE"/>
              </w:rPr>
              <w:t>2,642</w:t>
            </w:r>
            <w:r w:rsidRPr="00F81955">
              <w:rPr>
                <w:rStyle w:val="FootnoteReference"/>
                <w:b/>
                <w:bCs/>
                <w:noProof/>
                <w:color w:val="000000" w:themeColor="text1"/>
                <w:sz w:val="20"/>
                <w:szCs w:val="20"/>
                <w:lang w:eastAsia="en-IE"/>
              </w:rPr>
              <w:footnoteReference w:id="37"/>
            </w:r>
          </w:p>
        </w:tc>
        <w:tc>
          <w:tcPr>
            <w:tcW w:w="1261" w:type="dxa"/>
            <w:tcBorders>
              <w:top w:val="nil"/>
              <w:left w:val="nil"/>
              <w:bottom w:val="single" w:sz="8" w:space="0" w:color="auto"/>
              <w:right w:val="single" w:sz="8" w:space="0" w:color="auto"/>
            </w:tcBorders>
            <w:vAlign w:val="center"/>
          </w:tcPr>
          <w:p w:rsidR="005061E6" w:rsidRPr="00F81955" w:rsidRDefault="005061E6">
            <w:pPr>
              <w:spacing w:before="0" w:after="0"/>
              <w:jc w:val="right"/>
              <w:rPr>
                <w:b/>
                <w:bCs/>
                <w:noProof/>
                <w:color w:val="000000" w:themeColor="text1"/>
                <w:sz w:val="20"/>
                <w:szCs w:val="20"/>
                <w:lang w:eastAsia="en-IE"/>
              </w:rPr>
            </w:pPr>
            <w:r w:rsidRPr="00F81955">
              <w:rPr>
                <w:b/>
                <w:bCs/>
                <w:noProof/>
                <w:color w:val="000000" w:themeColor="text1"/>
                <w:sz w:val="20"/>
                <w:szCs w:val="20"/>
                <w:lang w:eastAsia="en-IE"/>
              </w:rPr>
              <w:t>6,283 </w:t>
            </w:r>
            <w:r w:rsidRPr="00F81955">
              <w:rPr>
                <w:rStyle w:val="FootnoteReference"/>
                <w:b/>
                <w:bCs/>
                <w:noProof/>
                <w:color w:val="000000" w:themeColor="text1"/>
                <w:sz w:val="20"/>
                <w:szCs w:val="20"/>
                <w:lang w:eastAsia="en-IE"/>
              </w:rPr>
              <w:footnoteReference w:id="38"/>
            </w:r>
          </w:p>
        </w:tc>
        <w:tc>
          <w:tcPr>
            <w:tcW w:w="1261" w:type="dxa"/>
            <w:tcBorders>
              <w:top w:val="nil"/>
              <w:left w:val="nil"/>
              <w:bottom w:val="single" w:sz="8" w:space="0" w:color="auto"/>
              <w:right w:val="single" w:sz="8" w:space="0" w:color="auto"/>
            </w:tcBorders>
            <w:vAlign w:val="center"/>
          </w:tcPr>
          <w:p w:rsidR="005061E6" w:rsidRPr="00F81955" w:rsidRDefault="005061E6">
            <w:pPr>
              <w:jc w:val="right"/>
              <w:rPr>
                <w:b/>
                <w:bCs/>
                <w:noProof/>
                <w:color w:val="000000" w:themeColor="text1"/>
                <w:sz w:val="20"/>
                <w:szCs w:val="20"/>
                <w:lang w:eastAsia="en-IE"/>
              </w:rPr>
            </w:pPr>
            <w:r w:rsidRPr="00F81955">
              <w:rPr>
                <w:b/>
                <w:bCs/>
                <w:noProof/>
                <w:color w:val="000000" w:themeColor="text1"/>
                <w:sz w:val="20"/>
                <w:szCs w:val="20"/>
                <w:lang w:eastAsia="en-IE"/>
              </w:rPr>
              <w:t>7,</w:t>
            </w:r>
            <w:r w:rsidR="42A39F5B" w:rsidRPr="00F81955">
              <w:rPr>
                <w:b/>
                <w:bCs/>
                <w:noProof/>
                <w:color w:val="000000" w:themeColor="text1"/>
                <w:sz w:val="20"/>
                <w:szCs w:val="20"/>
                <w:lang w:eastAsia="en-IE"/>
              </w:rPr>
              <w:t>283</w:t>
            </w:r>
          </w:p>
          <w:p w:rsidR="005061E6" w:rsidRPr="00F81955" w:rsidRDefault="005061E6">
            <w:pPr>
              <w:jc w:val="right"/>
              <w:rPr>
                <w:b/>
                <w:bCs/>
                <w:noProof/>
                <w:color w:val="000000" w:themeColor="text1"/>
                <w:sz w:val="20"/>
                <w:szCs w:val="20"/>
                <w:lang w:eastAsia="en-IE"/>
              </w:rPr>
            </w:pPr>
          </w:p>
        </w:tc>
        <w:tc>
          <w:tcPr>
            <w:tcW w:w="1535" w:type="dxa"/>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b/>
                <w:bCs/>
                <w:noProof/>
                <w:color w:val="000000" w:themeColor="text1"/>
                <w:sz w:val="20"/>
                <w:szCs w:val="20"/>
                <w:lang w:eastAsia="en-IE"/>
              </w:rPr>
            </w:pPr>
            <w:r w:rsidRPr="00F81955">
              <w:rPr>
                <w:b/>
                <w:bCs/>
                <w:noProof/>
                <w:color w:val="000000" w:themeColor="text1"/>
                <w:sz w:val="20"/>
                <w:szCs w:val="20"/>
                <w:lang w:eastAsia="en-IE"/>
              </w:rPr>
              <w:t>8,925</w:t>
            </w:r>
          </w:p>
        </w:tc>
      </w:tr>
      <w:tr w:rsidR="005061E6" w:rsidRPr="00F81955">
        <w:trPr>
          <w:trHeight w:val="300"/>
        </w:trPr>
        <w:tc>
          <w:tcPr>
            <w:tcW w:w="3556" w:type="dxa"/>
            <w:vMerge w:val="restart"/>
            <w:tcBorders>
              <w:top w:val="nil"/>
              <w:left w:val="single" w:sz="8" w:space="0" w:color="auto"/>
              <w:right w:val="single" w:sz="8" w:space="0" w:color="auto"/>
            </w:tcBorders>
            <w:vAlign w:val="center"/>
          </w:tcPr>
          <w:p w:rsidR="005061E6" w:rsidRPr="00F81955" w:rsidRDefault="005061E6">
            <w:pPr>
              <w:spacing w:before="0" w:after="0"/>
              <w:jc w:val="center"/>
              <w:rPr>
                <w:b/>
                <w:bCs/>
                <w:noProof/>
                <w:color w:val="000000" w:themeColor="text1"/>
                <w:sz w:val="22"/>
                <w:lang w:eastAsia="en-IE"/>
              </w:rPr>
            </w:pPr>
            <w:r w:rsidRPr="00F81955">
              <w:rPr>
                <w:b/>
                <w:bCs/>
                <w:noProof/>
                <w:color w:val="000000" w:themeColor="text1"/>
                <w:sz w:val="22"/>
                <w:lang w:eastAsia="en-IE"/>
              </w:rPr>
              <w:t>TOTAL appropriations</w:t>
            </w:r>
          </w:p>
          <w:p w:rsidR="005061E6" w:rsidRPr="00F81955" w:rsidRDefault="005061E6">
            <w:pPr>
              <w:spacing w:before="0" w:after="0"/>
              <w:jc w:val="center"/>
              <w:rPr>
                <w:noProof/>
                <w:color w:val="000000" w:themeColor="text1"/>
                <w:sz w:val="22"/>
                <w:lang w:eastAsia="en-IE"/>
              </w:rPr>
            </w:pPr>
            <w:r w:rsidRPr="00F81955">
              <w:rPr>
                <w:b/>
                <w:bCs/>
                <w:noProof/>
                <w:color w:val="000000" w:themeColor="text1"/>
                <w:sz w:val="22"/>
                <w:lang w:eastAsia="en-IE"/>
              </w:rPr>
              <w:t>for DG CNECT</w:t>
            </w:r>
          </w:p>
        </w:tc>
        <w:tc>
          <w:tcPr>
            <w:tcW w:w="1386" w:type="dxa"/>
            <w:tcBorders>
              <w:top w:val="nil"/>
              <w:left w:val="nil"/>
              <w:bottom w:val="single" w:sz="8" w:space="0" w:color="auto"/>
              <w:right w:val="single" w:sz="8" w:space="0" w:color="auto"/>
            </w:tcBorders>
            <w:vAlign w:val="center"/>
          </w:tcPr>
          <w:p w:rsidR="005061E6" w:rsidRPr="00F81955" w:rsidRDefault="005061E6">
            <w:pPr>
              <w:spacing w:before="0" w:after="0"/>
              <w:rPr>
                <w:noProof/>
                <w:color w:val="000000" w:themeColor="text1"/>
                <w:sz w:val="18"/>
                <w:szCs w:val="18"/>
                <w:lang w:eastAsia="en-IE"/>
              </w:rPr>
            </w:pPr>
            <w:r w:rsidRPr="00F81955">
              <w:rPr>
                <w:noProof/>
                <w:color w:val="000000" w:themeColor="text1"/>
                <w:sz w:val="18"/>
                <w:szCs w:val="18"/>
                <w:lang w:eastAsia="en-IE"/>
              </w:rPr>
              <w:t>Commitments</w:t>
            </w:r>
          </w:p>
        </w:tc>
        <w:tc>
          <w:tcPr>
            <w:tcW w:w="1306" w:type="dxa"/>
            <w:tcBorders>
              <w:top w:val="single" w:sz="8" w:space="0" w:color="auto"/>
              <w:left w:val="nil"/>
              <w:bottom w:val="single" w:sz="8" w:space="0" w:color="auto"/>
              <w:right w:val="single" w:sz="8" w:space="0" w:color="auto"/>
            </w:tcBorders>
            <w:vAlign w:val="center"/>
          </w:tcPr>
          <w:p w:rsidR="005061E6" w:rsidRPr="00F81955" w:rsidRDefault="005061E6">
            <w:pPr>
              <w:spacing w:before="0" w:after="0"/>
              <w:jc w:val="center"/>
              <w:rPr>
                <w:noProof/>
                <w:color w:val="000000" w:themeColor="text1"/>
                <w:sz w:val="14"/>
                <w:szCs w:val="14"/>
                <w:lang w:eastAsia="en-IE"/>
              </w:rPr>
            </w:pPr>
            <w:r w:rsidRPr="00F81955">
              <w:rPr>
                <w:noProof/>
                <w:color w:val="000000" w:themeColor="text1"/>
                <w:sz w:val="14"/>
                <w:szCs w:val="14"/>
                <w:lang w:eastAsia="en-IE"/>
              </w:rPr>
              <w:t>=1a+1b+3</w:t>
            </w:r>
          </w:p>
        </w:tc>
        <w:tc>
          <w:tcPr>
            <w:tcW w:w="1305" w:type="dxa"/>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b/>
                <w:bCs/>
                <w:noProof/>
                <w:color w:val="000000" w:themeColor="text1"/>
                <w:sz w:val="20"/>
                <w:szCs w:val="20"/>
                <w:lang w:eastAsia="en-IE"/>
              </w:rPr>
            </w:pPr>
          </w:p>
        </w:tc>
        <w:tc>
          <w:tcPr>
            <w:tcW w:w="1305" w:type="dxa"/>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b/>
                <w:bCs/>
                <w:noProof/>
                <w:color w:val="000000" w:themeColor="text1"/>
                <w:sz w:val="20"/>
                <w:szCs w:val="20"/>
                <w:lang w:eastAsia="en-IE"/>
              </w:rPr>
            </w:pPr>
          </w:p>
        </w:tc>
        <w:tc>
          <w:tcPr>
            <w:tcW w:w="1305" w:type="dxa"/>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b/>
                <w:bCs/>
                <w:noProof/>
                <w:color w:val="000000" w:themeColor="text1"/>
                <w:sz w:val="20"/>
                <w:szCs w:val="20"/>
                <w:lang w:eastAsia="en-IE"/>
              </w:rPr>
            </w:pPr>
            <w:r w:rsidRPr="00F81955">
              <w:rPr>
                <w:b/>
                <w:bCs/>
                <w:noProof/>
                <w:color w:val="000000" w:themeColor="text1"/>
                <w:sz w:val="20"/>
                <w:szCs w:val="20"/>
                <w:lang w:eastAsia="en-IE"/>
              </w:rPr>
              <w:t>3,142</w:t>
            </w:r>
          </w:p>
        </w:tc>
        <w:tc>
          <w:tcPr>
            <w:tcW w:w="1261" w:type="dxa"/>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b/>
                <w:bCs/>
                <w:noProof/>
                <w:color w:val="000000" w:themeColor="text1"/>
                <w:sz w:val="20"/>
                <w:szCs w:val="20"/>
                <w:lang w:eastAsia="en-IE"/>
              </w:rPr>
            </w:pPr>
            <w:r w:rsidRPr="00F81955">
              <w:rPr>
                <w:b/>
                <w:bCs/>
                <w:noProof/>
                <w:color w:val="000000" w:themeColor="text1"/>
                <w:sz w:val="20"/>
                <w:szCs w:val="20"/>
                <w:lang w:eastAsia="en-IE"/>
              </w:rPr>
              <w:t>6,783</w:t>
            </w:r>
          </w:p>
        </w:tc>
        <w:tc>
          <w:tcPr>
            <w:tcW w:w="1261" w:type="dxa"/>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jc w:val="right"/>
              <w:rPr>
                <w:b/>
                <w:bCs/>
                <w:noProof/>
                <w:color w:val="000000" w:themeColor="text1"/>
                <w:sz w:val="20"/>
                <w:szCs w:val="20"/>
                <w:lang w:eastAsia="en-IE"/>
              </w:rPr>
            </w:pPr>
            <w:r w:rsidRPr="00F81955">
              <w:rPr>
                <w:b/>
                <w:bCs/>
                <w:noProof/>
                <w:color w:val="000000" w:themeColor="text1"/>
                <w:sz w:val="20"/>
                <w:szCs w:val="20"/>
                <w:lang w:eastAsia="en-IE"/>
              </w:rPr>
              <w:t>7,</w:t>
            </w:r>
            <w:r w:rsidR="0C17DE1F" w:rsidRPr="00F81955">
              <w:rPr>
                <w:b/>
                <w:bCs/>
                <w:noProof/>
                <w:color w:val="000000" w:themeColor="text1"/>
                <w:sz w:val="20"/>
                <w:szCs w:val="20"/>
                <w:lang w:eastAsia="en-IE"/>
              </w:rPr>
              <w:t>283</w:t>
            </w:r>
          </w:p>
        </w:tc>
        <w:tc>
          <w:tcPr>
            <w:tcW w:w="1535" w:type="dxa"/>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b/>
                <w:bCs/>
                <w:noProof/>
                <w:color w:val="000000" w:themeColor="text1"/>
                <w:sz w:val="20"/>
                <w:szCs w:val="20"/>
                <w:lang w:eastAsia="en-IE"/>
              </w:rPr>
            </w:pPr>
            <w:r w:rsidRPr="00F81955">
              <w:rPr>
                <w:b/>
                <w:bCs/>
                <w:noProof/>
                <w:color w:val="000000" w:themeColor="text1"/>
                <w:sz w:val="20"/>
                <w:szCs w:val="20"/>
                <w:lang w:eastAsia="en-IE"/>
              </w:rPr>
              <w:t>9,925</w:t>
            </w:r>
          </w:p>
        </w:tc>
      </w:tr>
      <w:tr w:rsidR="005061E6" w:rsidRPr="00F81955">
        <w:trPr>
          <w:trHeight w:val="300"/>
        </w:trPr>
        <w:tc>
          <w:tcPr>
            <w:tcW w:w="3556" w:type="dxa"/>
            <w:vMerge/>
          </w:tcPr>
          <w:p w:rsidR="005061E6" w:rsidRPr="00F81955" w:rsidRDefault="005061E6">
            <w:pPr>
              <w:rPr>
                <w:noProof/>
              </w:rPr>
            </w:pPr>
          </w:p>
        </w:tc>
        <w:tc>
          <w:tcPr>
            <w:tcW w:w="1386" w:type="dxa"/>
            <w:tcBorders>
              <w:top w:val="nil"/>
              <w:left w:val="single" w:sz="8" w:space="0" w:color="auto"/>
              <w:bottom w:val="single" w:sz="8" w:space="0" w:color="auto"/>
              <w:right w:val="single" w:sz="8" w:space="0" w:color="auto"/>
            </w:tcBorders>
            <w:vAlign w:val="center"/>
          </w:tcPr>
          <w:p w:rsidR="005061E6" w:rsidRPr="00F81955" w:rsidRDefault="005061E6">
            <w:pPr>
              <w:spacing w:before="0" w:after="0"/>
              <w:rPr>
                <w:noProof/>
                <w:color w:val="000000" w:themeColor="text1"/>
                <w:sz w:val="18"/>
                <w:szCs w:val="18"/>
                <w:lang w:eastAsia="en-IE"/>
              </w:rPr>
            </w:pPr>
            <w:r w:rsidRPr="00F81955">
              <w:rPr>
                <w:noProof/>
                <w:color w:val="000000" w:themeColor="text1"/>
                <w:sz w:val="18"/>
                <w:szCs w:val="18"/>
                <w:lang w:eastAsia="en-IE"/>
              </w:rPr>
              <w:t>Payments</w:t>
            </w:r>
          </w:p>
        </w:tc>
        <w:tc>
          <w:tcPr>
            <w:tcW w:w="1306" w:type="dxa"/>
            <w:tcBorders>
              <w:top w:val="single" w:sz="8" w:space="0" w:color="auto"/>
              <w:left w:val="nil"/>
              <w:bottom w:val="single" w:sz="8" w:space="0" w:color="auto"/>
              <w:right w:val="single" w:sz="8" w:space="0" w:color="auto"/>
            </w:tcBorders>
            <w:vAlign w:val="center"/>
          </w:tcPr>
          <w:p w:rsidR="005061E6" w:rsidRPr="00F81955" w:rsidRDefault="005061E6">
            <w:pPr>
              <w:spacing w:before="0" w:after="0"/>
              <w:jc w:val="center"/>
              <w:rPr>
                <w:noProof/>
                <w:color w:val="000000" w:themeColor="text1"/>
                <w:sz w:val="14"/>
                <w:szCs w:val="14"/>
                <w:lang w:eastAsia="en-IE"/>
              </w:rPr>
            </w:pPr>
            <w:r w:rsidRPr="00F81955">
              <w:rPr>
                <w:noProof/>
                <w:color w:val="000000" w:themeColor="text1"/>
                <w:sz w:val="14"/>
                <w:szCs w:val="14"/>
                <w:lang w:eastAsia="en-IE"/>
              </w:rPr>
              <w:t>=2a+2b+3</w:t>
            </w:r>
          </w:p>
        </w:tc>
        <w:tc>
          <w:tcPr>
            <w:tcW w:w="1305" w:type="dxa"/>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b/>
                <w:bCs/>
                <w:noProof/>
                <w:color w:val="000000" w:themeColor="text1"/>
                <w:sz w:val="20"/>
                <w:szCs w:val="20"/>
                <w:lang w:eastAsia="en-IE"/>
              </w:rPr>
            </w:pPr>
          </w:p>
        </w:tc>
        <w:tc>
          <w:tcPr>
            <w:tcW w:w="1305" w:type="dxa"/>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b/>
                <w:bCs/>
                <w:noProof/>
                <w:color w:val="000000" w:themeColor="text1"/>
                <w:sz w:val="20"/>
                <w:szCs w:val="20"/>
                <w:lang w:eastAsia="en-IE"/>
              </w:rPr>
            </w:pPr>
          </w:p>
        </w:tc>
        <w:tc>
          <w:tcPr>
            <w:tcW w:w="1305" w:type="dxa"/>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b/>
                <w:bCs/>
                <w:noProof/>
                <w:color w:val="000000" w:themeColor="text1"/>
                <w:sz w:val="20"/>
                <w:szCs w:val="20"/>
                <w:lang w:eastAsia="en-IE"/>
              </w:rPr>
            </w:pPr>
            <w:r w:rsidRPr="00F81955">
              <w:rPr>
                <w:b/>
                <w:bCs/>
                <w:noProof/>
                <w:color w:val="000000" w:themeColor="text1"/>
                <w:sz w:val="20"/>
                <w:szCs w:val="20"/>
                <w:lang w:eastAsia="en-IE"/>
              </w:rPr>
              <w:t>2,642</w:t>
            </w:r>
          </w:p>
        </w:tc>
        <w:tc>
          <w:tcPr>
            <w:tcW w:w="1261" w:type="dxa"/>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b/>
                <w:bCs/>
                <w:noProof/>
                <w:color w:val="000000" w:themeColor="text1"/>
                <w:sz w:val="20"/>
                <w:szCs w:val="20"/>
                <w:lang w:eastAsia="en-IE"/>
              </w:rPr>
            </w:pPr>
            <w:r w:rsidRPr="00F81955">
              <w:rPr>
                <w:b/>
                <w:bCs/>
                <w:noProof/>
                <w:color w:val="000000" w:themeColor="text1"/>
                <w:sz w:val="20"/>
                <w:szCs w:val="20"/>
                <w:lang w:eastAsia="en-IE"/>
              </w:rPr>
              <w:t>6,783</w:t>
            </w:r>
          </w:p>
        </w:tc>
        <w:tc>
          <w:tcPr>
            <w:tcW w:w="1261" w:type="dxa"/>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jc w:val="right"/>
              <w:rPr>
                <w:b/>
                <w:bCs/>
                <w:noProof/>
                <w:color w:val="000000" w:themeColor="text1"/>
                <w:sz w:val="20"/>
                <w:szCs w:val="20"/>
                <w:lang w:eastAsia="en-IE"/>
              </w:rPr>
            </w:pPr>
            <w:r w:rsidRPr="00F81955">
              <w:rPr>
                <w:b/>
                <w:bCs/>
                <w:noProof/>
                <w:color w:val="000000" w:themeColor="text1"/>
                <w:sz w:val="20"/>
                <w:szCs w:val="20"/>
                <w:lang w:eastAsia="en-IE"/>
              </w:rPr>
              <w:t>7,</w:t>
            </w:r>
            <w:r w:rsidR="6C116BC9" w:rsidRPr="00F81955">
              <w:rPr>
                <w:b/>
                <w:bCs/>
                <w:noProof/>
                <w:color w:val="000000" w:themeColor="text1"/>
                <w:sz w:val="20"/>
                <w:szCs w:val="20"/>
                <w:lang w:eastAsia="en-IE"/>
              </w:rPr>
              <w:t>783</w:t>
            </w:r>
          </w:p>
        </w:tc>
        <w:tc>
          <w:tcPr>
            <w:tcW w:w="1535" w:type="dxa"/>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b/>
                <w:bCs/>
                <w:noProof/>
                <w:color w:val="000000" w:themeColor="text1"/>
                <w:sz w:val="20"/>
                <w:szCs w:val="20"/>
                <w:lang w:eastAsia="en-IE"/>
              </w:rPr>
            </w:pPr>
            <w:r w:rsidRPr="00F81955">
              <w:rPr>
                <w:b/>
                <w:bCs/>
                <w:noProof/>
                <w:color w:val="000000" w:themeColor="text1"/>
                <w:sz w:val="20"/>
                <w:szCs w:val="20"/>
                <w:lang w:eastAsia="en-IE"/>
              </w:rPr>
              <w:t>9,925</w:t>
            </w:r>
          </w:p>
          <w:p w:rsidR="005061E6" w:rsidRPr="00F81955" w:rsidRDefault="005061E6">
            <w:pPr>
              <w:spacing w:before="0" w:after="0"/>
              <w:jc w:val="right"/>
              <w:rPr>
                <w:b/>
                <w:bCs/>
                <w:noProof/>
                <w:color w:val="000000" w:themeColor="text1"/>
                <w:sz w:val="20"/>
                <w:szCs w:val="20"/>
                <w:lang w:eastAsia="en-IE"/>
              </w:rPr>
            </w:pPr>
          </w:p>
        </w:tc>
      </w:tr>
    </w:tbl>
    <w:p w:rsidR="005061E6" w:rsidRPr="00F81955" w:rsidRDefault="003F3A5E" w:rsidP="005061E6">
      <w:pPr>
        <w:rPr>
          <w:noProof/>
        </w:rPr>
      </w:pPr>
      <w:r w:rsidRPr="00F81955">
        <w:rPr>
          <w:noProof/>
        </w:rPr>
        <w:t>]</w:t>
      </w:r>
    </w:p>
    <w:p w:rsidR="00763B74" w:rsidRPr="00F81955" w:rsidRDefault="00763B74" w:rsidP="005061E6">
      <w:pPr>
        <w:rPr>
          <w:noProof/>
        </w:rPr>
      </w:pPr>
    </w:p>
    <w:p w:rsidR="003F3A5E" w:rsidRPr="00F81955" w:rsidRDefault="003F3A5E" w:rsidP="005061E6">
      <w:pPr>
        <w:rPr>
          <w:noProof/>
        </w:rPr>
      </w:pPr>
      <w:r w:rsidRPr="00F81955">
        <w:rPr>
          <w:noProof/>
        </w:rPr>
        <w:t>[</w:t>
      </w:r>
    </w:p>
    <w:p w:rsidR="005061E6" w:rsidRPr="00F81955" w:rsidRDefault="005061E6" w:rsidP="005061E6">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5061E6" w:rsidRPr="00F81955">
        <w:trPr>
          <w:jc w:val="center"/>
        </w:trPr>
        <w:tc>
          <w:tcPr>
            <w:tcW w:w="1739" w:type="pct"/>
            <w:vAlign w:val="center"/>
          </w:tcPr>
          <w:p w:rsidR="005061E6" w:rsidRPr="00F81955" w:rsidRDefault="005061E6">
            <w:pPr>
              <w:spacing w:before="60" w:after="60"/>
              <w:jc w:val="center"/>
              <w:rPr>
                <w:b/>
                <w:noProof/>
              </w:rPr>
            </w:pPr>
            <w:r w:rsidRPr="00F81955">
              <w:rPr>
                <w:noProof/>
                <w:sz w:val="22"/>
              </w:rPr>
              <w:br w:type="page"/>
            </w:r>
            <w:r w:rsidRPr="00F81955">
              <w:rPr>
                <w:b/>
                <w:noProof/>
                <w:sz w:val="22"/>
              </w:rPr>
              <w:t xml:space="preserve">Heading of multiannual financial framework </w:t>
            </w:r>
          </w:p>
        </w:tc>
        <w:tc>
          <w:tcPr>
            <w:tcW w:w="396" w:type="pct"/>
            <w:vAlign w:val="center"/>
          </w:tcPr>
          <w:p w:rsidR="005061E6" w:rsidRPr="00F81955" w:rsidRDefault="005061E6">
            <w:pPr>
              <w:spacing w:before="60" w:after="60"/>
              <w:jc w:val="center"/>
              <w:rPr>
                <w:noProof/>
              </w:rPr>
            </w:pPr>
            <w:r w:rsidRPr="00F81955">
              <w:rPr>
                <w:b/>
                <w:noProof/>
                <w:sz w:val="22"/>
              </w:rPr>
              <w:t>7</w:t>
            </w:r>
          </w:p>
        </w:tc>
        <w:tc>
          <w:tcPr>
            <w:tcW w:w="2865" w:type="pct"/>
            <w:vAlign w:val="center"/>
          </w:tcPr>
          <w:p w:rsidR="005061E6" w:rsidRPr="00F81955" w:rsidRDefault="005061E6">
            <w:pPr>
              <w:spacing w:before="60" w:after="60"/>
              <w:rPr>
                <w:noProof/>
              </w:rPr>
            </w:pPr>
            <w:r w:rsidRPr="00F81955">
              <w:rPr>
                <w:noProof/>
                <w:sz w:val="22"/>
              </w:rPr>
              <w:t>‘Administrative expenditure’</w:t>
            </w:r>
            <w:r w:rsidRPr="00F81955">
              <w:rPr>
                <w:noProof/>
              </w:rPr>
              <w:t xml:space="preserve"> </w:t>
            </w:r>
          </w:p>
        </w:tc>
      </w:tr>
    </w:tbl>
    <w:tbl>
      <w:tblPr>
        <w:tblStyle w:val="TableGrid"/>
        <w:tblW w:w="5000" w:type="pct"/>
        <w:tblLook w:val="04A0" w:firstRow="1" w:lastRow="0" w:firstColumn="1" w:lastColumn="0" w:noHBand="0" w:noVBand="1"/>
      </w:tblPr>
      <w:tblGrid>
        <w:gridCol w:w="4702"/>
        <w:gridCol w:w="2645"/>
        <w:gridCol w:w="637"/>
        <w:gridCol w:w="640"/>
        <w:gridCol w:w="1069"/>
        <w:gridCol w:w="1069"/>
        <w:gridCol w:w="1069"/>
        <w:gridCol w:w="1069"/>
        <w:gridCol w:w="1320"/>
      </w:tblGrid>
      <w:tr w:rsidR="005061E6" w:rsidRPr="00F81955">
        <w:trPr>
          <w:trHeight w:val="288"/>
        </w:trPr>
        <w:tc>
          <w:tcPr>
            <w:tcW w:w="3032" w:type="pct"/>
            <w:gridSpan w:val="4"/>
            <w:vMerge w:val="restart"/>
            <w:vAlign w:val="center"/>
            <w:hideMark/>
          </w:tcPr>
          <w:p w:rsidR="005061E6" w:rsidRPr="00F81955" w:rsidRDefault="005061E6">
            <w:pPr>
              <w:spacing w:before="0" w:after="0"/>
              <w:jc w:val="center"/>
              <w:rPr>
                <w:noProof/>
                <w:color w:val="000000"/>
              </w:rPr>
            </w:pPr>
            <w:r w:rsidRPr="00F81955">
              <w:rPr>
                <w:noProof/>
                <w:color w:val="000000" w:themeColor="text1"/>
              </w:rPr>
              <w:t>DG: CNECT</w:t>
            </w:r>
          </w:p>
        </w:tc>
        <w:tc>
          <w:tcPr>
            <w:tcW w:w="376" w:type="pct"/>
            <w:vAlign w:val="center"/>
            <w:hideMark/>
          </w:tcPr>
          <w:p w:rsidR="005061E6" w:rsidRPr="00F81955" w:rsidRDefault="005061E6">
            <w:pPr>
              <w:spacing w:before="0" w:after="0"/>
              <w:jc w:val="center"/>
              <w:rPr>
                <w:noProof/>
                <w:color w:val="000000"/>
                <w:sz w:val="20"/>
              </w:rPr>
            </w:pPr>
            <w:r w:rsidRPr="00F81955">
              <w:rPr>
                <w:noProof/>
                <w:color w:val="000000"/>
                <w:sz w:val="20"/>
              </w:rPr>
              <w:t>Year</w:t>
            </w:r>
          </w:p>
        </w:tc>
        <w:tc>
          <w:tcPr>
            <w:tcW w:w="376" w:type="pct"/>
            <w:vAlign w:val="center"/>
            <w:hideMark/>
          </w:tcPr>
          <w:p w:rsidR="005061E6" w:rsidRPr="00F81955" w:rsidRDefault="005061E6">
            <w:pPr>
              <w:spacing w:before="0" w:after="0"/>
              <w:jc w:val="center"/>
              <w:rPr>
                <w:noProof/>
                <w:color w:val="000000"/>
                <w:sz w:val="20"/>
              </w:rPr>
            </w:pPr>
            <w:r w:rsidRPr="00F81955">
              <w:rPr>
                <w:noProof/>
                <w:color w:val="000000"/>
                <w:sz w:val="20"/>
              </w:rPr>
              <w:t>Year</w:t>
            </w:r>
          </w:p>
        </w:tc>
        <w:tc>
          <w:tcPr>
            <w:tcW w:w="376" w:type="pct"/>
            <w:vAlign w:val="center"/>
            <w:hideMark/>
          </w:tcPr>
          <w:p w:rsidR="005061E6" w:rsidRPr="00F81955" w:rsidRDefault="005061E6">
            <w:pPr>
              <w:spacing w:before="0" w:after="0"/>
              <w:jc w:val="center"/>
              <w:rPr>
                <w:noProof/>
                <w:color w:val="000000"/>
                <w:sz w:val="20"/>
              </w:rPr>
            </w:pPr>
            <w:r w:rsidRPr="00F81955">
              <w:rPr>
                <w:noProof/>
                <w:color w:val="000000"/>
                <w:sz w:val="20"/>
              </w:rPr>
              <w:t>Year</w:t>
            </w:r>
          </w:p>
        </w:tc>
        <w:tc>
          <w:tcPr>
            <w:tcW w:w="376" w:type="pct"/>
            <w:vAlign w:val="center"/>
            <w:hideMark/>
          </w:tcPr>
          <w:p w:rsidR="005061E6" w:rsidRPr="00F81955" w:rsidRDefault="005061E6">
            <w:pPr>
              <w:spacing w:before="0" w:after="0"/>
              <w:jc w:val="center"/>
              <w:rPr>
                <w:noProof/>
                <w:color w:val="000000"/>
                <w:sz w:val="20"/>
              </w:rPr>
            </w:pPr>
            <w:r w:rsidRPr="00F81955">
              <w:rPr>
                <w:noProof/>
                <w:color w:val="000000"/>
                <w:sz w:val="20"/>
              </w:rPr>
              <w:t>Year</w:t>
            </w:r>
          </w:p>
        </w:tc>
        <w:tc>
          <w:tcPr>
            <w:tcW w:w="465" w:type="pct"/>
            <w:vMerge w:val="restart"/>
            <w:vAlign w:val="center"/>
            <w:hideMark/>
          </w:tcPr>
          <w:p w:rsidR="005061E6" w:rsidRPr="00F81955" w:rsidRDefault="005061E6">
            <w:pPr>
              <w:spacing w:before="0" w:after="0"/>
              <w:jc w:val="center"/>
              <w:rPr>
                <w:b/>
                <w:bCs/>
                <w:noProof/>
                <w:color w:val="000000"/>
                <w:sz w:val="20"/>
              </w:rPr>
            </w:pPr>
            <w:r w:rsidRPr="00F81955">
              <w:rPr>
                <w:b/>
                <w:bCs/>
                <w:noProof/>
                <w:color w:val="000000"/>
                <w:sz w:val="20"/>
              </w:rPr>
              <w:t>TOTAL MFF 2021-2027</w:t>
            </w:r>
          </w:p>
        </w:tc>
      </w:tr>
      <w:tr w:rsidR="005061E6" w:rsidRPr="00F81955">
        <w:trPr>
          <w:trHeight w:val="300"/>
        </w:trPr>
        <w:tc>
          <w:tcPr>
            <w:tcW w:w="3032" w:type="pct"/>
            <w:gridSpan w:val="4"/>
            <w:vMerge/>
            <w:vAlign w:val="center"/>
            <w:hideMark/>
          </w:tcPr>
          <w:p w:rsidR="005061E6" w:rsidRPr="00F81955" w:rsidRDefault="005061E6">
            <w:pPr>
              <w:spacing w:before="0" w:after="0"/>
              <w:jc w:val="left"/>
              <w:rPr>
                <w:noProof/>
                <w:color w:val="000000"/>
                <w:szCs w:val="24"/>
              </w:rPr>
            </w:pPr>
          </w:p>
        </w:tc>
        <w:tc>
          <w:tcPr>
            <w:tcW w:w="376" w:type="pct"/>
            <w:vAlign w:val="center"/>
            <w:hideMark/>
          </w:tcPr>
          <w:p w:rsidR="005061E6" w:rsidRPr="00F81955" w:rsidRDefault="005061E6">
            <w:pPr>
              <w:spacing w:before="0" w:after="0"/>
              <w:jc w:val="center"/>
              <w:rPr>
                <w:b/>
                <w:bCs/>
                <w:noProof/>
                <w:color w:val="000000"/>
                <w:sz w:val="20"/>
              </w:rPr>
            </w:pPr>
            <w:r w:rsidRPr="00F81955">
              <w:rPr>
                <w:b/>
                <w:bCs/>
                <w:noProof/>
                <w:color w:val="000000"/>
                <w:sz w:val="20"/>
              </w:rPr>
              <w:t>2024</w:t>
            </w:r>
          </w:p>
        </w:tc>
        <w:tc>
          <w:tcPr>
            <w:tcW w:w="376" w:type="pct"/>
            <w:vAlign w:val="center"/>
            <w:hideMark/>
          </w:tcPr>
          <w:p w:rsidR="005061E6" w:rsidRPr="00F81955" w:rsidRDefault="005061E6">
            <w:pPr>
              <w:spacing w:before="0" w:after="0"/>
              <w:jc w:val="center"/>
              <w:rPr>
                <w:b/>
                <w:bCs/>
                <w:noProof/>
                <w:color w:val="000000"/>
                <w:sz w:val="20"/>
              </w:rPr>
            </w:pPr>
            <w:r w:rsidRPr="00F81955">
              <w:rPr>
                <w:b/>
                <w:bCs/>
                <w:noProof/>
                <w:color w:val="000000"/>
                <w:sz w:val="20"/>
              </w:rPr>
              <w:t>2025</w:t>
            </w:r>
          </w:p>
        </w:tc>
        <w:tc>
          <w:tcPr>
            <w:tcW w:w="376" w:type="pct"/>
            <w:vAlign w:val="center"/>
            <w:hideMark/>
          </w:tcPr>
          <w:p w:rsidR="005061E6" w:rsidRPr="00F81955" w:rsidRDefault="005061E6">
            <w:pPr>
              <w:spacing w:before="0" w:after="0"/>
              <w:jc w:val="center"/>
              <w:rPr>
                <w:b/>
                <w:bCs/>
                <w:noProof/>
                <w:color w:val="000000"/>
                <w:sz w:val="20"/>
              </w:rPr>
            </w:pPr>
            <w:r w:rsidRPr="00F81955">
              <w:rPr>
                <w:b/>
                <w:bCs/>
                <w:noProof/>
                <w:color w:val="000000"/>
                <w:sz w:val="20"/>
              </w:rPr>
              <w:t>2026</w:t>
            </w:r>
          </w:p>
        </w:tc>
        <w:tc>
          <w:tcPr>
            <w:tcW w:w="376" w:type="pct"/>
            <w:vAlign w:val="center"/>
            <w:hideMark/>
          </w:tcPr>
          <w:p w:rsidR="005061E6" w:rsidRPr="00F81955" w:rsidRDefault="005061E6">
            <w:pPr>
              <w:spacing w:before="0" w:after="0"/>
              <w:jc w:val="center"/>
              <w:rPr>
                <w:b/>
                <w:bCs/>
                <w:noProof/>
                <w:color w:val="000000"/>
                <w:sz w:val="20"/>
              </w:rPr>
            </w:pPr>
            <w:r w:rsidRPr="00F81955">
              <w:rPr>
                <w:b/>
                <w:bCs/>
                <w:noProof/>
                <w:color w:val="000000"/>
                <w:sz w:val="20"/>
              </w:rPr>
              <w:t>2027</w:t>
            </w:r>
          </w:p>
        </w:tc>
        <w:tc>
          <w:tcPr>
            <w:tcW w:w="465" w:type="pct"/>
            <w:vMerge/>
            <w:vAlign w:val="center"/>
            <w:hideMark/>
          </w:tcPr>
          <w:p w:rsidR="005061E6" w:rsidRPr="00F81955" w:rsidRDefault="005061E6">
            <w:pPr>
              <w:spacing w:before="0" w:after="0"/>
              <w:jc w:val="left"/>
              <w:rPr>
                <w:b/>
                <w:bCs/>
                <w:noProof/>
                <w:color w:val="000000"/>
                <w:sz w:val="20"/>
              </w:rPr>
            </w:pPr>
          </w:p>
        </w:tc>
      </w:tr>
      <w:tr w:rsidR="005061E6" w:rsidRPr="00F81955">
        <w:trPr>
          <w:trHeight w:val="300"/>
        </w:trPr>
        <w:tc>
          <w:tcPr>
            <w:tcW w:w="3032" w:type="pct"/>
            <w:gridSpan w:val="4"/>
            <w:vAlign w:val="center"/>
            <w:hideMark/>
          </w:tcPr>
          <w:p w:rsidR="005061E6" w:rsidRPr="00F81955" w:rsidRDefault="005061E6">
            <w:pPr>
              <w:spacing w:before="0" w:after="0"/>
              <w:jc w:val="left"/>
              <w:rPr>
                <w:rFonts w:ascii="Wingdings" w:hAnsi="Wingdings" w:cs="Calibri"/>
                <w:noProof/>
                <w:color w:val="000000"/>
                <w:sz w:val="22"/>
              </w:rPr>
            </w:pPr>
            <w:r w:rsidRPr="00F81955">
              <w:rPr>
                <w:rFonts w:ascii="Wingdings" w:hAnsi="Wingdings" w:cs="Calibri"/>
                <w:noProof/>
                <w:color w:val="000000"/>
                <w:sz w:val="22"/>
              </w:rPr>
              <w:t></w:t>
            </w:r>
            <w:r w:rsidRPr="00F81955">
              <w:rPr>
                <w:noProof/>
                <w:color w:val="000000"/>
                <w:sz w:val="22"/>
              </w:rPr>
              <w:t xml:space="preserve"> Human resources </w:t>
            </w:r>
          </w:p>
        </w:tc>
        <w:tc>
          <w:tcPr>
            <w:tcW w:w="376" w:type="pct"/>
            <w:vAlign w:val="center"/>
            <w:hideMark/>
          </w:tcPr>
          <w:p w:rsidR="005061E6" w:rsidRPr="00F81955" w:rsidRDefault="005061E6">
            <w:pPr>
              <w:spacing w:before="0" w:after="0"/>
              <w:jc w:val="right"/>
              <w:rPr>
                <w:noProof/>
                <w:color w:val="000000"/>
                <w:sz w:val="20"/>
              </w:rPr>
            </w:pPr>
          </w:p>
        </w:tc>
        <w:tc>
          <w:tcPr>
            <w:tcW w:w="376" w:type="pct"/>
            <w:vAlign w:val="center"/>
            <w:hideMark/>
          </w:tcPr>
          <w:p w:rsidR="005061E6" w:rsidRPr="00F81955" w:rsidRDefault="005061E6">
            <w:pPr>
              <w:spacing w:before="0" w:after="0"/>
              <w:jc w:val="right"/>
              <w:rPr>
                <w:noProof/>
                <w:color w:val="000000"/>
                <w:sz w:val="20"/>
              </w:rPr>
            </w:pPr>
          </w:p>
        </w:tc>
        <w:tc>
          <w:tcPr>
            <w:tcW w:w="376" w:type="pct"/>
            <w:vAlign w:val="center"/>
            <w:hideMark/>
          </w:tcPr>
          <w:p w:rsidR="005061E6" w:rsidRPr="00F81955" w:rsidRDefault="005061E6">
            <w:pPr>
              <w:spacing w:before="0" w:after="0"/>
              <w:jc w:val="right"/>
              <w:rPr>
                <w:noProof/>
                <w:color w:val="000000"/>
                <w:sz w:val="20"/>
              </w:rPr>
            </w:pPr>
            <w:r w:rsidRPr="00F81955">
              <w:rPr>
                <w:noProof/>
                <w:color w:val="000000" w:themeColor="text1"/>
                <w:sz w:val="20"/>
              </w:rPr>
              <w:t>0,940</w:t>
            </w:r>
          </w:p>
        </w:tc>
        <w:tc>
          <w:tcPr>
            <w:tcW w:w="376" w:type="pct"/>
            <w:vAlign w:val="center"/>
            <w:hideMark/>
          </w:tcPr>
          <w:p w:rsidR="005061E6" w:rsidRPr="00F81955" w:rsidRDefault="005061E6">
            <w:pPr>
              <w:spacing w:before="0" w:after="0"/>
              <w:jc w:val="right"/>
              <w:rPr>
                <w:noProof/>
                <w:color w:val="000000"/>
                <w:sz w:val="20"/>
              </w:rPr>
            </w:pPr>
            <w:r w:rsidRPr="00F81955">
              <w:rPr>
                <w:noProof/>
                <w:color w:val="000000" w:themeColor="text1"/>
                <w:sz w:val="20"/>
              </w:rPr>
              <w:t>0,940</w:t>
            </w:r>
          </w:p>
        </w:tc>
        <w:tc>
          <w:tcPr>
            <w:tcW w:w="465" w:type="pct"/>
            <w:vAlign w:val="center"/>
            <w:hideMark/>
          </w:tcPr>
          <w:p w:rsidR="005061E6" w:rsidRPr="00F81955" w:rsidRDefault="005061E6">
            <w:pPr>
              <w:spacing w:before="0" w:after="0"/>
              <w:jc w:val="right"/>
              <w:rPr>
                <w:b/>
                <w:bCs/>
                <w:noProof/>
                <w:color w:val="000000"/>
                <w:sz w:val="20"/>
              </w:rPr>
            </w:pPr>
            <w:r w:rsidRPr="00F81955">
              <w:rPr>
                <w:b/>
                <w:bCs/>
                <w:noProof/>
                <w:color w:val="000000" w:themeColor="text1"/>
                <w:sz w:val="20"/>
              </w:rPr>
              <w:t>1,880</w:t>
            </w:r>
          </w:p>
        </w:tc>
      </w:tr>
      <w:tr w:rsidR="005061E6" w:rsidRPr="00F81955">
        <w:trPr>
          <w:trHeight w:val="300"/>
        </w:trPr>
        <w:tc>
          <w:tcPr>
            <w:tcW w:w="3032" w:type="pct"/>
            <w:gridSpan w:val="4"/>
            <w:vAlign w:val="center"/>
            <w:hideMark/>
          </w:tcPr>
          <w:p w:rsidR="005061E6" w:rsidRPr="00F81955" w:rsidRDefault="005061E6">
            <w:pPr>
              <w:spacing w:before="0" w:after="0"/>
              <w:jc w:val="left"/>
              <w:rPr>
                <w:rFonts w:ascii="Wingdings" w:hAnsi="Wingdings" w:cs="Calibri"/>
                <w:noProof/>
                <w:color w:val="000000"/>
                <w:sz w:val="22"/>
              </w:rPr>
            </w:pPr>
            <w:r w:rsidRPr="00F81955">
              <w:rPr>
                <w:rFonts w:ascii="Wingdings" w:hAnsi="Wingdings" w:cs="Calibri"/>
                <w:noProof/>
                <w:color w:val="000000"/>
                <w:sz w:val="22"/>
              </w:rPr>
              <w:t></w:t>
            </w:r>
            <w:r w:rsidRPr="00F81955">
              <w:rPr>
                <w:noProof/>
                <w:color w:val="000000"/>
                <w:sz w:val="22"/>
              </w:rPr>
              <w:t xml:space="preserve"> Other administrative expenditure </w:t>
            </w:r>
          </w:p>
        </w:tc>
        <w:tc>
          <w:tcPr>
            <w:tcW w:w="376" w:type="pct"/>
            <w:vAlign w:val="center"/>
            <w:hideMark/>
          </w:tcPr>
          <w:p w:rsidR="005061E6" w:rsidRPr="00F81955" w:rsidRDefault="005061E6">
            <w:pPr>
              <w:spacing w:before="0" w:after="0"/>
              <w:jc w:val="right"/>
              <w:rPr>
                <w:noProof/>
                <w:color w:val="000000"/>
                <w:sz w:val="20"/>
              </w:rPr>
            </w:pPr>
          </w:p>
        </w:tc>
        <w:tc>
          <w:tcPr>
            <w:tcW w:w="376" w:type="pct"/>
            <w:vAlign w:val="center"/>
            <w:hideMark/>
          </w:tcPr>
          <w:p w:rsidR="005061E6" w:rsidRPr="00F81955" w:rsidRDefault="005061E6">
            <w:pPr>
              <w:spacing w:before="0" w:after="0"/>
              <w:jc w:val="right"/>
              <w:rPr>
                <w:noProof/>
                <w:color w:val="000000"/>
                <w:sz w:val="20"/>
              </w:rPr>
            </w:pPr>
          </w:p>
        </w:tc>
        <w:tc>
          <w:tcPr>
            <w:tcW w:w="376" w:type="pct"/>
            <w:vAlign w:val="center"/>
            <w:hideMark/>
          </w:tcPr>
          <w:p w:rsidR="005061E6" w:rsidRPr="00F81955" w:rsidRDefault="005061E6">
            <w:pPr>
              <w:spacing w:before="0" w:after="0"/>
              <w:jc w:val="right"/>
              <w:rPr>
                <w:noProof/>
                <w:color w:val="000000"/>
                <w:sz w:val="20"/>
              </w:rPr>
            </w:pPr>
            <w:r w:rsidRPr="00F81955">
              <w:rPr>
                <w:noProof/>
                <w:color w:val="000000" w:themeColor="text1"/>
                <w:sz w:val="20"/>
              </w:rPr>
              <w:t>0,025</w:t>
            </w:r>
          </w:p>
        </w:tc>
        <w:tc>
          <w:tcPr>
            <w:tcW w:w="376" w:type="pct"/>
            <w:vAlign w:val="center"/>
            <w:hideMark/>
          </w:tcPr>
          <w:p w:rsidR="005061E6" w:rsidRPr="00F81955" w:rsidRDefault="005061E6">
            <w:pPr>
              <w:spacing w:before="0" w:after="0"/>
              <w:jc w:val="right"/>
              <w:rPr>
                <w:noProof/>
                <w:color w:val="000000"/>
                <w:sz w:val="20"/>
              </w:rPr>
            </w:pPr>
            <w:r w:rsidRPr="00F81955">
              <w:rPr>
                <w:noProof/>
                <w:color w:val="000000" w:themeColor="text1"/>
                <w:sz w:val="20"/>
              </w:rPr>
              <w:t>0,025</w:t>
            </w:r>
          </w:p>
        </w:tc>
        <w:tc>
          <w:tcPr>
            <w:tcW w:w="465" w:type="pct"/>
            <w:vAlign w:val="center"/>
            <w:hideMark/>
          </w:tcPr>
          <w:p w:rsidR="005061E6" w:rsidRPr="00F81955" w:rsidRDefault="005061E6">
            <w:pPr>
              <w:spacing w:before="0" w:after="0"/>
              <w:jc w:val="right"/>
              <w:rPr>
                <w:b/>
                <w:bCs/>
                <w:noProof/>
                <w:color w:val="000000"/>
                <w:sz w:val="20"/>
              </w:rPr>
            </w:pPr>
            <w:r w:rsidRPr="00F81955">
              <w:rPr>
                <w:b/>
                <w:bCs/>
                <w:noProof/>
                <w:color w:val="000000" w:themeColor="text1"/>
                <w:sz w:val="20"/>
              </w:rPr>
              <w:t>0,050</w:t>
            </w:r>
          </w:p>
        </w:tc>
      </w:tr>
      <w:tr w:rsidR="005061E6" w:rsidRPr="00F81955">
        <w:trPr>
          <w:trHeight w:val="300"/>
        </w:trPr>
        <w:tc>
          <w:tcPr>
            <w:tcW w:w="1653" w:type="pct"/>
            <w:vAlign w:val="center"/>
            <w:hideMark/>
          </w:tcPr>
          <w:p w:rsidR="005061E6" w:rsidRPr="00F81955" w:rsidRDefault="005061E6">
            <w:pPr>
              <w:spacing w:before="0" w:after="0"/>
              <w:jc w:val="center"/>
              <w:rPr>
                <w:noProof/>
                <w:color w:val="000000"/>
                <w:sz w:val="22"/>
                <w:szCs w:val="22"/>
              </w:rPr>
            </w:pPr>
            <w:r w:rsidRPr="00F81955">
              <w:rPr>
                <w:b/>
                <w:bCs/>
                <w:noProof/>
                <w:color w:val="000000" w:themeColor="text1"/>
                <w:sz w:val="22"/>
                <w:szCs w:val="22"/>
              </w:rPr>
              <w:t xml:space="preserve">TOTAL DG </w:t>
            </w:r>
            <w:r w:rsidRPr="00F81955">
              <w:rPr>
                <w:noProof/>
                <w:color w:val="000000" w:themeColor="text1"/>
                <w:sz w:val="22"/>
                <w:szCs w:val="22"/>
              </w:rPr>
              <w:t>CNECT</w:t>
            </w:r>
          </w:p>
        </w:tc>
        <w:tc>
          <w:tcPr>
            <w:tcW w:w="1378" w:type="pct"/>
            <w:gridSpan w:val="3"/>
            <w:vAlign w:val="center"/>
            <w:hideMark/>
          </w:tcPr>
          <w:p w:rsidR="005061E6" w:rsidRPr="00F81955" w:rsidRDefault="005061E6">
            <w:pPr>
              <w:spacing w:before="0" w:after="0"/>
              <w:jc w:val="left"/>
              <w:rPr>
                <w:noProof/>
                <w:color w:val="000000"/>
                <w:sz w:val="18"/>
                <w:szCs w:val="18"/>
              </w:rPr>
            </w:pPr>
            <w:r w:rsidRPr="00F81955">
              <w:rPr>
                <w:noProof/>
                <w:color w:val="000000"/>
                <w:sz w:val="18"/>
                <w:szCs w:val="18"/>
              </w:rPr>
              <w:t xml:space="preserve">Appropriations </w:t>
            </w:r>
          </w:p>
        </w:tc>
        <w:tc>
          <w:tcPr>
            <w:tcW w:w="376" w:type="pct"/>
            <w:vAlign w:val="center"/>
            <w:hideMark/>
          </w:tcPr>
          <w:p w:rsidR="005061E6" w:rsidRPr="00F81955" w:rsidRDefault="005061E6">
            <w:pPr>
              <w:spacing w:before="0" w:after="0"/>
              <w:jc w:val="right"/>
              <w:rPr>
                <w:b/>
                <w:bCs/>
                <w:noProof/>
                <w:color w:val="000000"/>
                <w:sz w:val="20"/>
              </w:rPr>
            </w:pPr>
          </w:p>
        </w:tc>
        <w:tc>
          <w:tcPr>
            <w:tcW w:w="376" w:type="pct"/>
            <w:vAlign w:val="center"/>
            <w:hideMark/>
          </w:tcPr>
          <w:p w:rsidR="005061E6" w:rsidRPr="00F81955" w:rsidRDefault="005061E6">
            <w:pPr>
              <w:spacing w:before="0" w:after="0"/>
              <w:jc w:val="right"/>
              <w:rPr>
                <w:b/>
                <w:bCs/>
                <w:noProof/>
                <w:color w:val="000000"/>
                <w:sz w:val="20"/>
              </w:rPr>
            </w:pPr>
          </w:p>
        </w:tc>
        <w:tc>
          <w:tcPr>
            <w:tcW w:w="376" w:type="pct"/>
            <w:vAlign w:val="center"/>
            <w:hideMark/>
          </w:tcPr>
          <w:p w:rsidR="005061E6" w:rsidRPr="00F81955" w:rsidRDefault="005061E6">
            <w:pPr>
              <w:spacing w:before="0" w:after="0"/>
              <w:jc w:val="right"/>
              <w:rPr>
                <w:b/>
                <w:bCs/>
                <w:noProof/>
                <w:color w:val="000000"/>
                <w:sz w:val="20"/>
              </w:rPr>
            </w:pPr>
            <w:r w:rsidRPr="00F81955">
              <w:rPr>
                <w:b/>
                <w:bCs/>
                <w:noProof/>
                <w:color w:val="000000" w:themeColor="text1"/>
                <w:sz w:val="20"/>
              </w:rPr>
              <w:t>0,965</w:t>
            </w:r>
          </w:p>
        </w:tc>
        <w:tc>
          <w:tcPr>
            <w:tcW w:w="376" w:type="pct"/>
            <w:vAlign w:val="center"/>
            <w:hideMark/>
          </w:tcPr>
          <w:p w:rsidR="005061E6" w:rsidRPr="00F81955" w:rsidRDefault="005061E6">
            <w:pPr>
              <w:spacing w:before="0" w:after="0"/>
              <w:jc w:val="right"/>
              <w:rPr>
                <w:b/>
                <w:bCs/>
                <w:noProof/>
                <w:color w:val="000000"/>
                <w:sz w:val="20"/>
              </w:rPr>
            </w:pPr>
            <w:r w:rsidRPr="00F81955">
              <w:rPr>
                <w:b/>
                <w:bCs/>
                <w:noProof/>
                <w:color w:val="000000" w:themeColor="text1"/>
                <w:sz w:val="20"/>
              </w:rPr>
              <w:t>0,965</w:t>
            </w:r>
          </w:p>
        </w:tc>
        <w:tc>
          <w:tcPr>
            <w:tcW w:w="465" w:type="pct"/>
            <w:vAlign w:val="center"/>
            <w:hideMark/>
          </w:tcPr>
          <w:p w:rsidR="005061E6" w:rsidRPr="00F81955" w:rsidRDefault="005061E6">
            <w:pPr>
              <w:spacing w:before="0" w:after="0"/>
              <w:jc w:val="right"/>
              <w:rPr>
                <w:b/>
                <w:bCs/>
                <w:noProof/>
                <w:color w:val="000000"/>
                <w:sz w:val="20"/>
              </w:rPr>
            </w:pPr>
            <w:r w:rsidRPr="00F81955">
              <w:rPr>
                <w:b/>
                <w:bCs/>
                <w:noProof/>
                <w:color w:val="000000" w:themeColor="text1"/>
                <w:sz w:val="20"/>
              </w:rPr>
              <w:t>1,930</w:t>
            </w:r>
          </w:p>
        </w:tc>
      </w:tr>
      <w:tr w:rsidR="005061E6" w:rsidRPr="00F81955">
        <w:trPr>
          <w:trHeight w:val="300"/>
        </w:trPr>
        <w:tc>
          <w:tcPr>
            <w:tcW w:w="1653" w:type="pct"/>
            <w:noWrap/>
            <w:vAlign w:val="bottom"/>
            <w:hideMark/>
          </w:tcPr>
          <w:p w:rsidR="005061E6" w:rsidRPr="00F81955" w:rsidRDefault="005061E6">
            <w:pPr>
              <w:spacing w:before="0" w:after="0"/>
              <w:jc w:val="right"/>
              <w:rPr>
                <w:b/>
                <w:bCs/>
                <w:noProof/>
                <w:color w:val="000000"/>
                <w:sz w:val="20"/>
              </w:rPr>
            </w:pPr>
          </w:p>
        </w:tc>
        <w:tc>
          <w:tcPr>
            <w:tcW w:w="929" w:type="pct"/>
            <w:noWrap/>
            <w:vAlign w:val="bottom"/>
            <w:hideMark/>
          </w:tcPr>
          <w:p w:rsidR="005061E6" w:rsidRPr="00F81955" w:rsidRDefault="005061E6">
            <w:pPr>
              <w:spacing w:before="0" w:after="0"/>
              <w:jc w:val="left"/>
              <w:rPr>
                <w:noProof/>
                <w:sz w:val="20"/>
              </w:rPr>
            </w:pPr>
          </w:p>
        </w:tc>
        <w:tc>
          <w:tcPr>
            <w:tcW w:w="224" w:type="pct"/>
            <w:noWrap/>
            <w:vAlign w:val="bottom"/>
            <w:hideMark/>
          </w:tcPr>
          <w:p w:rsidR="005061E6" w:rsidRPr="00F81955" w:rsidRDefault="005061E6">
            <w:pPr>
              <w:spacing w:before="0" w:after="0"/>
              <w:jc w:val="left"/>
              <w:rPr>
                <w:noProof/>
                <w:sz w:val="20"/>
              </w:rPr>
            </w:pPr>
          </w:p>
        </w:tc>
        <w:tc>
          <w:tcPr>
            <w:tcW w:w="225" w:type="pct"/>
            <w:noWrap/>
            <w:vAlign w:val="bottom"/>
            <w:hideMark/>
          </w:tcPr>
          <w:p w:rsidR="005061E6" w:rsidRPr="00F81955" w:rsidRDefault="005061E6">
            <w:pPr>
              <w:spacing w:before="0" w:after="0"/>
              <w:jc w:val="left"/>
              <w:rPr>
                <w:noProof/>
                <w:sz w:val="20"/>
              </w:rPr>
            </w:pPr>
          </w:p>
        </w:tc>
        <w:tc>
          <w:tcPr>
            <w:tcW w:w="376" w:type="pct"/>
            <w:noWrap/>
            <w:vAlign w:val="bottom"/>
            <w:hideMark/>
          </w:tcPr>
          <w:p w:rsidR="005061E6" w:rsidRPr="00F81955" w:rsidRDefault="005061E6">
            <w:pPr>
              <w:spacing w:before="0" w:after="0"/>
              <w:jc w:val="left"/>
              <w:rPr>
                <w:noProof/>
                <w:sz w:val="20"/>
              </w:rPr>
            </w:pPr>
          </w:p>
        </w:tc>
        <w:tc>
          <w:tcPr>
            <w:tcW w:w="376" w:type="pct"/>
            <w:noWrap/>
            <w:vAlign w:val="bottom"/>
            <w:hideMark/>
          </w:tcPr>
          <w:p w:rsidR="005061E6" w:rsidRPr="00F81955" w:rsidRDefault="005061E6">
            <w:pPr>
              <w:spacing w:before="0" w:after="0"/>
              <w:jc w:val="left"/>
              <w:rPr>
                <w:noProof/>
                <w:sz w:val="20"/>
              </w:rPr>
            </w:pPr>
          </w:p>
        </w:tc>
        <w:tc>
          <w:tcPr>
            <w:tcW w:w="376" w:type="pct"/>
            <w:noWrap/>
            <w:vAlign w:val="bottom"/>
            <w:hideMark/>
          </w:tcPr>
          <w:p w:rsidR="005061E6" w:rsidRPr="00F81955" w:rsidRDefault="005061E6">
            <w:pPr>
              <w:spacing w:before="0" w:after="0"/>
              <w:jc w:val="left"/>
              <w:rPr>
                <w:noProof/>
                <w:sz w:val="20"/>
              </w:rPr>
            </w:pPr>
          </w:p>
        </w:tc>
        <w:tc>
          <w:tcPr>
            <w:tcW w:w="376" w:type="pct"/>
            <w:noWrap/>
            <w:vAlign w:val="bottom"/>
            <w:hideMark/>
          </w:tcPr>
          <w:p w:rsidR="005061E6" w:rsidRPr="00F81955" w:rsidRDefault="005061E6">
            <w:pPr>
              <w:spacing w:before="0" w:after="0"/>
              <w:jc w:val="left"/>
              <w:rPr>
                <w:noProof/>
                <w:sz w:val="20"/>
              </w:rPr>
            </w:pPr>
          </w:p>
        </w:tc>
        <w:tc>
          <w:tcPr>
            <w:tcW w:w="465" w:type="pct"/>
            <w:noWrap/>
            <w:vAlign w:val="bottom"/>
            <w:hideMark/>
          </w:tcPr>
          <w:p w:rsidR="005061E6" w:rsidRPr="00F81955" w:rsidRDefault="005061E6">
            <w:pPr>
              <w:spacing w:before="0" w:after="0"/>
              <w:jc w:val="left"/>
              <w:rPr>
                <w:noProof/>
                <w:sz w:val="20"/>
              </w:rPr>
            </w:pPr>
          </w:p>
        </w:tc>
      </w:tr>
      <w:tr w:rsidR="005061E6" w:rsidRPr="00F81955">
        <w:trPr>
          <w:trHeight w:val="900"/>
        </w:trPr>
        <w:tc>
          <w:tcPr>
            <w:tcW w:w="2583" w:type="pct"/>
            <w:gridSpan w:val="2"/>
            <w:vAlign w:val="center"/>
            <w:hideMark/>
          </w:tcPr>
          <w:p w:rsidR="005061E6" w:rsidRPr="00F81955" w:rsidRDefault="005061E6">
            <w:pPr>
              <w:spacing w:before="0" w:after="0"/>
              <w:jc w:val="center"/>
              <w:rPr>
                <w:b/>
                <w:bCs/>
                <w:noProof/>
                <w:color w:val="000000"/>
                <w:sz w:val="22"/>
              </w:rPr>
            </w:pPr>
            <w:r w:rsidRPr="00F81955">
              <w:rPr>
                <w:b/>
                <w:bCs/>
                <w:noProof/>
                <w:color w:val="000000"/>
                <w:sz w:val="22"/>
              </w:rPr>
              <w:t xml:space="preserve">TOTAL appropriations under HEADING 7 of the multiannual financial framework </w:t>
            </w:r>
          </w:p>
        </w:tc>
        <w:tc>
          <w:tcPr>
            <w:tcW w:w="449" w:type="pct"/>
            <w:gridSpan w:val="2"/>
            <w:vAlign w:val="center"/>
            <w:hideMark/>
          </w:tcPr>
          <w:p w:rsidR="005061E6" w:rsidRPr="00F81955" w:rsidRDefault="005061E6">
            <w:pPr>
              <w:spacing w:before="0" w:after="0"/>
              <w:jc w:val="center"/>
              <w:rPr>
                <w:noProof/>
                <w:color w:val="000000"/>
                <w:sz w:val="18"/>
                <w:szCs w:val="18"/>
              </w:rPr>
            </w:pPr>
            <w:r w:rsidRPr="00F81955">
              <w:rPr>
                <w:noProof/>
                <w:color w:val="000000"/>
                <w:sz w:val="18"/>
                <w:szCs w:val="18"/>
              </w:rPr>
              <w:t>(Total commitments = Total payments)</w:t>
            </w:r>
          </w:p>
        </w:tc>
        <w:tc>
          <w:tcPr>
            <w:tcW w:w="376" w:type="pct"/>
            <w:vAlign w:val="center"/>
          </w:tcPr>
          <w:p w:rsidR="005061E6" w:rsidRPr="00F81955" w:rsidRDefault="005061E6">
            <w:pPr>
              <w:spacing w:before="0" w:after="0"/>
              <w:jc w:val="right"/>
              <w:rPr>
                <w:b/>
                <w:bCs/>
                <w:noProof/>
                <w:color w:val="000000"/>
                <w:sz w:val="20"/>
              </w:rPr>
            </w:pPr>
          </w:p>
        </w:tc>
        <w:tc>
          <w:tcPr>
            <w:tcW w:w="376" w:type="pct"/>
            <w:vAlign w:val="center"/>
          </w:tcPr>
          <w:p w:rsidR="005061E6" w:rsidRPr="00F81955" w:rsidRDefault="005061E6">
            <w:pPr>
              <w:spacing w:before="0" w:after="0"/>
              <w:jc w:val="right"/>
              <w:rPr>
                <w:b/>
                <w:bCs/>
                <w:noProof/>
                <w:color w:val="000000"/>
                <w:sz w:val="20"/>
              </w:rPr>
            </w:pPr>
          </w:p>
        </w:tc>
        <w:tc>
          <w:tcPr>
            <w:tcW w:w="376" w:type="pct"/>
            <w:vAlign w:val="center"/>
            <w:hideMark/>
          </w:tcPr>
          <w:p w:rsidR="005061E6" w:rsidRPr="00F81955" w:rsidRDefault="005061E6">
            <w:pPr>
              <w:spacing w:before="0" w:after="0"/>
              <w:jc w:val="right"/>
              <w:rPr>
                <w:b/>
                <w:bCs/>
                <w:noProof/>
                <w:color w:val="000000"/>
                <w:sz w:val="20"/>
              </w:rPr>
            </w:pPr>
            <w:r w:rsidRPr="00F81955">
              <w:rPr>
                <w:b/>
                <w:bCs/>
                <w:noProof/>
                <w:color w:val="000000" w:themeColor="text1"/>
                <w:sz w:val="20"/>
              </w:rPr>
              <w:t>0,965</w:t>
            </w:r>
          </w:p>
        </w:tc>
        <w:tc>
          <w:tcPr>
            <w:tcW w:w="376" w:type="pct"/>
            <w:vAlign w:val="center"/>
            <w:hideMark/>
          </w:tcPr>
          <w:p w:rsidR="005061E6" w:rsidRPr="00F81955" w:rsidRDefault="005061E6">
            <w:pPr>
              <w:spacing w:before="0" w:after="0"/>
              <w:jc w:val="right"/>
              <w:rPr>
                <w:b/>
                <w:bCs/>
                <w:noProof/>
                <w:color w:val="000000"/>
                <w:sz w:val="20"/>
              </w:rPr>
            </w:pPr>
            <w:r w:rsidRPr="00F81955">
              <w:rPr>
                <w:b/>
                <w:bCs/>
                <w:noProof/>
                <w:color w:val="000000" w:themeColor="text1"/>
                <w:sz w:val="20"/>
              </w:rPr>
              <w:t>0,965</w:t>
            </w:r>
          </w:p>
        </w:tc>
        <w:tc>
          <w:tcPr>
            <w:tcW w:w="465" w:type="pct"/>
            <w:vAlign w:val="center"/>
            <w:hideMark/>
          </w:tcPr>
          <w:p w:rsidR="005061E6" w:rsidRPr="00F81955" w:rsidRDefault="005061E6">
            <w:pPr>
              <w:spacing w:before="0" w:after="0"/>
              <w:jc w:val="right"/>
              <w:rPr>
                <w:b/>
                <w:bCs/>
                <w:noProof/>
                <w:color w:val="000000"/>
                <w:sz w:val="20"/>
              </w:rPr>
            </w:pPr>
            <w:r w:rsidRPr="00F81955">
              <w:rPr>
                <w:b/>
                <w:bCs/>
                <w:noProof/>
                <w:color w:val="000000" w:themeColor="text1"/>
                <w:sz w:val="20"/>
              </w:rPr>
              <w:t>1,930</w:t>
            </w:r>
          </w:p>
        </w:tc>
      </w:tr>
    </w:tbl>
    <w:p w:rsidR="005061E6" w:rsidRPr="00F81955" w:rsidRDefault="005061E6" w:rsidP="005061E6">
      <w:pPr>
        <w:jc w:val="right"/>
        <w:rPr>
          <w:noProof/>
          <w:sz w:val="20"/>
        </w:rPr>
      </w:pPr>
      <w:r w:rsidRPr="00F81955">
        <w:rPr>
          <w:noProof/>
          <w:sz w:val="20"/>
        </w:rPr>
        <w:t>EUR million (to three decimal places)</w:t>
      </w:r>
    </w:p>
    <w:tbl>
      <w:tblPr>
        <w:tblW w:w="14218" w:type="dxa"/>
        <w:tblLook w:val="04A0" w:firstRow="1" w:lastRow="0" w:firstColumn="1" w:lastColumn="0" w:noHBand="0" w:noVBand="1"/>
      </w:tblPr>
      <w:tblGrid>
        <w:gridCol w:w="5153"/>
        <w:gridCol w:w="1911"/>
        <w:gridCol w:w="1153"/>
        <w:gridCol w:w="1152"/>
        <w:gridCol w:w="1152"/>
        <w:gridCol w:w="1152"/>
        <w:gridCol w:w="1152"/>
        <w:gridCol w:w="1393"/>
      </w:tblGrid>
      <w:tr w:rsidR="005061E6" w:rsidRPr="00F81955">
        <w:trPr>
          <w:trHeight w:val="288"/>
        </w:trPr>
        <w:tc>
          <w:tcPr>
            <w:tcW w:w="7064"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5061E6" w:rsidRPr="00F81955" w:rsidRDefault="005061E6">
            <w:pPr>
              <w:spacing w:before="0" w:after="0"/>
              <w:jc w:val="center"/>
              <w:rPr>
                <w:noProof/>
                <w:color w:val="000000"/>
                <w:szCs w:val="24"/>
                <w:lang w:eastAsia="en-IE"/>
              </w:rPr>
            </w:pPr>
            <w:r w:rsidRPr="00F81955">
              <w:rPr>
                <w:noProof/>
                <w:color w:val="000000"/>
                <w:szCs w:val="24"/>
                <w:lang w:eastAsia="en-IE"/>
              </w:rPr>
              <w:t> </w:t>
            </w:r>
          </w:p>
        </w:tc>
        <w:tc>
          <w:tcPr>
            <w:tcW w:w="1153" w:type="dxa"/>
            <w:tcBorders>
              <w:top w:val="single" w:sz="8" w:space="0" w:color="auto"/>
              <w:left w:val="nil"/>
              <w:bottom w:val="nil"/>
              <w:right w:val="single" w:sz="8" w:space="0" w:color="auto"/>
            </w:tcBorders>
            <w:vAlign w:val="center"/>
            <w:hideMark/>
          </w:tcPr>
          <w:p w:rsidR="005061E6" w:rsidRPr="00F81955" w:rsidRDefault="005061E6">
            <w:pPr>
              <w:spacing w:before="0" w:after="0"/>
              <w:jc w:val="center"/>
              <w:rPr>
                <w:noProof/>
                <w:color w:val="000000"/>
                <w:sz w:val="20"/>
                <w:szCs w:val="20"/>
                <w:lang w:eastAsia="en-IE"/>
              </w:rPr>
            </w:pPr>
            <w:r w:rsidRPr="00F81955">
              <w:rPr>
                <w:noProof/>
                <w:color w:val="000000"/>
                <w:sz w:val="20"/>
                <w:szCs w:val="20"/>
                <w:lang w:eastAsia="en-IE"/>
              </w:rPr>
              <w:t>Year</w:t>
            </w:r>
          </w:p>
        </w:tc>
        <w:tc>
          <w:tcPr>
            <w:tcW w:w="1152" w:type="dxa"/>
            <w:tcBorders>
              <w:top w:val="single" w:sz="8" w:space="0" w:color="auto"/>
              <w:left w:val="nil"/>
              <w:bottom w:val="nil"/>
              <w:right w:val="single" w:sz="8" w:space="0" w:color="auto"/>
            </w:tcBorders>
            <w:vAlign w:val="center"/>
            <w:hideMark/>
          </w:tcPr>
          <w:p w:rsidR="005061E6" w:rsidRPr="00F81955" w:rsidRDefault="005061E6">
            <w:pPr>
              <w:spacing w:before="0" w:after="0"/>
              <w:jc w:val="center"/>
              <w:rPr>
                <w:noProof/>
                <w:color w:val="000000"/>
                <w:sz w:val="20"/>
                <w:szCs w:val="20"/>
                <w:lang w:eastAsia="en-IE"/>
              </w:rPr>
            </w:pPr>
            <w:r w:rsidRPr="00F81955">
              <w:rPr>
                <w:noProof/>
                <w:color w:val="000000"/>
                <w:sz w:val="20"/>
                <w:szCs w:val="20"/>
                <w:lang w:eastAsia="en-IE"/>
              </w:rPr>
              <w:t>Year</w:t>
            </w:r>
          </w:p>
        </w:tc>
        <w:tc>
          <w:tcPr>
            <w:tcW w:w="1152" w:type="dxa"/>
            <w:tcBorders>
              <w:top w:val="single" w:sz="8" w:space="0" w:color="auto"/>
              <w:left w:val="nil"/>
              <w:bottom w:val="nil"/>
              <w:right w:val="single" w:sz="8" w:space="0" w:color="auto"/>
            </w:tcBorders>
            <w:vAlign w:val="center"/>
            <w:hideMark/>
          </w:tcPr>
          <w:p w:rsidR="005061E6" w:rsidRPr="00F81955" w:rsidRDefault="005061E6">
            <w:pPr>
              <w:spacing w:before="0" w:after="0"/>
              <w:jc w:val="center"/>
              <w:rPr>
                <w:noProof/>
                <w:color w:val="000000"/>
                <w:sz w:val="20"/>
                <w:szCs w:val="20"/>
                <w:lang w:eastAsia="en-IE"/>
              </w:rPr>
            </w:pPr>
            <w:r w:rsidRPr="00F81955">
              <w:rPr>
                <w:noProof/>
                <w:color w:val="000000"/>
                <w:sz w:val="20"/>
                <w:szCs w:val="20"/>
                <w:lang w:eastAsia="en-IE"/>
              </w:rPr>
              <w:t>Year</w:t>
            </w:r>
          </w:p>
        </w:tc>
        <w:tc>
          <w:tcPr>
            <w:tcW w:w="1152" w:type="dxa"/>
            <w:tcBorders>
              <w:top w:val="single" w:sz="8" w:space="0" w:color="auto"/>
              <w:left w:val="nil"/>
              <w:bottom w:val="nil"/>
              <w:right w:val="single" w:sz="8" w:space="0" w:color="auto"/>
            </w:tcBorders>
            <w:vAlign w:val="center"/>
            <w:hideMark/>
          </w:tcPr>
          <w:p w:rsidR="005061E6" w:rsidRPr="00F81955" w:rsidRDefault="005061E6">
            <w:pPr>
              <w:spacing w:before="0" w:after="0"/>
              <w:jc w:val="center"/>
              <w:rPr>
                <w:noProof/>
                <w:color w:val="000000"/>
                <w:sz w:val="20"/>
                <w:szCs w:val="20"/>
                <w:lang w:eastAsia="en-IE"/>
              </w:rPr>
            </w:pPr>
            <w:r w:rsidRPr="00F81955">
              <w:rPr>
                <w:noProof/>
                <w:color w:val="000000"/>
                <w:sz w:val="20"/>
                <w:szCs w:val="20"/>
                <w:lang w:eastAsia="en-IE"/>
              </w:rPr>
              <w:t>Year</w:t>
            </w:r>
          </w:p>
        </w:tc>
        <w:tc>
          <w:tcPr>
            <w:tcW w:w="1152" w:type="dxa"/>
            <w:tcBorders>
              <w:top w:val="single" w:sz="8" w:space="0" w:color="auto"/>
              <w:left w:val="nil"/>
              <w:bottom w:val="nil"/>
              <w:right w:val="single" w:sz="8" w:space="0" w:color="auto"/>
            </w:tcBorders>
            <w:vAlign w:val="center"/>
          </w:tcPr>
          <w:p w:rsidR="005061E6" w:rsidRPr="00F81955" w:rsidRDefault="005061E6">
            <w:pPr>
              <w:jc w:val="center"/>
              <w:rPr>
                <w:noProof/>
                <w:color w:val="000000" w:themeColor="text1"/>
                <w:sz w:val="20"/>
                <w:szCs w:val="20"/>
                <w:lang w:eastAsia="en-IE"/>
              </w:rPr>
            </w:pPr>
            <w:r w:rsidRPr="00F81955">
              <w:rPr>
                <w:noProof/>
                <w:color w:val="000000" w:themeColor="text1"/>
                <w:sz w:val="20"/>
                <w:szCs w:val="20"/>
                <w:lang w:eastAsia="en-IE"/>
              </w:rPr>
              <w:t>After 2027</w:t>
            </w:r>
          </w:p>
        </w:tc>
        <w:tc>
          <w:tcPr>
            <w:tcW w:w="1393" w:type="dxa"/>
            <w:vMerge w:val="restart"/>
            <w:tcBorders>
              <w:top w:val="single" w:sz="8" w:space="0" w:color="auto"/>
              <w:left w:val="single" w:sz="8" w:space="0" w:color="auto"/>
              <w:bottom w:val="single" w:sz="8" w:space="0" w:color="000000" w:themeColor="text1"/>
              <w:right w:val="single" w:sz="8" w:space="0" w:color="auto"/>
            </w:tcBorders>
            <w:vAlign w:val="center"/>
            <w:hideMark/>
          </w:tcPr>
          <w:p w:rsidR="005061E6" w:rsidRPr="00F81955" w:rsidRDefault="005061E6">
            <w:pPr>
              <w:spacing w:before="0" w:after="0"/>
              <w:jc w:val="center"/>
              <w:rPr>
                <w:b/>
                <w:bCs/>
                <w:noProof/>
                <w:color w:val="000000"/>
                <w:sz w:val="20"/>
                <w:szCs w:val="20"/>
                <w:lang w:eastAsia="en-IE"/>
              </w:rPr>
            </w:pPr>
            <w:r w:rsidRPr="00F81955">
              <w:rPr>
                <w:b/>
                <w:bCs/>
                <w:noProof/>
                <w:color w:val="000000"/>
                <w:sz w:val="20"/>
                <w:szCs w:val="20"/>
                <w:lang w:eastAsia="en-IE"/>
              </w:rPr>
              <w:t>TOTAL MFF 2021-2027</w:t>
            </w:r>
          </w:p>
        </w:tc>
      </w:tr>
      <w:tr w:rsidR="005061E6" w:rsidRPr="00F81955">
        <w:trPr>
          <w:trHeight w:val="300"/>
        </w:trPr>
        <w:tc>
          <w:tcPr>
            <w:tcW w:w="7064" w:type="dxa"/>
            <w:gridSpan w:val="2"/>
            <w:vMerge/>
            <w:vAlign w:val="center"/>
            <w:hideMark/>
          </w:tcPr>
          <w:p w:rsidR="005061E6" w:rsidRPr="00F81955" w:rsidRDefault="005061E6">
            <w:pPr>
              <w:spacing w:before="0" w:after="0"/>
              <w:jc w:val="left"/>
              <w:rPr>
                <w:noProof/>
                <w:color w:val="000000"/>
                <w:szCs w:val="24"/>
                <w:lang w:eastAsia="en-IE"/>
              </w:rPr>
            </w:pPr>
          </w:p>
        </w:tc>
        <w:tc>
          <w:tcPr>
            <w:tcW w:w="1153" w:type="dxa"/>
            <w:tcBorders>
              <w:top w:val="nil"/>
              <w:left w:val="nil"/>
              <w:bottom w:val="single" w:sz="8" w:space="0" w:color="auto"/>
              <w:right w:val="single" w:sz="8" w:space="0" w:color="auto"/>
            </w:tcBorders>
            <w:vAlign w:val="center"/>
            <w:hideMark/>
          </w:tcPr>
          <w:p w:rsidR="005061E6" w:rsidRPr="00F81955" w:rsidRDefault="005061E6">
            <w:pPr>
              <w:spacing w:before="0" w:after="0"/>
              <w:jc w:val="center"/>
              <w:rPr>
                <w:b/>
                <w:bCs/>
                <w:noProof/>
                <w:color w:val="000000"/>
                <w:sz w:val="20"/>
                <w:szCs w:val="20"/>
                <w:lang w:eastAsia="en-IE"/>
              </w:rPr>
            </w:pPr>
            <w:r w:rsidRPr="00F81955">
              <w:rPr>
                <w:b/>
                <w:bCs/>
                <w:noProof/>
                <w:color w:val="000000"/>
                <w:sz w:val="20"/>
                <w:szCs w:val="20"/>
                <w:lang w:eastAsia="en-IE"/>
              </w:rPr>
              <w:t>2024</w:t>
            </w:r>
          </w:p>
        </w:tc>
        <w:tc>
          <w:tcPr>
            <w:tcW w:w="1152" w:type="dxa"/>
            <w:tcBorders>
              <w:top w:val="nil"/>
              <w:left w:val="nil"/>
              <w:bottom w:val="single" w:sz="8" w:space="0" w:color="auto"/>
              <w:right w:val="single" w:sz="8" w:space="0" w:color="auto"/>
            </w:tcBorders>
            <w:vAlign w:val="center"/>
            <w:hideMark/>
          </w:tcPr>
          <w:p w:rsidR="005061E6" w:rsidRPr="00F81955" w:rsidRDefault="005061E6">
            <w:pPr>
              <w:spacing w:before="0" w:after="0"/>
              <w:jc w:val="center"/>
              <w:rPr>
                <w:b/>
                <w:bCs/>
                <w:noProof/>
                <w:color w:val="000000"/>
                <w:sz w:val="20"/>
                <w:szCs w:val="20"/>
                <w:lang w:eastAsia="en-IE"/>
              </w:rPr>
            </w:pPr>
            <w:r w:rsidRPr="00F81955">
              <w:rPr>
                <w:b/>
                <w:bCs/>
                <w:noProof/>
                <w:color w:val="000000"/>
                <w:sz w:val="20"/>
                <w:szCs w:val="20"/>
                <w:lang w:eastAsia="en-IE"/>
              </w:rPr>
              <w:t>2025</w:t>
            </w:r>
          </w:p>
        </w:tc>
        <w:tc>
          <w:tcPr>
            <w:tcW w:w="1152" w:type="dxa"/>
            <w:tcBorders>
              <w:top w:val="nil"/>
              <w:left w:val="nil"/>
              <w:bottom w:val="single" w:sz="8" w:space="0" w:color="auto"/>
              <w:right w:val="single" w:sz="8" w:space="0" w:color="auto"/>
            </w:tcBorders>
            <w:vAlign w:val="center"/>
            <w:hideMark/>
          </w:tcPr>
          <w:p w:rsidR="005061E6" w:rsidRPr="00F81955" w:rsidRDefault="005061E6">
            <w:pPr>
              <w:spacing w:before="0" w:after="0"/>
              <w:jc w:val="center"/>
              <w:rPr>
                <w:b/>
                <w:bCs/>
                <w:noProof/>
                <w:color w:val="000000"/>
                <w:sz w:val="20"/>
                <w:szCs w:val="20"/>
                <w:lang w:eastAsia="en-IE"/>
              </w:rPr>
            </w:pPr>
            <w:r w:rsidRPr="00F81955">
              <w:rPr>
                <w:b/>
                <w:bCs/>
                <w:noProof/>
                <w:color w:val="000000"/>
                <w:sz w:val="20"/>
                <w:szCs w:val="20"/>
                <w:lang w:eastAsia="en-IE"/>
              </w:rPr>
              <w:t>2026</w:t>
            </w:r>
          </w:p>
        </w:tc>
        <w:tc>
          <w:tcPr>
            <w:tcW w:w="1152" w:type="dxa"/>
            <w:tcBorders>
              <w:top w:val="nil"/>
              <w:left w:val="nil"/>
              <w:bottom w:val="single" w:sz="8" w:space="0" w:color="auto"/>
              <w:right w:val="single" w:sz="8" w:space="0" w:color="auto"/>
            </w:tcBorders>
            <w:vAlign w:val="center"/>
            <w:hideMark/>
          </w:tcPr>
          <w:p w:rsidR="005061E6" w:rsidRPr="00F81955" w:rsidRDefault="005061E6">
            <w:pPr>
              <w:spacing w:before="0" w:after="0"/>
              <w:jc w:val="center"/>
              <w:rPr>
                <w:b/>
                <w:bCs/>
                <w:noProof/>
                <w:color w:val="000000"/>
                <w:sz w:val="20"/>
                <w:szCs w:val="20"/>
                <w:lang w:eastAsia="en-IE"/>
              </w:rPr>
            </w:pPr>
            <w:r w:rsidRPr="00F81955">
              <w:rPr>
                <w:b/>
                <w:bCs/>
                <w:noProof/>
                <w:color w:val="000000"/>
                <w:sz w:val="20"/>
                <w:szCs w:val="20"/>
                <w:lang w:eastAsia="en-IE"/>
              </w:rPr>
              <w:t>2027</w:t>
            </w:r>
          </w:p>
        </w:tc>
        <w:tc>
          <w:tcPr>
            <w:tcW w:w="1152" w:type="dxa"/>
            <w:tcBorders>
              <w:top w:val="nil"/>
              <w:left w:val="nil"/>
              <w:bottom w:val="single" w:sz="8" w:space="0" w:color="auto"/>
              <w:right w:val="single" w:sz="8" w:space="0" w:color="auto"/>
            </w:tcBorders>
            <w:vAlign w:val="center"/>
          </w:tcPr>
          <w:p w:rsidR="005061E6" w:rsidRPr="00F81955" w:rsidRDefault="005061E6">
            <w:pPr>
              <w:jc w:val="center"/>
              <w:rPr>
                <w:b/>
                <w:bCs/>
                <w:noProof/>
                <w:color w:val="000000" w:themeColor="text1"/>
                <w:sz w:val="20"/>
                <w:szCs w:val="20"/>
                <w:lang w:eastAsia="en-IE"/>
              </w:rPr>
            </w:pPr>
          </w:p>
        </w:tc>
        <w:tc>
          <w:tcPr>
            <w:tcW w:w="1393" w:type="dxa"/>
            <w:vMerge/>
            <w:vAlign w:val="center"/>
            <w:hideMark/>
          </w:tcPr>
          <w:p w:rsidR="005061E6" w:rsidRPr="00F81955" w:rsidRDefault="005061E6">
            <w:pPr>
              <w:spacing w:before="0" w:after="0"/>
              <w:jc w:val="left"/>
              <w:rPr>
                <w:b/>
                <w:bCs/>
                <w:noProof/>
                <w:color w:val="000000"/>
                <w:sz w:val="20"/>
                <w:szCs w:val="20"/>
                <w:lang w:eastAsia="en-IE"/>
              </w:rPr>
            </w:pPr>
          </w:p>
        </w:tc>
      </w:tr>
      <w:tr w:rsidR="005061E6" w:rsidRPr="00F81955">
        <w:trPr>
          <w:trHeight w:val="564"/>
        </w:trPr>
        <w:tc>
          <w:tcPr>
            <w:tcW w:w="5153" w:type="dxa"/>
            <w:tcBorders>
              <w:top w:val="single" w:sz="8" w:space="0" w:color="auto"/>
              <w:left w:val="single" w:sz="8" w:space="0" w:color="auto"/>
              <w:bottom w:val="single" w:sz="8" w:space="0" w:color="auto"/>
              <w:right w:val="single" w:sz="8" w:space="0" w:color="000000" w:themeColor="text1"/>
            </w:tcBorders>
            <w:shd w:val="clear" w:color="auto" w:fill="C0C0C0"/>
            <w:vAlign w:val="center"/>
            <w:hideMark/>
          </w:tcPr>
          <w:p w:rsidR="005061E6" w:rsidRPr="00F81955" w:rsidRDefault="005061E6">
            <w:pPr>
              <w:spacing w:before="0" w:after="0"/>
              <w:jc w:val="center"/>
              <w:rPr>
                <w:b/>
                <w:bCs/>
                <w:noProof/>
                <w:color w:val="000000"/>
                <w:sz w:val="22"/>
                <w:lang w:eastAsia="en-IE"/>
              </w:rPr>
            </w:pPr>
            <w:r w:rsidRPr="00F81955">
              <w:rPr>
                <w:b/>
                <w:bCs/>
                <w:noProof/>
                <w:color w:val="000000"/>
                <w:sz w:val="22"/>
                <w:lang w:eastAsia="en-IE"/>
              </w:rPr>
              <w:t>TOTAL appropriations under HEADINGS 1 to 7</w:t>
            </w:r>
          </w:p>
        </w:tc>
        <w:tc>
          <w:tcPr>
            <w:tcW w:w="1911" w:type="dxa"/>
            <w:tcBorders>
              <w:top w:val="single" w:sz="8" w:space="0" w:color="auto"/>
              <w:left w:val="nil"/>
              <w:bottom w:val="single" w:sz="8" w:space="0" w:color="auto"/>
              <w:right w:val="single" w:sz="8" w:space="0" w:color="auto"/>
            </w:tcBorders>
            <w:vAlign w:val="center"/>
            <w:hideMark/>
          </w:tcPr>
          <w:p w:rsidR="005061E6" w:rsidRPr="00F81955" w:rsidRDefault="005061E6">
            <w:pPr>
              <w:spacing w:before="0" w:after="0"/>
              <w:rPr>
                <w:noProof/>
                <w:color w:val="000000"/>
                <w:sz w:val="18"/>
                <w:szCs w:val="18"/>
                <w:lang w:eastAsia="en-IE"/>
              </w:rPr>
            </w:pPr>
            <w:r w:rsidRPr="00F81955">
              <w:rPr>
                <w:noProof/>
                <w:color w:val="000000"/>
                <w:sz w:val="18"/>
                <w:szCs w:val="18"/>
                <w:lang w:eastAsia="en-IE"/>
              </w:rPr>
              <w:t>Commitments</w:t>
            </w:r>
          </w:p>
        </w:tc>
        <w:tc>
          <w:tcPr>
            <w:tcW w:w="1153" w:type="dxa"/>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b/>
                <w:bCs/>
                <w:noProof/>
                <w:color w:val="000000"/>
                <w:szCs w:val="24"/>
                <w:lang w:eastAsia="en-IE"/>
              </w:rPr>
            </w:pPr>
          </w:p>
        </w:tc>
        <w:tc>
          <w:tcPr>
            <w:tcW w:w="1152" w:type="dxa"/>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b/>
                <w:bCs/>
                <w:noProof/>
                <w:color w:val="000000"/>
                <w:szCs w:val="24"/>
                <w:lang w:eastAsia="en-IE"/>
              </w:rPr>
            </w:pPr>
          </w:p>
        </w:tc>
        <w:tc>
          <w:tcPr>
            <w:tcW w:w="1152" w:type="dxa"/>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lang w:eastAsia="en-IE"/>
              </w:rPr>
            </w:pPr>
            <w:r w:rsidRPr="00F81955">
              <w:rPr>
                <w:b/>
                <w:bCs/>
                <w:noProof/>
                <w:lang w:eastAsia="en-IE"/>
              </w:rPr>
              <w:t>4,107</w:t>
            </w:r>
          </w:p>
        </w:tc>
        <w:tc>
          <w:tcPr>
            <w:tcW w:w="1152" w:type="dxa"/>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lang w:eastAsia="en-IE"/>
              </w:rPr>
            </w:pPr>
            <w:r w:rsidRPr="00F81955">
              <w:rPr>
                <w:b/>
                <w:bCs/>
                <w:noProof/>
                <w:lang w:eastAsia="en-IE"/>
              </w:rPr>
              <w:t>7,748</w:t>
            </w:r>
          </w:p>
        </w:tc>
        <w:tc>
          <w:tcPr>
            <w:tcW w:w="1152" w:type="dxa"/>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jc w:val="right"/>
              <w:rPr>
                <w:b/>
                <w:bCs/>
                <w:noProof/>
                <w:lang w:eastAsia="en-IE"/>
              </w:rPr>
            </w:pPr>
            <w:r w:rsidRPr="00F81955">
              <w:rPr>
                <w:b/>
                <w:bCs/>
                <w:noProof/>
                <w:lang w:eastAsia="en-IE"/>
              </w:rPr>
              <w:t>8,</w:t>
            </w:r>
            <w:r w:rsidR="21A79946" w:rsidRPr="00F81955">
              <w:rPr>
                <w:b/>
                <w:bCs/>
                <w:noProof/>
                <w:lang w:eastAsia="en-IE"/>
              </w:rPr>
              <w:t>248</w:t>
            </w:r>
          </w:p>
        </w:tc>
        <w:tc>
          <w:tcPr>
            <w:tcW w:w="1393" w:type="dxa"/>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lang w:eastAsia="en-IE"/>
              </w:rPr>
            </w:pPr>
            <w:r w:rsidRPr="00F81955">
              <w:rPr>
                <w:b/>
                <w:bCs/>
                <w:noProof/>
                <w:lang w:eastAsia="en-IE"/>
              </w:rPr>
              <w:t>11,855</w:t>
            </w:r>
          </w:p>
        </w:tc>
      </w:tr>
      <w:tr w:rsidR="005061E6" w:rsidRPr="00F81955">
        <w:trPr>
          <w:trHeight w:val="540"/>
        </w:trPr>
        <w:tc>
          <w:tcPr>
            <w:tcW w:w="5153" w:type="dxa"/>
            <w:tcBorders>
              <w:top w:val="single" w:sz="8" w:space="0" w:color="auto"/>
              <w:left w:val="single" w:sz="8" w:space="0" w:color="auto"/>
              <w:bottom w:val="single" w:sz="8" w:space="0" w:color="auto"/>
              <w:right w:val="single" w:sz="8" w:space="0" w:color="000000" w:themeColor="text1"/>
            </w:tcBorders>
            <w:shd w:val="clear" w:color="auto" w:fill="C0C0C0"/>
            <w:vAlign w:val="center"/>
            <w:hideMark/>
          </w:tcPr>
          <w:p w:rsidR="005061E6" w:rsidRPr="00F81955" w:rsidRDefault="005061E6">
            <w:pPr>
              <w:spacing w:before="0" w:after="0"/>
              <w:jc w:val="center"/>
              <w:rPr>
                <w:noProof/>
                <w:color w:val="000000"/>
                <w:sz w:val="22"/>
                <w:lang w:eastAsia="en-IE"/>
              </w:rPr>
            </w:pPr>
            <w:r w:rsidRPr="00F81955">
              <w:rPr>
                <w:noProof/>
                <w:color w:val="000000"/>
                <w:sz w:val="22"/>
                <w:lang w:eastAsia="en-IE"/>
              </w:rPr>
              <w:t>of the multiannual financial framework</w:t>
            </w:r>
            <w:r w:rsidRPr="00F81955">
              <w:rPr>
                <w:b/>
                <w:bCs/>
                <w:noProof/>
                <w:color w:val="000000"/>
                <w:sz w:val="22"/>
                <w:lang w:eastAsia="en-IE"/>
              </w:rPr>
              <w:t xml:space="preserve"> </w:t>
            </w:r>
          </w:p>
        </w:tc>
        <w:tc>
          <w:tcPr>
            <w:tcW w:w="1911" w:type="dxa"/>
            <w:tcBorders>
              <w:top w:val="single" w:sz="8" w:space="0" w:color="auto"/>
              <w:left w:val="nil"/>
              <w:bottom w:val="single" w:sz="8" w:space="0" w:color="auto"/>
              <w:right w:val="single" w:sz="8" w:space="0" w:color="auto"/>
            </w:tcBorders>
            <w:vAlign w:val="center"/>
            <w:hideMark/>
          </w:tcPr>
          <w:p w:rsidR="005061E6" w:rsidRPr="00F81955" w:rsidRDefault="005061E6">
            <w:pPr>
              <w:spacing w:before="0" w:after="0"/>
              <w:rPr>
                <w:noProof/>
                <w:color w:val="000000"/>
                <w:sz w:val="18"/>
                <w:szCs w:val="18"/>
                <w:lang w:eastAsia="en-IE"/>
              </w:rPr>
            </w:pPr>
            <w:r w:rsidRPr="00F81955">
              <w:rPr>
                <w:noProof/>
                <w:color w:val="000000"/>
                <w:sz w:val="18"/>
                <w:szCs w:val="18"/>
                <w:lang w:eastAsia="en-IE"/>
              </w:rPr>
              <w:t>Payments</w:t>
            </w:r>
          </w:p>
        </w:tc>
        <w:tc>
          <w:tcPr>
            <w:tcW w:w="1153" w:type="dxa"/>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b/>
                <w:bCs/>
                <w:noProof/>
                <w:color w:val="000000"/>
                <w:szCs w:val="24"/>
                <w:lang w:eastAsia="en-IE"/>
              </w:rPr>
            </w:pPr>
          </w:p>
        </w:tc>
        <w:tc>
          <w:tcPr>
            <w:tcW w:w="1152" w:type="dxa"/>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b/>
                <w:bCs/>
                <w:noProof/>
                <w:color w:val="000000"/>
                <w:szCs w:val="24"/>
                <w:lang w:eastAsia="en-IE"/>
              </w:rPr>
            </w:pPr>
          </w:p>
        </w:tc>
        <w:tc>
          <w:tcPr>
            <w:tcW w:w="1152" w:type="dxa"/>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lang w:eastAsia="en-IE"/>
              </w:rPr>
            </w:pPr>
            <w:r w:rsidRPr="00F81955">
              <w:rPr>
                <w:b/>
                <w:bCs/>
                <w:noProof/>
                <w:lang w:eastAsia="en-IE"/>
              </w:rPr>
              <w:t>3,607</w:t>
            </w:r>
          </w:p>
        </w:tc>
        <w:tc>
          <w:tcPr>
            <w:tcW w:w="1152" w:type="dxa"/>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lang w:eastAsia="en-IE"/>
              </w:rPr>
            </w:pPr>
            <w:r w:rsidRPr="00F81955">
              <w:rPr>
                <w:b/>
                <w:bCs/>
                <w:noProof/>
                <w:lang w:eastAsia="en-IE"/>
              </w:rPr>
              <w:t>7,7</w:t>
            </w:r>
            <w:r w:rsidR="58012B75" w:rsidRPr="00F81955">
              <w:rPr>
                <w:b/>
                <w:bCs/>
                <w:noProof/>
                <w:lang w:eastAsia="en-IE"/>
              </w:rPr>
              <w:t>48</w:t>
            </w:r>
          </w:p>
        </w:tc>
        <w:tc>
          <w:tcPr>
            <w:tcW w:w="1152" w:type="dxa"/>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jc w:val="right"/>
              <w:rPr>
                <w:b/>
                <w:bCs/>
                <w:noProof/>
                <w:lang w:eastAsia="en-IE"/>
              </w:rPr>
            </w:pPr>
            <w:r w:rsidRPr="00F81955">
              <w:rPr>
                <w:b/>
                <w:bCs/>
                <w:noProof/>
                <w:lang w:eastAsia="en-IE"/>
              </w:rPr>
              <w:t>8,</w:t>
            </w:r>
            <w:r w:rsidR="2E31425A" w:rsidRPr="00F81955">
              <w:rPr>
                <w:b/>
                <w:bCs/>
                <w:noProof/>
                <w:lang w:eastAsia="en-IE"/>
              </w:rPr>
              <w:t>748</w:t>
            </w:r>
          </w:p>
        </w:tc>
        <w:tc>
          <w:tcPr>
            <w:tcW w:w="1393" w:type="dxa"/>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lang w:eastAsia="en-IE"/>
              </w:rPr>
            </w:pPr>
            <w:r w:rsidRPr="00F81955">
              <w:rPr>
                <w:b/>
                <w:bCs/>
                <w:noProof/>
                <w:lang w:eastAsia="en-IE"/>
              </w:rPr>
              <w:t>11,8</w:t>
            </w:r>
            <w:r w:rsidR="50D56541" w:rsidRPr="00F81955">
              <w:rPr>
                <w:b/>
                <w:bCs/>
                <w:noProof/>
                <w:lang w:eastAsia="en-IE"/>
              </w:rPr>
              <w:t>55</w:t>
            </w:r>
          </w:p>
        </w:tc>
      </w:tr>
    </w:tbl>
    <w:p w:rsidR="003F3A5E" w:rsidRPr="00F81955" w:rsidRDefault="003F3A5E" w:rsidP="005061E6">
      <w:pPr>
        <w:rPr>
          <w:noProof/>
        </w:rPr>
      </w:pPr>
      <w:r w:rsidRPr="00F81955">
        <w:rPr>
          <w:noProof/>
        </w:rPr>
        <w:t>]</w:t>
      </w:r>
    </w:p>
    <w:p w:rsidR="005061E6" w:rsidRPr="00F81955" w:rsidRDefault="005061E6" w:rsidP="005061E6">
      <w:pPr>
        <w:pStyle w:val="ManualHeading3"/>
        <w:rPr>
          <w:bCs/>
          <w:noProof/>
          <w:szCs w:val="24"/>
        </w:rPr>
      </w:pPr>
      <w:bookmarkStart w:id="17" w:name="_Toc514938054"/>
      <w:bookmarkStart w:id="18" w:name="_Toc520485053"/>
      <w:bookmarkStart w:id="19" w:name="_Toc160804597"/>
      <w:bookmarkStart w:id="20" w:name="_Toc167220289"/>
      <w:bookmarkStart w:id="21" w:name="_Toc177549022"/>
      <w:r w:rsidRPr="00F81955">
        <w:rPr>
          <w:noProof/>
        </w:rPr>
        <w:t>3.2.2.</w:t>
      </w:r>
      <w:r w:rsidRPr="00F81955">
        <w:rPr>
          <w:noProof/>
        </w:rPr>
        <w:tab/>
        <w:t>Estimated output funded from operational appropriations</w:t>
      </w:r>
      <w:bookmarkEnd w:id="17"/>
      <w:bookmarkEnd w:id="18"/>
      <w:r w:rsidRPr="00F81955">
        <w:rPr>
          <w:noProof/>
        </w:rPr>
        <w:t xml:space="preserve"> (not to be completed for decentralised agencies)</w:t>
      </w:r>
      <w:bookmarkEnd w:id="19"/>
      <w:bookmarkEnd w:id="20"/>
      <w:bookmarkEnd w:id="21"/>
    </w:p>
    <w:p w:rsidR="005061E6" w:rsidRPr="00F81955" w:rsidRDefault="005061E6" w:rsidP="005061E6">
      <w:pPr>
        <w:jc w:val="right"/>
        <w:rPr>
          <w:noProof/>
          <w:sz w:val="20"/>
        </w:rPr>
      </w:pPr>
      <w:r w:rsidRPr="00F81955">
        <w:rPr>
          <w:noProof/>
          <w:sz w:val="20"/>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5061E6" w:rsidRPr="00F81955">
        <w:trPr>
          <w:jc w:val="center"/>
        </w:trPr>
        <w:tc>
          <w:tcPr>
            <w:tcW w:w="1423" w:type="dxa"/>
            <w:vMerge w:val="restart"/>
            <w:vAlign w:val="center"/>
          </w:tcPr>
          <w:p w:rsidR="005061E6" w:rsidRPr="00F81955" w:rsidRDefault="005061E6">
            <w:pPr>
              <w:ind w:right="-29"/>
              <w:jc w:val="center"/>
              <w:rPr>
                <w:b/>
                <w:noProof/>
                <w:sz w:val="18"/>
                <w:szCs w:val="18"/>
              </w:rPr>
            </w:pPr>
            <w:r w:rsidRPr="00F81955">
              <w:rPr>
                <w:b/>
                <w:noProof/>
                <w:sz w:val="18"/>
              </w:rPr>
              <w:t xml:space="preserve">Indicate objectives and outputs </w:t>
            </w:r>
          </w:p>
          <w:p w:rsidR="005061E6" w:rsidRPr="00F81955" w:rsidRDefault="005061E6">
            <w:pPr>
              <w:ind w:right="-29"/>
              <w:jc w:val="center"/>
              <w:rPr>
                <w:b/>
                <w:noProof/>
                <w:sz w:val="18"/>
                <w:szCs w:val="18"/>
              </w:rPr>
            </w:pPr>
          </w:p>
          <w:p w:rsidR="005061E6" w:rsidRPr="00F81955" w:rsidRDefault="005061E6">
            <w:pPr>
              <w:ind w:right="-29"/>
              <w:jc w:val="center"/>
              <w:rPr>
                <w:noProof/>
                <w:sz w:val="18"/>
                <w:szCs w:val="18"/>
              </w:rPr>
            </w:pPr>
            <w:r w:rsidRPr="00F81955">
              <w:rPr>
                <w:rFonts w:ascii="Wingdings" w:eastAsia="Wingdings" w:hAnsi="Wingdings" w:cs="Wingdings"/>
                <w:noProof/>
                <w:sz w:val="18"/>
              </w:rPr>
              <w:t></w:t>
            </w:r>
          </w:p>
        </w:tc>
        <w:tc>
          <w:tcPr>
            <w:tcW w:w="720" w:type="dxa"/>
            <w:vAlign w:val="center"/>
          </w:tcPr>
          <w:p w:rsidR="005061E6" w:rsidRPr="00F81955" w:rsidRDefault="005061E6">
            <w:pPr>
              <w:ind w:right="-29"/>
              <w:jc w:val="center"/>
              <w:rPr>
                <w:noProof/>
                <w:sz w:val="18"/>
                <w:szCs w:val="18"/>
              </w:rPr>
            </w:pPr>
          </w:p>
        </w:tc>
        <w:tc>
          <w:tcPr>
            <w:tcW w:w="701" w:type="dxa"/>
            <w:vAlign w:val="center"/>
          </w:tcPr>
          <w:p w:rsidR="005061E6" w:rsidRPr="00F81955" w:rsidRDefault="005061E6">
            <w:pPr>
              <w:ind w:right="-29"/>
              <w:jc w:val="center"/>
              <w:rPr>
                <w:noProof/>
                <w:sz w:val="18"/>
                <w:szCs w:val="18"/>
              </w:rPr>
            </w:pPr>
          </w:p>
        </w:tc>
        <w:tc>
          <w:tcPr>
            <w:tcW w:w="1224" w:type="dxa"/>
            <w:gridSpan w:val="2"/>
            <w:tcBorders>
              <w:left w:val="nil"/>
            </w:tcBorders>
            <w:vAlign w:val="center"/>
          </w:tcPr>
          <w:p w:rsidR="005061E6" w:rsidRPr="00F81955" w:rsidRDefault="005061E6">
            <w:pPr>
              <w:ind w:right="-29"/>
              <w:jc w:val="center"/>
              <w:rPr>
                <w:noProof/>
                <w:sz w:val="18"/>
                <w:szCs w:val="18"/>
              </w:rPr>
            </w:pPr>
            <w:r w:rsidRPr="00F81955">
              <w:rPr>
                <w:noProof/>
                <w:sz w:val="18"/>
              </w:rPr>
              <w:t xml:space="preserve">Year </w:t>
            </w:r>
            <w:r w:rsidRPr="00F81955">
              <w:rPr>
                <w:noProof/>
                <w:sz w:val="22"/>
              </w:rPr>
              <w:br/>
            </w:r>
            <w:r w:rsidRPr="00F81955">
              <w:rPr>
                <w:b/>
                <w:noProof/>
                <w:sz w:val="18"/>
              </w:rPr>
              <w:t>2024</w:t>
            </w:r>
          </w:p>
        </w:tc>
        <w:tc>
          <w:tcPr>
            <w:tcW w:w="1260" w:type="dxa"/>
            <w:gridSpan w:val="2"/>
            <w:vAlign w:val="center"/>
          </w:tcPr>
          <w:p w:rsidR="005061E6" w:rsidRPr="00F81955" w:rsidRDefault="005061E6">
            <w:pPr>
              <w:ind w:right="-29"/>
              <w:jc w:val="center"/>
              <w:rPr>
                <w:noProof/>
                <w:sz w:val="18"/>
                <w:szCs w:val="18"/>
              </w:rPr>
            </w:pPr>
            <w:r w:rsidRPr="00F81955">
              <w:rPr>
                <w:noProof/>
                <w:sz w:val="18"/>
              </w:rPr>
              <w:t xml:space="preserve">Year </w:t>
            </w:r>
            <w:r w:rsidRPr="00F81955">
              <w:rPr>
                <w:noProof/>
                <w:sz w:val="22"/>
              </w:rPr>
              <w:br/>
            </w:r>
            <w:r w:rsidRPr="00F81955">
              <w:rPr>
                <w:b/>
                <w:noProof/>
                <w:sz w:val="18"/>
              </w:rPr>
              <w:t>2025</w:t>
            </w:r>
          </w:p>
        </w:tc>
        <w:tc>
          <w:tcPr>
            <w:tcW w:w="1440" w:type="dxa"/>
            <w:gridSpan w:val="2"/>
            <w:vAlign w:val="center"/>
          </w:tcPr>
          <w:p w:rsidR="005061E6" w:rsidRPr="00F81955" w:rsidRDefault="005061E6">
            <w:pPr>
              <w:ind w:right="-29"/>
              <w:jc w:val="center"/>
              <w:rPr>
                <w:noProof/>
                <w:sz w:val="18"/>
                <w:szCs w:val="18"/>
              </w:rPr>
            </w:pPr>
            <w:r w:rsidRPr="00F81955">
              <w:rPr>
                <w:noProof/>
                <w:sz w:val="18"/>
              </w:rPr>
              <w:t xml:space="preserve">Year </w:t>
            </w:r>
            <w:r w:rsidRPr="00F81955">
              <w:rPr>
                <w:noProof/>
                <w:sz w:val="22"/>
              </w:rPr>
              <w:br/>
            </w:r>
            <w:r w:rsidRPr="00F81955">
              <w:rPr>
                <w:b/>
                <w:noProof/>
                <w:sz w:val="18"/>
              </w:rPr>
              <w:t>2026</w:t>
            </w:r>
          </w:p>
        </w:tc>
        <w:tc>
          <w:tcPr>
            <w:tcW w:w="1620" w:type="dxa"/>
            <w:gridSpan w:val="3"/>
            <w:vAlign w:val="center"/>
          </w:tcPr>
          <w:p w:rsidR="005061E6" w:rsidRPr="00F81955" w:rsidRDefault="005061E6">
            <w:pPr>
              <w:ind w:right="-29"/>
              <w:jc w:val="center"/>
              <w:rPr>
                <w:noProof/>
                <w:sz w:val="18"/>
                <w:szCs w:val="18"/>
              </w:rPr>
            </w:pPr>
            <w:r w:rsidRPr="00F81955">
              <w:rPr>
                <w:noProof/>
                <w:sz w:val="18"/>
              </w:rPr>
              <w:t xml:space="preserve">Year </w:t>
            </w:r>
            <w:r w:rsidRPr="00F81955">
              <w:rPr>
                <w:noProof/>
                <w:sz w:val="22"/>
              </w:rPr>
              <w:br/>
            </w:r>
            <w:r w:rsidRPr="00F81955">
              <w:rPr>
                <w:b/>
                <w:noProof/>
                <w:sz w:val="18"/>
              </w:rPr>
              <w:t>2027</w:t>
            </w:r>
          </w:p>
        </w:tc>
        <w:tc>
          <w:tcPr>
            <w:tcW w:w="3600" w:type="dxa"/>
            <w:gridSpan w:val="6"/>
            <w:vAlign w:val="center"/>
          </w:tcPr>
          <w:p w:rsidR="005061E6" w:rsidRPr="00F81955" w:rsidRDefault="005061E6">
            <w:pPr>
              <w:jc w:val="center"/>
              <w:rPr>
                <w:noProof/>
                <w:sz w:val="18"/>
                <w:szCs w:val="18"/>
              </w:rPr>
            </w:pPr>
            <w:r w:rsidRPr="00F81955">
              <w:rPr>
                <w:noProof/>
                <w:sz w:val="18"/>
              </w:rPr>
              <w:t>Enter as many years as necessary to show the duration of the impact (see Section1.6)</w:t>
            </w:r>
          </w:p>
        </w:tc>
        <w:tc>
          <w:tcPr>
            <w:tcW w:w="1620" w:type="dxa"/>
            <w:gridSpan w:val="2"/>
            <w:tcBorders>
              <w:left w:val="nil"/>
              <w:bottom w:val="nil"/>
            </w:tcBorders>
            <w:vAlign w:val="center"/>
          </w:tcPr>
          <w:p w:rsidR="005061E6" w:rsidRPr="00F81955" w:rsidRDefault="005061E6">
            <w:pPr>
              <w:ind w:right="-29"/>
              <w:jc w:val="center"/>
              <w:rPr>
                <w:noProof/>
                <w:sz w:val="18"/>
                <w:szCs w:val="18"/>
              </w:rPr>
            </w:pPr>
            <w:r w:rsidRPr="00F81955">
              <w:rPr>
                <w:b/>
                <w:noProof/>
                <w:sz w:val="18"/>
              </w:rPr>
              <w:t>TOTAL</w:t>
            </w:r>
          </w:p>
        </w:tc>
      </w:tr>
      <w:tr w:rsidR="005061E6" w:rsidRPr="00F81955">
        <w:trPr>
          <w:jc w:val="center"/>
        </w:trPr>
        <w:tc>
          <w:tcPr>
            <w:tcW w:w="1423" w:type="dxa"/>
            <w:vMerge/>
            <w:vAlign w:val="center"/>
          </w:tcPr>
          <w:p w:rsidR="005061E6" w:rsidRPr="00F81955" w:rsidRDefault="005061E6">
            <w:pPr>
              <w:ind w:right="-29"/>
              <w:jc w:val="center"/>
              <w:rPr>
                <w:noProof/>
                <w:sz w:val="18"/>
                <w:szCs w:val="18"/>
              </w:rPr>
            </w:pPr>
          </w:p>
        </w:tc>
        <w:tc>
          <w:tcPr>
            <w:tcW w:w="12185" w:type="dxa"/>
            <w:gridSpan w:val="19"/>
            <w:vAlign w:val="center"/>
          </w:tcPr>
          <w:p w:rsidR="005061E6" w:rsidRPr="00F81955" w:rsidRDefault="005061E6">
            <w:pPr>
              <w:spacing w:before="60" w:after="60"/>
              <w:ind w:right="-29"/>
              <w:jc w:val="center"/>
              <w:rPr>
                <w:noProof/>
                <w:sz w:val="18"/>
                <w:szCs w:val="18"/>
              </w:rPr>
            </w:pPr>
            <w:r w:rsidRPr="00F81955">
              <w:rPr>
                <w:b/>
                <w:noProof/>
                <w:sz w:val="18"/>
              </w:rPr>
              <w:t>OUTPUTS</w:t>
            </w:r>
          </w:p>
        </w:tc>
      </w:tr>
      <w:tr w:rsidR="005061E6" w:rsidRPr="00F81955">
        <w:trPr>
          <w:cantSplit/>
          <w:trHeight w:val="1134"/>
          <w:jc w:val="center"/>
        </w:trPr>
        <w:tc>
          <w:tcPr>
            <w:tcW w:w="1423" w:type="dxa"/>
            <w:vMerge/>
            <w:vAlign w:val="center"/>
          </w:tcPr>
          <w:p w:rsidR="005061E6" w:rsidRPr="00F81955" w:rsidRDefault="005061E6">
            <w:pPr>
              <w:rPr>
                <w:noProof/>
                <w:sz w:val="18"/>
                <w:szCs w:val="18"/>
              </w:rPr>
            </w:pPr>
          </w:p>
        </w:tc>
        <w:tc>
          <w:tcPr>
            <w:tcW w:w="720" w:type="dxa"/>
            <w:vAlign w:val="center"/>
          </w:tcPr>
          <w:p w:rsidR="005061E6" w:rsidRPr="00F81955" w:rsidRDefault="005061E6">
            <w:pPr>
              <w:jc w:val="center"/>
              <w:rPr>
                <w:noProof/>
                <w:sz w:val="18"/>
                <w:szCs w:val="18"/>
              </w:rPr>
            </w:pPr>
            <w:r w:rsidRPr="00F81955">
              <w:rPr>
                <w:noProof/>
                <w:sz w:val="18"/>
              </w:rPr>
              <w:t>Type</w:t>
            </w:r>
            <w:r w:rsidRPr="00F81955">
              <w:rPr>
                <w:rStyle w:val="FootnoteReference"/>
                <w:noProof/>
                <w:sz w:val="18"/>
              </w:rPr>
              <w:footnoteReference w:id="39"/>
            </w:r>
          </w:p>
          <w:p w:rsidR="005061E6" w:rsidRPr="00F81955" w:rsidRDefault="005061E6">
            <w:pPr>
              <w:spacing w:before="0" w:after="0"/>
              <w:jc w:val="center"/>
              <w:rPr>
                <w:noProof/>
                <w:sz w:val="18"/>
                <w:szCs w:val="18"/>
              </w:rPr>
            </w:pPr>
          </w:p>
        </w:tc>
        <w:tc>
          <w:tcPr>
            <w:tcW w:w="701" w:type="dxa"/>
            <w:vAlign w:val="center"/>
          </w:tcPr>
          <w:p w:rsidR="005061E6" w:rsidRPr="00F81955" w:rsidRDefault="005061E6">
            <w:pPr>
              <w:jc w:val="center"/>
              <w:rPr>
                <w:noProof/>
                <w:sz w:val="18"/>
                <w:szCs w:val="18"/>
              </w:rPr>
            </w:pPr>
            <w:r w:rsidRPr="00F81955">
              <w:rPr>
                <w:noProof/>
                <w:sz w:val="18"/>
              </w:rPr>
              <w:t>Average cost</w:t>
            </w:r>
          </w:p>
        </w:tc>
        <w:tc>
          <w:tcPr>
            <w:tcW w:w="504" w:type="dxa"/>
            <w:tcBorders>
              <w:left w:val="nil"/>
              <w:right w:val="dashSmallGap" w:sz="4" w:space="0" w:color="auto"/>
            </w:tcBorders>
            <w:textDirection w:val="btLr"/>
            <w:vAlign w:val="center"/>
          </w:tcPr>
          <w:p w:rsidR="005061E6" w:rsidRPr="00F81955" w:rsidRDefault="005061E6">
            <w:pPr>
              <w:ind w:left="113" w:right="113"/>
              <w:jc w:val="center"/>
              <w:rPr>
                <w:noProof/>
                <w:sz w:val="18"/>
                <w:szCs w:val="18"/>
              </w:rPr>
            </w:pPr>
            <w:r w:rsidRPr="00F81955">
              <w:rPr>
                <w:noProof/>
                <w:sz w:val="18"/>
              </w:rPr>
              <w:t>No</w:t>
            </w:r>
          </w:p>
        </w:tc>
        <w:tc>
          <w:tcPr>
            <w:tcW w:w="720" w:type="dxa"/>
            <w:tcBorders>
              <w:left w:val="dashSmallGap" w:sz="4" w:space="0" w:color="auto"/>
            </w:tcBorders>
            <w:vAlign w:val="center"/>
          </w:tcPr>
          <w:p w:rsidR="005061E6" w:rsidRPr="00F81955" w:rsidRDefault="005061E6">
            <w:pPr>
              <w:jc w:val="center"/>
              <w:rPr>
                <w:noProof/>
                <w:sz w:val="18"/>
                <w:szCs w:val="18"/>
              </w:rPr>
            </w:pPr>
            <w:r w:rsidRPr="00F81955">
              <w:rPr>
                <w:noProof/>
                <w:sz w:val="18"/>
              </w:rPr>
              <w:t>Cost</w:t>
            </w:r>
          </w:p>
        </w:tc>
        <w:tc>
          <w:tcPr>
            <w:tcW w:w="540" w:type="dxa"/>
            <w:tcBorders>
              <w:right w:val="dashSmallGap" w:sz="4" w:space="0" w:color="auto"/>
            </w:tcBorders>
            <w:textDirection w:val="btLr"/>
            <w:vAlign w:val="center"/>
          </w:tcPr>
          <w:p w:rsidR="005061E6" w:rsidRPr="00F81955" w:rsidRDefault="005061E6">
            <w:pPr>
              <w:ind w:left="113" w:right="113"/>
              <w:jc w:val="center"/>
              <w:rPr>
                <w:noProof/>
                <w:sz w:val="18"/>
                <w:szCs w:val="18"/>
              </w:rPr>
            </w:pPr>
            <w:r w:rsidRPr="00F81955">
              <w:rPr>
                <w:noProof/>
                <w:sz w:val="18"/>
              </w:rPr>
              <w:t>No</w:t>
            </w:r>
          </w:p>
        </w:tc>
        <w:tc>
          <w:tcPr>
            <w:tcW w:w="720" w:type="dxa"/>
            <w:tcBorders>
              <w:left w:val="dashSmallGap" w:sz="4" w:space="0" w:color="auto"/>
            </w:tcBorders>
            <w:vAlign w:val="center"/>
          </w:tcPr>
          <w:p w:rsidR="005061E6" w:rsidRPr="00F81955" w:rsidRDefault="005061E6">
            <w:pPr>
              <w:jc w:val="center"/>
              <w:rPr>
                <w:noProof/>
                <w:sz w:val="18"/>
                <w:szCs w:val="18"/>
              </w:rPr>
            </w:pPr>
            <w:r w:rsidRPr="00F81955">
              <w:rPr>
                <w:noProof/>
                <w:sz w:val="18"/>
              </w:rPr>
              <w:t>Cost</w:t>
            </w:r>
          </w:p>
        </w:tc>
        <w:tc>
          <w:tcPr>
            <w:tcW w:w="720" w:type="dxa"/>
            <w:tcBorders>
              <w:right w:val="dashSmallGap" w:sz="4" w:space="0" w:color="auto"/>
            </w:tcBorders>
            <w:textDirection w:val="btLr"/>
            <w:vAlign w:val="center"/>
          </w:tcPr>
          <w:p w:rsidR="005061E6" w:rsidRPr="00F81955" w:rsidRDefault="005061E6">
            <w:pPr>
              <w:ind w:left="113" w:right="113"/>
              <w:jc w:val="center"/>
              <w:rPr>
                <w:noProof/>
                <w:sz w:val="18"/>
                <w:szCs w:val="18"/>
              </w:rPr>
            </w:pPr>
            <w:r w:rsidRPr="00F81955">
              <w:rPr>
                <w:noProof/>
                <w:sz w:val="18"/>
              </w:rPr>
              <w:t>No</w:t>
            </w:r>
          </w:p>
        </w:tc>
        <w:tc>
          <w:tcPr>
            <w:tcW w:w="720" w:type="dxa"/>
            <w:tcBorders>
              <w:left w:val="dashSmallGap" w:sz="4" w:space="0" w:color="auto"/>
            </w:tcBorders>
            <w:vAlign w:val="center"/>
          </w:tcPr>
          <w:p w:rsidR="005061E6" w:rsidRPr="00F81955" w:rsidRDefault="005061E6">
            <w:pPr>
              <w:jc w:val="center"/>
              <w:rPr>
                <w:noProof/>
                <w:sz w:val="18"/>
                <w:szCs w:val="18"/>
              </w:rPr>
            </w:pPr>
            <w:r w:rsidRPr="00F81955">
              <w:rPr>
                <w:noProof/>
                <w:sz w:val="18"/>
              </w:rPr>
              <w:t>Cost</w:t>
            </w:r>
          </w:p>
        </w:tc>
        <w:tc>
          <w:tcPr>
            <w:tcW w:w="900" w:type="dxa"/>
            <w:tcBorders>
              <w:right w:val="dashSmallGap" w:sz="4" w:space="0" w:color="auto"/>
            </w:tcBorders>
            <w:textDirection w:val="btLr"/>
            <w:vAlign w:val="center"/>
          </w:tcPr>
          <w:p w:rsidR="005061E6" w:rsidRPr="00F81955" w:rsidRDefault="005061E6">
            <w:pPr>
              <w:ind w:left="113" w:right="113"/>
              <w:jc w:val="center"/>
              <w:rPr>
                <w:noProof/>
                <w:sz w:val="18"/>
                <w:szCs w:val="18"/>
              </w:rPr>
            </w:pPr>
            <w:r w:rsidRPr="00F81955">
              <w:rPr>
                <w:noProof/>
                <w:sz w:val="18"/>
              </w:rPr>
              <w:t>No</w:t>
            </w:r>
          </w:p>
        </w:tc>
        <w:tc>
          <w:tcPr>
            <w:tcW w:w="720" w:type="dxa"/>
            <w:gridSpan w:val="2"/>
            <w:tcBorders>
              <w:left w:val="dashSmallGap" w:sz="4" w:space="0" w:color="auto"/>
            </w:tcBorders>
            <w:vAlign w:val="center"/>
          </w:tcPr>
          <w:p w:rsidR="005061E6" w:rsidRPr="00F81955" w:rsidRDefault="005061E6">
            <w:pPr>
              <w:jc w:val="center"/>
              <w:rPr>
                <w:noProof/>
                <w:sz w:val="18"/>
                <w:szCs w:val="18"/>
              </w:rPr>
            </w:pPr>
            <w:r w:rsidRPr="00F81955">
              <w:rPr>
                <w:noProof/>
                <w:sz w:val="18"/>
              </w:rPr>
              <w:t>Cost</w:t>
            </w:r>
          </w:p>
        </w:tc>
        <w:tc>
          <w:tcPr>
            <w:tcW w:w="540" w:type="dxa"/>
            <w:tcBorders>
              <w:right w:val="dashSmallGap" w:sz="4" w:space="0" w:color="auto"/>
            </w:tcBorders>
            <w:textDirection w:val="btLr"/>
            <w:vAlign w:val="center"/>
          </w:tcPr>
          <w:p w:rsidR="005061E6" w:rsidRPr="00F81955" w:rsidRDefault="005061E6">
            <w:pPr>
              <w:ind w:left="113" w:right="113"/>
              <w:jc w:val="center"/>
              <w:rPr>
                <w:noProof/>
                <w:sz w:val="18"/>
                <w:szCs w:val="18"/>
              </w:rPr>
            </w:pPr>
            <w:r w:rsidRPr="00F81955">
              <w:rPr>
                <w:noProof/>
                <w:sz w:val="18"/>
              </w:rPr>
              <w:t>No</w:t>
            </w:r>
          </w:p>
        </w:tc>
        <w:tc>
          <w:tcPr>
            <w:tcW w:w="648" w:type="dxa"/>
            <w:tcBorders>
              <w:left w:val="dashSmallGap" w:sz="4" w:space="0" w:color="auto"/>
            </w:tcBorders>
            <w:vAlign w:val="center"/>
          </w:tcPr>
          <w:p w:rsidR="005061E6" w:rsidRPr="00F81955" w:rsidRDefault="005061E6">
            <w:pPr>
              <w:jc w:val="center"/>
              <w:rPr>
                <w:noProof/>
                <w:sz w:val="18"/>
                <w:szCs w:val="18"/>
              </w:rPr>
            </w:pPr>
            <w:r w:rsidRPr="00F81955">
              <w:rPr>
                <w:noProof/>
                <w:sz w:val="18"/>
              </w:rPr>
              <w:t>Cost</w:t>
            </w:r>
          </w:p>
        </w:tc>
        <w:tc>
          <w:tcPr>
            <w:tcW w:w="432" w:type="dxa"/>
            <w:tcBorders>
              <w:right w:val="dashSmallGap" w:sz="4" w:space="0" w:color="auto"/>
            </w:tcBorders>
            <w:textDirection w:val="btLr"/>
            <w:vAlign w:val="center"/>
          </w:tcPr>
          <w:p w:rsidR="005061E6" w:rsidRPr="00F81955" w:rsidRDefault="005061E6">
            <w:pPr>
              <w:ind w:left="113" w:right="113"/>
              <w:jc w:val="center"/>
              <w:rPr>
                <w:noProof/>
                <w:sz w:val="18"/>
                <w:szCs w:val="18"/>
              </w:rPr>
            </w:pPr>
            <w:r w:rsidRPr="00F81955">
              <w:rPr>
                <w:noProof/>
                <w:sz w:val="18"/>
              </w:rPr>
              <w:t>No</w:t>
            </w:r>
          </w:p>
        </w:tc>
        <w:tc>
          <w:tcPr>
            <w:tcW w:w="720" w:type="dxa"/>
            <w:tcBorders>
              <w:left w:val="dashSmallGap" w:sz="4" w:space="0" w:color="auto"/>
            </w:tcBorders>
            <w:vAlign w:val="center"/>
          </w:tcPr>
          <w:p w:rsidR="005061E6" w:rsidRPr="00F81955" w:rsidRDefault="005061E6">
            <w:pPr>
              <w:jc w:val="center"/>
              <w:rPr>
                <w:noProof/>
                <w:sz w:val="18"/>
                <w:szCs w:val="18"/>
              </w:rPr>
            </w:pPr>
            <w:r w:rsidRPr="00F81955">
              <w:rPr>
                <w:noProof/>
                <w:sz w:val="18"/>
              </w:rPr>
              <w:t>Cost</w:t>
            </w:r>
          </w:p>
        </w:tc>
        <w:tc>
          <w:tcPr>
            <w:tcW w:w="540" w:type="dxa"/>
            <w:tcBorders>
              <w:right w:val="dashSmallGap" w:sz="4" w:space="0" w:color="auto"/>
            </w:tcBorders>
            <w:textDirection w:val="btLr"/>
            <w:vAlign w:val="center"/>
          </w:tcPr>
          <w:p w:rsidR="005061E6" w:rsidRPr="00F81955" w:rsidRDefault="005061E6">
            <w:pPr>
              <w:ind w:left="113" w:right="113"/>
              <w:jc w:val="center"/>
              <w:rPr>
                <w:noProof/>
                <w:sz w:val="18"/>
                <w:szCs w:val="18"/>
              </w:rPr>
            </w:pPr>
            <w:r w:rsidRPr="00F81955">
              <w:rPr>
                <w:noProof/>
                <w:sz w:val="18"/>
              </w:rPr>
              <w:t>No</w:t>
            </w:r>
          </w:p>
        </w:tc>
        <w:tc>
          <w:tcPr>
            <w:tcW w:w="720" w:type="dxa"/>
            <w:tcBorders>
              <w:left w:val="dashSmallGap" w:sz="4" w:space="0" w:color="auto"/>
            </w:tcBorders>
            <w:vAlign w:val="center"/>
          </w:tcPr>
          <w:p w:rsidR="005061E6" w:rsidRPr="00F81955" w:rsidRDefault="005061E6">
            <w:pPr>
              <w:jc w:val="center"/>
              <w:rPr>
                <w:noProof/>
                <w:sz w:val="18"/>
                <w:szCs w:val="18"/>
              </w:rPr>
            </w:pPr>
            <w:r w:rsidRPr="00F81955">
              <w:rPr>
                <w:noProof/>
                <w:sz w:val="18"/>
              </w:rPr>
              <w:t>Cost</w:t>
            </w:r>
          </w:p>
        </w:tc>
        <w:tc>
          <w:tcPr>
            <w:tcW w:w="720" w:type="dxa"/>
            <w:tcBorders>
              <w:right w:val="dashSmallGap" w:sz="4" w:space="0" w:color="auto"/>
            </w:tcBorders>
            <w:vAlign w:val="center"/>
          </w:tcPr>
          <w:p w:rsidR="005061E6" w:rsidRPr="00F81955" w:rsidRDefault="005061E6">
            <w:pPr>
              <w:jc w:val="center"/>
              <w:rPr>
                <w:noProof/>
                <w:sz w:val="18"/>
                <w:szCs w:val="18"/>
              </w:rPr>
            </w:pPr>
            <w:r w:rsidRPr="00F81955">
              <w:rPr>
                <w:noProof/>
                <w:sz w:val="18"/>
              </w:rPr>
              <w:t>Total No</w:t>
            </w:r>
          </w:p>
        </w:tc>
        <w:tc>
          <w:tcPr>
            <w:tcW w:w="900" w:type="dxa"/>
            <w:tcBorders>
              <w:left w:val="dashSmallGap" w:sz="4" w:space="0" w:color="auto"/>
            </w:tcBorders>
            <w:vAlign w:val="center"/>
          </w:tcPr>
          <w:p w:rsidR="005061E6" w:rsidRPr="00F81955" w:rsidRDefault="005061E6">
            <w:pPr>
              <w:jc w:val="center"/>
              <w:rPr>
                <w:noProof/>
                <w:sz w:val="18"/>
                <w:szCs w:val="18"/>
              </w:rPr>
            </w:pPr>
            <w:r w:rsidRPr="00F81955">
              <w:rPr>
                <w:noProof/>
                <w:sz w:val="18"/>
              </w:rPr>
              <w:t>Total cost</w:t>
            </w:r>
          </w:p>
        </w:tc>
      </w:tr>
      <w:tr w:rsidR="005061E6" w:rsidRPr="00F81955">
        <w:trPr>
          <w:jc w:val="center"/>
        </w:trPr>
        <w:tc>
          <w:tcPr>
            <w:tcW w:w="2844" w:type="dxa"/>
            <w:gridSpan w:val="3"/>
            <w:vAlign w:val="center"/>
          </w:tcPr>
          <w:p w:rsidR="005061E6" w:rsidRPr="00F81955" w:rsidRDefault="005061E6">
            <w:pPr>
              <w:spacing w:before="60" w:after="60"/>
              <w:ind w:right="-29"/>
              <w:jc w:val="center"/>
              <w:rPr>
                <w:noProof/>
                <w:sz w:val="18"/>
                <w:szCs w:val="18"/>
              </w:rPr>
            </w:pPr>
            <w:r w:rsidRPr="00F81955">
              <w:rPr>
                <w:noProof/>
                <w:sz w:val="18"/>
              </w:rPr>
              <w:t>SPECIFIC OBJECTIVE No 1</w:t>
            </w:r>
            <w:r w:rsidRPr="00F81955">
              <w:rPr>
                <w:rStyle w:val="FootnoteReference"/>
                <w:noProof/>
                <w:sz w:val="18"/>
              </w:rPr>
              <w:footnoteReference w:id="40"/>
            </w:r>
            <w:r w:rsidRPr="00F81955">
              <w:rPr>
                <w:noProof/>
                <w:sz w:val="18"/>
              </w:rPr>
              <w:t>…</w:t>
            </w:r>
          </w:p>
        </w:tc>
        <w:tc>
          <w:tcPr>
            <w:tcW w:w="504"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720"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540"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720"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720"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720"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900"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720" w:type="dxa"/>
            <w:gridSpan w:val="2"/>
            <w:tcBorders>
              <w:top w:val="nil"/>
              <w:left w:val="nil"/>
              <w:bottom w:val="nil"/>
              <w:right w:val="nil"/>
            </w:tcBorders>
          </w:tcPr>
          <w:p w:rsidR="005061E6" w:rsidRPr="00F81955" w:rsidRDefault="005061E6">
            <w:pPr>
              <w:spacing w:before="60" w:after="60"/>
              <w:ind w:right="-29"/>
              <w:jc w:val="center"/>
              <w:rPr>
                <w:noProof/>
                <w:sz w:val="18"/>
                <w:szCs w:val="18"/>
              </w:rPr>
            </w:pPr>
          </w:p>
        </w:tc>
        <w:tc>
          <w:tcPr>
            <w:tcW w:w="540"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648"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432"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720"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540"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720"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720"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900" w:type="dxa"/>
            <w:tcBorders>
              <w:top w:val="nil"/>
              <w:left w:val="nil"/>
              <w:bottom w:val="nil"/>
              <w:right w:val="nil"/>
            </w:tcBorders>
          </w:tcPr>
          <w:p w:rsidR="005061E6" w:rsidRPr="00F81955" w:rsidRDefault="005061E6">
            <w:pPr>
              <w:spacing w:before="60" w:after="60"/>
              <w:ind w:right="-29"/>
              <w:jc w:val="center"/>
              <w:rPr>
                <w:noProof/>
                <w:sz w:val="18"/>
                <w:szCs w:val="18"/>
              </w:rPr>
            </w:pPr>
          </w:p>
        </w:tc>
      </w:tr>
      <w:tr w:rsidR="005061E6" w:rsidRPr="00F81955">
        <w:trPr>
          <w:trHeight w:hRule="exact" w:val="369"/>
          <w:jc w:val="center"/>
        </w:trPr>
        <w:tc>
          <w:tcPr>
            <w:tcW w:w="1423" w:type="dxa"/>
          </w:tcPr>
          <w:p w:rsidR="005061E6" w:rsidRPr="00F81955" w:rsidRDefault="005061E6">
            <w:pPr>
              <w:ind w:right="-29"/>
              <w:jc w:val="center"/>
              <w:rPr>
                <w:noProof/>
                <w:sz w:val="18"/>
                <w:szCs w:val="18"/>
              </w:rPr>
            </w:pPr>
            <w:r w:rsidRPr="00F81955">
              <w:rPr>
                <w:noProof/>
                <w:sz w:val="18"/>
              </w:rPr>
              <w:t>- Output</w:t>
            </w:r>
          </w:p>
        </w:tc>
        <w:tc>
          <w:tcPr>
            <w:tcW w:w="720" w:type="dxa"/>
          </w:tcPr>
          <w:p w:rsidR="005061E6" w:rsidRPr="00F81955" w:rsidRDefault="005061E6">
            <w:pPr>
              <w:ind w:right="-29"/>
              <w:jc w:val="center"/>
              <w:rPr>
                <w:noProof/>
                <w:sz w:val="18"/>
                <w:szCs w:val="18"/>
              </w:rPr>
            </w:pPr>
          </w:p>
        </w:tc>
        <w:tc>
          <w:tcPr>
            <w:tcW w:w="701" w:type="dxa"/>
          </w:tcPr>
          <w:p w:rsidR="005061E6" w:rsidRPr="00F81955" w:rsidRDefault="005061E6">
            <w:pPr>
              <w:ind w:right="-29"/>
              <w:jc w:val="center"/>
              <w:rPr>
                <w:noProof/>
                <w:sz w:val="18"/>
                <w:szCs w:val="18"/>
              </w:rPr>
            </w:pPr>
          </w:p>
        </w:tc>
        <w:tc>
          <w:tcPr>
            <w:tcW w:w="504" w:type="dxa"/>
            <w:tcBorders>
              <w:right w:val="dashSmallGap" w:sz="4" w:space="0" w:color="auto"/>
            </w:tcBorders>
          </w:tcPr>
          <w:p w:rsidR="005061E6" w:rsidRPr="00F81955" w:rsidRDefault="005061E6">
            <w:pPr>
              <w:ind w:right="-29"/>
              <w:jc w:val="center"/>
              <w:rPr>
                <w:noProof/>
                <w:sz w:val="18"/>
                <w:szCs w:val="18"/>
              </w:rPr>
            </w:pPr>
          </w:p>
        </w:tc>
        <w:tc>
          <w:tcPr>
            <w:tcW w:w="720" w:type="dxa"/>
            <w:tcBorders>
              <w:left w:val="dashSmallGap" w:sz="4" w:space="0" w:color="auto"/>
            </w:tcBorders>
          </w:tcPr>
          <w:p w:rsidR="005061E6" w:rsidRPr="00F81955" w:rsidRDefault="005061E6">
            <w:pPr>
              <w:ind w:right="-29"/>
              <w:jc w:val="center"/>
              <w:rPr>
                <w:noProof/>
                <w:sz w:val="18"/>
                <w:szCs w:val="18"/>
              </w:rPr>
            </w:pPr>
          </w:p>
        </w:tc>
        <w:tc>
          <w:tcPr>
            <w:tcW w:w="540" w:type="dxa"/>
            <w:tcBorders>
              <w:right w:val="dashSmallGap" w:sz="4" w:space="0" w:color="auto"/>
            </w:tcBorders>
          </w:tcPr>
          <w:p w:rsidR="005061E6" w:rsidRPr="00F81955" w:rsidRDefault="005061E6">
            <w:pPr>
              <w:ind w:right="-29"/>
              <w:jc w:val="center"/>
              <w:rPr>
                <w:noProof/>
                <w:sz w:val="18"/>
                <w:szCs w:val="18"/>
              </w:rPr>
            </w:pPr>
          </w:p>
        </w:tc>
        <w:tc>
          <w:tcPr>
            <w:tcW w:w="720" w:type="dxa"/>
            <w:tcBorders>
              <w:left w:val="dashSmallGap" w:sz="4" w:space="0" w:color="auto"/>
            </w:tcBorders>
          </w:tcPr>
          <w:p w:rsidR="005061E6" w:rsidRPr="00F81955" w:rsidRDefault="005061E6">
            <w:pPr>
              <w:ind w:right="-29"/>
              <w:jc w:val="center"/>
              <w:rPr>
                <w:noProof/>
                <w:sz w:val="18"/>
                <w:szCs w:val="18"/>
              </w:rPr>
            </w:pPr>
          </w:p>
        </w:tc>
        <w:tc>
          <w:tcPr>
            <w:tcW w:w="720" w:type="dxa"/>
            <w:tcBorders>
              <w:right w:val="dashSmallGap" w:sz="4" w:space="0" w:color="auto"/>
            </w:tcBorders>
          </w:tcPr>
          <w:p w:rsidR="005061E6" w:rsidRPr="00F81955" w:rsidRDefault="005061E6">
            <w:pPr>
              <w:ind w:right="-29"/>
              <w:jc w:val="center"/>
              <w:rPr>
                <w:noProof/>
                <w:sz w:val="18"/>
                <w:szCs w:val="18"/>
              </w:rPr>
            </w:pPr>
          </w:p>
        </w:tc>
        <w:tc>
          <w:tcPr>
            <w:tcW w:w="720" w:type="dxa"/>
            <w:tcBorders>
              <w:left w:val="dashSmallGap" w:sz="4" w:space="0" w:color="auto"/>
            </w:tcBorders>
          </w:tcPr>
          <w:p w:rsidR="005061E6" w:rsidRPr="00F81955" w:rsidRDefault="005061E6">
            <w:pPr>
              <w:ind w:right="-29"/>
              <w:jc w:val="center"/>
              <w:rPr>
                <w:noProof/>
                <w:sz w:val="18"/>
                <w:szCs w:val="18"/>
              </w:rPr>
            </w:pPr>
          </w:p>
        </w:tc>
        <w:tc>
          <w:tcPr>
            <w:tcW w:w="900" w:type="dxa"/>
            <w:tcBorders>
              <w:right w:val="dashSmallGap" w:sz="4" w:space="0" w:color="auto"/>
            </w:tcBorders>
          </w:tcPr>
          <w:p w:rsidR="005061E6" w:rsidRPr="00F81955" w:rsidRDefault="005061E6">
            <w:pPr>
              <w:ind w:right="-29"/>
              <w:jc w:val="center"/>
              <w:rPr>
                <w:noProof/>
                <w:sz w:val="18"/>
                <w:szCs w:val="18"/>
              </w:rPr>
            </w:pPr>
          </w:p>
        </w:tc>
        <w:tc>
          <w:tcPr>
            <w:tcW w:w="720" w:type="dxa"/>
            <w:gridSpan w:val="2"/>
            <w:tcBorders>
              <w:left w:val="dashSmallGap" w:sz="4" w:space="0" w:color="auto"/>
            </w:tcBorders>
          </w:tcPr>
          <w:p w:rsidR="005061E6" w:rsidRPr="00F81955" w:rsidRDefault="005061E6">
            <w:pPr>
              <w:ind w:right="-29"/>
              <w:jc w:val="center"/>
              <w:rPr>
                <w:noProof/>
                <w:sz w:val="18"/>
                <w:szCs w:val="18"/>
              </w:rPr>
            </w:pPr>
          </w:p>
        </w:tc>
        <w:tc>
          <w:tcPr>
            <w:tcW w:w="540" w:type="dxa"/>
            <w:tcBorders>
              <w:right w:val="dashSmallGap" w:sz="4" w:space="0" w:color="auto"/>
            </w:tcBorders>
          </w:tcPr>
          <w:p w:rsidR="005061E6" w:rsidRPr="00F81955" w:rsidRDefault="005061E6">
            <w:pPr>
              <w:ind w:right="-29"/>
              <w:jc w:val="center"/>
              <w:rPr>
                <w:noProof/>
                <w:sz w:val="18"/>
                <w:szCs w:val="18"/>
              </w:rPr>
            </w:pPr>
          </w:p>
        </w:tc>
        <w:tc>
          <w:tcPr>
            <w:tcW w:w="648" w:type="dxa"/>
            <w:tcBorders>
              <w:left w:val="dashSmallGap" w:sz="4" w:space="0" w:color="auto"/>
            </w:tcBorders>
          </w:tcPr>
          <w:p w:rsidR="005061E6" w:rsidRPr="00F81955" w:rsidRDefault="005061E6">
            <w:pPr>
              <w:ind w:right="-29"/>
              <w:jc w:val="center"/>
              <w:rPr>
                <w:noProof/>
                <w:sz w:val="18"/>
                <w:szCs w:val="18"/>
              </w:rPr>
            </w:pPr>
          </w:p>
        </w:tc>
        <w:tc>
          <w:tcPr>
            <w:tcW w:w="432" w:type="dxa"/>
            <w:tcBorders>
              <w:right w:val="dashSmallGap" w:sz="4" w:space="0" w:color="auto"/>
            </w:tcBorders>
          </w:tcPr>
          <w:p w:rsidR="005061E6" w:rsidRPr="00F81955" w:rsidRDefault="005061E6">
            <w:pPr>
              <w:ind w:right="-29"/>
              <w:jc w:val="center"/>
              <w:rPr>
                <w:noProof/>
                <w:sz w:val="18"/>
                <w:szCs w:val="18"/>
              </w:rPr>
            </w:pPr>
          </w:p>
        </w:tc>
        <w:tc>
          <w:tcPr>
            <w:tcW w:w="720" w:type="dxa"/>
            <w:tcBorders>
              <w:left w:val="dashSmallGap" w:sz="4" w:space="0" w:color="auto"/>
            </w:tcBorders>
          </w:tcPr>
          <w:p w:rsidR="005061E6" w:rsidRPr="00F81955" w:rsidRDefault="005061E6">
            <w:pPr>
              <w:ind w:right="-29"/>
              <w:jc w:val="center"/>
              <w:rPr>
                <w:noProof/>
                <w:sz w:val="18"/>
                <w:szCs w:val="18"/>
              </w:rPr>
            </w:pPr>
          </w:p>
        </w:tc>
        <w:tc>
          <w:tcPr>
            <w:tcW w:w="540" w:type="dxa"/>
            <w:tcBorders>
              <w:right w:val="dashSmallGap" w:sz="4" w:space="0" w:color="auto"/>
            </w:tcBorders>
          </w:tcPr>
          <w:p w:rsidR="005061E6" w:rsidRPr="00F81955" w:rsidRDefault="005061E6">
            <w:pPr>
              <w:ind w:right="-29"/>
              <w:jc w:val="center"/>
              <w:rPr>
                <w:noProof/>
                <w:sz w:val="18"/>
                <w:szCs w:val="18"/>
              </w:rPr>
            </w:pPr>
          </w:p>
        </w:tc>
        <w:tc>
          <w:tcPr>
            <w:tcW w:w="720" w:type="dxa"/>
            <w:tcBorders>
              <w:left w:val="dashSmallGap" w:sz="4" w:space="0" w:color="auto"/>
            </w:tcBorders>
          </w:tcPr>
          <w:p w:rsidR="005061E6" w:rsidRPr="00F81955" w:rsidRDefault="005061E6">
            <w:pPr>
              <w:ind w:right="-29"/>
              <w:jc w:val="center"/>
              <w:rPr>
                <w:noProof/>
                <w:sz w:val="18"/>
                <w:szCs w:val="18"/>
              </w:rPr>
            </w:pPr>
          </w:p>
        </w:tc>
        <w:tc>
          <w:tcPr>
            <w:tcW w:w="720" w:type="dxa"/>
          </w:tcPr>
          <w:p w:rsidR="005061E6" w:rsidRPr="00F81955" w:rsidRDefault="005061E6">
            <w:pPr>
              <w:ind w:right="-29"/>
              <w:jc w:val="center"/>
              <w:rPr>
                <w:noProof/>
                <w:sz w:val="18"/>
                <w:szCs w:val="18"/>
              </w:rPr>
            </w:pPr>
          </w:p>
        </w:tc>
        <w:tc>
          <w:tcPr>
            <w:tcW w:w="900" w:type="dxa"/>
          </w:tcPr>
          <w:p w:rsidR="005061E6" w:rsidRPr="00F81955" w:rsidRDefault="005061E6">
            <w:pPr>
              <w:ind w:right="-29"/>
              <w:jc w:val="center"/>
              <w:rPr>
                <w:noProof/>
                <w:sz w:val="18"/>
                <w:szCs w:val="18"/>
              </w:rPr>
            </w:pPr>
          </w:p>
        </w:tc>
      </w:tr>
      <w:tr w:rsidR="005061E6" w:rsidRPr="00F81955">
        <w:trPr>
          <w:trHeight w:hRule="exact" w:val="369"/>
          <w:jc w:val="center"/>
        </w:trPr>
        <w:tc>
          <w:tcPr>
            <w:tcW w:w="1423" w:type="dxa"/>
          </w:tcPr>
          <w:p w:rsidR="005061E6" w:rsidRPr="00F81955" w:rsidRDefault="005061E6">
            <w:pPr>
              <w:ind w:right="-29"/>
              <w:jc w:val="center"/>
              <w:rPr>
                <w:noProof/>
                <w:sz w:val="18"/>
                <w:szCs w:val="18"/>
              </w:rPr>
            </w:pPr>
            <w:r w:rsidRPr="00F81955">
              <w:rPr>
                <w:noProof/>
                <w:sz w:val="18"/>
              </w:rPr>
              <w:t>- Output</w:t>
            </w:r>
          </w:p>
        </w:tc>
        <w:tc>
          <w:tcPr>
            <w:tcW w:w="720" w:type="dxa"/>
          </w:tcPr>
          <w:p w:rsidR="005061E6" w:rsidRPr="00F81955" w:rsidRDefault="005061E6">
            <w:pPr>
              <w:ind w:right="-29"/>
              <w:jc w:val="center"/>
              <w:rPr>
                <w:noProof/>
                <w:sz w:val="18"/>
                <w:szCs w:val="18"/>
              </w:rPr>
            </w:pPr>
          </w:p>
        </w:tc>
        <w:tc>
          <w:tcPr>
            <w:tcW w:w="701" w:type="dxa"/>
          </w:tcPr>
          <w:p w:rsidR="005061E6" w:rsidRPr="00F81955" w:rsidRDefault="005061E6">
            <w:pPr>
              <w:ind w:right="-29"/>
              <w:jc w:val="center"/>
              <w:rPr>
                <w:noProof/>
                <w:sz w:val="18"/>
                <w:szCs w:val="18"/>
              </w:rPr>
            </w:pPr>
          </w:p>
        </w:tc>
        <w:tc>
          <w:tcPr>
            <w:tcW w:w="504" w:type="dxa"/>
            <w:tcBorders>
              <w:right w:val="dashSmallGap" w:sz="4" w:space="0" w:color="auto"/>
            </w:tcBorders>
          </w:tcPr>
          <w:p w:rsidR="005061E6" w:rsidRPr="00F81955" w:rsidRDefault="005061E6">
            <w:pPr>
              <w:ind w:right="-29"/>
              <w:jc w:val="center"/>
              <w:rPr>
                <w:noProof/>
                <w:sz w:val="18"/>
                <w:szCs w:val="18"/>
              </w:rPr>
            </w:pPr>
          </w:p>
        </w:tc>
        <w:tc>
          <w:tcPr>
            <w:tcW w:w="720" w:type="dxa"/>
            <w:tcBorders>
              <w:left w:val="dashSmallGap" w:sz="4" w:space="0" w:color="auto"/>
            </w:tcBorders>
          </w:tcPr>
          <w:p w:rsidR="005061E6" w:rsidRPr="00F81955" w:rsidRDefault="005061E6">
            <w:pPr>
              <w:ind w:right="-29"/>
              <w:jc w:val="center"/>
              <w:rPr>
                <w:noProof/>
                <w:sz w:val="18"/>
                <w:szCs w:val="18"/>
              </w:rPr>
            </w:pPr>
          </w:p>
        </w:tc>
        <w:tc>
          <w:tcPr>
            <w:tcW w:w="540" w:type="dxa"/>
            <w:tcBorders>
              <w:right w:val="dashSmallGap" w:sz="4" w:space="0" w:color="auto"/>
            </w:tcBorders>
          </w:tcPr>
          <w:p w:rsidR="005061E6" w:rsidRPr="00F81955" w:rsidRDefault="005061E6">
            <w:pPr>
              <w:ind w:right="-29"/>
              <w:jc w:val="center"/>
              <w:rPr>
                <w:noProof/>
                <w:sz w:val="18"/>
                <w:szCs w:val="18"/>
              </w:rPr>
            </w:pPr>
          </w:p>
        </w:tc>
        <w:tc>
          <w:tcPr>
            <w:tcW w:w="720" w:type="dxa"/>
            <w:tcBorders>
              <w:left w:val="dashSmallGap" w:sz="4" w:space="0" w:color="auto"/>
            </w:tcBorders>
          </w:tcPr>
          <w:p w:rsidR="005061E6" w:rsidRPr="00F81955" w:rsidRDefault="005061E6">
            <w:pPr>
              <w:ind w:right="-29"/>
              <w:jc w:val="center"/>
              <w:rPr>
                <w:noProof/>
                <w:sz w:val="18"/>
                <w:szCs w:val="18"/>
              </w:rPr>
            </w:pPr>
          </w:p>
        </w:tc>
        <w:tc>
          <w:tcPr>
            <w:tcW w:w="720" w:type="dxa"/>
            <w:tcBorders>
              <w:right w:val="dashSmallGap" w:sz="4" w:space="0" w:color="auto"/>
            </w:tcBorders>
          </w:tcPr>
          <w:p w:rsidR="005061E6" w:rsidRPr="00F81955" w:rsidRDefault="005061E6">
            <w:pPr>
              <w:ind w:right="-29"/>
              <w:jc w:val="center"/>
              <w:rPr>
                <w:noProof/>
                <w:sz w:val="18"/>
                <w:szCs w:val="18"/>
              </w:rPr>
            </w:pPr>
          </w:p>
        </w:tc>
        <w:tc>
          <w:tcPr>
            <w:tcW w:w="720" w:type="dxa"/>
            <w:tcBorders>
              <w:left w:val="dashSmallGap" w:sz="4" w:space="0" w:color="auto"/>
            </w:tcBorders>
          </w:tcPr>
          <w:p w:rsidR="005061E6" w:rsidRPr="00F81955" w:rsidRDefault="005061E6">
            <w:pPr>
              <w:ind w:right="-29"/>
              <w:jc w:val="center"/>
              <w:rPr>
                <w:noProof/>
                <w:sz w:val="18"/>
                <w:szCs w:val="18"/>
              </w:rPr>
            </w:pPr>
          </w:p>
        </w:tc>
        <w:tc>
          <w:tcPr>
            <w:tcW w:w="900" w:type="dxa"/>
            <w:tcBorders>
              <w:right w:val="dashSmallGap" w:sz="4" w:space="0" w:color="auto"/>
            </w:tcBorders>
          </w:tcPr>
          <w:p w:rsidR="005061E6" w:rsidRPr="00F81955" w:rsidRDefault="005061E6">
            <w:pPr>
              <w:ind w:right="-29"/>
              <w:jc w:val="center"/>
              <w:rPr>
                <w:noProof/>
                <w:sz w:val="18"/>
                <w:szCs w:val="18"/>
              </w:rPr>
            </w:pPr>
          </w:p>
        </w:tc>
        <w:tc>
          <w:tcPr>
            <w:tcW w:w="720" w:type="dxa"/>
            <w:gridSpan w:val="2"/>
            <w:tcBorders>
              <w:left w:val="dashSmallGap" w:sz="4" w:space="0" w:color="auto"/>
            </w:tcBorders>
          </w:tcPr>
          <w:p w:rsidR="005061E6" w:rsidRPr="00F81955" w:rsidRDefault="005061E6">
            <w:pPr>
              <w:ind w:right="-29"/>
              <w:jc w:val="center"/>
              <w:rPr>
                <w:noProof/>
                <w:sz w:val="18"/>
                <w:szCs w:val="18"/>
              </w:rPr>
            </w:pPr>
          </w:p>
        </w:tc>
        <w:tc>
          <w:tcPr>
            <w:tcW w:w="540" w:type="dxa"/>
            <w:tcBorders>
              <w:right w:val="dashSmallGap" w:sz="4" w:space="0" w:color="auto"/>
            </w:tcBorders>
          </w:tcPr>
          <w:p w:rsidR="005061E6" w:rsidRPr="00F81955" w:rsidRDefault="005061E6">
            <w:pPr>
              <w:ind w:right="-29"/>
              <w:jc w:val="center"/>
              <w:rPr>
                <w:noProof/>
                <w:sz w:val="18"/>
                <w:szCs w:val="18"/>
              </w:rPr>
            </w:pPr>
          </w:p>
        </w:tc>
        <w:tc>
          <w:tcPr>
            <w:tcW w:w="648" w:type="dxa"/>
            <w:tcBorders>
              <w:left w:val="dashSmallGap" w:sz="4" w:space="0" w:color="auto"/>
            </w:tcBorders>
          </w:tcPr>
          <w:p w:rsidR="005061E6" w:rsidRPr="00F81955" w:rsidRDefault="005061E6">
            <w:pPr>
              <w:ind w:right="-29"/>
              <w:jc w:val="center"/>
              <w:rPr>
                <w:noProof/>
                <w:sz w:val="18"/>
                <w:szCs w:val="18"/>
              </w:rPr>
            </w:pPr>
          </w:p>
        </w:tc>
        <w:tc>
          <w:tcPr>
            <w:tcW w:w="432" w:type="dxa"/>
            <w:tcBorders>
              <w:right w:val="dashSmallGap" w:sz="4" w:space="0" w:color="auto"/>
            </w:tcBorders>
          </w:tcPr>
          <w:p w:rsidR="005061E6" w:rsidRPr="00F81955" w:rsidRDefault="005061E6">
            <w:pPr>
              <w:ind w:right="-29"/>
              <w:jc w:val="center"/>
              <w:rPr>
                <w:noProof/>
                <w:sz w:val="18"/>
                <w:szCs w:val="18"/>
              </w:rPr>
            </w:pPr>
          </w:p>
        </w:tc>
        <w:tc>
          <w:tcPr>
            <w:tcW w:w="720" w:type="dxa"/>
            <w:tcBorders>
              <w:left w:val="dashSmallGap" w:sz="4" w:space="0" w:color="auto"/>
            </w:tcBorders>
          </w:tcPr>
          <w:p w:rsidR="005061E6" w:rsidRPr="00F81955" w:rsidRDefault="005061E6">
            <w:pPr>
              <w:ind w:right="-29"/>
              <w:jc w:val="center"/>
              <w:rPr>
                <w:noProof/>
                <w:sz w:val="18"/>
                <w:szCs w:val="18"/>
              </w:rPr>
            </w:pPr>
          </w:p>
        </w:tc>
        <w:tc>
          <w:tcPr>
            <w:tcW w:w="540" w:type="dxa"/>
            <w:tcBorders>
              <w:right w:val="dashSmallGap" w:sz="4" w:space="0" w:color="auto"/>
            </w:tcBorders>
          </w:tcPr>
          <w:p w:rsidR="005061E6" w:rsidRPr="00F81955" w:rsidRDefault="005061E6">
            <w:pPr>
              <w:ind w:right="-29"/>
              <w:jc w:val="center"/>
              <w:rPr>
                <w:noProof/>
                <w:sz w:val="18"/>
                <w:szCs w:val="18"/>
              </w:rPr>
            </w:pPr>
          </w:p>
        </w:tc>
        <w:tc>
          <w:tcPr>
            <w:tcW w:w="720" w:type="dxa"/>
            <w:tcBorders>
              <w:left w:val="dashSmallGap" w:sz="4" w:space="0" w:color="auto"/>
            </w:tcBorders>
          </w:tcPr>
          <w:p w:rsidR="005061E6" w:rsidRPr="00F81955" w:rsidRDefault="005061E6">
            <w:pPr>
              <w:ind w:right="-29"/>
              <w:jc w:val="center"/>
              <w:rPr>
                <w:noProof/>
                <w:sz w:val="18"/>
                <w:szCs w:val="18"/>
              </w:rPr>
            </w:pPr>
          </w:p>
        </w:tc>
        <w:tc>
          <w:tcPr>
            <w:tcW w:w="720" w:type="dxa"/>
          </w:tcPr>
          <w:p w:rsidR="005061E6" w:rsidRPr="00F81955" w:rsidRDefault="005061E6">
            <w:pPr>
              <w:ind w:right="-29"/>
              <w:jc w:val="center"/>
              <w:rPr>
                <w:noProof/>
                <w:sz w:val="18"/>
                <w:szCs w:val="18"/>
              </w:rPr>
            </w:pPr>
          </w:p>
        </w:tc>
        <w:tc>
          <w:tcPr>
            <w:tcW w:w="900" w:type="dxa"/>
          </w:tcPr>
          <w:p w:rsidR="005061E6" w:rsidRPr="00F81955" w:rsidRDefault="005061E6">
            <w:pPr>
              <w:ind w:right="-29"/>
              <w:jc w:val="center"/>
              <w:rPr>
                <w:noProof/>
                <w:sz w:val="18"/>
                <w:szCs w:val="18"/>
              </w:rPr>
            </w:pPr>
          </w:p>
        </w:tc>
      </w:tr>
      <w:tr w:rsidR="005061E6" w:rsidRPr="00F81955">
        <w:trPr>
          <w:trHeight w:hRule="exact" w:val="369"/>
          <w:jc w:val="center"/>
        </w:trPr>
        <w:tc>
          <w:tcPr>
            <w:tcW w:w="1423" w:type="dxa"/>
          </w:tcPr>
          <w:p w:rsidR="005061E6" w:rsidRPr="00F81955" w:rsidRDefault="005061E6">
            <w:pPr>
              <w:ind w:right="-29"/>
              <w:jc w:val="center"/>
              <w:rPr>
                <w:noProof/>
                <w:sz w:val="18"/>
                <w:szCs w:val="18"/>
              </w:rPr>
            </w:pPr>
            <w:r w:rsidRPr="00F81955">
              <w:rPr>
                <w:noProof/>
                <w:sz w:val="18"/>
              </w:rPr>
              <w:t>- Output</w:t>
            </w:r>
          </w:p>
        </w:tc>
        <w:tc>
          <w:tcPr>
            <w:tcW w:w="720" w:type="dxa"/>
          </w:tcPr>
          <w:p w:rsidR="005061E6" w:rsidRPr="00F81955" w:rsidRDefault="005061E6">
            <w:pPr>
              <w:ind w:right="-29"/>
              <w:jc w:val="center"/>
              <w:rPr>
                <w:noProof/>
                <w:sz w:val="18"/>
                <w:szCs w:val="18"/>
              </w:rPr>
            </w:pPr>
          </w:p>
        </w:tc>
        <w:tc>
          <w:tcPr>
            <w:tcW w:w="701" w:type="dxa"/>
          </w:tcPr>
          <w:p w:rsidR="005061E6" w:rsidRPr="00F81955" w:rsidRDefault="005061E6">
            <w:pPr>
              <w:ind w:right="-29"/>
              <w:jc w:val="center"/>
              <w:rPr>
                <w:noProof/>
                <w:sz w:val="18"/>
                <w:szCs w:val="18"/>
              </w:rPr>
            </w:pPr>
          </w:p>
        </w:tc>
        <w:tc>
          <w:tcPr>
            <w:tcW w:w="504" w:type="dxa"/>
          </w:tcPr>
          <w:p w:rsidR="005061E6" w:rsidRPr="00F81955" w:rsidRDefault="005061E6">
            <w:pPr>
              <w:ind w:right="-29"/>
              <w:jc w:val="center"/>
              <w:rPr>
                <w:noProof/>
                <w:sz w:val="18"/>
                <w:szCs w:val="18"/>
              </w:rPr>
            </w:pPr>
          </w:p>
        </w:tc>
        <w:tc>
          <w:tcPr>
            <w:tcW w:w="720" w:type="dxa"/>
          </w:tcPr>
          <w:p w:rsidR="005061E6" w:rsidRPr="00F81955" w:rsidRDefault="005061E6">
            <w:pPr>
              <w:ind w:right="-29"/>
              <w:jc w:val="center"/>
              <w:rPr>
                <w:noProof/>
                <w:sz w:val="18"/>
                <w:szCs w:val="18"/>
              </w:rPr>
            </w:pPr>
          </w:p>
        </w:tc>
        <w:tc>
          <w:tcPr>
            <w:tcW w:w="540" w:type="dxa"/>
          </w:tcPr>
          <w:p w:rsidR="005061E6" w:rsidRPr="00F81955" w:rsidRDefault="005061E6">
            <w:pPr>
              <w:ind w:right="-29"/>
              <w:jc w:val="center"/>
              <w:rPr>
                <w:noProof/>
                <w:sz w:val="18"/>
                <w:szCs w:val="18"/>
              </w:rPr>
            </w:pPr>
          </w:p>
        </w:tc>
        <w:tc>
          <w:tcPr>
            <w:tcW w:w="720" w:type="dxa"/>
          </w:tcPr>
          <w:p w:rsidR="005061E6" w:rsidRPr="00F81955" w:rsidRDefault="005061E6">
            <w:pPr>
              <w:ind w:right="-29"/>
              <w:jc w:val="center"/>
              <w:rPr>
                <w:noProof/>
                <w:sz w:val="18"/>
                <w:szCs w:val="18"/>
              </w:rPr>
            </w:pPr>
          </w:p>
        </w:tc>
        <w:tc>
          <w:tcPr>
            <w:tcW w:w="720" w:type="dxa"/>
          </w:tcPr>
          <w:p w:rsidR="005061E6" w:rsidRPr="00F81955" w:rsidRDefault="005061E6">
            <w:pPr>
              <w:ind w:right="-29"/>
              <w:jc w:val="center"/>
              <w:rPr>
                <w:noProof/>
                <w:sz w:val="18"/>
                <w:szCs w:val="18"/>
              </w:rPr>
            </w:pPr>
          </w:p>
        </w:tc>
        <w:tc>
          <w:tcPr>
            <w:tcW w:w="720" w:type="dxa"/>
          </w:tcPr>
          <w:p w:rsidR="005061E6" w:rsidRPr="00F81955" w:rsidRDefault="005061E6">
            <w:pPr>
              <w:ind w:right="-29"/>
              <w:jc w:val="center"/>
              <w:rPr>
                <w:noProof/>
                <w:sz w:val="18"/>
                <w:szCs w:val="18"/>
              </w:rPr>
            </w:pPr>
          </w:p>
        </w:tc>
        <w:tc>
          <w:tcPr>
            <w:tcW w:w="900" w:type="dxa"/>
          </w:tcPr>
          <w:p w:rsidR="005061E6" w:rsidRPr="00F81955" w:rsidRDefault="005061E6">
            <w:pPr>
              <w:ind w:right="-29"/>
              <w:jc w:val="center"/>
              <w:rPr>
                <w:noProof/>
                <w:sz w:val="18"/>
                <w:szCs w:val="18"/>
              </w:rPr>
            </w:pPr>
          </w:p>
        </w:tc>
        <w:tc>
          <w:tcPr>
            <w:tcW w:w="720" w:type="dxa"/>
            <w:gridSpan w:val="2"/>
          </w:tcPr>
          <w:p w:rsidR="005061E6" w:rsidRPr="00F81955" w:rsidRDefault="005061E6">
            <w:pPr>
              <w:ind w:right="-29"/>
              <w:jc w:val="center"/>
              <w:rPr>
                <w:noProof/>
                <w:sz w:val="18"/>
                <w:szCs w:val="18"/>
              </w:rPr>
            </w:pPr>
          </w:p>
        </w:tc>
        <w:tc>
          <w:tcPr>
            <w:tcW w:w="540" w:type="dxa"/>
          </w:tcPr>
          <w:p w:rsidR="005061E6" w:rsidRPr="00F81955" w:rsidRDefault="005061E6">
            <w:pPr>
              <w:ind w:right="-29"/>
              <w:jc w:val="center"/>
              <w:rPr>
                <w:noProof/>
                <w:sz w:val="18"/>
                <w:szCs w:val="18"/>
              </w:rPr>
            </w:pPr>
          </w:p>
        </w:tc>
        <w:tc>
          <w:tcPr>
            <w:tcW w:w="648" w:type="dxa"/>
          </w:tcPr>
          <w:p w:rsidR="005061E6" w:rsidRPr="00F81955" w:rsidRDefault="005061E6">
            <w:pPr>
              <w:ind w:right="-29"/>
              <w:jc w:val="center"/>
              <w:rPr>
                <w:noProof/>
                <w:sz w:val="18"/>
                <w:szCs w:val="18"/>
              </w:rPr>
            </w:pPr>
          </w:p>
        </w:tc>
        <w:tc>
          <w:tcPr>
            <w:tcW w:w="432" w:type="dxa"/>
          </w:tcPr>
          <w:p w:rsidR="005061E6" w:rsidRPr="00F81955" w:rsidRDefault="005061E6">
            <w:pPr>
              <w:ind w:right="-29"/>
              <w:jc w:val="center"/>
              <w:rPr>
                <w:noProof/>
                <w:sz w:val="18"/>
                <w:szCs w:val="18"/>
              </w:rPr>
            </w:pPr>
          </w:p>
        </w:tc>
        <w:tc>
          <w:tcPr>
            <w:tcW w:w="720" w:type="dxa"/>
          </w:tcPr>
          <w:p w:rsidR="005061E6" w:rsidRPr="00F81955" w:rsidRDefault="005061E6">
            <w:pPr>
              <w:ind w:right="-29"/>
              <w:jc w:val="center"/>
              <w:rPr>
                <w:noProof/>
                <w:sz w:val="18"/>
                <w:szCs w:val="18"/>
              </w:rPr>
            </w:pPr>
          </w:p>
        </w:tc>
        <w:tc>
          <w:tcPr>
            <w:tcW w:w="540" w:type="dxa"/>
          </w:tcPr>
          <w:p w:rsidR="005061E6" w:rsidRPr="00F81955" w:rsidRDefault="005061E6">
            <w:pPr>
              <w:ind w:right="-29"/>
              <w:jc w:val="center"/>
              <w:rPr>
                <w:noProof/>
                <w:sz w:val="18"/>
                <w:szCs w:val="18"/>
              </w:rPr>
            </w:pPr>
          </w:p>
        </w:tc>
        <w:tc>
          <w:tcPr>
            <w:tcW w:w="720" w:type="dxa"/>
          </w:tcPr>
          <w:p w:rsidR="005061E6" w:rsidRPr="00F81955" w:rsidRDefault="005061E6">
            <w:pPr>
              <w:ind w:right="-29"/>
              <w:jc w:val="center"/>
              <w:rPr>
                <w:noProof/>
                <w:sz w:val="18"/>
                <w:szCs w:val="18"/>
              </w:rPr>
            </w:pPr>
          </w:p>
        </w:tc>
        <w:tc>
          <w:tcPr>
            <w:tcW w:w="720" w:type="dxa"/>
          </w:tcPr>
          <w:p w:rsidR="005061E6" w:rsidRPr="00F81955" w:rsidRDefault="005061E6">
            <w:pPr>
              <w:ind w:right="-29"/>
              <w:jc w:val="center"/>
              <w:rPr>
                <w:noProof/>
                <w:sz w:val="18"/>
                <w:szCs w:val="18"/>
              </w:rPr>
            </w:pPr>
          </w:p>
        </w:tc>
        <w:tc>
          <w:tcPr>
            <w:tcW w:w="900" w:type="dxa"/>
          </w:tcPr>
          <w:p w:rsidR="005061E6" w:rsidRPr="00F81955" w:rsidRDefault="005061E6">
            <w:pPr>
              <w:ind w:right="-29"/>
              <w:jc w:val="center"/>
              <w:rPr>
                <w:noProof/>
                <w:sz w:val="18"/>
                <w:szCs w:val="18"/>
              </w:rPr>
            </w:pPr>
          </w:p>
        </w:tc>
      </w:tr>
      <w:tr w:rsidR="005061E6" w:rsidRPr="00F81955">
        <w:trPr>
          <w:trHeight w:val="77"/>
          <w:jc w:val="center"/>
        </w:trPr>
        <w:tc>
          <w:tcPr>
            <w:tcW w:w="2844" w:type="dxa"/>
            <w:gridSpan w:val="3"/>
            <w:tcBorders>
              <w:bottom w:val="single" w:sz="12" w:space="0" w:color="auto"/>
            </w:tcBorders>
            <w:vAlign w:val="center"/>
          </w:tcPr>
          <w:p w:rsidR="005061E6" w:rsidRPr="00F81955" w:rsidRDefault="005061E6">
            <w:pPr>
              <w:ind w:right="-29"/>
              <w:jc w:val="center"/>
              <w:rPr>
                <w:noProof/>
                <w:sz w:val="18"/>
                <w:szCs w:val="18"/>
              </w:rPr>
            </w:pPr>
            <w:r w:rsidRPr="00F81955">
              <w:rPr>
                <w:noProof/>
                <w:sz w:val="18"/>
              </w:rPr>
              <w:t>Subtotal for specific objective No 1</w:t>
            </w:r>
          </w:p>
        </w:tc>
        <w:tc>
          <w:tcPr>
            <w:tcW w:w="504" w:type="dxa"/>
            <w:tcBorders>
              <w:bottom w:val="single" w:sz="12" w:space="0" w:color="auto"/>
            </w:tcBorders>
          </w:tcPr>
          <w:p w:rsidR="005061E6" w:rsidRPr="00F81955" w:rsidRDefault="005061E6">
            <w:pPr>
              <w:ind w:right="-29"/>
              <w:jc w:val="center"/>
              <w:rPr>
                <w:noProof/>
                <w:sz w:val="18"/>
                <w:szCs w:val="18"/>
              </w:rPr>
            </w:pPr>
          </w:p>
        </w:tc>
        <w:tc>
          <w:tcPr>
            <w:tcW w:w="720" w:type="dxa"/>
            <w:tcBorders>
              <w:bottom w:val="single" w:sz="12" w:space="0" w:color="auto"/>
            </w:tcBorders>
          </w:tcPr>
          <w:p w:rsidR="005061E6" w:rsidRPr="00F81955" w:rsidRDefault="005061E6">
            <w:pPr>
              <w:ind w:right="-29"/>
              <w:jc w:val="center"/>
              <w:rPr>
                <w:noProof/>
                <w:sz w:val="18"/>
                <w:szCs w:val="18"/>
              </w:rPr>
            </w:pPr>
          </w:p>
        </w:tc>
        <w:tc>
          <w:tcPr>
            <w:tcW w:w="540" w:type="dxa"/>
            <w:tcBorders>
              <w:bottom w:val="single" w:sz="12" w:space="0" w:color="auto"/>
            </w:tcBorders>
          </w:tcPr>
          <w:p w:rsidR="005061E6" w:rsidRPr="00F81955" w:rsidRDefault="005061E6">
            <w:pPr>
              <w:ind w:right="-29"/>
              <w:jc w:val="center"/>
              <w:rPr>
                <w:noProof/>
                <w:sz w:val="18"/>
                <w:szCs w:val="18"/>
              </w:rPr>
            </w:pPr>
          </w:p>
        </w:tc>
        <w:tc>
          <w:tcPr>
            <w:tcW w:w="720" w:type="dxa"/>
            <w:tcBorders>
              <w:bottom w:val="single" w:sz="12" w:space="0" w:color="auto"/>
            </w:tcBorders>
          </w:tcPr>
          <w:p w:rsidR="005061E6" w:rsidRPr="00F81955" w:rsidRDefault="005061E6">
            <w:pPr>
              <w:ind w:right="-29"/>
              <w:jc w:val="center"/>
              <w:rPr>
                <w:noProof/>
                <w:sz w:val="18"/>
                <w:szCs w:val="18"/>
              </w:rPr>
            </w:pPr>
          </w:p>
        </w:tc>
        <w:tc>
          <w:tcPr>
            <w:tcW w:w="720" w:type="dxa"/>
            <w:tcBorders>
              <w:bottom w:val="single" w:sz="12" w:space="0" w:color="auto"/>
            </w:tcBorders>
          </w:tcPr>
          <w:p w:rsidR="005061E6" w:rsidRPr="00F81955" w:rsidRDefault="005061E6">
            <w:pPr>
              <w:ind w:right="-29"/>
              <w:jc w:val="center"/>
              <w:rPr>
                <w:noProof/>
                <w:sz w:val="18"/>
                <w:szCs w:val="18"/>
              </w:rPr>
            </w:pPr>
          </w:p>
        </w:tc>
        <w:tc>
          <w:tcPr>
            <w:tcW w:w="720" w:type="dxa"/>
            <w:tcBorders>
              <w:bottom w:val="single" w:sz="12" w:space="0" w:color="auto"/>
            </w:tcBorders>
          </w:tcPr>
          <w:p w:rsidR="005061E6" w:rsidRPr="00F81955" w:rsidRDefault="005061E6">
            <w:pPr>
              <w:ind w:right="-29"/>
              <w:jc w:val="center"/>
              <w:rPr>
                <w:noProof/>
                <w:sz w:val="18"/>
                <w:szCs w:val="18"/>
              </w:rPr>
            </w:pPr>
          </w:p>
        </w:tc>
        <w:tc>
          <w:tcPr>
            <w:tcW w:w="900" w:type="dxa"/>
            <w:tcBorders>
              <w:bottom w:val="single" w:sz="12" w:space="0" w:color="auto"/>
            </w:tcBorders>
          </w:tcPr>
          <w:p w:rsidR="005061E6" w:rsidRPr="00F81955" w:rsidRDefault="005061E6">
            <w:pPr>
              <w:ind w:right="-29"/>
              <w:jc w:val="center"/>
              <w:rPr>
                <w:noProof/>
                <w:sz w:val="18"/>
                <w:szCs w:val="18"/>
              </w:rPr>
            </w:pPr>
          </w:p>
        </w:tc>
        <w:tc>
          <w:tcPr>
            <w:tcW w:w="720" w:type="dxa"/>
            <w:gridSpan w:val="2"/>
            <w:tcBorders>
              <w:bottom w:val="single" w:sz="12" w:space="0" w:color="auto"/>
            </w:tcBorders>
          </w:tcPr>
          <w:p w:rsidR="005061E6" w:rsidRPr="00F81955" w:rsidRDefault="005061E6">
            <w:pPr>
              <w:ind w:right="-29"/>
              <w:jc w:val="center"/>
              <w:rPr>
                <w:noProof/>
                <w:sz w:val="18"/>
                <w:szCs w:val="18"/>
              </w:rPr>
            </w:pPr>
          </w:p>
        </w:tc>
        <w:tc>
          <w:tcPr>
            <w:tcW w:w="540" w:type="dxa"/>
            <w:tcBorders>
              <w:bottom w:val="single" w:sz="12" w:space="0" w:color="auto"/>
            </w:tcBorders>
          </w:tcPr>
          <w:p w:rsidR="005061E6" w:rsidRPr="00F81955" w:rsidRDefault="005061E6">
            <w:pPr>
              <w:ind w:right="-29"/>
              <w:jc w:val="center"/>
              <w:rPr>
                <w:noProof/>
                <w:sz w:val="18"/>
                <w:szCs w:val="18"/>
              </w:rPr>
            </w:pPr>
          </w:p>
        </w:tc>
        <w:tc>
          <w:tcPr>
            <w:tcW w:w="648" w:type="dxa"/>
            <w:tcBorders>
              <w:bottom w:val="single" w:sz="12" w:space="0" w:color="auto"/>
            </w:tcBorders>
          </w:tcPr>
          <w:p w:rsidR="005061E6" w:rsidRPr="00F81955" w:rsidRDefault="005061E6">
            <w:pPr>
              <w:ind w:right="-29"/>
              <w:jc w:val="center"/>
              <w:rPr>
                <w:noProof/>
                <w:sz w:val="18"/>
                <w:szCs w:val="18"/>
              </w:rPr>
            </w:pPr>
          </w:p>
        </w:tc>
        <w:tc>
          <w:tcPr>
            <w:tcW w:w="432" w:type="dxa"/>
            <w:tcBorders>
              <w:bottom w:val="single" w:sz="12" w:space="0" w:color="auto"/>
            </w:tcBorders>
          </w:tcPr>
          <w:p w:rsidR="005061E6" w:rsidRPr="00F81955" w:rsidRDefault="005061E6">
            <w:pPr>
              <w:ind w:right="-29"/>
              <w:jc w:val="center"/>
              <w:rPr>
                <w:noProof/>
                <w:sz w:val="18"/>
                <w:szCs w:val="18"/>
              </w:rPr>
            </w:pPr>
          </w:p>
        </w:tc>
        <w:tc>
          <w:tcPr>
            <w:tcW w:w="720" w:type="dxa"/>
            <w:tcBorders>
              <w:bottom w:val="single" w:sz="12" w:space="0" w:color="auto"/>
            </w:tcBorders>
          </w:tcPr>
          <w:p w:rsidR="005061E6" w:rsidRPr="00F81955" w:rsidRDefault="005061E6">
            <w:pPr>
              <w:ind w:right="-29"/>
              <w:jc w:val="center"/>
              <w:rPr>
                <w:noProof/>
                <w:sz w:val="18"/>
                <w:szCs w:val="18"/>
              </w:rPr>
            </w:pPr>
          </w:p>
        </w:tc>
        <w:tc>
          <w:tcPr>
            <w:tcW w:w="540" w:type="dxa"/>
            <w:tcBorders>
              <w:bottom w:val="single" w:sz="12" w:space="0" w:color="auto"/>
            </w:tcBorders>
          </w:tcPr>
          <w:p w:rsidR="005061E6" w:rsidRPr="00F81955" w:rsidRDefault="005061E6">
            <w:pPr>
              <w:ind w:right="-29"/>
              <w:jc w:val="center"/>
              <w:rPr>
                <w:noProof/>
                <w:sz w:val="18"/>
                <w:szCs w:val="18"/>
              </w:rPr>
            </w:pPr>
          </w:p>
        </w:tc>
        <w:tc>
          <w:tcPr>
            <w:tcW w:w="720" w:type="dxa"/>
            <w:tcBorders>
              <w:bottom w:val="single" w:sz="12" w:space="0" w:color="auto"/>
            </w:tcBorders>
          </w:tcPr>
          <w:p w:rsidR="005061E6" w:rsidRPr="00F81955" w:rsidRDefault="005061E6">
            <w:pPr>
              <w:ind w:right="-29"/>
              <w:jc w:val="center"/>
              <w:rPr>
                <w:noProof/>
                <w:sz w:val="18"/>
                <w:szCs w:val="18"/>
              </w:rPr>
            </w:pPr>
          </w:p>
        </w:tc>
        <w:tc>
          <w:tcPr>
            <w:tcW w:w="720" w:type="dxa"/>
            <w:tcBorders>
              <w:bottom w:val="single" w:sz="12" w:space="0" w:color="auto"/>
            </w:tcBorders>
          </w:tcPr>
          <w:p w:rsidR="005061E6" w:rsidRPr="00F81955" w:rsidRDefault="005061E6">
            <w:pPr>
              <w:ind w:right="-29"/>
              <w:jc w:val="center"/>
              <w:rPr>
                <w:noProof/>
                <w:sz w:val="18"/>
                <w:szCs w:val="18"/>
              </w:rPr>
            </w:pPr>
          </w:p>
        </w:tc>
        <w:tc>
          <w:tcPr>
            <w:tcW w:w="900" w:type="dxa"/>
            <w:tcBorders>
              <w:bottom w:val="single" w:sz="12" w:space="0" w:color="auto"/>
            </w:tcBorders>
          </w:tcPr>
          <w:p w:rsidR="005061E6" w:rsidRPr="00F81955" w:rsidRDefault="005061E6">
            <w:pPr>
              <w:ind w:right="-29"/>
              <w:jc w:val="center"/>
              <w:rPr>
                <w:noProof/>
                <w:sz w:val="18"/>
                <w:szCs w:val="18"/>
              </w:rPr>
            </w:pPr>
          </w:p>
        </w:tc>
      </w:tr>
      <w:tr w:rsidR="005061E6" w:rsidRPr="00F81955">
        <w:trPr>
          <w:jc w:val="center"/>
        </w:trPr>
        <w:tc>
          <w:tcPr>
            <w:tcW w:w="2844" w:type="dxa"/>
            <w:gridSpan w:val="3"/>
            <w:vAlign w:val="center"/>
          </w:tcPr>
          <w:p w:rsidR="005061E6" w:rsidRPr="00F81955" w:rsidRDefault="005061E6">
            <w:pPr>
              <w:spacing w:before="60" w:after="60"/>
              <w:ind w:right="-29"/>
              <w:jc w:val="center"/>
              <w:rPr>
                <w:noProof/>
                <w:sz w:val="18"/>
                <w:szCs w:val="18"/>
              </w:rPr>
            </w:pPr>
            <w:r w:rsidRPr="00F81955">
              <w:rPr>
                <w:noProof/>
                <w:sz w:val="18"/>
              </w:rPr>
              <w:t>SPECIFIC OBJECTIVE No 2 ...</w:t>
            </w:r>
          </w:p>
        </w:tc>
        <w:tc>
          <w:tcPr>
            <w:tcW w:w="504"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720"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540"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720"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720"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720"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900"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720" w:type="dxa"/>
            <w:gridSpan w:val="2"/>
            <w:tcBorders>
              <w:top w:val="nil"/>
              <w:left w:val="nil"/>
              <w:bottom w:val="nil"/>
              <w:right w:val="nil"/>
            </w:tcBorders>
          </w:tcPr>
          <w:p w:rsidR="005061E6" w:rsidRPr="00F81955" w:rsidRDefault="005061E6">
            <w:pPr>
              <w:spacing w:before="60" w:after="60"/>
              <w:ind w:right="-29"/>
              <w:jc w:val="center"/>
              <w:rPr>
                <w:noProof/>
                <w:sz w:val="18"/>
                <w:szCs w:val="18"/>
              </w:rPr>
            </w:pPr>
          </w:p>
        </w:tc>
        <w:tc>
          <w:tcPr>
            <w:tcW w:w="540"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648"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432"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720"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540"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720"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720" w:type="dxa"/>
            <w:tcBorders>
              <w:top w:val="nil"/>
              <w:left w:val="nil"/>
              <w:bottom w:val="nil"/>
              <w:right w:val="nil"/>
            </w:tcBorders>
          </w:tcPr>
          <w:p w:rsidR="005061E6" w:rsidRPr="00F81955" w:rsidRDefault="005061E6">
            <w:pPr>
              <w:spacing w:before="60" w:after="60"/>
              <w:ind w:right="-29"/>
              <w:jc w:val="center"/>
              <w:rPr>
                <w:noProof/>
                <w:sz w:val="18"/>
                <w:szCs w:val="18"/>
              </w:rPr>
            </w:pPr>
          </w:p>
        </w:tc>
        <w:tc>
          <w:tcPr>
            <w:tcW w:w="900" w:type="dxa"/>
            <w:tcBorders>
              <w:top w:val="nil"/>
              <w:left w:val="nil"/>
              <w:bottom w:val="nil"/>
              <w:right w:val="nil"/>
            </w:tcBorders>
          </w:tcPr>
          <w:p w:rsidR="005061E6" w:rsidRPr="00F81955" w:rsidRDefault="005061E6">
            <w:pPr>
              <w:spacing w:before="60" w:after="60"/>
              <w:ind w:right="-29"/>
              <w:jc w:val="center"/>
              <w:rPr>
                <w:noProof/>
                <w:sz w:val="18"/>
                <w:szCs w:val="18"/>
              </w:rPr>
            </w:pPr>
          </w:p>
        </w:tc>
      </w:tr>
      <w:tr w:rsidR="005061E6" w:rsidRPr="00F81955">
        <w:trPr>
          <w:trHeight w:hRule="exact" w:val="369"/>
          <w:jc w:val="center"/>
        </w:trPr>
        <w:tc>
          <w:tcPr>
            <w:tcW w:w="1423" w:type="dxa"/>
          </w:tcPr>
          <w:p w:rsidR="005061E6" w:rsidRPr="00F81955" w:rsidRDefault="005061E6">
            <w:pPr>
              <w:ind w:right="-29"/>
              <w:jc w:val="center"/>
              <w:rPr>
                <w:noProof/>
                <w:sz w:val="18"/>
                <w:szCs w:val="18"/>
              </w:rPr>
            </w:pPr>
            <w:r w:rsidRPr="00F81955">
              <w:rPr>
                <w:noProof/>
                <w:sz w:val="18"/>
              </w:rPr>
              <w:t>- Output</w:t>
            </w:r>
          </w:p>
        </w:tc>
        <w:tc>
          <w:tcPr>
            <w:tcW w:w="720" w:type="dxa"/>
          </w:tcPr>
          <w:p w:rsidR="005061E6" w:rsidRPr="00F81955" w:rsidRDefault="005061E6">
            <w:pPr>
              <w:ind w:right="-29"/>
              <w:jc w:val="center"/>
              <w:rPr>
                <w:noProof/>
                <w:sz w:val="18"/>
                <w:szCs w:val="18"/>
              </w:rPr>
            </w:pPr>
          </w:p>
        </w:tc>
        <w:tc>
          <w:tcPr>
            <w:tcW w:w="701" w:type="dxa"/>
          </w:tcPr>
          <w:p w:rsidR="005061E6" w:rsidRPr="00F81955" w:rsidRDefault="005061E6">
            <w:pPr>
              <w:ind w:right="-29"/>
              <w:jc w:val="center"/>
              <w:rPr>
                <w:noProof/>
                <w:sz w:val="18"/>
                <w:szCs w:val="18"/>
              </w:rPr>
            </w:pPr>
          </w:p>
        </w:tc>
        <w:tc>
          <w:tcPr>
            <w:tcW w:w="504" w:type="dxa"/>
          </w:tcPr>
          <w:p w:rsidR="005061E6" w:rsidRPr="00F81955" w:rsidRDefault="005061E6">
            <w:pPr>
              <w:ind w:right="-29"/>
              <w:jc w:val="center"/>
              <w:rPr>
                <w:noProof/>
                <w:sz w:val="18"/>
                <w:szCs w:val="18"/>
              </w:rPr>
            </w:pPr>
          </w:p>
        </w:tc>
        <w:tc>
          <w:tcPr>
            <w:tcW w:w="720" w:type="dxa"/>
          </w:tcPr>
          <w:p w:rsidR="005061E6" w:rsidRPr="00F81955" w:rsidRDefault="005061E6">
            <w:pPr>
              <w:ind w:right="-29"/>
              <w:jc w:val="center"/>
              <w:rPr>
                <w:noProof/>
                <w:sz w:val="18"/>
                <w:szCs w:val="18"/>
              </w:rPr>
            </w:pPr>
          </w:p>
        </w:tc>
        <w:tc>
          <w:tcPr>
            <w:tcW w:w="540" w:type="dxa"/>
          </w:tcPr>
          <w:p w:rsidR="005061E6" w:rsidRPr="00F81955" w:rsidRDefault="005061E6">
            <w:pPr>
              <w:ind w:right="-29"/>
              <w:jc w:val="center"/>
              <w:rPr>
                <w:noProof/>
                <w:sz w:val="18"/>
                <w:szCs w:val="18"/>
              </w:rPr>
            </w:pPr>
          </w:p>
        </w:tc>
        <w:tc>
          <w:tcPr>
            <w:tcW w:w="720" w:type="dxa"/>
          </w:tcPr>
          <w:p w:rsidR="005061E6" w:rsidRPr="00F81955" w:rsidRDefault="005061E6">
            <w:pPr>
              <w:ind w:right="-29"/>
              <w:jc w:val="center"/>
              <w:rPr>
                <w:noProof/>
                <w:sz w:val="18"/>
                <w:szCs w:val="18"/>
              </w:rPr>
            </w:pPr>
          </w:p>
        </w:tc>
        <w:tc>
          <w:tcPr>
            <w:tcW w:w="720" w:type="dxa"/>
          </w:tcPr>
          <w:p w:rsidR="005061E6" w:rsidRPr="00F81955" w:rsidRDefault="005061E6">
            <w:pPr>
              <w:ind w:right="-29"/>
              <w:jc w:val="center"/>
              <w:rPr>
                <w:noProof/>
                <w:sz w:val="18"/>
                <w:szCs w:val="18"/>
              </w:rPr>
            </w:pPr>
          </w:p>
        </w:tc>
        <w:tc>
          <w:tcPr>
            <w:tcW w:w="720" w:type="dxa"/>
          </w:tcPr>
          <w:p w:rsidR="005061E6" w:rsidRPr="00F81955" w:rsidRDefault="005061E6">
            <w:pPr>
              <w:ind w:right="-29"/>
              <w:jc w:val="center"/>
              <w:rPr>
                <w:noProof/>
                <w:sz w:val="18"/>
                <w:szCs w:val="18"/>
              </w:rPr>
            </w:pPr>
          </w:p>
        </w:tc>
        <w:tc>
          <w:tcPr>
            <w:tcW w:w="900" w:type="dxa"/>
          </w:tcPr>
          <w:p w:rsidR="005061E6" w:rsidRPr="00F81955" w:rsidRDefault="005061E6">
            <w:pPr>
              <w:ind w:right="-29"/>
              <w:jc w:val="center"/>
              <w:rPr>
                <w:noProof/>
                <w:sz w:val="18"/>
                <w:szCs w:val="18"/>
              </w:rPr>
            </w:pPr>
          </w:p>
        </w:tc>
        <w:tc>
          <w:tcPr>
            <w:tcW w:w="720" w:type="dxa"/>
            <w:gridSpan w:val="2"/>
          </w:tcPr>
          <w:p w:rsidR="005061E6" w:rsidRPr="00F81955" w:rsidRDefault="005061E6">
            <w:pPr>
              <w:ind w:right="-29"/>
              <w:jc w:val="center"/>
              <w:rPr>
                <w:noProof/>
                <w:sz w:val="18"/>
                <w:szCs w:val="18"/>
              </w:rPr>
            </w:pPr>
          </w:p>
        </w:tc>
        <w:tc>
          <w:tcPr>
            <w:tcW w:w="540" w:type="dxa"/>
          </w:tcPr>
          <w:p w:rsidR="005061E6" w:rsidRPr="00F81955" w:rsidRDefault="005061E6">
            <w:pPr>
              <w:ind w:right="-29"/>
              <w:jc w:val="center"/>
              <w:rPr>
                <w:noProof/>
                <w:sz w:val="18"/>
                <w:szCs w:val="18"/>
              </w:rPr>
            </w:pPr>
          </w:p>
        </w:tc>
        <w:tc>
          <w:tcPr>
            <w:tcW w:w="648" w:type="dxa"/>
          </w:tcPr>
          <w:p w:rsidR="005061E6" w:rsidRPr="00F81955" w:rsidRDefault="005061E6">
            <w:pPr>
              <w:ind w:right="-29"/>
              <w:jc w:val="center"/>
              <w:rPr>
                <w:noProof/>
                <w:sz w:val="18"/>
                <w:szCs w:val="18"/>
              </w:rPr>
            </w:pPr>
          </w:p>
        </w:tc>
        <w:tc>
          <w:tcPr>
            <w:tcW w:w="432" w:type="dxa"/>
          </w:tcPr>
          <w:p w:rsidR="005061E6" w:rsidRPr="00F81955" w:rsidRDefault="005061E6">
            <w:pPr>
              <w:ind w:right="-29"/>
              <w:jc w:val="center"/>
              <w:rPr>
                <w:noProof/>
                <w:sz w:val="18"/>
                <w:szCs w:val="18"/>
              </w:rPr>
            </w:pPr>
          </w:p>
        </w:tc>
        <w:tc>
          <w:tcPr>
            <w:tcW w:w="720" w:type="dxa"/>
          </w:tcPr>
          <w:p w:rsidR="005061E6" w:rsidRPr="00F81955" w:rsidRDefault="005061E6">
            <w:pPr>
              <w:ind w:right="-29"/>
              <w:jc w:val="center"/>
              <w:rPr>
                <w:noProof/>
                <w:sz w:val="18"/>
                <w:szCs w:val="18"/>
              </w:rPr>
            </w:pPr>
          </w:p>
        </w:tc>
        <w:tc>
          <w:tcPr>
            <w:tcW w:w="540" w:type="dxa"/>
          </w:tcPr>
          <w:p w:rsidR="005061E6" w:rsidRPr="00F81955" w:rsidRDefault="005061E6">
            <w:pPr>
              <w:ind w:right="-29"/>
              <w:jc w:val="center"/>
              <w:rPr>
                <w:noProof/>
                <w:sz w:val="18"/>
                <w:szCs w:val="18"/>
              </w:rPr>
            </w:pPr>
          </w:p>
        </w:tc>
        <w:tc>
          <w:tcPr>
            <w:tcW w:w="720" w:type="dxa"/>
          </w:tcPr>
          <w:p w:rsidR="005061E6" w:rsidRPr="00F81955" w:rsidRDefault="005061E6">
            <w:pPr>
              <w:ind w:right="-29"/>
              <w:jc w:val="center"/>
              <w:rPr>
                <w:noProof/>
                <w:sz w:val="18"/>
                <w:szCs w:val="18"/>
              </w:rPr>
            </w:pPr>
          </w:p>
        </w:tc>
        <w:tc>
          <w:tcPr>
            <w:tcW w:w="720" w:type="dxa"/>
          </w:tcPr>
          <w:p w:rsidR="005061E6" w:rsidRPr="00F81955" w:rsidRDefault="005061E6">
            <w:pPr>
              <w:ind w:right="-29"/>
              <w:jc w:val="center"/>
              <w:rPr>
                <w:noProof/>
                <w:sz w:val="18"/>
                <w:szCs w:val="18"/>
              </w:rPr>
            </w:pPr>
          </w:p>
        </w:tc>
        <w:tc>
          <w:tcPr>
            <w:tcW w:w="900" w:type="dxa"/>
          </w:tcPr>
          <w:p w:rsidR="005061E6" w:rsidRPr="00F81955" w:rsidRDefault="005061E6">
            <w:pPr>
              <w:ind w:right="-29"/>
              <w:jc w:val="center"/>
              <w:rPr>
                <w:noProof/>
                <w:sz w:val="18"/>
                <w:szCs w:val="18"/>
              </w:rPr>
            </w:pPr>
          </w:p>
        </w:tc>
      </w:tr>
      <w:tr w:rsidR="005061E6" w:rsidRPr="00F81955">
        <w:trPr>
          <w:jc w:val="center"/>
        </w:trPr>
        <w:tc>
          <w:tcPr>
            <w:tcW w:w="2844" w:type="dxa"/>
            <w:gridSpan w:val="3"/>
            <w:tcBorders>
              <w:bottom w:val="single" w:sz="12" w:space="0" w:color="auto"/>
            </w:tcBorders>
            <w:vAlign w:val="center"/>
          </w:tcPr>
          <w:p w:rsidR="005061E6" w:rsidRPr="00F81955" w:rsidRDefault="005061E6">
            <w:pPr>
              <w:jc w:val="center"/>
              <w:rPr>
                <w:noProof/>
                <w:sz w:val="18"/>
                <w:szCs w:val="18"/>
              </w:rPr>
            </w:pPr>
            <w:r w:rsidRPr="00F81955">
              <w:rPr>
                <w:noProof/>
                <w:sz w:val="18"/>
              </w:rPr>
              <w:t>Subtotal for specific objective No 2</w:t>
            </w:r>
          </w:p>
        </w:tc>
        <w:tc>
          <w:tcPr>
            <w:tcW w:w="504" w:type="dxa"/>
            <w:tcBorders>
              <w:bottom w:val="single" w:sz="12" w:space="0" w:color="auto"/>
            </w:tcBorders>
          </w:tcPr>
          <w:p w:rsidR="005061E6" w:rsidRPr="00F81955" w:rsidRDefault="005061E6">
            <w:pPr>
              <w:ind w:right="-29"/>
              <w:jc w:val="center"/>
              <w:rPr>
                <w:noProof/>
                <w:sz w:val="18"/>
                <w:szCs w:val="18"/>
              </w:rPr>
            </w:pPr>
          </w:p>
        </w:tc>
        <w:tc>
          <w:tcPr>
            <w:tcW w:w="720" w:type="dxa"/>
            <w:tcBorders>
              <w:bottom w:val="single" w:sz="12" w:space="0" w:color="auto"/>
            </w:tcBorders>
          </w:tcPr>
          <w:p w:rsidR="005061E6" w:rsidRPr="00F81955" w:rsidRDefault="005061E6">
            <w:pPr>
              <w:ind w:right="-29"/>
              <w:jc w:val="center"/>
              <w:rPr>
                <w:noProof/>
                <w:sz w:val="18"/>
                <w:szCs w:val="18"/>
              </w:rPr>
            </w:pPr>
          </w:p>
        </w:tc>
        <w:tc>
          <w:tcPr>
            <w:tcW w:w="540" w:type="dxa"/>
            <w:tcBorders>
              <w:bottom w:val="single" w:sz="12" w:space="0" w:color="auto"/>
            </w:tcBorders>
          </w:tcPr>
          <w:p w:rsidR="005061E6" w:rsidRPr="00F81955" w:rsidRDefault="005061E6">
            <w:pPr>
              <w:ind w:right="-29"/>
              <w:jc w:val="center"/>
              <w:rPr>
                <w:noProof/>
                <w:sz w:val="18"/>
                <w:szCs w:val="18"/>
              </w:rPr>
            </w:pPr>
          </w:p>
        </w:tc>
        <w:tc>
          <w:tcPr>
            <w:tcW w:w="720" w:type="dxa"/>
            <w:tcBorders>
              <w:bottom w:val="single" w:sz="12" w:space="0" w:color="auto"/>
            </w:tcBorders>
          </w:tcPr>
          <w:p w:rsidR="005061E6" w:rsidRPr="00F81955" w:rsidRDefault="005061E6">
            <w:pPr>
              <w:ind w:right="-29"/>
              <w:jc w:val="center"/>
              <w:rPr>
                <w:noProof/>
                <w:sz w:val="18"/>
                <w:szCs w:val="18"/>
              </w:rPr>
            </w:pPr>
          </w:p>
        </w:tc>
        <w:tc>
          <w:tcPr>
            <w:tcW w:w="720" w:type="dxa"/>
            <w:tcBorders>
              <w:bottom w:val="single" w:sz="12" w:space="0" w:color="auto"/>
            </w:tcBorders>
          </w:tcPr>
          <w:p w:rsidR="005061E6" w:rsidRPr="00F81955" w:rsidRDefault="005061E6">
            <w:pPr>
              <w:ind w:right="-29"/>
              <w:jc w:val="center"/>
              <w:rPr>
                <w:noProof/>
                <w:sz w:val="18"/>
                <w:szCs w:val="18"/>
              </w:rPr>
            </w:pPr>
          </w:p>
        </w:tc>
        <w:tc>
          <w:tcPr>
            <w:tcW w:w="720" w:type="dxa"/>
            <w:tcBorders>
              <w:bottom w:val="single" w:sz="12" w:space="0" w:color="auto"/>
            </w:tcBorders>
          </w:tcPr>
          <w:p w:rsidR="005061E6" w:rsidRPr="00F81955" w:rsidRDefault="005061E6">
            <w:pPr>
              <w:ind w:right="-29"/>
              <w:jc w:val="center"/>
              <w:rPr>
                <w:noProof/>
                <w:sz w:val="18"/>
                <w:szCs w:val="18"/>
              </w:rPr>
            </w:pPr>
          </w:p>
        </w:tc>
        <w:tc>
          <w:tcPr>
            <w:tcW w:w="951" w:type="dxa"/>
            <w:gridSpan w:val="2"/>
            <w:tcBorders>
              <w:bottom w:val="single" w:sz="12" w:space="0" w:color="auto"/>
            </w:tcBorders>
          </w:tcPr>
          <w:p w:rsidR="005061E6" w:rsidRPr="00F81955" w:rsidRDefault="005061E6">
            <w:pPr>
              <w:ind w:right="-29"/>
              <w:jc w:val="center"/>
              <w:rPr>
                <w:noProof/>
                <w:sz w:val="18"/>
                <w:szCs w:val="18"/>
              </w:rPr>
            </w:pPr>
          </w:p>
        </w:tc>
        <w:tc>
          <w:tcPr>
            <w:tcW w:w="669" w:type="dxa"/>
            <w:tcBorders>
              <w:bottom w:val="single" w:sz="12" w:space="0" w:color="auto"/>
            </w:tcBorders>
          </w:tcPr>
          <w:p w:rsidR="005061E6" w:rsidRPr="00F81955" w:rsidRDefault="005061E6">
            <w:pPr>
              <w:ind w:right="-29"/>
              <w:jc w:val="center"/>
              <w:rPr>
                <w:noProof/>
                <w:sz w:val="18"/>
                <w:szCs w:val="18"/>
              </w:rPr>
            </w:pPr>
          </w:p>
        </w:tc>
        <w:tc>
          <w:tcPr>
            <w:tcW w:w="540" w:type="dxa"/>
            <w:tcBorders>
              <w:bottom w:val="single" w:sz="12" w:space="0" w:color="auto"/>
            </w:tcBorders>
          </w:tcPr>
          <w:p w:rsidR="005061E6" w:rsidRPr="00F81955" w:rsidRDefault="005061E6">
            <w:pPr>
              <w:ind w:right="-29"/>
              <w:jc w:val="center"/>
              <w:rPr>
                <w:noProof/>
                <w:sz w:val="18"/>
                <w:szCs w:val="18"/>
              </w:rPr>
            </w:pPr>
          </w:p>
        </w:tc>
        <w:tc>
          <w:tcPr>
            <w:tcW w:w="648" w:type="dxa"/>
            <w:tcBorders>
              <w:bottom w:val="single" w:sz="12" w:space="0" w:color="auto"/>
            </w:tcBorders>
          </w:tcPr>
          <w:p w:rsidR="005061E6" w:rsidRPr="00F81955" w:rsidRDefault="005061E6">
            <w:pPr>
              <w:ind w:right="-29"/>
              <w:jc w:val="center"/>
              <w:rPr>
                <w:noProof/>
                <w:sz w:val="18"/>
                <w:szCs w:val="18"/>
              </w:rPr>
            </w:pPr>
          </w:p>
        </w:tc>
        <w:tc>
          <w:tcPr>
            <w:tcW w:w="432" w:type="dxa"/>
            <w:tcBorders>
              <w:bottom w:val="single" w:sz="12" w:space="0" w:color="auto"/>
            </w:tcBorders>
          </w:tcPr>
          <w:p w:rsidR="005061E6" w:rsidRPr="00F81955" w:rsidRDefault="005061E6">
            <w:pPr>
              <w:ind w:right="-29"/>
              <w:jc w:val="center"/>
              <w:rPr>
                <w:noProof/>
                <w:sz w:val="18"/>
                <w:szCs w:val="18"/>
              </w:rPr>
            </w:pPr>
          </w:p>
        </w:tc>
        <w:tc>
          <w:tcPr>
            <w:tcW w:w="720" w:type="dxa"/>
            <w:tcBorders>
              <w:bottom w:val="single" w:sz="12" w:space="0" w:color="auto"/>
            </w:tcBorders>
          </w:tcPr>
          <w:p w:rsidR="005061E6" w:rsidRPr="00F81955" w:rsidRDefault="005061E6">
            <w:pPr>
              <w:ind w:right="-29"/>
              <w:jc w:val="center"/>
              <w:rPr>
                <w:noProof/>
                <w:sz w:val="18"/>
                <w:szCs w:val="18"/>
              </w:rPr>
            </w:pPr>
          </w:p>
        </w:tc>
        <w:tc>
          <w:tcPr>
            <w:tcW w:w="540" w:type="dxa"/>
            <w:tcBorders>
              <w:bottom w:val="single" w:sz="12" w:space="0" w:color="auto"/>
            </w:tcBorders>
          </w:tcPr>
          <w:p w:rsidR="005061E6" w:rsidRPr="00F81955" w:rsidRDefault="005061E6">
            <w:pPr>
              <w:ind w:right="-29"/>
              <w:jc w:val="center"/>
              <w:rPr>
                <w:noProof/>
                <w:sz w:val="18"/>
                <w:szCs w:val="18"/>
              </w:rPr>
            </w:pPr>
          </w:p>
        </w:tc>
        <w:tc>
          <w:tcPr>
            <w:tcW w:w="720" w:type="dxa"/>
            <w:tcBorders>
              <w:bottom w:val="single" w:sz="12" w:space="0" w:color="auto"/>
            </w:tcBorders>
          </w:tcPr>
          <w:p w:rsidR="005061E6" w:rsidRPr="00F81955" w:rsidRDefault="005061E6">
            <w:pPr>
              <w:ind w:right="-29"/>
              <w:jc w:val="center"/>
              <w:rPr>
                <w:noProof/>
                <w:sz w:val="18"/>
                <w:szCs w:val="18"/>
              </w:rPr>
            </w:pPr>
          </w:p>
        </w:tc>
        <w:tc>
          <w:tcPr>
            <w:tcW w:w="720" w:type="dxa"/>
            <w:tcBorders>
              <w:bottom w:val="single" w:sz="12" w:space="0" w:color="auto"/>
            </w:tcBorders>
          </w:tcPr>
          <w:p w:rsidR="005061E6" w:rsidRPr="00F81955" w:rsidRDefault="005061E6">
            <w:pPr>
              <w:ind w:right="-29"/>
              <w:jc w:val="center"/>
              <w:rPr>
                <w:noProof/>
                <w:sz w:val="18"/>
                <w:szCs w:val="18"/>
              </w:rPr>
            </w:pPr>
          </w:p>
        </w:tc>
        <w:tc>
          <w:tcPr>
            <w:tcW w:w="900" w:type="dxa"/>
            <w:tcBorders>
              <w:bottom w:val="single" w:sz="12" w:space="0" w:color="auto"/>
            </w:tcBorders>
          </w:tcPr>
          <w:p w:rsidR="005061E6" w:rsidRPr="00F81955" w:rsidRDefault="005061E6">
            <w:pPr>
              <w:ind w:right="-29"/>
              <w:jc w:val="center"/>
              <w:rPr>
                <w:noProof/>
                <w:sz w:val="18"/>
                <w:szCs w:val="18"/>
              </w:rPr>
            </w:pPr>
          </w:p>
        </w:tc>
      </w:tr>
      <w:tr w:rsidR="005061E6" w:rsidRPr="00F81955">
        <w:trPr>
          <w:jc w:val="center"/>
        </w:trPr>
        <w:tc>
          <w:tcPr>
            <w:tcW w:w="2844" w:type="dxa"/>
            <w:gridSpan w:val="3"/>
            <w:tcBorders>
              <w:top w:val="single" w:sz="12" w:space="0" w:color="auto"/>
              <w:left w:val="single" w:sz="12" w:space="0" w:color="auto"/>
              <w:bottom w:val="single" w:sz="12" w:space="0" w:color="auto"/>
            </w:tcBorders>
            <w:vAlign w:val="center"/>
          </w:tcPr>
          <w:p w:rsidR="005061E6" w:rsidRPr="00F81955" w:rsidRDefault="005061E6">
            <w:pPr>
              <w:ind w:right="-29"/>
              <w:jc w:val="center"/>
              <w:rPr>
                <w:noProof/>
                <w:sz w:val="18"/>
                <w:szCs w:val="18"/>
              </w:rPr>
            </w:pPr>
            <w:r w:rsidRPr="00F81955">
              <w:rPr>
                <w:b/>
                <w:noProof/>
                <w:sz w:val="18"/>
              </w:rPr>
              <w:t>TOTALS</w:t>
            </w:r>
          </w:p>
        </w:tc>
        <w:tc>
          <w:tcPr>
            <w:tcW w:w="504" w:type="dxa"/>
            <w:tcBorders>
              <w:top w:val="single" w:sz="12" w:space="0" w:color="auto"/>
              <w:bottom w:val="single" w:sz="12" w:space="0" w:color="auto"/>
            </w:tcBorders>
          </w:tcPr>
          <w:p w:rsidR="005061E6" w:rsidRPr="00F81955" w:rsidRDefault="005061E6">
            <w:pPr>
              <w:spacing w:before="180" w:after="180"/>
              <w:ind w:right="-29"/>
              <w:jc w:val="center"/>
              <w:rPr>
                <w:noProof/>
                <w:sz w:val="18"/>
                <w:szCs w:val="18"/>
              </w:rPr>
            </w:pPr>
          </w:p>
        </w:tc>
        <w:tc>
          <w:tcPr>
            <w:tcW w:w="720" w:type="dxa"/>
            <w:tcBorders>
              <w:top w:val="single" w:sz="12" w:space="0" w:color="auto"/>
              <w:bottom w:val="single" w:sz="12" w:space="0" w:color="auto"/>
            </w:tcBorders>
          </w:tcPr>
          <w:p w:rsidR="005061E6" w:rsidRPr="00F81955" w:rsidRDefault="005061E6">
            <w:pPr>
              <w:spacing w:before="180" w:after="180"/>
              <w:ind w:right="-29"/>
              <w:jc w:val="center"/>
              <w:rPr>
                <w:noProof/>
                <w:sz w:val="18"/>
                <w:szCs w:val="18"/>
              </w:rPr>
            </w:pPr>
          </w:p>
        </w:tc>
        <w:tc>
          <w:tcPr>
            <w:tcW w:w="540" w:type="dxa"/>
            <w:tcBorders>
              <w:top w:val="single" w:sz="12" w:space="0" w:color="auto"/>
              <w:bottom w:val="single" w:sz="12" w:space="0" w:color="auto"/>
            </w:tcBorders>
          </w:tcPr>
          <w:p w:rsidR="005061E6" w:rsidRPr="00F81955" w:rsidRDefault="005061E6">
            <w:pPr>
              <w:spacing w:before="180" w:after="180"/>
              <w:ind w:right="-29"/>
              <w:jc w:val="center"/>
              <w:rPr>
                <w:noProof/>
                <w:sz w:val="18"/>
                <w:szCs w:val="18"/>
              </w:rPr>
            </w:pPr>
          </w:p>
        </w:tc>
        <w:tc>
          <w:tcPr>
            <w:tcW w:w="720" w:type="dxa"/>
            <w:tcBorders>
              <w:top w:val="single" w:sz="12" w:space="0" w:color="auto"/>
              <w:bottom w:val="single" w:sz="12" w:space="0" w:color="auto"/>
            </w:tcBorders>
          </w:tcPr>
          <w:p w:rsidR="005061E6" w:rsidRPr="00F81955" w:rsidRDefault="005061E6">
            <w:pPr>
              <w:spacing w:before="180" w:after="180"/>
              <w:ind w:right="-29"/>
              <w:jc w:val="center"/>
              <w:rPr>
                <w:noProof/>
                <w:sz w:val="18"/>
                <w:szCs w:val="18"/>
              </w:rPr>
            </w:pPr>
          </w:p>
        </w:tc>
        <w:tc>
          <w:tcPr>
            <w:tcW w:w="720" w:type="dxa"/>
            <w:tcBorders>
              <w:top w:val="single" w:sz="12" w:space="0" w:color="auto"/>
              <w:bottom w:val="single" w:sz="12" w:space="0" w:color="auto"/>
            </w:tcBorders>
          </w:tcPr>
          <w:p w:rsidR="005061E6" w:rsidRPr="00F81955" w:rsidRDefault="005061E6">
            <w:pPr>
              <w:spacing w:before="180" w:after="180"/>
              <w:ind w:right="-29"/>
              <w:jc w:val="center"/>
              <w:rPr>
                <w:noProof/>
                <w:sz w:val="18"/>
                <w:szCs w:val="18"/>
              </w:rPr>
            </w:pPr>
          </w:p>
        </w:tc>
        <w:tc>
          <w:tcPr>
            <w:tcW w:w="720" w:type="dxa"/>
            <w:tcBorders>
              <w:top w:val="single" w:sz="12" w:space="0" w:color="auto"/>
              <w:bottom w:val="single" w:sz="12" w:space="0" w:color="auto"/>
            </w:tcBorders>
          </w:tcPr>
          <w:p w:rsidR="005061E6" w:rsidRPr="00F81955" w:rsidRDefault="005061E6">
            <w:pPr>
              <w:spacing w:before="180" w:after="180"/>
              <w:ind w:right="-29"/>
              <w:jc w:val="center"/>
              <w:rPr>
                <w:noProof/>
                <w:sz w:val="18"/>
                <w:szCs w:val="18"/>
              </w:rPr>
            </w:pPr>
          </w:p>
        </w:tc>
        <w:tc>
          <w:tcPr>
            <w:tcW w:w="900" w:type="dxa"/>
            <w:tcBorders>
              <w:top w:val="single" w:sz="12" w:space="0" w:color="auto"/>
              <w:bottom w:val="single" w:sz="12" w:space="0" w:color="auto"/>
            </w:tcBorders>
          </w:tcPr>
          <w:p w:rsidR="005061E6" w:rsidRPr="00F81955" w:rsidRDefault="005061E6">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5061E6" w:rsidRPr="00F81955" w:rsidRDefault="005061E6">
            <w:pPr>
              <w:spacing w:before="180" w:after="180"/>
              <w:ind w:right="-29"/>
              <w:jc w:val="center"/>
              <w:rPr>
                <w:noProof/>
                <w:sz w:val="18"/>
                <w:szCs w:val="18"/>
              </w:rPr>
            </w:pPr>
          </w:p>
        </w:tc>
        <w:tc>
          <w:tcPr>
            <w:tcW w:w="540" w:type="dxa"/>
            <w:tcBorders>
              <w:top w:val="single" w:sz="12" w:space="0" w:color="auto"/>
              <w:bottom w:val="single" w:sz="12" w:space="0" w:color="auto"/>
            </w:tcBorders>
          </w:tcPr>
          <w:p w:rsidR="005061E6" w:rsidRPr="00F81955" w:rsidRDefault="005061E6">
            <w:pPr>
              <w:spacing w:before="180" w:after="180"/>
              <w:ind w:right="-29"/>
              <w:jc w:val="center"/>
              <w:rPr>
                <w:noProof/>
                <w:sz w:val="18"/>
                <w:szCs w:val="18"/>
              </w:rPr>
            </w:pPr>
          </w:p>
        </w:tc>
        <w:tc>
          <w:tcPr>
            <w:tcW w:w="648" w:type="dxa"/>
            <w:tcBorders>
              <w:top w:val="single" w:sz="12" w:space="0" w:color="auto"/>
              <w:bottom w:val="single" w:sz="12" w:space="0" w:color="auto"/>
            </w:tcBorders>
          </w:tcPr>
          <w:p w:rsidR="005061E6" w:rsidRPr="00F81955" w:rsidRDefault="005061E6">
            <w:pPr>
              <w:spacing w:before="180" w:after="180"/>
              <w:ind w:right="-29"/>
              <w:jc w:val="center"/>
              <w:rPr>
                <w:noProof/>
                <w:sz w:val="18"/>
                <w:szCs w:val="18"/>
              </w:rPr>
            </w:pPr>
          </w:p>
        </w:tc>
        <w:tc>
          <w:tcPr>
            <w:tcW w:w="432" w:type="dxa"/>
            <w:tcBorders>
              <w:top w:val="single" w:sz="12" w:space="0" w:color="auto"/>
              <w:bottom w:val="single" w:sz="12" w:space="0" w:color="auto"/>
            </w:tcBorders>
          </w:tcPr>
          <w:p w:rsidR="005061E6" w:rsidRPr="00F81955" w:rsidRDefault="005061E6">
            <w:pPr>
              <w:spacing w:before="180" w:after="180"/>
              <w:ind w:right="-29"/>
              <w:jc w:val="center"/>
              <w:rPr>
                <w:noProof/>
                <w:sz w:val="18"/>
                <w:szCs w:val="18"/>
              </w:rPr>
            </w:pPr>
          </w:p>
        </w:tc>
        <w:tc>
          <w:tcPr>
            <w:tcW w:w="720" w:type="dxa"/>
            <w:tcBorders>
              <w:top w:val="single" w:sz="12" w:space="0" w:color="auto"/>
              <w:bottom w:val="single" w:sz="12" w:space="0" w:color="auto"/>
            </w:tcBorders>
          </w:tcPr>
          <w:p w:rsidR="005061E6" w:rsidRPr="00F81955" w:rsidRDefault="005061E6">
            <w:pPr>
              <w:spacing w:before="180" w:after="180"/>
              <w:ind w:right="-29"/>
              <w:jc w:val="center"/>
              <w:rPr>
                <w:noProof/>
                <w:sz w:val="18"/>
                <w:szCs w:val="18"/>
              </w:rPr>
            </w:pPr>
          </w:p>
        </w:tc>
        <w:tc>
          <w:tcPr>
            <w:tcW w:w="540" w:type="dxa"/>
            <w:tcBorders>
              <w:top w:val="single" w:sz="12" w:space="0" w:color="auto"/>
              <w:bottom w:val="single" w:sz="12" w:space="0" w:color="auto"/>
            </w:tcBorders>
          </w:tcPr>
          <w:p w:rsidR="005061E6" w:rsidRPr="00F81955" w:rsidRDefault="005061E6">
            <w:pPr>
              <w:spacing w:before="180" w:after="180"/>
              <w:ind w:right="-29"/>
              <w:jc w:val="center"/>
              <w:rPr>
                <w:noProof/>
                <w:sz w:val="18"/>
                <w:szCs w:val="18"/>
              </w:rPr>
            </w:pPr>
          </w:p>
        </w:tc>
        <w:tc>
          <w:tcPr>
            <w:tcW w:w="720" w:type="dxa"/>
            <w:tcBorders>
              <w:top w:val="single" w:sz="12" w:space="0" w:color="auto"/>
              <w:bottom w:val="single" w:sz="12" w:space="0" w:color="auto"/>
            </w:tcBorders>
          </w:tcPr>
          <w:p w:rsidR="005061E6" w:rsidRPr="00F81955" w:rsidRDefault="005061E6">
            <w:pPr>
              <w:spacing w:before="180" w:after="180"/>
              <w:ind w:right="-29"/>
              <w:jc w:val="center"/>
              <w:rPr>
                <w:noProof/>
                <w:sz w:val="18"/>
                <w:szCs w:val="18"/>
              </w:rPr>
            </w:pPr>
          </w:p>
        </w:tc>
        <w:tc>
          <w:tcPr>
            <w:tcW w:w="720" w:type="dxa"/>
            <w:tcBorders>
              <w:top w:val="single" w:sz="12" w:space="0" w:color="auto"/>
              <w:bottom w:val="single" w:sz="12" w:space="0" w:color="auto"/>
            </w:tcBorders>
          </w:tcPr>
          <w:p w:rsidR="005061E6" w:rsidRPr="00F81955" w:rsidRDefault="005061E6">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5061E6" w:rsidRPr="00F81955" w:rsidRDefault="005061E6">
            <w:pPr>
              <w:spacing w:before="180" w:after="180"/>
              <w:ind w:right="-29"/>
              <w:jc w:val="center"/>
              <w:rPr>
                <w:noProof/>
                <w:sz w:val="18"/>
                <w:szCs w:val="18"/>
              </w:rPr>
            </w:pPr>
          </w:p>
        </w:tc>
      </w:tr>
    </w:tbl>
    <w:p w:rsidR="005061E6" w:rsidRPr="00F81955" w:rsidRDefault="005061E6" w:rsidP="005061E6">
      <w:pPr>
        <w:rPr>
          <w:noProof/>
        </w:rPr>
        <w:sectPr w:rsidR="005061E6" w:rsidRPr="00F81955" w:rsidSect="004623B1">
          <w:headerReference w:type="default" r:id="rId23"/>
          <w:footerReference w:type="default" r:id="rId24"/>
          <w:pgSz w:w="16840" w:h="11907" w:orient="landscape" w:code="9"/>
          <w:pgMar w:top="1134" w:right="1418" w:bottom="567" w:left="1418" w:header="709" w:footer="709" w:gutter="0"/>
          <w:cols w:space="708"/>
          <w:docGrid w:linePitch="360"/>
        </w:sectPr>
      </w:pPr>
    </w:p>
    <w:p w:rsidR="005061E6" w:rsidRPr="00F81955" w:rsidRDefault="005061E6" w:rsidP="005061E6">
      <w:pPr>
        <w:pStyle w:val="ManualHeading3"/>
        <w:rPr>
          <w:bCs/>
          <w:noProof/>
          <w:szCs w:val="24"/>
        </w:rPr>
      </w:pPr>
      <w:bookmarkStart w:id="22" w:name="_Toc514938055"/>
      <w:bookmarkStart w:id="23" w:name="_Toc520485054"/>
      <w:bookmarkStart w:id="24" w:name="_Toc160804598"/>
      <w:bookmarkStart w:id="25" w:name="_Toc167220290"/>
      <w:bookmarkStart w:id="26" w:name="_Toc177549023"/>
      <w:r w:rsidRPr="00F81955">
        <w:rPr>
          <w:noProof/>
        </w:rPr>
        <w:t>3.2.3.</w:t>
      </w:r>
      <w:r w:rsidRPr="00F81955">
        <w:rPr>
          <w:noProof/>
        </w:rPr>
        <w:tab/>
        <w:t>Summary of estimated impact on administrative appropriations</w:t>
      </w:r>
      <w:bookmarkEnd w:id="22"/>
      <w:bookmarkEnd w:id="23"/>
      <w:bookmarkEnd w:id="24"/>
      <w:bookmarkEnd w:id="25"/>
      <w:bookmarkEnd w:id="26"/>
      <w:r w:rsidRPr="00F81955">
        <w:rPr>
          <w:noProof/>
        </w:rPr>
        <w:t xml:space="preserve"> </w:t>
      </w:r>
    </w:p>
    <w:p w:rsidR="005061E6" w:rsidRPr="00F81955" w:rsidRDefault="005061E6" w:rsidP="005061E6">
      <w:pPr>
        <w:pStyle w:val="ListDash1"/>
        <w:rPr>
          <w:noProof/>
        </w:rPr>
      </w:pPr>
      <w:r w:rsidRPr="00F81955">
        <w:rPr>
          <w:rFonts w:ascii="Wingdings" w:eastAsia="Wingdings" w:hAnsi="Wingdings" w:cs="Wingdings"/>
          <w:noProof/>
        </w:rPr>
        <w:t></w:t>
      </w:r>
      <w:r w:rsidRPr="00F81955">
        <w:rPr>
          <w:noProof/>
        </w:rPr>
        <w:tab/>
        <w:t xml:space="preserve">The proposal/initiative does not require the use of appropriations of an administrative nature </w:t>
      </w:r>
    </w:p>
    <w:p w:rsidR="005061E6" w:rsidRPr="00F81955" w:rsidRDefault="005061E6" w:rsidP="005061E6">
      <w:pPr>
        <w:pStyle w:val="ListDash1"/>
        <w:rPr>
          <w:noProof/>
        </w:rPr>
      </w:pPr>
      <w:r w:rsidRPr="00F81955">
        <w:rPr>
          <w:rFonts w:ascii="Wingdings" w:eastAsia="Wingdings" w:hAnsi="Wingdings" w:cs="Wingdings"/>
          <w:noProof/>
        </w:rPr>
        <w:t></w:t>
      </w:r>
      <w:r w:rsidRPr="00F81955">
        <w:rPr>
          <w:noProof/>
        </w:rPr>
        <w:tab/>
        <w:t>The proposal/initiative requires the use of appropriations of an administrative nature, as explained below</w:t>
      </w:r>
    </w:p>
    <w:p w:rsidR="005061E6" w:rsidRPr="00F81955" w:rsidRDefault="005061E6" w:rsidP="005061E6">
      <w:pPr>
        <w:pStyle w:val="ManualHeading3"/>
        <w:rPr>
          <w:noProof/>
        </w:rPr>
      </w:pPr>
      <w:bookmarkStart w:id="27" w:name="_Toc167220291"/>
      <w:bookmarkStart w:id="28" w:name="_Toc177549024"/>
      <w:r w:rsidRPr="00F81955">
        <w:rPr>
          <w:noProof/>
        </w:rPr>
        <w:t xml:space="preserve">3.2.3.1. Appropriations </w:t>
      </w:r>
      <w:r w:rsidRPr="00F81955">
        <w:rPr>
          <w:rFonts w:eastAsia="Calibri"/>
          <w:noProof/>
        </w:rPr>
        <w:t>from</w:t>
      </w:r>
      <w:r w:rsidRPr="00F81955">
        <w:rPr>
          <w:noProof/>
        </w:rPr>
        <w:t xml:space="preserve"> voted budget</w:t>
      </w:r>
      <w:bookmarkEnd w:id="27"/>
      <w:bookmarkEnd w:id="28"/>
    </w:p>
    <w:p w:rsidR="003F3A5E" w:rsidRPr="00F81955" w:rsidRDefault="003F3A5E" w:rsidP="003F3A5E">
      <w:pPr>
        <w:pStyle w:val="Text1"/>
        <w:rPr>
          <w:noProof/>
        </w:rPr>
      </w:pPr>
      <w:r w:rsidRPr="00F81955">
        <w:rPr>
          <w:noProof/>
        </w:rPr>
        <w:t>[</w:t>
      </w:r>
    </w:p>
    <w:tbl>
      <w:tblPr>
        <w:tblW w:w="5000" w:type="pct"/>
        <w:tblLook w:val="04A0" w:firstRow="1" w:lastRow="0" w:firstColumn="1" w:lastColumn="0" w:noHBand="0" w:noVBand="1"/>
      </w:tblPr>
      <w:tblGrid>
        <w:gridCol w:w="6410"/>
        <w:gridCol w:w="1635"/>
        <w:gridCol w:w="1635"/>
        <w:gridCol w:w="1635"/>
        <w:gridCol w:w="1635"/>
        <w:gridCol w:w="1837"/>
      </w:tblGrid>
      <w:tr w:rsidR="005061E6" w:rsidRPr="00F81955">
        <w:trPr>
          <w:trHeight w:val="300"/>
        </w:trPr>
        <w:tc>
          <w:tcPr>
            <w:tcW w:w="2167" w:type="pct"/>
            <w:vMerge w:val="restart"/>
            <w:tcBorders>
              <w:top w:val="single" w:sz="8" w:space="0" w:color="auto"/>
              <w:left w:val="single" w:sz="8" w:space="0" w:color="auto"/>
              <w:bottom w:val="single" w:sz="8" w:space="0" w:color="auto"/>
              <w:right w:val="single" w:sz="8" w:space="0" w:color="auto"/>
            </w:tcBorders>
            <w:vAlign w:val="center"/>
            <w:hideMark/>
          </w:tcPr>
          <w:p w:rsidR="005061E6" w:rsidRPr="00F81955" w:rsidRDefault="005061E6">
            <w:pPr>
              <w:spacing w:before="0" w:after="0"/>
              <w:jc w:val="center"/>
              <w:rPr>
                <w:b/>
                <w:bCs/>
                <w:noProof/>
                <w:color w:val="000000"/>
                <w:sz w:val="18"/>
                <w:szCs w:val="18"/>
                <w:lang w:eastAsia="en-IE"/>
              </w:rPr>
            </w:pPr>
            <w:r w:rsidRPr="00F81955">
              <w:rPr>
                <w:b/>
                <w:bCs/>
                <w:noProof/>
                <w:color w:val="000000"/>
                <w:sz w:val="18"/>
                <w:szCs w:val="18"/>
                <w:lang w:eastAsia="en-IE"/>
              </w:rPr>
              <w:t>VOTED APPROPRIATIONS</w:t>
            </w:r>
          </w:p>
        </w:tc>
        <w:tc>
          <w:tcPr>
            <w:tcW w:w="553" w:type="pct"/>
            <w:tcBorders>
              <w:top w:val="single" w:sz="8" w:space="0" w:color="auto"/>
              <w:left w:val="nil"/>
              <w:bottom w:val="single" w:sz="8" w:space="0" w:color="auto"/>
              <w:right w:val="single" w:sz="8" w:space="0" w:color="auto"/>
            </w:tcBorders>
            <w:vAlign w:val="center"/>
            <w:hideMark/>
          </w:tcPr>
          <w:p w:rsidR="005061E6" w:rsidRPr="00F81955" w:rsidRDefault="005061E6">
            <w:pPr>
              <w:spacing w:before="0" w:after="0"/>
              <w:jc w:val="center"/>
              <w:rPr>
                <w:noProof/>
                <w:color w:val="000000"/>
                <w:sz w:val="18"/>
                <w:szCs w:val="18"/>
                <w:lang w:eastAsia="en-IE"/>
              </w:rPr>
            </w:pPr>
            <w:r w:rsidRPr="00F81955">
              <w:rPr>
                <w:noProof/>
                <w:color w:val="000000"/>
                <w:sz w:val="18"/>
                <w:szCs w:val="18"/>
                <w:lang w:eastAsia="en-IE"/>
              </w:rPr>
              <w:t>Year</w:t>
            </w:r>
          </w:p>
        </w:tc>
        <w:tc>
          <w:tcPr>
            <w:tcW w:w="553" w:type="pct"/>
            <w:tcBorders>
              <w:top w:val="single" w:sz="8" w:space="0" w:color="auto"/>
              <w:left w:val="nil"/>
              <w:bottom w:val="single" w:sz="8" w:space="0" w:color="auto"/>
              <w:right w:val="single" w:sz="8" w:space="0" w:color="auto"/>
            </w:tcBorders>
            <w:vAlign w:val="center"/>
            <w:hideMark/>
          </w:tcPr>
          <w:p w:rsidR="005061E6" w:rsidRPr="00F81955" w:rsidRDefault="005061E6">
            <w:pPr>
              <w:spacing w:before="0" w:after="0"/>
              <w:jc w:val="center"/>
              <w:rPr>
                <w:noProof/>
                <w:color w:val="000000"/>
                <w:sz w:val="18"/>
                <w:szCs w:val="18"/>
                <w:lang w:eastAsia="en-IE"/>
              </w:rPr>
            </w:pPr>
            <w:r w:rsidRPr="00F81955">
              <w:rPr>
                <w:noProof/>
                <w:color w:val="000000"/>
                <w:sz w:val="18"/>
                <w:szCs w:val="18"/>
                <w:lang w:eastAsia="en-IE"/>
              </w:rPr>
              <w:t>Year</w:t>
            </w:r>
          </w:p>
        </w:tc>
        <w:tc>
          <w:tcPr>
            <w:tcW w:w="553" w:type="pct"/>
            <w:tcBorders>
              <w:top w:val="single" w:sz="8" w:space="0" w:color="auto"/>
              <w:left w:val="nil"/>
              <w:bottom w:val="single" w:sz="8" w:space="0" w:color="auto"/>
              <w:right w:val="single" w:sz="8" w:space="0" w:color="auto"/>
            </w:tcBorders>
            <w:vAlign w:val="center"/>
            <w:hideMark/>
          </w:tcPr>
          <w:p w:rsidR="005061E6" w:rsidRPr="00F81955" w:rsidRDefault="005061E6">
            <w:pPr>
              <w:spacing w:before="0" w:after="0"/>
              <w:jc w:val="center"/>
              <w:rPr>
                <w:noProof/>
                <w:color w:val="000000"/>
                <w:sz w:val="18"/>
                <w:szCs w:val="18"/>
                <w:lang w:eastAsia="en-IE"/>
              </w:rPr>
            </w:pPr>
            <w:r w:rsidRPr="00F81955">
              <w:rPr>
                <w:noProof/>
                <w:color w:val="000000"/>
                <w:sz w:val="18"/>
                <w:szCs w:val="18"/>
                <w:lang w:eastAsia="en-IE"/>
              </w:rPr>
              <w:t>Year</w:t>
            </w:r>
          </w:p>
        </w:tc>
        <w:tc>
          <w:tcPr>
            <w:tcW w:w="553" w:type="pct"/>
            <w:tcBorders>
              <w:top w:val="single" w:sz="8" w:space="0" w:color="auto"/>
              <w:left w:val="nil"/>
              <w:bottom w:val="single" w:sz="8" w:space="0" w:color="auto"/>
              <w:right w:val="single" w:sz="8" w:space="0" w:color="auto"/>
            </w:tcBorders>
            <w:vAlign w:val="center"/>
            <w:hideMark/>
          </w:tcPr>
          <w:p w:rsidR="005061E6" w:rsidRPr="00F81955" w:rsidRDefault="005061E6">
            <w:pPr>
              <w:spacing w:before="0" w:after="0"/>
              <w:jc w:val="center"/>
              <w:rPr>
                <w:noProof/>
                <w:color w:val="000000"/>
                <w:sz w:val="18"/>
                <w:szCs w:val="18"/>
                <w:lang w:eastAsia="en-IE"/>
              </w:rPr>
            </w:pPr>
            <w:r w:rsidRPr="00F81955">
              <w:rPr>
                <w:noProof/>
                <w:color w:val="000000"/>
                <w:sz w:val="18"/>
                <w:szCs w:val="18"/>
                <w:lang w:eastAsia="en-IE"/>
              </w:rPr>
              <w:t>Year</w:t>
            </w:r>
          </w:p>
        </w:tc>
        <w:tc>
          <w:tcPr>
            <w:tcW w:w="622" w:type="pct"/>
            <w:vMerge w:val="restart"/>
            <w:tcBorders>
              <w:top w:val="single" w:sz="8" w:space="0" w:color="auto"/>
              <w:left w:val="single" w:sz="8" w:space="0" w:color="auto"/>
              <w:bottom w:val="single" w:sz="8" w:space="0" w:color="auto"/>
              <w:right w:val="single" w:sz="8" w:space="0" w:color="auto"/>
            </w:tcBorders>
            <w:vAlign w:val="center"/>
            <w:hideMark/>
          </w:tcPr>
          <w:p w:rsidR="005061E6" w:rsidRPr="00F81955" w:rsidRDefault="005061E6">
            <w:pPr>
              <w:spacing w:before="0" w:after="0"/>
              <w:jc w:val="center"/>
              <w:rPr>
                <w:b/>
                <w:bCs/>
                <w:noProof/>
                <w:color w:val="000000"/>
                <w:sz w:val="18"/>
                <w:szCs w:val="18"/>
                <w:lang w:eastAsia="en-IE"/>
              </w:rPr>
            </w:pPr>
            <w:r w:rsidRPr="00F81955">
              <w:rPr>
                <w:b/>
                <w:bCs/>
                <w:noProof/>
                <w:color w:val="000000"/>
                <w:sz w:val="18"/>
                <w:szCs w:val="18"/>
                <w:lang w:eastAsia="en-IE"/>
              </w:rPr>
              <w:t>TOTAL 2021 - 2027</w:t>
            </w:r>
          </w:p>
        </w:tc>
      </w:tr>
      <w:tr w:rsidR="005061E6" w:rsidRPr="00F81955">
        <w:trPr>
          <w:trHeight w:val="300"/>
        </w:trPr>
        <w:tc>
          <w:tcPr>
            <w:tcW w:w="2167" w:type="pct"/>
            <w:vMerge/>
            <w:vAlign w:val="center"/>
            <w:hideMark/>
          </w:tcPr>
          <w:p w:rsidR="005061E6" w:rsidRPr="00F81955" w:rsidRDefault="005061E6">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vAlign w:val="center"/>
            <w:hideMark/>
          </w:tcPr>
          <w:p w:rsidR="005061E6" w:rsidRPr="00F81955" w:rsidRDefault="005061E6">
            <w:pPr>
              <w:spacing w:before="0" w:after="0"/>
              <w:jc w:val="center"/>
              <w:rPr>
                <w:b/>
                <w:bCs/>
                <w:noProof/>
                <w:color w:val="000000"/>
                <w:sz w:val="18"/>
                <w:szCs w:val="18"/>
                <w:lang w:eastAsia="en-IE"/>
              </w:rPr>
            </w:pPr>
            <w:r w:rsidRPr="00F81955">
              <w:rPr>
                <w:b/>
                <w:bCs/>
                <w:noProof/>
                <w:color w:val="000000"/>
                <w:sz w:val="18"/>
                <w:szCs w:val="18"/>
                <w:lang w:eastAsia="en-IE"/>
              </w:rPr>
              <w:t>2024</w:t>
            </w:r>
          </w:p>
        </w:tc>
        <w:tc>
          <w:tcPr>
            <w:tcW w:w="553" w:type="pct"/>
            <w:tcBorders>
              <w:top w:val="nil"/>
              <w:left w:val="nil"/>
              <w:bottom w:val="single" w:sz="8" w:space="0" w:color="auto"/>
              <w:right w:val="single" w:sz="8" w:space="0" w:color="auto"/>
            </w:tcBorders>
            <w:vAlign w:val="center"/>
            <w:hideMark/>
          </w:tcPr>
          <w:p w:rsidR="005061E6" w:rsidRPr="00F81955" w:rsidRDefault="005061E6">
            <w:pPr>
              <w:spacing w:before="0" w:after="0"/>
              <w:jc w:val="center"/>
              <w:rPr>
                <w:b/>
                <w:bCs/>
                <w:noProof/>
                <w:color w:val="000000"/>
                <w:sz w:val="18"/>
                <w:szCs w:val="18"/>
                <w:lang w:eastAsia="en-IE"/>
              </w:rPr>
            </w:pPr>
            <w:r w:rsidRPr="00F81955">
              <w:rPr>
                <w:b/>
                <w:bCs/>
                <w:noProof/>
                <w:color w:val="000000"/>
                <w:sz w:val="18"/>
                <w:szCs w:val="18"/>
                <w:lang w:eastAsia="en-IE"/>
              </w:rPr>
              <w:t>2025</w:t>
            </w:r>
          </w:p>
        </w:tc>
        <w:tc>
          <w:tcPr>
            <w:tcW w:w="553" w:type="pct"/>
            <w:tcBorders>
              <w:top w:val="nil"/>
              <w:left w:val="nil"/>
              <w:bottom w:val="single" w:sz="8" w:space="0" w:color="auto"/>
              <w:right w:val="single" w:sz="8" w:space="0" w:color="auto"/>
            </w:tcBorders>
            <w:vAlign w:val="center"/>
            <w:hideMark/>
          </w:tcPr>
          <w:p w:rsidR="005061E6" w:rsidRPr="00F81955" w:rsidRDefault="005061E6">
            <w:pPr>
              <w:spacing w:before="0" w:after="0"/>
              <w:jc w:val="center"/>
              <w:rPr>
                <w:b/>
                <w:bCs/>
                <w:noProof/>
                <w:color w:val="000000"/>
                <w:sz w:val="18"/>
                <w:szCs w:val="18"/>
                <w:lang w:eastAsia="en-IE"/>
              </w:rPr>
            </w:pPr>
            <w:r w:rsidRPr="00F81955">
              <w:rPr>
                <w:b/>
                <w:bCs/>
                <w:noProof/>
                <w:color w:val="000000"/>
                <w:sz w:val="18"/>
                <w:szCs w:val="18"/>
                <w:lang w:eastAsia="en-IE"/>
              </w:rPr>
              <w:t>2026</w:t>
            </w:r>
          </w:p>
        </w:tc>
        <w:tc>
          <w:tcPr>
            <w:tcW w:w="553" w:type="pct"/>
            <w:tcBorders>
              <w:top w:val="nil"/>
              <w:left w:val="nil"/>
              <w:bottom w:val="single" w:sz="8" w:space="0" w:color="auto"/>
              <w:right w:val="single" w:sz="8" w:space="0" w:color="auto"/>
            </w:tcBorders>
            <w:vAlign w:val="center"/>
            <w:hideMark/>
          </w:tcPr>
          <w:p w:rsidR="005061E6" w:rsidRPr="00F81955" w:rsidRDefault="005061E6">
            <w:pPr>
              <w:spacing w:before="0" w:after="0"/>
              <w:jc w:val="center"/>
              <w:rPr>
                <w:b/>
                <w:bCs/>
                <w:noProof/>
                <w:color w:val="000000"/>
                <w:sz w:val="18"/>
                <w:szCs w:val="18"/>
                <w:lang w:eastAsia="en-IE"/>
              </w:rPr>
            </w:pPr>
            <w:r w:rsidRPr="00F81955">
              <w:rPr>
                <w:b/>
                <w:bCs/>
                <w:noProof/>
                <w:color w:val="000000"/>
                <w:sz w:val="18"/>
                <w:szCs w:val="18"/>
                <w:lang w:eastAsia="en-IE"/>
              </w:rPr>
              <w:t>2027</w:t>
            </w:r>
          </w:p>
        </w:tc>
        <w:tc>
          <w:tcPr>
            <w:tcW w:w="622" w:type="pct"/>
            <w:vMerge/>
            <w:vAlign w:val="center"/>
            <w:hideMark/>
          </w:tcPr>
          <w:p w:rsidR="005061E6" w:rsidRPr="00F81955" w:rsidRDefault="005061E6">
            <w:pPr>
              <w:spacing w:before="0" w:after="0"/>
              <w:jc w:val="left"/>
              <w:rPr>
                <w:b/>
                <w:bCs/>
                <w:noProof/>
                <w:color w:val="000000"/>
                <w:sz w:val="18"/>
                <w:szCs w:val="18"/>
                <w:lang w:eastAsia="en-IE"/>
              </w:rPr>
            </w:pPr>
          </w:p>
        </w:tc>
      </w:tr>
      <w:tr w:rsidR="005061E6" w:rsidRPr="00F81955">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rsidR="005061E6" w:rsidRPr="00F81955" w:rsidRDefault="005061E6">
            <w:pPr>
              <w:spacing w:before="0" w:after="0"/>
              <w:jc w:val="left"/>
              <w:rPr>
                <w:b/>
                <w:bCs/>
                <w:noProof/>
                <w:sz w:val="16"/>
                <w:szCs w:val="16"/>
                <w:lang w:eastAsia="en-IE"/>
              </w:rPr>
            </w:pPr>
            <w:r w:rsidRPr="00F81955">
              <w:rPr>
                <w:b/>
                <w:bCs/>
                <w:noProof/>
                <w:sz w:val="16"/>
                <w:szCs w:val="16"/>
                <w:lang w:eastAsia="en-IE"/>
              </w:rPr>
              <w:t>HEADING 7</w:t>
            </w:r>
          </w:p>
        </w:tc>
      </w:tr>
      <w:tr w:rsidR="005061E6" w:rsidRPr="00F81955">
        <w:trPr>
          <w:trHeight w:val="300"/>
        </w:trPr>
        <w:tc>
          <w:tcPr>
            <w:tcW w:w="2167" w:type="pct"/>
            <w:tcBorders>
              <w:top w:val="nil"/>
              <w:left w:val="single" w:sz="8" w:space="0" w:color="auto"/>
              <w:bottom w:val="single" w:sz="8" w:space="0" w:color="auto"/>
              <w:right w:val="single" w:sz="8" w:space="0" w:color="auto"/>
            </w:tcBorders>
            <w:vAlign w:val="center"/>
            <w:hideMark/>
          </w:tcPr>
          <w:p w:rsidR="005061E6" w:rsidRPr="00F81955" w:rsidRDefault="005061E6">
            <w:pPr>
              <w:spacing w:before="0" w:after="0"/>
              <w:jc w:val="left"/>
              <w:rPr>
                <w:noProof/>
                <w:color w:val="000000"/>
                <w:sz w:val="16"/>
                <w:szCs w:val="16"/>
                <w:lang w:eastAsia="en-IE"/>
              </w:rPr>
            </w:pPr>
            <w:r w:rsidRPr="00F81955">
              <w:rPr>
                <w:noProof/>
                <w:color w:val="000000"/>
                <w:sz w:val="16"/>
                <w:szCs w:val="16"/>
                <w:lang w:eastAsia="en-IE"/>
              </w:rPr>
              <w:t xml:space="preserve">Human resources </w:t>
            </w: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noProof/>
                <w:color w:val="000000"/>
                <w:sz w:val="16"/>
                <w:szCs w:val="16"/>
                <w:lang w:eastAsia="en-IE"/>
              </w:rPr>
            </w:pPr>
            <w:r w:rsidRPr="00F81955">
              <w:rPr>
                <w:noProof/>
                <w:color w:val="000000" w:themeColor="text1"/>
                <w:sz w:val="16"/>
                <w:szCs w:val="16"/>
                <w:lang w:eastAsia="en-IE"/>
              </w:rPr>
              <w:t>0,940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noProof/>
                <w:color w:val="000000"/>
                <w:sz w:val="16"/>
                <w:szCs w:val="16"/>
                <w:lang w:eastAsia="en-IE"/>
              </w:rPr>
            </w:pPr>
            <w:r w:rsidRPr="00F81955">
              <w:rPr>
                <w:noProof/>
                <w:color w:val="000000" w:themeColor="text1"/>
                <w:sz w:val="16"/>
                <w:szCs w:val="16"/>
                <w:lang w:eastAsia="en-IE"/>
              </w:rPr>
              <w:t>0,940</w:t>
            </w:r>
          </w:p>
        </w:tc>
        <w:tc>
          <w:tcPr>
            <w:tcW w:w="6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16"/>
                <w:szCs w:val="16"/>
                <w:lang w:eastAsia="en-IE"/>
              </w:rPr>
            </w:pPr>
            <w:r w:rsidRPr="00F81955">
              <w:rPr>
                <w:b/>
                <w:bCs/>
                <w:noProof/>
                <w:color w:val="000000" w:themeColor="text1"/>
                <w:sz w:val="16"/>
                <w:szCs w:val="16"/>
                <w:lang w:eastAsia="en-IE"/>
              </w:rPr>
              <w:t>1,880</w:t>
            </w:r>
          </w:p>
        </w:tc>
      </w:tr>
      <w:tr w:rsidR="005061E6" w:rsidRPr="00F81955">
        <w:trPr>
          <w:trHeight w:val="300"/>
        </w:trPr>
        <w:tc>
          <w:tcPr>
            <w:tcW w:w="2167" w:type="pct"/>
            <w:tcBorders>
              <w:top w:val="nil"/>
              <w:left w:val="single" w:sz="8" w:space="0" w:color="auto"/>
              <w:bottom w:val="single" w:sz="8" w:space="0" w:color="auto"/>
              <w:right w:val="single" w:sz="8" w:space="0" w:color="auto"/>
            </w:tcBorders>
            <w:vAlign w:val="center"/>
            <w:hideMark/>
          </w:tcPr>
          <w:p w:rsidR="005061E6" w:rsidRPr="00F81955" w:rsidRDefault="005061E6">
            <w:pPr>
              <w:spacing w:before="0" w:after="0"/>
              <w:jc w:val="left"/>
              <w:rPr>
                <w:noProof/>
                <w:color w:val="000000"/>
                <w:sz w:val="16"/>
                <w:szCs w:val="16"/>
                <w:lang w:eastAsia="en-IE"/>
              </w:rPr>
            </w:pPr>
            <w:r w:rsidRPr="00F81955">
              <w:rPr>
                <w:noProof/>
                <w:color w:val="000000"/>
                <w:sz w:val="16"/>
                <w:szCs w:val="16"/>
                <w:lang w:eastAsia="en-IE"/>
              </w:rPr>
              <w:t xml:space="preserve">Other administrative expenditure </w:t>
            </w: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noProof/>
                <w:color w:val="000000"/>
                <w:sz w:val="16"/>
                <w:szCs w:val="16"/>
                <w:lang w:eastAsia="en-IE"/>
              </w:rPr>
            </w:pPr>
            <w:r w:rsidRPr="00F81955">
              <w:rPr>
                <w:noProof/>
                <w:color w:val="000000" w:themeColor="text1"/>
                <w:sz w:val="16"/>
                <w:szCs w:val="16"/>
                <w:lang w:eastAsia="en-IE"/>
              </w:rPr>
              <w:t>0,025</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noProof/>
                <w:color w:val="000000"/>
                <w:sz w:val="16"/>
                <w:szCs w:val="16"/>
                <w:lang w:eastAsia="en-IE"/>
              </w:rPr>
            </w:pPr>
            <w:r w:rsidRPr="00F81955">
              <w:rPr>
                <w:noProof/>
                <w:color w:val="000000" w:themeColor="text1"/>
                <w:sz w:val="16"/>
                <w:szCs w:val="16"/>
                <w:lang w:eastAsia="en-IE"/>
              </w:rPr>
              <w:t>0,025</w:t>
            </w:r>
          </w:p>
        </w:tc>
        <w:tc>
          <w:tcPr>
            <w:tcW w:w="6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16"/>
                <w:szCs w:val="16"/>
                <w:lang w:eastAsia="en-IE"/>
              </w:rPr>
            </w:pPr>
            <w:r w:rsidRPr="00F81955">
              <w:rPr>
                <w:b/>
                <w:noProof/>
                <w:color w:val="000000" w:themeColor="text1"/>
                <w:sz w:val="16"/>
                <w:szCs w:val="16"/>
                <w:lang w:eastAsia="en-IE"/>
              </w:rPr>
              <w:t>0,</w:t>
            </w:r>
            <w:r w:rsidRPr="00F81955">
              <w:rPr>
                <w:b/>
                <w:bCs/>
                <w:noProof/>
                <w:color w:val="000000" w:themeColor="text1"/>
                <w:sz w:val="16"/>
                <w:szCs w:val="16"/>
                <w:lang w:eastAsia="en-IE"/>
              </w:rPr>
              <w:t>050</w:t>
            </w:r>
          </w:p>
        </w:tc>
      </w:tr>
      <w:tr w:rsidR="005061E6" w:rsidRPr="00F81955">
        <w:trPr>
          <w:trHeight w:val="300"/>
        </w:trPr>
        <w:tc>
          <w:tcPr>
            <w:tcW w:w="2167" w:type="pct"/>
            <w:tcBorders>
              <w:top w:val="nil"/>
              <w:left w:val="single" w:sz="8" w:space="0" w:color="auto"/>
              <w:bottom w:val="single" w:sz="8" w:space="0" w:color="auto"/>
              <w:right w:val="single" w:sz="8" w:space="0" w:color="auto"/>
            </w:tcBorders>
            <w:shd w:val="clear" w:color="auto" w:fill="CCCCCC"/>
            <w:vAlign w:val="center"/>
            <w:hideMark/>
          </w:tcPr>
          <w:p w:rsidR="005061E6" w:rsidRPr="00F81955" w:rsidRDefault="005061E6">
            <w:pPr>
              <w:spacing w:before="0" w:after="0"/>
              <w:jc w:val="center"/>
              <w:rPr>
                <w:b/>
                <w:bCs/>
                <w:noProof/>
                <w:color w:val="000000"/>
                <w:sz w:val="16"/>
                <w:szCs w:val="16"/>
                <w:lang w:eastAsia="en-IE"/>
              </w:rPr>
            </w:pPr>
            <w:r w:rsidRPr="00F81955">
              <w:rPr>
                <w:b/>
                <w:bCs/>
                <w:noProof/>
                <w:color w:val="000000"/>
                <w:sz w:val="16"/>
                <w:szCs w:val="16"/>
                <w:lang w:eastAsia="en-IE"/>
              </w:rPr>
              <w:t>Subtotal HEADING 7</w:t>
            </w: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b/>
                <w:bCs/>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b/>
                <w:bCs/>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16"/>
                <w:szCs w:val="16"/>
                <w:lang w:eastAsia="en-IE"/>
              </w:rPr>
            </w:pPr>
            <w:r w:rsidRPr="00F81955">
              <w:rPr>
                <w:b/>
                <w:noProof/>
                <w:color w:val="000000" w:themeColor="text1"/>
                <w:sz w:val="16"/>
                <w:szCs w:val="16"/>
                <w:lang w:eastAsia="en-IE"/>
              </w:rPr>
              <w:t>0,</w:t>
            </w:r>
            <w:r w:rsidRPr="00F81955">
              <w:rPr>
                <w:b/>
                <w:bCs/>
                <w:noProof/>
                <w:color w:val="000000" w:themeColor="text1"/>
                <w:sz w:val="16"/>
                <w:szCs w:val="16"/>
                <w:lang w:eastAsia="en-IE"/>
              </w:rPr>
              <w:t>965</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16"/>
                <w:szCs w:val="16"/>
                <w:lang w:eastAsia="en-IE"/>
              </w:rPr>
            </w:pPr>
            <w:r w:rsidRPr="00F81955">
              <w:rPr>
                <w:b/>
                <w:noProof/>
                <w:color w:val="000000" w:themeColor="text1"/>
                <w:sz w:val="16"/>
                <w:szCs w:val="16"/>
                <w:lang w:eastAsia="en-IE"/>
              </w:rPr>
              <w:t>0,</w:t>
            </w:r>
            <w:r w:rsidRPr="00F81955">
              <w:rPr>
                <w:b/>
                <w:bCs/>
                <w:noProof/>
                <w:color w:val="000000" w:themeColor="text1"/>
                <w:sz w:val="16"/>
                <w:szCs w:val="16"/>
                <w:lang w:eastAsia="en-IE"/>
              </w:rPr>
              <w:t>965</w:t>
            </w:r>
          </w:p>
        </w:tc>
        <w:tc>
          <w:tcPr>
            <w:tcW w:w="6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16"/>
                <w:szCs w:val="16"/>
                <w:lang w:eastAsia="en-IE"/>
              </w:rPr>
            </w:pPr>
            <w:r w:rsidRPr="00F81955">
              <w:rPr>
                <w:b/>
                <w:bCs/>
                <w:noProof/>
                <w:color w:val="000000" w:themeColor="text1"/>
                <w:sz w:val="16"/>
                <w:szCs w:val="16"/>
                <w:lang w:eastAsia="en-IE"/>
              </w:rPr>
              <w:t>1,930</w:t>
            </w:r>
          </w:p>
        </w:tc>
      </w:tr>
      <w:tr w:rsidR="005061E6" w:rsidRPr="00F81955">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rsidR="005061E6" w:rsidRPr="00F81955" w:rsidRDefault="005061E6">
            <w:pPr>
              <w:spacing w:before="0" w:after="0"/>
              <w:jc w:val="left"/>
              <w:rPr>
                <w:b/>
                <w:bCs/>
                <w:noProof/>
                <w:sz w:val="16"/>
                <w:szCs w:val="16"/>
                <w:lang w:eastAsia="en-IE"/>
              </w:rPr>
            </w:pPr>
            <w:r w:rsidRPr="00F81955">
              <w:rPr>
                <w:b/>
                <w:bCs/>
                <w:noProof/>
                <w:sz w:val="16"/>
                <w:szCs w:val="16"/>
                <w:lang w:eastAsia="en-IE"/>
              </w:rPr>
              <w:t>Outside HEADING 7</w:t>
            </w:r>
          </w:p>
        </w:tc>
      </w:tr>
      <w:tr w:rsidR="005061E6" w:rsidRPr="00F81955">
        <w:trPr>
          <w:trHeight w:val="300"/>
        </w:trPr>
        <w:tc>
          <w:tcPr>
            <w:tcW w:w="2167" w:type="pct"/>
            <w:tcBorders>
              <w:top w:val="nil"/>
              <w:left w:val="single" w:sz="8" w:space="0" w:color="auto"/>
              <w:bottom w:val="single" w:sz="8" w:space="0" w:color="auto"/>
              <w:right w:val="single" w:sz="8" w:space="0" w:color="auto"/>
            </w:tcBorders>
            <w:vAlign w:val="center"/>
            <w:hideMark/>
          </w:tcPr>
          <w:p w:rsidR="005061E6" w:rsidRPr="00F81955" w:rsidRDefault="005061E6">
            <w:pPr>
              <w:spacing w:before="0" w:after="0"/>
              <w:jc w:val="left"/>
              <w:rPr>
                <w:noProof/>
                <w:color w:val="000000"/>
                <w:sz w:val="16"/>
                <w:szCs w:val="16"/>
                <w:lang w:eastAsia="en-IE"/>
              </w:rPr>
            </w:pPr>
            <w:r w:rsidRPr="00F81955">
              <w:rPr>
                <w:noProof/>
                <w:color w:val="000000"/>
                <w:sz w:val="16"/>
                <w:szCs w:val="16"/>
                <w:lang w:eastAsia="en-IE"/>
              </w:rPr>
              <w:t xml:space="preserve">Human resources </w:t>
            </w: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noProof/>
                <w:color w:val="000000"/>
                <w:sz w:val="16"/>
                <w:szCs w:val="16"/>
                <w:lang w:eastAsia="en-IE"/>
              </w:rPr>
            </w:pPr>
            <w:r w:rsidRPr="00F81955">
              <w:rPr>
                <w:noProof/>
                <w:color w:val="000000"/>
                <w:sz w:val="16"/>
                <w:szCs w:val="16"/>
                <w:lang w:eastAsia="en-IE"/>
              </w:rPr>
              <w:t>2,429</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noProof/>
                <w:color w:val="000000"/>
                <w:sz w:val="16"/>
                <w:szCs w:val="16"/>
                <w:lang w:eastAsia="en-IE"/>
              </w:rPr>
            </w:pPr>
            <w:r w:rsidRPr="00F81955">
              <w:rPr>
                <w:noProof/>
                <w:color w:val="000000" w:themeColor="text1"/>
                <w:sz w:val="16"/>
                <w:szCs w:val="16"/>
                <w:lang w:eastAsia="en-IE"/>
              </w:rPr>
              <w:t>4,858</w:t>
            </w:r>
          </w:p>
        </w:tc>
        <w:tc>
          <w:tcPr>
            <w:tcW w:w="6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16"/>
                <w:szCs w:val="16"/>
                <w:lang w:eastAsia="en-IE"/>
              </w:rPr>
            </w:pPr>
            <w:r w:rsidRPr="00F81955">
              <w:rPr>
                <w:b/>
                <w:bCs/>
                <w:noProof/>
                <w:color w:val="000000" w:themeColor="text1"/>
                <w:sz w:val="16"/>
                <w:szCs w:val="16"/>
                <w:lang w:eastAsia="en-IE"/>
              </w:rPr>
              <w:t>7,287</w:t>
            </w:r>
          </w:p>
        </w:tc>
      </w:tr>
      <w:tr w:rsidR="005061E6" w:rsidRPr="00F81955">
        <w:trPr>
          <w:trHeight w:val="300"/>
        </w:trPr>
        <w:tc>
          <w:tcPr>
            <w:tcW w:w="2167" w:type="pct"/>
            <w:tcBorders>
              <w:top w:val="nil"/>
              <w:left w:val="single" w:sz="8" w:space="0" w:color="auto"/>
              <w:bottom w:val="single" w:sz="8" w:space="0" w:color="auto"/>
              <w:right w:val="single" w:sz="8" w:space="0" w:color="auto"/>
            </w:tcBorders>
            <w:vAlign w:val="center"/>
            <w:hideMark/>
          </w:tcPr>
          <w:p w:rsidR="005061E6" w:rsidRPr="00F81955" w:rsidRDefault="005061E6">
            <w:pPr>
              <w:spacing w:before="0" w:after="0"/>
              <w:jc w:val="left"/>
              <w:rPr>
                <w:noProof/>
                <w:color w:val="000000"/>
                <w:sz w:val="16"/>
                <w:szCs w:val="16"/>
                <w:lang w:eastAsia="en-IE"/>
              </w:rPr>
            </w:pPr>
            <w:r w:rsidRPr="00F81955">
              <w:rPr>
                <w:noProof/>
                <w:color w:val="000000"/>
                <w:sz w:val="16"/>
                <w:szCs w:val="16"/>
                <w:lang w:eastAsia="en-IE"/>
              </w:rPr>
              <w:t>Other expenditure of an administrative nature</w:t>
            </w: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noProof/>
                <w:color w:val="000000"/>
                <w:sz w:val="16"/>
                <w:szCs w:val="16"/>
                <w:lang w:eastAsia="en-IE"/>
              </w:rPr>
            </w:pPr>
            <w:r w:rsidRPr="00F81955">
              <w:rPr>
                <w:noProof/>
                <w:color w:val="000000" w:themeColor="text1"/>
                <w:sz w:val="16"/>
                <w:szCs w:val="16"/>
                <w:lang w:eastAsia="en-IE"/>
              </w:rPr>
              <w:t>0,213</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noProof/>
                <w:color w:val="000000"/>
                <w:sz w:val="16"/>
                <w:szCs w:val="16"/>
                <w:lang w:eastAsia="en-IE"/>
              </w:rPr>
            </w:pPr>
            <w:r w:rsidRPr="00F81955">
              <w:rPr>
                <w:noProof/>
                <w:color w:val="000000" w:themeColor="text1"/>
                <w:sz w:val="16"/>
                <w:szCs w:val="16"/>
                <w:lang w:eastAsia="en-IE"/>
              </w:rPr>
              <w:t>1,425</w:t>
            </w:r>
          </w:p>
        </w:tc>
        <w:tc>
          <w:tcPr>
            <w:tcW w:w="6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16"/>
                <w:szCs w:val="16"/>
                <w:lang w:eastAsia="en-IE"/>
              </w:rPr>
            </w:pPr>
            <w:r w:rsidRPr="00F81955">
              <w:rPr>
                <w:b/>
                <w:bCs/>
                <w:noProof/>
                <w:color w:val="000000" w:themeColor="text1"/>
                <w:sz w:val="16"/>
                <w:szCs w:val="16"/>
                <w:lang w:eastAsia="en-IE"/>
              </w:rPr>
              <w:t>1,638</w:t>
            </w:r>
          </w:p>
        </w:tc>
      </w:tr>
      <w:tr w:rsidR="005061E6" w:rsidRPr="00F81955">
        <w:trPr>
          <w:trHeight w:val="300"/>
        </w:trPr>
        <w:tc>
          <w:tcPr>
            <w:tcW w:w="2167" w:type="pct"/>
            <w:tcBorders>
              <w:top w:val="nil"/>
              <w:left w:val="single" w:sz="8" w:space="0" w:color="auto"/>
              <w:bottom w:val="single" w:sz="8" w:space="0" w:color="auto"/>
              <w:right w:val="single" w:sz="8" w:space="0" w:color="auto"/>
            </w:tcBorders>
            <w:shd w:val="clear" w:color="auto" w:fill="CCCCCC"/>
            <w:vAlign w:val="center"/>
            <w:hideMark/>
          </w:tcPr>
          <w:p w:rsidR="005061E6" w:rsidRPr="00F81955" w:rsidRDefault="005061E6">
            <w:pPr>
              <w:spacing w:before="0" w:after="0"/>
              <w:jc w:val="center"/>
              <w:rPr>
                <w:b/>
                <w:bCs/>
                <w:noProof/>
                <w:color w:val="000000"/>
                <w:sz w:val="16"/>
                <w:szCs w:val="16"/>
                <w:lang w:eastAsia="en-IE"/>
              </w:rPr>
            </w:pPr>
            <w:r w:rsidRPr="00F81955">
              <w:rPr>
                <w:b/>
                <w:bCs/>
                <w:noProof/>
                <w:color w:val="000000"/>
                <w:sz w:val="16"/>
                <w:szCs w:val="16"/>
                <w:lang w:eastAsia="en-IE"/>
              </w:rPr>
              <w:t>Subtotal outside HEADING 7</w:t>
            </w: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b/>
                <w:bCs/>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rsidR="005061E6" w:rsidRPr="00F81955" w:rsidRDefault="005061E6">
            <w:pPr>
              <w:spacing w:before="0" w:after="0"/>
              <w:jc w:val="right"/>
              <w:rPr>
                <w:b/>
                <w:bCs/>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16"/>
                <w:szCs w:val="16"/>
                <w:lang w:eastAsia="en-IE"/>
              </w:rPr>
            </w:pPr>
            <w:r w:rsidRPr="00F81955">
              <w:rPr>
                <w:b/>
                <w:bCs/>
                <w:noProof/>
                <w:color w:val="000000" w:themeColor="text1"/>
                <w:sz w:val="16"/>
                <w:szCs w:val="16"/>
                <w:lang w:eastAsia="en-IE"/>
              </w:rPr>
              <w:t>2,642</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16"/>
                <w:szCs w:val="16"/>
                <w:lang w:eastAsia="en-IE"/>
              </w:rPr>
            </w:pPr>
            <w:r w:rsidRPr="00F81955">
              <w:rPr>
                <w:b/>
                <w:bCs/>
                <w:noProof/>
                <w:color w:val="000000" w:themeColor="text1"/>
                <w:sz w:val="16"/>
                <w:szCs w:val="16"/>
                <w:lang w:eastAsia="en-IE"/>
              </w:rPr>
              <w:t>6,283</w:t>
            </w:r>
          </w:p>
        </w:tc>
        <w:tc>
          <w:tcPr>
            <w:tcW w:w="6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16"/>
                <w:szCs w:val="16"/>
                <w:lang w:eastAsia="en-IE"/>
              </w:rPr>
            </w:pPr>
            <w:r w:rsidRPr="00F81955">
              <w:rPr>
                <w:b/>
                <w:bCs/>
                <w:noProof/>
                <w:color w:val="000000" w:themeColor="text1"/>
                <w:sz w:val="16"/>
                <w:szCs w:val="16"/>
                <w:lang w:eastAsia="en-IE"/>
              </w:rPr>
              <w:t>8,925</w:t>
            </w:r>
          </w:p>
        </w:tc>
      </w:tr>
      <w:tr w:rsidR="005061E6" w:rsidRPr="00F81955">
        <w:trPr>
          <w:trHeight w:val="300"/>
        </w:trPr>
        <w:tc>
          <w:tcPr>
            <w:tcW w:w="5000" w:type="pct"/>
            <w:gridSpan w:val="6"/>
            <w:tcBorders>
              <w:top w:val="single" w:sz="8" w:space="0" w:color="auto"/>
              <w:left w:val="single" w:sz="8" w:space="0" w:color="auto"/>
              <w:bottom w:val="single" w:sz="8" w:space="0" w:color="auto"/>
              <w:right w:val="single" w:sz="4" w:space="0" w:color="auto"/>
            </w:tcBorders>
            <w:noWrap/>
            <w:vAlign w:val="center"/>
            <w:hideMark/>
          </w:tcPr>
          <w:p w:rsidR="005061E6" w:rsidRPr="00F81955" w:rsidRDefault="005061E6">
            <w:pPr>
              <w:spacing w:before="0" w:after="0"/>
              <w:jc w:val="center"/>
              <w:rPr>
                <w:noProof/>
                <w:color w:val="000000"/>
                <w:sz w:val="16"/>
                <w:szCs w:val="16"/>
                <w:lang w:eastAsia="en-IE"/>
              </w:rPr>
            </w:pPr>
          </w:p>
        </w:tc>
      </w:tr>
      <w:tr w:rsidR="005061E6" w:rsidRPr="00F81955">
        <w:trPr>
          <w:trHeight w:val="300"/>
        </w:trPr>
        <w:tc>
          <w:tcPr>
            <w:tcW w:w="2167" w:type="pct"/>
            <w:tcBorders>
              <w:top w:val="nil"/>
              <w:left w:val="single" w:sz="8" w:space="0" w:color="auto"/>
              <w:bottom w:val="single" w:sz="8" w:space="0" w:color="auto"/>
              <w:right w:val="single" w:sz="8" w:space="0" w:color="auto"/>
            </w:tcBorders>
            <w:vAlign w:val="center"/>
            <w:hideMark/>
          </w:tcPr>
          <w:p w:rsidR="005061E6" w:rsidRPr="00F81955" w:rsidRDefault="005061E6">
            <w:pPr>
              <w:spacing w:before="0" w:after="0"/>
              <w:jc w:val="center"/>
              <w:rPr>
                <w:b/>
                <w:bCs/>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16"/>
                <w:szCs w:val="16"/>
                <w:lang w:eastAsia="en-IE"/>
              </w:rPr>
            </w:pPr>
          </w:p>
        </w:tc>
        <w:tc>
          <w:tcPr>
            <w:tcW w:w="6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right"/>
              <w:rPr>
                <w:b/>
                <w:bCs/>
                <w:noProof/>
                <w:color w:val="000000"/>
                <w:sz w:val="16"/>
                <w:szCs w:val="16"/>
                <w:lang w:eastAsia="en-IE"/>
              </w:rPr>
            </w:pPr>
          </w:p>
        </w:tc>
      </w:tr>
    </w:tbl>
    <w:p w:rsidR="003F3A5E" w:rsidRPr="00F81955" w:rsidRDefault="003F3A5E" w:rsidP="005061E6">
      <w:pPr>
        <w:spacing w:after="40"/>
        <w:rPr>
          <w:noProof/>
          <w:sz w:val="22"/>
          <w:szCs w:val="28"/>
        </w:rPr>
      </w:pPr>
      <w:r w:rsidRPr="00F81955">
        <w:rPr>
          <w:noProof/>
          <w:sz w:val="22"/>
          <w:szCs w:val="28"/>
        </w:rPr>
        <w:t>]</w:t>
      </w:r>
    </w:p>
    <w:p w:rsidR="005061E6" w:rsidRPr="00F81955" w:rsidRDefault="005061E6" w:rsidP="005061E6">
      <w:pPr>
        <w:spacing w:after="40"/>
        <w:rPr>
          <w:noProof/>
          <w:sz w:val="22"/>
          <w:szCs w:val="28"/>
        </w:rPr>
      </w:pPr>
      <w:r w:rsidRPr="00F81955">
        <w:rPr>
          <w:noProof/>
          <w:sz w:val="22"/>
          <w:szCs w:val="2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rsidR="005061E6" w:rsidRPr="00F81955" w:rsidRDefault="005061E6" w:rsidP="005061E6">
      <w:pPr>
        <w:pStyle w:val="ManualHeading3"/>
        <w:rPr>
          <w:bCs/>
          <w:noProof/>
          <w:szCs w:val="24"/>
        </w:rPr>
      </w:pPr>
      <w:bookmarkStart w:id="29" w:name="_Toc167220294"/>
      <w:bookmarkStart w:id="30" w:name="_Toc177549027"/>
      <w:r w:rsidRPr="00F81955">
        <w:rPr>
          <w:noProof/>
        </w:rPr>
        <w:t>3.2.4.</w:t>
      </w:r>
      <w:r w:rsidRPr="00F81955">
        <w:rPr>
          <w:noProof/>
        </w:rPr>
        <w:tab/>
        <w:t>Estimated requirements of human resources</w:t>
      </w:r>
      <w:bookmarkEnd w:id="29"/>
      <w:bookmarkEnd w:id="30"/>
      <w:r w:rsidRPr="00F81955">
        <w:rPr>
          <w:noProof/>
        </w:rPr>
        <w:t xml:space="preserve"> </w:t>
      </w:r>
    </w:p>
    <w:p w:rsidR="005061E6" w:rsidRPr="00F81955" w:rsidRDefault="005061E6" w:rsidP="005061E6">
      <w:pPr>
        <w:pStyle w:val="ListDash1"/>
        <w:rPr>
          <w:noProof/>
        </w:rPr>
      </w:pPr>
      <w:r w:rsidRPr="00F81955">
        <w:rPr>
          <w:rFonts w:ascii="Wingdings" w:eastAsia="Wingdings" w:hAnsi="Wingdings" w:cs="Wingdings"/>
          <w:noProof/>
        </w:rPr>
        <w:t></w:t>
      </w:r>
      <w:r w:rsidRPr="00F81955">
        <w:rPr>
          <w:noProof/>
        </w:rPr>
        <w:tab/>
        <w:t xml:space="preserve">The proposal/initiative does not require the use of human resources </w:t>
      </w:r>
    </w:p>
    <w:p w:rsidR="005061E6" w:rsidRPr="00F81955" w:rsidRDefault="005061E6" w:rsidP="005061E6">
      <w:pPr>
        <w:pStyle w:val="ListDash1"/>
        <w:rPr>
          <w:noProof/>
        </w:rPr>
      </w:pPr>
      <w:r w:rsidRPr="00F81955">
        <w:rPr>
          <w:rFonts w:ascii="Wingdings" w:eastAsia="Wingdings" w:hAnsi="Wingdings" w:cs="Wingdings"/>
          <w:noProof/>
        </w:rPr>
        <w:t></w:t>
      </w:r>
      <w:r w:rsidRPr="00F81955">
        <w:rPr>
          <w:noProof/>
        </w:rPr>
        <w:tab/>
        <w:t>The proposal/initiative requires the use of human resources, as explained below</w:t>
      </w:r>
    </w:p>
    <w:p w:rsidR="005061E6" w:rsidRPr="00F81955" w:rsidRDefault="005061E6" w:rsidP="005061E6">
      <w:pPr>
        <w:pStyle w:val="ManualHeading3"/>
        <w:rPr>
          <w:noProof/>
        </w:rPr>
      </w:pPr>
      <w:bookmarkStart w:id="31" w:name="_Toc167220295"/>
      <w:bookmarkStart w:id="32" w:name="_Toc177549028"/>
      <w:r w:rsidRPr="00F81955">
        <w:rPr>
          <w:noProof/>
        </w:rPr>
        <w:t>3.2.4.1.</w:t>
      </w:r>
      <w:r w:rsidRPr="00F81955">
        <w:rPr>
          <w:noProof/>
        </w:rPr>
        <w:tab/>
        <w:t>Financed from voted budget</w:t>
      </w:r>
      <w:bookmarkEnd w:id="31"/>
      <w:bookmarkEnd w:id="32"/>
    </w:p>
    <w:p w:rsidR="005061E6" w:rsidRPr="00F81955" w:rsidRDefault="005061E6" w:rsidP="005061E6">
      <w:pPr>
        <w:spacing w:after="60"/>
        <w:jc w:val="right"/>
        <w:rPr>
          <w:i/>
          <w:noProof/>
          <w:sz w:val="20"/>
        </w:rPr>
      </w:pPr>
      <w:r w:rsidRPr="00F81955">
        <w:rPr>
          <w:i/>
          <w:noProof/>
          <w:sz w:val="20"/>
        </w:rPr>
        <w:t>Estimate to be expressed in full-time equivalent units (FTEs)</w:t>
      </w:r>
    </w:p>
    <w:p w:rsidR="00763B74" w:rsidRPr="00F81955" w:rsidRDefault="00763B74" w:rsidP="00763B74">
      <w:pPr>
        <w:spacing w:after="60"/>
        <w:jc w:val="left"/>
        <w:rPr>
          <w:i/>
          <w:noProof/>
          <w:sz w:val="20"/>
        </w:rPr>
      </w:pPr>
      <w:r w:rsidRPr="00F81955">
        <w:rPr>
          <w:i/>
          <w:noProof/>
          <w:sz w:val="20"/>
        </w:rPr>
        <w:t>[</w:t>
      </w:r>
    </w:p>
    <w:p w:rsidR="005061E6" w:rsidRPr="00F81955" w:rsidRDefault="005061E6" w:rsidP="005061E6">
      <w:pPr>
        <w:pStyle w:val="Text1"/>
        <w:spacing w:before="60" w:after="60"/>
        <w:ind w:left="-426" w:right="-427"/>
        <w:rPr>
          <w:b/>
          <w:noProof/>
          <w:sz w:val="18"/>
          <w:szCs w:val="18"/>
        </w:rPr>
      </w:pPr>
      <w:bookmarkStart w:id="33" w:name="_Hlk156979231"/>
    </w:p>
    <w:tbl>
      <w:tblPr>
        <w:tblW w:w="5000" w:type="pct"/>
        <w:tblLook w:val="04A0" w:firstRow="1" w:lastRow="0" w:firstColumn="1" w:lastColumn="0" w:noHBand="0" w:noVBand="1"/>
      </w:tblPr>
      <w:tblGrid>
        <w:gridCol w:w="2409"/>
        <w:gridCol w:w="6205"/>
        <w:gridCol w:w="1544"/>
        <w:gridCol w:w="1544"/>
        <w:gridCol w:w="1544"/>
        <w:gridCol w:w="1541"/>
      </w:tblGrid>
      <w:tr w:rsidR="005061E6" w:rsidRPr="00F81955">
        <w:trPr>
          <w:trHeight w:val="300"/>
        </w:trPr>
        <w:tc>
          <w:tcPr>
            <w:tcW w:w="2913" w:type="pct"/>
            <w:gridSpan w:val="2"/>
            <w:vMerge w:val="restart"/>
            <w:tcBorders>
              <w:top w:val="single" w:sz="8" w:space="0" w:color="auto"/>
              <w:left w:val="single" w:sz="8" w:space="0" w:color="auto"/>
              <w:bottom w:val="single" w:sz="8" w:space="0" w:color="000000" w:themeColor="text1"/>
              <w:right w:val="single" w:sz="8" w:space="0" w:color="000000" w:themeColor="text1"/>
            </w:tcBorders>
            <w:vAlign w:val="center"/>
            <w:hideMark/>
          </w:tcPr>
          <w:p w:rsidR="005061E6" w:rsidRPr="00F81955" w:rsidRDefault="005061E6">
            <w:pPr>
              <w:spacing w:before="0" w:after="0"/>
              <w:jc w:val="center"/>
              <w:rPr>
                <w:b/>
                <w:bCs/>
                <w:noProof/>
                <w:color w:val="000000"/>
                <w:sz w:val="18"/>
                <w:szCs w:val="18"/>
                <w:lang w:eastAsia="en-IE"/>
              </w:rPr>
            </w:pPr>
            <w:r w:rsidRPr="00F81955">
              <w:rPr>
                <w:b/>
                <w:bCs/>
                <w:noProof/>
                <w:color w:val="000000"/>
                <w:sz w:val="18"/>
                <w:szCs w:val="18"/>
                <w:lang w:eastAsia="en-IE"/>
              </w:rPr>
              <w:t>VOTED APPROPRIATIONS</w:t>
            </w:r>
          </w:p>
        </w:tc>
        <w:tc>
          <w:tcPr>
            <w:tcW w:w="522" w:type="pct"/>
            <w:tcBorders>
              <w:top w:val="single" w:sz="8" w:space="0" w:color="auto"/>
              <w:left w:val="nil"/>
              <w:bottom w:val="nil"/>
              <w:right w:val="single" w:sz="8" w:space="0" w:color="auto"/>
            </w:tcBorders>
            <w:vAlign w:val="center"/>
            <w:hideMark/>
          </w:tcPr>
          <w:p w:rsidR="005061E6" w:rsidRPr="00F81955" w:rsidRDefault="005061E6">
            <w:pPr>
              <w:spacing w:before="0" w:after="0"/>
              <w:jc w:val="center"/>
              <w:rPr>
                <w:noProof/>
                <w:color w:val="000000"/>
                <w:sz w:val="20"/>
                <w:szCs w:val="20"/>
                <w:lang w:eastAsia="en-IE"/>
              </w:rPr>
            </w:pPr>
            <w:r w:rsidRPr="00F81955">
              <w:rPr>
                <w:noProof/>
                <w:color w:val="000000"/>
                <w:sz w:val="20"/>
                <w:szCs w:val="20"/>
                <w:lang w:eastAsia="en-IE"/>
              </w:rPr>
              <w:t>Year</w:t>
            </w:r>
          </w:p>
        </w:tc>
        <w:tc>
          <w:tcPr>
            <w:tcW w:w="522" w:type="pct"/>
            <w:tcBorders>
              <w:top w:val="single" w:sz="8" w:space="0" w:color="auto"/>
              <w:left w:val="nil"/>
              <w:bottom w:val="nil"/>
              <w:right w:val="single" w:sz="8" w:space="0" w:color="auto"/>
            </w:tcBorders>
            <w:vAlign w:val="center"/>
            <w:hideMark/>
          </w:tcPr>
          <w:p w:rsidR="005061E6" w:rsidRPr="00F81955" w:rsidRDefault="005061E6">
            <w:pPr>
              <w:spacing w:before="0" w:after="0"/>
              <w:jc w:val="center"/>
              <w:rPr>
                <w:noProof/>
                <w:color w:val="000000"/>
                <w:sz w:val="20"/>
                <w:szCs w:val="20"/>
                <w:lang w:eastAsia="en-IE"/>
              </w:rPr>
            </w:pPr>
            <w:r w:rsidRPr="00F81955">
              <w:rPr>
                <w:noProof/>
                <w:color w:val="000000"/>
                <w:sz w:val="20"/>
                <w:szCs w:val="20"/>
                <w:lang w:eastAsia="en-IE"/>
              </w:rPr>
              <w:t>Year</w:t>
            </w:r>
          </w:p>
        </w:tc>
        <w:tc>
          <w:tcPr>
            <w:tcW w:w="522" w:type="pct"/>
            <w:tcBorders>
              <w:top w:val="single" w:sz="8" w:space="0" w:color="auto"/>
              <w:left w:val="nil"/>
              <w:bottom w:val="nil"/>
              <w:right w:val="single" w:sz="8" w:space="0" w:color="auto"/>
            </w:tcBorders>
            <w:vAlign w:val="center"/>
            <w:hideMark/>
          </w:tcPr>
          <w:p w:rsidR="005061E6" w:rsidRPr="00F81955" w:rsidRDefault="005061E6">
            <w:pPr>
              <w:spacing w:before="0" w:after="0"/>
              <w:jc w:val="center"/>
              <w:rPr>
                <w:noProof/>
                <w:color w:val="000000"/>
                <w:sz w:val="20"/>
                <w:szCs w:val="20"/>
                <w:lang w:eastAsia="en-IE"/>
              </w:rPr>
            </w:pPr>
            <w:r w:rsidRPr="00F81955">
              <w:rPr>
                <w:noProof/>
                <w:color w:val="000000"/>
                <w:sz w:val="20"/>
                <w:szCs w:val="20"/>
                <w:lang w:eastAsia="en-IE"/>
              </w:rPr>
              <w:t>Year</w:t>
            </w:r>
          </w:p>
        </w:tc>
        <w:tc>
          <w:tcPr>
            <w:tcW w:w="522" w:type="pct"/>
            <w:tcBorders>
              <w:top w:val="single" w:sz="8" w:space="0" w:color="auto"/>
              <w:left w:val="nil"/>
              <w:bottom w:val="nil"/>
              <w:right w:val="single" w:sz="8" w:space="0" w:color="auto"/>
            </w:tcBorders>
            <w:vAlign w:val="center"/>
            <w:hideMark/>
          </w:tcPr>
          <w:p w:rsidR="005061E6" w:rsidRPr="00F81955" w:rsidRDefault="005061E6">
            <w:pPr>
              <w:spacing w:before="0" w:after="0"/>
              <w:jc w:val="center"/>
              <w:rPr>
                <w:noProof/>
                <w:color w:val="000000"/>
                <w:sz w:val="20"/>
                <w:szCs w:val="20"/>
                <w:lang w:eastAsia="en-IE"/>
              </w:rPr>
            </w:pPr>
            <w:r w:rsidRPr="00F81955">
              <w:rPr>
                <w:noProof/>
                <w:color w:val="000000"/>
                <w:sz w:val="20"/>
                <w:szCs w:val="20"/>
                <w:lang w:eastAsia="en-IE"/>
              </w:rPr>
              <w:t>Year</w:t>
            </w:r>
          </w:p>
        </w:tc>
      </w:tr>
      <w:tr w:rsidR="005061E6" w:rsidRPr="00F81955">
        <w:trPr>
          <w:trHeight w:val="300"/>
        </w:trPr>
        <w:tc>
          <w:tcPr>
            <w:tcW w:w="2913" w:type="pct"/>
            <w:gridSpan w:val="2"/>
            <w:vMerge/>
            <w:vAlign w:val="center"/>
            <w:hideMark/>
          </w:tcPr>
          <w:p w:rsidR="005061E6" w:rsidRPr="00F81955" w:rsidRDefault="005061E6">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vAlign w:val="center"/>
            <w:hideMark/>
          </w:tcPr>
          <w:p w:rsidR="005061E6" w:rsidRPr="00F81955" w:rsidRDefault="005061E6">
            <w:pPr>
              <w:spacing w:before="0" w:after="0"/>
              <w:jc w:val="center"/>
              <w:rPr>
                <w:b/>
                <w:bCs/>
                <w:noProof/>
                <w:color w:val="000000"/>
                <w:sz w:val="20"/>
                <w:szCs w:val="20"/>
                <w:lang w:eastAsia="en-IE"/>
              </w:rPr>
            </w:pPr>
            <w:r w:rsidRPr="00F81955">
              <w:rPr>
                <w:b/>
                <w:bCs/>
                <w:noProof/>
                <w:color w:val="000000"/>
                <w:sz w:val="20"/>
                <w:szCs w:val="20"/>
                <w:lang w:eastAsia="en-IE"/>
              </w:rPr>
              <w:t>2024</w:t>
            </w:r>
          </w:p>
        </w:tc>
        <w:tc>
          <w:tcPr>
            <w:tcW w:w="522" w:type="pct"/>
            <w:tcBorders>
              <w:top w:val="nil"/>
              <w:left w:val="nil"/>
              <w:bottom w:val="single" w:sz="8" w:space="0" w:color="auto"/>
              <w:right w:val="single" w:sz="8" w:space="0" w:color="auto"/>
            </w:tcBorders>
            <w:vAlign w:val="center"/>
            <w:hideMark/>
          </w:tcPr>
          <w:p w:rsidR="005061E6" w:rsidRPr="00F81955" w:rsidRDefault="005061E6">
            <w:pPr>
              <w:spacing w:before="0" w:after="0"/>
              <w:jc w:val="center"/>
              <w:rPr>
                <w:b/>
                <w:bCs/>
                <w:noProof/>
                <w:color w:val="000000"/>
                <w:sz w:val="20"/>
                <w:szCs w:val="20"/>
                <w:lang w:eastAsia="en-IE"/>
              </w:rPr>
            </w:pPr>
            <w:r w:rsidRPr="00F81955">
              <w:rPr>
                <w:b/>
                <w:bCs/>
                <w:noProof/>
                <w:color w:val="000000"/>
                <w:sz w:val="20"/>
                <w:szCs w:val="20"/>
                <w:lang w:eastAsia="en-IE"/>
              </w:rPr>
              <w:t>2025</w:t>
            </w:r>
          </w:p>
        </w:tc>
        <w:tc>
          <w:tcPr>
            <w:tcW w:w="522" w:type="pct"/>
            <w:tcBorders>
              <w:top w:val="nil"/>
              <w:left w:val="nil"/>
              <w:bottom w:val="single" w:sz="8" w:space="0" w:color="auto"/>
              <w:right w:val="single" w:sz="8" w:space="0" w:color="auto"/>
            </w:tcBorders>
            <w:vAlign w:val="center"/>
            <w:hideMark/>
          </w:tcPr>
          <w:p w:rsidR="005061E6" w:rsidRPr="00F81955" w:rsidRDefault="005061E6">
            <w:pPr>
              <w:spacing w:before="0" w:after="0"/>
              <w:jc w:val="center"/>
              <w:rPr>
                <w:b/>
                <w:bCs/>
                <w:noProof/>
                <w:color w:val="000000"/>
                <w:sz w:val="20"/>
                <w:szCs w:val="20"/>
                <w:lang w:eastAsia="en-IE"/>
              </w:rPr>
            </w:pPr>
            <w:r w:rsidRPr="00F81955">
              <w:rPr>
                <w:b/>
                <w:bCs/>
                <w:noProof/>
                <w:color w:val="000000"/>
                <w:sz w:val="20"/>
                <w:szCs w:val="20"/>
                <w:lang w:eastAsia="en-IE"/>
              </w:rPr>
              <w:t>2026</w:t>
            </w:r>
          </w:p>
        </w:tc>
        <w:tc>
          <w:tcPr>
            <w:tcW w:w="522" w:type="pct"/>
            <w:tcBorders>
              <w:top w:val="nil"/>
              <w:left w:val="nil"/>
              <w:bottom w:val="single" w:sz="8" w:space="0" w:color="auto"/>
              <w:right w:val="single" w:sz="8" w:space="0" w:color="auto"/>
            </w:tcBorders>
            <w:vAlign w:val="center"/>
            <w:hideMark/>
          </w:tcPr>
          <w:p w:rsidR="005061E6" w:rsidRPr="00F81955" w:rsidRDefault="005061E6">
            <w:pPr>
              <w:spacing w:before="0" w:after="0"/>
              <w:jc w:val="center"/>
              <w:rPr>
                <w:b/>
                <w:bCs/>
                <w:noProof/>
                <w:color w:val="000000"/>
                <w:sz w:val="20"/>
                <w:szCs w:val="20"/>
                <w:lang w:eastAsia="en-IE"/>
              </w:rPr>
            </w:pPr>
            <w:r w:rsidRPr="00F81955">
              <w:rPr>
                <w:b/>
                <w:bCs/>
                <w:noProof/>
                <w:color w:val="000000"/>
                <w:sz w:val="20"/>
                <w:szCs w:val="20"/>
                <w:lang w:eastAsia="en-IE"/>
              </w:rPr>
              <w:t>2027</w:t>
            </w:r>
          </w:p>
        </w:tc>
      </w:tr>
      <w:tr w:rsidR="005061E6" w:rsidRPr="00F81955">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rsidR="005061E6" w:rsidRPr="00F81955" w:rsidRDefault="005061E6">
            <w:pPr>
              <w:spacing w:before="0" w:after="0"/>
              <w:jc w:val="left"/>
              <w:rPr>
                <w:rFonts w:ascii="Wingdings" w:hAnsi="Wingdings" w:cs="Calibri"/>
                <w:b/>
                <w:bCs/>
                <w:noProof/>
                <w:color w:val="000000"/>
                <w:sz w:val="16"/>
                <w:szCs w:val="16"/>
                <w:lang w:eastAsia="en-IE"/>
              </w:rPr>
            </w:pPr>
            <w:r w:rsidRPr="00F81955">
              <w:rPr>
                <w:rFonts w:ascii="Wingdings" w:hAnsi="Wingdings" w:cs="Calibri"/>
                <w:b/>
                <w:bCs/>
                <w:noProof/>
                <w:color w:val="000000"/>
                <w:sz w:val="16"/>
                <w:szCs w:val="16"/>
                <w:lang w:eastAsia="en-IE"/>
              </w:rPr>
              <w:t></w:t>
            </w:r>
            <w:r w:rsidRPr="00F81955">
              <w:rPr>
                <w:b/>
                <w:bCs/>
                <w:noProof/>
                <w:color w:val="000000"/>
                <w:sz w:val="16"/>
                <w:szCs w:val="16"/>
                <w:lang w:eastAsia="en-IE"/>
              </w:rPr>
              <w:t xml:space="preserve"> Establishment plan posts (officials and temporary staff)</w:t>
            </w:r>
          </w:p>
        </w:tc>
      </w:tr>
      <w:tr w:rsidR="005061E6" w:rsidRPr="00F81955">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5061E6" w:rsidRPr="00F81955" w:rsidRDefault="005061E6">
            <w:pPr>
              <w:spacing w:before="0" w:after="0"/>
              <w:ind w:firstLineChars="100" w:firstLine="160"/>
              <w:jc w:val="left"/>
              <w:rPr>
                <w:noProof/>
                <w:color w:val="000000"/>
                <w:sz w:val="16"/>
                <w:szCs w:val="16"/>
                <w:lang w:eastAsia="en-IE"/>
              </w:rPr>
            </w:pPr>
            <w:r w:rsidRPr="00F81955">
              <w:rPr>
                <w:noProof/>
                <w:color w:val="000000"/>
                <w:sz w:val="16"/>
                <w:szCs w:val="16"/>
                <w:lang w:eastAsia="en-IE"/>
              </w:rPr>
              <w:t>20 01 02 01</w:t>
            </w:r>
            <w:r w:rsidRPr="00F81955">
              <w:rPr>
                <w:rFonts w:ascii="Arial Narrow" w:hAnsi="Arial Narrow"/>
                <w:noProof/>
                <w:color w:val="000000"/>
                <w:sz w:val="20"/>
                <w:szCs w:val="20"/>
                <w:lang w:eastAsia="en-IE"/>
              </w:rPr>
              <w:t xml:space="preserve"> </w:t>
            </w:r>
            <w:r w:rsidRPr="00F81955">
              <w:rPr>
                <w:noProof/>
                <w:color w:val="000000"/>
                <w:sz w:val="16"/>
                <w:szCs w:val="16"/>
                <w:lang w:eastAsia="en-IE"/>
              </w:rPr>
              <w:t>(Headquarters and Commission’s Representation Offices)</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themeColor="text1"/>
                <w:sz w:val="16"/>
                <w:szCs w:val="16"/>
                <w:lang w:eastAsia="en-IE"/>
              </w:rPr>
              <w:t>5</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themeColor="text1"/>
                <w:sz w:val="16"/>
                <w:szCs w:val="16"/>
                <w:lang w:eastAsia="en-IE"/>
              </w:rPr>
              <w:t>5</w:t>
            </w:r>
          </w:p>
        </w:tc>
      </w:tr>
      <w:tr w:rsidR="005061E6" w:rsidRPr="00F81955">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5061E6" w:rsidRPr="00F81955" w:rsidRDefault="005061E6">
            <w:pPr>
              <w:spacing w:before="0" w:after="0"/>
              <w:ind w:firstLineChars="100" w:firstLine="160"/>
              <w:jc w:val="left"/>
              <w:rPr>
                <w:noProof/>
                <w:color w:val="000000"/>
                <w:sz w:val="16"/>
                <w:szCs w:val="16"/>
                <w:lang w:eastAsia="en-IE"/>
              </w:rPr>
            </w:pPr>
            <w:r w:rsidRPr="00F81955">
              <w:rPr>
                <w:noProof/>
                <w:color w:val="000000"/>
                <w:sz w:val="16"/>
                <w:szCs w:val="16"/>
                <w:lang w:eastAsia="en-IE"/>
              </w:rPr>
              <w:t>20 01 02 03 (EU Delegations)</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r>
      <w:tr w:rsidR="005061E6" w:rsidRPr="00F81955">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5061E6" w:rsidRPr="00F81955" w:rsidRDefault="005061E6">
            <w:pPr>
              <w:spacing w:before="0" w:after="0"/>
              <w:ind w:firstLineChars="100" w:firstLine="160"/>
              <w:jc w:val="left"/>
              <w:rPr>
                <w:noProof/>
                <w:color w:val="000000"/>
                <w:sz w:val="16"/>
                <w:szCs w:val="16"/>
                <w:lang w:eastAsia="en-IE"/>
              </w:rPr>
            </w:pPr>
            <w:r w:rsidRPr="00F81955">
              <w:rPr>
                <w:noProof/>
                <w:color w:val="000000"/>
                <w:sz w:val="16"/>
                <w:szCs w:val="16"/>
                <w:lang w:eastAsia="en-IE"/>
              </w:rPr>
              <w:t>01 01 01 01</w:t>
            </w:r>
            <w:r w:rsidRPr="00F81955">
              <w:rPr>
                <w:rFonts w:ascii="Arial Narrow" w:hAnsi="Arial Narrow"/>
                <w:noProof/>
                <w:color w:val="000000"/>
                <w:sz w:val="20"/>
                <w:szCs w:val="20"/>
                <w:lang w:eastAsia="en-IE"/>
              </w:rPr>
              <w:t xml:space="preserve"> </w:t>
            </w:r>
            <w:r w:rsidRPr="00F81955">
              <w:rPr>
                <w:noProof/>
                <w:color w:val="000000"/>
                <w:sz w:val="16"/>
                <w:szCs w:val="16"/>
                <w:lang w:eastAsia="en-IE"/>
              </w:rPr>
              <w:t>(Indirect research)</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r>
      <w:tr w:rsidR="005061E6" w:rsidRPr="00F81955">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5061E6" w:rsidRPr="00F81955" w:rsidRDefault="005061E6">
            <w:pPr>
              <w:spacing w:before="0" w:after="0"/>
              <w:ind w:firstLineChars="100" w:firstLine="160"/>
              <w:jc w:val="left"/>
              <w:rPr>
                <w:noProof/>
                <w:color w:val="000000"/>
                <w:sz w:val="16"/>
                <w:szCs w:val="16"/>
                <w:lang w:eastAsia="en-IE"/>
              </w:rPr>
            </w:pPr>
            <w:r w:rsidRPr="00F81955">
              <w:rPr>
                <w:noProof/>
                <w:color w:val="000000"/>
                <w:sz w:val="16"/>
                <w:szCs w:val="16"/>
                <w:lang w:eastAsia="en-IE"/>
              </w:rPr>
              <w:t>01 01 01 11 (Direct research)</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r>
      <w:tr w:rsidR="005061E6" w:rsidRPr="00F81955">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5061E6" w:rsidRPr="00F81955" w:rsidRDefault="005061E6">
            <w:pPr>
              <w:spacing w:before="0" w:after="0"/>
              <w:ind w:firstLineChars="100" w:firstLine="160"/>
              <w:jc w:val="left"/>
              <w:rPr>
                <w:noProof/>
                <w:color w:val="000000"/>
                <w:sz w:val="16"/>
                <w:szCs w:val="16"/>
                <w:lang w:eastAsia="en-IE"/>
              </w:rPr>
            </w:pPr>
            <w:r w:rsidRPr="00F81955">
              <w:rPr>
                <w:noProof/>
                <w:color w:val="000000"/>
                <w:sz w:val="16"/>
                <w:szCs w:val="16"/>
                <w:lang w:eastAsia="en-IE"/>
              </w:rPr>
              <w:t>Other budget lines (specify)</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r>
      <w:tr w:rsidR="005061E6" w:rsidRPr="00F81955">
        <w:trPr>
          <w:trHeight w:val="525"/>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rsidR="005061E6" w:rsidRPr="00F81955" w:rsidRDefault="005061E6">
            <w:pPr>
              <w:spacing w:before="0" w:after="0"/>
              <w:jc w:val="left"/>
              <w:rPr>
                <w:rFonts w:ascii="Wingdings" w:hAnsi="Wingdings" w:cs="Calibri"/>
                <w:b/>
                <w:bCs/>
                <w:noProof/>
                <w:color w:val="000000"/>
                <w:sz w:val="16"/>
                <w:szCs w:val="16"/>
                <w:lang w:eastAsia="en-IE"/>
              </w:rPr>
            </w:pPr>
            <w:r w:rsidRPr="00F81955">
              <w:rPr>
                <w:rFonts w:ascii="Calibri" w:hAnsi="Calibri" w:cs="Calibri"/>
                <w:b/>
                <w:bCs/>
                <w:noProof/>
                <w:color w:val="000000"/>
                <w:sz w:val="16"/>
                <w:szCs w:val="16"/>
                <w:lang w:eastAsia="en-IE"/>
              </w:rPr>
              <w:t>•</w:t>
            </w:r>
            <w:r w:rsidRPr="00F81955">
              <w:rPr>
                <w:b/>
                <w:bCs/>
                <w:noProof/>
                <w:color w:val="000000"/>
                <w:sz w:val="16"/>
                <w:szCs w:val="16"/>
                <w:lang w:eastAsia="en-IE"/>
              </w:rPr>
              <w:t xml:space="preserve"> External staff (in</w:t>
            </w:r>
            <w:r w:rsidR="005C34D6" w:rsidRPr="00F81955">
              <w:rPr>
                <w:b/>
                <w:bCs/>
                <w:noProof/>
                <w:color w:val="000000"/>
                <w:sz w:val="16"/>
                <w:szCs w:val="16"/>
                <w:lang w:eastAsia="en-IE"/>
              </w:rPr>
              <w:t xml:space="preserve"> </w:t>
            </w:r>
            <w:r w:rsidRPr="00F81955">
              <w:rPr>
                <w:b/>
                <w:bCs/>
                <w:noProof/>
                <w:color w:val="000000"/>
                <w:sz w:val="16"/>
                <w:szCs w:val="16"/>
                <w:lang w:eastAsia="en-IE"/>
              </w:rPr>
              <w:t>FTEs)</w:t>
            </w:r>
          </w:p>
        </w:tc>
      </w:tr>
      <w:tr w:rsidR="005061E6" w:rsidRPr="00F81955">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5061E6" w:rsidRPr="00F81955" w:rsidRDefault="005061E6">
            <w:pPr>
              <w:spacing w:before="0" w:after="0"/>
              <w:ind w:firstLineChars="100" w:firstLine="160"/>
              <w:jc w:val="left"/>
              <w:rPr>
                <w:noProof/>
                <w:color w:val="000000"/>
                <w:sz w:val="16"/>
                <w:szCs w:val="16"/>
                <w:lang w:eastAsia="en-IE"/>
              </w:rPr>
            </w:pPr>
            <w:r w:rsidRPr="00F81955">
              <w:rPr>
                <w:noProof/>
                <w:color w:val="000000"/>
                <w:sz w:val="16"/>
                <w:szCs w:val="16"/>
                <w:lang w:eastAsia="en-IE"/>
              </w:rPr>
              <w:t>20 02 01</w:t>
            </w:r>
            <w:r w:rsidRPr="00F81955">
              <w:rPr>
                <w:rFonts w:ascii="Arial Narrow" w:hAnsi="Arial Narrow"/>
                <w:noProof/>
                <w:color w:val="000000"/>
                <w:sz w:val="20"/>
                <w:szCs w:val="20"/>
                <w:lang w:eastAsia="en-IE"/>
              </w:rPr>
              <w:t xml:space="preserve"> </w:t>
            </w:r>
            <w:r w:rsidRPr="00F81955">
              <w:rPr>
                <w:noProof/>
                <w:color w:val="000000"/>
                <w:sz w:val="16"/>
                <w:szCs w:val="16"/>
                <w:lang w:eastAsia="en-IE"/>
              </w:rPr>
              <w:t>(AC, END from the ‘global envelope’)</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themeColor="text1"/>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themeColor="text1"/>
                <w:sz w:val="16"/>
                <w:szCs w:val="16"/>
                <w:lang w:eastAsia="en-IE"/>
              </w:rPr>
              <w:t>0</w:t>
            </w:r>
          </w:p>
        </w:tc>
      </w:tr>
      <w:tr w:rsidR="005061E6" w:rsidRPr="00F81955">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5061E6" w:rsidRPr="00F81955" w:rsidRDefault="005061E6">
            <w:pPr>
              <w:spacing w:before="0" w:after="0"/>
              <w:ind w:firstLineChars="100" w:firstLine="160"/>
              <w:jc w:val="left"/>
              <w:rPr>
                <w:noProof/>
                <w:color w:val="000000"/>
                <w:sz w:val="16"/>
                <w:szCs w:val="16"/>
                <w:lang w:eastAsia="en-IE"/>
              </w:rPr>
            </w:pPr>
            <w:r w:rsidRPr="00F81955">
              <w:rPr>
                <w:noProof/>
                <w:color w:val="000000"/>
                <w:sz w:val="16"/>
                <w:szCs w:val="16"/>
                <w:lang w:eastAsia="en-IE"/>
              </w:rPr>
              <w:t>20 02 03 (AC, AL, END and JPD in the EU Delegations)</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r>
      <w:tr w:rsidR="005061E6" w:rsidRPr="00F81955">
        <w:trPr>
          <w:trHeight w:val="300"/>
        </w:trPr>
        <w:tc>
          <w:tcPr>
            <w:tcW w:w="815" w:type="pct"/>
            <w:vMerge w:val="restart"/>
            <w:tcBorders>
              <w:top w:val="nil"/>
              <w:left w:val="single" w:sz="8" w:space="0" w:color="auto"/>
              <w:bottom w:val="single" w:sz="8" w:space="0" w:color="auto"/>
              <w:right w:val="single" w:sz="8" w:space="0" w:color="auto"/>
            </w:tcBorders>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Admin. Support line</w:t>
            </w:r>
            <w:r w:rsidRPr="00F81955">
              <w:rPr>
                <w:noProof/>
                <w:color w:val="000000"/>
                <w:sz w:val="16"/>
                <w:szCs w:val="16"/>
                <w:lang w:eastAsia="en-IE"/>
              </w:rPr>
              <w:br/>
              <w:t>[XX.01.YY.YY]</w:t>
            </w:r>
          </w:p>
        </w:tc>
        <w:tc>
          <w:tcPr>
            <w:tcW w:w="2098" w:type="pct"/>
            <w:tcBorders>
              <w:top w:val="nil"/>
              <w:left w:val="nil"/>
              <w:bottom w:val="single" w:sz="8" w:space="0" w:color="auto"/>
              <w:right w:val="single" w:sz="8" w:space="0" w:color="auto"/>
            </w:tcBorders>
            <w:vAlign w:val="center"/>
            <w:hideMark/>
          </w:tcPr>
          <w:p w:rsidR="005061E6" w:rsidRPr="00F81955" w:rsidRDefault="005061E6">
            <w:pPr>
              <w:spacing w:before="0" w:after="0"/>
              <w:ind w:firstLineChars="100" w:firstLine="160"/>
              <w:jc w:val="left"/>
              <w:rPr>
                <w:noProof/>
                <w:color w:val="000000"/>
                <w:sz w:val="16"/>
                <w:szCs w:val="16"/>
                <w:lang w:eastAsia="en-IE"/>
              </w:rPr>
            </w:pPr>
            <w:r w:rsidRPr="00F81955">
              <w:rPr>
                <w:noProof/>
                <w:color w:val="000000"/>
                <w:sz w:val="16"/>
                <w:szCs w:val="16"/>
                <w:lang w:eastAsia="en-IE"/>
              </w:rPr>
              <w:t>- at Headquarters</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r>
      <w:tr w:rsidR="005061E6" w:rsidRPr="00F81955">
        <w:trPr>
          <w:trHeight w:val="300"/>
        </w:trPr>
        <w:tc>
          <w:tcPr>
            <w:tcW w:w="815" w:type="pct"/>
            <w:vMerge/>
            <w:vAlign w:val="center"/>
            <w:hideMark/>
          </w:tcPr>
          <w:p w:rsidR="005061E6" w:rsidRPr="00F81955" w:rsidRDefault="005061E6">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vAlign w:val="center"/>
            <w:hideMark/>
          </w:tcPr>
          <w:p w:rsidR="005061E6" w:rsidRPr="00F81955" w:rsidRDefault="005061E6">
            <w:pPr>
              <w:spacing w:before="0" w:after="0"/>
              <w:ind w:firstLineChars="100" w:firstLine="160"/>
              <w:jc w:val="left"/>
              <w:rPr>
                <w:noProof/>
                <w:color w:val="000000"/>
                <w:sz w:val="16"/>
                <w:szCs w:val="16"/>
                <w:lang w:eastAsia="en-IE"/>
              </w:rPr>
            </w:pPr>
            <w:r w:rsidRPr="00F81955">
              <w:rPr>
                <w:noProof/>
                <w:color w:val="000000"/>
                <w:sz w:val="16"/>
                <w:szCs w:val="16"/>
                <w:lang w:eastAsia="en-IE"/>
              </w:rPr>
              <w:t xml:space="preserve">- in EU Delegations </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r>
      <w:tr w:rsidR="005061E6" w:rsidRPr="00F81955">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5061E6" w:rsidRPr="00F81955" w:rsidRDefault="005061E6">
            <w:pPr>
              <w:spacing w:before="0" w:after="0"/>
              <w:ind w:firstLineChars="100" w:firstLine="160"/>
              <w:jc w:val="left"/>
              <w:rPr>
                <w:noProof/>
                <w:color w:val="000000"/>
                <w:sz w:val="16"/>
                <w:szCs w:val="16"/>
                <w:lang w:eastAsia="en-IE"/>
              </w:rPr>
            </w:pPr>
            <w:r w:rsidRPr="00F81955">
              <w:rPr>
                <w:noProof/>
                <w:color w:val="000000"/>
                <w:sz w:val="16"/>
                <w:szCs w:val="16"/>
                <w:lang w:eastAsia="en-IE"/>
              </w:rPr>
              <w:t>01 01 01 02</w:t>
            </w:r>
            <w:r w:rsidRPr="00F81955">
              <w:rPr>
                <w:rFonts w:ascii="Arial Narrow" w:hAnsi="Arial Narrow"/>
                <w:noProof/>
                <w:color w:val="000000"/>
                <w:sz w:val="20"/>
                <w:szCs w:val="20"/>
                <w:lang w:eastAsia="en-IE"/>
              </w:rPr>
              <w:t xml:space="preserve"> </w:t>
            </w:r>
            <w:r w:rsidRPr="00F81955">
              <w:rPr>
                <w:noProof/>
                <w:color w:val="000000"/>
                <w:sz w:val="16"/>
                <w:szCs w:val="16"/>
                <w:lang w:eastAsia="en-IE"/>
              </w:rPr>
              <w:t>(AC, END - Indirect research)</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r>
      <w:tr w:rsidR="005061E6" w:rsidRPr="00F81955">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5061E6" w:rsidRPr="00F81955" w:rsidRDefault="005061E6">
            <w:pPr>
              <w:spacing w:before="0" w:after="0"/>
              <w:ind w:firstLineChars="100" w:firstLine="160"/>
              <w:jc w:val="left"/>
              <w:rPr>
                <w:noProof/>
                <w:color w:val="000000"/>
                <w:sz w:val="16"/>
                <w:szCs w:val="16"/>
                <w:lang w:eastAsia="en-IE"/>
              </w:rPr>
            </w:pPr>
            <w:r w:rsidRPr="00F81955">
              <w:rPr>
                <w:noProof/>
                <w:color w:val="000000"/>
                <w:sz w:val="16"/>
                <w:szCs w:val="16"/>
                <w:lang w:eastAsia="en-IE"/>
              </w:rPr>
              <w:t xml:space="preserve"> 01 01 01 12 (AC, END - Direct research)</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r>
      <w:tr w:rsidR="005061E6" w:rsidRPr="00F81955">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5061E6" w:rsidRPr="00F81955" w:rsidRDefault="005061E6">
            <w:pPr>
              <w:spacing w:before="0" w:after="0"/>
              <w:ind w:firstLineChars="100" w:firstLine="160"/>
              <w:jc w:val="left"/>
              <w:rPr>
                <w:noProof/>
                <w:color w:val="000000"/>
                <w:sz w:val="16"/>
                <w:szCs w:val="16"/>
                <w:lang w:eastAsia="en-IE"/>
              </w:rPr>
            </w:pPr>
            <w:r w:rsidRPr="00F81955">
              <w:rPr>
                <w:noProof/>
                <w:color w:val="000000"/>
                <w:sz w:val="16"/>
                <w:szCs w:val="16"/>
                <w:lang w:eastAsia="en-IE"/>
              </w:rPr>
              <w:t>Other budget lines (specify) - Heading 7</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r>
      <w:tr w:rsidR="005061E6" w:rsidRPr="00F81955">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5061E6" w:rsidRPr="00F81955" w:rsidRDefault="005061E6">
            <w:pPr>
              <w:spacing w:before="0" w:after="0"/>
              <w:ind w:firstLineChars="100" w:firstLine="160"/>
              <w:jc w:val="left"/>
              <w:rPr>
                <w:noProof/>
                <w:color w:val="000000"/>
                <w:sz w:val="16"/>
                <w:szCs w:val="16"/>
                <w:lang w:eastAsia="en-IE"/>
              </w:rPr>
            </w:pPr>
            <w:r w:rsidRPr="00F81955">
              <w:rPr>
                <w:noProof/>
                <w:color w:val="000000" w:themeColor="text1"/>
                <w:sz w:val="16"/>
                <w:szCs w:val="16"/>
                <w:lang w:eastAsia="en-IE"/>
              </w:rPr>
              <w:t>Other budget lines (02 01 30 01) - Outside Heading 7</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themeColor="text1"/>
                <w:sz w:val="16"/>
                <w:szCs w:val="16"/>
                <w:lang w:eastAsia="en-IE"/>
              </w:rPr>
              <w:t>48</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noProof/>
                <w:color w:val="000000"/>
                <w:sz w:val="16"/>
                <w:szCs w:val="16"/>
                <w:lang w:eastAsia="en-IE"/>
              </w:rPr>
            </w:pPr>
            <w:r w:rsidRPr="00F81955">
              <w:rPr>
                <w:noProof/>
                <w:color w:val="000000" w:themeColor="text1"/>
                <w:sz w:val="16"/>
                <w:szCs w:val="16"/>
                <w:lang w:eastAsia="en-IE"/>
              </w:rPr>
              <w:t>48</w:t>
            </w:r>
          </w:p>
        </w:tc>
      </w:tr>
      <w:tr w:rsidR="005061E6" w:rsidRPr="00F81955">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5061E6" w:rsidRPr="00F81955" w:rsidRDefault="005061E6">
            <w:pPr>
              <w:spacing w:before="0" w:after="0"/>
              <w:ind w:firstLineChars="100" w:firstLine="161"/>
              <w:jc w:val="left"/>
              <w:rPr>
                <w:b/>
                <w:bCs/>
                <w:noProof/>
                <w:color w:val="000000"/>
                <w:sz w:val="16"/>
                <w:szCs w:val="16"/>
                <w:lang w:eastAsia="en-IE"/>
              </w:rPr>
            </w:pPr>
            <w:r w:rsidRPr="00F81955">
              <w:rPr>
                <w:b/>
                <w:bCs/>
                <w:noProof/>
                <w:color w:val="000000"/>
                <w:sz w:val="16"/>
                <w:szCs w:val="16"/>
                <w:lang w:eastAsia="en-IE"/>
              </w:rPr>
              <w:t>TOTAL</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b/>
                <w:bCs/>
                <w:noProof/>
                <w:color w:val="000000"/>
                <w:sz w:val="16"/>
                <w:szCs w:val="16"/>
                <w:lang w:eastAsia="en-IE"/>
              </w:rPr>
            </w:pPr>
            <w:r w:rsidRPr="00F81955">
              <w:rPr>
                <w:b/>
                <w:bCs/>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b/>
                <w:bCs/>
                <w:noProof/>
                <w:color w:val="000000"/>
                <w:sz w:val="16"/>
                <w:szCs w:val="16"/>
                <w:lang w:eastAsia="en-IE"/>
              </w:rPr>
            </w:pPr>
            <w:r w:rsidRPr="00F81955">
              <w:rPr>
                <w:b/>
                <w:bCs/>
                <w:noProof/>
                <w:color w:val="000000"/>
                <w:sz w:val="16"/>
                <w:szCs w:val="16"/>
                <w:lang w:eastAsia="en-IE"/>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b/>
                <w:bCs/>
                <w:noProof/>
                <w:color w:val="000000"/>
                <w:sz w:val="16"/>
                <w:szCs w:val="16"/>
                <w:lang w:eastAsia="en-IE"/>
              </w:rPr>
            </w:pPr>
            <w:r w:rsidRPr="00F81955">
              <w:rPr>
                <w:b/>
                <w:bCs/>
                <w:noProof/>
                <w:color w:val="000000" w:themeColor="text1"/>
                <w:sz w:val="16"/>
                <w:szCs w:val="16"/>
                <w:lang w:eastAsia="en-IE"/>
              </w:rPr>
              <w:t>53</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rsidR="005061E6" w:rsidRPr="00F81955" w:rsidRDefault="005061E6">
            <w:pPr>
              <w:spacing w:before="0" w:after="0"/>
              <w:jc w:val="center"/>
              <w:rPr>
                <w:b/>
                <w:bCs/>
                <w:noProof/>
                <w:color w:val="000000"/>
                <w:sz w:val="16"/>
                <w:szCs w:val="16"/>
                <w:lang w:eastAsia="en-IE"/>
              </w:rPr>
            </w:pPr>
            <w:r w:rsidRPr="00F81955">
              <w:rPr>
                <w:b/>
                <w:bCs/>
                <w:noProof/>
                <w:color w:val="000000" w:themeColor="text1"/>
                <w:sz w:val="16"/>
                <w:szCs w:val="16"/>
                <w:lang w:eastAsia="en-IE"/>
              </w:rPr>
              <w:t>53</w:t>
            </w:r>
          </w:p>
        </w:tc>
      </w:tr>
    </w:tbl>
    <w:p w:rsidR="00763B74" w:rsidRPr="00F81955" w:rsidRDefault="00763B74" w:rsidP="00763B74">
      <w:pPr>
        <w:spacing w:after="60"/>
        <w:jc w:val="left"/>
        <w:rPr>
          <w:i/>
          <w:noProof/>
          <w:sz w:val="20"/>
        </w:rPr>
      </w:pPr>
      <w:r w:rsidRPr="00F81955">
        <w:rPr>
          <w:i/>
          <w:noProof/>
          <w:sz w:val="20"/>
        </w:rPr>
        <w:t>]</w:t>
      </w:r>
    </w:p>
    <w:p w:rsidR="005061E6" w:rsidRPr="00F81955" w:rsidRDefault="005061E6" w:rsidP="005061E6">
      <w:pPr>
        <w:pStyle w:val="Text1"/>
        <w:ind w:left="-426"/>
        <w:rPr>
          <w:noProof/>
          <w:color w:val="000000" w:themeColor="text1"/>
        </w:rPr>
      </w:pPr>
      <w:bookmarkStart w:id="34" w:name="_Hlk167692843"/>
      <w:bookmarkEnd w:id="33"/>
      <w:r w:rsidRPr="00F81955">
        <w:rPr>
          <w:noProof/>
          <w:color w:val="000000" w:themeColor="text1"/>
        </w:rPr>
        <w:t xml:space="preserve">The staff required to implement the proposal (in FTEs): </w:t>
      </w:r>
    </w:p>
    <w:tbl>
      <w:tblPr>
        <w:tblStyle w:val="TableGrid"/>
        <w:tblW w:w="9487" w:type="dxa"/>
        <w:tblInd w:w="-426" w:type="dxa"/>
        <w:tblLook w:val="04A0" w:firstRow="1" w:lastRow="0" w:firstColumn="1" w:lastColumn="0" w:noHBand="0" w:noVBand="1"/>
      </w:tblPr>
      <w:tblGrid>
        <w:gridCol w:w="1845"/>
        <w:gridCol w:w="2031"/>
        <w:gridCol w:w="1925"/>
        <w:gridCol w:w="1938"/>
        <w:gridCol w:w="1748"/>
      </w:tblGrid>
      <w:tr w:rsidR="005061E6" w:rsidRPr="00F81955">
        <w:trPr>
          <w:trHeight w:val="300"/>
        </w:trPr>
        <w:tc>
          <w:tcPr>
            <w:tcW w:w="1845" w:type="dxa"/>
          </w:tcPr>
          <w:p w:rsidR="005061E6" w:rsidRPr="00F81955" w:rsidRDefault="005061E6">
            <w:pPr>
              <w:pStyle w:val="Text1"/>
              <w:ind w:left="0"/>
              <w:jc w:val="center"/>
              <w:rPr>
                <w:b/>
                <w:bCs/>
                <w:noProof/>
                <w:sz w:val="22"/>
                <w:szCs w:val="28"/>
              </w:rPr>
            </w:pPr>
          </w:p>
        </w:tc>
        <w:tc>
          <w:tcPr>
            <w:tcW w:w="2031" w:type="dxa"/>
          </w:tcPr>
          <w:p w:rsidR="005061E6" w:rsidRPr="00F81955" w:rsidRDefault="005061E6">
            <w:pPr>
              <w:pStyle w:val="Text1"/>
              <w:ind w:left="0"/>
              <w:jc w:val="center"/>
              <w:rPr>
                <w:b/>
                <w:bCs/>
                <w:noProof/>
                <w:sz w:val="22"/>
              </w:rPr>
            </w:pPr>
            <w:r w:rsidRPr="00F81955">
              <w:rPr>
                <w:b/>
                <w:bCs/>
                <w:noProof/>
                <w:sz w:val="22"/>
              </w:rPr>
              <w:t xml:space="preserve">To be covered by current staff available in the Commission services </w:t>
            </w:r>
          </w:p>
        </w:tc>
        <w:tc>
          <w:tcPr>
            <w:tcW w:w="5611" w:type="dxa"/>
            <w:gridSpan w:val="3"/>
          </w:tcPr>
          <w:p w:rsidR="005061E6" w:rsidRPr="00F81955" w:rsidRDefault="005061E6">
            <w:pPr>
              <w:pStyle w:val="Text1"/>
              <w:ind w:left="0"/>
              <w:jc w:val="center"/>
              <w:rPr>
                <w:b/>
                <w:bCs/>
                <w:noProof/>
                <w:sz w:val="22"/>
              </w:rPr>
            </w:pPr>
            <w:r w:rsidRPr="00F81955">
              <w:rPr>
                <w:b/>
                <w:bCs/>
                <w:noProof/>
                <w:sz w:val="22"/>
              </w:rPr>
              <w:t>Exceptional additional staff*</w:t>
            </w:r>
          </w:p>
        </w:tc>
      </w:tr>
      <w:tr w:rsidR="005061E6" w:rsidRPr="00F81955">
        <w:trPr>
          <w:trHeight w:val="300"/>
        </w:trPr>
        <w:tc>
          <w:tcPr>
            <w:tcW w:w="1845" w:type="dxa"/>
          </w:tcPr>
          <w:p w:rsidR="005061E6" w:rsidRPr="00F81955" w:rsidRDefault="005061E6">
            <w:pPr>
              <w:pStyle w:val="Text1"/>
              <w:ind w:left="0"/>
              <w:jc w:val="center"/>
              <w:rPr>
                <w:b/>
                <w:bCs/>
                <w:noProof/>
                <w:sz w:val="22"/>
                <w:szCs w:val="28"/>
              </w:rPr>
            </w:pPr>
          </w:p>
        </w:tc>
        <w:tc>
          <w:tcPr>
            <w:tcW w:w="2031" w:type="dxa"/>
          </w:tcPr>
          <w:p w:rsidR="005061E6" w:rsidRPr="00F81955" w:rsidRDefault="005061E6">
            <w:pPr>
              <w:pStyle w:val="Text1"/>
              <w:ind w:left="0"/>
              <w:jc w:val="center"/>
              <w:rPr>
                <w:b/>
                <w:bCs/>
                <w:noProof/>
                <w:sz w:val="22"/>
                <w:szCs w:val="28"/>
              </w:rPr>
            </w:pPr>
          </w:p>
        </w:tc>
        <w:tc>
          <w:tcPr>
            <w:tcW w:w="1925" w:type="dxa"/>
          </w:tcPr>
          <w:p w:rsidR="005061E6" w:rsidRPr="00F81955" w:rsidRDefault="005061E6">
            <w:pPr>
              <w:pStyle w:val="Text1"/>
              <w:ind w:left="0"/>
              <w:jc w:val="center"/>
              <w:rPr>
                <w:b/>
                <w:bCs/>
                <w:noProof/>
                <w:sz w:val="22"/>
              </w:rPr>
            </w:pPr>
            <w:r w:rsidRPr="00F81955">
              <w:rPr>
                <w:b/>
                <w:bCs/>
                <w:noProof/>
                <w:sz w:val="22"/>
              </w:rPr>
              <w:t>To be financed under Heading 7 or Research</w:t>
            </w:r>
          </w:p>
        </w:tc>
        <w:tc>
          <w:tcPr>
            <w:tcW w:w="1938" w:type="dxa"/>
          </w:tcPr>
          <w:p w:rsidR="005061E6" w:rsidRPr="00F81955" w:rsidRDefault="005061E6">
            <w:pPr>
              <w:pStyle w:val="Text1"/>
              <w:ind w:left="0"/>
              <w:jc w:val="center"/>
              <w:rPr>
                <w:b/>
                <w:bCs/>
                <w:noProof/>
                <w:sz w:val="22"/>
                <w:szCs w:val="28"/>
              </w:rPr>
            </w:pPr>
            <w:r w:rsidRPr="00F81955">
              <w:rPr>
                <w:b/>
                <w:bCs/>
                <w:noProof/>
                <w:sz w:val="22"/>
                <w:szCs w:val="28"/>
              </w:rPr>
              <w:t>To be financed from BA line</w:t>
            </w:r>
          </w:p>
        </w:tc>
        <w:tc>
          <w:tcPr>
            <w:tcW w:w="1748" w:type="dxa"/>
          </w:tcPr>
          <w:p w:rsidR="005061E6" w:rsidRPr="00F81955" w:rsidRDefault="005061E6">
            <w:pPr>
              <w:pStyle w:val="Text1"/>
              <w:ind w:left="0"/>
              <w:jc w:val="center"/>
              <w:rPr>
                <w:b/>
                <w:bCs/>
                <w:noProof/>
                <w:sz w:val="22"/>
                <w:szCs w:val="28"/>
              </w:rPr>
            </w:pPr>
            <w:r w:rsidRPr="00F81955">
              <w:rPr>
                <w:b/>
                <w:bCs/>
                <w:noProof/>
                <w:sz w:val="22"/>
                <w:szCs w:val="28"/>
              </w:rPr>
              <w:t>To be financed from fees</w:t>
            </w:r>
          </w:p>
        </w:tc>
      </w:tr>
      <w:tr w:rsidR="005061E6" w:rsidRPr="00F81955">
        <w:trPr>
          <w:trHeight w:val="300"/>
        </w:trPr>
        <w:tc>
          <w:tcPr>
            <w:tcW w:w="1845" w:type="dxa"/>
          </w:tcPr>
          <w:p w:rsidR="005061E6" w:rsidRPr="00F81955" w:rsidRDefault="005061E6">
            <w:pPr>
              <w:pStyle w:val="Text1"/>
              <w:ind w:left="0"/>
              <w:rPr>
                <w:noProof/>
                <w:sz w:val="22"/>
                <w:szCs w:val="28"/>
              </w:rPr>
            </w:pPr>
            <w:r w:rsidRPr="00F81955">
              <w:rPr>
                <w:noProof/>
                <w:sz w:val="22"/>
                <w:szCs w:val="28"/>
              </w:rPr>
              <w:t>Establishment plan posts</w:t>
            </w:r>
          </w:p>
        </w:tc>
        <w:tc>
          <w:tcPr>
            <w:tcW w:w="2031" w:type="dxa"/>
          </w:tcPr>
          <w:p w:rsidR="005061E6" w:rsidRPr="00F81955" w:rsidRDefault="00EC0D37">
            <w:pPr>
              <w:pStyle w:val="Text1"/>
              <w:ind w:left="0"/>
              <w:rPr>
                <w:noProof/>
                <w:sz w:val="22"/>
                <w:szCs w:val="22"/>
              </w:rPr>
            </w:pPr>
            <w:r w:rsidRPr="00F81955">
              <w:rPr>
                <w:noProof/>
                <w:sz w:val="22"/>
                <w:szCs w:val="22"/>
              </w:rPr>
              <w:t>5</w:t>
            </w:r>
          </w:p>
        </w:tc>
        <w:tc>
          <w:tcPr>
            <w:tcW w:w="1925" w:type="dxa"/>
          </w:tcPr>
          <w:p w:rsidR="005061E6" w:rsidRPr="00F81955" w:rsidRDefault="005061E6">
            <w:pPr>
              <w:pStyle w:val="Text1"/>
              <w:ind w:left="0"/>
              <w:rPr>
                <w:noProof/>
                <w:sz w:val="22"/>
                <w:szCs w:val="22"/>
              </w:rPr>
            </w:pPr>
          </w:p>
        </w:tc>
        <w:tc>
          <w:tcPr>
            <w:tcW w:w="1938" w:type="dxa"/>
          </w:tcPr>
          <w:p w:rsidR="005061E6" w:rsidRPr="00F81955" w:rsidRDefault="005061E6">
            <w:pPr>
              <w:pStyle w:val="Text1"/>
              <w:ind w:left="0"/>
              <w:rPr>
                <w:noProof/>
                <w:sz w:val="22"/>
                <w:szCs w:val="28"/>
              </w:rPr>
            </w:pPr>
            <w:r w:rsidRPr="00F81955">
              <w:rPr>
                <w:noProof/>
                <w:sz w:val="22"/>
                <w:szCs w:val="28"/>
              </w:rPr>
              <w:t>N/A</w:t>
            </w:r>
          </w:p>
        </w:tc>
        <w:tc>
          <w:tcPr>
            <w:tcW w:w="1748" w:type="dxa"/>
          </w:tcPr>
          <w:p w:rsidR="005061E6" w:rsidRPr="00F81955" w:rsidRDefault="005061E6">
            <w:pPr>
              <w:pStyle w:val="Text1"/>
              <w:ind w:left="0"/>
              <w:rPr>
                <w:noProof/>
                <w:sz w:val="22"/>
                <w:szCs w:val="28"/>
              </w:rPr>
            </w:pPr>
          </w:p>
        </w:tc>
      </w:tr>
      <w:tr w:rsidR="005061E6" w:rsidRPr="00F81955">
        <w:trPr>
          <w:trHeight w:val="300"/>
        </w:trPr>
        <w:tc>
          <w:tcPr>
            <w:tcW w:w="1845" w:type="dxa"/>
          </w:tcPr>
          <w:p w:rsidR="005061E6" w:rsidRPr="00F81955" w:rsidRDefault="005061E6">
            <w:pPr>
              <w:pStyle w:val="Text1"/>
              <w:ind w:left="0"/>
              <w:rPr>
                <w:noProof/>
                <w:sz w:val="22"/>
                <w:szCs w:val="28"/>
              </w:rPr>
            </w:pPr>
            <w:r w:rsidRPr="00F81955">
              <w:rPr>
                <w:noProof/>
                <w:sz w:val="22"/>
                <w:szCs w:val="28"/>
              </w:rPr>
              <w:t>External staff (CA, SNEs, INT)</w:t>
            </w:r>
          </w:p>
        </w:tc>
        <w:tc>
          <w:tcPr>
            <w:tcW w:w="2031" w:type="dxa"/>
          </w:tcPr>
          <w:p w:rsidR="005061E6" w:rsidRPr="00F81955" w:rsidRDefault="36719B66">
            <w:pPr>
              <w:pStyle w:val="Text1"/>
              <w:ind w:left="0"/>
              <w:rPr>
                <w:noProof/>
                <w:sz w:val="22"/>
                <w:szCs w:val="22"/>
              </w:rPr>
            </w:pPr>
            <w:r w:rsidRPr="00F81955">
              <w:rPr>
                <w:noProof/>
                <w:sz w:val="22"/>
                <w:szCs w:val="22"/>
              </w:rPr>
              <w:t>10</w:t>
            </w:r>
          </w:p>
        </w:tc>
        <w:tc>
          <w:tcPr>
            <w:tcW w:w="1925" w:type="dxa"/>
          </w:tcPr>
          <w:p w:rsidR="005061E6" w:rsidRPr="00F81955" w:rsidRDefault="005061E6">
            <w:pPr>
              <w:pStyle w:val="Text1"/>
              <w:ind w:left="0"/>
              <w:rPr>
                <w:noProof/>
                <w:sz w:val="22"/>
                <w:szCs w:val="28"/>
              </w:rPr>
            </w:pPr>
          </w:p>
        </w:tc>
        <w:tc>
          <w:tcPr>
            <w:tcW w:w="1938" w:type="dxa"/>
          </w:tcPr>
          <w:p w:rsidR="005061E6" w:rsidRPr="00F81955" w:rsidRDefault="3934C956">
            <w:pPr>
              <w:pStyle w:val="Text1"/>
              <w:ind w:left="0"/>
              <w:rPr>
                <w:noProof/>
                <w:sz w:val="22"/>
                <w:szCs w:val="22"/>
              </w:rPr>
            </w:pPr>
            <w:r w:rsidRPr="00F81955">
              <w:rPr>
                <w:noProof/>
                <w:sz w:val="22"/>
                <w:szCs w:val="22"/>
              </w:rPr>
              <w:t>3</w:t>
            </w:r>
            <w:r w:rsidR="005061E6" w:rsidRPr="00F81955">
              <w:rPr>
                <w:noProof/>
                <w:sz w:val="22"/>
                <w:szCs w:val="22"/>
              </w:rPr>
              <w:t>8</w:t>
            </w:r>
          </w:p>
        </w:tc>
        <w:tc>
          <w:tcPr>
            <w:tcW w:w="1748" w:type="dxa"/>
          </w:tcPr>
          <w:p w:rsidR="005061E6" w:rsidRPr="00F81955" w:rsidRDefault="005061E6">
            <w:pPr>
              <w:pStyle w:val="Text1"/>
              <w:ind w:left="0"/>
              <w:rPr>
                <w:noProof/>
                <w:sz w:val="22"/>
                <w:szCs w:val="28"/>
              </w:rPr>
            </w:pPr>
          </w:p>
        </w:tc>
      </w:tr>
    </w:tbl>
    <w:p w:rsidR="4837C983" w:rsidRPr="00F81955" w:rsidRDefault="4837C983" w:rsidP="4837C983">
      <w:pPr>
        <w:pStyle w:val="Text1"/>
        <w:ind w:left="-426" w:right="-427"/>
        <w:rPr>
          <w:noProof/>
        </w:rPr>
      </w:pPr>
    </w:p>
    <w:p w:rsidR="005061E6" w:rsidRPr="00F81955" w:rsidRDefault="005061E6" w:rsidP="005061E6">
      <w:pPr>
        <w:pStyle w:val="Text1"/>
        <w:ind w:left="-426" w:right="-427"/>
        <w:rPr>
          <w:noProof/>
        </w:rPr>
      </w:pPr>
      <w:r w:rsidRPr="00F81955">
        <w:rPr>
          <w:noProof/>
        </w:rPr>
        <w:t>Description of tasks to be carried out by:</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E5D25" w:rsidRPr="00F81955">
        <w:tc>
          <w:tcPr>
            <w:tcW w:w="3240" w:type="dxa"/>
          </w:tcPr>
          <w:p w:rsidR="005061E6" w:rsidRPr="00F81955" w:rsidRDefault="005061E6">
            <w:pPr>
              <w:rPr>
                <w:noProof/>
                <w:sz w:val="20"/>
              </w:rPr>
            </w:pPr>
            <w:r w:rsidRPr="00F81955">
              <w:rPr>
                <w:noProof/>
                <w:sz w:val="20"/>
              </w:rPr>
              <w:t>Officials and temporary staff</w:t>
            </w:r>
          </w:p>
        </w:tc>
        <w:tc>
          <w:tcPr>
            <w:tcW w:w="7200" w:type="dxa"/>
            <w:vMerge w:val="restart"/>
          </w:tcPr>
          <w:p w:rsidR="005061E6" w:rsidRPr="00F81955" w:rsidRDefault="005061E6">
            <w:pPr>
              <w:rPr>
                <w:noProof/>
                <w:sz w:val="20"/>
                <w:szCs w:val="20"/>
              </w:rPr>
            </w:pPr>
            <w:r w:rsidRPr="00F81955">
              <w:rPr>
                <w:noProof/>
                <w:sz w:val="20"/>
                <w:szCs w:val="20"/>
              </w:rPr>
              <w:t>The strengthening of the central supe</w:t>
            </w:r>
            <w:r w:rsidR="005C34D6" w:rsidRPr="00F81955">
              <w:rPr>
                <w:noProof/>
                <w:sz w:val="20"/>
                <w:szCs w:val="20"/>
              </w:rPr>
              <w:t>r</w:t>
            </w:r>
            <w:r w:rsidRPr="00F81955">
              <w:rPr>
                <w:noProof/>
                <w:sz w:val="20"/>
                <w:szCs w:val="20"/>
              </w:rPr>
              <w:t>vis</w:t>
            </w:r>
            <w:r w:rsidR="005C34D6" w:rsidRPr="00F81955">
              <w:rPr>
                <w:noProof/>
                <w:sz w:val="20"/>
                <w:szCs w:val="20"/>
              </w:rPr>
              <w:t>i</w:t>
            </w:r>
            <w:r w:rsidRPr="00F81955">
              <w:rPr>
                <w:noProof/>
                <w:sz w:val="20"/>
                <w:szCs w:val="20"/>
              </w:rPr>
              <w:t xml:space="preserve">on by the AI Office will lead to a significant increase in the number of AI systems. These task cannot be carried out by the current staff levels, which are only sufficient for the current </w:t>
            </w:r>
            <w:r w:rsidR="00307E01" w:rsidRPr="00F81955">
              <w:rPr>
                <w:noProof/>
                <w:sz w:val="20"/>
                <w:szCs w:val="20"/>
              </w:rPr>
              <w:t>scope of</w:t>
            </w:r>
            <w:r w:rsidRPr="00F81955">
              <w:rPr>
                <w:noProof/>
                <w:sz w:val="20"/>
                <w:szCs w:val="20"/>
              </w:rPr>
              <w:t xml:space="preserve"> supervision.</w:t>
            </w:r>
          </w:p>
        </w:tc>
      </w:tr>
      <w:tr w:rsidR="004E5D25" w:rsidRPr="00F81955">
        <w:tc>
          <w:tcPr>
            <w:tcW w:w="3240" w:type="dxa"/>
          </w:tcPr>
          <w:p w:rsidR="005061E6" w:rsidRPr="00F81955" w:rsidRDefault="005061E6">
            <w:pPr>
              <w:spacing w:before="60" w:after="60"/>
              <w:rPr>
                <w:noProof/>
                <w:sz w:val="20"/>
              </w:rPr>
            </w:pPr>
            <w:r w:rsidRPr="00F81955">
              <w:rPr>
                <w:noProof/>
                <w:sz w:val="20"/>
              </w:rPr>
              <w:t>External staff</w:t>
            </w:r>
          </w:p>
        </w:tc>
        <w:tc>
          <w:tcPr>
            <w:tcW w:w="7200" w:type="dxa"/>
            <w:vMerge/>
          </w:tcPr>
          <w:p w:rsidR="005061E6" w:rsidRPr="00F81955" w:rsidRDefault="005061E6">
            <w:pPr>
              <w:rPr>
                <w:noProof/>
                <w:sz w:val="20"/>
              </w:rPr>
            </w:pPr>
          </w:p>
        </w:tc>
      </w:tr>
    </w:tbl>
    <w:p w:rsidR="005061E6" w:rsidRPr="00F81955" w:rsidRDefault="005061E6" w:rsidP="005061E6">
      <w:pPr>
        <w:pStyle w:val="ManualHeading3"/>
        <w:rPr>
          <w:noProof/>
        </w:rPr>
      </w:pPr>
      <w:bookmarkStart w:id="35" w:name="_Toc177549031"/>
      <w:r w:rsidRPr="00F81955">
        <w:rPr>
          <w:noProof/>
        </w:rPr>
        <w:t>3.2.5.</w:t>
      </w:r>
      <w:r w:rsidRPr="00F81955">
        <w:rPr>
          <w:noProof/>
        </w:rPr>
        <w:tab/>
        <w:t>Overview of estimated impact on digital technology-related investments</w:t>
      </w:r>
      <w:bookmarkEnd w:id="35"/>
    </w:p>
    <w:p w:rsidR="005061E6" w:rsidRPr="00F81955" w:rsidRDefault="005061E6" w:rsidP="005061E6">
      <w:pPr>
        <w:pStyle w:val="Text1"/>
        <w:spacing w:line="259" w:lineRule="auto"/>
        <w:rPr>
          <w:noProof/>
        </w:rPr>
      </w:pPr>
      <w:r w:rsidRPr="00F81955">
        <w:rPr>
          <w:noProof/>
        </w:rPr>
        <w:t xml:space="preserve">Compulsory: the best estimate of the digital technology-related investments entailed by the proposal/initiative should be included in the table below. </w:t>
      </w:r>
    </w:p>
    <w:p w:rsidR="005061E6" w:rsidRPr="00F81955" w:rsidRDefault="005061E6" w:rsidP="005061E6">
      <w:pPr>
        <w:pStyle w:val="Text1"/>
        <w:spacing w:line="259" w:lineRule="auto"/>
        <w:rPr>
          <w:noProof/>
        </w:rPr>
      </w:pPr>
      <w:r w:rsidRPr="00F81955">
        <w:rPr>
          <w:noProof/>
        </w:rPr>
        <w:t xml:space="preserve">Exceptionally, when required for the implementation of the proposal/initiative, the appropriations under Heading 7 should be presented in the designated line. </w:t>
      </w:r>
    </w:p>
    <w:p w:rsidR="005061E6" w:rsidRPr="00F81955" w:rsidRDefault="005061E6" w:rsidP="005061E6">
      <w:pPr>
        <w:pStyle w:val="Text1"/>
        <w:spacing w:line="259" w:lineRule="auto"/>
        <w:rPr>
          <w:noProof/>
        </w:rPr>
      </w:pPr>
      <w:r w:rsidRPr="00F81955">
        <w:rPr>
          <w:noProof/>
        </w:rPr>
        <w:t xml:space="preserve">The appropriations under Headings 1-6 should be reflected as </w:t>
      </w:r>
      <w:r w:rsidR="009F363A" w:rsidRPr="00F81955">
        <w:rPr>
          <w:noProof/>
        </w:rPr>
        <w:t>‘</w:t>
      </w:r>
      <w:r w:rsidRPr="00F81955">
        <w:rPr>
          <w:noProof/>
        </w:rPr>
        <w:t>Policy IT expenditure on operational programmes</w:t>
      </w:r>
      <w:r w:rsidR="009F363A" w:rsidRPr="00F81955">
        <w:rPr>
          <w:noProof/>
        </w:rPr>
        <w:t>’</w:t>
      </w:r>
      <w:r w:rsidRPr="00F81955">
        <w:rPr>
          <w:noProof/>
        </w:rPr>
        <w:t xml:space="preserve">. This expenditure refers to the operational budget to be used to re-use/ buy/ develop IT platforms/ tools directly linked to the implementation of the initiative and their associated investments (e.g. licences, studies, data storage etc). The information provided in this table should be consistent with details presented under Section 4 </w:t>
      </w:r>
      <w:r w:rsidR="009F363A" w:rsidRPr="00F81955">
        <w:rPr>
          <w:noProof/>
        </w:rPr>
        <w:t>‘</w:t>
      </w:r>
      <w:r w:rsidRPr="00F81955">
        <w:rPr>
          <w:noProof/>
        </w:rPr>
        <w:t>Digital dimensions</w:t>
      </w:r>
      <w:r w:rsidR="009F363A" w:rsidRPr="00F81955">
        <w:rPr>
          <w:noProof/>
        </w:rPr>
        <w:t>’</w:t>
      </w:r>
      <w:r w:rsidRPr="00F81955">
        <w:rPr>
          <w:noProof/>
        </w:rPr>
        <w:t>.</w:t>
      </w:r>
    </w:p>
    <w:tbl>
      <w:tblPr>
        <w:tblW w:w="0" w:type="auto"/>
        <w:tblLayout w:type="fixed"/>
        <w:tblLook w:val="04A0" w:firstRow="1" w:lastRow="0" w:firstColumn="1" w:lastColumn="0" w:noHBand="0" w:noVBand="1"/>
      </w:tblPr>
      <w:tblGrid>
        <w:gridCol w:w="3214"/>
        <w:gridCol w:w="835"/>
        <w:gridCol w:w="835"/>
        <w:gridCol w:w="835"/>
        <w:gridCol w:w="835"/>
        <w:gridCol w:w="981"/>
      </w:tblGrid>
      <w:tr w:rsidR="005061E6" w:rsidRPr="00F81955">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5061E6" w:rsidRPr="00F81955" w:rsidRDefault="005061E6">
            <w:pPr>
              <w:spacing w:before="0" w:after="0"/>
              <w:jc w:val="center"/>
              <w:rPr>
                <w:b/>
                <w:bCs/>
                <w:noProof/>
                <w:color w:val="000000" w:themeColor="text1"/>
                <w:sz w:val="18"/>
                <w:szCs w:val="18"/>
              </w:rPr>
            </w:pPr>
            <w:r w:rsidRPr="00F81955">
              <w:rPr>
                <w:b/>
                <w:bCs/>
                <w:noProof/>
                <w:color w:val="000000" w:themeColor="text1"/>
                <w:sz w:val="18"/>
                <w:szCs w:val="18"/>
              </w:rPr>
              <w:t>TOTAL Digital and IT appropriations</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5061E6" w:rsidRPr="00F81955" w:rsidRDefault="005061E6">
            <w:pPr>
              <w:spacing w:before="0" w:after="0"/>
              <w:jc w:val="center"/>
              <w:rPr>
                <w:noProof/>
                <w:color w:val="000000" w:themeColor="text1"/>
                <w:sz w:val="18"/>
                <w:szCs w:val="18"/>
              </w:rPr>
            </w:pPr>
            <w:r w:rsidRPr="00F81955">
              <w:rPr>
                <w:noProof/>
                <w:color w:val="000000" w:themeColor="text1"/>
                <w:sz w:val="18"/>
                <w:szCs w:val="18"/>
              </w:rPr>
              <w:t>Year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5061E6" w:rsidRPr="00F81955" w:rsidRDefault="005061E6">
            <w:pPr>
              <w:spacing w:before="0" w:after="0"/>
              <w:jc w:val="center"/>
              <w:rPr>
                <w:noProof/>
                <w:color w:val="000000" w:themeColor="text1"/>
                <w:sz w:val="18"/>
                <w:szCs w:val="18"/>
              </w:rPr>
            </w:pPr>
            <w:r w:rsidRPr="00F81955">
              <w:rPr>
                <w:noProof/>
                <w:color w:val="000000" w:themeColor="text1"/>
                <w:sz w:val="18"/>
                <w:szCs w:val="18"/>
              </w:rPr>
              <w:t>Year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5061E6" w:rsidRPr="00F81955" w:rsidRDefault="005061E6">
            <w:pPr>
              <w:spacing w:before="0" w:after="0"/>
              <w:jc w:val="center"/>
              <w:rPr>
                <w:noProof/>
                <w:color w:val="000000" w:themeColor="text1"/>
                <w:sz w:val="18"/>
                <w:szCs w:val="18"/>
              </w:rPr>
            </w:pPr>
            <w:r w:rsidRPr="00F81955">
              <w:rPr>
                <w:noProof/>
                <w:color w:val="000000" w:themeColor="text1"/>
                <w:sz w:val="18"/>
                <w:szCs w:val="18"/>
              </w:rPr>
              <w:t>Year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5061E6" w:rsidRPr="00F81955" w:rsidRDefault="005061E6">
            <w:pPr>
              <w:spacing w:before="0" w:after="0"/>
              <w:jc w:val="center"/>
              <w:rPr>
                <w:noProof/>
                <w:color w:val="000000" w:themeColor="text1"/>
                <w:sz w:val="18"/>
                <w:szCs w:val="18"/>
              </w:rPr>
            </w:pPr>
            <w:r w:rsidRPr="00F81955">
              <w:rPr>
                <w:noProof/>
                <w:color w:val="000000" w:themeColor="text1"/>
                <w:sz w:val="18"/>
                <w:szCs w:val="18"/>
              </w:rPr>
              <w:t>Year</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5061E6" w:rsidRPr="00F81955" w:rsidRDefault="005061E6">
            <w:pPr>
              <w:spacing w:before="0" w:after="0"/>
              <w:jc w:val="center"/>
              <w:rPr>
                <w:b/>
                <w:bCs/>
                <w:noProof/>
                <w:color w:val="000000" w:themeColor="text1"/>
                <w:sz w:val="18"/>
                <w:szCs w:val="18"/>
              </w:rPr>
            </w:pPr>
            <w:r w:rsidRPr="00F81955">
              <w:rPr>
                <w:b/>
                <w:bCs/>
                <w:noProof/>
                <w:color w:val="000000" w:themeColor="text1"/>
                <w:sz w:val="18"/>
                <w:szCs w:val="18"/>
              </w:rPr>
              <w:t>TOTAL MFF 2021 - 2027</w:t>
            </w:r>
          </w:p>
        </w:tc>
      </w:tr>
      <w:tr w:rsidR="005061E6" w:rsidRPr="00F81955">
        <w:trPr>
          <w:trHeight w:val="525"/>
        </w:trPr>
        <w:tc>
          <w:tcPr>
            <w:tcW w:w="3214" w:type="dxa"/>
            <w:vMerge/>
            <w:tcBorders>
              <w:top w:val="single" w:sz="8" w:space="0" w:color="auto"/>
              <w:left w:val="single" w:sz="4" w:space="0" w:color="auto"/>
              <w:right w:val="single" w:sz="4" w:space="0" w:color="auto"/>
            </w:tcBorders>
            <w:vAlign w:val="center"/>
          </w:tcPr>
          <w:p w:rsidR="005061E6" w:rsidRPr="00F81955" w:rsidRDefault="005061E6">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5061E6" w:rsidRPr="00F81955" w:rsidRDefault="005061E6">
            <w:pPr>
              <w:spacing w:before="0" w:after="0"/>
              <w:jc w:val="center"/>
              <w:rPr>
                <w:b/>
                <w:bCs/>
                <w:noProof/>
                <w:color w:val="000000" w:themeColor="text1"/>
                <w:sz w:val="18"/>
                <w:szCs w:val="18"/>
              </w:rPr>
            </w:pPr>
            <w:r w:rsidRPr="00F81955">
              <w:rPr>
                <w:b/>
                <w:bCs/>
                <w:noProof/>
                <w:color w:val="000000" w:themeColor="text1"/>
                <w:sz w:val="18"/>
                <w:szCs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5061E6" w:rsidRPr="00F81955" w:rsidRDefault="005061E6">
            <w:pPr>
              <w:spacing w:before="0" w:after="0"/>
              <w:jc w:val="center"/>
              <w:rPr>
                <w:b/>
                <w:bCs/>
                <w:noProof/>
                <w:color w:val="000000" w:themeColor="text1"/>
                <w:sz w:val="18"/>
                <w:szCs w:val="18"/>
              </w:rPr>
            </w:pPr>
            <w:r w:rsidRPr="00F81955">
              <w:rPr>
                <w:b/>
                <w:bCs/>
                <w:noProof/>
                <w:color w:val="000000" w:themeColor="text1"/>
                <w:sz w:val="18"/>
                <w:szCs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5061E6" w:rsidRPr="00F81955" w:rsidRDefault="005061E6">
            <w:pPr>
              <w:spacing w:before="0" w:after="0"/>
              <w:jc w:val="center"/>
              <w:rPr>
                <w:b/>
                <w:bCs/>
                <w:noProof/>
                <w:color w:val="000000" w:themeColor="text1"/>
                <w:sz w:val="18"/>
                <w:szCs w:val="18"/>
              </w:rPr>
            </w:pPr>
            <w:r w:rsidRPr="00F81955">
              <w:rPr>
                <w:b/>
                <w:bCs/>
                <w:noProof/>
                <w:color w:val="000000" w:themeColor="text1"/>
                <w:sz w:val="18"/>
                <w:szCs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5061E6" w:rsidRPr="00F81955" w:rsidRDefault="005061E6">
            <w:pPr>
              <w:spacing w:before="0" w:after="0"/>
              <w:jc w:val="center"/>
              <w:rPr>
                <w:b/>
                <w:bCs/>
                <w:noProof/>
                <w:color w:val="000000" w:themeColor="text1"/>
                <w:sz w:val="18"/>
                <w:szCs w:val="18"/>
              </w:rPr>
            </w:pPr>
            <w:r w:rsidRPr="00F81955">
              <w:rPr>
                <w:b/>
                <w:bCs/>
                <w:noProof/>
                <w:color w:val="000000" w:themeColor="text1"/>
                <w:sz w:val="18"/>
                <w:szCs w:val="18"/>
              </w:rPr>
              <w:t>2027</w:t>
            </w:r>
          </w:p>
        </w:tc>
        <w:tc>
          <w:tcPr>
            <w:tcW w:w="981" w:type="dxa"/>
            <w:vMerge/>
            <w:tcBorders>
              <w:bottom w:val="single" w:sz="4" w:space="0" w:color="auto"/>
              <w:right w:val="single" w:sz="4" w:space="0" w:color="auto"/>
            </w:tcBorders>
            <w:vAlign w:val="center"/>
          </w:tcPr>
          <w:p w:rsidR="005061E6" w:rsidRPr="00F81955" w:rsidRDefault="005061E6">
            <w:pPr>
              <w:rPr>
                <w:noProof/>
              </w:rPr>
            </w:pPr>
          </w:p>
        </w:tc>
      </w:tr>
      <w:tr w:rsidR="005061E6" w:rsidRPr="00F81955">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5061E6" w:rsidRPr="00F81955" w:rsidRDefault="005061E6">
            <w:pPr>
              <w:spacing w:before="0" w:after="0"/>
              <w:jc w:val="left"/>
              <w:rPr>
                <w:b/>
                <w:bCs/>
                <w:noProof/>
                <w:sz w:val="16"/>
                <w:szCs w:val="16"/>
              </w:rPr>
            </w:pPr>
            <w:r w:rsidRPr="00F81955">
              <w:rPr>
                <w:b/>
                <w:bCs/>
                <w:noProof/>
                <w:sz w:val="16"/>
                <w:szCs w:val="16"/>
              </w:rPr>
              <w:t>HEADING 7</w:t>
            </w:r>
          </w:p>
        </w:tc>
      </w:tr>
      <w:tr w:rsidR="005061E6" w:rsidRPr="00F81955">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061E6" w:rsidRPr="00F81955" w:rsidRDefault="005061E6">
            <w:pPr>
              <w:spacing w:before="0" w:after="0"/>
              <w:jc w:val="left"/>
              <w:rPr>
                <w:noProof/>
                <w:color w:val="000000" w:themeColor="text1"/>
                <w:sz w:val="16"/>
                <w:szCs w:val="16"/>
              </w:rPr>
            </w:pPr>
            <w:r w:rsidRPr="00F81955">
              <w:rPr>
                <w:rFonts w:ascii="Arial Narrow" w:eastAsia="Arial Narrow" w:hAnsi="Arial Narrow" w:cs="Arial Narrow"/>
                <w:noProof/>
                <w:color w:val="000000" w:themeColor="text1"/>
                <w:sz w:val="20"/>
                <w:szCs w:val="20"/>
              </w:rPr>
              <w:t>IT expenditure (corporate)</w:t>
            </w:r>
            <w:r w:rsidRPr="00F81955">
              <w:rPr>
                <w:noProof/>
                <w:color w:val="000000" w:themeColor="text1"/>
                <w:sz w:val="16"/>
                <w:szCs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noProof/>
                <w:color w:val="000000" w:themeColor="text1"/>
                <w:sz w:val="16"/>
                <w:szCs w:val="16"/>
              </w:rPr>
            </w:pPr>
            <w:r w:rsidRPr="00F81955">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noProof/>
                <w:color w:val="000000" w:themeColor="text1"/>
                <w:sz w:val="16"/>
                <w:szCs w:val="16"/>
              </w:rPr>
            </w:pPr>
            <w:r w:rsidRPr="00F81955">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noProof/>
                <w:color w:val="000000" w:themeColor="text1"/>
                <w:sz w:val="16"/>
                <w:szCs w:val="16"/>
              </w:rPr>
            </w:pPr>
            <w:r w:rsidRPr="00F81955">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noProof/>
                <w:color w:val="000000" w:themeColor="text1"/>
                <w:sz w:val="16"/>
                <w:szCs w:val="16"/>
              </w:rPr>
            </w:pPr>
            <w:r w:rsidRPr="00F81955">
              <w:rPr>
                <w:noProof/>
                <w:color w:val="000000" w:themeColor="text1"/>
                <w:sz w:val="16"/>
                <w:szCs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b/>
                <w:bCs/>
                <w:noProof/>
                <w:color w:val="000000" w:themeColor="text1"/>
                <w:sz w:val="16"/>
                <w:szCs w:val="16"/>
              </w:rPr>
            </w:pPr>
            <w:r w:rsidRPr="00F81955">
              <w:rPr>
                <w:b/>
                <w:bCs/>
                <w:noProof/>
                <w:color w:val="000000" w:themeColor="text1"/>
                <w:sz w:val="16"/>
                <w:szCs w:val="16"/>
              </w:rPr>
              <w:t>0.000</w:t>
            </w:r>
          </w:p>
        </w:tc>
      </w:tr>
      <w:tr w:rsidR="005061E6" w:rsidRPr="00F81955">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5061E6" w:rsidRPr="00F81955" w:rsidRDefault="005061E6">
            <w:pPr>
              <w:spacing w:before="0" w:after="0"/>
              <w:jc w:val="center"/>
              <w:rPr>
                <w:b/>
                <w:bCs/>
                <w:noProof/>
                <w:color w:val="000000" w:themeColor="text1"/>
                <w:sz w:val="16"/>
                <w:szCs w:val="16"/>
              </w:rPr>
            </w:pPr>
            <w:r w:rsidRPr="00F81955">
              <w:rPr>
                <w:b/>
                <w:bCs/>
                <w:noProof/>
                <w:color w:val="000000" w:themeColor="text1"/>
                <w:sz w:val="16"/>
                <w:szCs w:val="16"/>
              </w:rPr>
              <w:t>Subtotal HEADING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b/>
                <w:bCs/>
                <w:noProof/>
                <w:color w:val="000000" w:themeColor="text1"/>
                <w:sz w:val="16"/>
                <w:szCs w:val="16"/>
              </w:rPr>
            </w:pPr>
            <w:r w:rsidRPr="00F81955">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b/>
                <w:bCs/>
                <w:noProof/>
                <w:color w:val="000000" w:themeColor="text1"/>
                <w:sz w:val="16"/>
                <w:szCs w:val="16"/>
              </w:rPr>
            </w:pPr>
            <w:r w:rsidRPr="00F81955">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b/>
                <w:bCs/>
                <w:noProof/>
                <w:color w:val="000000" w:themeColor="text1"/>
                <w:sz w:val="16"/>
                <w:szCs w:val="16"/>
              </w:rPr>
            </w:pPr>
            <w:r w:rsidRPr="00F81955">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b/>
                <w:bCs/>
                <w:noProof/>
                <w:color w:val="000000" w:themeColor="text1"/>
                <w:sz w:val="16"/>
                <w:szCs w:val="16"/>
              </w:rPr>
            </w:pPr>
            <w:r w:rsidRPr="00F81955">
              <w:rPr>
                <w:b/>
                <w:bCs/>
                <w:noProof/>
                <w:color w:val="000000" w:themeColor="text1"/>
                <w:sz w:val="16"/>
                <w:szCs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b/>
                <w:bCs/>
                <w:noProof/>
                <w:color w:val="000000" w:themeColor="text1"/>
                <w:sz w:val="16"/>
                <w:szCs w:val="16"/>
              </w:rPr>
            </w:pPr>
            <w:r w:rsidRPr="00F81955">
              <w:rPr>
                <w:b/>
                <w:bCs/>
                <w:noProof/>
                <w:color w:val="000000" w:themeColor="text1"/>
                <w:sz w:val="16"/>
                <w:szCs w:val="16"/>
              </w:rPr>
              <w:t>0.000</w:t>
            </w:r>
          </w:p>
        </w:tc>
      </w:tr>
      <w:tr w:rsidR="005061E6" w:rsidRPr="00F81955">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061E6" w:rsidRPr="00F81955" w:rsidRDefault="005061E6">
            <w:pPr>
              <w:spacing w:before="0" w:after="0"/>
              <w:jc w:val="left"/>
              <w:rPr>
                <w:b/>
                <w:bCs/>
                <w:noProof/>
                <w:sz w:val="16"/>
                <w:szCs w:val="16"/>
              </w:rPr>
            </w:pPr>
            <w:r w:rsidRPr="00F81955">
              <w:rPr>
                <w:b/>
                <w:bCs/>
                <w:noProof/>
                <w:sz w:val="16"/>
                <w:szCs w:val="16"/>
              </w:rPr>
              <w:t>Outside HEADING 7</w:t>
            </w:r>
          </w:p>
        </w:tc>
      </w:tr>
      <w:tr w:rsidR="005061E6" w:rsidRPr="00F81955">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061E6" w:rsidRPr="00F81955" w:rsidRDefault="005061E6">
            <w:pPr>
              <w:spacing w:before="0" w:after="0"/>
              <w:jc w:val="left"/>
              <w:rPr>
                <w:rFonts w:ascii="Arial Narrow" w:eastAsia="Arial Narrow" w:hAnsi="Arial Narrow" w:cs="Arial Narrow"/>
                <w:noProof/>
                <w:color w:val="000000" w:themeColor="text1"/>
                <w:sz w:val="20"/>
                <w:szCs w:val="20"/>
              </w:rPr>
            </w:pPr>
            <w:r w:rsidRPr="00F81955">
              <w:rPr>
                <w:rFonts w:ascii="Arial Narrow" w:eastAsia="Arial Narrow" w:hAnsi="Arial Narrow" w:cs="Arial Narrow"/>
                <w:noProof/>
                <w:color w:val="000000" w:themeColor="text1"/>
                <w:sz w:val="20"/>
                <w:szCs w:val="20"/>
              </w:rPr>
              <w:t>Policy IT expenditure on operational programmes</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noProof/>
                <w:color w:val="000000" w:themeColor="text1"/>
                <w:sz w:val="16"/>
                <w:szCs w:val="16"/>
              </w:rPr>
            </w:pPr>
            <w:r w:rsidRPr="00F81955">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noProof/>
                <w:color w:val="000000" w:themeColor="text1"/>
                <w:sz w:val="16"/>
                <w:szCs w:val="16"/>
              </w:rPr>
            </w:pPr>
            <w:r w:rsidRPr="00F81955">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noProof/>
                <w:color w:val="000000" w:themeColor="text1"/>
                <w:sz w:val="16"/>
                <w:szCs w:val="16"/>
              </w:rPr>
            </w:pPr>
            <w:r w:rsidRPr="00F81955">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noProof/>
                <w:color w:val="000000" w:themeColor="text1"/>
                <w:sz w:val="16"/>
                <w:szCs w:val="16"/>
              </w:rPr>
            </w:pPr>
            <w:r w:rsidRPr="00F81955">
              <w:rPr>
                <w:noProof/>
                <w:color w:val="000000" w:themeColor="text1"/>
                <w:sz w:val="16"/>
                <w:szCs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b/>
                <w:bCs/>
                <w:noProof/>
                <w:color w:val="000000" w:themeColor="text1"/>
                <w:sz w:val="16"/>
                <w:szCs w:val="16"/>
              </w:rPr>
            </w:pPr>
            <w:r w:rsidRPr="00F81955">
              <w:rPr>
                <w:b/>
                <w:bCs/>
                <w:noProof/>
                <w:color w:val="000000" w:themeColor="text1"/>
                <w:sz w:val="16"/>
                <w:szCs w:val="16"/>
              </w:rPr>
              <w:t>0.000</w:t>
            </w:r>
          </w:p>
        </w:tc>
      </w:tr>
      <w:tr w:rsidR="005061E6" w:rsidRPr="00F81955">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5061E6" w:rsidRPr="00F81955" w:rsidRDefault="005061E6">
            <w:pPr>
              <w:spacing w:before="0" w:after="0"/>
              <w:jc w:val="center"/>
              <w:rPr>
                <w:b/>
                <w:bCs/>
                <w:noProof/>
                <w:color w:val="000000" w:themeColor="text1"/>
                <w:sz w:val="16"/>
                <w:szCs w:val="16"/>
              </w:rPr>
            </w:pPr>
            <w:r w:rsidRPr="00F81955">
              <w:rPr>
                <w:b/>
                <w:bCs/>
                <w:noProof/>
                <w:color w:val="000000" w:themeColor="text1"/>
                <w:sz w:val="16"/>
                <w:szCs w:val="16"/>
              </w:rPr>
              <w:t>Subtotal outside HEADING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b/>
                <w:bCs/>
                <w:noProof/>
                <w:color w:val="000000" w:themeColor="text1"/>
                <w:sz w:val="16"/>
                <w:szCs w:val="16"/>
              </w:rPr>
            </w:pPr>
            <w:r w:rsidRPr="00F81955">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b/>
                <w:bCs/>
                <w:noProof/>
                <w:color w:val="000000" w:themeColor="text1"/>
                <w:sz w:val="16"/>
                <w:szCs w:val="16"/>
              </w:rPr>
            </w:pPr>
            <w:r w:rsidRPr="00F81955">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b/>
                <w:bCs/>
                <w:noProof/>
                <w:color w:val="000000" w:themeColor="text1"/>
                <w:sz w:val="16"/>
                <w:szCs w:val="16"/>
              </w:rPr>
            </w:pPr>
            <w:r w:rsidRPr="00F81955">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b/>
                <w:bCs/>
                <w:noProof/>
                <w:color w:val="000000" w:themeColor="text1"/>
                <w:sz w:val="16"/>
                <w:szCs w:val="16"/>
              </w:rPr>
            </w:pPr>
            <w:r w:rsidRPr="00F81955">
              <w:rPr>
                <w:b/>
                <w:bCs/>
                <w:noProof/>
                <w:color w:val="000000" w:themeColor="text1"/>
                <w:sz w:val="16"/>
                <w:szCs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b/>
                <w:bCs/>
                <w:noProof/>
                <w:color w:val="000000" w:themeColor="text1"/>
                <w:sz w:val="16"/>
                <w:szCs w:val="16"/>
              </w:rPr>
            </w:pPr>
            <w:r w:rsidRPr="00F81955">
              <w:rPr>
                <w:b/>
                <w:bCs/>
                <w:noProof/>
                <w:color w:val="000000" w:themeColor="text1"/>
                <w:sz w:val="16"/>
                <w:szCs w:val="16"/>
              </w:rPr>
              <w:t>0.000</w:t>
            </w:r>
          </w:p>
        </w:tc>
      </w:tr>
      <w:tr w:rsidR="005061E6" w:rsidRPr="00F81955">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061E6" w:rsidRPr="00F81955" w:rsidRDefault="005061E6">
            <w:pPr>
              <w:spacing w:before="0" w:after="0"/>
              <w:jc w:val="center"/>
              <w:rPr>
                <w:noProof/>
                <w:color w:val="000000" w:themeColor="text1"/>
                <w:sz w:val="16"/>
                <w:szCs w:val="16"/>
              </w:rPr>
            </w:pPr>
            <w:r w:rsidRPr="00F81955">
              <w:rPr>
                <w:noProof/>
                <w:color w:val="000000" w:themeColor="text1"/>
                <w:sz w:val="16"/>
                <w:szCs w:val="16"/>
              </w:rPr>
              <w:t xml:space="preserve"> </w:t>
            </w:r>
          </w:p>
        </w:tc>
      </w:tr>
      <w:tr w:rsidR="005061E6" w:rsidRPr="00F81955">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5061E6" w:rsidRPr="00F81955" w:rsidRDefault="005061E6">
            <w:pPr>
              <w:spacing w:before="0" w:after="0"/>
              <w:jc w:val="center"/>
              <w:rPr>
                <w:b/>
                <w:bCs/>
                <w:noProof/>
                <w:color w:val="000000" w:themeColor="text1"/>
                <w:sz w:val="16"/>
                <w:szCs w:val="16"/>
              </w:rPr>
            </w:pPr>
            <w:r w:rsidRPr="00F81955">
              <w:rPr>
                <w:b/>
                <w:bCs/>
                <w:noProof/>
                <w:color w:val="000000" w:themeColor="text1"/>
                <w:sz w:val="16"/>
                <w:szCs w:val="16"/>
              </w:rPr>
              <w:t>TOTAL</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b/>
                <w:bCs/>
                <w:noProof/>
                <w:color w:val="000000" w:themeColor="text1"/>
                <w:sz w:val="16"/>
                <w:szCs w:val="16"/>
              </w:rPr>
            </w:pPr>
            <w:r w:rsidRPr="00F81955">
              <w:rPr>
                <w:b/>
                <w:bCs/>
                <w:noProof/>
                <w:color w:val="000000" w:themeColor="text1"/>
                <w:sz w:val="16"/>
                <w:szCs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b/>
                <w:bCs/>
                <w:noProof/>
                <w:color w:val="000000" w:themeColor="text1"/>
                <w:sz w:val="16"/>
                <w:szCs w:val="16"/>
              </w:rPr>
            </w:pPr>
            <w:r w:rsidRPr="00F81955">
              <w:rPr>
                <w:b/>
                <w:bCs/>
                <w:noProof/>
                <w:color w:val="000000" w:themeColor="text1"/>
                <w:sz w:val="16"/>
                <w:szCs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b/>
                <w:bCs/>
                <w:noProof/>
                <w:color w:val="000000" w:themeColor="text1"/>
                <w:sz w:val="16"/>
                <w:szCs w:val="16"/>
              </w:rPr>
            </w:pPr>
            <w:r w:rsidRPr="00F81955">
              <w:rPr>
                <w:b/>
                <w:bCs/>
                <w:noProof/>
                <w:color w:val="000000" w:themeColor="text1"/>
                <w:sz w:val="16"/>
                <w:szCs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b/>
                <w:bCs/>
                <w:noProof/>
                <w:color w:val="000000" w:themeColor="text1"/>
                <w:sz w:val="16"/>
                <w:szCs w:val="16"/>
              </w:rPr>
            </w:pPr>
            <w:r w:rsidRPr="00F81955">
              <w:rPr>
                <w:b/>
                <w:bCs/>
                <w:noProof/>
                <w:color w:val="000000" w:themeColor="text1"/>
                <w:sz w:val="16"/>
                <w:szCs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5061E6" w:rsidRPr="00F81955" w:rsidRDefault="005061E6">
            <w:pPr>
              <w:spacing w:before="0" w:after="0"/>
              <w:jc w:val="right"/>
              <w:rPr>
                <w:b/>
                <w:bCs/>
                <w:noProof/>
                <w:color w:val="000000" w:themeColor="text1"/>
                <w:sz w:val="16"/>
                <w:szCs w:val="16"/>
              </w:rPr>
            </w:pPr>
            <w:r w:rsidRPr="00F81955">
              <w:rPr>
                <w:b/>
                <w:bCs/>
                <w:noProof/>
                <w:color w:val="000000" w:themeColor="text1"/>
                <w:sz w:val="16"/>
                <w:szCs w:val="16"/>
              </w:rPr>
              <w:t>0.000</w:t>
            </w:r>
          </w:p>
        </w:tc>
      </w:tr>
    </w:tbl>
    <w:p w:rsidR="005061E6" w:rsidRPr="00F81955" w:rsidRDefault="005061E6" w:rsidP="005061E6">
      <w:pPr>
        <w:pStyle w:val="ManualHeading3"/>
        <w:rPr>
          <w:noProof/>
        </w:rPr>
      </w:pPr>
      <w:bookmarkStart w:id="36" w:name="_Toc514938056"/>
      <w:bookmarkStart w:id="37" w:name="_Toc520485055"/>
      <w:bookmarkStart w:id="38" w:name="_Toc160804599"/>
      <w:bookmarkStart w:id="39" w:name="_Toc167220298"/>
      <w:bookmarkStart w:id="40" w:name="_Toc177549032"/>
      <w:bookmarkEnd w:id="34"/>
      <w:r w:rsidRPr="00F81955">
        <w:rPr>
          <w:noProof/>
        </w:rPr>
        <w:t>3.2.6.</w:t>
      </w:r>
      <w:r w:rsidRPr="00F81955">
        <w:rPr>
          <w:noProof/>
        </w:rPr>
        <w:tab/>
        <w:t>Compatibility with the current multiannual financial framework</w:t>
      </w:r>
      <w:bookmarkEnd w:id="36"/>
      <w:bookmarkEnd w:id="37"/>
      <w:bookmarkEnd w:id="38"/>
      <w:bookmarkEnd w:id="39"/>
      <w:bookmarkEnd w:id="40"/>
      <w:r w:rsidRPr="00F81955">
        <w:rPr>
          <w:noProof/>
        </w:rPr>
        <w:t xml:space="preserve"> </w:t>
      </w:r>
    </w:p>
    <w:p w:rsidR="005061E6" w:rsidRPr="00F81955" w:rsidRDefault="005061E6" w:rsidP="005061E6">
      <w:pPr>
        <w:pStyle w:val="Text1"/>
        <w:rPr>
          <w:noProof/>
        </w:rPr>
      </w:pPr>
      <w:r w:rsidRPr="00F81955">
        <w:rPr>
          <w:noProof/>
        </w:rPr>
        <w:t>The proposal/initiative:</w:t>
      </w:r>
    </w:p>
    <w:p w:rsidR="005061E6" w:rsidRPr="00F81955" w:rsidRDefault="005061E6" w:rsidP="005061E6">
      <w:pPr>
        <w:pStyle w:val="ListDash1"/>
        <w:rPr>
          <w:noProof/>
        </w:rPr>
      </w:pPr>
      <w:r w:rsidRPr="00F81955">
        <w:rPr>
          <w:rFonts w:ascii="Wingdings" w:eastAsia="Wingdings" w:hAnsi="Wingdings" w:cs="Wingdings"/>
          <w:noProof/>
        </w:rPr>
        <w:t></w:t>
      </w:r>
      <w:r w:rsidRPr="00F81955">
        <w:rPr>
          <w:noProof/>
        </w:rPr>
        <w:tab/>
        <w:t>can be fully financed through redeployment within the relevant heading of the multiannual financial framework (MFF)</w:t>
      </w:r>
    </w:p>
    <w:p w:rsidR="005061E6" w:rsidRPr="00F81955" w:rsidRDefault="005061E6" w:rsidP="005061E6">
      <w:pPr>
        <w:spacing w:before="0" w:after="0"/>
        <w:rPr>
          <w:rFonts w:eastAsia="Times New Roman"/>
          <w:noProof/>
          <w:sz w:val="20"/>
          <w:szCs w:val="20"/>
        </w:rPr>
      </w:pPr>
      <w:r w:rsidRPr="00F81955">
        <w:rPr>
          <w:rFonts w:eastAsia="Times New Roman"/>
          <w:noProof/>
          <w:sz w:val="20"/>
          <w:szCs w:val="20"/>
        </w:rPr>
        <w:t>The amounts will be redeployed from 02.013001 support expenditure for the Digital Europe Programme for 2026 and from 02.0403 (SO2 artificial intelligence) for 2027.</w:t>
      </w:r>
    </w:p>
    <w:p w:rsidR="005061E6" w:rsidRPr="00F81955" w:rsidRDefault="005061E6" w:rsidP="005061E6">
      <w:pPr>
        <w:pStyle w:val="ListDash1"/>
        <w:rPr>
          <w:noProof/>
        </w:rPr>
      </w:pPr>
      <w:r w:rsidRPr="00F81955">
        <w:rPr>
          <w:rFonts w:ascii="Wingdings" w:eastAsia="Wingdings" w:hAnsi="Wingdings" w:cs="Wingdings"/>
          <w:noProof/>
        </w:rPr>
        <w:t></w:t>
      </w:r>
      <w:r w:rsidRPr="00F81955">
        <w:rPr>
          <w:noProof/>
        </w:rPr>
        <w:tab/>
        <w:t>requires use of the unallocated margin under the relevant heading of the MFF and/or use of the special instruments as defined in the MFF Regulation</w:t>
      </w:r>
    </w:p>
    <w:p w:rsidR="005061E6" w:rsidRPr="00F81955" w:rsidRDefault="005061E6" w:rsidP="005061E6">
      <w:pPr>
        <w:pStyle w:val="ListDash1"/>
        <w:rPr>
          <w:noProof/>
        </w:rPr>
      </w:pPr>
      <w:r w:rsidRPr="00F81955">
        <w:rPr>
          <w:rFonts w:ascii="Wingdings" w:eastAsia="Wingdings" w:hAnsi="Wingdings" w:cs="Wingdings"/>
          <w:noProof/>
        </w:rPr>
        <w:t></w:t>
      </w:r>
      <w:r w:rsidRPr="00F81955">
        <w:rPr>
          <w:noProof/>
        </w:rPr>
        <w:tab/>
        <w:t>requires a revision of the MFF</w:t>
      </w:r>
    </w:p>
    <w:p w:rsidR="005061E6" w:rsidRPr="00F81955" w:rsidRDefault="005061E6" w:rsidP="005061E6">
      <w:pPr>
        <w:pStyle w:val="ManualHeading3"/>
        <w:rPr>
          <w:noProof/>
        </w:rPr>
      </w:pPr>
      <w:bookmarkStart w:id="41" w:name="_Toc514938058"/>
      <w:bookmarkStart w:id="42" w:name="_Toc520485056"/>
      <w:bookmarkStart w:id="43" w:name="_Toc160804600"/>
      <w:bookmarkStart w:id="44" w:name="_Toc167220299"/>
      <w:bookmarkStart w:id="45" w:name="_Toc177549033"/>
      <w:r w:rsidRPr="00F81955">
        <w:rPr>
          <w:noProof/>
        </w:rPr>
        <w:t>3.2.7.</w:t>
      </w:r>
      <w:r w:rsidRPr="00F81955">
        <w:rPr>
          <w:noProof/>
        </w:rPr>
        <w:tab/>
        <w:t>Third-party contributions</w:t>
      </w:r>
      <w:bookmarkEnd w:id="41"/>
      <w:bookmarkEnd w:id="42"/>
      <w:bookmarkEnd w:id="43"/>
      <w:bookmarkEnd w:id="44"/>
      <w:bookmarkEnd w:id="45"/>
      <w:r w:rsidRPr="00F81955">
        <w:rPr>
          <w:noProof/>
        </w:rPr>
        <w:t xml:space="preserve"> </w:t>
      </w:r>
    </w:p>
    <w:p w:rsidR="005061E6" w:rsidRPr="00F81955" w:rsidRDefault="005061E6" w:rsidP="005061E6">
      <w:pPr>
        <w:pStyle w:val="Text1"/>
        <w:rPr>
          <w:noProof/>
        </w:rPr>
      </w:pPr>
      <w:r w:rsidRPr="00F81955">
        <w:rPr>
          <w:noProof/>
        </w:rPr>
        <w:t>The proposal/initiative:</w:t>
      </w:r>
    </w:p>
    <w:p w:rsidR="005061E6" w:rsidRPr="00F81955" w:rsidRDefault="005061E6" w:rsidP="005061E6">
      <w:pPr>
        <w:pStyle w:val="ListDash1"/>
        <w:rPr>
          <w:noProof/>
        </w:rPr>
      </w:pPr>
      <w:r w:rsidRPr="00F81955">
        <w:rPr>
          <w:rFonts w:ascii="Wingdings" w:eastAsia="Wingdings" w:hAnsi="Wingdings" w:cs="Wingdings"/>
          <w:noProof/>
        </w:rPr>
        <w:t></w:t>
      </w:r>
      <w:r w:rsidRPr="00F81955">
        <w:rPr>
          <w:noProof/>
        </w:rPr>
        <w:tab/>
        <w:t>does not provide for co-financing by third parties</w:t>
      </w:r>
    </w:p>
    <w:p w:rsidR="005061E6" w:rsidRPr="00F81955" w:rsidRDefault="005061E6" w:rsidP="005061E6">
      <w:pPr>
        <w:pStyle w:val="ListDash1"/>
        <w:rPr>
          <w:noProof/>
        </w:rPr>
      </w:pPr>
      <w:r w:rsidRPr="00F81955">
        <w:rPr>
          <w:rFonts w:ascii="Wingdings" w:eastAsia="Wingdings" w:hAnsi="Wingdings" w:cs="Wingdings"/>
          <w:noProof/>
        </w:rPr>
        <w:t></w:t>
      </w:r>
      <w:r w:rsidRPr="00F81955">
        <w:rPr>
          <w:noProof/>
        </w:rPr>
        <w:tab/>
        <w:t>provides for the co-financing by third parties estimated below:</w:t>
      </w:r>
    </w:p>
    <w:p w:rsidR="005061E6" w:rsidRPr="00F81955" w:rsidRDefault="005061E6" w:rsidP="005061E6">
      <w:pPr>
        <w:jc w:val="right"/>
        <w:rPr>
          <w:noProof/>
          <w:sz w:val="20"/>
        </w:rPr>
      </w:pPr>
      <w:r w:rsidRPr="00F81955">
        <w:rPr>
          <w:noProof/>
          <w:sz w:val="20"/>
        </w:rPr>
        <w:t>Appropriations in EUR million (to three decimal places)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709"/>
        <w:gridCol w:w="1938"/>
        <w:gridCol w:w="1938"/>
        <w:gridCol w:w="1938"/>
        <w:gridCol w:w="1937"/>
        <w:gridCol w:w="2327"/>
      </w:tblGrid>
      <w:tr w:rsidR="005061E6" w:rsidRPr="00F81955">
        <w:trPr>
          <w:cantSplit/>
        </w:trPr>
        <w:tc>
          <w:tcPr>
            <w:tcW w:w="1591" w:type="pct"/>
          </w:tcPr>
          <w:p w:rsidR="005061E6" w:rsidRPr="00F81955" w:rsidRDefault="005061E6">
            <w:pPr>
              <w:spacing w:before="60" w:after="60"/>
              <w:rPr>
                <w:noProof/>
                <w:sz w:val="20"/>
              </w:rPr>
            </w:pPr>
          </w:p>
        </w:tc>
        <w:tc>
          <w:tcPr>
            <w:tcW w:w="655" w:type="pct"/>
            <w:vAlign w:val="center"/>
          </w:tcPr>
          <w:p w:rsidR="005061E6" w:rsidRPr="00F81955" w:rsidRDefault="005061E6">
            <w:pPr>
              <w:jc w:val="center"/>
              <w:rPr>
                <w:noProof/>
                <w:sz w:val="20"/>
              </w:rPr>
            </w:pPr>
            <w:r w:rsidRPr="00F81955">
              <w:rPr>
                <w:noProof/>
                <w:sz w:val="20"/>
              </w:rPr>
              <w:t xml:space="preserve">Year </w:t>
            </w:r>
            <w:r w:rsidRPr="00F81955">
              <w:rPr>
                <w:noProof/>
                <w:sz w:val="22"/>
              </w:rPr>
              <w:br/>
            </w:r>
            <w:r w:rsidRPr="00F81955">
              <w:rPr>
                <w:b/>
                <w:noProof/>
                <w:sz w:val="20"/>
              </w:rPr>
              <w:t>2024</w:t>
            </w:r>
          </w:p>
        </w:tc>
        <w:tc>
          <w:tcPr>
            <w:tcW w:w="655" w:type="pct"/>
            <w:vAlign w:val="center"/>
          </w:tcPr>
          <w:p w:rsidR="005061E6" w:rsidRPr="00F81955" w:rsidRDefault="005061E6">
            <w:pPr>
              <w:jc w:val="center"/>
              <w:rPr>
                <w:noProof/>
                <w:sz w:val="20"/>
              </w:rPr>
            </w:pPr>
            <w:r w:rsidRPr="00F81955">
              <w:rPr>
                <w:noProof/>
                <w:sz w:val="20"/>
              </w:rPr>
              <w:t xml:space="preserve">Year </w:t>
            </w:r>
            <w:r w:rsidRPr="00F81955">
              <w:rPr>
                <w:noProof/>
                <w:sz w:val="22"/>
              </w:rPr>
              <w:br/>
            </w:r>
            <w:r w:rsidRPr="00F81955">
              <w:rPr>
                <w:b/>
                <w:noProof/>
                <w:sz w:val="20"/>
              </w:rPr>
              <w:t>2025</w:t>
            </w:r>
          </w:p>
        </w:tc>
        <w:tc>
          <w:tcPr>
            <w:tcW w:w="655" w:type="pct"/>
            <w:vAlign w:val="center"/>
          </w:tcPr>
          <w:p w:rsidR="005061E6" w:rsidRPr="00F81955" w:rsidRDefault="005061E6">
            <w:pPr>
              <w:jc w:val="center"/>
              <w:rPr>
                <w:noProof/>
                <w:sz w:val="20"/>
              </w:rPr>
            </w:pPr>
            <w:r w:rsidRPr="00F81955">
              <w:rPr>
                <w:noProof/>
                <w:sz w:val="20"/>
              </w:rPr>
              <w:t xml:space="preserve">Year </w:t>
            </w:r>
            <w:r w:rsidRPr="00F81955">
              <w:rPr>
                <w:noProof/>
                <w:sz w:val="22"/>
              </w:rPr>
              <w:br/>
            </w:r>
            <w:r w:rsidRPr="00F81955">
              <w:rPr>
                <w:b/>
                <w:noProof/>
                <w:sz w:val="20"/>
              </w:rPr>
              <w:t>2026</w:t>
            </w:r>
          </w:p>
        </w:tc>
        <w:tc>
          <w:tcPr>
            <w:tcW w:w="655" w:type="pct"/>
            <w:vAlign w:val="center"/>
          </w:tcPr>
          <w:p w:rsidR="005061E6" w:rsidRPr="00F81955" w:rsidRDefault="005061E6">
            <w:pPr>
              <w:jc w:val="center"/>
              <w:rPr>
                <w:noProof/>
                <w:sz w:val="20"/>
              </w:rPr>
            </w:pPr>
            <w:r w:rsidRPr="00F81955">
              <w:rPr>
                <w:noProof/>
                <w:sz w:val="20"/>
              </w:rPr>
              <w:t xml:space="preserve">Year </w:t>
            </w:r>
            <w:r w:rsidRPr="00F81955">
              <w:rPr>
                <w:noProof/>
                <w:sz w:val="22"/>
              </w:rPr>
              <w:br/>
            </w:r>
            <w:r w:rsidRPr="00F81955">
              <w:rPr>
                <w:b/>
                <w:noProof/>
                <w:sz w:val="20"/>
              </w:rPr>
              <w:t>2027</w:t>
            </w:r>
          </w:p>
        </w:tc>
        <w:tc>
          <w:tcPr>
            <w:tcW w:w="787" w:type="pct"/>
            <w:vAlign w:val="center"/>
          </w:tcPr>
          <w:p w:rsidR="005061E6" w:rsidRPr="00F81955" w:rsidRDefault="005061E6">
            <w:pPr>
              <w:spacing w:before="60" w:after="60"/>
              <w:jc w:val="center"/>
              <w:rPr>
                <w:noProof/>
                <w:sz w:val="20"/>
              </w:rPr>
            </w:pPr>
            <w:r w:rsidRPr="00F81955">
              <w:rPr>
                <w:noProof/>
                <w:sz w:val="20"/>
              </w:rPr>
              <w:t>Total</w:t>
            </w:r>
          </w:p>
        </w:tc>
      </w:tr>
      <w:tr w:rsidR="005061E6" w:rsidRPr="00F81955">
        <w:trPr>
          <w:cantSplit/>
        </w:trPr>
        <w:tc>
          <w:tcPr>
            <w:tcW w:w="1591" w:type="pct"/>
          </w:tcPr>
          <w:p w:rsidR="005061E6" w:rsidRPr="00F81955" w:rsidRDefault="005061E6">
            <w:pPr>
              <w:rPr>
                <w:noProof/>
              </w:rPr>
            </w:pPr>
            <w:r w:rsidRPr="00F81955">
              <w:rPr>
                <w:noProof/>
                <w:sz w:val="20"/>
              </w:rPr>
              <w:t>Specify the co-financing body</w:t>
            </w:r>
            <w:r w:rsidRPr="00F81955">
              <w:rPr>
                <w:i/>
                <w:noProof/>
                <w:sz w:val="20"/>
              </w:rPr>
              <w:t xml:space="preserve"> </w:t>
            </w:r>
          </w:p>
        </w:tc>
        <w:tc>
          <w:tcPr>
            <w:tcW w:w="655" w:type="pct"/>
            <w:vAlign w:val="center"/>
          </w:tcPr>
          <w:p w:rsidR="005061E6" w:rsidRPr="00F81955" w:rsidRDefault="005061E6">
            <w:pPr>
              <w:spacing w:before="60" w:after="60"/>
              <w:jc w:val="center"/>
              <w:rPr>
                <w:noProof/>
                <w:sz w:val="20"/>
              </w:rPr>
            </w:pPr>
          </w:p>
        </w:tc>
        <w:tc>
          <w:tcPr>
            <w:tcW w:w="655" w:type="pct"/>
            <w:vAlign w:val="center"/>
          </w:tcPr>
          <w:p w:rsidR="005061E6" w:rsidRPr="00F81955" w:rsidRDefault="005061E6">
            <w:pPr>
              <w:spacing w:before="60" w:after="60"/>
              <w:jc w:val="center"/>
              <w:rPr>
                <w:noProof/>
                <w:sz w:val="20"/>
              </w:rPr>
            </w:pPr>
          </w:p>
        </w:tc>
        <w:tc>
          <w:tcPr>
            <w:tcW w:w="655" w:type="pct"/>
            <w:vAlign w:val="center"/>
          </w:tcPr>
          <w:p w:rsidR="005061E6" w:rsidRPr="00F81955" w:rsidRDefault="005061E6">
            <w:pPr>
              <w:spacing w:before="60" w:after="60"/>
              <w:jc w:val="center"/>
              <w:rPr>
                <w:noProof/>
                <w:sz w:val="20"/>
              </w:rPr>
            </w:pPr>
          </w:p>
        </w:tc>
        <w:tc>
          <w:tcPr>
            <w:tcW w:w="655" w:type="pct"/>
            <w:vAlign w:val="center"/>
          </w:tcPr>
          <w:p w:rsidR="005061E6" w:rsidRPr="00F81955" w:rsidRDefault="005061E6">
            <w:pPr>
              <w:spacing w:before="60" w:after="60"/>
              <w:jc w:val="center"/>
              <w:rPr>
                <w:noProof/>
                <w:sz w:val="20"/>
              </w:rPr>
            </w:pPr>
          </w:p>
        </w:tc>
        <w:tc>
          <w:tcPr>
            <w:tcW w:w="787" w:type="pct"/>
            <w:vAlign w:val="center"/>
          </w:tcPr>
          <w:p w:rsidR="005061E6" w:rsidRPr="00F81955" w:rsidRDefault="005061E6">
            <w:pPr>
              <w:spacing w:before="60" w:after="60"/>
              <w:jc w:val="center"/>
              <w:rPr>
                <w:noProof/>
                <w:sz w:val="20"/>
              </w:rPr>
            </w:pPr>
          </w:p>
        </w:tc>
      </w:tr>
      <w:tr w:rsidR="005061E6" w:rsidRPr="00F81955">
        <w:trPr>
          <w:cantSplit/>
        </w:trPr>
        <w:tc>
          <w:tcPr>
            <w:tcW w:w="1591" w:type="pct"/>
          </w:tcPr>
          <w:p w:rsidR="005061E6" w:rsidRPr="00F81955" w:rsidRDefault="005061E6">
            <w:pPr>
              <w:spacing w:before="60" w:after="60"/>
              <w:jc w:val="left"/>
              <w:rPr>
                <w:noProof/>
                <w:sz w:val="20"/>
              </w:rPr>
            </w:pPr>
            <w:r w:rsidRPr="00F81955">
              <w:rPr>
                <w:noProof/>
                <w:sz w:val="20"/>
              </w:rPr>
              <w:t xml:space="preserve">TOTAL appropriations co-financed </w:t>
            </w:r>
          </w:p>
        </w:tc>
        <w:tc>
          <w:tcPr>
            <w:tcW w:w="655" w:type="pct"/>
            <w:vAlign w:val="center"/>
          </w:tcPr>
          <w:p w:rsidR="005061E6" w:rsidRPr="00F81955" w:rsidRDefault="005061E6">
            <w:pPr>
              <w:spacing w:before="60" w:after="60"/>
              <w:jc w:val="center"/>
              <w:rPr>
                <w:noProof/>
                <w:sz w:val="20"/>
              </w:rPr>
            </w:pPr>
          </w:p>
        </w:tc>
        <w:tc>
          <w:tcPr>
            <w:tcW w:w="655" w:type="pct"/>
            <w:vAlign w:val="center"/>
          </w:tcPr>
          <w:p w:rsidR="005061E6" w:rsidRPr="00F81955" w:rsidRDefault="005061E6">
            <w:pPr>
              <w:spacing w:before="60" w:after="60"/>
              <w:jc w:val="center"/>
              <w:rPr>
                <w:noProof/>
                <w:sz w:val="20"/>
              </w:rPr>
            </w:pPr>
          </w:p>
        </w:tc>
        <w:tc>
          <w:tcPr>
            <w:tcW w:w="655" w:type="pct"/>
            <w:vAlign w:val="center"/>
          </w:tcPr>
          <w:p w:rsidR="005061E6" w:rsidRPr="00F81955" w:rsidRDefault="005061E6">
            <w:pPr>
              <w:spacing w:before="60" w:after="60"/>
              <w:jc w:val="center"/>
              <w:rPr>
                <w:noProof/>
                <w:sz w:val="20"/>
              </w:rPr>
            </w:pPr>
          </w:p>
        </w:tc>
        <w:tc>
          <w:tcPr>
            <w:tcW w:w="655" w:type="pct"/>
            <w:vAlign w:val="center"/>
          </w:tcPr>
          <w:p w:rsidR="005061E6" w:rsidRPr="00F81955" w:rsidRDefault="005061E6">
            <w:pPr>
              <w:spacing w:before="60" w:after="60"/>
              <w:jc w:val="center"/>
              <w:rPr>
                <w:noProof/>
                <w:sz w:val="20"/>
              </w:rPr>
            </w:pPr>
          </w:p>
        </w:tc>
        <w:tc>
          <w:tcPr>
            <w:tcW w:w="787" w:type="pct"/>
            <w:vAlign w:val="center"/>
          </w:tcPr>
          <w:p w:rsidR="005061E6" w:rsidRPr="00F81955" w:rsidRDefault="005061E6">
            <w:pPr>
              <w:spacing w:before="60" w:after="60"/>
              <w:jc w:val="center"/>
              <w:rPr>
                <w:noProof/>
                <w:sz w:val="20"/>
              </w:rPr>
            </w:pPr>
          </w:p>
        </w:tc>
      </w:tr>
    </w:tbl>
    <w:p w:rsidR="005061E6" w:rsidRPr="00F81955" w:rsidRDefault="005061E6" w:rsidP="005061E6">
      <w:pPr>
        <w:outlineLvl w:val="1"/>
        <w:rPr>
          <w:noProof/>
          <w:szCs w:val="24"/>
        </w:rPr>
      </w:pPr>
      <w:r w:rsidRPr="00F81955">
        <w:rPr>
          <w:noProof/>
        </w:rPr>
        <w:br/>
      </w:r>
      <w:bookmarkStart w:id="46" w:name="_Toc514938059"/>
      <w:bookmarkStart w:id="47" w:name="_Toc520485057"/>
      <w:bookmarkStart w:id="48" w:name="_Toc160804602"/>
      <w:bookmarkStart w:id="49" w:name="_Toc167220300"/>
      <w:bookmarkStart w:id="50" w:name="_Toc177549034"/>
      <w:bookmarkStart w:id="51" w:name="_Hlk166860179"/>
      <w:r w:rsidRPr="00F81955">
        <w:rPr>
          <w:noProof/>
        </w:rPr>
        <w:t>3.3.</w:t>
      </w:r>
      <w:r w:rsidRPr="00F81955">
        <w:rPr>
          <w:noProof/>
        </w:rPr>
        <w:tab/>
        <w:t>Estimated impact on revenue</w:t>
      </w:r>
      <w:bookmarkEnd w:id="46"/>
      <w:bookmarkEnd w:id="47"/>
      <w:bookmarkEnd w:id="48"/>
      <w:bookmarkEnd w:id="49"/>
      <w:bookmarkEnd w:id="50"/>
      <w:r w:rsidRPr="00F81955">
        <w:rPr>
          <w:noProof/>
        </w:rPr>
        <w:t xml:space="preserve"> </w:t>
      </w:r>
    </w:p>
    <w:bookmarkEnd w:id="51"/>
    <w:p w:rsidR="005061E6" w:rsidRPr="00F81955" w:rsidRDefault="005061E6" w:rsidP="005061E6">
      <w:pPr>
        <w:pStyle w:val="ListDash1"/>
        <w:rPr>
          <w:noProof/>
        </w:rPr>
      </w:pPr>
      <w:r w:rsidRPr="00F81955">
        <w:rPr>
          <w:rFonts w:ascii="Wingdings" w:eastAsia="Wingdings" w:hAnsi="Wingdings" w:cs="Wingdings"/>
          <w:noProof/>
        </w:rPr>
        <w:t></w:t>
      </w:r>
      <w:r w:rsidRPr="00F81955">
        <w:rPr>
          <w:noProof/>
        </w:rPr>
        <w:tab/>
        <w:t>The proposal/initiative has no financial impact on revenue.</w:t>
      </w:r>
    </w:p>
    <w:p w:rsidR="005061E6" w:rsidRPr="00F81955" w:rsidRDefault="005061E6" w:rsidP="005061E6">
      <w:pPr>
        <w:pStyle w:val="ListDash1"/>
        <w:rPr>
          <w:noProof/>
        </w:rPr>
      </w:pPr>
      <w:r w:rsidRPr="00F81955">
        <w:rPr>
          <w:rFonts w:ascii="Wingdings" w:eastAsia="Wingdings" w:hAnsi="Wingdings" w:cs="Wingdings"/>
          <w:noProof/>
        </w:rPr>
        <w:t></w:t>
      </w:r>
      <w:r w:rsidRPr="00F81955">
        <w:rPr>
          <w:noProof/>
        </w:rPr>
        <w:tab/>
        <w:t>The proposal/initiative has the following financial impact:</w:t>
      </w:r>
    </w:p>
    <w:p w:rsidR="005061E6" w:rsidRPr="00F81955" w:rsidRDefault="005061E6" w:rsidP="005061E6">
      <w:pPr>
        <w:pStyle w:val="ListNumberLevel3"/>
        <w:tabs>
          <w:tab w:val="clear" w:pos="2126"/>
          <w:tab w:val="num" w:pos="1843"/>
        </w:tabs>
        <w:rPr>
          <w:noProof/>
        </w:rPr>
      </w:pPr>
      <w:r w:rsidRPr="00F81955">
        <w:rPr>
          <w:rFonts w:ascii="Wingdings" w:eastAsia="Wingdings" w:hAnsi="Wingdings" w:cs="Wingdings"/>
          <w:noProof/>
        </w:rPr>
        <w:t></w:t>
      </w:r>
      <w:r w:rsidRPr="00F81955">
        <w:rPr>
          <w:noProof/>
        </w:rPr>
        <w:tab/>
        <w:t xml:space="preserve">on own resources </w:t>
      </w:r>
    </w:p>
    <w:p w:rsidR="005061E6" w:rsidRPr="00F81955" w:rsidRDefault="005061E6" w:rsidP="005061E6">
      <w:pPr>
        <w:pStyle w:val="ListNumberLevel3"/>
        <w:tabs>
          <w:tab w:val="clear" w:pos="2126"/>
          <w:tab w:val="num" w:pos="1843"/>
        </w:tabs>
        <w:rPr>
          <w:noProof/>
        </w:rPr>
      </w:pPr>
      <w:r w:rsidRPr="00F81955">
        <w:rPr>
          <w:rFonts w:ascii="Wingdings" w:eastAsia="Wingdings" w:hAnsi="Wingdings" w:cs="Wingdings"/>
          <w:noProof/>
        </w:rPr>
        <w:t></w:t>
      </w:r>
      <w:r w:rsidRPr="00F81955">
        <w:rPr>
          <w:noProof/>
        </w:rPr>
        <w:tab/>
        <w:t>on other revenue</w:t>
      </w:r>
    </w:p>
    <w:p w:rsidR="005061E6" w:rsidRPr="00F81955" w:rsidRDefault="005061E6" w:rsidP="005061E6">
      <w:pPr>
        <w:pStyle w:val="ListNumberLevel3"/>
        <w:tabs>
          <w:tab w:val="clear" w:pos="2126"/>
          <w:tab w:val="num" w:pos="1843"/>
        </w:tabs>
        <w:rPr>
          <w:noProof/>
        </w:rPr>
      </w:pPr>
      <w:r w:rsidRPr="00F81955">
        <w:rPr>
          <w:rFonts w:ascii="Wingdings" w:eastAsia="Wingdings" w:hAnsi="Wingdings" w:cs="Wingdings"/>
          <w:noProof/>
        </w:rPr>
        <w:t></w:t>
      </w:r>
      <w:r w:rsidRPr="00F81955">
        <w:rPr>
          <w:rFonts w:ascii="Wingdings" w:eastAsia="Wingdings" w:hAnsi="Wingdings" w:cs="Wingdings"/>
          <w:noProof/>
        </w:rPr>
        <w:tab/>
      </w:r>
      <w:r w:rsidRPr="00F81955">
        <w:rPr>
          <w:noProof/>
        </w:rPr>
        <w:t>please indicate, if the revenue is assigned to expenditure lines</w:t>
      </w:r>
    </w:p>
    <w:p w:rsidR="005061E6" w:rsidRPr="00F81955" w:rsidRDefault="005061E6" w:rsidP="005061E6">
      <w:pPr>
        <w:jc w:val="right"/>
        <w:rPr>
          <w:noProof/>
          <w:sz w:val="20"/>
        </w:rPr>
      </w:pPr>
      <w:r w:rsidRPr="00F81955">
        <w:rPr>
          <w:noProof/>
          <w:sz w:val="20"/>
        </w:rPr>
        <w:t xml:space="preserve">    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9"/>
        <w:gridCol w:w="2570"/>
        <w:gridCol w:w="2694"/>
        <w:gridCol w:w="1662"/>
        <w:gridCol w:w="1647"/>
        <w:gridCol w:w="2005"/>
      </w:tblGrid>
      <w:tr w:rsidR="005061E6" w:rsidRPr="00F81955">
        <w:trPr>
          <w:trHeight w:val="388"/>
        </w:trPr>
        <w:tc>
          <w:tcPr>
            <w:tcW w:w="1423" w:type="pct"/>
            <w:vMerge w:val="restart"/>
            <w:vAlign w:val="center"/>
          </w:tcPr>
          <w:p w:rsidR="005061E6" w:rsidRPr="00F81955" w:rsidRDefault="005061E6">
            <w:pPr>
              <w:spacing w:before="40" w:after="40"/>
              <w:rPr>
                <w:noProof/>
                <w:sz w:val="18"/>
              </w:rPr>
            </w:pPr>
            <w:r w:rsidRPr="00F81955">
              <w:rPr>
                <w:noProof/>
                <w:sz w:val="18"/>
              </w:rPr>
              <w:t>Budget revenue line:</w:t>
            </w:r>
          </w:p>
        </w:tc>
        <w:tc>
          <w:tcPr>
            <w:tcW w:w="869" w:type="pct"/>
            <w:vMerge w:val="restart"/>
            <w:vAlign w:val="center"/>
          </w:tcPr>
          <w:p w:rsidR="005061E6" w:rsidRPr="00F81955" w:rsidRDefault="005061E6">
            <w:pPr>
              <w:jc w:val="center"/>
              <w:rPr>
                <w:noProof/>
                <w:sz w:val="18"/>
              </w:rPr>
            </w:pPr>
            <w:r w:rsidRPr="00F81955">
              <w:rPr>
                <w:noProof/>
                <w:sz w:val="18"/>
              </w:rPr>
              <w:t>Appropriations available for the current financial year</w:t>
            </w:r>
          </w:p>
        </w:tc>
        <w:tc>
          <w:tcPr>
            <w:tcW w:w="2709" w:type="pct"/>
            <w:gridSpan w:val="4"/>
            <w:vAlign w:val="center"/>
          </w:tcPr>
          <w:p w:rsidR="005061E6" w:rsidRPr="00F81955" w:rsidRDefault="005061E6">
            <w:pPr>
              <w:jc w:val="center"/>
              <w:rPr>
                <w:noProof/>
                <w:sz w:val="18"/>
              </w:rPr>
            </w:pPr>
            <w:r w:rsidRPr="00F81955">
              <w:rPr>
                <w:noProof/>
                <w:sz w:val="18"/>
                <w:szCs w:val="18"/>
              </w:rPr>
              <w:t>Impact of the proposal/initiative</w:t>
            </w:r>
            <w:r w:rsidRPr="00F81955">
              <w:rPr>
                <w:rStyle w:val="FootnoteReference"/>
                <w:noProof/>
                <w:sz w:val="18"/>
                <w:szCs w:val="18"/>
              </w:rPr>
              <w:footnoteReference w:id="41"/>
            </w:r>
          </w:p>
        </w:tc>
      </w:tr>
      <w:tr w:rsidR="005061E6" w:rsidRPr="00F81955">
        <w:trPr>
          <w:trHeight w:val="388"/>
        </w:trPr>
        <w:tc>
          <w:tcPr>
            <w:tcW w:w="1423" w:type="pct"/>
            <w:vMerge/>
          </w:tcPr>
          <w:p w:rsidR="005061E6" w:rsidRPr="00F81955" w:rsidRDefault="005061E6">
            <w:pPr>
              <w:spacing w:before="40" w:after="40"/>
              <w:rPr>
                <w:noProof/>
                <w:sz w:val="18"/>
              </w:rPr>
            </w:pPr>
          </w:p>
        </w:tc>
        <w:tc>
          <w:tcPr>
            <w:tcW w:w="869" w:type="pct"/>
            <w:vMerge/>
          </w:tcPr>
          <w:p w:rsidR="005061E6" w:rsidRPr="00F81955" w:rsidRDefault="005061E6">
            <w:pPr>
              <w:spacing w:beforeLines="40" w:before="96" w:afterLines="40" w:after="96"/>
              <w:rPr>
                <w:i/>
                <w:noProof/>
                <w:sz w:val="18"/>
              </w:rPr>
            </w:pPr>
          </w:p>
        </w:tc>
        <w:tc>
          <w:tcPr>
            <w:tcW w:w="911" w:type="pct"/>
            <w:vAlign w:val="center"/>
          </w:tcPr>
          <w:p w:rsidR="005061E6" w:rsidRPr="00F81955" w:rsidRDefault="005061E6">
            <w:pPr>
              <w:jc w:val="center"/>
              <w:rPr>
                <w:noProof/>
                <w:sz w:val="18"/>
              </w:rPr>
            </w:pPr>
            <w:r w:rsidRPr="00F81955">
              <w:rPr>
                <w:noProof/>
                <w:sz w:val="18"/>
              </w:rPr>
              <w:t xml:space="preserve">Year </w:t>
            </w:r>
            <w:r w:rsidRPr="00F81955">
              <w:rPr>
                <w:b/>
                <w:noProof/>
                <w:sz w:val="18"/>
              </w:rPr>
              <w:t>2024</w:t>
            </w:r>
          </w:p>
        </w:tc>
        <w:tc>
          <w:tcPr>
            <w:tcW w:w="562" w:type="pct"/>
            <w:vAlign w:val="center"/>
          </w:tcPr>
          <w:p w:rsidR="005061E6" w:rsidRPr="00F81955" w:rsidRDefault="005061E6">
            <w:pPr>
              <w:jc w:val="center"/>
              <w:rPr>
                <w:noProof/>
                <w:sz w:val="18"/>
              </w:rPr>
            </w:pPr>
            <w:r w:rsidRPr="00F81955">
              <w:rPr>
                <w:noProof/>
                <w:sz w:val="18"/>
              </w:rPr>
              <w:t xml:space="preserve">Year </w:t>
            </w:r>
            <w:r w:rsidRPr="00F81955">
              <w:rPr>
                <w:b/>
                <w:noProof/>
                <w:sz w:val="18"/>
              </w:rPr>
              <w:t>2025</w:t>
            </w:r>
          </w:p>
        </w:tc>
        <w:tc>
          <w:tcPr>
            <w:tcW w:w="557" w:type="pct"/>
            <w:vAlign w:val="center"/>
          </w:tcPr>
          <w:p w:rsidR="005061E6" w:rsidRPr="00F81955" w:rsidRDefault="005061E6">
            <w:pPr>
              <w:jc w:val="center"/>
              <w:rPr>
                <w:noProof/>
                <w:sz w:val="18"/>
              </w:rPr>
            </w:pPr>
            <w:r w:rsidRPr="00F81955">
              <w:rPr>
                <w:noProof/>
                <w:sz w:val="18"/>
              </w:rPr>
              <w:t xml:space="preserve">Year </w:t>
            </w:r>
            <w:r w:rsidRPr="00F81955">
              <w:rPr>
                <w:b/>
                <w:noProof/>
                <w:sz w:val="18"/>
              </w:rPr>
              <w:t>2026</w:t>
            </w:r>
          </w:p>
        </w:tc>
        <w:tc>
          <w:tcPr>
            <w:tcW w:w="679" w:type="pct"/>
            <w:vAlign w:val="center"/>
          </w:tcPr>
          <w:p w:rsidR="005061E6" w:rsidRPr="00F81955" w:rsidRDefault="005061E6">
            <w:pPr>
              <w:jc w:val="center"/>
              <w:rPr>
                <w:noProof/>
                <w:sz w:val="18"/>
              </w:rPr>
            </w:pPr>
            <w:r w:rsidRPr="00F81955">
              <w:rPr>
                <w:noProof/>
                <w:sz w:val="18"/>
              </w:rPr>
              <w:t xml:space="preserve">Year </w:t>
            </w:r>
            <w:r w:rsidRPr="00F81955">
              <w:rPr>
                <w:b/>
                <w:noProof/>
                <w:sz w:val="18"/>
              </w:rPr>
              <w:t>2027</w:t>
            </w:r>
          </w:p>
        </w:tc>
      </w:tr>
      <w:tr w:rsidR="005061E6" w:rsidRPr="00F81955">
        <w:trPr>
          <w:trHeight w:val="388"/>
        </w:trPr>
        <w:tc>
          <w:tcPr>
            <w:tcW w:w="1423" w:type="pct"/>
            <w:vAlign w:val="center"/>
          </w:tcPr>
          <w:p w:rsidR="005061E6" w:rsidRPr="00F81955" w:rsidRDefault="005061E6">
            <w:pPr>
              <w:spacing w:before="40" w:after="40"/>
              <w:rPr>
                <w:noProof/>
                <w:sz w:val="18"/>
              </w:rPr>
            </w:pPr>
            <w:r w:rsidRPr="00F81955">
              <w:rPr>
                <w:noProof/>
                <w:sz w:val="18"/>
              </w:rPr>
              <w:t>Article ………….</w:t>
            </w:r>
          </w:p>
        </w:tc>
        <w:tc>
          <w:tcPr>
            <w:tcW w:w="869" w:type="pct"/>
          </w:tcPr>
          <w:p w:rsidR="005061E6" w:rsidRPr="00F81955" w:rsidRDefault="005061E6">
            <w:pPr>
              <w:spacing w:beforeLines="40" w:before="96" w:afterLines="40" w:after="96"/>
              <w:jc w:val="center"/>
              <w:rPr>
                <w:i/>
                <w:noProof/>
                <w:sz w:val="18"/>
              </w:rPr>
            </w:pPr>
          </w:p>
        </w:tc>
        <w:tc>
          <w:tcPr>
            <w:tcW w:w="911" w:type="pct"/>
          </w:tcPr>
          <w:p w:rsidR="005061E6" w:rsidRPr="00F81955" w:rsidRDefault="005061E6">
            <w:pPr>
              <w:spacing w:beforeLines="40" w:before="96" w:afterLines="40" w:after="96"/>
              <w:jc w:val="center"/>
              <w:rPr>
                <w:noProof/>
                <w:sz w:val="18"/>
              </w:rPr>
            </w:pPr>
          </w:p>
        </w:tc>
        <w:tc>
          <w:tcPr>
            <w:tcW w:w="562" w:type="pct"/>
          </w:tcPr>
          <w:p w:rsidR="005061E6" w:rsidRPr="00F81955" w:rsidRDefault="005061E6">
            <w:pPr>
              <w:spacing w:beforeLines="40" w:before="96" w:afterLines="40" w:after="96"/>
              <w:jc w:val="center"/>
              <w:rPr>
                <w:noProof/>
                <w:sz w:val="18"/>
              </w:rPr>
            </w:pPr>
          </w:p>
        </w:tc>
        <w:tc>
          <w:tcPr>
            <w:tcW w:w="557" w:type="pct"/>
          </w:tcPr>
          <w:p w:rsidR="005061E6" w:rsidRPr="00F81955" w:rsidRDefault="005061E6">
            <w:pPr>
              <w:spacing w:beforeLines="40" w:before="96" w:afterLines="40" w:after="96"/>
              <w:jc w:val="center"/>
              <w:rPr>
                <w:noProof/>
                <w:sz w:val="18"/>
              </w:rPr>
            </w:pPr>
          </w:p>
        </w:tc>
        <w:tc>
          <w:tcPr>
            <w:tcW w:w="679" w:type="pct"/>
          </w:tcPr>
          <w:p w:rsidR="005061E6" w:rsidRPr="00F81955" w:rsidRDefault="005061E6">
            <w:pPr>
              <w:spacing w:beforeLines="40" w:before="96" w:afterLines="40" w:after="96"/>
              <w:jc w:val="center"/>
              <w:rPr>
                <w:noProof/>
                <w:sz w:val="18"/>
              </w:rPr>
            </w:pPr>
          </w:p>
        </w:tc>
      </w:tr>
    </w:tbl>
    <w:p w:rsidR="005061E6" w:rsidRPr="00F81955" w:rsidRDefault="005061E6" w:rsidP="005061E6">
      <w:pPr>
        <w:pStyle w:val="Text1"/>
        <w:rPr>
          <w:noProof/>
          <w:szCs w:val="24"/>
        </w:rPr>
      </w:pPr>
      <w:r w:rsidRPr="00F81955">
        <w:rPr>
          <w:noProof/>
          <w:szCs w:val="24"/>
        </w:rPr>
        <w:t>For assigned revenue, specify the budget expenditure line(s) affected.</w:t>
      </w:r>
    </w:p>
    <w:p w:rsidR="005061E6" w:rsidRPr="00F81955" w:rsidRDefault="005061E6" w:rsidP="005061E6">
      <w:pPr>
        <w:pStyle w:val="Text1"/>
        <w:pBdr>
          <w:top w:val="single" w:sz="4" w:space="1" w:color="auto"/>
          <w:left w:val="single" w:sz="4" w:space="4" w:color="auto"/>
          <w:bottom w:val="single" w:sz="4" w:space="1" w:color="auto"/>
          <w:right w:val="single" w:sz="4" w:space="4" w:color="auto"/>
        </w:pBdr>
        <w:rPr>
          <w:noProof/>
        </w:rPr>
      </w:pPr>
    </w:p>
    <w:p w:rsidR="005061E6" w:rsidRPr="00F81955" w:rsidRDefault="005061E6" w:rsidP="005061E6">
      <w:pPr>
        <w:pStyle w:val="Text1"/>
        <w:rPr>
          <w:noProof/>
          <w:szCs w:val="24"/>
        </w:rPr>
      </w:pPr>
      <w:r w:rsidRPr="00F81955">
        <w:rPr>
          <w:noProof/>
          <w:szCs w:val="24"/>
        </w:rPr>
        <w:t>Other remarks (e.g. method/formula used for calculating the impact on revenue or any other information).</w:t>
      </w:r>
    </w:p>
    <w:p w:rsidR="005061E6" w:rsidRPr="00F81955" w:rsidRDefault="005061E6" w:rsidP="005061E6">
      <w:pPr>
        <w:pStyle w:val="Text1"/>
        <w:pBdr>
          <w:top w:val="single" w:sz="4" w:space="1" w:color="auto"/>
          <w:left w:val="single" w:sz="4" w:space="4" w:color="auto"/>
          <w:bottom w:val="single" w:sz="4" w:space="1" w:color="auto"/>
          <w:right w:val="single" w:sz="4" w:space="4" w:color="auto"/>
        </w:pBdr>
        <w:rPr>
          <w:noProof/>
        </w:rPr>
      </w:pPr>
    </w:p>
    <w:p w:rsidR="009C3EE2" w:rsidRPr="00F81955" w:rsidRDefault="009C3EE2" w:rsidP="00A037B4">
      <w:pPr>
        <w:pStyle w:val="ManualHeading1"/>
        <w:rPr>
          <w:noProof/>
        </w:rPr>
      </w:pPr>
      <w:r w:rsidRPr="00F81955">
        <w:rPr>
          <w:noProof/>
        </w:rPr>
        <w:t>4.</w:t>
      </w:r>
      <w:r w:rsidRPr="00F81955">
        <w:rPr>
          <w:noProof/>
        </w:rPr>
        <w:tab/>
      </w:r>
      <w:r w:rsidRPr="00F81955">
        <w:rPr>
          <w:caps/>
          <w:noProof/>
        </w:rPr>
        <w:t>Digital dimensions</w:t>
      </w:r>
    </w:p>
    <w:p w:rsidR="009C3EE2" w:rsidRPr="00F81955" w:rsidRDefault="009C3EE2" w:rsidP="0002735A">
      <w:pPr>
        <w:pStyle w:val="ManualHeading2"/>
        <w:rPr>
          <w:noProof/>
        </w:rPr>
      </w:pPr>
      <w:r w:rsidRPr="00F81955">
        <w:rPr>
          <w:noProof/>
        </w:rPr>
        <w:t>4.1.</w:t>
      </w:r>
      <w:r w:rsidRPr="00F81955">
        <w:rPr>
          <w:noProof/>
        </w:rPr>
        <w:tab/>
        <w:t>Requirements of digital relevance</w:t>
      </w:r>
    </w:p>
    <w:tbl>
      <w:tblPr>
        <w:tblStyle w:val="TableGrid"/>
        <w:tblW w:w="14430" w:type="dxa"/>
        <w:tblInd w:w="-5" w:type="dxa"/>
        <w:tblLayout w:type="fixed"/>
        <w:tblLook w:val="06A0" w:firstRow="1" w:lastRow="0" w:firstColumn="1" w:lastColumn="0" w:noHBand="1" w:noVBand="1"/>
      </w:tblPr>
      <w:tblGrid>
        <w:gridCol w:w="14430"/>
      </w:tblGrid>
      <w:tr w:rsidR="00EA14E1" w:rsidRPr="00F81955" w:rsidTr="00CE08C2">
        <w:trPr>
          <w:trHeight w:val="300"/>
        </w:trPr>
        <w:tc>
          <w:tcPr>
            <w:tcW w:w="14430" w:type="dxa"/>
          </w:tcPr>
          <w:tbl>
            <w:tblPr>
              <w:tblStyle w:val="TableGrid"/>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5"/>
              <w:gridCol w:w="4695"/>
              <w:gridCol w:w="3225"/>
              <w:gridCol w:w="2131"/>
              <w:gridCol w:w="2184"/>
            </w:tblGrid>
            <w:tr w:rsidR="00CE08C2" w:rsidRPr="00F81955" w:rsidTr="00CB020E">
              <w:trPr>
                <w:trHeight w:val="300"/>
              </w:trPr>
              <w:tc>
                <w:tcPr>
                  <w:tcW w:w="1935" w:type="dxa"/>
                  <w:vAlign w:val="center"/>
                </w:tcPr>
                <w:p w:rsidR="00CE08C2" w:rsidRPr="00F81955" w:rsidRDefault="00CE08C2" w:rsidP="00CE08C2">
                  <w:pPr>
                    <w:jc w:val="left"/>
                    <w:rPr>
                      <w:b/>
                      <w:bCs/>
                      <w:noProof/>
                    </w:rPr>
                  </w:pPr>
                  <w:r w:rsidRPr="00F81955">
                    <w:rPr>
                      <w:rFonts w:eastAsia="Calibri"/>
                      <w:b/>
                      <w:bCs/>
                      <w:noProof/>
                    </w:rPr>
                    <w:t>Reference to the requirement</w:t>
                  </w:r>
                </w:p>
              </w:tc>
              <w:tc>
                <w:tcPr>
                  <w:tcW w:w="4695" w:type="dxa"/>
                  <w:vAlign w:val="center"/>
                </w:tcPr>
                <w:p w:rsidR="00CE08C2" w:rsidRPr="00F81955" w:rsidRDefault="00CE08C2" w:rsidP="00CE08C2">
                  <w:pPr>
                    <w:jc w:val="left"/>
                    <w:rPr>
                      <w:b/>
                      <w:bCs/>
                      <w:noProof/>
                    </w:rPr>
                  </w:pPr>
                  <w:r w:rsidRPr="00F81955">
                    <w:rPr>
                      <w:rFonts w:eastAsia="Calibri"/>
                      <w:b/>
                      <w:bCs/>
                      <w:noProof/>
                    </w:rPr>
                    <w:t>Requirement description</w:t>
                  </w:r>
                </w:p>
              </w:tc>
              <w:tc>
                <w:tcPr>
                  <w:tcW w:w="3225" w:type="dxa"/>
                  <w:vAlign w:val="center"/>
                </w:tcPr>
                <w:p w:rsidR="00CE08C2" w:rsidRPr="00F81955" w:rsidRDefault="00CE08C2" w:rsidP="00CE08C2">
                  <w:pPr>
                    <w:jc w:val="left"/>
                    <w:rPr>
                      <w:b/>
                      <w:bCs/>
                      <w:noProof/>
                    </w:rPr>
                  </w:pPr>
                  <w:r w:rsidRPr="00F81955">
                    <w:rPr>
                      <w:rFonts w:eastAsia="Calibri"/>
                      <w:b/>
                      <w:bCs/>
                      <w:noProof/>
                    </w:rPr>
                    <w:t>Actors affected or concerned by the requirement</w:t>
                  </w:r>
                </w:p>
              </w:tc>
              <w:tc>
                <w:tcPr>
                  <w:tcW w:w="2131" w:type="dxa"/>
                  <w:vAlign w:val="center"/>
                </w:tcPr>
                <w:p w:rsidR="00CE08C2" w:rsidRPr="00F81955" w:rsidRDefault="00CE08C2" w:rsidP="00CE08C2">
                  <w:pPr>
                    <w:jc w:val="left"/>
                    <w:rPr>
                      <w:b/>
                      <w:bCs/>
                      <w:noProof/>
                    </w:rPr>
                  </w:pPr>
                  <w:r w:rsidRPr="00F81955">
                    <w:rPr>
                      <w:rFonts w:eastAsia="Calibri"/>
                      <w:b/>
                      <w:bCs/>
                      <w:noProof/>
                    </w:rPr>
                    <w:t>High-level Processes</w:t>
                  </w:r>
                </w:p>
              </w:tc>
              <w:tc>
                <w:tcPr>
                  <w:tcW w:w="2184" w:type="dxa"/>
                  <w:vAlign w:val="center"/>
                </w:tcPr>
                <w:p w:rsidR="00CE08C2" w:rsidRPr="00F81955" w:rsidRDefault="00CE08C2" w:rsidP="00CE08C2">
                  <w:pPr>
                    <w:jc w:val="left"/>
                    <w:rPr>
                      <w:b/>
                      <w:bCs/>
                      <w:noProof/>
                    </w:rPr>
                  </w:pPr>
                  <w:r w:rsidRPr="00F81955">
                    <w:rPr>
                      <w:rFonts w:eastAsia="Calibri"/>
                      <w:b/>
                      <w:bCs/>
                      <w:noProof/>
                    </w:rPr>
                    <w:t>Categories</w:t>
                  </w:r>
                </w:p>
              </w:tc>
            </w:tr>
            <w:tr w:rsidR="00CE08C2" w:rsidRPr="00F81955" w:rsidTr="00CB020E">
              <w:trPr>
                <w:trHeight w:val="300"/>
              </w:trPr>
              <w:tc>
                <w:tcPr>
                  <w:tcW w:w="1935" w:type="dxa"/>
                </w:tcPr>
                <w:p w:rsidR="00CE08C2" w:rsidRPr="00F81955" w:rsidRDefault="00CE08C2" w:rsidP="00CE08C2">
                  <w:pPr>
                    <w:spacing w:line="259" w:lineRule="auto"/>
                    <w:jc w:val="left"/>
                    <w:rPr>
                      <w:noProof/>
                    </w:rPr>
                  </w:pPr>
                  <w:r w:rsidRPr="00F81955">
                    <w:rPr>
                      <w:noProof/>
                    </w:rPr>
                    <w:t>Article 1(</w:t>
                  </w:r>
                  <w:r w:rsidR="00B37A2A" w:rsidRPr="00F81955">
                    <w:rPr>
                      <w:noProof/>
                    </w:rPr>
                    <w:t>5</w:t>
                  </w:r>
                  <w:r w:rsidRPr="00F81955">
                    <w:rPr>
                      <w:noProof/>
                    </w:rPr>
                    <w:t>)</w:t>
                  </w:r>
                </w:p>
              </w:tc>
              <w:tc>
                <w:tcPr>
                  <w:tcW w:w="4695" w:type="dxa"/>
                </w:tcPr>
                <w:p w:rsidR="00CE08C2" w:rsidRPr="00F81955" w:rsidRDefault="00CE08C2" w:rsidP="00CE08C2">
                  <w:pPr>
                    <w:jc w:val="left"/>
                    <w:rPr>
                      <w:noProof/>
                    </w:rPr>
                  </w:pPr>
                  <w:r w:rsidRPr="00F81955">
                    <w:rPr>
                      <w:b/>
                      <w:bCs/>
                      <w:noProof/>
                    </w:rPr>
                    <w:t>Inserting Article 4a</w:t>
                  </w:r>
                  <w:r w:rsidRPr="00F81955">
                    <w:rPr>
                      <w:noProof/>
                    </w:rPr>
                    <w:t xml:space="preserve">: Allowing providers and deployers of AI systems </w:t>
                  </w:r>
                  <w:r w:rsidR="3883102F" w:rsidRPr="00F81955">
                    <w:rPr>
                      <w:noProof/>
                    </w:rPr>
                    <w:t xml:space="preserve">and AI models to </w:t>
                  </w:r>
                  <w:r w:rsidRPr="00F81955">
                    <w:rPr>
                      <w:noProof/>
                    </w:rPr>
                    <w:t>exceptionally process special categories of personal data to the extent necessary for the purpose of ensuring bias detection and correction</w:t>
                  </w:r>
                  <w:r w:rsidR="5AB2FB0C" w:rsidRPr="00F81955">
                    <w:rPr>
                      <w:noProof/>
                    </w:rPr>
                    <w:t>, subject to certain conditions</w:t>
                  </w:r>
                  <w:r w:rsidRPr="00F81955">
                    <w:rPr>
                      <w:noProof/>
                    </w:rPr>
                    <w:t>.</w:t>
                  </w:r>
                </w:p>
              </w:tc>
              <w:tc>
                <w:tcPr>
                  <w:tcW w:w="3225" w:type="dxa"/>
                </w:tcPr>
                <w:p w:rsidR="00CE08C2" w:rsidRPr="00F81955" w:rsidRDefault="00CE08C2" w:rsidP="00CE08C2">
                  <w:pPr>
                    <w:jc w:val="left"/>
                    <w:rPr>
                      <w:noProof/>
                    </w:rPr>
                  </w:pPr>
                  <w:r w:rsidRPr="00F81955">
                    <w:rPr>
                      <w:noProof/>
                    </w:rPr>
                    <w:t>Providers and deployers of AI systems</w:t>
                  </w:r>
                  <w:r w:rsidR="3A5DC93F" w:rsidRPr="00F81955">
                    <w:rPr>
                      <w:noProof/>
                    </w:rPr>
                    <w:t xml:space="preserve"> and AI models</w:t>
                  </w:r>
                </w:p>
                <w:p w:rsidR="00CE08C2" w:rsidRPr="00F81955" w:rsidRDefault="00CE08C2" w:rsidP="00CE08C2">
                  <w:pPr>
                    <w:jc w:val="left"/>
                    <w:rPr>
                      <w:noProof/>
                    </w:rPr>
                  </w:pPr>
                  <w:r w:rsidRPr="00F81955">
                    <w:rPr>
                      <w:noProof/>
                    </w:rPr>
                    <w:t>Concerned data subjects</w:t>
                  </w:r>
                </w:p>
              </w:tc>
              <w:tc>
                <w:tcPr>
                  <w:tcW w:w="2131" w:type="dxa"/>
                </w:tcPr>
                <w:p w:rsidR="00CE08C2" w:rsidRPr="00F81955" w:rsidRDefault="00CE08C2" w:rsidP="00CE08C2">
                  <w:pPr>
                    <w:jc w:val="left"/>
                    <w:rPr>
                      <w:noProof/>
                    </w:rPr>
                  </w:pPr>
                  <w:r w:rsidRPr="00F81955">
                    <w:rPr>
                      <w:noProof/>
                    </w:rPr>
                    <w:t>Data processing</w:t>
                  </w:r>
                </w:p>
              </w:tc>
              <w:tc>
                <w:tcPr>
                  <w:tcW w:w="2184" w:type="dxa"/>
                </w:tcPr>
                <w:p w:rsidR="00CE08C2" w:rsidRPr="00F81955" w:rsidRDefault="00CE08C2" w:rsidP="00CE08C2">
                  <w:pPr>
                    <w:jc w:val="left"/>
                    <w:rPr>
                      <w:noProof/>
                    </w:rPr>
                  </w:pPr>
                  <w:r w:rsidRPr="00F81955">
                    <w:rPr>
                      <w:noProof/>
                    </w:rPr>
                    <w:t>Data</w:t>
                  </w:r>
                </w:p>
              </w:tc>
            </w:tr>
            <w:tr w:rsidR="00CE08C2" w:rsidRPr="00F81955" w:rsidTr="00CB020E">
              <w:trPr>
                <w:trHeight w:val="300"/>
              </w:trPr>
              <w:tc>
                <w:tcPr>
                  <w:tcW w:w="1935" w:type="dxa"/>
                </w:tcPr>
                <w:p w:rsidR="00CE08C2" w:rsidRPr="00F81955" w:rsidRDefault="00CE08C2" w:rsidP="00CE08C2">
                  <w:pPr>
                    <w:spacing w:line="259" w:lineRule="auto"/>
                    <w:jc w:val="left"/>
                    <w:rPr>
                      <w:noProof/>
                    </w:rPr>
                  </w:pPr>
                  <w:r w:rsidRPr="00F81955">
                    <w:rPr>
                      <w:noProof/>
                    </w:rPr>
                    <w:t>Article 1(</w:t>
                  </w:r>
                  <w:r w:rsidR="00B37A2A" w:rsidRPr="00F81955">
                    <w:rPr>
                      <w:noProof/>
                    </w:rPr>
                    <w:t>8</w:t>
                  </w:r>
                  <w:r w:rsidRPr="00F81955">
                    <w:rPr>
                      <w:noProof/>
                    </w:rPr>
                    <w:t>)</w:t>
                  </w:r>
                </w:p>
              </w:tc>
              <w:tc>
                <w:tcPr>
                  <w:tcW w:w="4695" w:type="dxa"/>
                </w:tcPr>
                <w:p w:rsidR="00CE08C2" w:rsidRPr="00F81955" w:rsidRDefault="00CE08C2" w:rsidP="00CE08C2">
                  <w:pPr>
                    <w:spacing w:line="259" w:lineRule="auto"/>
                    <w:jc w:val="left"/>
                    <w:rPr>
                      <w:noProof/>
                    </w:rPr>
                  </w:pPr>
                  <w:r w:rsidRPr="00F81955">
                    <w:rPr>
                      <w:b/>
                      <w:bCs/>
                      <w:noProof/>
                    </w:rPr>
                    <w:t>Amending Article 11(1), second subparagraph</w:t>
                  </w:r>
                  <w:r w:rsidRPr="00F81955">
                    <w:rPr>
                      <w:noProof/>
                    </w:rPr>
                    <w:t>: Relating to the technical documentation of high-risk AI systems that needs to be drawn up before that system is placed on the market or put into service. SMEs and SMCs are given certain regulatory privileges as concerns this provision of information.</w:t>
                  </w:r>
                </w:p>
              </w:tc>
              <w:tc>
                <w:tcPr>
                  <w:tcW w:w="3225" w:type="dxa"/>
                </w:tcPr>
                <w:p w:rsidR="00CE08C2" w:rsidRPr="00F81955" w:rsidRDefault="00CE08C2" w:rsidP="00CE08C2">
                  <w:pPr>
                    <w:jc w:val="left"/>
                    <w:rPr>
                      <w:noProof/>
                      <w:color w:val="000000" w:themeColor="text1"/>
                    </w:rPr>
                  </w:pPr>
                  <w:r w:rsidRPr="00F81955">
                    <w:rPr>
                      <w:noProof/>
                      <w:color w:val="000000" w:themeColor="text1"/>
                      <w:szCs w:val="24"/>
                    </w:rPr>
                    <w:t>Providers of high-risk AI systems (including SMCs and SMEs)</w:t>
                  </w:r>
                </w:p>
                <w:p w:rsidR="00CE08C2" w:rsidRPr="00F81955" w:rsidRDefault="00CE08C2" w:rsidP="00CE08C2">
                  <w:pPr>
                    <w:jc w:val="left"/>
                    <w:rPr>
                      <w:noProof/>
                      <w:color w:val="000000" w:themeColor="text1"/>
                    </w:rPr>
                  </w:pPr>
                  <w:r w:rsidRPr="00F81955">
                    <w:rPr>
                      <w:noProof/>
                      <w:color w:val="000000" w:themeColor="text1"/>
                      <w:szCs w:val="24"/>
                    </w:rPr>
                    <w:t>National competent authorities</w:t>
                  </w:r>
                </w:p>
                <w:p w:rsidR="00CE08C2" w:rsidRPr="00F81955" w:rsidRDefault="00CE08C2" w:rsidP="00CE08C2">
                  <w:pPr>
                    <w:jc w:val="left"/>
                    <w:rPr>
                      <w:noProof/>
                      <w:color w:val="000000" w:themeColor="text1"/>
                    </w:rPr>
                  </w:pPr>
                  <w:r w:rsidRPr="00F81955">
                    <w:rPr>
                      <w:noProof/>
                      <w:color w:val="000000" w:themeColor="text1"/>
                      <w:szCs w:val="24"/>
                    </w:rPr>
                    <w:t>Notified bodies</w:t>
                  </w:r>
                </w:p>
                <w:p w:rsidR="00CE08C2" w:rsidRPr="00F81955" w:rsidRDefault="00CE08C2" w:rsidP="00CE08C2">
                  <w:pPr>
                    <w:jc w:val="left"/>
                    <w:rPr>
                      <w:noProof/>
                      <w:color w:val="000000" w:themeColor="text1"/>
                    </w:rPr>
                  </w:pPr>
                  <w:r w:rsidRPr="00F81955">
                    <w:rPr>
                      <w:noProof/>
                      <w:color w:val="000000" w:themeColor="text1"/>
                      <w:szCs w:val="24"/>
                    </w:rPr>
                    <w:t>European Commission</w:t>
                  </w:r>
                </w:p>
              </w:tc>
              <w:tc>
                <w:tcPr>
                  <w:tcW w:w="2131" w:type="dxa"/>
                </w:tcPr>
                <w:p w:rsidR="00CE08C2" w:rsidRPr="00F81955" w:rsidRDefault="00CE08C2" w:rsidP="00CE08C2">
                  <w:pPr>
                    <w:jc w:val="left"/>
                    <w:rPr>
                      <w:noProof/>
                    </w:rPr>
                  </w:pPr>
                  <w:r w:rsidRPr="00F81955">
                    <w:rPr>
                      <w:noProof/>
                      <w:color w:val="000000" w:themeColor="text1"/>
                      <w:szCs w:val="24"/>
                    </w:rPr>
                    <w:t>Technical documentation</w:t>
                  </w:r>
                </w:p>
                <w:p w:rsidR="00CE08C2" w:rsidRPr="00F81955" w:rsidRDefault="00CE08C2" w:rsidP="00CE08C2">
                  <w:pPr>
                    <w:jc w:val="left"/>
                    <w:rPr>
                      <w:noProof/>
                    </w:rPr>
                  </w:pPr>
                </w:p>
              </w:tc>
              <w:tc>
                <w:tcPr>
                  <w:tcW w:w="2184" w:type="dxa"/>
                </w:tcPr>
                <w:p w:rsidR="00CE08C2" w:rsidRPr="00F81955" w:rsidRDefault="00CE08C2" w:rsidP="00CE08C2">
                  <w:pPr>
                    <w:jc w:val="left"/>
                    <w:rPr>
                      <w:noProof/>
                    </w:rPr>
                  </w:pPr>
                  <w:r w:rsidRPr="00F81955">
                    <w:rPr>
                      <w:noProof/>
                    </w:rPr>
                    <w:t>Data</w:t>
                  </w:r>
                </w:p>
              </w:tc>
            </w:tr>
            <w:tr w:rsidR="00CE08C2" w:rsidRPr="00F81955" w:rsidTr="00CB020E">
              <w:trPr>
                <w:trHeight w:val="1530"/>
              </w:trPr>
              <w:tc>
                <w:tcPr>
                  <w:tcW w:w="1935" w:type="dxa"/>
                </w:tcPr>
                <w:p w:rsidR="00CE08C2" w:rsidRPr="00F81955" w:rsidRDefault="00CE08C2" w:rsidP="00CE08C2">
                  <w:pPr>
                    <w:spacing w:line="259" w:lineRule="auto"/>
                    <w:jc w:val="left"/>
                    <w:rPr>
                      <w:noProof/>
                    </w:rPr>
                  </w:pPr>
                  <w:r w:rsidRPr="00F81955">
                    <w:rPr>
                      <w:noProof/>
                    </w:rPr>
                    <w:t>Article 1(</w:t>
                  </w:r>
                  <w:r w:rsidR="00E561CB" w:rsidRPr="00F81955">
                    <w:rPr>
                      <w:noProof/>
                    </w:rPr>
                    <w:t>10</w:t>
                  </w:r>
                  <w:r w:rsidRPr="00F81955">
                    <w:rPr>
                      <w:noProof/>
                    </w:rPr>
                    <w:t>)</w:t>
                  </w:r>
                </w:p>
                <w:p w:rsidR="00CE08C2" w:rsidRPr="00F81955" w:rsidRDefault="00CE08C2" w:rsidP="00CE08C2">
                  <w:pPr>
                    <w:spacing w:line="259" w:lineRule="auto"/>
                    <w:jc w:val="left"/>
                    <w:rPr>
                      <w:noProof/>
                    </w:rPr>
                  </w:pPr>
                </w:p>
                <w:p w:rsidR="00CE08C2" w:rsidRPr="00F81955" w:rsidRDefault="00CE08C2" w:rsidP="00CE08C2">
                  <w:pPr>
                    <w:spacing w:line="259" w:lineRule="auto"/>
                    <w:jc w:val="left"/>
                    <w:rPr>
                      <w:noProof/>
                    </w:rPr>
                  </w:pPr>
                </w:p>
              </w:tc>
              <w:tc>
                <w:tcPr>
                  <w:tcW w:w="4695" w:type="dxa"/>
                </w:tcPr>
                <w:p w:rsidR="00CE08C2" w:rsidRPr="00F81955" w:rsidRDefault="00CE08C2" w:rsidP="00CE08C2">
                  <w:pPr>
                    <w:jc w:val="left"/>
                    <w:rPr>
                      <w:noProof/>
                    </w:rPr>
                  </w:pPr>
                  <w:r w:rsidRPr="00F81955">
                    <w:rPr>
                      <w:b/>
                      <w:bCs/>
                      <w:noProof/>
                    </w:rPr>
                    <w:t>Amending Article 28, inserting paragraph (1a)</w:t>
                  </w:r>
                  <w:r w:rsidRPr="00F81955">
                    <w:rPr>
                      <w:noProof/>
                    </w:rPr>
                    <w:t>: Conformity assessment bodies that apply for a designation may be offered the possibility to submit a single application and undergo a single assessment procedure.</w:t>
                  </w:r>
                </w:p>
              </w:tc>
              <w:tc>
                <w:tcPr>
                  <w:tcW w:w="3225" w:type="dxa"/>
                </w:tcPr>
                <w:p w:rsidR="00CE08C2" w:rsidRPr="00F81955" w:rsidRDefault="00CE08C2" w:rsidP="00CE08C2">
                  <w:pPr>
                    <w:jc w:val="left"/>
                    <w:rPr>
                      <w:noProof/>
                      <w:color w:val="000000" w:themeColor="text1"/>
                    </w:rPr>
                  </w:pPr>
                  <w:r w:rsidRPr="00F81955">
                    <w:rPr>
                      <w:noProof/>
                      <w:color w:val="000000" w:themeColor="text1"/>
                      <w:szCs w:val="24"/>
                    </w:rPr>
                    <w:t>Conformity assessment bodies</w:t>
                  </w:r>
                </w:p>
                <w:p w:rsidR="00CE08C2" w:rsidRPr="00F81955" w:rsidRDefault="00CE08C2" w:rsidP="00CE08C2">
                  <w:pPr>
                    <w:jc w:val="left"/>
                    <w:rPr>
                      <w:noProof/>
                      <w:color w:val="000000" w:themeColor="text1"/>
                    </w:rPr>
                  </w:pPr>
                  <w:r w:rsidRPr="00F81955">
                    <w:rPr>
                      <w:noProof/>
                      <w:color w:val="000000" w:themeColor="text1"/>
                      <w:szCs w:val="24"/>
                    </w:rPr>
                    <w:t>Notifying authorities</w:t>
                  </w:r>
                </w:p>
              </w:tc>
              <w:tc>
                <w:tcPr>
                  <w:tcW w:w="2131" w:type="dxa"/>
                </w:tcPr>
                <w:p w:rsidR="00CE08C2" w:rsidRPr="00F81955" w:rsidRDefault="00CE08C2" w:rsidP="00CE08C2">
                  <w:pPr>
                    <w:jc w:val="left"/>
                    <w:rPr>
                      <w:noProof/>
                      <w:color w:val="000000" w:themeColor="text1"/>
                    </w:rPr>
                  </w:pPr>
                  <w:r w:rsidRPr="00F81955">
                    <w:rPr>
                      <w:noProof/>
                      <w:color w:val="000000" w:themeColor="text1"/>
                      <w:szCs w:val="24"/>
                    </w:rPr>
                    <w:t>Application submission</w:t>
                  </w:r>
                </w:p>
              </w:tc>
              <w:tc>
                <w:tcPr>
                  <w:tcW w:w="2184" w:type="dxa"/>
                </w:tcPr>
                <w:p w:rsidR="00CE08C2" w:rsidRPr="00F81955" w:rsidRDefault="00CE08C2" w:rsidP="00CE08C2">
                  <w:pPr>
                    <w:jc w:val="left"/>
                    <w:rPr>
                      <w:noProof/>
                    </w:rPr>
                  </w:pPr>
                  <w:r w:rsidRPr="00F81955">
                    <w:rPr>
                      <w:noProof/>
                    </w:rPr>
                    <w:t>Data</w:t>
                  </w:r>
                </w:p>
              </w:tc>
            </w:tr>
            <w:tr w:rsidR="00CE08C2" w:rsidRPr="00F81955" w:rsidTr="00CB020E">
              <w:trPr>
                <w:trHeight w:val="300"/>
              </w:trPr>
              <w:tc>
                <w:tcPr>
                  <w:tcW w:w="1935" w:type="dxa"/>
                </w:tcPr>
                <w:p w:rsidR="00CE08C2" w:rsidRPr="00F81955" w:rsidRDefault="00CE08C2" w:rsidP="00CE08C2">
                  <w:pPr>
                    <w:spacing w:line="259" w:lineRule="auto"/>
                    <w:jc w:val="left"/>
                    <w:rPr>
                      <w:noProof/>
                    </w:rPr>
                  </w:pPr>
                  <w:r w:rsidRPr="00F81955">
                    <w:rPr>
                      <w:noProof/>
                    </w:rPr>
                    <w:t>Article 1(</w:t>
                  </w:r>
                  <w:r w:rsidR="00E561CB" w:rsidRPr="00F81955">
                    <w:rPr>
                      <w:noProof/>
                    </w:rPr>
                    <w:t>11</w:t>
                  </w:r>
                  <w:r w:rsidRPr="00F81955">
                    <w:rPr>
                      <w:noProof/>
                    </w:rPr>
                    <w:t>)</w:t>
                  </w:r>
                </w:p>
              </w:tc>
              <w:tc>
                <w:tcPr>
                  <w:tcW w:w="4695" w:type="dxa"/>
                </w:tcPr>
                <w:p w:rsidR="00CE08C2" w:rsidRPr="00F81955" w:rsidRDefault="00CE08C2" w:rsidP="00CE08C2">
                  <w:pPr>
                    <w:jc w:val="left"/>
                    <w:rPr>
                      <w:noProof/>
                    </w:rPr>
                  </w:pPr>
                  <w:r w:rsidRPr="00F81955">
                    <w:rPr>
                      <w:b/>
                      <w:bCs/>
                      <w:noProof/>
                    </w:rPr>
                    <w:t>Amending Article 29(4</w:t>
                  </w:r>
                  <w:r w:rsidRPr="00F81955">
                    <w:rPr>
                      <w:noProof/>
                    </w:rPr>
                    <w:t>): Notified bodies which apply for a single assessment shall submit the single application to the notifying authority. The notified body shall update the documentation if relevant changes occur.</w:t>
                  </w:r>
                </w:p>
              </w:tc>
              <w:tc>
                <w:tcPr>
                  <w:tcW w:w="3225" w:type="dxa"/>
                </w:tcPr>
                <w:p w:rsidR="00CE08C2" w:rsidRPr="00F81955" w:rsidRDefault="00CE08C2" w:rsidP="00CE08C2">
                  <w:pPr>
                    <w:jc w:val="left"/>
                    <w:rPr>
                      <w:noProof/>
                      <w:color w:val="000000" w:themeColor="text1"/>
                    </w:rPr>
                  </w:pPr>
                  <w:r w:rsidRPr="00F81955">
                    <w:rPr>
                      <w:noProof/>
                      <w:color w:val="000000" w:themeColor="text1"/>
                      <w:szCs w:val="24"/>
                    </w:rPr>
                    <w:t>Notified bodies</w:t>
                  </w:r>
                </w:p>
                <w:p w:rsidR="00CE08C2" w:rsidRPr="00F81955" w:rsidRDefault="00CE08C2" w:rsidP="00CE08C2">
                  <w:pPr>
                    <w:jc w:val="left"/>
                    <w:rPr>
                      <w:noProof/>
                      <w:color w:val="000000" w:themeColor="text1"/>
                    </w:rPr>
                  </w:pPr>
                  <w:r w:rsidRPr="00F81955">
                    <w:rPr>
                      <w:noProof/>
                      <w:color w:val="000000" w:themeColor="text1"/>
                      <w:szCs w:val="24"/>
                    </w:rPr>
                    <w:t>Notifying authority</w:t>
                  </w:r>
                </w:p>
              </w:tc>
              <w:tc>
                <w:tcPr>
                  <w:tcW w:w="2131" w:type="dxa"/>
                </w:tcPr>
                <w:p w:rsidR="00CE08C2" w:rsidRPr="00F81955" w:rsidRDefault="00CE08C2" w:rsidP="00CE08C2">
                  <w:pPr>
                    <w:jc w:val="left"/>
                    <w:rPr>
                      <w:noProof/>
                      <w:color w:val="000000" w:themeColor="text1"/>
                    </w:rPr>
                  </w:pPr>
                  <w:r w:rsidRPr="00F81955">
                    <w:rPr>
                      <w:noProof/>
                      <w:color w:val="000000" w:themeColor="text1"/>
                      <w:szCs w:val="24"/>
                    </w:rPr>
                    <w:t>Application submission</w:t>
                  </w:r>
                </w:p>
              </w:tc>
              <w:tc>
                <w:tcPr>
                  <w:tcW w:w="2184" w:type="dxa"/>
                </w:tcPr>
                <w:p w:rsidR="00CE08C2" w:rsidRPr="00F81955" w:rsidRDefault="00CE08C2" w:rsidP="00CE08C2">
                  <w:pPr>
                    <w:jc w:val="left"/>
                    <w:rPr>
                      <w:noProof/>
                    </w:rPr>
                  </w:pPr>
                  <w:r w:rsidRPr="00F81955">
                    <w:rPr>
                      <w:noProof/>
                    </w:rPr>
                    <w:t>Data</w:t>
                  </w:r>
                </w:p>
              </w:tc>
            </w:tr>
            <w:tr w:rsidR="00CE08C2" w:rsidRPr="00F81955" w:rsidTr="00CB020E">
              <w:trPr>
                <w:trHeight w:val="300"/>
              </w:trPr>
              <w:tc>
                <w:tcPr>
                  <w:tcW w:w="1935" w:type="dxa"/>
                </w:tcPr>
                <w:p w:rsidR="00CE08C2" w:rsidRPr="00F81955" w:rsidRDefault="00CE08C2" w:rsidP="00CE08C2">
                  <w:pPr>
                    <w:spacing w:line="259" w:lineRule="auto"/>
                    <w:jc w:val="left"/>
                    <w:rPr>
                      <w:noProof/>
                    </w:rPr>
                  </w:pPr>
                  <w:r w:rsidRPr="00F81955">
                    <w:rPr>
                      <w:noProof/>
                    </w:rPr>
                    <w:t>Article 1(1</w:t>
                  </w:r>
                  <w:r w:rsidR="00F5098F" w:rsidRPr="00F81955">
                    <w:rPr>
                      <w:noProof/>
                    </w:rPr>
                    <w:t>6</w:t>
                  </w:r>
                  <w:r w:rsidRPr="00F81955">
                    <w:rPr>
                      <w:noProof/>
                    </w:rPr>
                    <w:t>)</w:t>
                  </w:r>
                </w:p>
              </w:tc>
              <w:tc>
                <w:tcPr>
                  <w:tcW w:w="4695" w:type="dxa"/>
                </w:tcPr>
                <w:p w:rsidR="00CE08C2" w:rsidRPr="00F81955" w:rsidRDefault="00CE08C2" w:rsidP="00CE08C2">
                  <w:pPr>
                    <w:jc w:val="left"/>
                    <w:rPr>
                      <w:noProof/>
                    </w:rPr>
                  </w:pPr>
                  <w:r w:rsidRPr="00F81955">
                    <w:rPr>
                      <w:b/>
                      <w:bCs/>
                      <w:noProof/>
                    </w:rPr>
                    <w:t>Amending Article 56(6)</w:t>
                  </w:r>
                  <w:r w:rsidRPr="00F81955">
                    <w:rPr>
                      <w:noProof/>
                    </w:rPr>
                    <w:t>: The Commission shall publish its assessments on the adequacy of the codes of practice.</w:t>
                  </w:r>
                </w:p>
              </w:tc>
              <w:tc>
                <w:tcPr>
                  <w:tcW w:w="3225" w:type="dxa"/>
                </w:tcPr>
                <w:p w:rsidR="00CE08C2" w:rsidRPr="00F81955" w:rsidRDefault="00CE08C2" w:rsidP="00CE08C2">
                  <w:pPr>
                    <w:jc w:val="left"/>
                    <w:rPr>
                      <w:noProof/>
                      <w:color w:val="000000" w:themeColor="text1"/>
                    </w:rPr>
                  </w:pPr>
                  <w:r w:rsidRPr="00F81955">
                    <w:rPr>
                      <w:noProof/>
                      <w:color w:val="000000" w:themeColor="text1"/>
                      <w:szCs w:val="24"/>
                    </w:rPr>
                    <w:t>European Commission</w:t>
                  </w:r>
                </w:p>
              </w:tc>
              <w:tc>
                <w:tcPr>
                  <w:tcW w:w="2131" w:type="dxa"/>
                </w:tcPr>
                <w:p w:rsidR="00CE08C2" w:rsidRPr="00F81955" w:rsidRDefault="00CE08C2" w:rsidP="00CE08C2">
                  <w:pPr>
                    <w:jc w:val="left"/>
                    <w:rPr>
                      <w:noProof/>
                      <w:color w:val="000000" w:themeColor="text1"/>
                    </w:rPr>
                  </w:pPr>
                  <w:r w:rsidRPr="00F81955">
                    <w:rPr>
                      <w:noProof/>
                      <w:color w:val="000000" w:themeColor="text1"/>
                      <w:szCs w:val="24"/>
                    </w:rPr>
                    <w:t>Assessment publication</w:t>
                  </w:r>
                </w:p>
              </w:tc>
              <w:tc>
                <w:tcPr>
                  <w:tcW w:w="2184" w:type="dxa"/>
                </w:tcPr>
                <w:p w:rsidR="00CE08C2" w:rsidRPr="00F81955" w:rsidRDefault="00CE08C2" w:rsidP="00CE08C2">
                  <w:pPr>
                    <w:jc w:val="left"/>
                    <w:rPr>
                      <w:noProof/>
                    </w:rPr>
                  </w:pPr>
                  <w:r w:rsidRPr="00F81955">
                    <w:rPr>
                      <w:noProof/>
                    </w:rPr>
                    <w:t>Data</w:t>
                  </w:r>
                </w:p>
              </w:tc>
            </w:tr>
            <w:tr w:rsidR="00CE08C2" w:rsidRPr="00F81955" w:rsidTr="00CB020E">
              <w:trPr>
                <w:trHeight w:val="300"/>
              </w:trPr>
              <w:tc>
                <w:tcPr>
                  <w:tcW w:w="1935" w:type="dxa"/>
                </w:tcPr>
                <w:p w:rsidR="00CE08C2" w:rsidRPr="00F81955" w:rsidRDefault="00CE08C2" w:rsidP="00CE08C2">
                  <w:pPr>
                    <w:spacing w:line="259" w:lineRule="auto"/>
                    <w:jc w:val="left"/>
                    <w:rPr>
                      <w:noProof/>
                    </w:rPr>
                  </w:pPr>
                  <w:r w:rsidRPr="00F81955">
                    <w:rPr>
                      <w:noProof/>
                    </w:rPr>
                    <w:t>Article 1(</w:t>
                  </w:r>
                  <w:r w:rsidR="00100E14" w:rsidRPr="00F81955">
                    <w:rPr>
                      <w:noProof/>
                    </w:rPr>
                    <w:t>26</w:t>
                  </w:r>
                  <w:r w:rsidRPr="00F81955">
                    <w:rPr>
                      <w:noProof/>
                    </w:rPr>
                    <w:t>)</w:t>
                  </w:r>
                </w:p>
              </w:tc>
              <w:tc>
                <w:tcPr>
                  <w:tcW w:w="4695" w:type="dxa"/>
                </w:tcPr>
                <w:p w:rsidR="00CE08C2" w:rsidRPr="00F81955" w:rsidRDefault="00CE08C2" w:rsidP="00CE08C2">
                  <w:pPr>
                    <w:jc w:val="left"/>
                    <w:rPr>
                      <w:noProof/>
                    </w:rPr>
                  </w:pPr>
                  <w:r w:rsidRPr="00F81955">
                    <w:rPr>
                      <w:b/>
                      <w:bCs/>
                      <w:noProof/>
                    </w:rPr>
                    <w:t>Amending Article 77</w:t>
                  </w:r>
                  <w:r w:rsidRPr="00F81955">
                    <w:rPr>
                      <w:noProof/>
                    </w:rPr>
                    <w:t>:</w:t>
                  </w:r>
                </w:p>
                <w:p w:rsidR="00CE08C2" w:rsidRPr="00F81955" w:rsidRDefault="00CE08C2" w:rsidP="00594141">
                  <w:pPr>
                    <w:pStyle w:val="ListParagraph"/>
                    <w:numPr>
                      <w:ilvl w:val="0"/>
                      <w:numId w:val="19"/>
                    </w:numPr>
                    <w:jc w:val="left"/>
                    <w:rPr>
                      <w:noProof/>
                    </w:rPr>
                  </w:pPr>
                  <w:r w:rsidRPr="00F81955">
                    <w:rPr>
                      <w:b/>
                      <w:bCs/>
                      <w:noProof/>
                    </w:rPr>
                    <w:t>Paragraph 1</w:t>
                  </w:r>
                  <w:r w:rsidRPr="00F81955">
                    <w:rPr>
                      <w:noProof/>
                    </w:rPr>
                    <w:t>: National public authorities/bodies which supervise/enforce EU law obligations protecting fundamental rights may make a reasoned request and access any information/documentation from the relevant market surveillance authority</w:t>
                  </w:r>
                </w:p>
                <w:p w:rsidR="00CE08C2" w:rsidRPr="00F81955" w:rsidRDefault="00CE08C2" w:rsidP="00594141">
                  <w:pPr>
                    <w:pStyle w:val="ListParagraph"/>
                    <w:numPr>
                      <w:ilvl w:val="0"/>
                      <w:numId w:val="19"/>
                    </w:numPr>
                    <w:jc w:val="left"/>
                    <w:rPr>
                      <w:noProof/>
                    </w:rPr>
                  </w:pPr>
                  <w:r w:rsidRPr="00F81955">
                    <w:rPr>
                      <w:b/>
                      <w:bCs/>
                      <w:noProof/>
                    </w:rPr>
                    <w:t>Paragraph 1a</w:t>
                  </w:r>
                  <w:r w:rsidRPr="00F81955">
                    <w:rPr>
                      <w:noProof/>
                    </w:rPr>
                    <w:t>: market surveillance authority shall grant access and, where needed, request the information from the provider/deployer</w:t>
                  </w:r>
                </w:p>
                <w:p w:rsidR="00CE08C2" w:rsidRPr="00F81955" w:rsidRDefault="00CE08C2" w:rsidP="00594141">
                  <w:pPr>
                    <w:pStyle w:val="ListParagraph"/>
                    <w:numPr>
                      <w:ilvl w:val="0"/>
                      <w:numId w:val="19"/>
                    </w:numPr>
                    <w:jc w:val="left"/>
                    <w:rPr>
                      <w:noProof/>
                    </w:rPr>
                  </w:pPr>
                  <w:r w:rsidRPr="00F81955">
                    <w:rPr>
                      <w:b/>
                      <w:bCs/>
                      <w:noProof/>
                    </w:rPr>
                    <w:t>Paragraph 1b</w:t>
                  </w:r>
                  <w:r w:rsidRPr="00F81955">
                    <w:rPr>
                      <w:noProof/>
                    </w:rPr>
                    <w:t>: where necessary, the aforementioned market surveillance authorities and public authorities/bodies shall exchange information.</w:t>
                  </w:r>
                </w:p>
              </w:tc>
              <w:tc>
                <w:tcPr>
                  <w:tcW w:w="3225" w:type="dxa"/>
                </w:tcPr>
                <w:p w:rsidR="00CE08C2" w:rsidRPr="00F81955" w:rsidRDefault="00CE08C2" w:rsidP="00CE08C2">
                  <w:pPr>
                    <w:jc w:val="left"/>
                    <w:rPr>
                      <w:noProof/>
                      <w:color w:val="000000" w:themeColor="text1"/>
                    </w:rPr>
                  </w:pPr>
                  <w:r w:rsidRPr="00F81955">
                    <w:rPr>
                      <w:noProof/>
                      <w:color w:val="000000" w:themeColor="text1"/>
                      <w:szCs w:val="24"/>
                    </w:rPr>
                    <w:t>National public authorities/bodies which supervise/enforce EU law obligations protecting fundamental rights</w:t>
                  </w:r>
                </w:p>
                <w:p w:rsidR="00CE08C2" w:rsidRPr="00F81955" w:rsidRDefault="00CE08C2" w:rsidP="00CE08C2">
                  <w:pPr>
                    <w:jc w:val="left"/>
                    <w:rPr>
                      <w:noProof/>
                      <w:color w:val="000000" w:themeColor="text1"/>
                    </w:rPr>
                  </w:pPr>
                  <w:r w:rsidRPr="00F81955">
                    <w:rPr>
                      <w:noProof/>
                      <w:color w:val="000000" w:themeColor="text1"/>
                      <w:szCs w:val="24"/>
                    </w:rPr>
                    <w:t>Market surveillance authorities</w:t>
                  </w:r>
                </w:p>
                <w:p w:rsidR="00CE08C2" w:rsidRPr="00F81955" w:rsidRDefault="00CE08C2" w:rsidP="00CE08C2">
                  <w:pPr>
                    <w:jc w:val="left"/>
                    <w:rPr>
                      <w:noProof/>
                      <w:color w:val="000000" w:themeColor="text1"/>
                    </w:rPr>
                  </w:pPr>
                  <w:r w:rsidRPr="00F81955">
                    <w:rPr>
                      <w:noProof/>
                      <w:color w:val="000000" w:themeColor="text1"/>
                      <w:szCs w:val="24"/>
                    </w:rPr>
                    <w:t>Providers/deployers of AI systems</w:t>
                  </w:r>
                </w:p>
                <w:p w:rsidR="00CE08C2" w:rsidRPr="00F81955" w:rsidRDefault="00CE08C2" w:rsidP="00CE08C2">
                  <w:pPr>
                    <w:jc w:val="left"/>
                    <w:rPr>
                      <w:noProof/>
                      <w:color w:val="000000" w:themeColor="text1"/>
                    </w:rPr>
                  </w:pPr>
                </w:p>
              </w:tc>
              <w:tc>
                <w:tcPr>
                  <w:tcW w:w="2131" w:type="dxa"/>
                </w:tcPr>
                <w:p w:rsidR="00CE08C2" w:rsidRPr="00F81955" w:rsidRDefault="00CE08C2" w:rsidP="00CE08C2">
                  <w:pPr>
                    <w:jc w:val="left"/>
                    <w:rPr>
                      <w:noProof/>
                      <w:color w:val="000000" w:themeColor="text1"/>
                    </w:rPr>
                  </w:pPr>
                  <w:r w:rsidRPr="00F81955">
                    <w:rPr>
                      <w:noProof/>
                      <w:color w:val="000000" w:themeColor="text1"/>
                      <w:szCs w:val="24"/>
                    </w:rPr>
                    <w:t>Information exchange</w:t>
                  </w:r>
                </w:p>
              </w:tc>
              <w:tc>
                <w:tcPr>
                  <w:tcW w:w="2184" w:type="dxa"/>
                </w:tcPr>
                <w:p w:rsidR="00CE08C2" w:rsidRPr="00F81955" w:rsidRDefault="00CE08C2" w:rsidP="00CE08C2">
                  <w:pPr>
                    <w:jc w:val="left"/>
                    <w:rPr>
                      <w:noProof/>
                    </w:rPr>
                  </w:pPr>
                  <w:r w:rsidRPr="00F81955">
                    <w:rPr>
                      <w:noProof/>
                    </w:rPr>
                    <w:t>Data</w:t>
                  </w:r>
                </w:p>
              </w:tc>
            </w:tr>
          </w:tbl>
          <w:p w:rsidR="00CE08C2" w:rsidRPr="00F81955" w:rsidRDefault="00CE08C2" w:rsidP="00CE08C2">
            <w:pPr>
              <w:rPr>
                <w:b/>
                <w:bCs/>
                <w:noProof/>
              </w:rPr>
            </w:pPr>
          </w:p>
          <w:p w:rsidR="009C3EE2" w:rsidRPr="00F81955" w:rsidRDefault="009C3EE2" w:rsidP="00CE08C2">
            <w:pPr>
              <w:rPr>
                <w:noProof/>
                <w:color w:val="0000FF"/>
              </w:rPr>
            </w:pPr>
          </w:p>
        </w:tc>
      </w:tr>
    </w:tbl>
    <w:p w:rsidR="009C3EE2" w:rsidRPr="00F81955" w:rsidRDefault="009C3EE2" w:rsidP="0002735A">
      <w:pPr>
        <w:pStyle w:val="ManualHeading2"/>
        <w:rPr>
          <w:noProof/>
        </w:rPr>
      </w:pPr>
      <w:r w:rsidRPr="00F81955">
        <w:rPr>
          <w:noProof/>
        </w:rPr>
        <w:t>4.2.</w:t>
      </w:r>
      <w:r w:rsidRPr="00F81955">
        <w:rPr>
          <w:noProof/>
        </w:rPr>
        <w:tab/>
        <w:t>Data</w:t>
      </w:r>
    </w:p>
    <w:tbl>
      <w:tblPr>
        <w:tblStyle w:val="TableGrid"/>
        <w:tblW w:w="0" w:type="auto"/>
        <w:tblLook w:val="04A0" w:firstRow="1" w:lastRow="0" w:firstColumn="1" w:lastColumn="0" w:noHBand="0" w:noVBand="1"/>
      </w:tblPr>
      <w:tblGrid>
        <w:gridCol w:w="14476"/>
      </w:tblGrid>
      <w:tr w:rsidR="009C3EE2" w:rsidRPr="00F81955" w:rsidTr="00A037B4">
        <w:tc>
          <w:tcPr>
            <w:tcW w:w="14466" w:type="dxa"/>
          </w:tcPr>
          <w:p w:rsidR="00AD6026" w:rsidRPr="00F81955" w:rsidRDefault="00AD6026" w:rsidP="00AD6026">
            <w:pPr>
              <w:rPr>
                <w:i/>
                <w:iCs/>
                <w:noProof/>
              </w:rPr>
            </w:pPr>
            <w:r w:rsidRPr="00F81955">
              <w:rPr>
                <w:i/>
                <w:iCs/>
                <w:noProof/>
              </w:rPr>
              <w:t>High-level description of the data in scope</w:t>
            </w:r>
          </w:p>
          <w:tbl>
            <w:tblPr>
              <w:tblStyle w:val="TableGrid"/>
              <w:tblW w:w="1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686"/>
              <w:gridCol w:w="5324"/>
            </w:tblGrid>
            <w:tr w:rsidR="00AD6026" w:rsidRPr="00F81955" w:rsidTr="00A037B4">
              <w:tc>
                <w:tcPr>
                  <w:tcW w:w="5240" w:type="dxa"/>
                </w:tcPr>
                <w:p w:rsidR="00AD6026" w:rsidRPr="00F81955" w:rsidRDefault="00AD6026" w:rsidP="00AD6026">
                  <w:pPr>
                    <w:jc w:val="left"/>
                    <w:rPr>
                      <w:b/>
                      <w:bCs/>
                      <w:noProof/>
                    </w:rPr>
                  </w:pPr>
                  <w:r w:rsidRPr="00F81955">
                    <w:rPr>
                      <w:b/>
                      <w:bCs/>
                      <w:noProof/>
                    </w:rPr>
                    <w:t xml:space="preserve">Type of data </w:t>
                  </w:r>
                </w:p>
              </w:tc>
              <w:tc>
                <w:tcPr>
                  <w:tcW w:w="3686" w:type="dxa"/>
                </w:tcPr>
                <w:p w:rsidR="00AD6026" w:rsidRPr="00F81955" w:rsidRDefault="00AD6026" w:rsidP="00AD6026">
                  <w:pPr>
                    <w:jc w:val="left"/>
                    <w:rPr>
                      <w:b/>
                      <w:bCs/>
                      <w:noProof/>
                    </w:rPr>
                  </w:pPr>
                  <w:r w:rsidRPr="00F81955">
                    <w:rPr>
                      <w:b/>
                      <w:bCs/>
                      <w:noProof/>
                    </w:rPr>
                    <w:t>Reference to the requirement(s)</w:t>
                  </w:r>
                </w:p>
              </w:tc>
              <w:tc>
                <w:tcPr>
                  <w:tcW w:w="5324" w:type="dxa"/>
                </w:tcPr>
                <w:p w:rsidR="00AD6026" w:rsidRPr="00F81955" w:rsidRDefault="00AD6026" w:rsidP="00AD6026">
                  <w:pPr>
                    <w:jc w:val="left"/>
                    <w:rPr>
                      <w:b/>
                      <w:bCs/>
                      <w:noProof/>
                    </w:rPr>
                  </w:pPr>
                  <w:r w:rsidRPr="00F81955">
                    <w:rPr>
                      <w:b/>
                      <w:bCs/>
                      <w:noProof/>
                    </w:rPr>
                    <w:t>Standard and/or specification (if applicable)</w:t>
                  </w:r>
                </w:p>
              </w:tc>
            </w:tr>
            <w:tr w:rsidR="00AD6026" w:rsidRPr="00F81955" w:rsidTr="00A037B4">
              <w:tc>
                <w:tcPr>
                  <w:tcW w:w="5240" w:type="dxa"/>
                </w:tcPr>
                <w:p w:rsidR="00AD6026" w:rsidRPr="00F81955" w:rsidRDefault="00AD6026" w:rsidP="00AD6026">
                  <w:pPr>
                    <w:jc w:val="left"/>
                    <w:rPr>
                      <w:noProof/>
                    </w:rPr>
                  </w:pPr>
                  <w:r w:rsidRPr="00F81955">
                    <w:rPr>
                      <w:noProof/>
                    </w:rPr>
                    <w:t>Special categories of personal data (where the processing is needed for bias detection/correction)</w:t>
                  </w:r>
                </w:p>
              </w:tc>
              <w:tc>
                <w:tcPr>
                  <w:tcW w:w="3686" w:type="dxa"/>
                </w:tcPr>
                <w:p w:rsidR="00AD6026" w:rsidRPr="00F81955" w:rsidRDefault="00AD6026" w:rsidP="00AD6026">
                  <w:pPr>
                    <w:jc w:val="left"/>
                    <w:rPr>
                      <w:noProof/>
                    </w:rPr>
                  </w:pPr>
                  <w:r w:rsidRPr="00F81955">
                    <w:rPr>
                      <w:noProof/>
                    </w:rPr>
                    <w:t>Article 1(</w:t>
                  </w:r>
                  <w:r w:rsidR="00100E14" w:rsidRPr="00F81955">
                    <w:rPr>
                      <w:noProof/>
                    </w:rPr>
                    <w:t>5</w:t>
                  </w:r>
                  <w:r w:rsidRPr="00F81955">
                    <w:rPr>
                      <w:noProof/>
                    </w:rPr>
                    <w:t>)</w:t>
                  </w:r>
                </w:p>
              </w:tc>
              <w:tc>
                <w:tcPr>
                  <w:tcW w:w="5324" w:type="dxa"/>
                </w:tcPr>
                <w:p w:rsidR="00AD6026" w:rsidRPr="00F81955" w:rsidRDefault="00AD6026" w:rsidP="00AD6026">
                  <w:pPr>
                    <w:jc w:val="left"/>
                    <w:rPr>
                      <w:noProof/>
                    </w:rPr>
                  </w:pPr>
                  <w:r w:rsidRPr="00F81955">
                    <w:rPr>
                      <w:noProof/>
                    </w:rPr>
                    <w:t>//</w:t>
                  </w:r>
                </w:p>
              </w:tc>
            </w:tr>
            <w:tr w:rsidR="00AD6026" w:rsidRPr="00F81955" w:rsidTr="00A037B4">
              <w:tc>
                <w:tcPr>
                  <w:tcW w:w="5240" w:type="dxa"/>
                </w:tcPr>
                <w:p w:rsidR="00AD6026" w:rsidRPr="00F81955" w:rsidRDefault="00AD6026" w:rsidP="00AD6026">
                  <w:pPr>
                    <w:spacing w:line="259" w:lineRule="auto"/>
                    <w:jc w:val="left"/>
                    <w:rPr>
                      <w:noProof/>
                    </w:rPr>
                  </w:pPr>
                  <w:r w:rsidRPr="00F81955">
                    <w:rPr>
                      <w:noProof/>
                    </w:rPr>
                    <w:t>Technical documentation for high-risk AI systems</w:t>
                  </w:r>
                </w:p>
              </w:tc>
              <w:tc>
                <w:tcPr>
                  <w:tcW w:w="3686" w:type="dxa"/>
                </w:tcPr>
                <w:p w:rsidR="00AD6026" w:rsidRPr="00F81955" w:rsidRDefault="00AD6026" w:rsidP="00AD6026">
                  <w:pPr>
                    <w:spacing w:line="259" w:lineRule="auto"/>
                    <w:jc w:val="left"/>
                    <w:rPr>
                      <w:noProof/>
                    </w:rPr>
                  </w:pPr>
                  <w:r w:rsidRPr="00F81955">
                    <w:rPr>
                      <w:noProof/>
                      <w:color w:val="000000" w:themeColor="text1"/>
                      <w:szCs w:val="24"/>
                    </w:rPr>
                    <w:t>Article 1(</w:t>
                  </w:r>
                  <w:r w:rsidR="00100E14" w:rsidRPr="00F81955">
                    <w:rPr>
                      <w:noProof/>
                      <w:color w:val="000000" w:themeColor="text1"/>
                      <w:szCs w:val="24"/>
                    </w:rPr>
                    <w:t>8</w:t>
                  </w:r>
                  <w:r w:rsidRPr="00F81955">
                    <w:rPr>
                      <w:noProof/>
                      <w:color w:val="000000" w:themeColor="text1"/>
                      <w:szCs w:val="24"/>
                    </w:rPr>
                    <w:t>)</w:t>
                  </w:r>
                </w:p>
              </w:tc>
              <w:tc>
                <w:tcPr>
                  <w:tcW w:w="5324" w:type="dxa"/>
                </w:tcPr>
                <w:p w:rsidR="00AD6026" w:rsidRPr="00F81955" w:rsidRDefault="00AD6026" w:rsidP="00AD6026">
                  <w:pPr>
                    <w:jc w:val="left"/>
                    <w:rPr>
                      <w:noProof/>
                    </w:rPr>
                  </w:pPr>
                  <w:r w:rsidRPr="00F81955">
                    <w:rPr>
                      <w:noProof/>
                    </w:rPr>
                    <w:t xml:space="preserve">Technical documentation shall contain, at a minimum, the elements set out in Annex IV of the AI Act. The Commission shall establish a simplified technical documentation form targeted at SMCs and SMEs.   </w:t>
                  </w:r>
                </w:p>
              </w:tc>
            </w:tr>
            <w:tr w:rsidR="00AD6026" w:rsidRPr="00F81955" w:rsidTr="00A037B4">
              <w:trPr>
                <w:trHeight w:val="300"/>
              </w:trPr>
              <w:tc>
                <w:tcPr>
                  <w:tcW w:w="5240" w:type="dxa"/>
                </w:tcPr>
                <w:p w:rsidR="00AD6026" w:rsidRPr="00F81955" w:rsidRDefault="00AD6026" w:rsidP="00AD6026">
                  <w:pPr>
                    <w:spacing w:line="259" w:lineRule="auto"/>
                    <w:jc w:val="left"/>
                    <w:rPr>
                      <w:noProof/>
                    </w:rPr>
                  </w:pPr>
                  <w:r w:rsidRPr="00F81955">
                    <w:rPr>
                      <w:noProof/>
                    </w:rPr>
                    <w:t>Applications of conformity assessment bodies for designation</w:t>
                  </w:r>
                </w:p>
              </w:tc>
              <w:tc>
                <w:tcPr>
                  <w:tcW w:w="3686" w:type="dxa"/>
                </w:tcPr>
                <w:p w:rsidR="00AD6026" w:rsidRPr="00F81955" w:rsidRDefault="00AD6026" w:rsidP="00AD6026">
                  <w:pPr>
                    <w:spacing w:line="259" w:lineRule="auto"/>
                    <w:jc w:val="left"/>
                    <w:rPr>
                      <w:noProof/>
                      <w:color w:val="000000" w:themeColor="text1"/>
                    </w:rPr>
                  </w:pPr>
                  <w:r w:rsidRPr="00F81955">
                    <w:rPr>
                      <w:noProof/>
                      <w:color w:val="000000" w:themeColor="text1"/>
                      <w:szCs w:val="24"/>
                    </w:rPr>
                    <w:t>Article 1(</w:t>
                  </w:r>
                  <w:r w:rsidR="00100E14" w:rsidRPr="00F81955">
                    <w:rPr>
                      <w:noProof/>
                      <w:color w:val="000000" w:themeColor="text1"/>
                      <w:szCs w:val="24"/>
                    </w:rPr>
                    <w:t>10</w:t>
                  </w:r>
                  <w:r w:rsidRPr="00F81955">
                    <w:rPr>
                      <w:noProof/>
                      <w:color w:val="000000" w:themeColor="text1"/>
                      <w:szCs w:val="24"/>
                    </w:rPr>
                    <w:t>)</w:t>
                  </w:r>
                </w:p>
              </w:tc>
              <w:tc>
                <w:tcPr>
                  <w:tcW w:w="5324" w:type="dxa"/>
                </w:tcPr>
                <w:p w:rsidR="00AD6026" w:rsidRPr="00F81955" w:rsidRDefault="00AD6026" w:rsidP="00AD6026">
                  <w:pPr>
                    <w:jc w:val="left"/>
                    <w:rPr>
                      <w:noProof/>
                    </w:rPr>
                  </w:pPr>
                  <w:r w:rsidRPr="00F81955">
                    <w:rPr>
                      <w:noProof/>
                    </w:rPr>
                    <w:t>//</w:t>
                  </w:r>
                </w:p>
              </w:tc>
            </w:tr>
            <w:tr w:rsidR="00AD6026" w:rsidRPr="00F81955" w:rsidTr="00A037B4">
              <w:trPr>
                <w:trHeight w:val="300"/>
              </w:trPr>
              <w:tc>
                <w:tcPr>
                  <w:tcW w:w="5240" w:type="dxa"/>
                </w:tcPr>
                <w:p w:rsidR="00AD6026" w:rsidRPr="00F81955" w:rsidRDefault="00AD6026" w:rsidP="00AD6026">
                  <w:pPr>
                    <w:spacing w:line="259" w:lineRule="auto"/>
                    <w:jc w:val="left"/>
                    <w:rPr>
                      <w:noProof/>
                    </w:rPr>
                  </w:pPr>
                  <w:r w:rsidRPr="00F81955">
                    <w:rPr>
                      <w:noProof/>
                    </w:rPr>
                    <w:t>Applications of a conformity assessment bodies for notification</w:t>
                  </w:r>
                </w:p>
              </w:tc>
              <w:tc>
                <w:tcPr>
                  <w:tcW w:w="3686" w:type="dxa"/>
                </w:tcPr>
                <w:p w:rsidR="00AD6026" w:rsidRPr="00F81955" w:rsidRDefault="00AD6026" w:rsidP="00AD6026">
                  <w:pPr>
                    <w:spacing w:line="259" w:lineRule="auto"/>
                    <w:jc w:val="left"/>
                    <w:rPr>
                      <w:noProof/>
                      <w:color w:val="000000" w:themeColor="text1"/>
                    </w:rPr>
                  </w:pPr>
                  <w:r w:rsidRPr="00F81955">
                    <w:rPr>
                      <w:noProof/>
                      <w:color w:val="000000" w:themeColor="text1"/>
                      <w:szCs w:val="24"/>
                    </w:rPr>
                    <w:t>Article 1(</w:t>
                  </w:r>
                  <w:r w:rsidR="00100E14" w:rsidRPr="00F81955">
                    <w:rPr>
                      <w:noProof/>
                      <w:color w:val="000000" w:themeColor="text1"/>
                      <w:szCs w:val="24"/>
                    </w:rPr>
                    <w:t>11</w:t>
                  </w:r>
                  <w:r w:rsidRPr="00F81955">
                    <w:rPr>
                      <w:noProof/>
                      <w:color w:val="000000" w:themeColor="text1"/>
                      <w:szCs w:val="24"/>
                    </w:rPr>
                    <w:t>)</w:t>
                  </w:r>
                </w:p>
              </w:tc>
              <w:tc>
                <w:tcPr>
                  <w:tcW w:w="5324" w:type="dxa"/>
                </w:tcPr>
                <w:p w:rsidR="00AD6026" w:rsidRPr="00F81955" w:rsidRDefault="00AD6026" w:rsidP="00AD6026">
                  <w:pPr>
                    <w:jc w:val="left"/>
                    <w:rPr>
                      <w:noProof/>
                    </w:rPr>
                  </w:pPr>
                  <w:r w:rsidRPr="00F81955">
                    <w:rPr>
                      <w:noProof/>
                    </w:rPr>
                    <w:t>The notified body shall update the relevant documentation whenever relevant changes occur.</w:t>
                  </w:r>
                </w:p>
              </w:tc>
            </w:tr>
            <w:tr w:rsidR="00AD6026" w:rsidRPr="00F81955" w:rsidTr="00A037B4">
              <w:trPr>
                <w:trHeight w:val="300"/>
              </w:trPr>
              <w:tc>
                <w:tcPr>
                  <w:tcW w:w="5240" w:type="dxa"/>
                </w:tcPr>
                <w:p w:rsidR="00AD6026" w:rsidRPr="00F81955" w:rsidRDefault="00AD6026" w:rsidP="00AD6026">
                  <w:pPr>
                    <w:spacing w:line="259" w:lineRule="auto"/>
                    <w:jc w:val="left"/>
                    <w:rPr>
                      <w:noProof/>
                    </w:rPr>
                  </w:pPr>
                  <w:r w:rsidRPr="00F81955">
                    <w:rPr>
                      <w:noProof/>
                    </w:rPr>
                    <w:t>Commission assessment of the adequacy of the codes of practice</w:t>
                  </w:r>
                </w:p>
              </w:tc>
              <w:tc>
                <w:tcPr>
                  <w:tcW w:w="3686" w:type="dxa"/>
                </w:tcPr>
                <w:p w:rsidR="00AD6026" w:rsidRPr="00F81955" w:rsidRDefault="00AD6026" w:rsidP="00AD6026">
                  <w:pPr>
                    <w:spacing w:line="259" w:lineRule="auto"/>
                    <w:jc w:val="left"/>
                    <w:rPr>
                      <w:noProof/>
                      <w:color w:val="000000" w:themeColor="text1"/>
                    </w:rPr>
                  </w:pPr>
                  <w:r w:rsidRPr="00F81955">
                    <w:rPr>
                      <w:noProof/>
                      <w:color w:val="000000" w:themeColor="text1"/>
                      <w:szCs w:val="24"/>
                    </w:rPr>
                    <w:t>Article 1(1</w:t>
                  </w:r>
                  <w:r w:rsidR="00F5098F" w:rsidRPr="00F81955">
                    <w:rPr>
                      <w:noProof/>
                      <w:color w:val="000000" w:themeColor="text1"/>
                      <w:szCs w:val="24"/>
                    </w:rPr>
                    <w:t>6</w:t>
                  </w:r>
                  <w:r w:rsidRPr="00F81955">
                    <w:rPr>
                      <w:noProof/>
                      <w:color w:val="000000" w:themeColor="text1"/>
                      <w:szCs w:val="24"/>
                    </w:rPr>
                    <w:t>)</w:t>
                  </w:r>
                </w:p>
              </w:tc>
              <w:tc>
                <w:tcPr>
                  <w:tcW w:w="5324" w:type="dxa"/>
                </w:tcPr>
                <w:p w:rsidR="00AD6026" w:rsidRPr="00F81955" w:rsidRDefault="00AD6026" w:rsidP="00AD6026">
                  <w:pPr>
                    <w:jc w:val="left"/>
                    <w:rPr>
                      <w:noProof/>
                    </w:rPr>
                  </w:pPr>
                  <w:r w:rsidRPr="00F81955">
                    <w:rPr>
                      <w:noProof/>
                    </w:rPr>
                    <w:t>//</w:t>
                  </w:r>
                </w:p>
              </w:tc>
            </w:tr>
            <w:tr w:rsidR="00AD6026" w:rsidRPr="00F81955" w:rsidTr="00A037B4">
              <w:trPr>
                <w:trHeight w:val="300"/>
              </w:trPr>
              <w:tc>
                <w:tcPr>
                  <w:tcW w:w="5240" w:type="dxa"/>
                </w:tcPr>
                <w:p w:rsidR="00AD6026" w:rsidRPr="00F81955" w:rsidRDefault="00F5098F" w:rsidP="00AD6026">
                  <w:pPr>
                    <w:spacing w:line="259" w:lineRule="auto"/>
                    <w:jc w:val="left"/>
                    <w:rPr>
                      <w:noProof/>
                    </w:rPr>
                  </w:pPr>
                  <w:r w:rsidRPr="00F81955">
                    <w:rPr>
                      <w:noProof/>
                    </w:rPr>
                    <w:t>R</w:t>
                  </w:r>
                  <w:r w:rsidR="00AD6026" w:rsidRPr="00F81955">
                    <w:rPr>
                      <w:noProof/>
                    </w:rPr>
                    <w:t>equest for access to information on AI systems</w:t>
                  </w:r>
                </w:p>
              </w:tc>
              <w:tc>
                <w:tcPr>
                  <w:tcW w:w="3686" w:type="dxa"/>
                </w:tcPr>
                <w:p w:rsidR="00AD6026" w:rsidRPr="00F81955" w:rsidRDefault="00AD6026" w:rsidP="00AD6026">
                  <w:pPr>
                    <w:spacing w:line="259" w:lineRule="auto"/>
                    <w:jc w:val="left"/>
                    <w:rPr>
                      <w:noProof/>
                      <w:color w:val="000000" w:themeColor="text1"/>
                    </w:rPr>
                  </w:pPr>
                  <w:r w:rsidRPr="00F81955">
                    <w:rPr>
                      <w:noProof/>
                      <w:color w:val="000000" w:themeColor="text1"/>
                      <w:szCs w:val="24"/>
                    </w:rPr>
                    <w:t>Article 1(</w:t>
                  </w:r>
                  <w:r w:rsidR="00100E14" w:rsidRPr="00F81955">
                    <w:rPr>
                      <w:noProof/>
                      <w:color w:val="000000" w:themeColor="text1"/>
                      <w:szCs w:val="24"/>
                    </w:rPr>
                    <w:t>26</w:t>
                  </w:r>
                  <w:r w:rsidRPr="00F81955">
                    <w:rPr>
                      <w:noProof/>
                      <w:color w:val="000000" w:themeColor="text1"/>
                      <w:szCs w:val="24"/>
                    </w:rPr>
                    <w:t>)</w:t>
                  </w:r>
                </w:p>
              </w:tc>
              <w:tc>
                <w:tcPr>
                  <w:tcW w:w="5324" w:type="dxa"/>
                </w:tcPr>
                <w:p w:rsidR="00AD6026" w:rsidRPr="00F81955" w:rsidRDefault="00AD6026" w:rsidP="00AD6026">
                  <w:pPr>
                    <w:jc w:val="left"/>
                    <w:rPr>
                      <w:noProof/>
                    </w:rPr>
                  </w:pPr>
                  <w:r w:rsidRPr="00F81955">
                    <w:rPr>
                      <w:noProof/>
                    </w:rPr>
                    <w:t>//</w:t>
                  </w:r>
                </w:p>
              </w:tc>
            </w:tr>
            <w:tr w:rsidR="00AD6026" w:rsidRPr="00F81955" w:rsidTr="00A037B4">
              <w:trPr>
                <w:trHeight w:val="300"/>
              </w:trPr>
              <w:tc>
                <w:tcPr>
                  <w:tcW w:w="5240" w:type="dxa"/>
                </w:tcPr>
                <w:p w:rsidR="00AD6026" w:rsidRPr="00F81955" w:rsidRDefault="00AD6026" w:rsidP="00AD6026">
                  <w:pPr>
                    <w:spacing w:line="259" w:lineRule="auto"/>
                    <w:jc w:val="left"/>
                    <w:rPr>
                      <w:noProof/>
                    </w:rPr>
                  </w:pPr>
                  <w:r w:rsidRPr="00F81955">
                    <w:rPr>
                      <w:noProof/>
                    </w:rPr>
                    <w:t>Information or documentation requested by national public authorities/bodies which supervise/enforce obligations relating to fundamental rights</w:t>
                  </w:r>
                </w:p>
              </w:tc>
              <w:tc>
                <w:tcPr>
                  <w:tcW w:w="3686" w:type="dxa"/>
                </w:tcPr>
                <w:p w:rsidR="00AD6026" w:rsidRPr="00F81955" w:rsidRDefault="00AD6026" w:rsidP="00AD6026">
                  <w:pPr>
                    <w:spacing w:line="259" w:lineRule="auto"/>
                    <w:jc w:val="left"/>
                    <w:rPr>
                      <w:noProof/>
                      <w:color w:val="000000" w:themeColor="text1"/>
                    </w:rPr>
                  </w:pPr>
                  <w:r w:rsidRPr="00F81955">
                    <w:rPr>
                      <w:noProof/>
                      <w:color w:val="000000" w:themeColor="text1"/>
                      <w:szCs w:val="24"/>
                    </w:rPr>
                    <w:t>Article 1(</w:t>
                  </w:r>
                  <w:r w:rsidR="00100E14" w:rsidRPr="00F81955">
                    <w:rPr>
                      <w:noProof/>
                      <w:color w:val="000000" w:themeColor="text1"/>
                      <w:szCs w:val="24"/>
                    </w:rPr>
                    <w:t>26</w:t>
                  </w:r>
                  <w:r w:rsidRPr="00F81955">
                    <w:rPr>
                      <w:noProof/>
                      <w:color w:val="000000" w:themeColor="text1"/>
                      <w:szCs w:val="24"/>
                    </w:rPr>
                    <w:t>)</w:t>
                  </w:r>
                </w:p>
              </w:tc>
              <w:tc>
                <w:tcPr>
                  <w:tcW w:w="5324" w:type="dxa"/>
                </w:tcPr>
                <w:p w:rsidR="00AD6026" w:rsidRPr="00F81955" w:rsidRDefault="00AD6026" w:rsidP="00AD6026">
                  <w:pPr>
                    <w:jc w:val="left"/>
                    <w:rPr>
                      <w:noProof/>
                    </w:rPr>
                  </w:pPr>
                  <w:r w:rsidRPr="00F81955">
                    <w:rPr>
                      <w:noProof/>
                    </w:rPr>
                    <w:t>To be provided in accessible language and format.</w:t>
                  </w:r>
                </w:p>
              </w:tc>
            </w:tr>
          </w:tbl>
          <w:p w:rsidR="00AD6026" w:rsidRPr="00F81955" w:rsidRDefault="00AD6026" w:rsidP="00AD6026">
            <w:pPr>
              <w:rPr>
                <w:noProof/>
              </w:rPr>
            </w:pPr>
          </w:p>
          <w:p w:rsidR="00AD6026" w:rsidRPr="00F81955" w:rsidRDefault="00AD6026" w:rsidP="00AD6026">
            <w:pPr>
              <w:rPr>
                <w:b/>
                <w:bCs/>
                <w:noProof/>
              </w:rPr>
            </w:pPr>
            <w:r w:rsidRPr="00F81955">
              <w:rPr>
                <w:b/>
                <w:bCs/>
                <w:noProof/>
              </w:rPr>
              <w:t>Alignment with the European Data Strategy</w:t>
            </w:r>
          </w:p>
          <w:p w:rsidR="00AD6026" w:rsidRPr="00F81955" w:rsidRDefault="00AD6026" w:rsidP="00AD6026">
            <w:pPr>
              <w:rPr>
                <w:i/>
                <w:iCs/>
                <w:noProof/>
              </w:rPr>
            </w:pPr>
            <w:r w:rsidRPr="00F81955">
              <w:rPr>
                <w:i/>
                <w:iCs/>
                <w:noProof/>
              </w:rPr>
              <w:t>Explanation of how the requirement(s) are aligned with the European Data Strategy</w:t>
            </w:r>
          </w:p>
          <w:tbl>
            <w:tblPr>
              <w:tblStyle w:val="TableGrid"/>
              <w:tblW w:w="0" w:type="auto"/>
              <w:tblLook w:val="04A0" w:firstRow="1" w:lastRow="0" w:firstColumn="1" w:lastColumn="0" w:noHBand="0" w:noVBand="1"/>
            </w:tblPr>
            <w:tblGrid>
              <w:gridCol w:w="13994"/>
            </w:tblGrid>
            <w:tr w:rsidR="00AD6026" w:rsidRPr="00F81955" w:rsidTr="00835FFC">
              <w:tc>
                <w:tcPr>
                  <w:tcW w:w="13994" w:type="dxa"/>
                </w:tcPr>
                <w:p w:rsidR="00AD6026" w:rsidRPr="00F81955" w:rsidRDefault="00AD6026" w:rsidP="00AD6026">
                  <w:pPr>
                    <w:jc w:val="left"/>
                    <w:rPr>
                      <w:noProof/>
                    </w:rPr>
                  </w:pPr>
                  <w:r w:rsidRPr="00F81955">
                    <w:rPr>
                      <w:b/>
                      <w:bCs/>
                      <w:noProof/>
                    </w:rPr>
                    <w:t xml:space="preserve">Article 1(4) </w:t>
                  </w:r>
                  <w:r w:rsidRPr="00F81955">
                    <w:rPr>
                      <w:noProof/>
                    </w:rPr>
                    <w:t>establishes that the processing of special categories of personal data shall be subject to appropriate safeguards for fundamental rights and freedoms of natural persons. This is in alignment with Regulations (EU) 2016/679 (GDPR) and (EU) 2018/1725 (EUDPR).</w:t>
                  </w:r>
                </w:p>
              </w:tc>
            </w:tr>
          </w:tbl>
          <w:p w:rsidR="00AD6026" w:rsidRPr="00F81955" w:rsidRDefault="00AD6026" w:rsidP="00AD6026">
            <w:pPr>
              <w:rPr>
                <w:b/>
                <w:bCs/>
                <w:noProof/>
              </w:rPr>
            </w:pPr>
            <w:r w:rsidRPr="00F81955">
              <w:rPr>
                <w:b/>
                <w:bCs/>
                <w:noProof/>
              </w:rPr>
              <w:t>Alignment with the once-only principle</w:t>
            </w:r>
          </w:p>
          <w:p w:rsidR="00AD6026" w:rsidRPr="00F81955" w:rsidRDefault="00AD6026" w:rsidP="00AD6026">
            <w:pPr>
              <w:rPr>
                <w:i/>
                <w:iCs/>
                <w:noProof/>
              </w:rPr>
            </w:pPr>
            <w:r w:rsidRPr="00F81955">
              <w:rPr>
                <w:i/>
                <w:iCs/>
                <w:noProof/>
              </w:rPr>
              <w:t>Explanation of how the once-only principle has been considered and how the possibility to reuse existing data has been explored</w:t>
            </w:r>
          </w:p>
          <w:tbl>
            <w:tblPr>
              <w:tblStyle w:val="TableGrid"/>
              <w:tblW w:w="0" w:type="auto"/>
              <w:tblLook w:val="04A0" w:firstRow="1" w:lastRow="0" w:firstColumn="1" w:lastColumn="0" w:noHBand="0" w:noVBand="1"/>
            </w:tblPr>
            <w:tblGrid>
              <w:gridCol w:w="13994"/>
            </w:tblGrid>
            <w:tr w:rsidR="00AD6026" w:rsidRPr="00F81955" w:rsidTr="00835FFC">
              <w:tc>
                <w:tcPr>
                  <w:tcW w:w="13994" w:type="dxa"/>
                </w:tcPr>
                <w:p w:rsidR="00AD6026" w:rsidRPr="00F81955" w:rsidRDefault="00AD6026" w:rsidP="00AD6026">
                  <w:pPr>
                    <w:spacing w:line="259" w:lineRule="auto"/>
                    <w:rPr>
                      <w:noProof/>
                    </w:rPr>
                  </w:pPr>
                  <w:r w:rsidRPr="00F81955">
                    <w:rPr>
                      <w:b/>
                      <w:bCs/>
                      <w:noProof/>
                    </w:rPr>
                    <w:t xml:space="preserve">Article 1(10) </w:t>
                  </w:r>
                  <w:r w:rsidRPr="00F81955">
                    <w:rPr>
                      <w:noProof/>
                    </w:rPr>
                    <w:t xml:space="preserve">states that conformity assessment bodies may be provided the possibility to submit a single application and undergo a single assessment procedure. </w:t>
                  </w:r>
                </w:p>
              </w:tc>
            </w:tr>
          </w:tbl>
          <w:p w:rsidR="00AD6026" w:rsidRPr="00F81955" w:rsidRDefault="00AD6026" w:rsidP="00AD6026">
            <w:pPr>
              <w:rPr>
                <w:i/>
                <w:iCs/>
                <w:noProof/>
              </w:rPr>
            </w:pPr>
            <w:r w:rsidRPr="00F81955">
              <w:rPr>
                <w:i/>
                <w:iCs/>
                <w:noProof/>
              </w:rPr>
              <w:t xml:space="preserve">Explanation of how newly created data is findable, accessible, </w:t>
            </w:r>
            <w:bookmarkStart w:id="52" w:name="_Int_0yBmPtw3"/>
            <w:r w:rsidRPr="00F81955">
              <w:rPr>
                <w:i/>
                <w:iCs/>
                <w:noProof/>
              </w:rPr>
              <w:t>interoperable</w:t>
            </w:r>
            <w:bookmarkEnd w:id="52"/>
            <w:r w:rsidRPr="00F81955">
              <w:rPr>
                <w:i/>
                <w:iCs/>
                <w:noProof/>
              </w:rPr>
              <w:t xml:space="preserve"> and reusable, and meets high-quality standards</w:t>
            </w:r>
          </w:p>
          <w:tbl>
            <w:tblPr>
              <w:tblStyle w:val="TableGrid"/>
              <w:tblW w:w="0" w:type="auto"/>
              <w:tblLook w:val="04A0" w:firstRow="1" w:lastRow="0" w:firstColumn="1" w:lastColumn="0" w:noHBand="0" w:noVBand="1"/>
            </w:tblPr>
            <w:tblGrid>
              <w:gridCol w:w="13994"/>
            </w:tblGrid>
            <w:tr w:rsidR="00AD6026" w:rsidRPr="00F81955" w:rsidTr="00835FFC">
              <w:tc>
                <w:tcPr>
                  <w:tcW w:w="13994" w:type="dxa"/>
                </w:tcPr>
                <w:p w:rsidR="00AD6026" w:rsidRPr="00F81955" w:rsidRDefault="00AD6026" w:rsidP="00AD6026">
                  <w:pPr>
                    <w:rPr>
                      <w:noProof/>
                    </w:rPr>
                  </w:pPr>
                  <w:r w:rsidRPr="00F81955">
                    <w:rPr>
                      <w:noProof/>
                    </w:rPr>
                    <w:t xml:space="preserve"> </w:t>
                  </w:r>
                </w:p>
              </w:tc>
            </w:tr>
          </w:tbl>
          <w:p w:rsidR="00AD6026" w:rsidRPr="00F81955" w:rsidRDefault="00AD6026" w:rsidP="00AD6026">
            <w:pPr>
              <w:rPr>
                <w:b/>
                <w:bCs/>
                <w:noProof/>
              </w:rPr>
            </w:pPr>
          </w:p>
          <w:p w:rsidR="00AD6026" w:rsidRPr="00F81955" w:rsidRDefault="00AD6026" w:rsidP="00AD6026">
            <w:pPr>
              <w:tabs>
                <w:tab w:val="left" w:pos="5370"/>
              </w:tabs>
              <w:rPr>
                <w:b/>
                <w:bCs/>
                <w:noProof/>
              </w:rPr>
            </w:pPr>
            <w:r w:rsidRPr="00F81955">
              <w:rPr>
                <w:b/>
                <w:bCs/>
                <w:noProof/>
              </w:rPr>
              <w:t>Data flows</w:t>
            </w:r>
          </w:p>
          <w:p w:rsidR="00AD6026" w:rsidRPr="00F81955" w:rsidRDefault="00AD6026" w:rsidP="00AD6026">
            <w:pPr>
              <w:tabs>
                <w:tab w:val="left" w:pos="5370"/>
              </w:tabs>
              <w:rPr>
                <w:i/>
                <w:iCs/>
                <w:noProof/>
              </w:rPr>
            </w:pPr>
            <w:r w:rsidRPr="00F81955">
              <w:rPr>
                <w:i/>
                <w:iCs/>
                <w:noProof/>
              </w:rPr>
              <w:t>High-level description of the data flows</w:t>
            </w:r>
          </w:p>
          <w:tbl>
            <w:tblPr>
              <w:tblStyle w:val="TableGrid"/>
              <w:tblW w:w="14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1920"/>
              <w:gridCol w:w="1977"/>
              <w:gridCol w:w="2139"/>
              <w:gridCol w:w="2291"/>
              <w:gridCol w:w="1821"/>
            </w:tblGrid>
            <w:tr w:rsidR="00AD6026" w:rsidRPr="00F81955" w:rsidTr="00AD6026">
              <w:trPr>
                <w:trHeight w:val="300"/>
              </w:trPr>
              <w:tc>
                <w:tcPr>
                  <w:tcW w:w="3930" w:type="dxa"/>
                </w:tcPr>
                <w:p w:rsidR="00AD6026" w:rsidRPr="00F81955" w:rsidRDefault="00AD6026" w:rsidP="00AD6026">
                  <w:pPr>
                    <w:jc w:val="left"/>
                    <w:rPr>
                      <w:b/>
                      <w:bCs/>
                      <w:noProof/>
                    </w:rPr>
                  </w:pPr>
                  <w:r w:rsidRPr="00F81955">
                    <w:rPr>
                      <w:b/>
                      <w:bCs/>
                      <w:noProof/>
                    </w:rPr>
                    <w:t>Type of data</w:t>
                  </w:r>
                </w:p>
              </w:tc>
              <w:tc>
                <w:tcPr>
                  <w:tcW w:w="1920" w:type="dxa"/>
                </w:tcPr>
                <w:p w:rsidR="00AD6026" w:rsidRPr="00F81955" w:rsidRDefault="00AD6026" w:rsidP="00AD6026">
                  <w:pPr>
                    <w:jc w:val="left"/>
                    <w:rPr>
                      <w:b/>
                      <w:bCs/>
                      <w:noProof/>
                    </w:rPr>
                  </w:pPr>
                  <w:r w:rsidRPr="00F81955">
                    <w:rPr>
                      <w:b/>
                      <w:bCs/>
                      <w:noProof/>
                    </w:rPr>
                    <w:t>Reference(s) to the requirement(s)</w:t>
                  </w:r>
                </w:p>
              </w:tc>
              <w:tc>
                <w:tcPr>
                  <w:tcW w:w="1977" w:type="dxa"/>
                </w:tcPr>
                <w:p w:rsidR="00AD6026" w:rsidRPr="00F81955" w:rsidRDefault="00AD6026" w:rsidP="00AD6026">
                  <w:pPr>
                    <w:jc w:val="left"/>
                    <w:rPr>
                      <w:b/>
                      <w:bCs/>
                      <w:noProof/>
                    </w:rPr>
                  </w:pPr>
                  <w:r w:rsidRPr="00F81955">
                    <w:rPr>
                      <w:b/>
                      <w:bCs/>
                      <w:noProof/>
                    </w:rPr>
                    <w:t>Actors who provide the data</w:t>
                  </w:r>
                </w:p>
              </w:tc>
              <w:tc>
                <w:tcPr>
                  <w:tcW w:w="2139" w:type="dxa"/>
                </w:tcPr>
                <w:p w:rsidR="00AD6026" w:rsidRPr="00F81955" w:rsidRDefault="00AD6026" w:rsidP="00AD6026">
                  <w:pPr>
                    <w:jc w:val="left"/>
                    <w:rPr>
                      <w:b/>
                      <w:bCs/>
                      <w:noProof/>
                    </w:rPr>
                  </w:pPr>
                  <w:r w:rsidRPr="00F81955">
                    <w:rPr>
                      <w:b/>
                      <w:bCs/>
                      <w:noProof/>
                    </w:rPr>
                    <w:t>Actors who receive the data</w:t>
                  </w:r>
                </w:p>
              </w:tc>
              <w:tc>
                <w:tcPr>
                  <w:tcW w:w="2291" w:type="dxa"/>
                </w:tcPr>
                <w:p w:rsidR="00AD6026" w:rsidRPr="00F81955" w:rsidRDefault="00AD6026" w:rsidP="00AD6026">
                  <w:pPr>
                    <w:jc w:val="left"/>
                    <w:rPr>
                      <w:b/>
                      <w:bCs/>
                      <w:noProof/>
                    </w:rPr>
                  </w:pPr>
                  <w:r w:rsidRPr="00F81955">
                    <w:rPr>
                      <w:b/>
                      <w:bCs/>
                      <w:noProof/>
                    </w:rPr>
                    <w:t>Trigger for the data exchange</w:t>
                  </w:r>
                </w:p>
              </w:tc>
              <w:tc>
                <w:tcPr>
                  <w:tcW w:w="1821" w:type="dxa"/>
                </w:tcPr>
                <w:p w:rsidR="00AD6026" w:rsidRPr="00F81955" w:rsidRDefault="00AD6026" w:rsidP="00AD6026">
                  <w:pPr>
                    <w:jc w:val="left"/>
                    <w:rPr>
                      <w:b/>
                      <w:bCs/>
                      <w:noProof/>
                    </w:rPr>
                  </w:pPr>
                  <w:r w:rsidRPr="00F81955">
                    <w:rPr>
                      <w:b/>
                      <w:bCs/>
                      <w:noProof/>
                    </w:rPr>
                    <w:t>Frequency (if applicable)</w:t>
                  </w:r>
                </w:p>
              </w:tc>
            </w:tr>
            <w:tr w:rsidR="00AD6026" w:rsidRPr="00F81955" w:rsidTr="00AD6026">
              <w:trPr>
                <w:trHeight w:val="300"/>
              </w:trPr>
              <w:tc>
                <w:tcPr>
                  <w:tcW w:w="3930" w:type="dxa"/>
                </w:tcPr>
                <w:p w:rsidR="00AD6026" w:rsidRPr="00F81955" w:rsidRDefault="00AD6026" w:rsidP="00AD6026">
                  <w:pPr>
                    <w:spacing w:line="259" w:lineRule="auto"/>
                    <w:jc w:val="left"/>
                    <w:rPr>
                      <w:noProof/>
                    </w:rPr>
                  </w:pPr>
                  <w:r w:rsidRPr="00F81955">
                    <w:rPr>
                      <w:noProof/>
                    </w:rPr>
                    <w:t>Applications of a conformity assessment bodies for notification</w:t>
                  </w:r>
                </w:p>
              </w:tc>
              <w:tc>
                <w:tcPr>
                  <w:tcW w:w="1920" w:type="dxa"/>
                </w:tcPr>
                <w:p w:rsidR="00AD6026" w:rsidRPr="00F81955" w:rsidRDefault="00AD6026" w:rsidP="00AD6026">
                  <w:pPr>
                    <w:spacing w:line="259" w:lineRule="auto"/>
                    <w:jc w:val="left"/>
                    <w:rPr>
                      <w:noProof/>
                      <w:color w:val="000000" w:themeColor="text1"/>
                    </w:rPr>
                  </w:pPr>
                  <w:r w:rsidRPr="00F81955">
                    <w:rPr>
                      <w:noProof/>
                      <w:color w:val="000000" w:themeColor="text1"/>
                      <w:szCs w:val="24"/>
                    </w:rPr>
                    <w:t>Article 1(</w:t>
                  </w:r>
                  <w:r w:rsidR="008D42DF" w:rsidRPr="00F81955">
                    <w:rPr>
                      <w:noProof/>
                      <w:color w:val="000000" w:themeColor="text1"/>
                      <w:szCs w:val="24"/>
                    </w:rPr>
                    <w:t>11</w:t>
                  </w:r>
                  <w:r w:rsidRPr="00F81955">
                    <w:rPr>
                      <w:noProof/>
                      <w:color w:val="000000" w:themeColor="text1"/>
                      <w:szCs w:val="24"/>
                    </w:rPr>
                    <w:t>)</w:t>
                  </w:r>
                </w:p>
              </w:tc>
              <w:tc>
                <w:tcPr>
                  <w:tcW w:w="1977" w:type="dxa"/>
                </w:tcPr>
                <w:p w:rsidR="00AD6026" w:rsidRPr="00F81955" w:rsidRDefault="00AD6026" w:rsidP="00AD6026">
                  <w:pPr>
                    <w:spacing w:line="259" w:lineRule="auto"/>
                    <w:jc w:val="left"/>
                    <w:rPr>
                      <w:noProof/>
                    </w:rPr>
                  </w:pPr>
                  <w:r w:rsidRPr="00F81955">
                    <w:rPr>
                      <w:noProof/>
                    </w:rPr>
                    <w:t>Notified bodies which are designated under Union harmonisation legislation listed in Section A of Annex I</w:t>
                  </w:r>
                </w:p>
              </w:tc>
              <w:tc>
                <w:tcPr>
                  <w:tcW w:w="2139" w:type="dxa"/>
                </w:tcPr>
                <w:p w:rsidR="00AD6026" w:rsidRPr="00F81955" w:rsidRDefault="00AD6026" w:rsidP="00AD6026">
                  <w:pPr>
                    <w:jc w:val="left"/>
                    <w:rPr>
                      <w:noProof/>
                    </w:rPr>
                  </w:pPr>
                  <w:r w:rsidRPr="00F81955">
                    <w:rPr>
                      <w:noProof/>
                    </w:rPr>
                    <w:t>Notifying authority designated in accordance with Union harmonisation legislation listed in Section A of Annex I</w:t>
                  </w:r>
                </w:p>
              </w:tc>
              <w:tc>
                <w:tcPr>
                  <w:tcW w:w="2291" w:type="dxa"/>
                </w:tcPr>
                <w:p w:rsidR="00AD6026" w:rsidRPr="00F81955" w:rsidRDefault="00AD6026" w:rsidP="00AD6026">
                  <w:pPr>
                    <w:jc w:val="left"/>
                    <w:rPr>
                      <w:noProof/>
                    </w:rPr>
                  </w:pPr>
                  <w:r w:rsidRPr="00F81955">
                    <w:rPr>
                      <w:noProof/>
                    </w:rPr>
                    <w:t>Application being made for single assessment</w:t>
                  </w:r>
                </w:p>
              </w:tc>
              <w:tc>
                <w:tcPr>
                  <w:tcW w:w="1821" w:type="dxa"/>
                </w:tcPr>
                <w:p w:rsidR="00AD6026" w:rsidRPr="00F81955" w:rsidRDefault="00AD6026" w:rsidP="00AD6026">
                  <w:pPr>
                    <w:jc w:val="left"/>
                    <w:rPr>
                      <w:noProof/>
                    </w:rPr>
                  </w:pPr>
                  <w:r w:rsidRPr="00F81955">
                    <w:rPr>
                      <w:noProof/>
                    </w:rPr>
                    <w:t>//</w:t>
                  </w:r>
                </w:p>
              </w:tc>
            </w:tr>
            <w:tr w:rsidR="00AD6026" w:rsidRPr="00F81955" w:rsidTr="00AD6026">
              <w:trPr>
                <w:trHeight w:val="300"/>
              </w:trPr>
              <w:tc>
                <w:tcPr>
                  <w:tcW w:w="3930" w:type="dxa"/>
                </w:tcPr>
                <w:p w:rsidR="00AD6026" w:rsidRPr="00F81955" w:rsidRDefault="00AD6026" w:rsidP="00AD6026">
                  <w:pPr>
                    <w:spacing w:line="259" w:lineRule="auto"/>
                    <w:jc w:val="left"/>
                    <w:rPr>
                      <w:noProof/>
                    </w:rPr>
                  </w:pPr>
                  <w:r w:rsidRPr="00F81955">
                    <w:rPr>
                      <w:noProof/>
                    </w:rPr>
                    <w:t>Commission assessment of the adequacy of the codes of practice</w:t>
                  </w:r>
                </w:p>
              </w:tc>
              <w:tc>
                <w:tcPr>
                  <w:tcW w:w="1920" w:type="dxa"/>
                </w:tcPr>
                <w:p w:rsidR="00AD6026" w:rsidRPr="00F81955" w:rsidRDefault="00AD6026" w:rsidP="00AD6026">
                  <w:pPr>
                    <w:spacing w:line="259" w:lineRule="auto"/>
                    <w:jc w:val="left"/>
                    <w:rPr>
                      <w:noProof/>
                      <w:color w:val="000000" w:themeColor="text1"/>
                    </w:rPr>
                  </w:pPr>
                  <w:r w:rsidRPr="00F81955">
                    <w:rPr>
                      <w:noProof/>
                      <w:color w:val="000000" w:themeColor="text1"/>
                      <w:szCs w:val="24"/>
                    </w:rPr>
                    <w:t>Article 1(</w:t>
                  </w:r>
                  <w:r w:rsidR="00F0040E" w:rsidRPr="00F81955">
                    <w:rPr>
                      <w:noProof/>
                      <w:color w:val="000000" w:themeColor="text1"/>
                      <w:szCs w:val="24"/>
                    </w:rPr>
                    <w:t>16</w:t>
                  </w:r>
                  <w:r w:rsidRPr="00F81955">
                    <w:rPr>
                      <w:noProof/>
                      <w:color w:val="000000" w:themeColor="text1"/>
                      <w:szCs w:val="24"/>
                    </w:rPr>
                    <w:t>)</w:t>
                  </w:r>
                </w:p>
              </w:tc>
              <w:tc>
                <w:tcPr>
                  <w:tcW w:w="1977" w:type="dxa"/>
                </w:tcPr>
                <w:p w:rsidR="00AD6026" w:rsidRPr="00F81955" w:rsidRDefault="00AD6026" w:rsidP="00AD6026">
                  <w:pPr>
                    <w:jc w:val="left"/>
                    <w:rPr>
                      <w:noProof/>
                    </w:rPr>
                  </w:pPr>
                  <w:r w:rsidRPr="00F81955">
                    <w:rPr>
                      <w:noProof/>
                    </w:rPr>
                    <w:t>European Commission</w:t>
                  </w:r>
                </w:p>
              </w:tc>
              <w:tc>
                <w:tcPr>
                  <w:tcW w:w="2139" w:type="dxa"/>
                </w:tcPr>
                <w:p w:rsidR="00AD6026" w:rsidRPr="00F81955" w:rsidRDefault="00AD6026" w:rsidP="00AD6026">
                  <w:pPr>
                    <w:jc w:val="left"/>
                    <w:rPr>
                      <w:noProof/>
                    </w:rPr>
                  </w:pPr>
                  <w:r w:rsidRPr="00F81955">
                    <w:rPr>
                      <w:noProof/>
                    </w:rPr>
                    <w:t>General Public</w:t>
                  </w:r>
                </w:p>
              </w:tc>
              <w:tc>
                <w:tcPr>
                  <w:tcW w:w="2291" w:type="dxa"/>
                </w:tcPr>
                <w:p w:rsidR="00AD6026" w:rsidRPr="00F81955" w:rsidRDefault="00AD6026" w:rsidP="00AD6026">
                  <w:pPr>
                    <w:jc w:val="left"/>
                    <w:rPr>
                      <w:noProof/>
                    </w:rPr>
                  </w:pPr>
                  <w:r w:rsidRPr="00F81955">
                    <w:rPr>
                      <w:noProof/>
                    </w:rPr>
                    <w:t xml:space="preserve">Performance of an assessment as regards the codes of practice </w:t>
                  </w:r>
                </w:p>
              </w:tc>
              <w:tc>
                <w:tcPr>
                  <w:tcW w:w="1821" w:type="dxa"/>
                </w:tcPr>
                <w:p w:rsidR="00AD6026" w:rsidRPr="00F81955" w:rsidRDefault="00AD6026" w:rsidP="00AD6026">
                  <w:pPr>
                    <w:jc w:val="left"/>
                    <w:rPr>
                      <w:noProof/>
                    </w:rPr>
                  </w:pPr>
                  <w:r w:rsidRPr="00F81955">
                    <w:rPr>
                      <w:noProof/>
                    </w:rPr>
                    <w:t>Regularly</w:t>
                  </w:r>
                </w:p>
              </w:tc>
            </w:tr>
            <w:tr w:rsidR="00AD6026" w:rsidRPr="00F81955" w:rsidTr="00AD6026">
              <w:trPr>
                <w:trHeight w:val="300"/>
              </w:trPr>
              <w:tc>
                <w:tcPr>
                  <w:tcW w:w="3930" w:type="dxa"/>
                </w:tcPr>
                <w:p w:rsidR="00AD6026" w:rsidRPr="00F81955" w:rsidRDefault="00AD6026" w:rsidP="00AD6026">
                  <w:pPr>
                    <w:spacing w:line="259" w:lineRule="auto"/>
                    <w:jc w:val="left"/>
                    <w:rPr>
                      <w:noProof/>
                    </w:rPr>
                  </w:pPr>
                  <w:r w:rsidRPr="00F81955">
                    <w:rPr>
                      <w:noProof/>
                    </w:rPr>
                    <w:t>Request for access to information on AI systems</w:t>
                  </w:r>
                </w:p>
              </w:tc>
              <w:tc>
                <w:tcPr>
                  <w:tcW w:w="1920" w:type="dxa"/>
                </w:tcPr>
                <w:p w:rsidR="00AD6026" w:rsidRPr="00F81955" w:rsidRDefault="00AD6026" w:rsidP="00AD6026">
                  <w:pPr>
                    <w:spacing w:line="259" w:lineRule="auto"/>
                    <w:jc w:val="left"/>
                    <w:rPr>
                      <w:noProof/>
                      <w:color w:val="000000" w:themeColor="text1"/>
                    </w:rPr>
                  </w:pPr>
                  <w:r w:rsidRPr="00F81955">
                    <w:rPr>
                      <w:noProof/>
                      <w:color w:val="000000" w:themeColor="text1"/>
                      <w:szCs w:val="24"/>
                    </w:rPr>
                    <w:t>Article 1(2</w:t>
                  </w:r>
                  <w:r w:rsidR="00BA578A" w:rsidRPr="00F81955">
                    <w:rPr>
                      <w:noProof/>
                      <w:color w:val="000000" w:themeColor="text1"/>
                      <w:szCs w:val="24"/>
                    </w:rPr>
                    <w:t>6</w:t>
                  </w:r>
                  <w:r w:rsidRPr="00F81955">
                    <w:rPr>
                      <w:noProof/>
                      <w:color w:val="000000" w:themeColor="text1"/>
                      <w:szCs w:val="24"/>
                    </w:rPr>
                    <w:t>)</w:t>
                  </w:r>
                </w:p>
              </w:tc>
              <w:tc>
                <w:tcPr>
                  <w:tcW w:w="1977" w:type="dxa"/>
                </w:tcPr>
                <w:p w:rsidR="00AD6026" w:rsidRPr="00F81955" w:rsidRDefault="00AD6026" w:rsidP="00AD6026">
                  <w:pPr>
                    <w:jc w:val="left"/>
                    <w:rPr>
                      <w:noProof/>
                    </w:rPr>
                  </w:pPr>
                  <w:r w:rsidRPr="00F81955">
                    <w:rPr>
                      <w:noProof/>
                      <w:color w:val="000000" w:themeColor="text1"/>
                      <w:szCs w:val="24"/>
                    </w:rPr>
                    <w:t>National public authorities or bodies which supervise or enforce the respect of obligations under Union law protecting fundamental rights</w:t>
                  </w:r>
                </w:p>
                <w:p w:rsidR="00AD6026" w:rsidRPr="00F81955" w:rsidRDefault="00AD6026" w:rsidP="00AD6026">
                  <w:pPr>
                    <w:jc w:val="left"/>
                    <w:rPr>
                      <w:noProof/>
                      <w:color w:val="000000" w:themeColor="text1"/>
                    </w:rPr>
                  </w:pPr>
                </w:p>
              </w:tc>
              <w:tc>
                <w:tcPr>
                  <w:tcW w:w="2139" w:type="dxa"/>
                </w:tcPr>
                <w:p w:rsidR="00AD6026" w:rsidRPr="00F81955" w:rsidRDefault="00AD6026" w:rsidP="00AD6026">
                  <w:pPr>
                    <w:jc w:val="left"/>
                    <w:rPr>
                      <w:noProof/>
                    </w:rPr>
                  </w:pPr>
                  <w:r w:rsidRPr="00F81955">
                    <w:rPr>
                      <w:noProof/>
                    </w:rPr>
                    <w:t>Market surveillance authority</w:t>
                  </w:r>
                </w:p>
                <w:p w:rsidR="00AD6026" w:rsidRPr="00F81955" w:rsidRDefault="00AD6026" w:rsidP="00AD6026">
                  <w:pPr>
                    <w:jc w:val="left"/>
                    <w:rPr>
                      <w:noProof/>
                    </w:rPr>
                  </w:pPr>
                </w:p>
              </w:tc>
              <w:tc>
                <w:tcPr>
                  <w:tcW w:w="2291" w:type="dxa"/>
                </w:tcPr>
                <w:p w:rsidR="00AD6026" w:rsidRPr="00F81955" w:rsidRDefault="00AD6026" w:rsidP="00AD6026">
                  <w:pPr>
                    <w:jc w:val="left"/>
                    <w:rPr>
                      <w:noProof/>
                    </w:rPr>
                  </w:pPr>
                  <w:r w:rsidRPr="00F81955">
                    <w:rPr>
                      <w:noProof/>
                    </w:rPr>
                    <w:t>National public authorities/bodies require the information in order to fulfil their mandates</w:t>
                  </w:r>
                </w:p>
              </w:tc>
              <w:tc>
                <w:tcPr>
                  <w:tcW w:w="1821" w:type="dxa"/>
                </w:tcPr>
                <w:p w:rsidR="00AD6026" w:rsidRPr="00F81955" w:rsidRDefault="00AD6026" w:rsidP="00AD6026">
                  <w:pPr>
                    <w:jc w:val="left"/>
                    <w:rPr>
                      <w:noProof/>
                    </w:rPr>
                  </w:pPr>
                  <w:r w:rsidRPr="00F81955">
                    <w:rPr>
                      <w:noProof/>
                    </w:rPr>
                    <w:t>//</w:t>
                  </w:r>
                </w:p>
              </w:tc>
            </w:tr>
            <w:tr w:rsidR="00AD6026" w:rsidRPr="00F81955" w:rsidTr="00AD6026">
              <w:trPr>
                <w:trHeight w:val="300"/>
              </w:trPr>
              <w:tc>
                <w:tcPr>
                  <w:tcW w:w="3930" w:type="dxa"/>
                </w:tcPr>
                <w:p w:rsidR="00AD6026" w:rsidRPr="00F81955" w:rsidRDefault="00AD6026" w:rsidP="00AD6026">
                  <w:pPr>
                    <w:spacing w:line="259" w:lineRule="auto"/>
                    <w:jc w:val="left"/>
                    <w:rPr>
                      <w:noProof/>
                    </w:rPr>
                  </w:pPr>
                  <w:r w:rsidRPr="00F81955">
                    <w:rPr>
                      <w:noProof/>
                    </w:rPr>
                    <w:t>Information or documentation requested by national public authorities/bodies which supervise/enforce obligations relating to fundamental rights</w:t>
                  </w:r>
                </w:p>
              </w:tc>
              <w:tc>
                <w:tcPr>
                  <w:tcW w:w="1920" w:type="dxa"/>
                </w:tcPr>
                <w:p w:rsidR="00AD6026" w:rsidRPr="00F81955" w:rsidRDefault="00AD6026" w:rsidP="00AD6026">
                  <w:pPr>
                    <w:spacing w:line="259" w:lineRule="auto"/>
                    <w:jc w:val="left"/>
                    <w:rPr>
                      <w:noProof/>
                      <w:color w:val="000000" w:themeColor="text1"/>
                    </w:rPr>
                  </w:pPr>
                  <w:r w:rsidRPr="00F81955">
                    <w:rPr>
                      <w:noProof/>
                      <w:color w:val="000000" w:themeColor="text1"/>
                      <w:szCs w:val="24"/>
                    </w:rPr>
                    <w:t>Article 1(2</w:t>
                  </w:r>
                  <w:r w:rsidR="00BA578A" w:rsidRPr="00F81955">
                    <w:rPr>
                      <w:noProof/>
                      <w:color w:val="000000" w:themeColor="text1"/>
                      <w:szCs w:val="24"/>
                    </w:rPr>
                    <w:t>6</w:t>
                  </w:r>
                  <w:r w:rsidRPr="00F81955">
                    <w:rPr>
                      <w:noProof/>
                      <w:color w:val="000000" w:themeColor="text1"/>
                      <w:szCs w:val="24"/>
                    </w:rPr>
                    <w:t>)</w:t>
                  </w:r>
                </w:p>
              </w:tc>
              <w:tc>
                <w:tcPr>
                  <w:tcW w:w="1977" w:type="dxa"/>
                </w:tcPr>
                <w:p w:rsidR="00AD6026" w:rsidRPr="00F81955" w:rsidRDefault="00AD6026" w:rsidP="00AD6026">
                  <w:pPr>
                    <w:jc w:val="left"/>
                    <w:rPr>
                      <w:noProof/>
                    </w:rPr>
                  </w:pPr>
                  <w:r w:rsidRPr="00F81955">
                    <w:rPr>
                      <w:noProof/>
                    </w:rPr>
                    <w:t>Market surveillance authority</w:t>
                  </w:r>
                </w:p>
              </w:tc>
              <w:tc>
                <w:tcPr>
                  <w:tcW w:w="2139" w:type="dxa"/>
                </w:tcPr>
                <w:p w:rsidR="00AD6026" w:rsidRPr="00F81955" w:rsidRDefault="00AD6026" w:rsidP="00AD6026">
                  <w:pPr>
                    <w:jc w:val="left"/>
                    <w:rPr>
                      <w:noProof/>
                    </w:rPr>
                  </w:pPr>
                  <w:r w:rsidRPr="00F81955">
                    <w:rPr>
                      <w:noProof/>
                      <w:color w:val="000000" w:themeColor="text1"/>
                      <w:szCs w:val="24"/>
                    </w:rPr>
                    <w:t>National public authorities or bodies which supervise or enforce the respect of obligations under Union law protecting fundamental rights</w:t>
                  </w:r>
                </w:p>
              </w:tc>
              <w:tc>
                <w:tcPr>
                  <w:tcW w:w="2291" w:type="dxa"/>
                </w:tcPr>
                <w:p w:rsidR="00AD6026" w:rsidRPr="00F81955" w:rsidRDefault="00AD6026" w:rsidP="00AD6026">
                  <w:pPr>
                    <w:jc w:val="left"/>
                    <w:rPr>
                      <w:noProof/>
                    </w:rPr>
                  </w:pPr>
                  <w:r w:rsidRPr="00F81955">
                    <w:rPr>
                      <w:noProof/>
                    </w:rPr>
                    <w:t>Submission of a reasoned request to access information</w:t>
                  </w:r>
                </w:p>
              </w:tc>
              <w:tc>
                <w:tcPr>
                  <w:tcW w:w="1821" w:type="dxa"/>
                </w:tcPr>
                <w:p w:rsidR="00AD6026" w:rsidRPr="00F81955" w:rsidRDefault="00AD6026" w:rsidP="00AD6026">
                  <w:pPr>
                    <w:jc w:val="left"/>
                    <w:rPr>
                      <w:noProof/>
                    </w:rPr>
                  </w:pPr>
                  <w:r w:rsidRPr="00F81955">
                    <w:rPr>
                      <w:noProof/>
                    </w:rPr>
                    <w:t>//</w:t>
                  </w:r>
                </w:p>
              </w:tc>
            </w:tr>
            <w:tr w:rsidR="00AD6026" w:rsidRPr="00F81955" w:rsidTr="00AD6026">
              <w:trPr>
                <w:trHeight w:val="300"/>
              </w:trPr>
              <w:tc>
                <w:tcPr>
                  <w:tcW w:w="3930" w:type="dxa"/>
                </w:tcPr>
                <w:p w:rsidR="00AD6026" w:rsidRPr="00F81955" w:rsidRDefault="00AD6026" w:rsidP="00AD6026">
                  <w:pPr>
                    <w:spacing w:line="259" w:lineRule="auto"/>
                    <w:jc w:val="left"/>
                    <w:rPr>
                      <w:noProof/>
                    </w:rPr>
                  </w:pPr>
                  <w:r w:rsidRPr="00F81955">
                    <w:rPr>
                      <w:noProof/>
                    </w:rPr>
                    <w:t>Information or documentation requested by market surveillance authorities</w:t>
                  </w:r>
                </w:p>
              </w:tc>
              <w:tc>
                <w:tcPr>
                  <w:tcW w:w="1920" w:type="dxa"/>
                </w:tcPr>
                <w:p w:rsidR="00AD6026" w:rsidRPr="00F81955" w:rsidRDefault="00AD6026" w:rsidP="00AD6026">
                  <w:pPr>
                    <w:spacing w:line="259" w:lineRule="auto"/>
                    <w:jc w:val="left"/>
                    <w:rPr>
                      <w:noProof/>
                      <w:color w:val="000000" w:themeColor="text1"/>
                    </w:rPr>
                  </w:pPr>
                  <w:r w:rsidRPr="00F81955">
                    <w:rPr>
                      <w:noProof/>
                      <w:color w:val="000000" w:themeColor="text1"/>
                      <w:szCs w:val="24"/>
                    </w:rPr>
                    <w:t>Article 1(2</w:t>
                  </w:r>
                  <w:r w:rsidR="00BA578A" w:rsidRPr="00F81955">
                    <w:rPr>
                      <w:noProof/>
                      <w:color w:val="000000" w:themeColor="text1"/>
                      <w:szCs w:val="24"/>
                    </w:rPr>
                    <w:t>6</w:t>
                  </w:r>
                  <w:r w:rsidRPr="00F81955">
                    <w:rPr>
                      <w:noProof/>
                      <w:color w:val="000000" w:themeColor="text1"/>
                      <w:szCs w:val="24"/>
                    </w:rPr>
                    <w:t>)</w:t>
                  </w:r>
                </w:p>
              </w:tc>
              <w:tc>
                <w:tcPr>
                  <w:tcW w:w="1977" w:type="dxa"/>
                </w:tcPr>
                <w:p w:rsidR="00AD6026" w:rsidRPr="00F81955" w:rsidRDefault="00AD6026" w:rsidP="00AD6026">
                  <w:pPr>
                    <w:jc w:val="left"/>
                    <w:rPr>
                      <w:noProof/>
                      <w:color w:val="000000" w:themeColor="text1"/>
                    </w:rPr>
                  </w:pPr>
                  <w:r w:rsidRPr="00F81955">
                    <w:rPr>
                      <w:noProof/>
                      <w:color w:val="000000" w:themeColor="text1"/>
                      <w:szCs w:val="24"/>
                    </w:rPr>
                    <w:t xml:space="preserve">Market surveillance authorities  </w:t>
                  </w:r>
                </w:p>
              </w:tc>
              <w:tc>
                <w:tcPr>
                  <w:tcW w:w="2139" w:type="dxa"/>
                </w:tcPr>
                <w:p w:rsidR="00AD6026" w:rsidRPr="00F81955" w:rsidRDefault="00AD6026" w:rsidP="00AD6026">
                  <w:pPr>
                    <w:jc w:val="left"/>
                    <w:rPr>
                      <w:noProof/>
                    </w:rPr>
                  </w:pPr>
                  <w:r w:rsidRPr="00F81955">
                    <w:rPr>
                      <w:noProof/>
                    </w:rPr>
                    <w:t>Providers/ deployers of AI systems</w:t>
                  </w:r>
                </w:p>
              </w:tc>
              <w:tc>
                <w:tcPr>
                  <w:tcW w:w="2291" w:type="dxa"/>
                </w:tcPr>
                <w:p w:rsidR="00AD6026" w:rsidRPr="00F81955" w:rsidRDefault="00AD6026" w:rsidP="00AD6026">
                  <w:pPr>
                    <w:jc w:val="left"/>
                    <w:rPr>
                      <w:noProof/>
                      <w:color w:val="000000" w:themeColor="text1"/>
                    </w:rPr>
                  </w:pPr>
                  <w:r w:rsidRPr="00F81955">
                    <w:rPr>
                      <w:noProof/>
                      <w:color w:val="000000" w:themeColor="text1"/>
                      <w:szCs w:val="24"/>
                    </w:rPr>
                    <w:t xml:space="preserve">Market surveillance authority is in need of the information so as to answer to a request from </w:t>
                  </w:r>
                  <w:r w:rsidRPr="00F81955">
                    <w:rPr>
                      <w:noProof/>
                    </w:rPr>
                    <w:t>national public authorities/bodies which supervise/enforce obligations relating to fundamental rights)</w:t>
                  </w:r>
                </w:p>
              </w:tc>
              <w:tc>
                <w:tcPr>
                  <w:tcW w:w="1821" w:type="dxa"/>
                </w:tcPr>
                <w:p w:rsidR="00AD6026" w:rsidRPr="00F81955" w:rsidRDefault="00AD6026" w:rsidP="00AD6026">
                  <w:pPr>
                    <w:jc w:val="left"/>
                    <w:rPr>
                      <w:noProof/>
                    </w:rPr>
                  </w:pPr>
                  <w:r w:rsidRPr="00F81955">
                    <w:rPr>
                      <w:noProof/>
                    </w:rPr>
                    <w:t>//</w:t>
                  </w:r>
                </w:p>
              </w:tc>
            </w:tr>
            <w:tr w:rsidR="00AD6026" w:rsidRPr="00F81955" w:rsidTr="00AD6026">
              <w:trPr>
                <w:trHeight w:val="300"/>
              </w:trPr>
              <w:tc>
                <w:tcPr>
                  <w:tcW w:w="3930" w:type="dxa"/>
                </w:tcPr>
                <w:p w:rsidR="00AD6026" w:rsidRPr="00F81955" w:rsidRDefault="00AD6026" w:rsidP="00AD6026">
                  <w:pPr>
                    <w:spacing w:line="259" w:lineRule="auto"/>
                    <w:jc w:val="left"/>
                    <w:rPr>
                      <w:noProof/>
                    </w:rPr>
                  </w:pPr>
                  <w:r w:rsidRPr="00F81955">
                    <w:rPr>
                      <w:noProof/>
                    </w:rPr>
                    <w:t>Information exchanges as part of the cooperation of market surveillance authorities and public authorities/bodies which supervise/enforce obligations relating to fundamental rights</w:t>
                  </w:r>
                </w:p>
              </w:tc>
              <w:tc>
                <w:tcPr>
                  <w:tcW w:w="1920" w:type="dxa"/>
                </w:tcPr>
                <w:p w:rsidR="00AD6026" w:rsidRPr="00F81955" w:rsidRDefault="00AD6026" w:rsidP="00AD6026">
                  <w:pPr>
                    <w:spacing w:line="259" w:lineRule="auto"/>
                    <w:jc w:val="left"/>
                    <w:rPr>
                      <w:noProof/>
                      <w:color w:val="000000" w:themeColor="text1"/>
                    </w:rPr>
                  </w:pPr>
                  <w:r w:rsidRPr="00F81955">
                    <w:rPr>
                      <w:noProof/>
                      <w:color w:val="000000" w:themeColor="text1"/>
                      <w:szCs w:val="24"/>
                    </w:rPr>
                    <w:t>Article 1(2</w:t>
                  </w:r>
                  <w:r w:rsidR="00BA578A" w:rsidRPr="00F81955">
                    <w:rPr>
                      <w:noProof/>
                      <w:color w:val="000000" w:themeColor="text1"/>
                      <w:szCs w:val="24"/>
                    </w:rPr>
                    <w:t>6</w:t>
                  </w:r>
                  <w:r w:rsidRPr="00F81955">
                    <w:rPr>
                      <w:noProof/>
                      <w:color w:val="000000" w:themeColor="text1"/>
                      <w:szCs w:val="24"/>
                    </w:rPr>
                    <w:t>)</w:t>
                  </w:r>
                </w:p>
              </w:tc>
              <w:tc>
                <w:tcPr>
                  <w:tcW w:w="1977" w:type="dxa"/>
                </w:tcPr>
                <w:p w:rsidR="00AD6026" w:rsidRPr="00F81955" w:rsidRDefault="00AD6026" w:rsidP="00AD6026">
                  <w:pPr>
                    <w:jc w:val="left"/>
                    <w:rPr>
                      <w:noProof/>
                      <w:color w:val="000000" w:themeColor="text1"/>
                    </w:rPr>
                  </w:pPr>
                  <w:r w:rsidRPr="00F81955">
                    <w:rPr>
                      <w:noProof/>
                      <w:color w:val="000000" w:themeColor="text1"/>
                      <w:szCs w:val="24"/>
                    </w:rPr>
                    <w:t xml:space="preserve">Market surveillance authorities  </w:t>
                  </w:r>
                </w:p>
                <w:p w:rsidR="00AD6026" w:rsidRPr="00F81955" w:rsidRDefault="00AD6026" w:rsidP="00AD6026">
                  <w:pPr>
                    <w:jc w:val="left"/>
                    <w:rPr>
                      <w:noProof/>
                      <w:color w:val="000000" w:themeColor="text1"/>
                    </w:rPr>
                  </w:pPr>
                  <w:r w:rsidRPr="00F81955">
                    <w:rPr>
                      <w:noProof/>
                      <w:color w:val="000000" w:themeColor="text1"/>
                      <w:szCs w:val="24"/>
                    </w:rPr>
                    <w:t>/ Public authorities/bodies</w:t>
                  </w:r>
                </w:p>
              </w:tc>
              <w:tc>
                <w:tcPr>
                  <w:tcW w:w="2139" w:type="dxa"/>
                </w:tcPr>
                <w:p w:rsidR="00AD6026" w:rsidRPr="00F81955" w:rsidRDefault="00AD6026" w:rsidP="00AD6026">
                  <w:pPr>
                    <w:jc w:val="left"/>
                    <w:rPr>
                      <w:noProof/>
                      <w:color w:val="000000" w:themeColor="text1"/>
                    </w:rPr>
                  </w:pPr>
                  <w:r w:rsidRPr="00F81955">
                    <w:rPr>
                      <w:noProof/>
                      <w:color w:val="000000" w:themeColor="text1"/>
                      <w:szCs w:val="24"/>
                    </w:rPr>
                    <w:t xml:space="preserve">Market surveillance authorities  </w:t>
                  </w:r>
                </w:p>
                <w:p w:rsidR="00AD6026" w:rsidRPr="00F81955" w:rsidRDefault="00AD6026" w:rsidP="00AD6026">
                  <w:pPr>
                    <w:jc w:val="left"/>
                    <w:rPr>
                      <w:noProof/>
                      <w:color w:val="000000" w:themeColor="text1"/>
                    </w:rPr>
                  </w:pPr>
                  <w:r w:rsidRPr="00F81955">
                    <w:rPr>
                      <w:noProof/>
                      <w:color w:val="000000" w:themeColor="text1"/>
                      <w:szCs w:val="24"/>
                    </w:rPr>
                    <w:t>/ Public authorities/bodies</w:t>
                  </w:r>
                </w:p>
                <w:p w:rsidR="00AD6026" w:rsidRPr="00F81955" w:rsidRDefault="00AD6026" w:rsidP="00AD6026">
                  <w:pPr>
                    <w:jc w:val="left"/>
                    <w:rPr>
                      <w:noProof/>
                    </w:rPr>
                  </w:pPr>
                </w:p>
              </w:tc>
              <w:tc>
                <w:tcPr>
                  <w:tcW w:w="2291" w:type="dxa"/>
                </w:tcPr>
                <w:p w:rsidR="00AD6026" w:rsidRPr="00F81955" w:rsidRDefault="00AD6026" w:rsidP="00AD6026">
                  <w:pPr>
                    <w:jc w:val="left"/>
                    <w:rPr>
                      <w:noProof/>
                    </w:rPr>
                  </w:pPr>
                  <w:r w:rsidRPr="00F81955">
                    <w:rPr>
                      <w:noProof/>
                    </w:rPr>
                    <w:t>Information exchange need identified in the course of cooperation and mutual assistance</w:t>
                  </w:r>
                </w:p>
              </w:tc>
              <w:tc>
                <w:tcPr>
                  <w:tcW w:w="1821" w:type="dxa"/>
                </w:tcPr>
                <w:p w:rsidR="00AD6026" w:rsidRPr="00F81955" w:rsidRDefault="00AD6026" w:rsidP="00AD6026">
                  <w:pPr>
                    <w:jc w:val="left"/>
                    <w:rPr>
                      <w:noProof/>
                    </w:rPr>
                  </w:pPr>
                  <w:r w:rsidRPr="00F81955">
                    <w:rPr>
                      <w:noProof/>
                    </w:rPr>
                    <w:t>//</w:t>
                  </w:r>
                </w:p>
              </w:tc>
            </w:tr>
          </w:tbl>
          <w:p w:rsidR="009C3EE2" w:rsidRPr="00F81955" w:rsidRDefault="009C3EE2" w:rsidP="001D5920">
            <w:pPr>
              <w:rPr>
                <w:noProof/>
                <w:color w:val="0000FF"/>
              </w:rPr>
            </w:pPr>
          </w:p>
        </w:tc>
      </w:tr>
    </w:tbl>
    <w:p w:rsidR="00A037B4" w:rsidRPr="00F81955" w:rsidRDefault="00A037B4" w:rsidP="00A037B4">
      <w:pPr>
        <w:rPr>
          <w:b/>
          <w:bCs/>
          <w:noProof/>
        </w:rPr>
      </w:pPr>
      <w:r w:rsidRPr="00F81955">
        <w:rPr>
          <w:b/>
          <w:bCs/>
          <w:noProof/>
        </w:rPr>
        <w:t>4.3. Digital solutions</w:t>
      </w:r>
    </w:p>
    <w:p w:rsidR="00A037B4" w:rsidRPr="00F81955" w:rsidRDefault="00A037B4" w:rsidP="00A037B4">
      <w:pPr>
        <w:rPr>
          <w:i/>
          <w:iCs/>
          <w:noProof/>
        </w:rPr>
      </w:pPr>
      <w:r w:rsidRPr="00F81955">
        <w:rPr>
          <w:i/>
          <w:iCs/>
          <w:noProof/>
        </w:rPr>
        <w:t>High-level description of digital solutions</w:t>
      </w:r>
    </w:p>
    <w:tbl>
      <w:tblPr>
        <w:tblStyle w:val="TableGrid"/>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860"/>
        <w:gridCol w:w="2760"/>
        <w:gridCol w:w="2233"/>
        <w:gridCol w:w="1989"/>
        <w:gridCol w:w="2025"/>
        <w:gridCol w:w="1514"/>
      </w:tblGrid>
      <w:tr w:rsidR="00A037B4" w:rsidRPr="00F81955" w:rsidTr="00A037B4">
        <w:trPr>
          <w:trHeight w:val="300"/>
        </w:trPr>
        <w:tc>
          <w:tcPr>
            <w:tcW w:w="1612" w:type="dxa"/>
            <w:vAlign w:val="center"/>
          </w:tcPr>
          <w:p w:rsidR="00A037B4" w:rsidRPr="00F81955" w:rsidRDefault="00A037B4" w:rsidP="00835FFC">
            <w:pPr>
              <w:spacing w:before="0" w:after="0"/>
              <w:jc w:val="center"/>
              <w:rPr>
                <w:b/>
                <w:bCs/>
                <w:noProof/>
                <w:color w:val="000000"/>
                <w:lang w:eastAsia="fr-BE"/>
              </w:rPr>
            </w:pPr>
            <w:r w:rsidRPr="00F81955">
              <w:rPr>
                <w:b/>
                <w:bCs/>
                <w:noProof/>
                <w:color w:val="000000" w:themeColor="text1"/>
              </w:rPr>
              <w:t>Digital solution</w:t>
            </w:r>
          </w:p>
        </w:tc>
        <w:tc>
          <w:tcPr>
            <w:tcW w:w="1860" w:type="dxa"/>
            <w:vAlign w:val="center"/>
          </w:tcPr>
          <w:p w:rsidR="00A037B4" w:rsidRPr="00F81955" w:rsidRDefault="00A037B4" w:rsidP="00835FFC">
            <w:pPr>
              <w:jc w:val="center"/>
              <w:rPr>
                <w:b/>
                <w:bCs/>
                <w:noProof/>
              </w:rPr>
            </w:pPr>
            <w:r w:rsidRPr="00F81955">
              <w:rPr>
                <w:b/>
                <w:bCs/>
                <w:noProof/>
              </w:rPr>
              <w:t>Reference(s) to the requirement(s)</w:t>
            </w:r>
          </w:p>
        </w:tc>
        <w:tc>
          <w:tcPr>
            <w:tcW w:w="2760" w:type="dxa"/>
            <w:vAlign w:val="center"/>
          </w:tcPr>
          <w:p w:rsidR="00A037B4" w:rsidRPr="00F81955" w:rsidRDefault="00A037B4" w:rsidP="00835FFC">
            <w:pPr>
              <w:spacing w:before="0" w:after="0"/>
              <w:jc w:val="center"/>
              <w:rPr>
                <w:b/>
                <w:bCs/>
                <w:noProof/>
                <w:color w:val="000000"/>
                <w:lang w:eastAsia="fr-BE"/>
              </w:rPr>
            </w:pPr>
            <w:r w:rsidRPr="00F81955">
              <w:rPr>
                <w:b/>
                <w:bCs/>
                <w:noProof/>
                <w:color w:val="000000" w:themeColor="text1"/>
              </w:rPr>
              <w:t>Main mandated functionalities</w:t>
            </w:r>
          </w:p>
        </w:tc>
        <w:tc>
          <w:tcPr>
            <w:tcW w:w="2233" w:type="dxa"/>
            <w:vAlign w:val="center"/>
          </w:tcPr>
          <w:p w:rsidR="00A037B4" w:rsidRPr="00F81955" w:rsidRDefault="00A037B4" w:rsidP="00835FFC">
            <w:pPr>
              <w:jc w:val="center"/>
              <w:rPr>
                <w:b/>
                <w:bCs/>
                <w:noProof/>
                <w:color w:val="000000" w:themeColor="text1"/>
              </w:rPr>
            </w:pPr>
            <w:r w:rsidRPr="00F81955">
              <w:rPr>
                <w:b/>
                <w:bCs/>
                <w:noProof/>
                <w:color w:val="000000" w:themeColor="text1"/>
              </w:rPr>
              <w:t>Responsible body</w:t>
            </w:r>
          </w:p>
        </w:tc>
        <w:tc>
          <w:tcPr>
            <w:tcW w:w="1989" w:type="dxa"/>
            <w:vAlign w:val="center"/>
          </w:tcPr>
          <w:p w:rsidR="00A037B4" w:rsidRPr="00F81955" w:rsidRDefault="00A037B4" w:rsidP="00835FFC">
            <w:pPr>
              <w:spacing w:before="0" w:after="0"/>
              <w:jc w:val="center"/>
              <w:rPr>
                <w:b/>
                <w:bCs/>
                <w:noProof/>
                <w:color w:val="000000"/>
              </w:rPr>
            </w:pPr>
            <w:r w:rsidRPr="00F81955">
              <w:rPr>
                <w:b/>
                <w:bCs/>
                <w:noProof/>
                <w:color w:val="000000" w:themeColor="text1"/>
              </w:rPr>
              <w:t>How is accessibility catered for?</w:t>
            </w:r>
          </w:p>
        </w:tc>
        <w:tc>
          <w:tcPr>
            <w:tcW w:w="2025" w:type="dxa"/>
            <w:vAlign w:val="center"/>
          </w:tcPr>
          <w:p w:rsidR="00A037B4" w:rsidRPr="00F81955" w:rsidRDefault="00A037B4" w:rsidP="00835FFC">
            <w:pPr>
              <w:spacing w:before="0" w:after="0"/>
              <w:jc w:val="center"/>
              <w:rPr>
                <w:b/>
                <w:bCs/>
                <w:noProof/>
                <w:color w:val="000000"/>
              </w:rPr>
            </w:pPr>
            <w:r w:rsidRPr="00F81955">
              <w:rPr>
                <w:b/>
                <w:bCs/>
                <w:noProof/>
                <w:color w:val="000000" w:themeColor="text1"/>
              </w:rPr>
              <w:t>How is reusability considered?</w:t>
            </w:r>
          </w:p>
        </w:tc>
        <w:tc>
          <w:tcPr>
            <w:tcW w:w="1514" w:type="dxa"/>
            <w:vAlign w:val="center"/>
          </w:tcPr>
          <w:p w:rsidR="00A037B4" w:rsidRPr="00F81955" w:rsidRDefault="00A037B4" w:rsidP="00835FFC">
            <w:pPr>
              <w:spacing w:before="0" w:after="0"/>
              <w:jc w:val="center"/>
              <w:rPr>
                <w:b/>
                <w:bCs/>
                <w:noProof/>
                <w:color w:val="000000"/>
              </w:rPr>
            </w:pPr>
            <w:r w:rsidRPr="00F81955">
              <w:rPr>
                <w:b/>
                <w:bCs/>
                <w:noProof/>
                <w:color w:val="000000" w:themeColor="text1"/>
              </w:rPr>
              <w:t>Use of AI technologies (if applicable)</w:t>
            </w:r>
          </w:p>
        </w:tc>
      </w:tr>
      <w:tr w:rsidR="00A037B4" w:rsidRPr="00F81955" w:rsidTr="00A037B4">
        <w:trPr>
          <w:trHeight w:val="300"/>
        </w:trPr>
        <w:tc>
          <w:tcPr>
            <w:tcW w:w="1612" w:type="dxa"/>
          </w:tcPr>
          <w:p w:rsidR="00A037B4" w:rsidRPr="00F81955" w:rsidRDefault="729CAE24" w:rsidP="00835FFC">
            <w:pPr>
              <w:spacing w:line="259" w:lineRule="auto"/>
              <w:jc w:val="left"/>
              <w:rPr>
                <w:rFonts w:eastAsia="Calibri"/>
                <w:noProof/>
                <w:szCs w:val="24"/>
              </w:rPr>
            </w:pPr>
            <w:r w:rsidRPr="00F81955">
              <w:rPr>
                <w:rFonts w:eastAsia="Calibri"/>
                <w:noProof/>
                <w:szCs w:val="24"/>
              </w:rPr>
              <w:t>N</w:t>
            </w:r>
            <w:r w:rsidR="3B0CCF6F" w:rsidRPr="00F81955">
              <w:rPr>
                <w:noProof/>
              </w:rPr>
              <w:t>.A. (the proposed amendments to the AI Act do not foresee the adoption of new digital solutions)</w:t>
            </w:r>
          </w:p>
        </w:tc>
        <w:tc>
          <w:tcPr>
            <w:tcW w:w="1860" w:type="dxa"/>
          </w:tcPr>
          <w:p w:rsidR="00A037B4" w:rsidRPr="00F81955" w:rsidRDefault="00A037B4" w:rsidP="00835FFC">
            <w:pPr>
              <w:jc w:val="left"/>
              <w:rPr>
                <w:noProof/>
              </w:rPr>
            </w:pPr>
          </w:p>
        </w:tc>
        <w:tc>
          <w:tcPr>
            <w:tcW w:w="2760" w:type="dxa"/>
          </w:tcPr>
          <w:p w:rsidR="00A037B4" w:rsidRPr="00F81955" w:rsidRDefault="00A037B4" w:rsidP="00835FFC">
            <w:pPr>
              <w:jc w:val="left"/>
              <w:rPr>
                <w:noProof/>
              </w:rPr>
            </w:pPr>
          </w:p>
        </w:tc>
        <w:tc>
          <w:tcPr>
            <w:tcW w:w="2233" w:type="dxa"/>
          </w:tcPr>
          <w:p w:rsidR="00A037B4" w:rsidRPr="00F81955" w:rsidRDefault="00A037B4" w:rsidP="00835FFC">
            <w:pPr>
              <w:jc w:val="left"/>
              <w:rPr>
                <w:noProof/>
              </w:rPr>
            </w:pPr>
          </w:p>
        </w:tc>
        <w:tc>
          <w:tcPr>
            <w:tcW w:w="1989" w:type="dxa"/>
          </w:tcPr>
          <w:p w:rsidR="00A037B4" w:rsidRPr="00F81955" w:rsidRDefault="00A037B4" w:rsidP="00835FFC">
            <w:pPr>
              <w:jc w:val="left"/>
              <w:rPr>
                <w:noProof/>
              </w:rPr>
            </w:pPr>
          </w:p>
        </w:tc>
        <w:tc>
          <w:tcPr>
            <w:tcW w:w="2025" w:type="dxa"/>
          </w:tcPr>
          <w:p w:rsidR="00A037B4" w:rsidRPr="00F81955" w:rsidRDefault="00A037B4" w:rsidP="00835FFC">
            <w:pPr>
              <w:jc w:val="left"/>
              <w:rPr>
                <w:noProof/>
                <w:highlight w:val="green"/>
              </w:rPr>
            </w:pPr>
          </w:p>
        </w:tc>
        <w:tc>
          <w:tcPr>
            <w:tcW w:w="1514" w:type="dxa"/>
          </w:tcPr>
          <w:p w:rsidR="00A037B4" w:rsidRPr="00F81955" w:rsidRDefault="00A037B4" w:rsidP="00835FFC">
            <w:pPr>
              <w:jc w:val="left"/>
              <w:rPr>
                <w:noProof/>
              </w:rPr>
            </w:pPr>
          </w:p>
        </w:tc>
      </w:tr>
    </w:tbl>
    <w:p w:rsidR="00A037B4" w:rsidRPr="00F81955" w:rsidRDefault="00A037B4" w:rsidP="00A037B4">
      <w:pPr>
        <w:rPr>
          <w:i/>
          <w:iCs/>
          <w:noProof/>
        </w:rPr>
      </w:pPr>
      <w:r w:rsidRPr="00F81955">
        <w:rPr>
          <w:i/>
          <w:iCs/>
          <w:noProof/>
        </w:rPr>
        <w:t>For each digital solution, explanation of how the digital solution complies with applicable digital policies and legislative enactments</w:t>
      </w:r>
    </w:p>
    <w:p w:rsidR="00A037B4" w:rsidRPr="00F81955" w:rsidRDefault="00A037B4" w:rsidP="00A037B4">
      <w:pPr>
        <w:rPr>
          <w:i/>
          <w:iCs/>
          <w:noProof/>
        </w:rPr>
      </w:pPr>
    </w:p>
    <w:p w:rsidR="00A037B4" w:rsidRPr="00F81955" w:rsidRDefault="00A037B4" w:rsidP="00A037B4">
      <w:pPr>
        <w:spacing w:line="259" w:lineRule="auto"/>
        <w:rPr>
          <w:noProof/>
        </w:rPr>
      </w:pPr>
      <w:r w:rsidRPr="00F81955">
        <w:rPr>
          <w:b/>
          <w:bCs/>
          <w:noProof/>
          <w:u w:val="single"/>
        </w:rPr>
        <w:t>Digital Solution #1</w:t>
      </w:r>
    </w:p>
    <w:tbl>
      <w:tblPr>
        <w:tblStyle w:val="TableGrid"/>
        <w:tblW w:w="1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8962"/>
      </w:tblGrid>
      <w:tr w:rsidR="00A037B4" w:rsidRPr="00F81955" w:rsidTr="00A037B4">
        <w:tc>
          <w:tcPr>
            <w:tcW w:w="5115" w:type="dxa"/>
          </w:tcPr>
          <w:p w:rsidR="00A037B4" w:rsidRPr="00F81955" w:rsidRDefault="00A037B4" w:rsidP="00835FFC">
            <w:pPr>
              <w:jc w:val="left"/>
              <w:rPr>
                <w:b/>
                <w:bCs/>
                <w:noProof/>
              </w:rPr>
            </w:pPr>
            <w:r w:rsidRPr="00F81955">
              <w:rPr>
                <w:b/>
                <w:bCs/>
                <w:noProof/>
              </w:rPr>
              <w:t>Digital and/or sectorial policy (when these are applicable)</w:t>
            </w:r>
          </w:p>
        </w:tc>
        <w:tc>
          <w:tcPr>
            <w:tcW w:w="8962" w:type="dxa"/>
          </w:tcPr>
          <w:p w:rsidR="00A037B4" w:rsidRPr="00F81955" w:rsidRDefault="00A037B4" w:rsidP="00835FFC">
            <w:pPr>
              <w:jc w:val="left"/>
              <w:rPr>
                <w:b/>
                <w:bCs/>
                <w:noProof/>
              </w:rPr>
            </w:pPr>
            <w:r w:rsidRPr="00F81955">
              <w:rPr>
                <w:b/>
                <w:bCs/>
                <w:noProof/>
              </w:rPr>
              <w:t>Explanation on how it aligns</w:t>
            </w:r>
          </w:p>
        </w:tc>
      </w:tr>
      <w:tr w:rsidR="00A037B4" w:rsidRPr="00F81955" w:rsidTr="00A037B4">
        <w:tc>
          <w:tcPr>
            <w:tcW w:w="5115" w:type="dxa"/>
          </w:tcPr>
          <w:p w:rsidR="00A037B4" w:rsidRPr="00F81955" w:rsidRDefault="00A037B4" w:rsidP="00835FFC">
            <w:pPr>
              <w:jc w:val="left"/>
              <w:rPr>
                <w:b/>
                <w:bCs/>
                <w:i/>
                <w:iCs/>
                <w:noProof/>
              </w:rPr>
            </w:pPr>
            <w:r w:rsidRPr="00F81955">
              <w:rPr>
                <w:b/>
                <w:bCs/>
                <w:i/>
                <w:iCs/>
                <w:noProof/>
              </w:rPr>
              <w:t>AI Act</w:t>
            </w:r>
          </w:p>
        </w:tc>
        <w:tc>
          <w:tcPr>
            <w:tcW w:w="8962" w:type="dxa"/>
          </w:tcPr>
          <w:p w:rsidR="00A037B4" w:rsidRPr="00F81955" w:rsidRDefault="00A037B4" w:rsidP="00835FFC">
            <w:pPr>
              <w:spacing w:line="259" w:lineRule="auto"/>
              <w:jc w:val="left"/>
              <w:rPr>
                <w:noProof/>
              </w:rPr>
            </w:pPr>
          </w:p>
        </w:tc>
      </w:tr>
      <w:tr w:rsidR="00A037B4" w:rsidRPr="00F81955" w:rsidTr="00A037B4">
        <w:tc>
          <w:tcPr>
            <w:tcW w:w="5115" w:type="dxa"/>
          </w:tcPr>
          <w:p w:rsidR="00A037B4" w:rsidRPr="00F81955" w:rsidRDefault="00A037B4" w:rsidP="00835FFC">
            <w:pPr>
              <w:jc w:val="left"/>
              <w:rPr>
                <w:b/>
                <w:bCs/>
                <w:i/>
                <w:iCs/>
                <w:noProof/>
              </w:rPr>
            </w:pPr>
            <w:r w:rsidRPr="00F81955">
              <w:rPr>
                <w:b/>
                <w:bCs/>
                <w:i/>
                <w:iCs/>
                <w:noProof/>
              </w:rPr>
              <w:t>EU Cybersecurity framework</w:t>
            </w:r>
          </w:p>
        </w:tc>
        <w:tc>
          <w:tcPr>
            <w:tcW w:w="8962" w:type="dxa"/>
          </w:tcPr>
          <w:p w:rsidR="00A037B4" w:rsidRPr="00F81955" w:rsidRDefault="00A037B4" w:rsidP="00835FFC">
            <w:pPr>
              <w:jc w:val="left"/>
              <w:rPr>
                <w:noProof/>
              </w:rPr>
            </w:pPr>
          </w:p>
        </w:tc>
      </w:tr>
      <w:tr w:rsidR="00A037B4" w:rsidRPr="00F81955" w:rsidTr="00A037B4">
        <w:tc>
          <w:tcPr>
            <w:tcW w:w="5115" w:type="dxa"/>
          </w:tcPr>
          <w:p w:rsidR="00A037B4" w:rsidRPr="00F81955" w:rsidRDefault="00A037B4" w:rsidP="00835FFC">
            <w:pPr>
              <w:jc w:val="left"/>
              <w:rPr>
                <w:b/>
                <w:bCs/>
                <w:i/>
                <w:iCs/>
                <w:noProof/>
              </w:rPr>
            </w:pPr>
            <w:r w:rsidRPr="00F81955">
              <w:rPr>
                <w:b/>
                <w:bCs/>
                <w:i/>
                <w:iCs/>
                <w:noProof/>
              </w:rPr>
              <w:t>eIDAS</w:t>
            </w:r>
          </w:p>
        </w:tc>
        <w:tc>
          <w:tcPr>
            <w:tcW w:w="8962" w:type="dxa"/>
          </w:tcPr>
          <w:p w:rsidR="00A037B4" w:rsidRPr="00F81955" w:rsidRDefault="00A037B4" w:rsidP="00835FFC">
            <w:pPr>
              <w:jc w:val="left"/>
              <w:rPr>
                <w:noProof/>
              </w:rPr>
            </w:pPr>
          </w:p>
        </w:tc>
      </w:tr>
      <w:tr w:rsidR="00A037B4" w:rsidRPr="00F81955" w:rsidTr="00A037B4">
        <w:tc>
          <w:tcPr>
            <w:tcW w:w="5115" w:type="dxa"/>
          </w:tcPr>
          <w:p w:rsidR="00A037B4" w:rsidRPr="00F81955" w:rsidRDefault="00A037B4" w:rsidP="00835FFC">
            <w:pPr>
              <w:jc w:val="left"/>
              <w:rPr>
                <w:b/>
                <w:bCs/>
                <w:i/>
                <w:iCs/>
                <w:noProof/>
              </w:rPr>
            </w:pPr>
            <w:r w:rsidRPr="00F81955">
              <w:rPr>
                <w:b/>
                <w:bCs/>
                <w:i/>
                <w:iCs/>
                <w:noProof/>
              </w:rPr>
              <w:t>Single Digital Gateway and IMI</w:t>
            </w:r>
          </w:p>
        </w:tc>
        <w:tc>
          <w:tcPr>
            <w:tcW w:w="8962" w:type="dxa"/>
          </w:tcPr>
          <w:p w:rsidR="00A037B4" w:rsidRPr="00F81955" w:rsidRDefault="00A037B4" w:rsidP="00835FFC">
            <w:pPr>
              <w:jc w:val="left"/>
              <w:rPr>
                <w:noProof/>
              </w:rPr>
            </w:pPr>
          </w:p>
        </w:tc>
      </w:tr>
      <w:tr w:rsidR="00A037B4" w:rsidRPr="00F81955" w:rsidTr="00A037B4">
        <w:tc>
          <w:tcPr>
            <w:tcW w:w="5115" w:type="dxa"/>
          </w:tcPr>
          <w:p w:rsidR="00A037B4" w:rsidRPr="00F81955" w:rsidRDefault="00A037B4" w:rsidP="00835FFC">
            <w:pPr>
              <w:jc w:val="left"/>
              <w:rPr>
                <w:b/>
                <w:bCs/>
                <w:i/>
                <w:iCs/>
                <w:noProof/>
              </w:rPr>
            </w:pPr>
            <w:r w:rsidRPr="00F81955">
              <w:rPr>
                <w:b/>
                <w:bCs/>
                <w:i/>
                <w:iCs/>
                <w:noProof/>
              </w:rPr>
              <w:t>Others</w:t>
            </w:r>
          </w:p>
        </w:tc>
        <w:tc>
          <w:tcPr>
            <w:tcW w:w="8962" w:type="dxa"/>
          </w:tcPr>
          <w:p w:rsidR="00A037B4" w:rsidRPr="00F81955" w:rsidRDefault="00A037B4" w:rsidP="00835FFC">
            <w:pPr>
              <w:jc w:val="left"/>
              <w:rPr>
                <w:rFonts w:eastAsia="Calibri"/>
                <w:noProof/>
              </w:rPr>
            </w:pPr>
          </w:p>
        </w:tc>
      </w:tr>
    </w:tbl>
    <w:p w:rsidR="00A037B4" w:rsidRPr="00F81955" w:rsidRDefault="00A037B4" w:rsidP="00A037B4">
      <w:pPr>
        <w:rPr>
          <w:noProof/>
        </w:rPr>
      </w:pPr>
    </w:p>
    <w:p w:rsidR="00A037B4" w:rsidRPr="00F81955" w:rsidRDefault="00A037B4" w:rsidP="00A037B4">
      <w:pPr>
        <w:rPr>
          <w:b/>
          <w:bCs/>
          <w:noProof/>
        </w:rPr>
      </w:pPr>
      <w:r w:rsidRPr="00F81955">
        <w:rPr>
          <w:b/>
          <w:bCs/>
          <w:noProof/>
        </w:rPr>
        <w:t>4.4. Interoperability assessment</w:t>
      </w:r>
    </w:p>
    <w:p w:rsidR="00A037B4" w:rsidRPr="00F81955" w:rsidRDefault="00A037B4" w:rsidP="00A037B4">
      <w:pPr>
        <w:rPr>
          <w:i/>
          <w:iCs/>
          <w:noProof/>
        </w:rPr>
      </w:pPr>
      <w:r w:rsidRPr="00F81955">
        <w:rPr>
          <w:i/>
          <w:iCs/>
          <w:noProof/>
        </w:rPr>
        <w:t>High-level description of the digital public service(s) affected by the requirements</w:t>
      </w:r>
    </w:p>
    <w:tbl>
      <w:tblPr>
        <w:tblStyle w:val="TableGrid"/>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2268"/>
        <w:gridCol w:w="2685"/>
        <w:gridCol w:w="3694"/>
      </w:tblGrid>
      <w:tr w:rsidR="00A037B4" w:rsidRPr="00F81955" w:rsidTr="00A037B4">
        <w:trPr>
          <w:trHeight w:val="1320"/>
        </w:trPr>
        <w:tc>
          <w:tcPr>
            <w:tcW w:w="2263" w:type="dxa"/>
          </w:tcPr>
          <w:p w:rsidR="00A037B4" w:rsidRPr="00F81955" w:rsidRDefault="00A037B4" w:rsidP="00835FFC">
            <w:pPr>
              <w:spacing w:before="0" w:after="0"/>
              <w:jc w:val="left"/>
              <w:rPr>
                <w:b/>
                <w:bCs/>
                <w:noProof/>
                <w:color w:val="000000"/>
                <w:lang w:eastAsia="fr-BE"/>
              </w:rPr>
            </w:pPr>
            <w:r w:rsidRPr="00F81955">
              <w:rPr>
                <w:b/>
                <w:bCs/>
                <w:noProof/>
                <w:color w:val="000000" w:themeColor="text1"/>
              </w:rPr>
              <w:t>Digital public service or category of digital public services</w:t>
            </w:r>
          </w:p>
        </w:tc>
        <w:tc>
          <w:tcPr>
            <w:tcW w:w="3544" w:type="dxa"/>
          </w:tcPr>
          <w:p w:rsidR="00A037B4" w:rsidRPr="00F81955" w:rsidRDefault="00A037B4" w:rsidP="00835FFC">
            <w:pPr>
              <w:jc w:val="left"/>
              <w:rPr>
                <w:b/>
                <w:bCs/>
                <w:noProof/>
              </w:rPr>
            </w:pPr>
            <w:r w:rsidRPr="00F81955">
              <w:rPr>
                <w:b/>
                <w:bCs/>
                <w:noProof/>
              </w:rPr>
              <w:t>Description</w:t>
            </w:r>
          </w:p>
        </w:tc>
        <w:tc>
          <w:tcPr>
            <w:tcW w:w="2268" w:type="dxa"/>
          </w:tcPr>
          <w:p w:rsidR="00A037B4" w:rsidRPr="00F81955" w:rsidRDefault="00A037B4" w:rsidP="00835FFC">
            <w:pPr>
              <w:jc w:val="left"/>
              <w:rPr>
                <w:b/>
                <w:bCs/>
                <w:noProof/>
              </w:rPr>
            </w:pPr>
            <w:r w:rsidRPr="00F81955">
              <w:rPr>
                <w:b/>
                <w:bCs/>
                <w:noProof/>
              </w:rPr>
              <w:t>Reference(s) to the requirement(s)</w:t>
            </w:r>
          </w:p>
        </w:tc>
        <w:tc>
          <w:tcPr>
            <w:tcW w:w="2685" w:type="dxa"/>
            <w:shd w:val="clear" w:color="auto" w:fill="7F7F7F" w:themeFill="text1" w:themeFillTint="80"/>
          </w:tcPr>
          <w:p w:rsidR="00A037B4" w:rsidRPr="00F81955" w:rsidRDefault="00A037B4" w:rsidP="00835FFC">
            <w:pPr>
              <w:jc w:val="left"/>
              <w:rPr>
                <w:b/>
                <w:bCs/>
                <w:noProof/>
              </w:rPr>
            </w:pPr>
            <w:r w:rsidRPr="00F81955">
              <w:rPr>
                <w:b/>
                <w:bCs/>
                <w:noProof/>
              </w:rPr>
              <w:t xml:space="preserve">Interoperable Europe Solution(s) </w:t>
            </w:r>
          </w:p>
          <w:p w:rsidR="00A037B4" w:rsidRPr="00F81955" w:rsidRDefault="00A037B4" w:rsidP="00835FFC">
            <w:pPr>
              <w:jc w:val="left"/>
              <w:rPr>
                <w:b/>
                <w:bCs/>
                <w:noProof/>
              </w:rPr>
            </w:pPr>
            <w:r w:rsidRPr="00F81955">
              <w:rPr>
                <w:b/>
                <w:bCs/>
                <w:noProof/>
              </w:rPr>
              <w:t>(NOT APPLICABLE)</w:t>
            </w:r>
          </w:p>
        </w:tc>
        <w:tc>
          <w:tcPr>
            <w:tcW w:w="3694" w:type="dxa"/>
          </w:tcPr>
          <w:p w:rsidR="00A037B4" w:rsidRPr="00F81955" w:rsidRDefault="00A037B4" w:rsidP="00835FFC">
            <w:pPr>
              <w:jc w:val="left"/>
              <w:rPr>
                <w:b/>
                <w:bCs/>
                <w:noProof/>
              </w:rPr>
            </w:pPr>
            <w:r w:rsidRPr="00F81955">
              <w:rPr>
                <w:b/>
                <w:bCs/>
                <w:noProof/>
              </w:rPr>
              <w:t>Other interoperability solution(s)</w:t>
            </w:r>
          </w:p>
        </w:tc>
      </w:tr>
      <w:tr w:rsidR="00A037B4" w:rsidRPr="00F81955" w:rsidTr="00A037B4">
        <w:trPr>
          <w:trHeight w:val="300"/>
        </w:trPr>
        <w:tc>
          <w:tcPr>
            <w:tcW w:w="2263" w:type="dxa"/>
          </w:tcPr>
          <w:p w:rsidR="00A037B4" w:rsidRPr="00F81955" w:rsidRDefault="4ED0C3B4" w:rsidP="00835FFC">
            <w:pPr>
              <w:spacing w:line="259" w:lineRule="auto"/>
              <w:jc w:val="left"/>
              <w:rPr>
                <w:rFonts w:eastAsia="Calibri"/>
                <w:noProof/>
              </w:rPr>
            </w:pPr>
            <w:r w:rsidRPr="00F81955">
              <w:rPr>
                <w:rFonts w:eastAsia="Calibri"/>
                <w:noProof/>
              </w:rPr>
              <w:t>N.A. (</w:t>
            </w:r>
            <w:r w:rsidRPr="00F81955">
              <w:rPr>
                <w:noProof/>
              </w:rPr>
              <w:t>the proposed amendments to the AI Act do not affect digital public services)</w:t>
            </w:r>
          </w:p>
        </w:tc>
        <w:tc>
          <w:tcPr>
            <w:tcW w:w="3544" w:type="dxa"/>
          </w:tcPr>
          <w:p w:rsidR="00A037B4" w:rsidRPr="00F81955" w:rsidRDefault="00A037B4" w:rsidP="00835FFC">
            <w:pPr>
              <w:jc w:val="left"/>
              <w:rPr>
                <w:rFonts w:eastAsia="Calibri"/>
                <w:noProof/>
                <w:highlight w:val="green"/>
              </w:rPr>
            </w:pPr>
          </w:p>
        </w:tc>
        <w:tc>
          <w:tcPr>
            <w:tcW w:w="2268" w:type="dxa"/>
          </w:tcPr>
          <w:p w:rsidR="00A037B4" w:rsidRPr="00F81955" w:rsidRDefault="00A037B4" w:rsidP="00835FFC">
            <w:pPr>
              <w:jc w:val="left"/>
              <w:rPr>
                <w:noProof/>
              </w:rPr>
            </w:pPr>
          </w:p>
        </w:tc>
        <w:tc>
          <w:tcPr>
            <w:tcW w:w="2685" w:type="dxa"/>
            <w:shd w:val="clear" w:color="auto" w:fill="7F7F7F" w:themeFill="text1" w:themeFillTint="80"/>
          </w:tcPr>
          <w:p w:rsidR="00A037B4" w:rsidRPr="00F81955" w:rsidRDefault="00A037B4" w:rsidP="00835FFC">
            <w:pPr>
              <w:jc w:val="left"/>
              <w:rPr>
                <w:noProof/>
              </w:rPr>
            </w:pPr>
          </w:p>
        </w:tc>
        <w:tc>
          <w:tcPr>
            <w:tcW w:w="3694" w:type="dxa"/>
          </w:tcPr>
          <w:p w:rsidR="00A037B4" w:rsidRPr="00F81955" w:rsidRDefault="00A037B4" w:rsidP="00835FFC">
            <w:pPr>
              <w:jc w:val="left"/>
              <w:rPr>
                <w:noProof/>
              </w:rPr>
            </w:pPr>
          </w:p>
        </w:tc>
      </w:tr>
    </w:tbl>
    <w:p w:rsidR="00A037B4" w:rsidRPr="00F81955" w:rsidRDefault="00A037B4" w:rsidP="00A037B4">
      <w:pPr>
        <w:rPr>
          <w:i/>
          <w:iCs/>
          <w:noProof/>
        </w:rPr>
      </w:pPr>
    </w:p>
    <w:p w:rsidR="00A037B4" w:rsidRPr="00F81955" w:rsidRDefault="00A037B4" w:rsidP="00A037B4">
      <w:pPr>
        <w:rPr>
          <w:b/>
          <w:bCs/>
          <w:noProof/>
          <w:u w:val="single"/>
        </w:rPr>
      </w:pPr>
      <w:r w:rsidRPr="00F81955">
        <w:rPr>
          <w:i/>
          <w:iCs/>
          <w:noProof/>
        </w:rPr>
        <w:t>Impact of the requirement(s) as per digital public service on cross-border interoperability</w:t>
      </w:r>
    </w:p>
    <w:p w:rsidR="00A037B4" w:rsidRPr="00F81955" w:rsidRDefault="00A037B4" w:rsidP="00A037B4">
      <w:pPr>
        <w:spacing w:line="259" w:lineRule="auto"/>
        <w:rPr>
          <w:b/>
          <w:bCs/>
          <w:noProof/>
          <w:u w:val="single"/>
        </w:rPr>
      </w:pPr>
      <w:r w:rsidRPr="00F81955">
        <w:rPr>
          <w:b/>
          <w:bCs/>
          <w:noProof/>
          <w:u w:val="single"/>
        </w:rPr>
        <w:t>Digital Public Service #1</w:t>
      </w:r>
    </w:p>
    <w:tbl>
      <w:tblPr>
        <w:tblStyle w:val="TableGrid"/>
        <w:tblW w:w="14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0"/>
        <w:gridCol w:w="7365"/>
        <w:gridCol w:w="3364"/>
      </w:tblGrid>
      <w:tr w:rsidR="00A037B4" w:rsidRPr="00F81955" w:rsidTr="00A037B4">
        <w:trPr>
          <w:trHeight w:val="300"/>
        </w:trPr>
        <w:tc>
          <w:tcPr>
            <w:tcW w:w="3750" w:type="dxa"/>
          </w:tcPr>
          <w:p w:rsidR="00A037B4" w:rsidRPr="00F81955" w:rsidRDefault="00A037B4" w:rsidP="00835FFC">
            <w:pPr>
              <w:jc w:val="left"/>
              <w:rPr>
                <w:b/>
                <w:bCs/>
                <w:noProof/>
              </w:rPr>
            </w:pPr>
            <w:r w:rsidRPr="00F81955">
              <w:rPr>
                <w:b/>
                <w:bCs/>
                <w:noProof/>
              </w:rPr>
              <w:t>Assessment</w:t>
            </w:r>
          </w:p>
        </w:tc>
        <w:tc>
          <w:tcPr>
            <w:tcW w:w="7365" w:type="dxa"/>
          </w:tcPr>
          <w:p w:rsidR="00A037B4" w:rsidRPr="00F81955" w:rsidRDefault="00A037B4" w:rsidP="00835FFC">
            <w:pPr>
              <w:jc w:val="left"/>
              <w:rPr>
                <w:b/>
                <w:bCs/>
                <w:noProof/>
              </w:rPr>
            </w:pPr>
            <w:r w:rsidRPr="00F81955">
              <w:rPr>
                <w:b/>
                <w:bCs/>
                <w:noProof/>
              </w:rPr>
              <w:t>Measure(s)</w:t>
            </w:r>
          </w:p>
        </w:tc>
        <w:tc>
          <w:tcPr>
            <w:tcW w:w="3364" w:type="dxa"/>
          </w:tcPr>
          <w:p w:rsidR="00A037B4" w:rsidRPr="00F81955" w:rsidRDefault="00A037B4" w:rsidP="00835FFC">
            <w:pPr>
              <w:jc w:val="left"/>
              <w:rPr>
                <w:b/>
                <w:bCs/>
                <w:noProof/>
              </w:rPr>
            </w:pPr>
            <w:r w:rsidRPr="00F81955">
              <w:rPr>
                <w:b/>
                <w:bCs/>
                <w:noProof/>
              </w:rPr>
              <w:t>Potential remaining barriers (if applicable)</w:t>
            </w:r>
          </w:p>
        </w:tc>
      </w:tr>
      <w:tr w:rsidR="00A037B4" w:rsidRPr="00F81955" w:rsidTr="00A037B4">
        <w:trPr>
          <w:trHeight w:val="300"/>
        </w:trPr>
        <w:tc>
          <w:tcPr>
            <w:tcW w:w="3750" w:type="dxa"/>
          </w:tcPr>
          <w:p w:rsidR="00A037B4" w:rsidRPr="00F81955" w:rsidRDefault="00A037B4" w:rsidP="00835FFC">
            <w:pPr>
              <w:spacing w:before="0"/>
              <w:jc w:val="left"/>
              <w:rPr>
                <w:rFonts w:eastAsiaTheme="minorEastAsia"/>
                <w:b/>
                <w:bCs/>
                <w:noProof/>
              </w:rPr>
            </w:pPr>
            <w:r w:rsidRPr="00F81955">
              <w:rPr>
                <w:rFonts w:eastAsiaTheme="minorEastAsia"/>
                <w:b/>
                <w:bCs/>
                <w:noProof/>
              </w:rPr>
              <w:t xml:space="preserve">Alignment with existing digital and sectorial policies </w:t>
            </w:r>
          </w:p>
          <w:p w:rsidR="00A037B4" w:rsidRPr="00F81955" w:rsidRDefault="00A037B4" w:rsidP="00835FFC">
            <w:pPr>
              <w:spacing w:before="0"/>
              <w:jc w:val="left"/>
              <w:rPr>
                <w:b/>
                <w:bCs/>
                <w:noProof/>
              </w:rPr>
            </w:pPr>
            <w:r w:rsidRPr="00F81955">
              <w:rPr>
                <w:rFonts w:eastAsiaTheme="minorEastAsia"/>
                <w:b/>
                <w:bCs/>
                <w:noProof/>
              </w:rPr>
              <w:t>Please list the applicable digital and sectorial policies identified</w:t>
            </w:r>
          </w:p>
        </w:tc>
        <w:tc>
          <w:tcPr>
            <w:tcW w:w="7365" w:type="dxa"/>
          </w:tcPr>
          <w:p w:rsidR="00A037B4" w:rsidRPr="00F81955" w:rsidRDefault="00A037B4" w:rsidP="00835FFC">
            <w:pPr>
              <w:spacing w:line="259" w:lineRule="auto"/>
              <w:jc w:val="left"/>
              <w:rPr>
                <w:rFonts w:eastAsia="Calibri"/>
                <w:noProof/>
              </w:rPr>
            </w:pPr>
          </w:p>
        </w:tc>
        <w:tc>
          <w:tcPr>
            <w:tcW w:w="3364" w:type="dxa"/>
          </w:tcPr>
          <w:p w:rsidR="00A037B4" w:rsidRPr="00F81955" w:rsidRDefault="00A037B4" w:rsidP="00835FFC">
            <w:pPr>
              <w:jc w:val="left"/>
              <w:rPr>
                <w:rFonts w:eastAsia="Calibri"/>
                <w:noProof/>
              </w:rPr>
            </w:pPr>
          </w:p>
        </w:tc>
      </w:tr>
      <w:tr w:rsidR="00A037B4" w:rsidRPr="00F81955" w:rsidTr="00A037B4">
        <w:trPr>
          <w:trHeight w:val="1830"/>
        </w:trPr>
        <w:tc>
          <w:tcPr>
            <w:tcW w:w="3750" w:type="dxa"/>
          </w:tcPr>
          <w:p w:rsidR="00A037B4" w:rsidRPr="00F81955" w:rsidRDefault="00A037B4" w:rsidP="00835FFC">
            <w:pPr>
              <w:jc w:val="left"/>
              <w:rPr>
                <w:rFonts w:eastAsiaTheme="minorEastAsia"/>
                <w:b/>
                <w:bCs/>
                <w:noProof/>
              </w:rPr>
            </w:pPr>
            <w:r w:rsidRPr="00F81955">
              <w:rPr>
                <w:rFonts w:eastAsiaTheme="minorEastAsia"/>
                <w:b/>
                <w:bCs/>
                <w:noProof/>
              </w:rPr>
              <w:t>Organisational measures for a smooth cross-border digital public services delivery</w:t>
            </w:r>
          </w:p>
          <w:p w:rsidR="00A037B4" w:rsidRPr="00F81955" w:rsidRDefault="00A037B4" w:rsidP="00835FFC">
            <w:pPr>
              <w:jc w:val="left"/>
              <w:rPr>
                <w:b/>
                <w:bCs/>
                <w:noProof/>
              </w:rPr>
            </w:pPr>
            <w:r w:rsidRPr="00F81955">
              <w:rPr>
                <w:b/>
                <w:bCs/>
                <w:noProof/>
              </w:rPr>
              <w:t>Please list the governance measures foreseen</w:t>
            </w:r>
          </w:p>
        </w:tc>
        <w:tc>
          <w:tcPr>
            <w:tcW w:w="7365" w:type="dxa"/>
          </w:tcPr>
          <w:p w:rsidR="00A037B4" w:rsidRPr="00F81955" w:rsidRDefault="00A037B4" w:rsidP="00835FFC">
            <w:pPr>
              <w:spacing w:after="0"/>
              <w:jc w:val="left"/>
              <w:rPr>
                <w:rFonts w:eastAsia="Calibri"/>
                <w:noProof/>
              </w:rPr>
            </w:pPr>
          </w:p>
        </w:tc>
        <w:tc>
          <w:tcPr>
            <w:tcW w:w="3364" w:type="dxa"/>
          </w:tcPr>
          <w:p w:rsidR="00A037B4" w:rsidRPr="00F81955" w:rsidRDefault="00A037B4" w:rsidP="00835FFC">
            <w:pPr>
              <w:jc w:val="left"/>
              <w:rPr>
                <w:rFonts w:eastAsia="Calibri"/>
                <w:noProof/>
              </w:rPr>
            </w:pPr>
          </w:p>
        </w:tc>
      </w:tr>
      <w:tr w:rsidR="00A037B4" w:rsidRPr="00F81955" w:rsidTr="00A037B4">
        <w:trPr>
          <w:trHeight w:val="300"/>
        </w:trPr>
        <w:tc>
          <w:tcPr>
            <w:tcW w:w="3750" w:type="dxa"/>
          </w:tcPr>
          <w:p w:rsidR="00A037B4" w:rsidRPr="00F81955" w:rsidRDefault="00A037B4" w:rsidP="00835FFC">
            <w:pPr>
              <w:jc w:val="left"/>
              <w:rPr>
                <w:rFonts w:eastAsiaTheme="minorEastAsia"/>
                <w:b/>
                <w:bCs/>
                <w:noProof/>
              </w:rPr>
            </w:pPr>
            <w:r w:rsidRPr="00F81955">
              <w:rPr>
                <w:rFonts w:eastAsiaTheme="minorEastAsia"/>
                <w:b/>
                <w:bCs/>
                <w:noProof/>
              </w:rPr>
              <w:t>Measures taken to ensure a shared understanding of the data</w:t>
            </w:r>
          </w:p>
          <w:p w:rsidR="00A037B4" w:rsidRPr="00F81955" w:rsidRDefault="00A037B4" w:rsidP="00835FFC">
            <w:pPr>
              <w:jc w:val="left"/>
              <w:rPr>
                <w:b/>
                <w:bCs/>
                <w:noProof/>
              </w:rPr>
            </w:pPr>
            <w:r w:rsidRPr="00F81955">
              <w:rPr>
                <w:b/>
                <w:bCs/>
                <w:noProof/>
              </w:rPr>
              <w:t>Please list such measures</w:t>
            </w:r>
          </w:p>
        </w:tc>
        <w:tc>
          <w:tcPr>
            <w:tcW w:w="7365" w:type="dxa"/>
          </w:tcPr>
          <w:p w:rsidR="00A037B4" w:rsidRPr="00F81955" w:rsidRDefault="00A037B4" w:rsidP="00835FFC">
            <w:pPr>
              <w:jc w:val="left"/>
              <w:rPr>
                <w:rFonts w:eastAsia="Calibri"/>
                <w:i/>
                <w:iCs/>
                <w:noProof/>
              </w:rPr>
            </w:pPr>
          </w:p>
        </w:tc>
        <w:tc>
          <w:tcPr>
            <w:tcW w:w="3364" w:type="dxa"/>
          </w:tcPr>
          <w:p w:rsidR="00A037B4" w:rsidRPr="00F81955" w:rsidRDefault="00A037B4" w:rsidP="00835FFC">
            <w:pPr>
              <w:jc w:val="left"/>
              <w:rPr>
                <w:rFonts w:eastAsia="Calibri"/>
                <w:noProof/>
              </w:rPr>
            </w:pPr>
          </w:p>
        </w:tc>
      </w:tr>
      <w:tr w:rsidR="00A037B4" w:rsidRPr="00F81955" w:rsidTr="00A037B4">
        <w:trPr>
          <w:trHeight w:val="300"/>
        </w:trPr>
        <w:tc>
          <w:tcPr>
            <w:tcW w:w="3750" w:type="dxa"/>
          </w:tcPr>
          <w:p w:rsidR="00A037B4" w:rsidRPr="00F81955" w:rsidRDefault="00A037B4" w:rsidP="00835FFC">
            <w:pPr>
              <w:jc w:val="left"/>
              <w:rPr>
                <w:rFonts w:eastAsiaTheme="minorEastAsia"/>
                <w:b/>
                <w:bCs/>
                <w:noProof/>
              </w:rPr>
            </w:pPr>
            <w:r w:rsidRPr="00F81955">
              <w:rPr>
                <w:rFonts w:eastAsiaTheme="minorEastAsia"/>
                <w:b/>
                <w:bCs/>
                <w:noProof/>
              </w:rPr>
              <w:t>Use of commonly agreed open technical specifications and standards</w:t>
            </w:r>
          </w:p>
          <w:p w:rsidR="00A037B4" w:rsidRPr="00F81955" w:rsidRDefault="00A037B4" w:rsidP="00835FFC">
            <w:pPr>
              <w:jc w:val="left"/>
              <w:rPr>
                <w:b/>
                <w:bCs/>
                <w:noProof/>
              </w:rPr>
            </w:pPr>
            <w:r w:rsidRPr="00F81955">
              <w:rPr>
                <w:b/>
                <w:bCs/>
                <w:noProof/>
              </w:rPr>
              <w:t>Please list such measures</w:t>
            </w:r>
          </w:p>
        </w:tc>
        <w:tc>
          <w:tcPr>
            <w:tcW w:w="7365" w:type="dxa"/>
          </w:tcPr>
          <w:p w:rsidR="00A037B4" w:rsidRPr="00F81955" w:rsidRDefault="00A037B4" w:rsidP="00835FFC">
            <w:pPr>
              <w:jc w:val="left"/>
              <w:rPr>
                <w:rFonts w:eastAsia="Calibri"/>
                <w:noProof/>
              </w:rPr>
            </w:pPr>
          </w:p>
        </w:tc>
        <w:tc>
          <w:tcPr>
            <w:tcW w:w="3364" w:type="dxa"/>
          </w:tcPr>
          <w:p w:rsidR="00A037B4" w:rsidRPr="00F81955" w:rsidRDefault="00A037B4" w:rsidP="00835FFC">
            <w:pPr>
              <w:tabs>
                <w:tab w:val="left" w:pos="5678"/>
              </w:tabs>
              <w:jc w:val="left"/>
              <w:rPr>
                <w:rFonts w:eastAsia="Calibri"/>
                <w:noProof/>
              </w:rPr>
            </w:pPr>
          </w:p>
        </w:tc>
      </w:tr>
    </w:tbl>
    <w:p w:rsidR="00A037B4" w:rsidRPr="00F81955" w:rsidRDefault="00A037B4" w:rsidP="00A037B4">
      <w:pPr>
        <w:rPr>
          <w:noProof/>
        </w:rPr>
      </w:pPr>
    </w:p>
    <w:p w:rsidR="00A037B4" w:rsidRPr="00F81955" w:rsidRDefault="00A037B4" w:rsidP="00A037B4">
      <w:pPr>
        <w:rPr>
          <w:b/>
          <w:bCs/>
          <w:noProof/>
        </w:rPr>
      </w:pPr>
      <w:r w:rsidRPr="00F81955">
        <w:rPr>
          <w:b/>
          <w:bCs/>
          <w:noProof/>
        </w:rPr>
        <w:t>4.5. Measures to support digital implementation</w:t>
      </w:r>
    </w:p>
    <w:p w:rsidR="00A037B4" w:rsidRPr="00F81955" w:rsidRDefault="00A037B4" w:rsidP="00A037B4">
      <w:pPr>
        <w:rPr>
          <w:i/>
          <w:iCs/>
          <w:noProof/>
        </w:rPr>
      </w:pPr>
      <w:r w:rsidRPr="00F81955">
        <w:rPr>
          <w:i/>
          <w:iCs/>
          <w:noProof/>
        </w:rPr>
        <w:t>High-level description of measures supporting digital implementation</w:t>
      </w:r>
    </w:p>
    <w:tbl>
      <w:tblPr>
        <w:tblStyle w:val="TableGrid"/>
        <w:tblW w:w="14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265"/>
        <w:gridCol w:w="2100"/>
        <w:gridCol w:w="2520"/>
        <w:gridCol w:w="3315"/>
      </w:tblGrid>
      <w:tr w:rsidR="00A037B4" w:rsidRPr="00F81955" w:rsidTr="00A037B4">
        <w:trPr>
          <w:trHeight w:val="300"/>
        </w:trPr>
        <w:tc>
          <w:tcPr>
            <w:tcW w:w="4248" w:type="dxa"/>
          </w:tcPr>
          <w:p w:rsidR="00A037B4" w:rsidRPr="00F81955" w:rsidRDefault="00A037B4" w:rsidP="00835FFC">
            <w:pPr>
              <w:jc w:val="left"/>
              <w:rPr>
                <w:b/>
                <w:bCs/>
                <w:noProof/>
                <w:color w:val="000000"/>
                <w:lang w:eastAsia="fr-BE"/>
              </w:rPr>
            </w:pPr>
            <w:r w:rsidRPr="00F81955">
              <w:rPr>
                <w:b/>
                <w:bCs/>
                <w:noProof/>
              </w:rPr>
              <w:t>Description</w:t>
            </w:r>
            <w:r w:rsidRPr="00F81955">
              <w:rPr>
                <w:b/>
                <w:bCs/>
                <w:noProof/>
                <w:color w:val="000000" w:themeColor="text1"/>
              </w:rPr>
              <w:t xml:space="preserve"> of the measure</w:t>
            </w:r>
          </w:p>
        </w:tc>
        <w:tc>
          <w:tcPr>
            <w:tcW w:w="2265" w:type="dxa"/>
          </w:tcPr>
          <w:p w:rsidR="00A037B4" w:rsidRPr="00F81955" w:rsidRDefault="00A037B4" w:rsidP="00835FFC">
            <w:pPr>
              <w:jc w:val="left"/>
              <w:rPr>
                <w:b/>
                <w:bCs/>
                <w:noProof/>
              </w:rPr>
            </w:pPr>
            <w:r w:rsidRPr="00F81955">
              <w:rPr>
                <w:b/>
                <w:bCs/>
                <w:noProof/>
              </w:rPr>
              <w:t xml:space="preserve">Reference(s) to the requirement(s) </w:t>
            </w:r>
          </w:p>
        </w:tc>
        <w:tc>
          <w:tcPr>
            <w:tcW w:w="2100" w:type="dxa"/>
          </w:tcPr>
          <w:p w:rsidR="00A037B4" w:rsidRPr="00F81955" w:rsidRDefault="00A037B4" w:rsidP="00835FFC">
            <w:pPr>
              <w:jc w:val="left"/>
              <w:rPr>
                <w:b/>
                <w:bCs/>
                <w:noProof/>
              </w:rPr>
            </w:pPr>
            <w:r w:rsidRPr="00F81955">
              <w:rPr>
                <w:b/>
                <w:bCs/>
                <w:noProof/>
              </w:rPr>
              <w:t xml:space="preserve">Commission role </w:t>
            </w:r>
          </w:p>
          <w:p w:rsidR="00A037B4" w:rsidRPr="00F81955" w:rsidRDefault="00A037B4" w:rsidP="00835FFC">
            <w:pPr>
              <w:jc w:val="left"/>
              <w:rPr>
                <w:b/>
                <w:bCs/>
                <w:noProof/>
              </w:rPr>
            </w:pPr>
            <w:r w:rsidRPr="00F81955">
              <w:rPr>
                <w:noProof/>
              </w:rPr>
              <w:t>(if applicable)</w:t>
            </w:r>
          </w:p>
        </w:tc>
        <w:tc>
          <w:tcPr>
            <w:tcW w:w="2520" w:type="dxa"/>
          </w:tcPr>
          <w:p w:rsidR="00A037B4" w:rsidRPr="00F81955" w:rsidRDefault="00A037B4" w:rsidP="00835FFC">
            <w:pPr>
              <w:jc w:val="left"/>
              <w:rPr>
                <w:b/>
                <w:bCs/>
                <w:noProof/>
              </w:rPr>
            </w:pPr>
            <w:r w:rsidRPr="00F81955">
              <w:rPr>
                <w:b/>
                <w:bCs/>
                <w:noProof/>
              </w:rPr>
              <w:t>Actors to be involved</w:t>
            </w:r>
          </w:p>
          <w:p w:rsidR="00A037B4" w:rsidRPr="00F81955" w:rsidRDefault="00A037B4" w:rsidP="00835FFC">
            <w:pPr>
              <w:jc w:val="left"/>
              <w:rPr>
                <w:noProof/>
              </w:rPr>
            </w:pPr>
            <w:r w:rsidRPr="00F81955">
              <w:rPr>
                <w:noProof/>
              </w:rPr>
              <w:t>(if applicable)</w:t>
            </w:r>
          </w:p>
        </w:tc>
        <w:tc>
          <w:tcPr>
            <w:tcW w:w="3315" w:type="dxa"/>
          </w:tcPr>
          <w:p w:rsidR="00A037B4" w:rsidRPr="00F81955" w:rsidRDefault="00A037B4" w:rsidP="00835FFC">
            <w:pPr>
              <w:jc w:val="left"/>
              <w:rPr>
                <w:b/>
                <w:bCs/>
                <w:noProof/>
              </w:rPr>
            </w:pPr>
            <w:r w:rsidRPr="00F81955">
              <w:rPr>
                <w:b/>
                <w:bCs/>
                <w:noProof/>
              </w:rPr>
              <w:t>Expected timeline</w:t>
            </w:r>
          </w:p>
          <w:p w:rsidR="00A037B4" w:rsidRPr="00F81955" w:rsidRDefault="00A037B4" w:rsidP="00835FFC">
            <w:pPr>
              <w:jc w:val="left"/>
              <w:rPr>
                <w:noProof/>
              </w:rPr>
            </w:pPr>
            <w:r w:rsidRPr="00F81955">
              <w:rPr>
                <w:noProof/>
              </w:rPr>
              <w:t>(if applicable)</w:t>
            </w:r>
          </w:p>
        </w:tc>
      </w:tr>
      <w:tr w:rsidR="00A037B4" w:rsidRPr="00F81955" w:rsidTr="00A037B4">
        <w:trPr>
          <w:trHeight w:val="300"/>
        </w:trPr>
        <w:tc>
          <w:tcPr>
            <w:tcW w:w="4248" w:type="dxa"/>
          </w:tcPr>
          <w:p w:rsidR="00A037B4" w:rsidRPr="00F81955" w:rsidRDefault="0295FE56" w:rsidP="00835FFC">
            <w:pPr>
              <w:spacing w:line="259" w:lineRule="auto"/>
              <w:jc w:val="left"/>
              <w:rPr>
                <w:noProof/>
              </w:rPr>
            </w:pPr>
            <w:r w:rsidRPr="00F81955">
              <w:rPr>
                <w:noProof/>
              </w:rPr>
              <w:t>N.A.</w:t>
            </w:r>
          </w:p>
        </w:tc>
        <w:tc>
          <w:tcPr>
            <w:tcW w:w="2265" w:type="dxa"/>
          </w:tcPr>
          <w:p w:rsidR="00A037B4" w:rsidRPr="00F81955" w:rsidRDefault="00A037B4" w:rsidP="00835FFC">
            <w:pPr>
              <w:jc w:val="left"/>
              <w:rPr>
                <w:noProof/>
              </w:rPr>
            </w:pPr>
          </w:p>
        </w:tc>
        <w:tc>
          <w:tcPr>
            <w:tcW w:w="2100" w:type="dxa"/>
          </w:tcPr>
          <w:p w:rsidR="00A037B4" w:rsidRPr="00F81955" w:rsidRDefault="00A037B4" w:rsidP="00835FFC">
            <w:pPr>
              <w:jc w:val="left"/>
              <w:rPr>
                <w:noProof/>
              </w:rPr>
            </w:pPr>
          </w:p>
        </w:tc>
        <w:tc>
          <w:tcPr>
            <w:tcW w:w="2520" w:type="dxa"/>
          </w:tcPr>
          <w:p w:rsidR="00A037B4" w:rsidRPr="00F81955" w:rsidRDefault="00A037B4" w:rsidP="00835FFC">
            <w:pPr>
              <w:jc w:val="left"/>
              <w:rPr>
                <w:noProof/>
              </w:rPr>
            </w:pPr>
          </w:p>
        </w:tc>
        <w:tc>
          <w:tcPr>
            <w:tcW w:w="3315" w:type="dxa"/>
          </w:tcPr>
          <w:p w:rsidR="00A037B4" w:rsidRPr="00F81955" w:rsidRDefault="00A037B4" w:rsidP="00835FFC">
            <w:pPr>
              <w:jc w:val="left"/>
              <w:rPr>
                <w:noProof/>
              </w:rPr>
            </w:pPr>
          </w:p>
        </w:tc>
      </w:tr>
    </w:tbl>
    <w:p w:rsidR="009C3EE2" w:rsidRPr="00334B30" w:rsidRDefault="009C3EE2" w:rsidP="00262856">
      <w:pPr>
        <w:rPr>
          <w:noProof/>
        </w:rPr>
      </w:pPr>
    </w:p>
    <w:sectPr w:rsidR="009C3EE2" w:rsidRPr="00334B30" w:rsidSect="004623B1">
      <w:pgSz w:w="16839" w:h="11907" w:orient="landscape"/>
      <w:pgMar w:top="1417" w:right="1134" w:bottom="1417"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1204" w:rsidRPr="00F81955" w:rsidRDefault="00B11204" w:rsidP="009C3EE2">
      <w:pPr>
        <w:spacing w:before="0" w:after="0"/>
      </w:pPr>
      <w:r w:rsidRPr="00F81955">
        <w:separator/>
      </w:r>
    </w:p>
    <w:p w:rsidR="00B11204" w:rsidRPr="00F81955" w:rsidRDefault="00B11204"/>
  </w:endnote>
  <w:endnote w:type="continuationSeparator" w:id="0">
    <w:p w:rsidR="00B11204" w:rsidRPr="00F81955" w:rsidRDefault="00B11204" w:rsidP="009C3EE2">
      <w:pPr>
        <w:spacing w:before="0" w:after="0"/>
      </w:pPr>
      <w:r w:rsidRPr="00F81955">
        <w:continuationSeparator/>
      </w:r>
    </w:p>
    <w:p w:rsidR="00B11204" w:rsidRPr="00F81955" w:rsidRDefault="00B11204"/>
  </w:endnote>
  <w:endnote w:type="continuationNotice" w:id="1">
    <w:p w:rsidR="00B11204" w:rsidRPr="00F81955" w:rsidRDefault="00B11204">
      <w:pPr>
        <w:spacing w:before="0" w:after="0"/>
      </w:pPr>
    </w:p>
    <w:p w:rsidR="00B11204" w:rsidRPr="00F81955" w:rsidRDefault="00B11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Times New Roman&quot;,serif">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libri"/>
    <w:charset w:val="00"/>
    <w:family w:val="auto"/>
    <w:pitch w:val="variable"/>
    <w:sig w:usb0="800002EF" w:usb1="1000E0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ED8" w:rsidRPr="004623B1" w:rsidRDefault="004623B1" w:rsidP="004623B1">
    <w:pPr>
      <w:pStyle w:val="Footer"/>
      <w:rPr>
        <w:rFonts w:ascii="Arial" w:hAnsi="Arial" w:cs="Arial"/>
        <w:b/>
        <w:sz w:val="48"/>
      </w:rPr>
    </w:pPr>
    <w:r w:rsidRPr="004623B1">
      <w:rPr>
        <w:rFonts w:ascii="Arial" w:hAnsi="Arial" w:cs="Arial"/>
        <w:b/>
        <w:sz w:val="48"/>
      </w:rPr>
      <w:t>EN</w:t>
    </w:r>
    <w:r w:rsidRPr="004623B1">
      <w:rPr>
        <w:rFonts w:ascii="Arial" w:hAnsi="Arial" w:cs="Arial"/>
        <w:b/>
        <w:sz w:val="48"/>
      </w:rPr>
      <w:tab/>
    </w:r>
    <w:r w:rsidRPr="004623B1">
      <w:rPr>
        <w:rFonts w:ascii="Arial" w:hAnsi="Arial" w:cs="Arial"/>
        <w:b/>
        <w:sz w:val="48"/>
      </w:rPr>
      <w:tab/>
    </w:r>
    <w:r w:rsidRPr="004623B1">
      <w:tab/>
    </w:r>
    <w:r w:rsidRPr="004623B1">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ED8" w:rsidRPr="004623B1" w:rsidRDefault="004623B1" w:rsidP="004623B1">
    <w:pPr>
      <w:pStyle w:val="Footer"/>
      <w:rPr>
        <w:rFonts w:ascii="Arial" w:hAnsi="Arial" w:cs="Arial"/>
        <w:b/>
        <w:sz w:val="48"/>
      </w:rPr>
    </w:pPr>
    <w:r w:rsidRPr="004623B1">
      <w:rPr>
        <w:rFonts w:ascii="Arial" w:hAnsi="Arial" w:cs="Arial"/>
        <w:b/>
        <w:sz w:val="48"/>
      </w:rPr>
      <w:t>EN</w:t>
    </w:r>
    <w:r w:rsidRPr="004623B1">
      <w:rPr>
        <w:rFonts w:ascii="Arial" w:hAnsi="Arial" w:cs="Arial"/>
        <w:b/>
        <w:sz w:val="48"/>
      </w:rPr>
      <w:tab/>
    </w:r>
    <w:r w:rsidRPr="004623B1">
      <w:rPr>
        <w:rFonts w:ascii="Arial" w:hAnsi="Arial" w:cs="Arial"/>
        <w:b/>
        <w:sz w:val="48"/>
      </w:rPr>
      <w:tab/>
    </w:r>
    <w:r w:rsidRPr="004623B1">
      <w:tab/>
    </w:r>
    <w:r w:rsidRPr="004623B1">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3B1" w:rsidRPr="004623B1" w:rsidRDefault="004623B1" w:rsidP="004623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ED8" w:rsidRDefault="00013E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3B1" w:rsidRPr="004623B1" w:rsidRDefault="004623B1" w:rsidP="004623B1">
    <w:pPr>
      <w:pStyle w:val="Footer"/>
      <w:rPr>
        <w:rFonts w:ascii="Arial" w:hAnsi="Arial" w:cs="Arial"/>
        <w:b/>
        <w:sz w:val="48"/>
      </w:rPr>
    </w:pPr>
    <w:r w:rsidRPr="004623B1">
      <w:rPr>
        <w:rFonts w:ascii="Arial" w:hAnsi="Arial" w:cs="Arial"/>
        <w:b/>
        <w:sz w:val="48"/>
      </w:rPr>
      <w:t>EN</w:t>
    </w:r>
    <w:r w:rsidRPr="004623B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623B1">
      <w:tab/>
    </w:r>
    <w:r w:rsidRPr="004623B1">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ED8" w:rsidRDefault="00013ED8" w:rsidP="004623B1">
    <w:pPr>
      <w:pStyle w:val="FooterLandscap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3B1" w:rsidRPr="004623B1" w:rsidRDefault="004623B1" w:rsidP="004623B1">
    <w:pPr>
      <w:pStyle w:val="FooterLandscape"/>
      <w:rPr>
        <w:rFonts w:ascii="Arial" w:hAnsi="Arial" w:cs="Arial"/>
        <w:b/>
        <w:sz w:val="48"/>
      </w:rPr>
    </w:pPr>
    <w:r w:rsidRPr="004623B1">
      <w:rPr>
        <w:rFonts w:ascii="Arial" w:hAnsi="Arial" w:cs="Arial"/>
        <w:b/>
        <w:sz w:val="48"/>
      </w:rPr>
      <w:t>EN</w:t>
    </w:r>
    <w:r w:rsidRPr="004623B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623B1">
      <w:tab/>
    </w:r>
    <w:r w:rsidRPr="004623B1">
      <w:rPr>
        <w:rFonts w:ascii="Arial" w:hAnsi="Arial" w:cs="Arial"/>
        <w:b/>
        <w:sz w:val="48"/>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1204" w:rsidRPr="00F81955" w:rsidRDefault="00B11204" w:rsidP="009C3EE2">
      <w:pPr>
        <w:spacing w:before="0" w:after="0"/>
      </w:pPr>
      <w:r w:rsidRPr="00F81955">
        <w:separator/>
      </w:r>
    </w:p>
    <w:p w:rsidR="00B11204" w:rsidRPr="00F81955" w:rsidRDefault="00B11204"/>
  </w:footnote>
  <w:footnote w:type="continuationSeparator" w:id="0">
    <w:p w:rsidR="00B11204" w:rsidRPr="00F81955" w:rsidRDefault="00B11204" w:rsidP="009C3EE2">
      <w:pPr>
        <w:spacing w:before="0" w:after="0"/>
      </w:pPr>
      <w:r w:rsidRPr="00F81955">
        <w:continuationSeparator/>
      </w:r>
    </w:p>
    <w:p w:rsidR="00B11204" w:rsidRPr="00F81955" w:rsidRDefault="00B11204"/>
  </w:footnote>
  <w:footnote w:type="continuationNotice" w:id="1">
    <w:p w:rsidR="00B11204" w:rsidRPr="00F81955" w:rsidRDefault="00B11204">
      <w:pPr>
        <w:spacing w:before="0" w:after="0"/>
      </w:pPr>
    </w:p>
    <w:p w:rsidR="00B11204" w:rsidRPr="00F81955" w:rsidRDefault="00B11204"/>
  </w:footnote>
  <w:footnote w:id="2">
    <w:p w:rsidR="0027691B" w:rsidRPr="00F81955" w:rsidRDefault="0027691B" w:rsidP="0027691B">
      <w:pPr>
        <w:pStyle w:val="FootnoteText"/>
      </w:pPr>
      <w:r w:rsidRPr="00F81955">
        <w:rPr>
          <w:rStyle w:val="FootnoteReference"/>
        </w:rPr>
        <w:footnoteRef/>
      </w:r>
      <w:r w:rsidRPr="00F81955">
        <w:tab/>
        <w:t>COM(2025) 47 final.</w:t>
      </w:r>
    </w:p>
  </w:footnote>
  <w:footnote w:id="3">
    <w:p w:rsidR="001B474A" w:rsidRPr="00F81955" w:rsidRDefault="001B474A">
      <w:pPr>
        <w:pStyle w:val="FootnoteText"/>
      </w:pPr>
      <w:r w:rsidRPr="00F81955">
        <w:rPr>
          <w:rStyle w:val="FootnoteReference"/>
        </w:rPr>
        <w:footnoteRef/>
      </w:r>
      <w:r w:rsidR="00120F49" w:rsidRPr="00F81955">
        <w:tab/>
      </w:r>
      <w:r w:rsidR="00CE678D" w:rsidRPr="00F81955">
        <w:t>COM(2025)165 final.</w:t>
      </w:r>
    </w:p>
  </w:footnote>
  <w:footnote w:id="4">
    <w:p w:rsidR="00CE678D" w:rsidRPr="00F81955" w:rsidRDefault="00CE678D">
      <w:pPr>
        <w:pStyle w:val="FootnoteText"/>
      </w:pPr>
      <w:r w:rsidRPr="00F81955">
        <w:rPr>
          <w:rStyle w:val="FootnoteReference"/>
        </w:rPr>
        <w:footnoteRef/>
      </w:r>
      <w:r w:rsidR="00120F49" w:rsidRPr="00F81955">
        <w:tab/>
      </w:r>
      <w:r w:rsidR="00E2500A" w:rsidRPr="00F81955">
        <w:t>COM(2025) 723 final.</w:t>
      </w:r>
    </w:p>
  </w:footnote>
  <w:footnote w:id="5">
    <w:p w:rsidR="00DA4870" w:rsidRPr="00F81955" w:rsidRDefault="00DA4870">
      <w:pPr>
        <w:pStyle w:val="FootnoteText"/>
      </w:pPr>
      <w:r w:rsidRPr="00F81955">
        <w:rPr>
          <w:rStyle w:val="FootnoteReference"/>
        </w:rPr>
        <w:footnoteRef/>
      </w:r>
      <w:r w:rsidR="008368CC" w:rsidRPr="00F81955">
        <w:tab/>
      </w:r>
      <w:r w:rsidRPr="00F81955">
        <w:t xml:space="preserve">https://ai-act-service-desk.ec.europa.eu/ </w:t>
      </w:r>
    </w:p>
  </w:footnote>
  <w:footnote w:id="6">
    <w:p w:rsidR="00476246" w:rsidRPr="00F81955" w:rsidRDefault="00476246" w:rsidP="00476246">
      <w:pPr>
        <w:pStyle w:val="FootnoteText"/>
      </w:pPr>
      <w:r w:rsidRPr="00F81955">
        <w:rPr>
          <w:rStyle w:val="FootnoteReference"/>
        </w:rPr>
        <w:footnoteRef/>
      </w:r>
      <w:r w:rsidR="003833D4" w:rsidRPr="00F81955">
        <w:tab/>
      </w:r>
      <w:r w:rsidRPr="00F81955">
        <w:t xml:space="preserve">European Commission (2025) </w:t>
      </w:r>
      <w:r w:rsidRPr="00F81955">
        <w:rPr>
          <w:i/>
          <w:iCs/>
        </w:rPr>
        <w:t>Call for evidence on the Apply AI Strategy</w:t>
      </w:r>
      <w:r w:rsidRPr="00F81955">
        <w:t xml:space="preserve">. Available at: </w:t>
      </w:r>
      <w:hyperlink r:id="rId1" w:history="1">
        <w:r w:rsidRPr="00F81955">
          <w:rPr>
            <w:rStyle w:val="Hyperlink"/>
          </w:rPr>
          <w:t>Apply AI Strategy – strengthening the AI continent</w:t>
        </w:r>
      </w:hyperlink>
    </w:p>
  </w:footnote>
  <w:footnote w:id="7">
    <w:p w:rsidR="00476246" w:rsidRPr="00F81955" w:rsidRDefault="00476246" w:rsidP="00476246">
      <w:pPr>
        <w:pStyle w:val="FootnoteText"/>
      </w:pPr>
      <w:r w:rsidRPr="00F81955">
        <w:rPr>
          <w:rStyle w:val="FootnoteReference"/>
        </w:rPr>
        <w:footnoteRef/>
      </w:r>
      <w:r w:rsidR="003833D4" w:rsidRPr="00F81955">
        <w:tab/>
      </w:r>
      <w:r w:rsidRPr="00F81955">
        <w:t xml:space="preserve">European Commission (2025) </w:t>
      </w:r>
      <w:r w:rsidRPr="00F81955">
        <w:rPr>
          <w:i/>
          <w:iCs/>
        </w:rPr>
        <w:t xml:space="preserve">Call for evidence on the revision of the Cybersecurity Act. </w:t>
      </w:r>
      <w:r w:rsidRPr="00F81955">
        <w:t xml:space="preserve">Available at: </w:t>
      </w:r>
      <w:hyperlink r:id="rId2" w:history="1">
        <w:r w:rsidRPr="00F81955">
          <w:rPr>
            <w:rStyle w:val="Hyperlink"/>
          </w:rPr>
          <w:t>The EU Cybersecurity Act</w:t>
        </w:r>
      </w:hyperlink>
    </w:p>
  </w:footnote>
  <w:footnote w:id="8">
    <w:p w:rsidR="00476246" w:rsidRPr="00F81955" w:rsidRDefault="00476246" w:rsidP="00476246">
      <w:pPr>
        <w:pStyle w:val="FootnoteText"/>
      </w:pPr>
      <w:r w:rsidRPr="00F81955">
        <w:rPr>
          <w:rStyle w:val="FootnoteReference"/>
        </w:rPr>
        <w:footnoteRef/>
      </w:r>
      <w:r w:rsidR="003833D4" w:rsidRPr="00F81955">
        <w:tab/>
      </w:r>
      <w:r w:rsidRPr="00F81955">
        <w:t xml:space="preserve">European Commission (2025) </w:t>
      </w:r>
      <w:r w:rsidRPr="00F81955">
        <w:rPr>
          <w:i/>
          <w:iCs/>
        </w:rPr>
        <w:t>Call for evidence on the European Data Union Strategy</w:t>
      </w:r>
      <w:r w:rsidRPr="00F81955">
        <w:t xml:space="preserve">. Available at: </w:t>
      </w:r>
      <w:hyperlink r:id="rId3" w:history="1">
        <w:r w:rsidRPr="00F81955">
          <w:rPr>
            <w:rStyle w:val="Hyperlink"/>
          </w:rPr>
          <w:t>European Data Union Strategy</w:t>
        </w:r>
      </w:hyperlink>
    </w:p>
  </w:footnote>
  <w:footnote w:id="9">
    <w:p w:rsidR="00476246" w:rsidRPr="00F81955" w:rsidRDefault="00476246" w:rsidP="00476246">
      <w:pPr>
        <w:pStyle w:val="FootnoteText"/>
      </w:pPr>
      <w:r w:rsidRPr="00F81955">
        <w:rPr>
          <w:rStyle w:val="FootnoteReference"/>
        </w:rPr>
        <w:footnoteRef/>
      </w:r>
      <w:r w:rsidR="003833D4" w:rsidRPr="00F81955">
        <w:tab/>
      </w:r>
      <w:r w:rsidRPr="00F81955">
        <w:t xml:space="preserve">European Commission (2025) </w:t>
      </w:r>
      <w:r w:rsidRPr="00F81955">
        <w:rPr>
          <w:i/>
          <w:iCs/>
        </w:rPr>
        <w:t>Call for evidence on the digital package and omnibus</w:t>
      </w:r>
      <w:r w:rsidRPr="00F81955">
        <w:t xml:space="preserve">. Available at:  </w:t>
      </w:r>
      <w:hyperlink r:id="rId4" w:history="1">
        <w:r w:rsidRPr="00F81955">
          <w:rPr>
            <w:rStyle w:val="Hyperlink"/>
          </w:rPr>
          <w:t>Simplification – digital package and omnibus</w:t>
        </w:r>
      </w:hyperlink>
    </w:p>
  </w:footnote>
  <w:footnote w:id="10">
    <w:p w:rsidR="00583BD9" w:rsidRPr="00F81955" w:rsidRDefault="00583BD9" w:rsidP="00583BD9">
      <w:pPr>
        <w:pStyle w:val="FootnoteText"/>
      </w:pPr>
      <w:r w:rsidRPr="00F81955">
        <w:rPr>
          <w:rStyle w:val="FootnoteReference"/>
        </w:rPr>
        <w:footnoteRef/>
      </w:r>
      <w:r w:rsidR="00120F49" w:rsidRPr="00F81955">
        <w:tab/>
      </w:r>
      <w:r w:rsidRPr="00F81955">
        <w:t>In detail: the right to human dignity (Article 1), respect for private life and protection of personal data (Articles 7 and 8), non-discrimination (Article 21) and equality between women and men (Article 23), freedom of expression (Article 11) and freedom of assembly (Article 12), right to an effective remedy and to a fair trial, the rights of defence, and the presumption of innocence (Articles 47 and 48), right to a high level of environmental protection and the improvement of the quality of the environment (Article 37).</w:t>
      </w:r>
    </w:p>
  </w:footnote>
  <w:footnote w:id="11">
    <w:p w:rsidR="00583BD9" w:rsidRPr="00F81955" w:rsidRDefault="00583BD9" w:rsidP="00583BD9">
      <w:pPr>
        <w:pStyle w:val="FootnoteText"/>
      </w:pPr>
      <w:r w:rsidRPr="00F81955">
        <w:rPr>
          <w:rStyle w:val="FootnoteReference"/>
        </w:rPr>
        <w:footnoteRef/>
      </w:r>
      <w:r w:rsidR="00120F49" w:rsidRPr="00F81955">
        <w:tab/>
      </w:r>
      <w:r w:rsidRPr="00F81955">
        <w:t>In detail: workers’ rights to fair and just working conditions (Article 31), a high level of consumer protection (Article 28), the rights of the child (Article 24) and the integration of persons with disabilities (Article 26).</w:t>
      </w:r>
    </w:p>
  </w:footnote>
  <w:footnote w:id="12">
    <w:p w:rsidR="00583BD9" w:rsidRPr="00F81955" w:rsidRDefault="00583BD9" w:rsidP="00583BD9">
      <w:pPr>
        <w:pStyle w:val="FootnoteText"/>
      </w:pPr>
      <w:r w:rsidRPr="00F81955">
        <w:rPr>
          <w:rStyle w:val="FootnoteReference"/>
        </w:rPr>
        <w:footnoteRef/>
      </w:r>
      <w:r w:rsidR="00120F49" w:rsidRPr="00F81955">
        <w:tab/>
      </w:r>
      <w:r w:rsidRPr="00F81955">
        <w:t>In detail: the freedom to conduct business (Article 16) and the freedom of art and science (Article 13).</w:t>
      </w:r>
    </w:p>
  </w:footnote>
  <w:footnote w:id="13">
    <w:p w:rsidR="009C3EE2" w:rsidRPr="00F81955" w:rsidRDefault="009C3EE2" w:rsidP="0002735A">
      <w:pPr>
        <w:pStyle w:val="FootnoteText"/>
      </w:pPr>
      <w:r w:rsidRPr="00F81955">
        <w:rPr>
          <w:rStyle w:val="FootnoteReference"/>
        </w:rPr>
        <w:footnoteRef/>
      </w:r>
      <w:r w:rsidRPr="00F81955">
        <w:tab/>
        <w:t>OJ C , , p. .</w:t>
      </w:r>
    </w:p>
  </w:footnote>
  <w:footnote w:id="14">
    <w:p w:rsidR="009C3EE2" w:rsidRPr="00F81955" w:rsidRDefault="009C3EE2" w:rsidP="0002735A">
      <w:pPr>
        <w:pStyle w:val="FootnoteText"/>
      </w:pPr>
      <w:r w:rsidRPr="00F81955">
        <w:rPr>
          <w:rStyle w:val="FootnoteReference"/>
        </w:rPr>
        <w:footnoteRef/>
      </w:r>
      <w:r w:rsidRPr="00F81955">
        <w:tab/>
        <w:t>OJ C , , p. .</w:t>
      </w:r>
    </w:p>
  </w:footnote>
  <w:footnote w:id="15">
    <w:p w:rsidR="001E3BF0" w:rsidRPr="00F81955" w:rsidRDefault="001E3BF0" w:rsidP="001E3BF0">
      <w:pPr>
        <w:pStyle w:val="FootnoteText"/>
      </w:pPr>
      <w:r w:rsidRPr="00F81955">
        <w:rPr>
          <w:rStyle w:val="FootnoteReference"/>
        </w:rPr>
        <w:footnoteRef/>
      </w:r>
      <w:r w:rsidR="008368CC" w:rsidRPr="00F81955">
        <w:tab/>
      </w:r>
      <w:r w:rsidRPr="00F81955">
        <w:t>Regulation (EU) 2024/1689 of the European Parliament and of the Council of 13 June 2024 laying down harmonised rules on artificial intelligence and amending Regulations (EC) No 300/2008, (EU) No 167/2013, (EU) No 168/2013, (EU) 2018/858, (EU) 2018/1139 and (EU) 2019/2144 and Directives 2014/90/EU, (EU) 2016/797 and (EU) 2020/1828 (Artificial Intelligence Act) (OJ L, 2024/1689, 12.7.2024, ELI: http://data.europa.eu/eli/reg/2024/1689/oj).</w:t>
      </w:r>
    </w:p>
  </w:footnote>
  <w:footnote w:id="16">
    <w:p w:rsidR="00904AB8" w:rsidRPr="00F81955" w:rsidRDefault="00904AB8" w:rsidP="00904AB8">
      <w:pPr>
        <w:pStyle w:val="FootnoteText"/>
      </w:pPr>
      <w:r w:rsidRPr="00F81955">
        <w:rPr>
          <w:rStyle w:val="FootnoteReference"/>
        </w:rPr>
        <w:footnoteRef/>
      </w:r>
      <w:r w:rsidR="008368CC" w:rsidRPr="00F81955">
        <w:tab/>
      </w:r>
      <w:r w:rsidRPr="00F81955">
        <w:t>Commission Recommendation of 6 May 2003 concerning the definition of micro, small and medium-sized enterprises (OJ L 124, 20.5.2003, pp. 36–41</w:t>
      </w:r>
      <w:r w:rsidR="00CD7974" w:rsidRPr="00F81955">
        <w:t xml:space="preserve">, ELI: </w:t>
      </w:r>
      <w:r w:rsidR="00E336DA" w:rsidRPr="00F81955">
        <w:t>http://data.europa.eu/eli/reco/2003/361/oj)</w:t>
      </w:r>
      <w:r w:rsidR="00095491" w:rsidRPr="00F81955">
        <w:t>.</w:t>
      </w:r>
    </w:p>
  </w:footnote>
  <w:footnote w:id="17">
    <w:p w:rsidR="00DA228A" w:rsidRPr="00F81955" w:rsidRDefault="00DA228A" w:rsidP="00DA228A">
      <w:pPr>
        <w:pStyle w:val="FootnoteText"/>
      </w:pPr>
      <w:r w:rsidRPr="00F81955">
        <w:rPr>
          <w:rStyle w:val="FootnoteReference"/>
        </w:rPr>
        <w:footnoteRef/>
      </w:r>
      <w:r w:rsidR="008368CC" w:rsidRPr="00F81955">
        <w:tab/>
      </w:r>
      <w:r w:rsidRPr="00F81955">
        <w:t>Commission Recommendation (EU) 2025/1099 of 21 May 2025 on the definition of small mid-cap enterprises (OJ L, 2025/1099, 28.5.2025, ELI: http://data.europa.eu/eli/reco/2025/1099/oj).</w:t>
      </w:r>
    </w:p>
  </w:footnote>
  <w:footnote w:id="18">
    <w:p w:rsidR="00123D2E" w:rsidRPr="00F81955" w:rsidRDefault="00123D2E" w:rsidP="00123D2E">
      <w:pPr>
        <w:pStyle w:val="FootnoteText"/>
      </w:pPr>
      <w:r w:rsidRPr="00F81955">
        <w:rPr>
          <w:rStyle w:val="FootnoteReference"/>
        </w:rPr>
        <w:footnoteRef/>
      </w:r>
      <w:r w:rsidR="008368CC" w:rsidRPr="00F81955">
        <w:tab/>
      </w:r>
      <w:r w:rsidRPr="00F81955">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 ELI: http://data.europa.eu/eli/reg/2016/679/oj).</w:t>
      </w:r>
    </w:p>
  </w:footnote>
  <w:footnote w:id="19">
    <w:p w:rsidR="00045F0F" w:rsidRPr="00F81955" w:rsidRDefault="00045F0F" w:rsidP="00045F0F">
      <w:pPr>
        <w:pStyle w:val="FootnoteText"/>
      </w:pPr>
      <w:r w:rsidRPr="00F81955">
        <w:rPr>
          <w:rStyle w:val="FootnoteReference"/>
        </w:rPr>
        <w:footnoteRef/>
      </w:r>
      <w:r w:rsidR="008368CC" w:rsidRPr="00F81955">
        <w:tab/>
      </w:r>
      <w:r w:rsidRPr="00F81955">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ELI: http://data.europa.eu/eli/reg/2018/1725/oj).</w:t>
      </w:r>
    </w:p>
  </w:footnote>
  <w:footnote w:id="20">
    <w:p w:rsidR="00026F0C" w:rsidRPr="00F81955" w:rsidRDefault="00026F0C" w:rsidP="00EA2724">
      <w:pPr>
        <w:pStyle w:val="FootnoteText"/>
      </w:pPr>
      <w:r w:rsidRPr="00F81955">
        <w:rPr>
          <w:rStyle w:val="FootnoteReference"/>
        </w:rPr>
        <w:footnoteRef/>
      </w:r>
      <w:r w:rsidR="008368CC" w:rsidRPr="00F81955">
        <w:tab/>
      </w:r>
      <w:r w:rsidRPr="00F81955">
        <w:t xml:space="preserve">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(OJ L 119, 4.5.2016, pp. 89–131, ELI: </w:t>
      </w:r>
      <w:r w:rsidR="00EA2724" w:rsidRPr="00F81955">
        <w:t>http://data.europa.eu/eli/dir/2016/680/oj).</w:t>
      </w:r>
    </w:p>
  </w:footnote>
  <w:footnote w:id="21">
    <w:p w:rsidR="004B327A" w:rsidRPr="00F81955" w:rsidRDefault="004B327A" w:rsidP="004B327A">
      <w:pPr>
        <w:pStyle w:val="FootnoteText"/>
      </w:pPr>
      <w:r w:rsidRPr="00F81955">
        <w:rPr>
          <w:rStyle w:val="FootnoteReference"/>
        </w:rPr>
        <w:footnoteRef/>
      </w:r>
      <w:r w:rsidR="008368CC" w:rsidRPr="00F81955">
        <w:tab/>
      </w:r>
      <w:r w:rsidRPr="00F81955">
        <w:t>Regulation (EU) 2017/745 of the European Parliament and of the Council of 5 April 2017 on medical devices, amending Directive 2001/83/EC, Regulation (EC) No 178/2002 and Regulation (EC) No 1223/2009 and repealing Council Directives 90/385/EEC and 93/42/EEC (OJ L 117, 5.5.2017, p. 1, ELI: http://data.europa.eu/eli/reg/2017/745/oj).</w:t>
      </w:r>
    </w:p>
  </w:footnote>
  <w:footnote w:id="22">
    <w:p w:rsidR="00EE707A" w:rsidRPr="00F81955" w:rsidRDefault="00EE707A" w:rsidP="00EE707A">
      <w:pPr>
        <w:pStyle w:val="FootnoteText"/>
      </w:pPr>
      <w:r w:rsidRPr="00F81955">
        <w:rPr>
          <w:rStyle w:val="FootnoteReference"/>
        </w:rPr>
        <w:footnoteRef/>
      </w:r>
      <w:r w:rsidR="008368CC" w:rsidRPr="00F81955">
        <w:tab/>
      </w:r>
      <w:r w:rsidRPr="00F81955">
        <w:t>Regulation (EU) 2017/746 of the European Parliament and of the Council of 5 April 2017 on in vitro diagnostic medical devices and repealing Directive 98/79/EC and Commission Decision 2010/227/EU (OJ L 117, 5.5.2017, p. 176, ELI: http://data.europa.eu/eli/reg/2017/746/oj).</w:t>
      </w:r>
    </w:p>
  </w:footnote>
  <w:footnote w:id="23">
    <w:p w:rsidR="00E65101" w:rsidRPr="00F81955" w:rsidRDefault="00E65101" w:rsidP="00E65101">
      <w:pPr>
        <w:pStyle w:val="FootnoteText"/>
      </w:pPr>
      <w:r w:rsidRPr="00F81955">
        <w:rPr>
          <w:rStyle w:val="FootnoteReference"/>
        </w:rPr>
        <w:footnoteRef/>
      </w:r>
      <w:r w:rsidR="008368CC" w:rsidRPr="00F81955">
        <w:tab/>
      </w:r>
      <w:r w:rsidRPr="00F81955">
        <w:t>Regulation (EU) 2019/1020 of the European Parliament and of the Council of 20 June 2019 on market surveillance and compliance of products and amending Directive 2004/42/EC and Regulations (EC) No 765/2008 and (EU) No 305/2011 (OJ L 169, 25.6.2019, p. 1, ELI: http://data.europa.eu/eli/reg/2019/1020/oj).</w:t>
      </w:r>
    </w:p>
  </w:footnote>
  <w:footnote w:id="24">
    <w:p w:rsidR="001D699D" w:rsidRPr="00F81955" w:rsidRDefault="001D699D" w:rsidP="001D699D">
      <w:pPr>
        <w:pStyle w:val="FootnoteText"/>
      </w:pPr>
      <w:r w:rsidRPr="00F81955">
        <w:rPr>
          <w:rStyle w:val="FootnoteReference"/>
        </w:rPr>
        <w:footnoteRef/>
      </w:r>
      <w:r w:rsidR="008368CC" w:rsidRPr="00F81955">
        <w:tab/>
      </w:r>
      <w:r w:rsidRPr="00F81955">
        <w:t>Regulation (EU) 2022/2065 of the European Parliament and of the Council of 19 October 2022 on a Single Market For Digital Services and amending Directive 2000/31/EC (Digital Services Act) (OJ L 277, 27.10.2022, p. 1, ELI: http://data.europa.eu/eli/reg/2022/2065/oj).</w:t>
      </w:r>
    </w:p>
    <w:p w:rsidR="001D699D" w:rsidRPr="00F81955" w:rsidRDefault="001D699D" w:rsidP="001D699D">
      <w:pPr>
        <w:pStyle w:val="FootnoteText"/>
      </w:pPr>
    </w:p>
  </w:footnote>
  <w:footnote w:id="25">
    <w:p w:rsidR="00151A99" w:rsidRPr="00F81955" w:rsidRDefault="00151A99">
      <w:pPr>
        <w:pStyle w:val="FootnoteText"/>
      </w:pPr>
      <w:r w:rsidRPr="00F81955">
        <w:rPr>
          <w:rStyle w:val="FootnoteReference"/>
        </w:rPr>
        <w:footnoteRef/>
      </w:r>
      <w:r w:rsidR="008368CC" w:rsidRPr="00F81955">
        <w:tab/>
      </w:r>
      <w:r>
        <w:t>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3922/91(OJ L 212, 22.8.2018, pp. 1–122, ELI: http://data.europa.eu/eli/reg/2018/1139/oj).</w:t>
      </w:r>
    </w:p>
  </w:footnote>
  <w:footnote w:id="26">
    <w:p w:rsidR="003B49D1" w:rsidRPr="00F81955" w:rsidRDefault="003B49D1">
      <w:pPr>
        <w:pStyle w:val="FootnoteText"/>
      </w:pPr>
      <w:r w:rsidRPr="00F81955">
        <w:rPr>
          <w:rStyle w:val="FootnoteReference"/>
        </w:rPr>
        <w:footnoteRef/>
      </w:r>
      <w:r w:rsidR="008368CC" w:rsidRPr="00F81955">
        <w:tab/>
      </w:r>
      <w:r w:rsidR="001C7088" w:rsidRPr="00F81955">
        <w:t>Regulation (EU) 2024/1689 of the European Parliament and of the Council of 13 June 2024 laying down harmonised rules on artificial intelligence and amending Regulations (EC) No 300/2008, (EU) No 167/2013, (EU) No 168/2013, (EU) 2018/858, (EU) 2018/1139 and (EU) 2019/2144 and Directives 2014/90/EU, (EU) 2016/797 and (EU) 2020/1828 (Artificial Intelligence Act) (OJ L, 2024/1689, 12.7.2024, ELI: http://data.europa.eu/eli/reg/2024/1689/oj).</w:t>
      </w:r>
    </w:p>
  </w:footnote>
  <w:footnote w:id="27">
    <w:p w:rsidR="009C3EE2" w:rsidRPr="00F81955" w:rsidRDefault="009C3EE2" w:rsidP="0002735A">
      <w:pPr>
        <w:pStyle w:val="FootnoteText"/>
      </w:pPr>
      <w:r w:rsidRPr="00F81955">
        <w:rPr>
          <w:rStyle w:val="FootnoteReference"/>
        </w:rPr>
        <w:footnoteRef/>
      </w:r>
      <w:r w:rsidRPr="00F81955">
        <w:tab/>
        <w:t>As referred to in Article 58(2), point (a) or (b) of the Financial Regulation.</w:t>
      </w:r>
    </w:p>
  </w:footnote>
  <w:footnote w:id="28">
    <w:p w:rsidR="00C90C9C" w:rsidRPr="00F81955" w:rsidRDefault="00C90C9C" w:rsidP="00C90C9C">
      <w:pPr>
        <w:pStyle w:val="FootnoteText"/>
        <w:rPr>
          <w:szCs w:val="24"/>
        </w:rPr>
      </w:pPr>
      <w:r w:rsidRPr="00F81955">
        <w:rPr>
          <w:rStyle w:val="FootnoteReference"/>
        </w:rPr>
        <w:footnoteRef/>
      </w:r>
      <w:r w:rsidRPr="00F81955">
        <w:tab/>
        <w:t>Diff. = Differentiated appropriations / Non-diff. = Non-differentiated appropriations.</w:t>
      </w:r>
    </w:p>
  </w:footnote>
  <w:footnote w:id="29">
    <w:p w:rsidR="00C90C9C" w:rsidRPr="00F81955" w:rsidRDefault="00C90C9C" w:rsidP="00C90C9C">
      <w:pPr>
        <w:pStyle w:val="FootnoteText"/>
        <w:rPr>
          <w:szCs w:val="24"/>
        </w:rPr>
      </w:pPr>
      <w:r w:rsidRPr="00F81955">
        <w:rPr>
          <w:rStyle w:val="FootnoteReference"/>
        </w:rPr>
        <w:footnoteRef/>
      </w:r>
      <w:r w:rsidRPr="00F81955">
        <w:tab/>
        <w:t xml:space="preserve">EFTA: European Free Trade Association. </w:t>
      </w:r>
    </w:p>
  </w:footnote>
  <w:footnote w:id="30">
    <w:p w:rsidR="00C90C9C" w:rsidRPr="00F81955" w:rsidRDefault="00C90C9C" w:rsidP="00C90C9C">
      <w:pPr>
        <w:pStyle w:val="FootnoteText"/>
        <w:rPr>
          <w:szCs w:val="24"/>
        </w:rPr>
      </w:pPr>
      <w:r w:rsidRPr="00F81955">
        <w:rPr>
          <w:rStyle w:val="FootnoteReference"/>
        </w:rPr>
        <w:footnoteRef/>
      </w:r>
      <w:r w:rsidRPr="00F81955">
        <w:tab/>
        <w:t>Candidate countries and, where applicable, potential candidates from the Western Balkans.</w:t>
      </w:r>
    </w:p>
  </w:footnote>
  <w:footnote w:id="31">
    <w:p w:rsidR="005061E6" w:rsidRPr="00F81955" w:rsidRDefault="005061E6" w:rsidP="005061E6">
      <w:pPr>
        <w:pStyle w:val="FootnoteText"/>
      </w:pPr>
      <w:r w:rsidRPr="00F81955">
        <w:rPr>
          <w:rStyle w:val="FootnoteReference"/>
        </w:rPr>
        <w:footnoteRef/>
      </w:r>
      <w:r w:rsidR="00120F49" w:rsidRPr="00F81955">
        <w:tab/>
      </w:r>
      <w:r w:rsidRPr="00F81955">
        <w:t>This budget is already eamarked in the DEP WP 26-27 for the AI office</w:t>
      </w:r>
    </w:p>
  </w:footnote>
  <w:footnote w:id="32">
    <w:p w:rsidR="005061E6" w:rsidRPr="00F81955" w:rsidRDefault="005061E6" w:rsidP="005061E6">
      <w:pPr>
        <w:pStyle w:val="FootnoteText"/>
      </w:pPr>
      <w:r w:rsidRPr="00F81955">
        <w:rPr>
          <w:rStyle w:val="FootnoteReference"/>
        </w:rPr>
        <w:footnoteRef/>
      </w:r>
      <w:r w:rsidR="00120F49" w:rsidRPr="00F81955">
        <w:tab/>
      </w:r>
      <w:r w:rsidRPr="00F81955">
        <w:t>This budget is already eamarked in the DEP WP 26-27 for the AI office</w:t>
      </w:r>
    </w:p>
    <w:p w:rsidR="005061E6" w:rsidRPr="00F81955" w:rsidRDefault="005061E6" w:rsidP="005061E6">
      <w:pPr>
        <w:pStyle w:val="FootnoteText"/>
      </w:pPr>
    </w:p>
  </w:footnote>
  <w:footnote w:id="33">
    <w:p w:rsidR="005061E6" w:rsidRPr="00F81955" w:rsidRDefault="005061E6" w:rsidP="005061E6">
      <w:pPr>
        <w:pStyle w:val="FootnoteText"/>
        <w:rPr>
          <w:b/>
          <w:bCs/>
        </w:rPr>
      </w:pPr>
      <w:r w:rsidRPr="00F81955">
        <w:rPr>
          <w:rStyle w:val="FootnoteReference"/>
        </w:rPr>
        <w:footnoteRef/>
      </w:r>
      <w:r w:rsidR="00120F49" w:rsidRPr="00F81955">
        <w:tab/>
      </w:r>
      <w:r w:rsidRPr="00F81955">
        <w:t xml:space="preserve">This budget corresponds to </w:t>
      </w:r>
      <w:r w:rsidR="00763B74" w:rsidRPr="00F81955">
        <w:t>[</w:t>
      </w:r>
      <w:r w:rsidRPr="00F81955">
        <w:t>48</w:t>
      </w:r>
      <w:r w:rsidR="00763B74" w:rsidRPr="00F81955">
        <w:t>]</w:t>
      </w:r>
      <w:r w:rsidRPr="00F81955">
        <w:t xml:space="preserve"> additional FTEs for 6 months </w:t>
      </w:r>
      <w:r w:rsidR="00763B74" w:rsidRPr="00F81955">
        <w:t>[</w:t>
      </w:r>
      <w:r w:rsidRPr="00F81955">
        <w:t>(43 CAs and 5 SNEs)</w:t>
      </w:r>
      <w:r w:rsidR="00763B74" w:rsidRPr="00F81955">
        <w:t>]</w:t>
      </w:r>
      <w:r w:rsidRPr="00F81955">
        <w:t xml:space="preserve">, </w:t>
      </w:r>
      <w:r w:rsidRPr="00F81955">
        <w:rPr>
          <w:b/>
          <w:bCs/>
        </w:rPr>
        <w:t xml:space="preserve">the baseline being the staffing level agreed in the context of the 2026 budgetary procedure. </w:t>
      </w:r>
      <w:bookmarkStart w:id="16" w:name="_Hlk212548753"/>
      <w:r w:rsidRPr="00F81955">
        <w:t xml:space="preserve">The budget will be redeployed in the DEP admin envelope to cover the additional costs. </w:t>
      </w:r>
      <w:bookmarkEnd w:id="16"/>
    </w:p>
  </w:footnote>
  <w:footnote w:id="34">
    <w:p w:rsidR="005061E6" w:rsidRPr="00F81955" w:rsidRDefault="005061E6" w:rsidP="005061E6">
      <w:pPr>
        <w:pStyle w:val="FootnoteText"/>
      </w:pPr>
      <w:r w:rsidRPr="00F81955">
        <w:rPr>
          <w:rStyle w:val="FootnoteReference"/>
        </w:rPr>
        <w:footnoteRef/>
      </w:r>
      <w:r w:rsidR="00120F49" w:rsidRPr="00F81955">
        <w:tab/>
      </w:r>
      <w:r w:rsidRPr="00F81955">
        <w:rPr>
          <w:rFonts w:eastAsia="Times New Roman"/>
        </w:rPr>
        <w:t xml:space="preserve">The amount will be redeployed from 02.0403 (SO2 artificial intelligence) in 2027, the request will be introduced in the 2027 budgetary procedure. </w:t>
      </w:r>
    </w:p>
    <w:p w:rsidR="005061E6" w:rsidRPr="00F81955" w:rsidRDefault="005061E6" w:rsidP="005061E6">
      <w:pPr>
        <w:pStyle w:val="FootnoteText"/>
      </w:pPr>
    </w:p>
  </w:footnote>
  <w:footnote w:id="35">
    <w:p w:rsidR="005061E6" w:rsidRPr="00F81955" w:rsidRDefault="005061E6" w:rsidP="005061E6">
      <w:pPr>
        <w:pStyle w:val="FootnoteText"/>
      </w:pPr>
      <w:r w:rsidRPr="00F81955">
        <w:rPr>
          <w:rStyle w:val="FootnoteReference"/>
        </w:rPr>
        <w:footnoteRef/>
      </w:r>
      <w:r w:rsidR="00120F49" w:rsidRPr="00F81955">
        <w:tab/>
      </w:r>
      <w:r w:rsidRPr="00F81955">
        <w:t>This budget is already ea</w:t>
      </w:r>
      <w:r w:rsidR="005B4398" w:rsidRPr="00F81955">
        <w:t>r</w:t>
      </w:r>
      <w:r w:rsidRPr="00F81955">
        <w:t xml:space="preserve">marked in the DEP WP 26-27 for the AI </w:t>
      </w:r>
      <w:r w:rsidR="005B4398" w:rsidRPr="00F81955">
        <w:t>O</w:t>
      </w:r>
      <w:r w:rsidRPr="00F81955">
        <w:t>ffice</w:t>
      </w:r>
      <w:r w:rsidR="005B4398" w:rsidRPr="00F81955">
        <w:t>.</w:t>
      </w:r>
    </w:p>
  </w:footnote>
  <w:footnote w:id="36">
    <w:p w:rsidR="005061E6" w:rsidRPr="00F81955" w:rsidRDefault="005061E6" w:rsidP="005061E6">
      <w:pPr>
        <w:pStyle w:val="FootnoteText"/>
      </w:pPr>
      <w:r w:rsidRPr="00F81955">
        <w:rPr>
          <w:rStyle w:val="FootnoteReference"/>
        </w:rPr>
        <w:footnoteRef/>
      </w:r>
      <w:r w:rsidR="00120F49" w:rsidRPr="00F81955">
        <w:tab/>
      </w:r>
      <w:r w:rsidRPr="00F81955">
        <w:t>This budget is already ea</w:t>
      </w:r>
      <w:r w:rsidR="005B4398" w:rsidRPr="00F81955">
        <w:t>r</w:t>
      </w:r>
      <w:r w:rsidRPr="00F81955">
        <w:t xml:space="preserve">marked in the DEP WP 26-27 for the AI </w:t>
      </w:r>
      <w:r w:rsidR="005B4398" w:rsidRPr="00F81955">
        <w:t>O</w:t>
      </w:r>
      <w:r w:rsidRPr="00F81955">
        <w:t>ffice</w:t>
      </w:r>
      <w:r w:rsidR="005B4398" w:rsidRPr="00F81955">
        <w:t>.</w:t>
      </w:r>
    </w:p>
    <w:p w:rsidR="005061E6" w:rsidRPr="00F81955" w:rsidRDefault="005061E6" w:rsidP="005061E6">
      <w:pPr>
        <w:pStyle w:val="FootnoteText"/>
      </w:pPr>
    </w:p>
  </w:footnote>
  <w:footnote w:id="37">
    <w:p w:rsidR="005061E6" w:rsidRPr="00F81955" w:rsidRDefault="005061E6" w:rsidP="005061E6">
      <w:pPr>
        <w:pStyle w:val="FootnoteText"/>
        <w:rPr>
          <w:b/>
          <w:bCs/>
        </w:rPr>
      </w:pPr>
      <w:r w:rsidRPr="00F81955">
        <w:rPr>
          <w:rStyle w:val="FootnoteReference"/>
        </w:rPr>
        <w:footnoteRef/>
      </w:r>
      <w:r w:rsidR="00120F49" w:rsidRPr="00F81955">
        <w:tab/>
      </w:r>
      <w:r w:rsidRPr="00F81955">
        <w:t xml:space="preserve">This budget corresponds to 48 additional FTEs for 6 months (43 CAs and 5 SNEs), </w:t>
      </w:r>
      <w:r w:rsidRPr="00F81955">
        <w:rPr>
          <w:b/>
          <w:bCs/>
        </w:rPr>
        <w:t xml:space="preserve">the baseline being the staffing level agreed in the context of the 2026 budgetary procedure. </w:t>
      </w:r>
      <w:r w:rsidRPr="00F81955">
        <w:t xml:space="preserve">The budget will be redeployed in the DEP admin envelope to cover the additional costs. </w:t>
      </w:r>
    </w:p>
  </w:footnote>
  <w:footnote w:id="38">
    <w:p w:rsidR="005061E6" w:rsidRPr="00F81955" w:rsidRDefault="005061E6" w:rsidP="005061E6">
      <w:pPr>
        <w:pStyle w:val="FootnoteText"/>
      </w:pPr>
      <w:r w:rsidRPr="00F81955">
        <w:rPr>
          <w:rStyle w:val="FootnoteReference"/>
        </w:rPr>
        <w:footnoteRef/>
      </w:r>
      <w:r w:rsidR="00120F49" w:rsidRPr="00F81955">
        <w:tab/>
      </w:r>
      <w:r w:rsidRPr="00F81955">
        <w:rPr>
          <w:rFonts w:eastAsia="Times New Roman"/>
        </w:rPr>
        <w:t xml:space="preserve">The amount will be redeployed from 02.0403 (SO2 artificial intelligence) in 2027, the request will be introduced in the 2027 budgetary procedure. </w:t>
      </w:r>
    </w:p>
    <w:p w:rsidR="005061E6" w:rsidRPr="00F81955" w:rsidRDefault="005061E6" w:rsidP="005061E6">
      <w:pPr>
        <w:pStyle w:val="FootnoteText"/>
      </w:pPr>
    </w:p>
  </w:footnote>
  <w:footnote w:id="39">
    <w:p w:rsidR="005061E6" w:rsidRPr="00F81955" w:rsidRDefault="005061E6" w:rsidP="005061E6">
      <w:pPr>
        <w:pStyle w:val="FootnoteText"/>
        <w:rPr>
          <w:szCs w:val="24"/>
        </w:rPr>
      </w:pPr>
      <w:r w:rsidRPr="00F81955">
        <w:rPr>
          <w:rStyle w:val="FootnoteReference"/>
        </w:rPr>
        <w:footnoteRef/>
      </w:r>
      <w:r w:rsidRPr="00F81955">
        <w:tab/>
        <w:t>Outputs are products and services to be supplied (e.g. number of student exchanges financed, number of km of roads built, etc.).</w:t>
      </w:r>
    </w:p>
  </w:footnote>
  <w:footnote w:id="40">
    <w:p w:rsidR="005061E6" w:rsidRPr="00F81955" w:rsidRDefault="005061E6" w:rsidP="005061E6">
      <w:pPr>
        <w:pStyle w:val="FootnoteText"/>
        <w:rPr>
          <w:szCs w:val="24"/>
        </w:rPr>
      </w:pPr>
      <w:r w:rsidRPr="00F81955">
        <w:rPr>
          <w:rStyle w:val="FootnoteReference"/>
        </w:rPr>
        <w:footnoteRef/>
      </w:r>
      <w:r w:rsidRPr="00F81955">
        <w:tab/>
        <w:t xml:space="preserve">As described in Section 1.3.2. ‘Specific objective(s)’ </w:t>
      </w:r>
    </w:p>
  </w:footnote>
  <w:footnote w:id="41">
    <w:p w:rsidR="005061E6" w:rsidRDefault="005061E6" w:rsidP="005061E6">
      <w:pPr>
        <w:pStyle w:val="FootnoteText"/>
        <w:rPr>
          <w:szCs w:val="24"/>
        </w:rPr>
      </w:pPr>
      <w:r w:rsidRPr="00F81955">
        <w:rPr>
          <w:rStyle w:val="FootnoteReference"/>
        </w:rPr>
        <w:footnoteRef/>
      </w:r>
      <w:r w:rsidRPr="00F81955">
        <w:tab/>
        <w:t>As regards traditional own resources (customs duties, sugar levies), the amounts indicated must be net amounts, i.e. gross amounts after deduction of 20%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3B1" w:rsidRPr="004623B1" w:rsidRDefault="004623B1" w:rsidP="00462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3B1" w:rsidRPr="004623B1" w:rsidRDefault="004623B1" w:rsidP="004623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3B1" w:rsidRPr="004623B1" w:rsidRDefault="004623B1" w:rsidP="004623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ED8" w:rsidRDefault="00013E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ED8" w:rsidRDefault="00013ED8" w:rsidP="004623B1">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3B1" w:rsidRPr="004623B1" w:rsidRDefault="004623B1" w:rsidP="004623B1">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39F46B45"/>
    <w:multiLevelType w:val="hybridMultilevel"/>
    <w:tmpl w:val="FFFFFFFF"/>
    <w:lvl w:ilvl="0" w:tplc="2DA0CC6C">
      <w:start w:val="1"/>
      <w:numFmt w:val="bullet"/>
      <w:lvlText w:val="-"/>
      <w:lvlJc w:val="left"/>
      <w:pPr>
        <w:ind w:left="720" w:hanging="360"/>
      </w:pPr>
      <w:rPr>
        <w:rFonts w:ascii="&quot;Times New Roman&quot;,serif" w:hAnsi="&quot;Times New Roman&quot;,serif" w:hint="default"/>
      </w:rPr>
    </w:lvl>
    <w:lvl w:ilvl="1" w:tplc="CBE24834">
      <w:start w:val="1"/>
      <w:numFmt w:val="bullet"/>
      <w:lvlText w:val="o"/>
      <w:lvlJc w:val="left"/>
      <w:pPr>
        <w:ind w:left="1440" w:hanging="360"/>
      </w:pPr>
      <w:rPr>
        <w:rFonts w:ascii="Courier New" w:hAnsi="Courier New" w:hint="default"/>
      </w:rPr>
    </w:lvl>
    <w:lvl w:ilvl="2" w:tplc="51EC3F12">
      <w:start w:val="1"/>
      <w:numFmt w:val="bullet"/>
      <w:lvlText w:val=""/>
      <w:lvlJc w:val="left"/>
      <w:pPr>
        <w:ind w:left="2160" w:hanging="360"/>
      </w:pPr>
      <w:rPr>
        <w:rFonts w:ascii="Wingdings" w:hAnsi="Wingdings" w:hint="default"/>
      </w:rPr>
    </w:lvl>
    <w:lvl w:ilvl="3" w:tplc="EFF2DE30">
      <w:start w:val="1"/>
      <w:numFmt w:val="bullet"/>
      <w:lvlText w:val=""/>
      <w:lvlJc w:val="left"/>
      <w:pPr>
        <w:ind w:left="2880" w:hanging="360"/>
      </w:pPr>
      <w:rPr>
        <w:rFonts w:ascii="Symbol" w:hAnsi="Symbol" w:hint="default"/>
      </w:rPr>
    </w:lvl>
    <w:lvl w:ilvl="4" w:tplc="658413E2">
      <w:start w:val="1"/>
      <w:numFmt w:val="bullet"/>
      <w:lvlText w:val="o"/>
      <w:lvlJc w:val="left"/>
      <w:pPr>
        <w:ind w:left="3600" w:hanging="360"/>
      </w:pPr>
      <w:rPr>
        <w:rFonts w:ascii="Courier New" w:hAnsi="Courier New" w:hint="default"/>
      </w:rPr>
    </w:lvl>
    <w:lvl w:ilvl="5" w:tplc="412478EC">
      <w:start w:val="1"/>
      <w:numFmt w:val="bullet"/>
      <w:lvlText w:val=""/>
      <w:lvlJc w:val="left"/>
      <w:pPr>
        <w:ind w:left="4320" w:hanging="360"/>
      </w:pPr>
      <w:rPr>
        <w:rFonts w:ascii="Wingdings" w:hAnsi="Wingdings" w:hint="default"/>
      </w:rPr>
    </w:lvl>
    <w:lvl w:ilvl="6" w:tplc="85B05B84">
      <w:start w:val="1"/>
      <w:numFmt w:val="bullet"/>
      <w:lvlText w:val=""/>
      <w:lvlJc w:val="left"/>
      <w:pPr>
        <w:ind w:left="5040" w:hanging="360"/>
      </w:pPr>
      <w:rPr>
        <w:rFonts w:ascii="Symbol" w:hAnsi="Symbol" w:hint="default"/>
      </w:rPr>
    </w:lvl>
    <w:lvl w:ilvl="7" w:tplc="68C491E6">
      <w:start w:val="1"/>
      <w:numFmt w:val="bullet"/>
      <w:lvlText w:val="o"/>
      <w:lvlJc w:val="left"/>
      <w:pPr>
        <w:ind w:left="5760" w:hanging="360"/>
      </w:pPr>
      <w:rPr>
        <w:rFonts w:ascii="Courier New" w:hAnsi="Courier New" w:hint="default"/>
      </w:rPr>
    </w:lvl>
    <w:lvl w:ilvl="8" w:tplc="885A627A">
      <w:start w:val="1"/>
      <w:numFmt w:val="bullet"/>
      <w:lvlText w:val=""/>
      <w:lvlJc w:val="left"/>
      <w:pPr>
        <w:ind w:left="6480" w:hanging="360"/>
      </w:pPr>
      <w:rPr>
        <w:rFonts w:ascii="Wingdings" w:hAnsi="Wingdings" w:hint="default"/>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61F644B"/>
    <w:multiLevelType w:val="hybridMultilevel"/>
    <w:tmpl w:val="EA66D5F8"/>
    <w:lvl w:ilvl="0" w:tplc="0F3023B0">
      <w:start w:val="1"/>
      <w:numFmt w:val="bullet"/>
      <w:lvlText w:val=""/>
      <w:lvlJc w:val="left"/>
      <w:pPr>
        <w:ind w:left="720" w:hanging="360"/>
      </w:pPr>
      <w:rPr>
        <w:rFonts w:ascii="Symbol" w:hAnsi="Symbol" w:hint="default"/>
      </w:rPr>
    </w:lvl>
    <w:lvl w:ilvl="1" w:tplc="6860ADFA">
      <w:start w:val="1"/>
      <w:numFmt w:val="bullet"/>
      <w:lvlText w:val="o"/>
      <w:lvlJc w:val="left"/>
      <w:pPr>
        <w:ind w:left="1440" w:hanging="360"/>
      </w:pPr>
      <w:rPr>
        <w:rFonts w:ascii="Courier New" w:hAnsi="Courier New" w:hint="default"/>
      </w:rPr>
    </w:lvl>
    <w:lvl w:ilvl="2" w:tplc="BF4EA296">
      <w:start w:val="1"/>
      <w:numFmt w:val="bullet"/>
      <w:lvlText w:val=""/>
      <w:lvlJc w:val="left"/>
      <w:pPr>
        <w:ind w:left="2160" w:hanging="360"/>
      </w:pPr>
      <w:rPr>
        <w:rFonts w:ascii="Wingdings" w:hAnsi="Wingdings" w:hint="default"/>
      </w:rPr>
    </w:lvl>
    <w:lvl w:ilvl="3" w:tplc="DAE40400">
      <w:start w:val="1"/>
      <w:numFmt w:val="bullet"/>
      <w:lvlText w:val=""/>
      <w:lvlJc w:val="left"/>
      <w:pPr>
        <w:ind w:left="2880" w:hanging="360"/>
      </w:pPr>
      <w:rPr>
        <w:rFonts w:ascii="Symbol" w:hAnsi="Symbol" w:hint="default"/>
      </w:rPr>
    </w:lvl>
    <w:lvl w:ilvl="4" w:tplc="F03E2040">
      <w:start w:val="1"/>
      <w:numFmt w:val="bullet"/>
      <w:lvlText w:val="o"/>
      <w:lvlJc w:val="left"/>
      <w:pPr>
        <w:ind w:left="3600" w:hanging="360"/>
      </w:pPr>
      <w:rPr>
        <w:rFonts w:ascii="Courier New" w:hAnsi="Courier New" w:hint="default"/>
      </w:rPr>
    </w:lvl>
    <w:lvl w:ilvl="5" w:tplc="896A249E">
      <w:start w:val="1"/>
      <w:numFmt w:val="bullet"/>
      <w:lvlText w:val=""/>
      <w:lvlJc w:val="left"/>
      <w:pPr>
        <w:ind w:left="4320" w:hanging="360"/>
      </w:pPr>
      <w:rPr>
        <w:rFonts w:ascii="Wingdings" w:hAnsi="Wingdings" w:hint="default"/>
      </w:rPr>
    </w:lvl>
    <w:lvl w:ilvl="6" w:tplc="304A012E">
      <w:start w:val="1"/>
      <w:numFmt w:val="bullet"/>
      <w:lvlText w:val=""/>
      <w:lvlJc w:val="left"/>
      <w:pPr>
        <w:ind w:left="5040" w:hanging="360"/>
      </w:pPr>
      <w:rPr>
        <w:rFonts w:ascii="Symbol" w:hAnsi="Symbol" w:hint="default"/>
      </w:rPr>
    </w:lvl>
    <w:lvl w:ilvl="7" w:tplc="7D1643C8">
      <w:start w:val="1"/>
      <w:numFmt w:val="bullet"/>
      <w:lvlText w:val="o"/>
      <w:lvlJc w:val="left"/>
      <w:pPr>
        <w:ind w:left="5760" w:hanging="360"/>
      </w:pPr>
      <w:rPr>
        <w:rFonts w:ascii="Courier New" w:hAnsi="Courier New" w:hint="default"/>
      </w:rPr>
    </w:lvl>
    <w:lvl w:ilvl="8" w:tplc="B18E07F2">
      <w:start w:val="1"/>
      <w:numFmt w:val="bullet"/>
      <w:lvlText w:val=""/>
      <w:lvlJc w:val="left"/>
      <w:pPr>
        <w:ind w:left="6480" w:hanging="360"/>
      </w:pPr>
      <w:rPr>
        <w:rFonts w:ascii="Wingdings" w:hAnsi="Wingdings" w:hint="default"/>
      </w:r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736589555">
    <w:abstractNumId w:val="0"/>
  </w:num>
  <w:num w:numId="2" w16cid:durableId="614289871">
    <w:abstractNumId w:val="22"/>
  </w:num>
  <w:num w:numId="3" w16cid:durableId="111749591">
    <w:abstractNumId w:val="8"/>
  </w:num>
  <w:num w:numId="4" w16cid:durableId="255015781">
    <w:abstractNumId w:val="18"/>
  </w:num>
  <w:num w:numId="5" w16cid:durableId="1957177660">
    <w:abstractNumId w:val="17"/>
  </w:num>
  <w:num w:numId="6" w16cid:durableId="873155321">
    <w:abstractNumId w:val="29"/>
  </w:num>
  <w:num w:numId="7" w16cid:durableId="2114009359">
    <w:abstractNumId w:val="26"/>
  </w:num>
  <w:num w:numId="8" w16cid:durableId="114176253">
    <w:abstractNumId w:val="30"/>
  </w:num>
  <w:num w:numId="9" w16cid:durableId="274095182">
    <w:abstractNumId w:val="31"/>
  </w:num>
  <w:num w:numId="10" w16cid:durableId="1728646392">
    <w:abstractNumId w:val="1"/>
  </w:num>
  <w:num w:numId="11" w16cid:durableId="2059237208">
    <w:abstractNumId w:val="10"/>
  </w:num>
  <w:num w:numId="12" w16cid:durableId="1444425210">
    <w:abstractNumId w:val="2"/>
  </w:num>
  <w:num w:numId="13" w16cid:durableId="1451362557">
    <w:abstractNumId w:val="11"/>
  </w:num>
  <w:num w:numId="14" w16cid:durableId="1231162132">
    <w:abstractNumId w:val="9"/>
  </w:num>
  <w:num w:numId="15" w16cid:durableId="1500345866">
    <w:abstractNumId w:val="19"/>
  </w:num>
  <w:num w:numId="16" w16cid:durableId="818379096">
    <w:abstractNumId w:val="7"/>
  </w:num>
  <w:num w:numId="17" w16cid:durableId="11358357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3954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6109111">
    <w:abstractNumId w:val="21"/>
  </w:num>
  <w:num w:numId="20" w16cid:durableId="451870898">
    <w:abstractNumId w:val="16"/>
    <w:lvlOverride w:ilvl="0">
      <w:startOverride w:val="1"/>
    </w:lvlOverride>
  </w:num>
  <w:num w:numId="21" w16cid:durableId="241574779">
    <w:abstractNumId w:val="16"/>
    <w:lvlOverride w:ilvl="0">
      <w:startOverride w:val="1"/>
    </w:lvlOverride>
  </w:num>
  <w:num w:numId="22" w16cid:durableId="20028046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3224971">
    <w:abstractNumId w:val="23"/>
    <w:lvlOverride w:ilvl="0">
      <w:startOverride w:val="1"/>
    </w:lvlOverride>
  </w:num>
  <w:num w:numId="24" w16cid:durableId="28262705">
    <w:abstractNumId w:val="32"/>
    <w:lvlOverride w:ilvl="0">
      <w:startOverride w:val="1"/>
    </w:lvlOverride>
  </w:num>
  <w:num w:numId="25" w16cid:durableId="3618265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6215774">
    <w:abstractNumId w:val="25"/>
  </w:num>
  <w:num w:numId="27" w16cid:durableId="1298678799">
    <w:abstractNumId w:val="13"/>
  </w:num>
  <w:num w:numId="28" w16cid:durableId="457845118">
    <w:abstractNumId w:val="28"/>
  </w:num>
  <w:num w:numId="29" w16cid:durableId="1230966737">
    <w:abstractNumId w:val="6"/>
  </w:num>
  <w:num w:numId="30" w16cid:durableId="1073157594">
    <w:abstractNumId w:val="14"/>
  </w:num>
  <w:num w:numId="31" w16cid:durableId="1651321662">
    <w:abstractNumId w:val="15"/>
  </w:num>
  <w:num w:numId="32" w16cid:durableId="1887520177">
    <w:abstractNumId w:val="4"/>
  </w:num>
  <w:num w:numId="33" w16cid:durableId="272640167">
    <w:abstractNumId w:val="27"/>
  </w:num>
  <w:num w:numId="34" w16cid:durableId="1276401035">
    <w:abstractNumId w:val="3"/>
  </w:num>
  <w:num w:numId="35" w16cid:durableId="1228684522">
    <w:abstractNumId w:val="16"/>
  </w:num>
  <w:num w:numId="36" w16cid:durableId="1407261095">
    <w:abstractNumId w:val="23"/>
  </w:num>
  <w:num w:numId="37" w16cid:durableId="1954558491">
    <w:abstractNumId w:val="24"/>
  </w:num>
  <w:num w:numId="38" w16cid:durableId="1659921335">
    <w:abstractNumId w:val="5"/>
  </w:num>
  <w:num w:numId="39" w16cid:durableId="1884899511">
    <w:abstractNumId w:val="20"/>
  </w:num>
  <w:num w:numId="40" w16cid:durableId="1657149563">
    <w:abstractNumId w:val="32"/>
  </w:num>
  <w:num w:numId="41" w16cid:durableId="658458226">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58"/>
  <w:removePersonalInformation/>
  <w:removeDateAndTime/>
  <w:hideSpellingErrors/>
  <w:hideGrammaticalErrors/>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5-11-12 13:36:4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51FF9F9C-D95E-4B6E-8CCE-A9916AF64E2E"/>
    <w:docVar w:name="LW_COVERPAGE_TYPE" w:val="1"/>
    <w:docVar w:name="LW_CreatedUtc" w:val="2025-10-22T15:46:57.4638261Z"/>
    <w:docVar w:name="LW_CROSSREFERENCE" w:val="{SWD(2025) 836 final}"/>
    <w:docVar w:name="LW_DocType" w:val="COM"/>
    <w:docVar w:name="LW_EMISSION" w:val="19.11.2025"/>
    <w:docVar w:name="LW_EMISSION_ISODATE" w:val="2025-11-19"/>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59"/>
    <w:docVar w:name="LW_REF.II.NEW.CP_YEAR" w:val="2025"/>
    <w:docVar w:name="LW_REF.INST.NEW" w:val="COM"/>
    <w:docVar w:name="LW_REF.INST.NEW_ADOPTED" w:val="final"/>
    <w:docVar w:name="LW_REF.INST.NEW_TEXT" w:val="(2025) 83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s (EU) 2024/1689 and (EU) 2018/1139 as regards the simplification of the implementation of harmonised rules on artificial intelligence (Digital Omnibus on AI)"/>
    <w:docVar w:name="LW_TYPE.DOC.CP" w:val="REGULATION OF THE EUROPEAN PARLIAMENT AND OF THE COUNCIL"/>
    <w:docVar w:name="LwApiVersions" w:val="LW4CoDe 1.24.5.0; LW 9.0, Build 20240221"/>
  </w:docVars>
  <w:rsids>
    <w:rsidRoot w:val="009C3EE2"/>
    <w:rsid w:val="0000001F"/>
    <w:rsid w:val="00000152"/>
    <w:rsid w:val="000004BD"/>
    <w:rsid w:val="00000EE2"/>
    <w:rsid w:val="00001A3F"/>
    <w:rsid w:val="00001A47"/>
    <w:rsid w:val="00001AD4"/>
    <w:rsid w:val="00001E30"/>
    <w:rsid w:val="00001F65"/>
    <w:rsid w:val="000022C9"/>
    <w:rsid w:val="00002905"/>
    <w:rsid w:val="00002ECD"/>
    <w:rsid w:val="000030C5"/>
    <w:rsid w:val="0000320E"/>
    <w:rsid w:val="00003462"/>
    <w:rsid w:val="000034F3"/>
    <w:rsid w:val="00003810"/>
    <w:rsid w:val="00003ADB"/>
    <w:rsid w:val="000061B3"/>
    <w:rsid w:val="00006A29"/>
    <w:rsid w:val="000101B4"/>
    <w:rsid w:val="00010207"/>
    <w:rsid w:val="000102A9"/>
    <w:rsid w:val="00010451"/>
    <w:rsid w:val="00010708"/>
    <w:rsid w:val="00010988"/>
    <w:rsid w:val="0001105B"/>
    <w:rsid w:val="00011386"/>
    <w:rsid w:val="00011417"/>
    <w:rsid w:val="00011B02"/>
    <w:rsid w:val="0001218A"/>
    <w:rsid w:val="000133E0"/>
    <w:rsid w:val="00013568"/>
    <w:rsid w:val="0001375F"/>
    <w:rsid w:val="0001384E"/>
    <w:rsid w:val="00013ED8"/>
    <w:rsid w:val="00014200"/>
    <w:rsid w:val="000144A8"/>
    <w:rsid w:val="00014ED0"/>
    <w:rsid w:val="00015049"/>
    <w:rsid w:val="0001567D"/>
    <w:rsid w:val="0001569C"/>
    <w:rsid w:val="000160FD"/>
    <w:rsid w:val="00016BEA"/>
    <w:rsid w:val="00017251"/>
    <w:rsid w:val="0001794D"/>
    <w:rsid w:val="00017E79"/>
    <w:rsid w:val="00017ED4"/>
    <w:rsid w:val="00020C03"/>
    <w:rsid w:val="000212BB"/>
    <w:rsid w:val="00021A48"/>
    <w:rsid w:val="00021B73"/>
    <w:rsid w:val="00022034"/>
    <w:rsid w:val="000220FA"/>
    <w:rsid w:val="00022559"/>
    <w:rsid w:val="000227D4"/>
    <w:rsid w:val="0002280F"/>
    <w:rsid w:val="00022862"/>
    <w:rsid w:val="00022922"/>
    <w:rsid w:val="00022BB1"/>
    <w:rsid w:val="00022CB4"/>
    <w:rsid w:val="00022EFE"/>
    <w:rsid w:val="00023077"/>
    <w:rsid w:val="000233AE"/>
    <w:rsid w:val="00023585"/>
    <w:rsid w:val="000242C1"/>
    <w:rsid w:val="000247AA"/>
    <w:rsid w:val="0002562A"/>
    <w:rsid w:val="00026874"/>
    <w:rsid w:val="00026B91"/>
    <w:rsid w:val="00026F0C"/>
    <w:rsid w:val="00026F20"/>
    <w:rsid w:val="00027033"/>
    <w:rsid w:val="00027197"/>
    <w:rsid w:val="0002735A"/>
    <w:rsid w:val="00027707"/>
    <w:rsid w:val="00027EDB"/>
    <w:rsid w:val="00027FC0"/>
    <w:rsid w:val="00027FC6"/>
    <w:rsid w:val="00030366"/>
    <w:rsid w:val="000306E6"/>
    <w:rsid w:val="00031374"/>
    <w:rsid w:val="000316EE"/>
    <w:rsid w:val="00031939"/>
    <w:rsid w:val="00031F47"/>
    <w:rsid w:val="00032373"/>
    <w:rsid w:val="00032DE7"/>
    <w:rsid w:val="00032EBB"/>
    <w:rsid w:val="00033451"/>
    <w:rsid w:val="000334FB"/>
    <w:rsid w:val="000348F3"/>
    <w:rsid w:val="00034BC9"/>
    <w:rsid w:val="00034DBF"/>
    <w:rsid w:val="00035991"/>
    <w:rsid w:val="00035A50"/>
    <w:rsid w:val="000369F1"/>
    <w:rsid w:val="00036E71"/>
    <w:rsid w:val="000374C0"/>
    <w:rsid w:val="00037A16"/>
    <w:rsid w:val="00037EF2"/>
    <w:rsid w:val="000405A0"/>
    <w:rsid w:val="00040633"/>
    <w:rsid w:val="000408B9"/>
    <w:rsid w:val="00040C2C"/>
    <w:rsid w:val="00040D9F"/>
    <w:rsid w:val="00041C52"/>
    <w:rsid w:val="00041E60"/>
    <w:rsid w:val="000427D4"/>
    <w:rsid w:val="00042B42"/>
    <w:rsid w:val="00042D77"/>
    <w:rsid w:val="00042F45"/>
    <w:rsid w:val="00042F55"/>
    <w:rsid w:val="0004488B"/>
    <w:rsid w:val="00044AA5"/>
    <w:rsid w:val="00044C9C"/>
    <w:rsid w:val="00044CA5"/>
    <w:rsid w:val="0004524E"/>
    <w:rsid w:val="0004578F"/>
    <w:rsid w:val="00045E01"/>
    <w:rsid w:val="00045F0F"/>
    <w:rsid w:val="00046D61"/>
    <w:rsid w:val="00047259"/>
    <w:rsid w:val="00047C62"/>
    <w:rsid w:val="00047D49"/>
    <w:rsid w:val="00047F8C"/>
    <w:rsid w:val="0005002A"/>
    <w:rsid w:val="000501E8"/>
    <w:rsid w:val="000505E2"/>
    <w:rsid w:val="000510C1"/>
    <w:rsid w:val="00051394"/>
    <w:rsid w:val="000514B1"/>
    <w:rsid w:val="00051535"/>
    <w:rsid w:val="000526A5"/>
    <w:rsid w:val="00052F2B"/>
    <w:rsid w:val="000530C1"/>
    <w:rsid w:val="00053810"/>
    <w:rsid w:val="00053B4E"/>
    <w:rsid w:val="0005417F"/>
    <w:rsid w:val="00055918"/>
    <w:rsid w:val="000559EE"/>
    <w:rsid w:val="000560BC"/>
    <w:rsid w:val="00056228"/>
    <w:rsid w:val="000563E8"/>
    <w:rsid w:val="00056B8D"/>
    <w:rsid w:val="000570B0"/>
    <w:rsid w:val="0005777A"/>
    <w:rsid w:val="00057C77"/>
    <w:rsid w:val="00057E1F"/>
    <w:rsid w:val="00060314"/>
    <w:rsid w:val="00060457"/>
    <w:rsid w:val="00061999"/>
    <w:rsid w:val="00061A0D"/>
    <w:rsid w:val="00061C68"/>
    <w:rsid w:val="0006205A"/>
    <w:rsid w:val="000623A5"/>
    <w:rsid w:val="0006259C"/>
    <w:rsid w:val="00062717"/>
    <w:rsid w:val="00063406"/>
    <w:rsid w:val="00063511"/>
    <w:rsid w:val="0006482B"/>
    <w:rsid w:val="000648A1"/>
    <w:rsid w:val="000649D0"/>
    <w:rsid w:val="0006525F"/>
    <w:rsid w:val="00065DFA"/>
    <w:rsid w:val="000660E2"/>
    <w:rsid w:val="0006708A"/>
    <w:rsid w:val="00067769"/>
    <w:rsid w:val="000677BC"/>
    <w:rsid w:val="00067A58"/>
    <w:rsid w:val="00067C61"/>
    <w:rsid w:val="00070917"/>
    <w:rsid w:val="000726DA"/>
    <w:rsid w:val="00072A03"/>
    <w:rsid w:val="00072A2E"/>
    <w:rsid w:val="00072B40"/>
    <w:rsid w:val="0007368D"/>
    <w:rsid w:val="000745D5"/>
    <w:rsid w:val="000747A5"/>
    <w:rsid w:val="00074E68"/>
    <w:rsid w:val="000751B8"/>
    <w:rsid w:val="000752C2"/>
    <w:rsid w:val="0007634F"/>
    <w:rsid w:val="00076AF9"/>
    <w:rsid w:val="00076B88"/>
    <w:rsid w:val="00077D85"/>
    <w:rsid w:val="00080123"/>
    <w:rsid w:val="000801EA"/>
    <w:rsid w:val="00080639"/>
    <w:rsid w:val="00080992"/>
    <w:rsid w:val="000809CA"/>
    <w:rsid w:val="00081DAC"/>
    <w:rsid w:val="00081F0C"/>
    <w:rsid w:val="00082502"/>
    <w:rsid w:val="000825BF"/>
    <w:rsid w:val="000829C7"/>
    <w:rsid w:val="00082DF0"/>
    <w:rsid w:val="00083E80"/>
    <w:rsid w:val="00083F54"/>
    <w:rsid w:val="000842D8"/>
    <w:rsid w:val="00084885"/>
    <w:rsid w:val="00084EF9"/>
    <w:rsid w:val="000852BC"/>
    <w:rsid w:val="0008530F"/>
    <w:rsid w:val="00085A3F"/>
    <w:rsid w:val="00085A68"/>
    <w:rsid w:val="00085D01"/>
    <w:rsid w:val="0008604D"/>
    <w:rsid w:val="0008668B"/>
    <w:rsid w:val="00086FA7"/>
    <w:rsid w:val="000872A4"/>
    <w:rsid w:val="000873F3"/>
    <w:rsid w:val="00087440"/>
    <w:rsid w:val="000879B1"/>
    <w:rsid w:val="00087AD8"/>
    <w:rsid w:val="00090955"/>
    <w:rsid w:val="000909AE"/>
    <w:rsid w:val="00090B61"/>
    <w:rsid w:val="00090E29"/>
    <w:rsid w:val="00092C21"/>
    <w:rsid w:val="00092E92"/>
    <w:rsid w:val="0009308F"/>
    <w:rsid w:val="00093981"/>
    <w:rsid w:val="00093C78"/>
    <w:rsid w:val="0009465D"/>
    <w:rsid w:val="00094C3B"/>
    <w:rsid w:val="00094DD1"/>
    <w:rsid w:val="000951C5"/>
    <w:rsid w:val="00095491"/>
    <w:rsid w:val="00095B2E"/>
    <w:rsid w:val="00095B85"/>
    <w:rsid w:val="00097322"/>
    <w:rsid w:val="000974E4"/>
    <w:rsid w:val="00097691"/>
    <w:rsid w:val="00097760"/>
    <w:rsid w:val="00097F36"/>
    <w:rsid w:val="000A01BE"/>
    <w:rsid w:val="000A0916"/>
    <w:rsid w:val="000A1B33"/>
    <w:rsid w:val="000A215A"/>
    <w:rsid w:val="000A2196"/>
    <w:rsid w:val="000A2773"/>
    <w:rsid w:val="000A2C6C"/>
    <w:rsid w:val="000A31D5"/>
    <w:rsid w:val="000A3679"/>
    <w:rsid w:val="000A3D45"/>
    <w:rsid w:val="000A3DF8"/>
    <w:rsid w:val="000A3FA1"/>
    <w:rsid w:val="000A57FC"/>
    <w:rsid w:val="000A633C"/>
    <w:rsid w:val="000A669C"/>
    <w:rsid w:val="000A6CE2"/>
    <w:rsid w:val="000A754A"/>
    <w:rsid w:val="000B039B"/>
    <w:rsid w:val="000B0E6F"/>
    <w:rsid w:val="000B0F9E"/>
    <w:rsid w:val="000B22EC"/>
    <w:rsid w:val="000B276F"/>
    <w:rsid w:val="000B2DED"/>
    <w:rsid w:val="000B31C4"/>
    <w:rsid w:val="000B3431"/>
    <w:rsid w:val="000B4167"/>
    <w:rsid w:val="000B417F"/>
    <w:rsid w:val="000B429A"/>
    <w:rsid w:val="000B53A0"/>
    <w:rsid w:val="000B53E1"/>
    <w:rsid w:val="000B5B2D"/>
    <w:rsid w:val="000B5C3E"/>
    <w:rsid w:val="000B5FB0"/>
    <w:rsid w:val="000B6729"/>
    <w:rsid w:val="000B696F"/>
    <w:rsid w:val="000B7653"/>
    <w:rsid w:val="000B7B3B"/>
    <w:rsid w:val="000B7C58"/>
    <w:rsid w:val="000B7DD1"/>
    <w:rsid w:val="000C00D8"/>
    <w:rsid w:val="000C016F"/>
    <w:rsid w:val="000C086A"/>
    <w:rsid w:val="000C1045"/>
    <w:rsid w:val="000C1701"/>
    <w:rsid w:val="000C31D1"/>
    <w:rsid w:val="000C35D1"/>
    <w:rsid w:val="000C3E42"/>
    <w:rsid w:val="000C4E95"/>
    <w:rsid w:val="000C5686"/>
    <w:rsid w:val="000C584D"/>
    <w:rsid w:val="000C6440"/>
    <w:rsid w:val="000C6960"/>
    <w:rsid w:val="000C6CB1"/>
    <w:rsid w:val="000C6D8D"/>
    <w:rsid w:val="000C7222"/>
    <w:rsid w:val="000C7C63"/>
    <w:rsid w:val="000D1053"/>
    <w:rsid w:val="000D1930"/>
    <w:rsid w:val="000D1A58"/>
    <w:rsid w:val="000D1B60"/>
    <w:rsid w:val="000D2A21"/>
    <w:rsid w:val="000D35AC"/>
    <w:rsid w:val="000D3747"/>
    <w:rsid w:val="000D39C1"/>
    <w:rsid w:val="000D3B97"/>
    <w:rsid w:val="000D4167"/>
    <w:rsid w:val="000D438D"/>
    <w:rsid w:val="000D446D"/>
    <w:rsid w:val="000D451C"/>
    <w:rsid w:val="000D6042"/>
    <w:rsid w:val="000D6864"/>
    <w:rsid w:val="000D6C77"/>
    <w:rsid w:val="000D6F89"/>
    <w:rsid w:val="000D7603"/>
    <w:rsid w:val="000D78E3"/>
    <w:rsid w:val="000D7C36"/>
    <w:rsid w:val="000D7D3A"/>
    <w:rsid w:val="000E0502"/>
    <w:rsid w:val="000E054B"/>
    <w:rsid w:val="000E07BF"/>
    <w:rsid w:val="000E0968"/>
    <w:rsid w:val="000E0A6B"/>
    <w:rsid w:val="000E0F1A"/>
    <w:rsid w:val="000E11EA"/>
    <w:rsid w:val="000E120F"/>
    <w:rsid w:val="000E1323"/>
    <w:rsid w:val="000E1D3C"/>
    <w:rsid w:val="000E2487"/>
    <w:rsid w:val="000E2989"/>
    <w:rsid w:val="000E2FD0"/>
    <w:rsid w:val="000E309D"/>
    <w:rsid w:val="000E327E"/>
    <w:rsid w:val="000E3D28"/>
    <w:rsid w:val="000E3E90"/>
    <w:rsid w:val="000E3EE2"/>
    <w:rsid w:val="000E3FF9"/>
    <w:rsid w:val="000E4344"/>
    <w:rsid w:val="000E4DAD"/>
    <w:rsid w:val="000E4F44"/>
    <w:rsid w:val="000E52F4"/>
    <w:rsid w:val="000E5521"/>
    <w:rsid w:val="000E5998"/>
    <w:rsid w:val="000E5C9D"/>
    <w:rsid w:val="000E5F5A"/>
    <w:rsid w:val="000E6510"/>
    <w:rsid w:val="000E6756"/>
    <w:rsid w:val="000E6BC9"/>
    <w:rsid w:val="000F0198"/>
    <w:rsid w:val="000F0547"/>
    <w:rsid w:val="000F0DB9"/>
    <w:rsid w:val="000F13CF"/>
    <w:rsid w:val="000F14C5"/>
    <w:rsid w:val="000F175A"/>
    <w:rsid w:val="000F1BCE"/>
    <w:rsid w:val="000F2000"/>
    <w:rsid w:val="000F22DB"/>
    <w:rsid w:val="000F2306"/>
    <w:rsid w:val="000F2680"/>
    <w:rsid w:val="000F27E4"/>
    <w:rsid w:val="000F28FD"/>
    <w:rsid w:val="000F2B18"/>
    <w:rsid w:val="000F2BA7"/>
    <w:rsid w:val="000F38E7"/>
    <w:rsid w:val="000F40CA"/>
    <w:rsid w:val="000F572A"/>
    <w:rsid w:val="000F68E6"/>
    <w:rsid w:val="000F69D6"/>
    <w:rsid w:val="000F6A06"/>
    <w:rsid w:val="000F6BCB"/>
    <w:rsid w:val="000F6CF2"/>
    <w:rsid w:val="000F6CF7"/>
    <w:rsid w:val="000F6E8B"/>
    <w:rsid w:val="000F74AC"/>
    <w:rsid w:val="000F79CC"/>
    <w:rsid w:val="000F7E27"/>
    <w:rsid w:val="000F7EF3"/>
    <w:rsid w:val="000F7F8C"/>
    <w:rsid w:val="00100049"/>
    <w:rsid w:val="001000D3"/>
    <w:rsid w:val="00100E14"/>
    <w:rsid w:val="0010152A"/>
    <w:rsid w:val="00101CB7"/>
    <w:rsid w:val="0010281B"/>
    <w:rsid w:val="0010281D"/>
    <w:rsid w:val="00102F1C"/>
    <w:rsid w:val="001031C9"/>
    <w:rsid w:val="00104557"/>
    <w:rsid w:val="00104598"/>
    <w:rsid w:val="001048E9"/>
    <w:rsid w:val="00104E79"/>
    <w:rsid w:val="00105530"/>
    <w:rsid w:val="0010583E"/>
    <w:rsid w:val="00105BB1"/>
    <w:rsid w:val="0010654E"/>
    <w:rsid w:val="001065AA"/>
    <w:rsid w:val="001065F5"/>
    <w:rsid w:val="0010714D"/>
    <w:rsid w:val="00107E36"/>
    <w:rsid w:val="00107EA4"/>
    <w:rsid w:val="0011025E"/>
    <w:rsid w:val="00110A13"/>
    <w:rsid w:val="00110AB0"/>
    <w:rsid w:val="00111364"/>
    <w:rsid w:val="00111C09"/>
    <w:rsid w:val="00111F16"/>
    <w:rsid w:val="001122D1"/>
    <w:rsid w:val="00112F07"/>
    <w:rsid w:val="00113A86"/>
    <w:rsid w:val="00113BE2"/>
    <w:rsid w:val="00113D21"/>
    <w:rsid w:val="00113F84"/>
    <w:rsid w:val="00114332"/>
    <w:rsid w:val="00114BBE"/>
    <w:rsid w:val="00114BEC"/>
    <w:rsid w:val="00114C45"/>
    <w:rsid w:val="0011507D"/>
    <w:rsid w:val="00115A9B"/>
    <w:rsid w:val="00115D88"/>
    <w:rsid w:val="001162F1"/>
    <w:rsid w:val="00116737"/>
    <w:rsid w:val="0011696A"/>
    <w:rsid w:val="00120602"/>
    <w:rsid w:val="00120F49"/>
    <w:rsid w:val="0012102D"/>
    <w:rsid w:val="00121575"/>
    <w:rsid w:val="00121D4C"/>
    <w:rsid w:val="00123208"/>
    <w:rsid w:val="00123412"/>
    <w:rsid w:val="001235E3"/>
    <w:rsid w:val="001238EF"/>
    <w:rsid w:val="00123BCE"/>
    <w:rsid w:val="00123D2E"/>
    <w:rsid w:val="001249B7"/>
    <w:rsid w:val="00124B1F"/>
    <w:rsid w:val="00124CAF"/>
    <w:rsid w:val="0012518A"/>
    <w:rsid w:val="00125225"/>
    <w:rsid w:val="00125D2A"/>
    <w:rsid w:val="001261E8"/>
    <w:rsid w:val="0013060E"/>
    <w:rsid w:val="00130FB3"/>
    <w:rsid w:val="00130FDF"/>
    <w:rsid w:val="00131583"/>
    <w:rsid w:val="00131978"/>
    <w:rsid w:val="00131EFA"/>
    <w:rsid w:val="00132279"/>
    <w:rsid w:val="001329C0"/>
    <w:rsid w:val="00132DC0"/>
    <w:rsid w:val="00132E11"/>
    <w:rsid w:val="00133168"/>
    <w:rsid w:val="00133696"/>
    <w:rsid w:val="00133A71"/>
    <w:rsid w:val="00133D96"/>
    <w:rsid w:val="001342C1"/>
    <w:rsid w:val="00135328"/>
    <w:rsid w:val="001356B8"/>
    <w:rsid w:val="00135AAE"/>
    <w:rsid w:val="00135B92"/>
    <w:rsid w:val="0013632A"/>
    <w:rsid w:val="0013680A"/>
    <w:rsid w:val="001375BA"/>
    <w:rsid w:val="0013789E"/>
    <w:rsid w:val="00137AED"/>
    <w:rsid w:val="00137C69"/>
    <w:rsid w:val="00140252"/>
    <w:rsid w:val="001405ED"/>
    <w:rsid w:val="0014074C"/>
    <w:rsid w:val="001409D2"/>
    <w:rsid w:val="00140E71"/>
    <w:rsid w:val="00141852"/>
    <w:rsid w:val="0014238A"/>
    <w:rsid w:val="00143796"/>
    <w:rsid w:val="00143981"/>
    <w:rsid w:val="00143F26"/>
    <w:rsid w:val="00144340"/>
    <w:rsid w:val="001443F6"/>
    <w:rsid w:val="0014489F"/>
    <w:rsid w:val="00144A22"/>
    <w:rsid w:val="00144AB2"/>
    <w:rsid w:val="00144CEA"/>
    <w:rsid w:val="00145494"/>
    <w:rsid w:val="001454E9"/>
    <w:rsid w:val="00145745"/>
    <w:rsid w:val="00145CDF"/>
    <w:rsid w:val="001460C1"/>
    <w:rsid w:val="001472DA"/>
    <w:rsid w:val="00147FA8"/>
    <w:rsid w:val="00150324"/>
    <w:rsid w:val="0015053F"/>
    <w:rsid w:val="001505A4"/>
    <w:rsid w:val="001508AD"/>
    <w:rsid w:val="0015098C"/>
    <w:rsid w:val="001509BB"/>
    <w:rsid w:val="00151558"/>
    <w:rsid w:val="00151A99"/>
    <w:rsid w:val="0015217F"/>
    <w:rsid w:val="0015293A"/>
    <w:rsid w:val="00152EFF"/>
    <w:rsid w:val="00153530"/>
    <w:rsid w:val="001536F8"/>
    <w:rsid w:val="001539B9"/>
    <w:rsid w:val="00153ED7"/>
    <w:rsid w:val="001540E3"/>
    <w:rsid w:val="00154AA4"/>
    <w:rsid w:val="00155365"/>
    <w:rsid w:val="00155E5C"/>
    <w:rsid w:val="00156A86"/>
    <w:rsid w:val="00156E96"/>
    <w:rsid w:val="00160698"/>
    <w:rsid w:val="00160862"/>
    <w:rsid w:val="0016132F"/>
    <w:rsid w:val="001617E5"/>
    <w:rsid w:val="0016190A"/>
    <w:rsid w:val="00161D41"/>
    <w:rsid w:val="00161EEB"/>
    <w:rsid w:val="00161FE7"/>
    <w:rsid w:val="001620AA"/>
    <w:rsid w:val="001621C4"/>
    <w:rsid w:val="00162585"/>
    <w:rsid w:val="001625D2"/>
    <w:rsid w:val="00162A51"/>
    <w:rsid w:val="00162C68"/>
    <w:rsid w:val="00162ECE"/>
    <w:rsid w:val="001630F7"/>
    <w:rsid w:val="00163611"/>
    <w:rsid w:val="001647C8"/>
    <w:rsid w:val="001657BB"/>
    <w:rsid w:val="0016589E"/>
    <w:rsid w:val="001659A5"/>
    <w:rsid w:val="00166F9E"/>
    <w:rsid w:val="001670FF"/>
    <w:rsid w:val="001675E9"/>
    <w:rsid w:val="00167929"/>
    <w:rsid w:val="00167B2C"/>
    <w:rsid w:val="00167B2F"/>
    <w:rsid w:val="00167ECB"/>
    <w:rsid w:val="00171779"/>
    <w:rsid w:val="00171BDC"/>
    <w:rsid w:val="001722E1"/>
    <w:rsid w:val="00172545"/>
    <w:rsid w:val="00172BCE"/>
    <w:rsid w:val="0017305E"/>
    <w:rsid w:val="0017343F"/>
    <w:rsid w:val="0017348A"/>
    <w:rsid w:val="0017354A"/>
    <w:rsid w:val="00173C6B"/>
    <w:rsid w:val="00173CF9"/>
    <w:rsid w:val="001741B3"/>
    <w:rsid w:val="0017424F"/>
    <w:rsid w:val="00175212"/>
    <w:rsid w:val="0017546B"/>
    <w:rsid w:val="00175666"/>
    <w:rsid w:val="001756CE"/>
    <w:rsid w:val="00175C43"/>
    <w:rsid w:val="00175C74"/>
    <w:rsid w:val="00176194"/>
    <w:rsid w:val="001766C7"/>
    <w:rsid w:val="001769F0"/>
    <w:rsid w:val="00177060"/>
    <w:rsid w:val="00177843"/>
    <w:rsid w:val="00180B00"/>
    <w:rsid w:val="0018185D"/>
    <w:rsid w:val="001820EC"/>
    <w:rsid w:val="00182310"/>
    <w:rsid w:val="00182560"/>
    <w:rsid w:val="00182902"/>
    <w:rsid w:val="00184A8D"/>
    <w:rsid w:val="00184B46"/>
    <w:rsid w:val="00184E9B"/>
    <w:rsid w:val="001854A5"/>
    <w:rsid w:val="00185782"/>
    <w:rsid w:val="00185B49"/>
    <w:rsid w:val="00186425"/>
    <w:rsid w:val="00186ADE"/>
    <w:rsid w:val="00186C56"/>
    <w:rsid w:val="00187ED9"/>
    <w:rsid w:val="001906FA"/>
    <w:rsid w:val="00190C3F"/>
    <w:rsid w:val="0019115D"/>
    <w:rsid w:val="001912AE"/>
    <w:rsid w:val="001913A3"/>
    <w:rsid w:val="00191C4D"/>
    <w:rsid w:val="00191D80"/>
    <w:rsid w:val="00191E16"/>
    <w:rsid w:val="001922CD"/>
    <w:rsid w:val="001925CA"/>
    <w:rsid w:val="00192A9A"/>
    <w:rsid w:val="00192D8E"/>
    <w:rsid w:val="00192E80"/>
    <w:rsid w:val="00192EF0"/>
    <w:rsid w:val="00192F7C"/>
    <w:rsid w:val="001938E6"/>
    <w:rsid w:val="00193BC5"/>
    <w:rsid w:val="00193D49"/>
    <w:rsid w:val="00193F2B"/>
    <w:rsid w:val="001944E7"/>
    <w:rsid w:val="001945BC"/>
    <w:rsid w:val="00194B6C"/>
    <w:rsid w:val="00194D8F"/>
    <w:rsid w:val="001950BB"/>
    <w:rsid w:val="00195418"/>
    <w:rsid w:val="001959C4"/>
    <w:rsid w:val="00196CA5"/>
    <w:rsid w:val="00196E8F"/>
    <w:rsid w:val="00196FFC"/>
    <w:rsid w:val="0019725D"/>
    <w:rsid w:val="00197608"/>
    <w:rsid w:val="00197613"/>
    <w:rsid w:val="001A046B"/>
    <w:rsid w:val="001A05E8"/>
    <w:rsid w:val="001A0A1F"/>
    <w:rsid w:val="001A0C4C"/>
    <w:rsid w:val="001A110D"/>
    <w:rsid w:val="001A17BB"/>
    <w:rsid w:val="001A1802"/>
    <w:rsid w:val="001A1C7E"/>
    <w:rsid w:val="001A2FD9"/>
    <w:rsid w:val="001A3420"/>
    <w:rsid w:val="001A3C45"/>
    <w:rsid w:val="001A41A4"/>
    <w:rsid w:val="001A44E8"/>
    <w:rsid w:val="001A4E4C"/>
    <w:rsid w:val="001A4E81"/>
    <w:rsid w:val="001A523F"/>
    <w:rsid w:val="001A56CA"/>
    <w:rsid w:val="001A57F9"/>
    <w:rsid w:val="001A5E15"/>
    <w:rsid w:val="001A6485"/>
    <w:rsid w:val="001A66A1"/>
    <w:rsid w:val="001A6795"/>
    <w:rsid w:val="001A6DE7"/>
    <w:rsid w:val="001A6E5A"/>
    <w:rsid w:val="001A76DC"/>
    <w:rsid w:val="001A7FDB"/>
    <w:rsid w:val="001B00DE"/>
    <w:rsid w:val="001B075C"/>
    <w:rsid w:val="001B0AA4"/>
    <w:rsid w:val="001B0ABF"/>
    <w:rsid w:val="001B0DE4"/>
    <w:rsid w:val="001B166C"/>
    <w:rsid w:val="001B1FB6"/>
    <w:rsid w:val="001B20E8"/>
    <w:rsid w:val="001B28BD"/>
    <w:rsid w:val="001B29E7"/>
    <w:rsid w:val="001B2A0B"/>
    <w:rsid w:val="001B3DAB"/>
    <w:rsid w:val="001B4519"/>
    <w:rsid w:val="001B474A"/>
    <w:rsid w:val="001B556B"/>
    <w:rsid w:val="001B61E7"/>
    <w:rsid w:val="001B6A40"/>
    <w:rsid w:val="001B6B2D"/>
    <w:rsid w:val="001B729C"/>
    <w:rsid w:val="001B7411"/>
    <w:rsid w:val="001B7554"/>
    <w:rsid w:val="001B78FD"/>
    <w:rsid w:val="001B7BC4"/>
    <w:rsid w:val="001C0B17"/>
    <w:rsid w:val="001C108A"/>
    <w:rsid w:val="001C13AC"/>
    <w:rsid w:val="001C1B52"/>
    <w:rsid w:val="001C1FE0"/>
    <w:rsid w:val="001C2285"/>
    <w:rsid w:val="001C2DBD"/>
    <w:rsid w:val="001C38B2"/>
    <w:rsid w:val="001C4C92"/>
    <w:rsid w:val="001C538C"/>
    <w:rsid w:val="001C5425"/>
    <w:rsid w:val="001C58FB"/>
    <w:rsid w:val="001C5947"/>
    <w:rsid w:val="001C6084"/>
    <w:rsid w:val="001C60C3"/>
    <w:rsid w:val="001C7088"/>
    <w:rsid w:val="001C741B"/>
    <w:rsid w:val="001C7447"/>
    <w:rsid w:val="001C7AE4"/>
    <w:rsid w:val="001C7B65"/>
    <w:rsid w:val="001D01D8"/>
    <w:rsid w:val="001D02DD"/>
    <w:rsid w:val="001D0706"/>
    <w:rsid w:val="001D09AA"/>
    <w:rsid w:val="001D11E6"/>
    <w:rsid w:val="001D14D7"/>
    <w:rsid w:val="001D15CE"/>
    <w:rsid w:val="001D1E05"/>
    <w:rsid w:val="001D1E33"/>
    <w:rsid w:val="001D1FBB"/>
    <w:rsid w:val="001D2320"/>
    <w:rsid w:val="001D23EF"/>
    <w:rsid w:val="001D2B93"/>
    <w:rsid w:val="001D310A"/>
    <w:rsid w:val="001D3436"/>
    <w:rsid w:val="001D39C9"/>
    <w:rsid w:val="001D3CD8"/>
    <w:rsid w:val="001D4021"/>
    <w:rsid w:val="001D452F"/>
    <w:rsid w:val="001D49DC"/>
    <w:rsid w:val="001D4A1F"/>
    <w:rsid w:val="001D52B5"/>
    <w:rsid w:val="001D5920"/>
    <w:rsid w:val="001D699D"/>
    <w:rsid w:val="001D6BAD"/>
    <w:rsid w:val="001D6FEE"/>
    <w:rsid w:val="001D7CA1"/>
    <w:rsid w:val="001E0357"/>
    <w:rsid w:val="001E039F"/>
    <w:rsid w:val="001E0729"/>
    <w:rsid w:val="001E079C"/>
    <w:rsid w:val="001E0EC0"/>
    <w:rsid w:val="001E11E9"/>
    <w:rsid w:val="001E146B"/>
    <w:rsid w:val="001E196C"/>
    <w:rsid w:val="001E1B04"/>
    <w:rsid w:val="001E1D5D"/>
    <w:rsid w:val="001E25E7"/>
    <w:rsid w:val="001E2675"/>
    <w:rsid w:val="001E29BE"/>
    <w:rsid w:val="001E2DDB"/>
    <w:rsid w:val="001E2EB1"/>
    <w:rsid w:val="001E30F8"/>
    <w:rsid w:val="001E33D6"/>
    <w:rsid w:val="001E393D"/>
    <w:rsid w:val="001E3BF0"/>
    <w:rsid w:val="001E3DA8"/>
    <w:rsid w:val="001E5077"/>
    <w:rsid w:val="001E536F"/>
    <w:rsid w:val="001E542B"/>
    <w:rsid w:val="001E5B87"/>
    <w:rsid w:val="001E63A8"/>
    <w:rsid w:val="001E65D8"/>
    <w:rsid w:val="001E6FEB"/>
    <w:rsid w:val="001E7025"/>
    <w:rsid w:val="001E76C2"/>
    <w:rsid w:val="001E7C83"/>
    <w:rsid w:val="001F06B6"/>
    <w:rsid w:val="001F09D6"/>
    <w:rsid w:val="001F0A99"/>
    <w:rsid w:val="001F0EE7"/>
    <w:rsid w:val="001F11C4"/>
    <w:rsid w:val="001F14A5"/>
    <w:rsid w:val="001F157B"/>
    <w:rsid w:val="001F16E6"/>
    <w:rsid w:val="001F26A4"/>
    <w:rsid w:val="001F2992"/>
    <w:rsid w:val="001F2A04"/>
    <w:rsid w:val="001F2ADD"/>
    <w:rsid w:val="001F2C16"/>
    <w:rsid w:val="001F2D21"/>
    <w:rsid w:val="001F43A4"/>
    <w:rsid w:val="001F5127"/>
    <w:rsid w:val="001F52F8"/>
    <w:rsid w:val="001F5B6E"/>
    <w:rsid w:val="001F667A"/>
    <w:rsid w:val="001F6979"/>
    <w:rsid w:val="001F6EED"/>
    <w:rsid w:val="001F7201"/>
    <w:rsid w:val="001F7ED5"/>
    <w:rsid w:val="002014AD"/>
    <w:rsid w:val="002016DF"/>
    <w:rsid w:val="002018D6"/>
    <w:rsid w:val="00201D61"/>
    <w:rsid w:val="00202C13"/>
    <w:rsid w:val="00202EEC"/>
    <w:rsid w:val="00203052"/>
    <w:rsid w:val="0020312A"/>
    <w:rsid w:val="00203423"/>
    <w:rsid w:val="002035C5"/>
    <w:rsid w:val="00203D30"/>
    <w:rsid w:val="00204169"/>
    <w:rsid w:val="0020469B"/>
    <w:rsid w:val="0020507C"/>
    <w:rsid w:val="0020557A"/>
    <w:rsid w:val="00205C66"/>
    <w:rsid w:val="00206858"/>
    <w:rsid w:val="00206AC3"/>
    <w:rsid w:val="00206B24"/>
    <w:rsid w:val="00206B6D"/>
    <w:rsid w:val="00206C47"/>
    <w:rsid w:val="002070EC"/>
    <w:rsid w:val="0020723A"/>
    <w:rsid w:val="0021144B"/>
    <w:rsid w:val="00211882"/>
    <w:rsid w:val="00211D74"/>
    <w:rsid w:val="002121AC"/>
    <w:rsid w:val="002122C3"/>
    <w:rsid w:val="002122C6"/>
    <w:rsid w:val="002129FA"/>
    <w:rsid w:val="00212A6A"/>
    <w:rsid w:val="00213192"/>
    <w:rsid w:val="0021385B"/>
    <w:rsid w:val="00213F6A"/>
    <w:rsid w:val="00213FC3"/>
    <w:rsid w:val="00214359"/>
    <w:rsid w:val="002146E7"/>
    <w:rsid w:val="002149B2"/>
    <w:rsid w:val="002149CB"/>
    <w:rsid w:val="00214BB5"/>
    <w:rsid w:val="00214C25"/>
    <w:rsid w:val="00215A8F"/>
    <w:rsid w:val="00215AF4"/>
    <w:rsid w:val="00216674"/>
    <w:rsid w:val="00217672"/>
    <w:rsid w:val="00217A74"/>
    <w:rsid w:val="00217CF4"/>
    <w:rsid w:val="002203D8"/>
    <w:rsid w:val="0022070C"/>
    <w:rsid w:val="002214C8"/>
    <w:rsid w:val="00221BA3"/>
    <w:rsid w:val="00221D52"/>
    <w:rsid w:val="00221FC2"/>
    <w:rsid w:val="002222A4"/>
    <w:rsid w:val="00222530"/>
    <w:rsid w:val="002228F4"/>
    <w:rsid w:val="002231C3"/>
    <w:rsid w:val="00223DBD"/>
    <w:rsid w:val="00224794"/>
    <w:rsid w:val="00224C28"/>
    <w:rsid w:val="00224F49"/>
    <w:rsid w:val="00225068"/>
    <w:rsid w:val="002254EA"/>
    <w:rsid w:val="002264A5"/>
    <w:rsid w:val="002268A1"/>
    <w:rsid w:val="00226B4E"/>
    <w:rsid w:val="00226F22"/>
    <w:rsid w:val="00227049"/>
    <w:rsid w:val="002274FE"/>
    <w:rsid w:val="00227C87"/>
    <w:rsid w:val="00227EDD"/>
    <w:rsid w:val="00227F36"/>
    <w:rsid w:val="00230164"/>
    <w:rsid w:val="002302F0"/>
    <w:rsid w:val="0023098B"/>
    <w:rsid w:val="00230D6D"/>
    <w:rsid w:val="00230E0B"/>
    <w:rsid w:val="002316DF"/>
    <w:rsid w:val="002326BD"/>
    <w:rsid w:val="00232B27"/>
    <w:rsid w:val="0023379F"/>
    <w:rsid w:val="00233B48"/>
    <w:rsid w:val="00233C02"/>
    <w:rsid w:val="00233DC7"/>
    <w:rsid w:val="00234549"/>
    <w:rsid w:val="00234A6E"/>
    <w:rsid w:val="00235535"/>
    <w:rsid w:val="0023574E"/>
    <w:rsid w:val="00235DAB"/>
    <w:rsid w:val="002369A2"/>
    <w:rsid w:val="002369EF"/>
    <w:rsid w:val="00236B10"/>
    <w:rsid w:val="00236E0E"/>
    <w:rsid w:val="00236F1F"/>
    <w:rsid w:val="0023705A"/>
    <w:rsid w:val="0023733D"/>
    <w:rsid w:val="002373F6"/>
    <w:rsid w:val="002379A4"/>
    <w:rsid w:val="002407AD"/>
    <w:rsid w:val="00240EBB"/>
    <w:rsid w:val="00241416"/>
    <w:rsid w:val="00241DD5"/>
    <w:rsid w:val="00242862"/>
    <w:rsid w:val="002430BA"/>
    <w:rsid w:val="00243123"/>
    <w:rsid w:val="00243D7B"/>
    <w:rsid w:val="002441AB"/>
    <w:rsid w:val="00244593"/>
    <w:rsid w:val="00244EB2"/>
    <w:rsid w:val="00244FDC"/>
    <w:rsid w:val="00245495"/>
    <w:rsid w:val="00245D4D"/>
    <w:rsid w:val="00245DDF"/>
    <w:rsid w:val="00246037"/>
    <w:rsid w:val="002460F0"/>
    <w:rsid w:val="002464F8"/>
    <w:rsid w:val="00246A76"/>
    <w:rsid w:val="00246B97"/>
    <w:rsid w:val="00246C3A"/>
    <w:rsid w:val="002471F1"/>
    <w:rsid w:val="00247248"/>
    <w:rsid w:val="00247691"/>
    <w:rsid w:val="00247779"/>
    <w:rsid w:val="002504D3"/>
    <w:rsid w:val="0025135D"/>
    <w:rsid w:val="0025173C"/>
    <w:rsid w:val="00251A47"/>
    <w:rsid w:val="00251D42"/>
    <w:rsid w:val="00251F56"/>
    <w:rsid w:val="0025213D"/>
    <w:rsid w:val="00252E29"/>
    <w:rsid w:val="002542CC"/>
    <w:rsid w:val="00254AED"/>
    <w:rsid w:val="00254B0E"/>
    <w:rsid w:val="0025589B"/>
    <w:rsid w:val="00255E45"/>
    <w:rsid w:val="0025630F"/>
    <w:rsid w:val="002564B8"/>
    <w:rsid w:val="00256833"/>
    <w:rsid w:val="0025686A"/>
    <w:rsid w:val="0025707D"/>
    <w:rsid w:val="002577BC"/>
    <w:rsid w:val="0025794B"/>
    <w:rsid w:val="00257AED"/>
    <w:rsid w:val="00257D5A"/>
    <w:rsid w:val="00257E12"/>
    <w:rsid w:val="0026004A"/>
    <w:rsid w:val="002605C3"/>
    <w:rsid w:val="00261055"/>
    <w:rsid w:val="002610C1"/>
    <w:rsid w:val="00261EDA"/>
    <w:rsid w:val="00262309"/>
    <w:rsid w:val="00262667"/>
    <w:rsid w:val="00262856"/>
    <w:rsid w:val="002630A9"/>
    <w:rsid w:val="002631D6"/>
    <w:rsid w:val="002637D9"/>
    <w:rsid w:val="002639A7"/>
    <w:rsid w:val="00263B32"/>
    <w:rsid w:val="00263B99"/>
    <w:rsid w:val="00263C23"/>
    <w:rsid w:val="00264209"/>
    <w:rsid w:val="00264321"/>
    <w:rsid w:val="00264CDB"/>
    <w:rsid w:val="00265D0B"/>
    <w:rsid w:val="002663AF"/>
    <w:rsid w:val="00266431"/>
    <w:rsid w:val="00266DA1"/>
    <w:rsid w:val="002672A5"/>
    <w:rsid w:val="002672B9"/>
    <w:rsid w:val="002679B4"/>
    <w:rsid w:val="00267B05"/>
    <w:rsid w:val="00270385"/>
    <w:rsid w:val="002709AB"/>
    <w:rsid w:val="002713A4"/>
    <w:rsid w:val="00271FB2"/>
    <w:rsid w:val="00272046"/>
    <w:rsid w:val="0027222C"/>
    <w:rsid w:val="0027284E"/>
    <w:rsid w:val="0027302C"/>
    <w:rsid w:val="00273381"/>
    <w:rsid w:val="00273525"/>
    <w:rsid w:val="00273646"/>
    <w:rsid w:val="002739F8"/>
    <w:rsid w:val="00273FC7"/>
    <w:rsid w:val="002748DB"/>
    <w:rsid w:val="00274DA0"/>
    <w:rsid w:val="0027521B"/>
    <w:rsid w:val="00275963"/>
    <w:rsid w:val="00275AAA"/>
    <w:rsid w:val="00275C5C"/>
    <w:rsid w:val="00275F16"/>
    <w:rsid w:val="002764A9"/>
    <w:rsid w:val="0027691B"/>
    <w:rsid w:val="00276944"/>
    <w:rsid w:val="00276AE9"/>
    <w:rsid w:val="00276FA8"/>
    <w:rsid w:val="00277744"/>
    <w:rsid w:val="00277AB0"/>
    <w:rsid w:val="00277B6A"/>
    <w:rsid w:val="00281BCA"/>
    <w:rsid w:val="00281EE8"/>
    <w:rsid w:val="00282817"/>
    <w:rsid w:val="0028299D"/>
    <w:rsid w:val="00282F09"/>
    <w:rsid w:val="00283078"/>
    <w:rsid w:val="002831D8"/>
    <w:rsid w:val="002836A5"/>
    <w:rsid w:val="0028447A"/>
    <w:rsid w:val="0028476C"/>
    <w:rsid w:val="002856C6"/>
    <w:rsid w:val="00285AEB"/>
    <w:rsid w:val="00285BEE"/>
    <w:rsid w:val="00285FE2"/>
    <w:rsid w:val="002863E5"/>
    <w:rsid w:val="00286823"/>
    <w:rsid w:val="00286927"/>
    <w:rsid w:val="00286AAA"/>
    <w:rsid w:val="00286AC8"/>
    <w:rsid w:val="00287359"/>
    <w:rsid w:val="00287B94"/>
    <w:rsid w:val="0029013E"/>
    <w:rsid w:val="00290238"/>
    <w:rsid w:val="00290319"/>
    <w:rsid w:val="002908DB"/>
    <w:rsid w:val="00291559"/>
    <w:rsid w:val="002920DD"/>
    <w:rsid w:val="00293A95"/>
    <w:rsid w:val="00293ECA"/>
    <w:rsid w:val="0029452E"/>
    <w:rsid w:val="00294EC4"/>
    <w:rsid w:val="002951ED"/>
    <w:rsid w:val="0029533F"/>
    <w:rsid w:val="002955D1"/>
    <w:rsid w:val="00295F70"/>
    <w:rsid w:val="00296313"/>
    <w:rsid w:val="0029631D"/>
    <w:rsid w:val="00296391"/>
    <w:rsid w:val="002963DC"/>
    <w:rsid w:val="00296944"/>
    <w:rsid w:val="0029699F"/>
    <w:rsid w:val="00296C6F"/>
    <w:rsid w:val="00296F57"/>
    <w:rsid w:val="002972F2"/>
    <w:rsid w:val="00297E4F"/>
    <w:rsid w:val="002A041A"/>
    <w:rsid w:val="002A1101"/>
    <w:rsid w:val="002A11CE"/>
    <w:rsid w:val="002A158C"/>
    <w:rsid w:val="002A1AFF"/>
    <w:rsid w:val="002A20AC"/>
    <w:rsid w:val="002A2822"/>
    <w:rsid w:val="002A2DDD"/>
    <w:rsid w:val="002A3AAE"/>
    <w:rsid w:val="002A3B9F"/>
    <w:rsid w:val="002A4135"/>
    <w:rsid w:val="002A5645"/>
    <w:rsid w:val="002A5938"/>
    <w:rsid w:val="002A5B80"/>
    <w:rsid w:val="002A69DC"/>
    <w:rsid w:val="002A6CA4"/>
    <w:rsid w:val="002A73B7"/>
    <w:rsid w:val="002A73DA"/>
    <w:rsid w:val="002B0EC2"/>
    <w:rsid w:val="002B141C"/>
    <w:rsid w:val="002B17FF"/>
    <w:rsid w:val="002B1E4B"/>
    <w:rsid w:val="002B2019"/>
    <w:rsid w:val="002B25F2"/>
    <w:rsid w:val="002B2711"/>
    <w:rsid w:val="002B28D3"/>
    <w:rsid w:val="002B2D98"/>
    <w:rsid w:val="002B2FBA"/>
    <w:rsid w:val="002B30AF"/>
    <w:rsid w:val="002B3763"/>
    <w:rsid w:val="002B3791"/>
    <w:rsid w:val="002B52B5"/>
    <w:rsid w:val="002B59DD"/>
    <w:rsid w:val="002B67E4"/>
    <w:rsid w:val="002B6A93"/>
    <w:rsid w:val="002B7B42"/>
    <w:rsid w:val="002C01D3"/>
    <w:rsid w:val="002C0756"/>
    <w:rsid w:val="002C1A4B"/>
    <w:rsid w:val="002C229A"/>
    <w:rsid w:val="002C2D30"/>
    <w:rsid w:val="002C2E8F"/>
    <w:rsid w:val="002C31C3"/>
    <w:rsid w:val="002C32EA"/>
    <w:rsid w:val="002C349C"/>
    <w:rsid w:val="002C35B1"/>
    <w:rsid w:val="002C364F"/>
    <w:rsid w:val="002C3928"/>
    <w:rsid w:val="002C3DAA"/>
    <w:rsid w:val="002C4693"/>
    <w:rsid w:val="002C5973"/>
    <w:rsid w:val="002C5A3F"/>
    <w:rsid w:val="002C603D"/>
    <w:rsid w:val="002C60F5"/>
    <w:rsid w:val="002C6598"/>
    <w:rsid w:val="002C67EA"/>
    <w:rsid w:val="002C6AA7"/>
    <w:rsid w:val="002C6ACA"/>
    <w:rsid w:val="002C734D"/>
    <w:rsid w:val="002C7A15"/>
    <w:rsid w:val="002D01B6"/>
    <w:rsid w:val="002D0480"/>
    <w:rsid w:val="002D049F"/>
    <w:rsid w:val="002D06EE"/>
    <w:rsid w:val="002D1402"/>
    <w:rsid w:val="002D1EB5"/>
    <w:rsid w:val="002D235A"/>
    <w:rsid w:val="002D31EB"/>
    <w:rsid w:val="002D3231"/>
    <w:rsid w:val="002D3CE9"/>
    <w:rsid w:val="002D3F6A"/>
    <w:rsid w:val="002D48DA"/>
    <w:rsid w:val="002D4A57"/>
    <w:rsid w:val="002D5668"/>
    <w:rsid w:val="002D586D"/>
    <w:rsid w:val="002D5DEA"/>
    <w:rsid w:val="002D5E8E"/>
    <w:rsid w:val="002D5FCC"/>
    <w:rsid w:val="002D655C"/>
    <w:rsid w:val="002D6EDB"/>
    <w:rsid w:val="002D75A1"/>
    <w:rsid w:val="002D7B0B"/>
    <w:rsid w:val="002E0432"/>
    <w:rsid w:val="002E1025"/>
    <w:rsid w:val="002E1491"/>
    <w:rsid w:val="002E1508"/>
    <w:rsid w:val="002E1A03"/>
    <w:rsid w:val="002E2590"/>
    <w:rsid w:val="002E25C7"/>
    <w:rsid w:val="002E28E8"/>
    <w:rsid w:val="002E2EB5"/>
    <w:rsid w:val="002E3392"/>
    <w:rsid w:val="002E37E2"/>
    <w:rsid w:val="002E3BD0"/>
    <w:rsid w:val="002E4E24"/>
    <w:rsid w:val="002E5485"/>
    <w:rsid w:val="002E548C"/>
    <w:rsid w:val="002E548D"/>
    <w:rsid w:val="002E5A6E"/>
    <w:rsid w:val="002E5FBE"/>
    <w:rsid w:val="002E692E"/>
    <w:rsid w:val="002E6DC0"/>
    <w:rsid w:val="002E73D4"/>
    <w:rsid w:val="002E7A19"/>
    <w:rsid w:val="002E7FA9"/>
    <w:rsid w:val="002F01DD"/>
    <w:rsid w:val="002F0E17"/>
    <w:rsid w:val="002F0F65"/>
    <w:rsid w:val="002F1CC5"/>
    <w:rsid w:val="002F1D78"/>
    <w:rsid w:val="002F1F47"/>
    <w:rsid w:val="002F237B"/>
    <w:rsid w:val="002F23BA"/>
    <w:rsid w:val="002F254B"/>
    <w:rsid w:val="002F2595"/>
    <w:rsid w:val="002F2D78"/>
    <w:rsid w:val="002F4347"/>
    <w:rsid w:val="002F48CC"/>
    <w:rsid w:val="002F4966"/>
    <w:rsid w:val="002F4E44"/>
    <w:rsid w:val="002F5CF0"/>
    <w:rsid w:val="002F61C3"/>
    <w:rsid w:val="002F6490"/>
    <w:rsid w:val="002F779A"/>
    <w:rsid w:val="002F7AC8"/>
    <w:rsid w:val="00300B9A"/>
    <w:rsid w:val="00300C26"/>
    <w:rsid w:val="00300FDC"/>
    <w:rsid w:val="003020AA"/>
    <w:rsid w:val="00302E0B"/>
    <w:rsid w:val="0030301F"/>
    <w:rsid w:val="003035A8"/>
    <w:rsid w:val="003038D0"/>
    <w:rsid w:val="00303B15"/>
    <w:rsid w:val="0030425D"/>
    <w:rsid w:val="00304404"/>
    <w:rsid w:val="00305AC3"/>
    <w:rsid w:val="00306310"/>
    <w:rsid w:val="00306311"/>
    <w:rsid w:val="0030633C"/>
    <w:rsid w:val="003064D1"/>
    <w:rsid w:val="00307447"/>
    <w:rsid w:val="00307A2C"/>
    <w:rsid w:val="00307BEA"/>
    <w:rsid w:val="00307D75"/>
    <w:rsid w:val="00307E01"/>
    <w:rsid w:val="003109F9"/>
    <w:rsid w:val="0031111A"/>
    <w:rsid w:val="0031287B"/>
    <w:rsid w:val="00313046"/>
    <w:rsid w:val="00313067"/>
    <w:rsid w:val="003131AB"/>
    <w:rsid w:val="00313FAD"/>
    <w:rsid w:val="00314741"/>
    <w:rsid w:val="00314997"/>
    <w:rsid w:val="0031540F"/>
    <w:rsid w:val="00315844"/>
    <w:rsid w:val="003166C6"/>
    <w:rsid w:val="00317AA8"/>
    <w:rsid w:val="003208C5"/>
    <w:rsid w:val="00320BA7"/>
    <w:rsid w:val="00320EEE"/>
    <w:rsid w:val="00320F3D"/>
    <w:rsid w:val="00321715"/>
    <w:rsid w:val="00321F09"/>
    <w:rsid w:val="00322204"/>
    <w:rsid w:val="0032269F"/>
    <w:rsid w:val="00322767"/>
    <w:rsid w:val="0032278A"/>
    <w:rsid w:val="003229D2"/>
    <w:rsid w:val="0032311B"/>
    <w:rsid w:val="0032348D"/>
    <w:rsid w:val="00323640"/>
    <w:rsid w:val="00323E68"/>
    <w:rsid w:val="00323F9A"/>
    <w:rsid w:val="00324152"/>
    <w:rsid w:val="00324213"/>
    <w:rsid w:val="003248B3"/>
    <w:rsid w:val="00324E95"/>
    <w:rsid w:val="00325733"/>
    <w:rsid w:val="003257D2"/>
    <w:rsid w:val="00325841"/>
    <w:rsid w:val="00325914"/>
    <w:rsid w:val="0032603A"/>
    <w:rsid w:val="00326313"/>
    <w:rsid w:val="0032673B"/>
    <w:rsid w:val="003267BC"/>
    <w:rsid w:val="00327B40"/>
    <w:rsid w:val="00327B56"/>
    <w:rsid w:val="00327E4D"/>
    <w:rsid w:val="00330265"/>
    <w:rsid w:val="003305FB"/>
    <w:rsid w:val="0033077B"/>
    <w:rsid w:val="00330ADC"/>
    <w:rsid w:val="00330FF0"/>
    <w:rsid w:val="00331EAE"/>
    <w:rsid w:val="00331F08"/>
    <w:rsid w:val="00332177"/>
    <w:rsid w:val="003323CF"/>
    <w:rsid w:val="003326F9"/>
    <w:rsid w:val="00332A05"/>
    <w:rsid w:val="00332A09"/>
    <w:rsid w:val="0033344A"/>
    <w:rsid w:val="00333D72"/>
    <w:rsid w:val="0033406C"/>
    <w:rsid w:val="003345A0"/>
    <w:rsid w:val="003345E3"/>
    <w:rsid w:val="00334835"/>
    <w:rsid w:val="00335AD3"/>
    <w:rsid w:val="00335BC5"/>
    <w:rsid w:val="003360CF"/>
    <w:rsid w:val="003361D6"/>
    <w:rsid w:val="003367CF"/>
    <w:rsid w:val="00336B0A"/>
    <w:rsid w:val="00336CB7"/>
    <w:rsid w:val="00337075"/>
    <w:rsid w:val="0033743D"/>
    <w:rsid w:val="00337CB4"/>
    <w:rsid w:val="00337D13"/>
    <w:rsid w:val="00340180"/>
    <w:rsid w:val="00340725"/>
    <w:rsid w:val="003415A7"/>
    <w:rsid w:val="0034208D"/>
    <w:rsid w:val="003426E3"/>
    <w:rsid w:val="00343197"/>
    <w:rsid w:val="0034388F"/>
    <w:rsid w:val="00343E83"/>
    <w:rsid w:val="003444E6"/>
    <w:rsid w:val="00344ACE"/>
    <w:rsid w:val="00345170"/>
    <w:rsid w:val="003453A5"/>
    <w:rsid w:val="003464C6"/>
    <w:rsid w:val="0034739C"/>
    <w:rsid w:val="00352132"/>
    <w:rsid w:val="00352293"/>
    <w:rsid w:val="00352C7F"/>
    <w:rsid w:val="00353684"/>
    <w:rsid w:val="00353EA9"/>
    <w:rsid w:val="003546B6"/>
    <w:rsid w:val="003550B2"/>
    <w:rsid w:val="0035519F"/>
    <w:rsid w:val="00355252"/>
    <w:rsid w:val="00355972"/>
    <w:rsid w:val="0035614F"/>
    <w:rsid w:val="0035628F"/>
    <w:rsid w:val="003569B7"/>
    <w:rsid w:val="00356ABB"/>
    <w:rsid w:val="00357656"/>
    <w:rsid w:val="003577DE"/>
    <w:rsid w:val="00357A9B"/>
    <w:rsid w:val="0036017B"/>
    <w:rsid w:val="00361C00"/>
    <w:rsid w:val="00362AA4"/>
    <w:rsid w:val="00363715"/>
    <w:rsid w:val="00363DF3"/>
    <w:rsid w:val="00364471"/>
    <w:rsid w:val="00364667"/>
    <w:rsid w:val="00364F83"/>
    <w:rsid w:val="0036577D"/>
    <w:rsid w:val="003660A9"/>
    <w:rsid w:val="00367794"/>
    <w:rsid w:val="00367E42"/>
    <w:rsid w:val="00370390"/>
    <w:rsid w:val="0037049D"/>
    <w:rsid w:val="00370C0E"/>
    <w:rsid w:val="00370FF1"/>
    <w:rsid w:val="003711FB"/>
    <w:rsid w:val="003716A3"/>
    <w:rsid w:val="003719BE"/>
    <w:rsid w:val="00371C03"/>
    <w:rsid w:val="00371C43"/>
    <w:rsid w:val="00371F0E"/>
    <w:rsid w:val="0037260E"/>
    <w:rsid w:val="00372632"/>
    <w:rsid w:val="00372CE7"/>
    <w:rsid w:val="00372E20"/>
    <w:rsid w:val="003735D2"/>
    <w:rsid w:val="00374198"/>
    <w:rsid w:val="00374255"/>
    <w:rsid w:val="00374829"/>
    <w:rsid w:val="003749F1"/>
    <w:rsid w:val="0037564B"/>
    <w:rsid w:val="003759C4"/>
    <w:rsid w:val="00375DCC"/>
    <w:rsid w:val="00376005"/>
    <w:rsid w:val="0037603F"/>
    <w:rsid w:val="00376244"/>
    <w:rsid w:val="0037627B"/>
    <w:rsid w:val="00376507"/>
    <w:rsid w:val="003765D8"/>
    <w:rsid w:val="00376816"/>
    <w:rsid w:val="003772AC"/>
    <w:rsid w:val="003777C8"/>
    <w:rsid w:val="0037794B"/>
    <w:rsid w:val="00377AE1"/>
    <w:rsid w:val="00377E84"/>
    <w:rsid w:val="00377F48"/>
    <w:rsid w:val="003804ED"/>
    <w:rsid w:val="00380EDF"/>
    <w:rsid w:val="003813BD"/>
    <w:rsid w:val="003817DA"/>
    <w:rsid w:val="00381A50"/>
    <w:rsid w:val="00381BFE"/>
    <w:rsid w:val="00381EE3"/>
    <w:rsid w:val="003823B8"/>
    <w:rsid w:val="00382B19"/>
    <w:rsid w:val="003833D4"/>
    <w:rsid w:val="003836C7"/>
    <w:rsid w:val="00383993"/>
    <w:rsid w:val="00383B73"/>
    <w:rsid w:val="00383D54"/>
    <w:rsid w:val="003853B4"/>
    <w:rsid w:val="00385801"/>
    <w:rsid w:val="00385D15"/>
    <w:rsid w:val="003867D5"/>
    <w:rsid w:val="003874ED"/>
    <w:rsid w:val="00387607"/>
    <w:rsid w:val="00387982"/>
    <w:rsid w:val="00387BE7"/>
    <w:rsid w:val="00387F5C"/>
    <w:rsid w:val="0039039A"/>
    <w:rsid w:val="003909FE"/>
    <w:rsid w:val="00390D8C"/>
    <w:rsid w:val="00390E16"/>
    <w:rsid w:val="00390E58"/>
    <w:rsid w:val="003911A1"/>
    <w:rsid w:val="00391BE6"/>
    <w:rsid w:val="003921A2"/>
    <w:rsid w:val="00392D35"/>
    <w:rsid w:val="00393E11"/>
    <w:rsid w:val="00394505"/>
    <w:rsid w:val="00394CA9"/>
    <w:rsid w:val="00395557"/>
    <w:rsid w:val="00395782"/>
    <w:rsid w:val="00395AE3"/>
    <w:rsid w:val="00395D63"/>
    <w:rsid w:val="00396392"/>
    <w:rsid w:val="003965BA"/>
    <w:rsid w:val="00397E1E"/>
    <w:rsid w:val="003A074A"/>
    <w:rsid w:val="003A0758"/>
    <w:rsid w:val="003A1DDB"/>
    <w:rsid w:val="003A22C5"/>
    <w:rsid w:val="003A335C"/>
    <w:rsid w:val="003A338C"/>
    <w:rsid w:val="003A3B5E"/>
    <w:rsid w:val="003A3B7B"/>
    <w:rsid w:val="003A3EEA"/>
    <w:rsid w:val="003A4834"/>
    <w:rsid w:val="003A543D"/>
    <w:rsid w:val="003A5E22"/>
    <w:rsid w:val="003A613C"/>
    <w:rsid w:val="003A69DB"/>
    <w:rsid w:val="003A6A27"/>
    <w:rsid w:val="003B07C6"/>
    <w:rsid w:val="003B08E9"/>
    <w:rsid w:val="003B0D1A"/>
    <w:rsid w:val="003B0E3D"/>
    <w:rsid w:val="003B1103"/>
    <w:rsid w:val="003B1155"/>
    <w:rsid w:val="003B1650"/>
    <w:rsid w:val="003B189F"/>
    <w:rsid w:val="003B191E"/>
    <w:rsid w:val="003B1FEB"/>
    <w:rsid w:val="003B2118"/>
    <w:rsid w:val="003B26B1"/>
    <w:rsid w:val="003B357E"/>
    <w:rsid w:val="003B3648"/>
    <w:rsid w:val="003B391B"/>
    <w:rsid w:val="003B3E48"/>
    <w:rsid w:val="003B4058"/>
    <w:rsid w:val="003B49D1"/>
    <w:rsid w:val="003B4B4C"/>
    <w:rsid w:val="003B4F59"/>
    <w:rsid w:val="003B54AF"/>
    <w:rsid w:val="003B5A56"/>
    <w:rsid w:val="003B6734"/>
    <w:rsid w:val="003B678B"/>
    <w:rsid w:val="003B7C89"/>
    <w:rsid w:val="003C0A89"/>
    <w:rsid w:val="003C1FE8"/>
    <w:rsid w:val="003C205D"/>
    <w:rsid w:val="003C2524"/>
    <w:rsid w:val="003C2528"/>
    <w:rsid w:val="003C3183"/>
    <w:rsid w:val="003C3543"/>
    <w:rsid w:val="003C3DEA"/>
    <w:rsid w:val="003C4907"/>
    <w:rsid w:val="003C4E93"/>
    <w:rsid w:val="003C523B"/>
    <w:rsid w:val="003C5D4C"/>
    <w:rsid w:val="003C6429"/>
    <w:rsid w:val="003C66A9"/>
    <w:rsid w:val="003C70B8"/>
    <w:rsid w:val="003C70EA"/>
    <w:rsid w:val="003C7963"/>
    <w:rsid w:val="003C7E53"/>
    <w:rsid w:val="003C7EB4"/>
    <w:rsid w:val="003D043E"/>
    <w:rsid w:val="003D04BB"/>
    <w:rsid w:val="003D08EC"/>
    <w:rsid w:val="003D0E83"/>
    <w:rsid w:val="003D1181"/>
    <w:rsid w:val="003D1410"/>
    <w:rsid w:val="003D1694"/>
    <w:rsid w:val="003D1D75"/>
    <w:rsid w:val="003D1E7D"/>
    <w:rsid w:val="003D1EDC"/>
    <w:rsid w:val="003D2EC0"/>
    <w:rsid w:val="003D3117"/>
    <w:rsid w:val="003D31C3"/>
    <w:rsid w:val="003D340D"/>
    <w:rsid w:val="003D34F5"/>
    <w:rsid w:val="003D36F9"/>
    <w:rsid w:val="003D3B4B"/>
    <w:rsid w:val="003D57A4"/>
    <w:rsid w:val="003D618B"/>
    <w:rsid w:val="003D622C"/>
    <w:rsid w:val="003D77E9"/>
    <w:rsid w:val="003E08FB"/>
    <w:rsid w:val="003E0937"/>
    <w:rsid w:val="003E1834"/>
    <w:rsid w:val="003E19CA"/>
    <w:rsid w:val="003E1C4E"/>
    <w:rsid w:val="003E2B3E"/>
    <w:rsid w:val="003E32A4"/>
    <w:rsid w:val="003E375C"/>
    <w:rsid w:val="003E3CF8"/>
    <w:rsid w:val="003E3EBC"/>
    <w:rsid w:val="003E45AD"/>
    <w:rsid w:val="003E4887"/>
    <w:rsid w:val="003E488E"/>
    <w:rsid w:val="003E4950"/>
    <w:rsid w:val="003E5B83"/>
    <w:rsid w:val="003E607F"/>
    <w:rsid w:val="003E6940"/>
    <w:rsid w:val="003E6982"/>
    <w:rsid w:val="003E6C9A"/>
    <w:rsid w:val="003E729F"/>
    <w:rsid w:val="003E7A2B"/>
    <w:rsid w:val="003E7F5A"/>
    <w:rsid w:val="003F0771"/>
    <w:rsid w:val="003F07C6"/>
    <w:rsid w:val="003F0AC1"/>
    <w:rsid w:val="003F0B92"/>
    <w:rsid w:val="003F0BF4"/>
    <w:rsid w:val="003F0D07"/>
    <w:rsid w:val="003F0DD9"/>
    <w:rsid w:val="003F17EB"/>
    <w:rsid w:val="003F23B9"/>
    <w:rsid w:val="003F2CB5"/>
    <w:rsid w:val="003F30C4"/>
    <w:rsid w:val="003F3A5E"/>
    <w:rsid w:val="003F3BEE"/>
    <w:rsid w:val="003F3FAF"/>
    <w:rsid w:val="003F4763"/>
    <w:rsid w:val="003F51E9"/>
    <w:rsid w:val="003F581D"/>
    <w:rsid w:val="003F5C3A"/>
    <w:rsid w:val="003F6E7B"/>
    <w:rsid w:val="003F72DB"/>
    <w:rsid w:val="003F7306"/>
    <w:rsid w:val="003F7C7E"/>
    <w:rsid w:val="003F7F41"/>
    <w:rsid w:val="004007DE"/>
    <w:rsid w:val="00400A7D"/>
    <w:rsid w:val="00400A8A"/>
    <w:rsid w:val="004012B4"/>
    <w:rsid w:val="004019CC"/>
    <w:rsid w:val="00401E63"/>
    <w:rsid w:val="00402108"/>
    <w:rsid w:val="00402E0B"/>
    <w:rsid w:val="004032E4"/>
    <w:rsid w:val="00403AA7"/>
    <w:rsid w:val="00405845"/>
    <w:rsid w:val="00405B51"/>
    <w:rsid w:val="004060D4"/>
    <w:rsid w:val="00406759"/>
    <w:rsid w:val="00407738"/>
    <w:rsid w:val="00407F99"/>
    <w:rsid w:val="00410376"/>
    <w:rsid w:val="00410646"/>
    <w:rsid w:val="00410D0D"/>
    <w:rsid w:val="004114CA"/>
    <w:rsid w:val="004125EC"/>
    <w:rsid w:val="00412908"/>
    <w:rsid w:val="00412A5E"/>
    <w:rsid w:val="0041349B"/>
    <w:rsid w:val="0041350C"/>
    <w:rsid w:val="00413775"/>
    <w:rsid w:val="00413BE9"/>
    <w:rsid w:val="00413EFC"/>
    <w:rsid w:val="00414055"/>
    <w:rsid w:val="00414411"/>
    <w:rsid w:val="0041547D"/>
    <w:rsid w:val="00415580"/>
    <w:rsid w:val="004162EB"/>
    <w:rsid w:val="00416982"/>
    <w:rsid w:val="00416A83"/>
    <w:rsid w:val="00416D29"/>
    <w:rsid w:val="00416E5E"/>
    <w:rsid w:val="004170AF"/>
    <w:rsid w:val="004171C8"/>
    <w:rsid w:val="00417681"/>
    <w:rsid w:val="00420053"/>
    <w:rsid w:val="004209CB"/>
    <w:rsid w:val="00420EC5"/>
    <w:rsid w:val="00420F61"/>
    <w:rsid w:val="0042137B"/>
    <w:rsid w:val="00421387"/>
    <w:rsid w:val="00421683"/>
    <w:rsid w:val="004217FB"/>
    <w:rsid w:val="00422FC5"/>
    <w:rsid w:val="004233CA"/>
    <w:rsid w:val="00423758"/>
    <w:rsid w:val="00423E3D"/>
    <w:rsid w:val="00424255"/>
    <w:rsid w:val="004244A8"/>
    <w:rsid w:val="00424945"/>
    <w:rsid w:val="00424A45"/>
    <w:rsid w:val="00424D73"/>
    <w:rsid w:val="0042537F"/>
    <w:rsid w:val="00425AF6"/>
    <w:rsid w:val="00425C92"/>
    <w:rsid w:val="004263DF"/>
    <w:rsid w:val="0042648E"/>
    <w:rsid w:val="00430014"/>
    <w:rsid w:val="004300EA"/>
    <w:rsid w:val="004304F8"/>
    <w:rsid w:val="00430658"/>
    <w:rsid w:val="00430A11"/>
    <w:rsid w:val="00430F92"/>
    <w:rsid w:val="00431B98"/>
    <w:rsid w:val="00432298"/>
    <w:rsid w:val="00433288"/>
    <w:rsid w:val="004339A1"/>
    <w:rsid w:val="00434261"/>
    <w:rsid w:val="0043447A"/>
    <w:rsid w:val="00434F1D"/>
    <w:rsid w:val="00434F95"/>
    <w:rsid w:val="00436429"/>
    <w:rsid w:val="00436F14"/>
    <w:rsid w:val="0043726A"/>
    <w:rsid w:val="004372F6"/>
    <w:rsid w:val="00440206"/>
    <w:rsid w:val="00440BE3"/>
    <w:rsid w:val="00440D46"/>
    <w:rsid w:val="00440E6B"/>
    <w:rsid w:val="00442360"/>
    <w:rsid w:val="004428DC"/>
    <w:rsid w:val="00442C2B"/>
    <w:rsid w:val="00442DF7"/>
    <w:rsid w:val="00442DFC"/>
    <w:rsid w:val="0044328C"/>
    <w:rsid w:val="004435AB"/>
    <w:rsid w:val="0044365C"/>
    <w:rsid w:val="00444699"/>
    <w:rsid w:val="00444866"/>
    <w:rsid w:val="0044521B"/>
    <w:rsid w:val="004454D7"/>
    <w:rsid w:val="004456F2"/>
    <w:rsid w:val="00445BC8"/>
    <w:rsid w:val="0044662C"/>
    <w:rsid w:val="004469BB"/>
    <w:rsid w:val="00446CDF"/>
    <w:rsid w:val="00446EFB"/>
    <w:rsid w:val="00447070"/>
    <w:rsid w:val="00447D67"/>
    <w:rsid w:val="0045039B"/>
    <w:rsid w:val="00450496"/>
    <w:rsid w:val="004507CF"/>
    <w:rsid w:val="004511D1"/>
    <w:rsid w:val="004512BA"/>
    <w:rsid w:val="0045143F"/>
    <w:rsid w:val="004514AA"/>
    <w:rsid w:val="00451D31"/>
    <w:rsid w:val="0045211D"/>
    <w:rsid w:val="00452AED"/>
    <w:rsid w:val="00452DC4"/>
    <w:rsid w:val="00454BFC"/>
    <w:rsid w:val="0045504A"/>
    <w:rsid w:val="00455635"/>
    <w:rsid w:val="004565F6"/>
    <w:rsid w:val="004576F5"/>
    <w:rsid w:val="00457ECE"/>
    <w:rsid w:val="00460C78"/>
    <w:rsid w:val="00460DA0"/>
    <w:rsid w:val="00460E98"/>
    <w:rsid w:val="0046164D"/>
    <w:rsid w:val="00461674"/>
    <w:rsid w:val="00461729"/>
    <w:rsid w:val="00461B16"/>
    <w:rsid w:val="004623B1"/>
    <w:rsid w:val="00463334"/>
    <w:rsid w:val="00463527"/>
    <w:rsid w:val="00463F2C"/>
    <w:rsid w:val="00463F84"/>
    <w:rsid w:val="00465332"/>
    <w:rsid w:val="00465609"/>
    <w:rsid w:val="00465BFE"/>
    <w:rsid w:val="004661E0"/>
    <w:rsid w:val="004665FB"/>
    <w:rsid w:val="00466A2C"/>
    <w:rsid w:val="00466AFD"/>
    <w:rsid w:val="00466D4E"/>
    <w:rsid w:val="0046706B"/>
    <w:rsid w:val="004671CF"/>
    <w:rsid w:val="00467382"/>
    <w:rsid w:val="00467580"/>
    <w:rsid w:val="0046786D"/>
    <w:rsid w:val="0047025F"/>
    <w:rsid w:val="0047070F"/>
    <w:rsid w:val="0047093E"/>
    <w:rsid w:val="00470FD7"/>
    <w:rsid w:val="00471C6F"/>
    <w:rsid w:val="00472180"/>
    <w:rsid w:val="00472CB7"/>
    <w:rsid w:val="00473139"/>
    <w:rsid w:val="00473EAA"/>
    <w:rsid w:val="00474230"/>
    <w:rsid w:val="004761A7"/>
    <w:rsid w:val="00476246"/>
    <w:rsid w:val="00477E1C"/>
    <w:rsid w:val="004805C1"/>
    <w:rsid w:val="004809E6"/>
    <w:rsid w:val="00481321"/>
    <w:rsid w:val="00481987"/>
    <w:rsid w:val="00481B4B"/>
    <w:rsid w:val="00481D14"/>
    <w:rsid w:val="004836ED"/>
    <w:rsid w:val="00483BF2"/>
    <w:rsid w:val="00483F0F"/>
    <w:rsid w:val="004844F4"/>
    <w:rsid w:val="00484883"/>
    <w:rsid w:val="004860D2"/>
    <w:rsid w:val="0048615B"/>
    <w:rsid w:val="004861F8"/>
    <w:rsid w:val="00486646"/>
    <w:rsid w:val="00486A37"/>
    <w:rsid w:val="00487011"/>
    <w:rsid w:val="0048723C"/>
    <w:rsid w:val="00487478"/>
    <w:rsid w:val="00490072"/>
    <w:rsid w:val="0049031D"/>
    <w:rsid w:val="00490466"/>
    <w:rsid w:val="00490A0F"/>
    <w:rsid w:val="00490A26"/>
    <w:rsid w:val="00490A31"/>
    <w:rsid w:val="00490CD5"/>
    <w:rsid w:val="00491B3F"/>
    <w:rsid w:val="0049269E"/>
    <w:rsid w:val="00492D73"/>
    <w:rsid w:val="00493562"/>
    <w:rsid w:val="004936D2"/>
    <w:rsid w:val="00493AD4"/>
    <w:rsid w:val="00494403"/>
    <w:rsid w:val="00494869"/>
    <w:rsid w:val="00494903"/>
    <w:rsid w:val="00494AE0"/>
    <w:rsid w:val="00494C0F"/>
    <w:rsid w:val="00494E12"/>
    <w:rsid w:val="0049542F"/>
    <w:rsid w:val="00495B22"/>
    <w:rsid w:val="004962DE"/>
    <w:rsid w:val="00496484"/>
    <w:rsid w:val="0049671A"/>
    <w:rsid w:val="00496BCD"/>
    <w:rsid w:val="00497650"/>
    <w:rsid w:val="004976E8"/>
    <w:rsid w:val="00497A45"/>
    <w:rsid w:val="00497F4C"/>
    <w:rsid w:val="004A0056"/>
    <w:rsid w:val="004A03E8"/>
    <w:rsid w:val="004A0452"/>
    <w:rsid w:val="004A04CB"/>
    <w:rsid w:val="004A04F6"/>
    <w:rsid w:val="004A0546"/>
    <w:rsid w:val="004A0970"/>
    <w:rsid w:val="004A1AAF"/>
    <w:rsid w:val="004A1D51"/>
    <w:rsid w:val="004A1F65"/>
    <w:rsid w:val="004A2AE2"/>
    <w:rsid w:val="004A38AF"/>
    <w:rsid w:val="004A4DC4"/>
    <w:rsid w:val="004A4E82"/>
    <w:rsid w:val="004A57E9"/>
    <w:rsid w:val="004A5BAE"/>
    <w:rsid w:val="004A5C26"/>
    <w:rsid w:val="004A5C63"/>
    <w:rsid w:val="004A5F94"/>
    <w:rsid w:val="004A6003"/>
    <w:rsid w:val="004A62C5"/>
    <w:rsid w:val="004A6399"/>
    <w:rsid w:val="004A64CC"/>
    <w:rsid w:val="004A6667"/>
    <w:rsid w:val="004A66CF"/>
    <w:rsid w:val="004A678E"/>
    <w:rsid w:val="004A6A9F"/>
    <w:rsid w:val="004A74F0"/>
    <w:rsid w:val="004A7F25"/>
    <w:rsid w:val="004A7F60"/>
    <w:rsid w:val="004B03F7"/>
    <w:rsid w:val="004B073B"/>
    <w:rsid w:val="004B0763"/>
    <w:rsid w:val="004B0C8D"/>
    <w:rsid w:val="004B0DBB"/>
    <w:rsid w:val="004B1A2A"/>
    <w:rsid w:val="004B1C67"/>
    <w:rsid w:val="004B274D"/>
    <w:rsid w:val="004B2EF3"/>
    <w:rsid w:val="004B3133"/>
    <w:rsid w:val="004B327A"/>
    <w:rsid w:val="004B34F4"/>
    <w:rsid w:val="004B43A9"/>
    <w:rsid w:val="004B4419"/>
    <w:rsid w:val="004B5217"/>
    <w:rsid w:val="004B55E6"/>
    <w:rsid w:val="004B58E6"/>
    <w:rsid w:val="004B6089"/>
    <w:rsid w:val="004B67D1"/>
    <w:rsid w:val="004B6909"/>
    <w:rsid w:val="004B69B8"/>
    <w:rsid w:val="004B750A"/>
    <w:rsid w:val="004B78ED"/>
    <w:rsid w:val="004B7C60"/>
    <w:rsid w:val="004C0B57"/>
    <w:rsid w:val="004C121D"/>
    <w:rsid w:val="004C1684"/>
    <w:rsid w:val="004C188C"/>
    <w:rsid w:val="004C2621"/>
    <w:rsid w:val="004C28A1"/>
    <w:rsid w:val="004C3E63"/>
    <w:rsid w:val="004C44B8"/>
    <w:rsid w:val="004C4AFA"/>
    <w:rsid w:val="004C4F87"/>
    <w:rsid w:val="004C603F"/>
    <w:rsid w:val="004C6665"/>
    <w:rsid w:val="004C66BB"/>
    <w:rsid w:val="004C717D"/>
    <w:rsid w:val="004C7C10"/>
    <w:rsid w:val="004D08D3"/>
    <w:rsid w:val="004D0BF8"/>
    <w:rsid w:val="004D12FE"/>
    <w:rsid w:val="004D26D2"/>
    <w:rsid w:val="004D2DA2"/>
    <w:rsid w:val="004D419A"/>
    <w:rsid w:val="004D46CC"/>
    <w:rsid w:val="004D4FBA"/>
    <w:rsid w:val="004D5472"/>
    <w:rsid w:val="004D5576"/>
    <w:rsid w:val="004D5AB8"/>
    <w:rsid w:val="004D5F0E"/>
    <w:rsid w:val="004D619E"/>
    <w:rsid w:val="004D6D00"/>
    <w:rsid w:val="004D730C"/>
    <w:rsid w:val="004E12AE"/>
    <w:rsid w:val="004E13EE"/>
    <w:rsid w:val="004E17DE"/>
    <w:rsid w:val="004E18D3"/>
    <w:rsid w:val="004E2150"/>
    <w:rsid w:val="004E2460"/>
    <w:rsid w:val="004E29A1"/>
    <w:rsid w:val="004E2E27"/>
    <w:rsid w:val="004E33AD"/>
    <w:rsid w:val="004E34DC"/>
    <w:rsid w:val="004E39A4"/>
    <w:rsid w:val="004E3A7F"/>
    <w:rsid w:val="004E4A32"/>
    <w:rsid w:val="004E4E88"/>
    <w:rsid w:val="004E56BB"/>
    <w:rsid w:val="004E5D25"/>
    <w:rsid w:val="004E5D40"/>
    <w:rsid w:val="004E662F"/>
    <w:rsid w:val="004E6C8A"/>
    <w:rsid w:val="004F02F0"/>
    <w:rsid w:val="004F0559"/>
    <w:rsid w:val="004F129D"/>
    <w:rsid w:val="004F1759"/>
    <w:rsid w:val="004F192F"/>
    <w:rsid w:val="004F1D1A"/>
    <w:rsid w:val="004F20DA"/>
    <w:rsid w:val="004F2A08"/>
    <w:rsid w:val="004F3122"/>
    <w:rsid w:val="004F39EF"/>
    <w:rsid w:val="004F414F"/>
    <w:rsid w:val="004F4186"/>
    <w:rsid w:val="004F493A"/>
    <w:rsid w:val="004F4A7C"/>
    <w:rsid w:val="004F4CFC"/>
    <w:rsid w:val="004F4D64"/>
    <w:rsid w:val="004F53E8"/>
    <w:rsid w:val="004F5BFA"/>
    <w:rsid w:val="004F62FD"/>
    <w:rsid w:val="004F65E1"/>
    <w:rsid w:val="004F6CC9"/>
    <w:rsid w:val="004F71F4"/>
    <w:rsid w:val="004F7215"/>
    <w:rsid w:val="004F7E80"/>
    <w:rsid w:val="00500498"/>
    <w:rsid w:val="00500595"/>
    <w:rsid w:val="005009DF"/>
    <w:rsid w:val="0050199F"/>
    <w:rsid w:val="00501A08"/>
    <w:rsid w:val="0050248F"/>
    <w:rsid w:val="005037E8"/>
    <w:rsid w:val="00503C85"/>
    <w:rsid w:val="00503E94"/>
    <w:rsid w:val="00504A3C"/>
    <w:rsid w:val="00505D96"/>
    <w:rsid w:val="00505F64"/>
    <w:rsid w:val="00506002"/>
    <w:rsid w:val="005061E6"/>
    <w:rsid w:val="005069CD"/>
    <w:rsid w:val="00506C5A"/>
    <w:rsid w:val="00507245"/>
    <w:rsid w:val="005074F7"/>
    <w:rsid w:val="00507651"/>
    <w:rsid w:val="00507C7E"/>
    <w:rsid w:val="00510DE0"/>
    <w:rsid w:val="00511463"/>
    <w:rsid w:val="005115EF"/>
    <w:rsid w:val="00511836"/>
    <w:rsid w:val="00511BE2"/>
    <w:rsid w:val="00512DBE"/>
    <w:rsid w:val="0051339A"/>
    <w:rsid w:val="00514088"/>
    <w:rsid w:val="0051437F"/>
    <w:rsid w:val="00514C39"/>
    <w:rsid w:val="0051502D"/>
    <w:rsid w:val="005150E4"/>
    <w:rsid w:val="00515219"/>
    <w:rsid w:val="0051540C"/>
    <w:rsid w:val="00515776"/>
    <w:rsid w:val="00515EC8"/>
    <w:rsid w:val="00516030"/>
    <w:rsid w:val="005161A2"/>
    <w:rsid w:val="00516C50"/>
    <w:rsid w:val="00516DF3"/>
    <w:rsid w:val="00516F6B"/>
    <w:rsid w:val="00516FF8"/>
    <w:rsid w:val="00520050"/>
    <w:rsid w:val="00520C76"/>
    <w:rsid w:val="00520DE5"/>
    <w:rsid w:val="0052166D"/>
    <w:rsid w:val="00521E69"/>
    <w:rsid w:val="00522334"/>
    <w:rsid w:val="00522AC1"/>
    <w:rsid w:val="00522E7D"/>
    <w:rsid w:val="00523785"/>
    <w:rsid w:val="00523A8B"/>
    <w:rsid w:val="00523C55"/>
    <w:rsid w:val="00523DF9"/>
    <w:rsid w:val="00524842"/>
    <w:rsid w:val="005249AC"/>
    <w:rsid w:val="00524B7E"/>
    <w:rsid w:val="00525365"/>
    <w:rsid w:val="00525D69"/>
    <w:rsid w:val="00525E9A"/>
    <w:rsid w:val="005267D1"/>
    <w:rsid w:val="0052690B"/>
    <w:rsid w:val="00526CFF"/>
    <w:rsid w:val="00526EF1"/>
    <w:rsid w:val="00526FBE"/>
    <w:rsid w:val="005274D8"/>
    <w:rsid w:val="005276DE"/>
    <w:rsid w:val="005301C8"/>
    <w:rsid w:val="00530B37"/>
    <w:rsid w:val="005313BD"/>
    <w:rsid w:val="005314CB"/>
    <w:rsid w:val="00531748"/>
    <w:rsid w:val="00531EB3"/>
    <w:rsid w:val="00532DF5"/>
    <w:rsid w:val="00533D21"/>
    <w:rsid w:val="00533E43"/>
    <w:rsid w:val="005341A0"/>
    <w:rsid w:val="00534A9D"/>
    <w:rsid w:val="00534BD8"/>
    <w:rsid w:val="005352FE"/>
    <w:rsid w:val="00535741"/>
    <w:rsid w:val="005359BB"/>
    <w:rsid w:val="00535C1F"/>
    <w:rsid w:val="005360B0"/>
    <w:rsid w:val="005364B8"/>
    <w:rsid w:val="005372FE"/>
    <w:rsid w:val="00540A76"/>
    <w:rsid w:val="00540C72"/>
    <w:rsid w:val="005413AD"/>
    <w:rsid w:val="005414A2"/>
    <w:rsid w:val="005415AE"/>
    <w:rsid w:val="0054251E"/>
    <w:rsid w:val="005426A0"/>
    <w:rsid w:val="00542E4E"/>
    <w:rsid w:val="005447ED"/>
    <w:rsid w:val="00544976"/>
    <w:rsid w:val="00544FD8"/>
    <w:rsid w:val="0054543C"/>
    <w:rsid w:val="00545E87"/>
    <w:rsid w:val="005462BF"/>
    <w:rsid w:val="005463D4"/>
    <w:rsid w:val="00546EDF"/>
    <w:rsid w:val="00547167"/>
    <w:rsid w:val="0054726E"/>
    <w:rsid w:val="005477A0"/>
    <w:rsid w:val="005477A4"/>
    <w:rsid w:val="005502C6"/>
    <w:rsid w:val="005502F7"/>
    <w:rsid w:val="00550A15"/>
    <w:rsid w:val="00551525"/>
    <w:rsid w:val="00551944"/>
    <w:rsid w:val="00551C8C"/>
    <w:rsid w:val="0055238C"/>
    <w:rsid w:val="00553439"/>
    <w:rsid w:val="005534DA"/>
    <w:rsid w:val="00553856"/>
    <w:rsid w:val="00553CC4"/>
    <w:rsid w:val="00554059"/>
    <w:rsid w:val="00554494"/>
    <w:rsid w:val="005547A4"/>
    <w:rsid w:val="00554D3A"/>
    <w:rsid w:val="00555AB5"/>
    <w:rsid w:val="00556291"/>
    <w:rsid w:val="0055654A"/>
    <w:rsid w:val="00556878"/>
    <w:rsid w:val="00556E84"/>
    <w:rsid w:val="00557794"/>
    <w:rsid w:val="00557F7F"/>
    <w:rsid w:val="005601E2"/>
    <w:rsid w:val="00560511"/>
    <w:rsid w:val="00560980"/>
    <w:rsid w:val="00560F63"/>
    <w:rsid w:val="005610B5"/>
    <w:rsid w:val="0056130D"/>
    <w:rsid w:val="00561D43"/>
    <w:rsid w:val="00561DAA"/>
    <w:rsid w:val="005623E7"/>
    <w:rsid w:val="005641B0"/>
    <w:rsid w:val="00564530"/>
    <w:rsid w:val="0056475B"/>
    <w:rsid w:val="005647D6"/>
    <w:rsid w:val="005650D4"/>
    <w:rsid w:val="00565ABC"/>
    <w:rsid w:val="005678CE"/>
    <w:rsid w:val="00570BED"/>
    <w:rsid w:val="00571FE2"/>
    <w:rsid w:val="00572CAC"/>
    <w:rsid w:val="00572EBC"/>
    <w:rsid w:val="005736A5"/>
    <w:rsid w:val="00573A0C"/>
    <w:rsid w:val="00573C87"/>
    <w:rsid w:val="005745A2"/>
    <w:rsid w:val="0057485F"/>
    <w:rsid w:val="00574936"/>
    <w:rsid w:val="00575D9E"/>
    <w:rsid w:val="00576A57"/>
    <w:rsid w:val="0057707C"/>
    <w:rsid w:val="005770A8"/>
    <w:rsid w:val="005773F9"/>
    <w:rsid w:val="0057781A"/>
    <w:rsid w:val="0057783E"/>
    <w:rsid w:val="00577925"/>
    <w:rsid w:val="00577B0B"/>
    <w:rsid w:val="0058008D"/>
    <w:rsid w:val="005802A7"/>
    <w:rsid w:val="0058051A"/>
    <w:rsid w:val="00581214"/>
    <w:rsid w:val="005815E3"/>
    <w:rsid w:val="0058166A"/>
    <w:rsid w:val="0058169E"/>
    <w:rsid w:val="00581CC8"/>
    <w:rsid w:val="0058288E"/>
    <w:rsid w:val="00582993"/>
    <w:rsid w:val="0058332F"/>
    <w:rsid w:val="00583608"/>
    <w:rsid w:val="005839E5"/>
    <w:rsid w:val="00583BD9"/>
    <w:rsid w:val="00583FF1"/>
    <w:rsid w:val="00584883"/>
    <w:rsid w:val="00584895"/>
    <w:rsid w:val="00584927"/>
    <w:rsid w:val="00585C75"/>
    <w:rsid w:val="00585E35"/>
    <w:rsid w:val="005860CC"/>
    <w:rsid w:val="0058617F"/>
    <w:rsid w:val="005863F3"/>
    <w:rsid w:val="00586987"/>
    <w:rsid w:val="00586992"/>
    <w:rsid w:val="00586C38"/>
    <w:rsid w:val="00587A3A"/>
    <w:rsid w:val="00587B7F"/>
    <w:rsid w:val="00587CA0"/>
    <w:rsid w:val="005900DC"/>
    <w:rsid w:val="0059014E"/>
    <w:rsid w:val="00590C3A"/>
    <w:rsid w:val="005916FC"/>
    <w:rsid w:val="00591972"/>
    <w:rsid w:val="00591D9D"/>
    <w:rsid w:val="0059201C"/>
    <w:rsid w:val="005920F8"/>
    <w:rsid w:val="00592133"/>
    <w:rsid w:val="00592C71"/>
    <w:rsid w:val="00593C58"/>
    <w:rsid w:val="00594141"/>
    <w:rsid w:val="00594432"/>
    <w:rsid w:val="0059469C"/>
    <w:rsid w:val="0059499D"/>
    <w:rsid w:val="00594C57"/>
    <w:rsid w:val="00594DC9"/>
    <w:rsid w:val="00594EB1"/>
    <w:rsid w:val="005952AD"/>
    <w:rsid w:val="005955EB"/>
    <w:rsid w:val="00595B9E"/>
    <w:rsid w:val="00595EDA"/>
    <w:rsid w:val="00595EEC"/>
    <w:rsid w:val="0059610D"/>
    <w:rsid w:val="005964DC"/>
    <w:rsid w:val="00596911"/>
    <w:rsid w:val="00596FAC"/>
    <w:rsid w:val="00597056"/>
    <w:rsid w:val="005A0715"/>
    <w:rsid w:val="005A1169"/>
    <w:rsid w:val="005A11D6"/>
    <w:rsid w:val="005A1413"/>
    <w:rsid w:val="005A146E"/>
    <w:rsid w:val="005A1765"/>
    <w:rsid w:val="005A1907"/>
    <w:rsid w:val="005A1E6A"/>
    <w:rsid w:val="005A23A1"/>
    <w:rsid w:val="005A28D6"/>
    <w:rsid w:val="005A2972"/>
    <w:rsid w:val="005A2D0C"/>
    <w:rsid w:val="005A3286"/>
    <w:rsid w:val="005A3646"/>
    <w:rsid w:val="005A3B40"/>
    <w:rsid w:val="005A52D5"/>
    <w:rsid w:val="005A5384"/>
    <w:rsid w:val="005A6611"/>
    <w:rsid w:val="005A6647"/>
    <w:rsid w:val="005B022C"/>
    <w:rsid w:val="005B0626"/>
    <w:rsid w:val="005B08D5"/>
    <w:rsid w:val="005B1EB6"/>
    <w:rsid w:val="005B2965"/>
    <w:rsid w:val="005B2D49"/>
    <w:rsid w:val="005B31F7"/>
    <w:rsid w:val="005B33D6"/>
    <w:rsid w:val="005B33D7"/>
    <w:rsid w:val="005B349E"/>
    <w:rsid w:val="005B3853"/>
    <w:rsid w:val="005B3F40"/>
    <w:rsid w:val="005B4398"/>
    <w:rsid w:val="005B4CFE"/>
    <w:rsid w:val="005B4F7E"/>
    <w:rsid w:val="005B5457"/>
    <w:rsid w:val="005B57F8"/>
    <w:rsid w:val="005B5B9A"/>
    <w:rsid w:val="005B5F8E"/>
    <w:rsid w:val="005B6A3D"/>
    <w:rsid w:val="005B7275"/>
    <w:rsid w:val="005B75F4"/>
    <w:rsid w:val="005B7796"/>
    <w:rsid w:val="005B7C21"/>
    <w:rsid w:val="005B7F28"/>
    <w:rsid w:val="005C0A70"/>
    <w:rsid w:val="005C13B6"/>
    <w:rsid w:val="005C14D5"/>
    <w:rsid w:val="005C17D5"/>
    <w:rsid w:val="005C1849"/>
    <w:rsid w:val="005C1A9F"/>
    <w:rsid w:val="005C1B64"/>
    <w:rsid w:val="005C22C9"/>
    <w:rsid w:val="005C2684"/>
    <w:rsid w:val="005C276A"/>
    <w:rsid w:val="005C276D"/>
    <w:rsid w:val="005C289C"/>
    <w:rsid w:val="005C294F"/>
    <w:rsid w:val="005C3305"/>
    <w:rsid w:val="005C34D6"/>
    <w:rsid w:val="005C3887"/>
    <w:rsid w:val="005C41C7"/>
    <w:rsid w:val="005C4697"/>
    <w:rsid w:val="005C47E1"/>
    <w:rsid w:val="005C546B"/>
    <w:rsid w:val="005C5CAA"/>
    <w:rsid w:val="005C681F"/>
    <w:rsid w:val="005C68E5"/>
    <w:rsid w:val="005C7271"/>
    <w:rsid w:val="005C7468"/>
    <w:rsid w:val="005C7BB8"/>
    <w:rsid w:val="005C7D1B"/>
    <w:rsid w:val="005D0AE7"/>
    <w:rsid w:val="005D10E3"/>
    <w:rsid w:val="005D1110"/>
    <w:rsid w:val="005D1B77"/>
    <w:rsid w:val="005D1EBC"/>
    <w:rsid w:val="005D31FC"/>
    <w:rsid w:val="005D4030"/>
    <w:rsid w:val="005D44DD"/>
    <w:rsid w:val="005D4AE8"/>
    <w:rsid w:val="005D5193"/>
    <w:rsid w:val="005D5DED"/>
    <w:rsid w:val="005D6082"/>
    <w:rsid w:val="005D6290"/>
    <w:rsid w:val="005D6D0A"/>
    <w:rsid w:val="005D6DFA"/>
    <w:rsid w:val="005D728E"/>
    <w:rsid w:val="005D7D7A"/>
    <w:rsid w:val="005E047B"/>
    <w:rsid w:val="005E0518"/>
    <w:rsid w:val="005E0682"/>
    <w:rsid w:val="005E0E35"/>
    <w:rsid w:val="005E0F78"/>
    <w:rsid w:val="005E0F7D"/>
    <w:rsid w:val="005E1632"/>
    <w:rsid w:val="005E1BB0"/>
    <w:rsid w:val="005E2194"/>
    <w:rsid w:val="005E2951"/>
    <w:rsid w:val="005E2A9D"/>
    <w:rsid w:val="005E2B6D"/>
    <w:rsid w:val="005E2CBE"/>
    <w:rsid w:val="005E336A"/>
    <w:rsid w:val="005E33B4"/>
    <w:rsid w:val="005E399D"/>
    <w:rsid w:val="005E3FBC"/>
    <w:rsid w:val="005E410F"/>
    <w:rsid w:val="005E42D0"/>
    <w:rsid w:val="005E4315"/>
    <w:rsid w:val="005E439C"/>
    <w:rsid w:val="005E4958"/>
    <w:rsid w:val="005E4BAE"/>
    <w:rsid w:val="005E4F46"/>
    <w:rsid w:val="005E51A3"/>
    <w:rsid w:val="005E5338"/>
    <w:rsid w:val="005E54E8"/>
    <w:rsid w:val="005E5522"/>
    <w:rsid w:val="005E5919"/>
    <w:rsid w:val="005E61FB"/>
    <w:rsid w:val="005E6389"/>
    <w:rsid w:val="005E6CDE"/>
    <w:rsid w:val="005E74AC"/>
    <w:rsid w:val="005E752C"/>
    <w:rsid w:val="005E77A2"/>
    <w:rsid w:val="005F0011"/>
    <w:rsid w:val="005F0CD1"/>
    <w:rsid w:val="005F0CE3"/>
    <w:rsid w:val="005F1818"/>
    <w:rsid w:val="005F1B57"/>
    <w:rsid w:val="005F1E57"/>
    <w:rsid w:val="005F21E5"/>
    <w:rsid w:val="005F28D3"/>
    <w:rsid w:val="005F293F"/>
    <w:rsid w:val="005F2A1B"/>
    <w:rsid w:val="005F2B43"/>
    <w:rsid w:val="005F3485"/>
    <w:rsid w:val="005F3BC0"/>
    <w:rsid w:val="005F3E40"/>
    <w:rsid w:val="005F46CC"/>
    <w:rsid w:val="005F4B86"/>
    <w:rsid w:val="005F57FC"/>
    <w:rsid w:val="005F5AD9"/>
    <w:rsid w:val="005F620C"/>
    <w:rsid w:val="005F6576"/>
    <w:rsid w:val="005F6837"/>
    <w:rsid w:val="005F7396"/>
    <w:rsid w:val="005F76D3"/>
    <w:rsid w:val="0060043C"/>
    <w:rsid w:val="0060097C"/>
    <w:rsid w:val="00601C74"/>
    <w:rsid w:val="0060294A"/>
    <w:rsid w:val="00602A0A"/>
    <w:rsid w:val="00604032"/>
    <w:rsid w:val="006047CB"/>
    <w:rsid w:val="00604FE4"/>
    <w:rsid w:val="006059DA"/>
    <w:rsid w:val="00606173"/>
    <w:rsid w:val="006067E0"/>
    <w:rsid w:val="00607225"/>
    <w:rsid w:val="006077F4"/>
    <w:rsid w:val="00607DBF"/>
    <w:rsid w:val="00607EBC"/>
    <w:rsid w:val="0061040A"/>
    <w:rsid w:val="0061089B"/>
    <w:rsid w:val="0061145D"/>
    <w:rsid w:val="00611BB4"/>
    <w:rsid w:val="00611D0E"/>
    <w:rsid w:val="00611E63"/>
    <w:rsid w:val="00612658"/>
    <w:rsid w:val="006126E3"/>
    <w:rsid w:val="00613504"/>
    <w:rsid w:val="00613E72"/>
    <w:rsid w:val="00613EF0"/>
    <w:rsid w:val="006141CB"/>
    <w:rsid w:val="00614C6C"/>
    <w:rsid w:val="0061535B"/>
    <w:rsid w:val="00615402"/>
    <w:rsid w:val="006160F9"/>
    <w:rsid w:val="00616249"/>
    <w:rsid w:val="006164CA"/>
    <w:rsid w:val="00616855"/>
    <w:rsid w:val="00617588"/>
    <w:rsid w:val="006175D8"/>
    <w:rsid w:val="0061783D"/>
    <w:rsid w:val="0062086A"/>
    <w:rsid w:val="00620B2F"/>
    <w:rsid w:val="00620CCF"/>
    <w:rsid w:val="00621A6B"/>
    <w:rsid w:val="0062202C"/>
    <w:rsid w:val="00623412"/>
    <w:rsid w:val="00623EA0"/>
    <w:rsid w:val="006263BE"/>
    <w:rsid w:val="006265E8"/>
    <w:rsid w:val="00626FF3"/>
    <w:rsid w:val="0062756E"/>
    <w:rsid w:val="006277EA"/>
    <w:rsid w:val="00630130"/>
    <w:rsid w:val="006307EC"/>
    <w:rsid w:val="00631C45"/>
    <w:rsid w:val="00632274"/>
    <w:rsid w:val="00632F3E"/>
    <w:rsid w:val="00633143"/>
    <w:rsid w:val="00633B64"/>
    <w:rsid w:val="0063494C"/>
    <w:rsid w:val="00635117"/>
    <w:rsid w:val="006351C6"/>
    <w:rsid w:val="006355AB"/>
    <w:rsid w:val="00635B9B"/>
    <w:rsid w:val="00635D3C"/>
    <w:rsid w:val="006364D1"/>
    <w:rsid w:val="006365D1"/>
    <w:rsid w:val="00636E0F"/>
    <w:rsid w:val="00637043"/>
    <w:rsid w:val="0063783E"/>
    <w:rsid w:val="00637B3C"/>
    <w:rsid w:val="00637F6A"/>
    <w:rsid w:val="00637F86"/>
    <w:rsid w:val="00640062"/>
    <w:rsid w:val="00640856"/>
    <w:rsid w:val="006409EA"/>
    <w:rsid w:val="00640AAD"/>
    <w:rsid w:val="00640AEE"/>
    <w:rsid w:val="0064167F"/>
    <w:rsid w:val="006417F2"/>
    <w:rsid w:val="006427AF"/>
    <w:rsid w:val="00642C04"/>
    <w:rsid w:val="00643404"/>
    <w:rsid w:val="006438D8"/>
    <w:rsid w:val="00644234"/>
    <w:rsid w:val="00644442"/>
    <w:rsid w:val="00644F28"/>
    <w:rsid w:val="006461E4"/>
    <w:rsid w:val="00647403"/>
    <w:rsid w:val="0064774F"/>
    <w:rsid w:val="00647864"/>
    <w:rsid w:val="00650082"/>
    <w:rsid w:val="006504E6"/>
    <w:rsid w:val="00650874"/>
    <w:rsid w:val="00650B4D"/>
    <w:rsid w:val="00650EAE"/>
    <w:rsid w:val="0065161A"/>
    <w:rsid w:val="00653051"/>
    <w:rsid w:val="006536B9"/>
    <w:rsid w:val="00653C48"/>
    <w:rsid w:val="0065427B"/>
    <w:rsid w:val="0065469B"/>
    <w:rsid w:val="00654A45"/>
    <w:rsid w:val="00654C69"/>
    <w:rsid w:val="00655382"/>
    <w:rsid w:val="006556D3"/>
    <w:rsid w:val="00655D6C"/>
    <w:rsid w:val="0065695F"/>
    <w:rsid w:val="00656987"/>
    <w:rsid w:val="00656F35"/>
    <w:rsid w:val="00657369"/>
    <w:rsid w:val="006576E4"/>
    <w:rsid w:val="00660269"/>
    <w:rsid w:val="006607DF"/>
    <w:rsid w:val="0066087E"/>
    <w:rsid w:val="00660E5D"/>
    <w:rsid w:val="00663758"/>
    <w:rsid w:val="00663989"/>
    <w:rsid w:val="00663D33"/>
    <w:rsid w:val="00663DC2"/>
    <w:rsid w:val="00664F10"/>
    <w:rsid w:val="0066592F"/>
    <w:rsid w:val="00665B9A"/>
    <w:rsid w:val="0066606C"/>
    <w:rsid w:val="00666152"/>
    <w:rsid w:val="00666469"/>
    <w:rsid w:val="00667B9C"/>
    <w:rsid w:val="006700CC"/>
    <w:rsid w:val="00670CAB"/>
    <w:rsid w:val="00671375"/>
    <w:rsid w:val="00671CEF"/>
    <w:rsid w:val="00671D17"/>
    <w:rsid w:val="00671D86"/>
    <w:rsid w:val="006722C9"/>
    <w:rsid w:val="006725E8"/>
    <w:rsid w:val="0067284C"/>
    <w:rsid w:val="006729C9"/>
    <w:rsid w:val="00672E09"/>
    <w:rsid w:val="00672EB0"/>
    <w:rsid w:val="00673627"/>
    <w:rsid w:val="00673F45"/>
    <w:rsid w:val="006741A4"/>
    <w:rsid w:val="0067454B"/>
    <w:rsid w:val="00674C00"/>
    <w:rsid w:val="00675333"/>
    <w:rsid w:val="00675563"/>
    <w:rsid w:val="00675E40"/>
    <w:rsid w:val="00676100"/>
    <w:rsid w:val="006762A9"/>
    <w:rsid w:val="00676653"/>
    <w:rsid w:val="0067670E"/>
    <w:rsid w:val="006769D2"/>
    <w:rsid w:val="00676C14"/>
    <w:rsid w:val="00676EE2"/>
    <w:rsid w:val="006772FE"/>
    <w:rsid w:val="00677509"/>
    <w:rsid w:val="00677570"/>
    <w:rsid w:val="00680320"/>
    <w:rsid w:val="006808C4"/>
    <w:rsid w:val="00680E44"/>
    <w:rsid w:val="00681273"/>
    <w:rsid w:val="00681CCD"/>
    <w:rsid w:val="00682B19"/>
    <w:rsid w:val="00682DCB"/>
    <w:rsid w:val="00683188"/>
    <w:rsid w:val="006833B4"/>
    <w:rsid w:val="006833DD"/>
    <w:rsid w:val="00683F95"/>
    <w:rsid w:val="00684008"/>
    <w:rsid w:val="00684125"/>
    <w:rsid w:val="00684ADE"/>
    <w:rsid w:val="00684E53"/>
    <w:rsid w:val="006859D7"/>
    <w:rsid w:val="006859DF"/>
    <w:rsid w:val="00685F04"/>
    <w:rsid w:val="00686088"/>
    <w:rsid w:val="006865C1"/>
    <w:rsid w:val="00687B13"/>
    <w:rsid w:val="006901BA"/>
    <w:rsid w:val="0069037C"/>
    <w:rsid w:val="0069053E"/>
    <w:rsid w:val="00690CBD"/>
    <w:rsid w:val="006910A1"/>
    <w:rsid w:val="00691190"/>
    <w:rsid w:val="0069127F"/>
    <w:rsid w:val="00691585"/>
    <w:rsid w:val="0069176D"/>
    <w:rsid w:val="00691880"/>
    <w:rsid w:val="00691FDD"/>
    <w:rsid w:val="00692997"/>
    <w:rsid w:val="00692FD6"/>
    <w:rsid w:val="006933DF"/>
    <w:rsid w:val="00693B6E"/>
    <w:rsid w:val="00694084"/>
    <w:rsid w:val="006943B4"/>
    <w:rsid w:val="00694A03"/>
    <w:rsid w:val="00694A30"/>
    <w:rsid w:val="00694DFD"/>
    <w:rsid w:val="00694ECF"/>
    <w:rsid w:val="006958B0"/>
    <w:rsid w:val="00695CEE"/>
    <w:rsid w:val="006964C3"/>
    <w:rsid w:val="006969B2"/>
    <w:rsid w:val="00697D20"/>
    <w:rsid w:val="00697FEF"/>
    <w:rsid w:val="006A0549"/>
    <w:rsid w:val="006A06F5"/>
    <w:rsid w:val="006A1A58"/>
    <w:rsid w:val="006A200A"/>
    <w:rsid w:val="006A20E7"/>
    <w:rsid w:val="006A28BB"/>
    <w:rsid w:val="006A2D9C"/>
    <w:rsid w:val="006A2E95"/>
    <w:rsid w:val="006A2FF0"/>
    <w:rsid w:val="006A3362"/>
    <w:rsid w:val="006A3B5E"/>
    <w:rsid w:val="006A41E3"/>
    <w:rsid w:val="006A451C"/>
    <w:rsid w:val="006A45E8"/>
    <w:rsid w:val="006A4EE6"/>
    <w:rsid w:val="006A5517"/>
    <w:rsid w:val="006A5D02"/>
    <w:rsid w:val="006A70F1"/>
    <w:rsid w:val="006A76E5"/>
    <w:rsid w:val="006A7C17"/>
    <w:rsid w:val="006A7D28"/>
    <w:rsid w:val="006A7F84"/>
    <w:rsid w:val="006B0B80"/>
    <w:rsid w:val="006B0EEF"/>
    <w:rsid w:val="006B1867"/>
    <w:rsid w:val="006B1B85"/>
    <w:rsid w:val="006B23EE"/>
    <w:rsid w:val="006B3BBD"/>
    <w:rsid w:val="006B3EF7"/>
    <w:rsid w:val="006B3F10"/>
    <w:rsid w:val="006B4E6A"/>
    <w:rsid w:val="006B5A9C"/>
    <w:rsid w:val="006B5C04"/>
    <w:rsid w:val="006B5D8B"/>
    <w:rsid w:val="006B63BC"/>
    <w:rsid w:val="006B6638"/>
    <w:rsid w:val="006B6776"/>
    <w:rsid w:val="006B6B91"/>
    <w:rsid w:val="006B7A5A"/>
    <w:rsid w:val="006B7CD0"/>
    <w:rsid w:val="006B7DB8"/>
    <w:rsid w:val="006C01D6"/>
    <w:rsid w:val="006C05A3"/>
    <w:rsid w:val="006C0EF5"/>
    <w:rsid w:val="006C1019"/>
    <w:rsid w:val="006C104E"/>
    <w:rsid w:val="006C1A32"/>
    <w:rsid w:val="006C1A4B"/>
    <w:rsid w:val="006C2512"/>
    <w:rsid w:val="006C2D2D"/>
    <w:rsid w:val="006C2D83"/>
    <w:rsid w:val="006C30B8"/>
    <w:rsid w:val="006C36D9"/>
    <w:rsid w:val="006C4754"/>
    <w:rsid w:val="006C533E"/>
    <w:rsid w:val="006C5892"/>
    <w:rsid w:val="006C6077"/>
    <w:rsid w:val="006C67E6"/>
    <w:rsid w:val="006C769B"/>
    <w:rsid w:val="006C793D"/>
    <w:rsid w:val="006C7D6C"/>
    <w:rsid w:val="006D1E9D"/>
    <w:rsid w:val="006D2646"/>
    <w:rsid w:val="006D29BD"/>
    <w:rsid w:val="006D31B0"/>
    <w:rsid w:val="006D37D0"/>
    <w:rsid w:val="006D3D35"/>
    <w:rsid w:val="006D44F3"/>
    <w:rsid w:val="006D4611"/>
    <w:rsid w:val="006D46CA"/>
    <w:rsid w:val="006D5635"/>
    <w:rsid w:val="006D5BC5"/>
    <w:rsid w:val="006D65E3"/>
    <w:rsid w:val="006D691B"/>
    <w:rsid w:val="006D74A0"/>
    <w:rsid w:val="006D75B1"/>
    <w:rsid w:val="006E0085"/>
    <w:rsid w:val="006E024A"/>
    <w:rsid w:val="006E0774"/>
    <w:rsid w:val="006E0ACC"/>
    <w:rsid w:val="006E16FE"/>
    <w:rsid w:val="006E24FB"/>
    <w:rsid w:val="006E28E6"/>
    <w:rsid w:val="006E2D8C"/>
    <w:rsid w:val="006E2E0C"/>
    <w:rsid w:val="006E30E1"/>
    <w:rsid w:val="006E3712"/>
    <w:rsid w:val="006E41D2"/>
    <w:rsid w:val="006E44FA"/>
    <w:rsid w:val="006E49FF"/>
    <w:rsid w:val="006E5175"/>
    <w:rsid w:val="006E59A6"/>
    <w:rsid w:val="006E64BE"/>
    <w:rsid w:val="006E6E3A"/>
    <w:rsid w:val="006E7119"/>
    <w:rsid w:val="006E7A8E"/>
    <w:rsid w:val="006E7CB2"/>
    <w:rsid w:val="006E7FB6"/>
    <w:rsid w:val="006F0ED5"/>
    <w:rsid w:val="006F109C"/>
    <w:rsid w:val="006F20EB"/>
    <w:rsid w:val="006F20F9"/>
    <w:rsid w:val="006F2429"/>
    <w:rsid w:val="006F28DE"/>
    <w:rsid w:val="006F2FAD"/>
    <w:rsid w:val="006F385A"/>
    <w:rsid w:val="006F3A57"/>
    <w:rsid w:val="006F3A79"/>
    <w:rsid w:val="006F4158"/>
    <w:rsid w:val="006F425E"/>
    <w:rsid w:val="006F4517"/>
    <w:rsid w:val="006F4BDF"/>
    <w:rsid w:val="006F4E14"/>
    <w:rsid w:val="006F4E19"/>
    <w:rsid w:val="006F5440"/>
    <w:rsid w:val="006F566C"/>
    <w:rsid w:val="006F5A76"/>
    <w:rsid w:val="006F5F02"/>
    <w:rsid w:val="006F6406"/>
    <w:rsid w:val="006F67CF"/>
    <w:rsid w:val="006F6B7D"/>
    <w:rsid w:val="006F6C63"/>
    <w:rsid w:val="006F6E27"/>
    <w:rsid w:val="006F7001"/>
    <w:rsid w:val="006F7D56"/>
    <w:rsid w:val="00700A0D"/>
    <w:rsid w:val="00701759"/>
    <w:rsid w:val="007020D9"/>
    <w:rsid w:val="007023A0"/>
    <w:rsid w:val="0070270A"/>
    <w:rsid w:val="007030E8"/>
    <w:rsid w:val="00703AC5"/>
    <w:rsid w:val="007049B3"/>
    <w:rsid w:val="00704C9E"/>
    <w:rsid w:val="00704CDD"/>
    <w:rsid w:val="00705354"/>
    <w:rsid w:val="00705560"/>
    <w:rsid w:val="00706A32"/>
    <w:rsid w:val="00706FB9"/>
    <w:rsid w:val="00707DC2"/>
    <w:rsid w:val="007108A4"/>
    <w:rsid w:val="00711111"/>
    <w:rsid w:val="00711AAF"/>
    <w:rsid w:val="007123B1"/>
    <w:rsid w:val="00712AAA"/>
    <w:rsid w:val="00712F91"/>
    <w:rsid w:val="00713064"/>
    <w:rsid w:val="00713890"/>
    <w:rsid w:val="0071411F"/>
    <w:rsid w:val="0071492A"/>
    <w:rsid w:val="0071515C"/>
    <w:rsid w:val="00715BBC"/>
    <w:rsid w:val="00715C39"/>
    <w:rsid w:val="00715E0C"/>
    <w:rsid w:val="00716631"/>
    <w:rsid w:val="007167C3"/>
    <w:rsid w:val="00716D0D"/>
    <w:rsid w:val="007178BF"/>
    <w:rsid w:val="007203E4"/>
    <w:rsid w:val="00720A24"/>
    <w:rsid w:val="00720C29"/>
    <w:rsid w:val="00720F6F"/>
    <w:rsid w:val="0072124F"/>
    <w:rsid w:val="007214BF"/>
    <w:rsid w:val="007218BE"/>
    <w:rsid w:val="00722B11"/>
    <w:rsid w:val="007235B9"/>
    <w:rsid w:val="007235DC"/>
    <w:rsid w:val="00723AB5"/>
    <w:rsid w:val="00723CEE"/>
    <w:rsid w:val="00723E87"/>
    <w:rsid w:val="00724027"/>
    <w:rsid w:val="007242B2"/>
    <w:rsid w:val="00724763"/>
    <w:rsid w:val="00725A93"/>
    <w:rsid w:val="00725B9B"/>
    <w:rsid w:val="00725DE4"/>
    <w:rsid w:val="00726225"/>
    <w:rsid w:val="00726783"/>
    <w:rsid w:val="00726972"/>
    <w:rsid w:val="00726A4D"/>
    <w:rsid w:val="00726F24"/>
    <w:rsid w:val="00726F7A"/>
    <w:rsid w:val="007301A7"/>
    <w:rsid w:val="00730BD1"/>
    <w:rsid w:val="00731096"/>
    <w:rsid w:val="00731B54"/>
    <w:rsid w:val="00731CD2"/>
    <w:rsid w:val="00732128"/>
    <w:rsid w:val="00732209"/>
    <w:rsid w:val="007328D4"/>
    <w:rsid w:val="00732C08"/>
    <w:rsid w:val="0073303D"/>
    <w:rsid w:val="007335F0"/>
    <w:rsid w:val="007339AD"/>
    <w:rsid w:val="00734400"/>
    <w:rsid w:val="00734546"/>
    <w:rsid w:val="00734649"/>
    <w:rsid w:val="00734928"/>
    <w:rsid w:val="00734C30"/>
    <w:rsid w:val="00734ECB"/>
    <w:rsid w:val="00735523"/>
    <w:rsid w:val="00735C16"/>
    <w:rsid w:val="0073629D"/>
    <w:rsid w:val="00736337"/>
    <w:rsid w:val="00736C68"/>
    <w:rsid w:val="00736D9D"/>
    <w:rsid w:val="00736FEE"/>
    <w:rsid w:val="00737130"/>
    <w:rsid w:val="00737B33"/>
    <w:rsid w:val="007401CE"/>
    <w:rsid w:val="00740326"/>
    <w:rsid w:val="00740474"/>
    <w:rsid w:val="007405FE"/>
    <w:rsid w:val="00740C46"/>
    <w:rsid w:val="0074189A"/>
    <w:rsid w:val="00741E10"/>
    <w:rsid w:val="00741FF6"/>
    <w:rsid w:val="00742673"/>
    <w:rsid w:val="00742994"/>
    <w:rsid w:val="00742FA4"/>
    <w:rsid w:val="007433A0"/>
    <w:rsid w:val="00743557"/>
    <w:rsid w:val="00745419"/>
    <w:rsid w:val="00745DD8"/>
    <w:rsid w:val="0074601A"/>
    <w:rsid w:val="007468E3"/>
    <w:rsid w:val="00746CE6"/>
    <w:rsid w:val="007472C7"/>
    <w:rsid w:val="00747A81"/>
    <w:rsid w:val="0075023E"/>
    <w:rsid w:val="0075087B"/>
    <w:rsid w:val="00750B1F"/>
    <w:rsid w:val="00751058"/>
    <w:rsid w:val="00752B02"/>
    <w:rsid w:val="00752BD2"/>
    <w:rsid w:val="0075320C"/>
    <w:rsid w:val="007533C1"/>
    <w:rsid w:val="007539B3"/>
    <w:rsid w:val="00753AB0"/>
    <w:rsid w:val="007545C1"/>
    <w:rsid w:val="0075481F"/>
    <w:rsid w:val="00755930"/>
    <w:rsid w:val="007562A9"/>
    <w:rsid w:val="00756660"/>
    <w:rsid w:val="007569F7"/>
    <w:rsid w:val="0075778C"/>
    <w:rsid w:val="00757C1B"/>
    <w:rsid w:val="00757E71"/>
    <w:rsid w:val="00760123"/>
    <w:rsid w:val="00760142"/>
    <w:rsid w:val="00761760"/>
    <w:rsid w:val="00761A41"/>
    <w:rsid w:val="00761A46"/>
    <w:rsid w:val="00761E43"/>
    <w:rsid w:val="00762670"/>
    <w:rsid w:val="00762CA7"/>
    <w:rsid w:val="00763196"/>
    <w:rsid w:val="007636B7"/>
    <w:rsid w:val="00763B74"/>
    <w:rsid w:val="00763EB4"/>
    <w:rsid w:val="0076416C"/>
    <w:rsid w:val="00764194"/>
    <w:rsid w:val="007645C1"/>
    <w:rsid w:val="00764613"/>
    <w:rsid w:val="00764B32"/>
    <w:rsid w:val="0076526D"/>
    <w:rsid w:val="00765B03"/>
    <w:rsid w:val="007668AB"/>
    <w:rsid w:val="00767469"/>
    <w:rsid w:val="00767507"/>
    <w:rsid w:val="007675E4"/>
    <w:rsid w:val="00767D66"/>
    <w:rsid w:val="00770AB6"/>
    <w:rsid w:val="0077109D"/>
    <w:rsid w:val="0077119F"/>
    <w:rsid w:val="0077166F"/>
    <w:rsid w:val="00772171"/>
    <w:rsid w:val="007722C6"/>
    <w:rsid w:val="0077240C"/>
    <w:rsid w:val="00772811"/>
    <w:rsid w:val="0077306C"/>
    <w:rsid w:val="0077309A"/>
    <w:rsid w:val="00773136"/>
    <w:rsid w:val="00773331"/>
    <w:rsid w:val="00773758"/>
    <w:rsid w:val="007737DC"/>
    <w:rsid w:val="00773D5D"/>
    <w:rsid w:val="00774977"/>
    <w:rsid w:val="00774AC1"/>
    <w:rsid w:val="00774F58"/>
    <w:rsid w:val="007766F5"/>
    <w:rsid w:val="00776850"/>
    <w:rsid w:val="00776EB8"/>
    <w:rsid w:val="007772C7"/>
    <w:rsid w:val="007773E6"/>
    <w:rsid w:val="00777734"/>
    <w:rsid w:val="007777AD"/>
    <w:rsid w:val="00777A6A"/>
    <w:rsid w:val="00780953"/>
    <w:rsid w:val="0078099D"/>
    <w:rsid w:val="00780B35"/>
    <w:rsid w:val="00780C74"/>
    <w:rsid w:val="00780D0E"/>
    <w:rsid w:val="007814C5"/>
    <w:rsid w:val="00781A82"/>
    <w:rsid w:val="00781B5C"/>
    <w:rsid w:val="00781BB0"/>
    <w:rsid w:val="00781F52"/>
    <w:rsid w:val="007827FE"/>
    <w:rsid w:val="00782CFC"/>
    <w:rsid w:val="0078318B"/>
    <w:rsid w:val="00784119"/>
    <w:rsid w:val="007846A7"/>
    <w:rsid w:val="00784ACF"/>
    <w:rsid w:val="00784B4C"/>
    <w:rsid w:val="00784D06"/>
    <w:rsid w:val="00784D1A"/>
    <w:rsid w:val="007851BF"/>
    <w:rsid w:val="007852F9"/>
    <w:rsid w:val="007853E6"/>
    <w:rsid w:val="007856FC"/>
    <w:rsid w:val="0078575C"/>
    <w:rsid w:val="0078585D"/>
    <w:rsid w:val="00785996"/>
    <w:rsid w:val="00786285"/>
    <w:rsid w:val="00786309"/>
    <w:rsid w:val="00786D7C"/>
    <w:rsid w:val="00787447"/>
    <w:rsid w:val="007875FA"/>
    <w:rsid w:val="007900E2"/>
    <w:rsid w:val="007904A3"/>
    <w:rsid w:val="00790883"/>
    <w:rsid w:val="00790918"/>
    <w:rsid w:val="00791283"/>
    <w:rsid w:val="007912B6"/>
    <w:rsid w:val="007919B8"/>
    <w:rsid w:val="00791D3F"/>
    <w:rsid w:val="00791D8C"/>
    <w:rsid w:val="00792053"/>
    <w:rsid w:val="007921A5"/>
    <w:rsid w:val="007926B7"/>
    <w:rsid w:val="007931EA"/>
    <w:rsid w:val="007932EF"/>
    <w:rsid w:val="0079336D"/>
    <w:rsid w:val="00793A71"/>
    <w:rsid w:val="00794E63"/>
    <w:rsid w:val="00796150"/>
    <w:rsid w:val="00796788"/>
    <w:rsid w:val="00797681"/>
    <w:rsid w:val="00797945"/>
    <w:rsid w:val="007A0799"/>
    <w:rsid w:val="007A15F6"/>
    <w:rsid w:val="007A1A47"/>
    <w:rsid w:val="007A22C7"/>
    <w:rsid w:val="007A29FA"/>
    <w:rsid w:val="007A2E91"/>
    <w:rsid w:val="007A315C"/>
    <w:rsid w:val="007A3385"/>
    <w:rsid w:val="007A3627"/>
    <w:rsid w:val="007A38F8"/>
    <w:rsid w:val="007A40A1"/>
    <w:rsid w:val="007A4777"/>
    <w:rsid w:val="007A490E"/>
    <w:rsid w:val="007A4D97"/>
    <w:rsid w:val="007A5009"/>
    <w:rsid w:val="007A5071"/>
    <w:rsid w:val="007A52B1"/>
    <w:rsid w:val="007A55AE"/>
    <w:rsid w:val="007A57A6"/>
    <w:rsid w:val="007A5814"/>
    <w:rsid w:val="007A58A4"/>
    <w:rsid w:val="007A5A27"/>
    <w:rsid w:val="007A5AE7"/>
    <w:rsid w:val="007A6540"/>
    <w:rsid w:val="007A6C24"/>
    <w:rsid w:val="007A7175"/>
    <w:rsid w:val="007A7432"/>
    <w:rsid w:val="007A7635"/>
    <w:rsid w:val="007A7997"/>
    <w:rsid w:val="007A7F98"/>
    <w:rsid w:val="007B0B4E"/>
    <w:rsid w:val="007B165D"/>
    <w:rsid w:val="007B19F6"/>
    <w:rsid w:val="007B257E"/>
    <w:rsid w:val="007B2D0A"/>
    <w:rsid w:val="007B2EE1"/>
    <w:rsid w:val="007B3299"/>
    <w:rsid w:val="007B3335"/>
    <w:rsid w:val="007B38CD"/>
    <w:rsid w:val="007B38DD"/>
    <w:rsid w:val="007B39D4"/>
    <w:rsid w:val="007B3BB6"/>
    <w:rsid w:val="007B3C65"/>
    <w:rsid w:val="007B3DE6"/>
    <w:rsid w:val="007B4702"/>
    <w:rsid w:val="007B5C3E"/>
    <w:rsid w:val="007B5FBC"/>
    <w:rsid w:val="007B6244"/>
    <w:rsid w:val="007B627F"/>
    <w:rsid w:val="007B6330"/>
    <w:rsid w:val="007B6D15"/>
    <w:rsid w:val="007B7BA9"/>
    <w:rsid w:val="007B7F63"/>
    <w:rsid w:val="007C0682"/>
    <w:rsid w:val="007C0A70"/>
    <w:rsid w:val="007C13B7"/>
    <w:rsid w:val="007C14AA"/>
    <w:rsid w:val="007C1630"/>
    <w:rsid w:val="007C1E4E"/>
    <w:rsid w:val="007C1E8C"/>
    <w:rsid w:val="007C1ECB"/>
    <w:rsid w:val="007C1FFC"/>
    <w:rsid w:val="007C2EC4"/>
    <w:rsid w:val="007C30CF"/>
    <w:rsid w:val="007C31B5"/>
    <w:rsid w:val="007C321C"/>
    <w:rsid w:val="007C363D"/>
    <w:rsid w:val="007C373D"/>
    <w:rsid w:val="007C3C40"/>
    <w:rsid w:val="007C3E1C"/>
    <w:rsid w:val="007C3E99"/>
    <w:rsid w:val="007C4008"/>
    <w:rsid w:val="007C40FD"/>
    <w:rsid w:val="007C4BC1"/>
    <w:rsid w:val="007C5E2E"/>
    <w:rsid w:val="007C7811"/>
    <w:rsid w:val="007C79BF"/>
    <w:rsid w:val="007C79C1"/>
    <w:rsid w:val="007C7E8D"/>
    <w:rsid w:val="007D10D8"/>
    <w:rsid w:val="007D185D"/>
    <w:rsid w:val="007D2D7C"/>
    <w:rsid w:val="007D3DD1"/>
    <w:rsid w:val="007D415B"/>
    <w:rsid w:val="007D47D6"/>
    <w:rsid w:val="007D49BA"/>
    <w:rsid w:val="007D5116"/>
    <w:rsid w:val="007D5A6D"/>
    <w:rsid w:val="007D6041"/>
    <w:rsid w:val="007D62A8"/>
    <w:rsid w:val="007D63E7"/>
    <w:rsid w:val="007D6762"/>
    <w:rsid w:val="007D6CC2"/>
    <w:rsid w:val="007D6DA4"/>
    <w:rsid w:val="007D6F51"/>
    <w:rsid w:val="007D7257"/>
    <w:rsid w:val="007D7C24"/>
    <w:rsid w:val="007E00EE"/>
    <w:rsid w:val="007E05B0"/>
    <w:rsid w:val="007E1E78"/>
    <w:rsid w:val="007E2650"/>
    <w:rsid w:val="007E2881"/>
    <w:rsid w:val="007E2C8C"/>
    <w:rsid w:val="007E3D49"/>
    <w:rsid w:val="007E3DD2"/>
    <w:rsid w:val="007E524B"/>
    <w:rsid w:val="007E5AA2"/>
    <w:rsid w:val="007E5F98"/>
    <w:rsid w:val="007E60F7"/>
    <w:rsid w:val="007E621D"/>
    <w:rsid w:val="007E6593"/>
    <w:rsid w:val="007E6887"/>
    <w:rsid w:val="007E6A90"/>
    <w:rsid w:val="007E6E87"/>
    <w:rsid w:val="007E7652"/>
    <w:rsid w:val="007E7808"/>
    <w:rsid w:val="007E7954"/>
    <w:rsid w:val="007F01D7"/>
    <w:rsid w:val="007F05F5"/>
    <w:rsid w:val="007F0729"/>
    <w:rsid w:val="007F0ACC"/>
    <w:rsid w:val="007F0D1A"/>
    <w:rsid w:val="007F0E50"/>
    <w:rsid w:val="007F15C7"/>
    <w:rsid w:val="007F1890"/>
    <w:rsid w:val="007F1D6F"/>
    <w:rsid w:val="007F22F2"/>
    <w:rsid w:val="007F22FC"/>
    <w:rsid w:val="007F2BAB"/>
    <w:rsid w:val="007F3DA8"/>
    <w:rsid w:val="007F4025"/>
    <w:rsid w:val="007F4D97"/>
    <w:rsid w:val="007F5445"/>
    <w:rsid w:val="007F5564"/>
    <w:rsid w:val="007F5834"/>
    <w:rsid w:val="007F6151"/>
    <w:rsid w:val="007F62D4"/>
    <w:rsid w:val="007F66A0"/>
    <w:rsid w:val="007F7267"/>
    <w:rsid w:val="007F72CE"/>
    <w:rsid w:val="007F7CD3"/>
    <w:rsid w:val="008005BD"/>
    <w:rsid w:val="0080104B"/>
    <w:rsid w:val="008017E4"/>
    <w:rsid w:val="0080225C"/>
    <w:rsid w:val="0080226A"/>
    <w:rsid w:val="00802374"/>
    <w:rsid w:val="008023FE"/>
    <w:rsid w:val="008025FE"/>
    <w:rsid w:val="008026F3"/>
    <w:rsid w:val="008027B4"/>
    <w:rsid w:val="00803230"/>
    <w:rsid w:val="00803672"/>
    <w:rsid w:val="008036BE"/>
    <w:rsid w:val="008036CD"/>
    <w:rsid w:val="008036E1"/>
    <w:rsid w:val="00803824"/>
    <w:rsid w:val="0080383C"/>
    <w:rsid w:val="00803E60"/>
    <w:rsid w:val="008051F1"/>
    <w:rsid w:val="0080533F"/>
    <w:rsid w:val="00805BF4"/>
    <w:rsid w:val="00805D76"/>
    <w:rsid w:val="00805E75"/>
    <w:rsid w:val="00806CE2"/>
    <w:rsid w:val="00807481"/>
    <w:rsid w:val="008075DC"/>
    <w:rsid w:val="008078EE"/>
    <w:rsid w:val="00807CA6"/>
    <w:rsid w:val="008102B6"/>
    <w:rsid w:val="008130CF"/>
    <w:rsid w:val="00813A12"/>
    <w:rsid w:val="00813D28"/>
    <w:rsid w:val="00814254"/>
    <w:rsid w:val="00815249"/>
    <w:rsid w:val="00815449"/>
    <w:rsid w:val="00815CED"/>
    <w:rsid w:val="0081600A"/>
    <w:rsid w:val="00816B75"/>
    <w:rsid w:val="00816F22"/>
    <w:rsid w:val="0081740D"/>
    <w:rsid w:val="008175A5"/>
    <w:rsid w:val="00817702"/>
    <w:rsid w:val="008178E7"/>
    <w:rsid w:val="00817DF4"/>
    <w:rsid w:val="00817E33"/>
    <w:rsid w:val="00820EEA"/>
    <w:rsid w:val="008210DD"/>
    <w:rsid w:val="00821D74"/>
    <w:rsid w:val="00821DE7"/>
    <w:rsid w:val="00821F11"/>
    <w:rsid w:val="00822AAD"/>
    <w:rsid w:val="00823075"/>
    <w:rsid w:val="00823AC6"/>
    <w:rsid w:val="00823FE4"/>
    <w:rsid w:val="0082440E"/>
    <w:rsid w:val="0082448E"/>
    <w:rsid w:val="00824805"/>
    <w:rsid w:val="00824CF6"/>
    <w:rsid w:val="00825669"/>
    <w:rsid w:val="0082593C"/>
    <w:rsid w:val="0082670B"/>
    <w:rsid w:val="00827A72"/>
    <w:rsid w:val="00827DFF"/>
    <w:rsid w:val="00827F1A"/>
    <w:rsid w:val="00827FEB"/>
    <w:rsid w:val="00830036"/>
    <w:rsid w:val="00830220"/>
    <w:rsid w:val="00830336"/>
    <w:rsid w:val="0083033E"/>
    <w:rsid w:val="00830386"/>
    <w:rsid w:val="00830483"/>
    <w:rsid w:val="00830710"/>
    <w:rsid w:val="008309E1"/>
    <w:rsid w:val="00830A4F"/>
    <w:rsid w:val="00830B8A"/>
    <w:rsid w:val="008310DD"/>
    <w:rsid w:val="008321A1"/>
    <w:rsid w:val="008329BA"/>
    <w:rsid w:val="00832FB4"/>
    <w:rsid w:val="00832FDB"/>
    <w:rsid w:val="008330FC"/>
    <w:rsid w:val="00833132"/>
    <w:rsid w:val="0083387C"/>
    <w:rsid w:val="00833F22"/>
    <w:rsid w:val="008349A9"/>
    <w:rsid w:val="00834F4F"/>
    <w:rsid w:val="008359FB"/>
    <w:rsid w:val="00835BBB"/>
    <w:rsid w:val="00835FFC"/>
    <w:rsid w:val="008360CE"/>
    <w:rsid w:val="008368CC"/>
    <w:rsid w:val="00836BB5"/>
    <w:rsid w:val="00837865"/>
    <w:rsid w:val="00837E04"/>
    <w:rsid w:val="00840BFB"/>
    <w:rsid w:val="00841073"/>
    <w:rsid w:val="008417FA"/>
    <w:rsid w:val="00841D3E"/>
    <w:rsid w:val="00842E2B"/>
    <w:rsid w:val="00843191"/>
    <w:rsid w:val="008433E3"/>
    <w:rsid w:val="00843554"/>
    <w:rsid w:val="00843EEB"/>
    <w:rsid w:val="008456D9"/>
    <w:rsid w:val="00845976"/>
    <w:rsid w:val="008459F3"/>
    <w:rsid w:val="00846168"/>
    <w:rsid w:val="008467E9"/>
    <w:rsid w:val="00846D80"/>
    <w:rsid w:val="00846FE9"/>
    <w:rsid w:val="0084715C"/>
    <w:rsid w:val="008477A0"/>
    <w:rsid w:val="00847A08"/>
    <w:rsid w:val="00847F05"/>
    <w:rsid w:val="0085039C"/>
    <w:rsid w:val="00850EFC"/>
    <w:rsid w:val="008510C4"/>
    <w:rsid w:val="00851223"/>
    <w:rsid w:val="00852019"/>
    <w:rsid w:val="008520DD"/>
    <w:rsid w:val="00852AA5"/>
    <w:rsid w:val="00852C78"/>
    <w:rsid w:val="00853107"/>
    <w:rsid w:val="00853B14"/>
    <w:rsid w:val="00853FD7"/>
    <w:rsid w:val="008542B1"/>
    <w:rsid w:val="008544B6"/>
    <w:rsid w:val="00854A34"/>
    <w:rsid w:val="00855060"/>
    <w:rsid w:val="008550CD"/>
    <w:rsid w:val="00856168"/>
    <w:rsid w:val="00856261"/>
    <w:rsid w:val="008564D1"/>
    <w:rsid w:val="00856EF2"/>
    <w:rsid w:val="00857692"/>
    <w:rsid w:val="00857904"/>
    <w:rsid w:val="00857FD1"/>
    <w:rsid w:val="008609AC"/>
    <w:rsid w:val="0086107E"/>
    <w:rsid w:val="008612F1"/>
    <w:rsid w:val="008616BB"/>
    <w:rsid w:val="008616F5"/>
    <w:rsid w:val="00861FB1"/>
    <w:rsid w:val="0086234E"/>
    <w:rsid w:val="008623F4"/>
    <w:rsid w:val="00862B50"/>
    <w:rsid w:val="0086361D"/>
    <w:rsid w:val="00863DFC"/>
    <w:rsid w:val="008654C5"/>
    <w:rsid w:val="00865CF2"/>
    <w:rsid w:val="00865E14"/>
    <w:rsid w:val="0086628D"/>
    <w:rsid w:val="008668A2"/>
    <w:rsid w:val="00866C45"/>
    <w:rsid w:val="00867818"/>
    <w:rsid w:val="00870181"/>
    <w:rsid w:val="00870E94"/>
    <w:rsid w:val="00870FC5"/>
    <w:rsid w:val="00871E11"/>
    <w:rsid w:val="00872101"/>
    <w:rsid w:val="008726FF"/>
    <w:rsid w:val="00872F10"/>
    <w:rsid w:val="008737C5"/>
    <w:rsid w:val="00873B96"/>
    <w:rsid w:val="00873BBB"/>
    <w:rsid w:val="008745F1"/>
    <w:rsid w:val="0087490C"/>
    <w:rsid w:val="00874D22"/>
    <w:rsid w:val="00874DEA"/>
    <w:rsid w:val="00875A65"/>
    <w:rsid w:val="00875B40"/>
    <w:rsid w:val="0087604E"/>
    <w:rsid w:val="0087684E"/>
    <w:rsid w:val="0087748F"/>
    <w:rsid w:val="00877552"/>
    <w:rsid w:val="0087770D"/>
    <w:rsid w:val="00877860"/>
    <w:rsid w:val="00877DF7"/>
    <w:rsid w:val="00877F98"/>
    <w:rsid w:val="008809AA"/>
    <w:rsid w:val="00880E78"/>
    <w:rsid w:val="008814E6"/>
    <w:rsid w:val="00881502"/>
    <w:rsid w:val="00881648"/>
    <w:rsid w:val="008817D1"/>
    <w:rsid w:val="008817DD"/>
    <w:rsid w:val="0088239F"/>
    <w:rsid w:val="00882DFF"/>
    <w:rsid w:val="00882F12"/>
    <w:rsid w:val="008830E3"/>
    <w:rsid w:val="0088347C"/>
    <w:rsid w:val="008834AF"/>
    <w:rsid w:val="00883E05"/>
    <w:rsid w:val="0088427B"/>
    <w:rsid w:val="00884532"/>
    <w:rsid w:val="00884764"/>
    <w:rsid w:val="00884D2E"/>
    <w:rsid w:val="00885090"/>
    <w:rsid w:val="00885EE4"/>
    <w:rsid w:val="008862CB"/>
    <w:rsid w:val="008875DB"/>
    <w:rsid w:val="008879DB"/>
    <w:rsid w:val="00887A95"/>
    <w:rsid w:val="00887AEA"/>
    <w:rsid w:val="0089006B"/>
    <w:rsid w:val="00890B01"/>
    <w:rsid w:val="00890DBC"/>
    <w:rsid w:val="0089125E"/>
    <w:rsid w:val="008913BC"/>
    <w:rsid w:val="008914BB"/>
    <w:rsid w:val="008921C9"/>
    <w:rsid w:val="008925B6"/>
    <w:rsid w:val="00892BAF"/>
    <w:rsid w:val="0089307F"/>
    <w:rsid w:val="00893759"/>
    <w:rsid w:val="00893C43"/>
    <w:rsid w:val="00894004"/>
    <w:rsid w:val="00894AC7"/>
    <w:rsid w:val="00895533"/>
    <w:rsid w:val="00895897"/>
    <w:rsid w:val="00896781"/>
    <w:rsid w:val="00896FE7"/>
    <w:rsid w:val="0089738C"/>
    <w:rsid w:val="008A0051"/>
    <w:rsid w:val="008A0B17"/>
    <w:rsid w:val="008A1B73"/>
    <w:rsid w:val="008A21E6"/>
    <w:rsid w:val="008A2822"/>
    <w:rsid w:val="008A2914"/>
    <w:rsid w:val="008A293B"/>
    <w:rsid w:val="008A3425"/>
    <w:rsid w:val="008A3746"/>
    <w:rsid w:val="008A44FE"/>
    <w:rsid w:val="008A4945"/>
    <w:rsid w:val="008A4ADD"/>
    <w:rsid w:val="008A58CC"/>
    <w:rsid w:val="008A62AD"/>
    <w:rsid w:val="008A68D7"/>
    <w:rsid w:val="008A6A28"/>
    <w:rsid w:val="008A73A6"/>
    <w:rsid w:val="008A74D5"/>
    <w:rsid w:val="008B04DE"/>
    <w:rsid w:val="008B0C5B"/>
    <w:rsid w:val="008B106A"/>
    <w:rsid w:val="008B1696"/>
    <w:rsid w:val="008B1790"/>
    <w:rsid w:val="008B1912"/>
    <w:rsid w:val="008B1CAF"/>
    <w:rsid w:val="008B2CCA"/>
    <w:rsid w:val="008B3198"/>
    <w:rsid w:val="008B3223"/>
    <w:rsid w:val="008B3472"/>
    <w:rsid w:val="008B34F0"/>
    <w:rsid w:val="008B3710"/>
    <w:rsid w:val="008B3F0B"/>
    <w:rsid w:val="008B4151"/>
    <w:rsid w:val="008B4221"/>
    <w:rsid w:val="008B50EB"/>
    <w:rsid w:val="008B5B1B"/>
    <w:rsid w:val="008B6EED"/>
    <w:rsid w:val="008B6F83"/>
    <w:rsid w:val="008B6FE3"/>
    <w:rsid w:val="008B70BB"/>
    <w:rsid w:val="008B78E9"/>
    <w:rsid w:val="008C0972"/>
    <w:rsid w:val="008C212C"/>
    <w:rsid w:val="008C21DE"/>
    <w:rsid w:val="008C21F7"/>
    <w:rsid w:val="008C2393"/>
    <w:rsid w:val="008C2575"/>
    <w:rsid w:val="008C2FCA"/>
    <w:rsid w:val="008C305A"/>
    <w:rsid w:val="008C3464"/>
    <w:rsid w:val="008C3988"/>
    <w:rsid w:val="008C3ACD"/>
    <w:rsid w:val="008C4299"/>
    <w:rsid w:val="008C49FA"/>
    <w:rsid w:val="008C55C9"/>
    <w:rsid w:val="008C5CB1"/>
    <w:rsid w:val="008C662A"/>
    <w:rsid w:val="008C687C"/>
    <w:rsid w:val="008C6887"/>
    <w:rsid w:val="008C7945"/>
    <w:rsid w:val="008C7C33"/>
    <w:rsid w:val="008C7CF6"/>
    <w:rsid w:val="008D017C"/>
    <w:rsid w:val="008D0586"/>
    <w:rsid w:val="008D06FE"/>
    <w:rsid w:val="008D0D93"/>
    <w:rsid w:val="008D0F1B"/>
    <w:rsid w:val="008D19C5"/>
    <w:rsid w:val="008D304D"/>
    <w:rsid w:val="008D3915"/>
    <w:rsid w:val="008D3BDE"/>
    <w:rsid w:val="008D42DF"/>
    <w:rsid w:val="008D43D5"/>
    <w:rsid w:val="008D44CD"/>
    <w:rsid w:val="008D49B4"/>
    <w:rsid w:val="008D5040"/>
    <w:rsid w:val="008D5188"/>
    <w:rsid w:val="008D5275"/>
    <w:rsid w:val="008D5A8C"/>
    <w:rsid w:val="008D5BAF"/>
    <w:rsid w:val="008D6FF0"/>
    <w:rsid w:val="008D78EA"/>
    <w:rsid w:val="008D7A2B"/>
    <w:rsid w:val="008D7BBE"/>
    <w:rsid w:val="008D7FDD"/>
    <w:rsid w:val="008E008E"/>
    <w:rsid w:val="008E00DF"/>
    <w:rsid w:val="008E05CC"/>
    <w:rsid w:val="008E11B7"/>
    <w:rsid w:val="008E19CD"/>
    <w:rsid w:val="008E1B09"/>
    <w:rsid w:val="008E1E38"/>
    <w:rsid w:val="008E23F5"/>
    <w:rsid w:val="008E297A"/>
    <w:rsid w:val="008E3445"/>
    <w:rsid w:val="008E3884"/>
    <w:rsid w:val="008E397D"/>
    <w:rsid w:val="008E401F"/>
    <w:rsid w:val="008E4D8E"/>
    <w:rsid w:val="008E4F11"/>
    <w:rsid w:val="008E5821"/>
    <w:rsid w:val="008E5DF6"/>
    <w:rsid w:val="008E6064"/>
    <w:rsid w:val="008E6745"/>
    <w:rsid w:val="008E685E"/>
    <w:rsid w:val="008E6B5A"/>
    <w:rsid w:val="008E77FF"/>
    <w:rsid w:val="008E7813"/>
    <w:rsid w:val="008E7C01"/>
    <w:rsid w:val="008F02D3"/>
    <w:rsid w:val="008F0962"/>
    <w:rsid w:val="008F18AE"/>
    <w:rsid w:val="008F2A3B"/>
    <w:rsid w:val="008F303D"/>
    <w:rsid w:val="008F3CBF"/>
    <w:rsid w:val="008F418B"/>
    <w:rsid w:val="008F431D"/>
    <w:rsid w:val="008F461F"/>
    <w:rsid w:val="008F46FD"/>
    <w:rsid w:val="008F4869"/>
    <w:rsid w:val="008F4900"/>
    <w:rsid w:val="008F4E8C"/>
    <w:rsid w:val="008F570D"/>
    <w:rsid w:val="008F5841"/>
    <w:rsid w:val="008F6893"/>
    <w:rsid w:val="008F7178"/>
    <w:rsid w:val="008F7359"/>
    <w:rsid w:val="008F7DDB"/>
    <w:rsid w:val="0090032C"/>
    <w:rsid w:val="009005B7"/>
    <w:rsid w:val="009007BD"/>
    <w:rsid w:val="009008C8"/>
    <w:rsid w:val="00900A1F"/>
    <w:rsid w:val="0090189E"/>
    <w:rsid w:val="0090233B"/>
    <w:rsid w:val="00902344"/>
    <w:rsid w:val="00902389"/>
    <w:rsid w:val="00902D3A"/>
    <w:rsid w:val="0090382B"/>
    <w:rsid w:val="00903F6A"/>
    <w:rsid w:val="00904800"/>
    <w:rsid w:val="00904AB8"/>
    <w:rsid w:val="00904E24"/>
    <w:rsid w:val="0090519C"/>
    <w:rsid w:val="00905D02"/>
    <w:rsid w:val="00905DB0"/>
    <w:rsid w:val="00905F1F"/>
    <w:rsid w:val="00905F67"/>
    <w:rsid w:val="00906195"/>
    <w:rsid w:val="00906BC3"/>
    <w:rsid w:val="00906F05"/>
    <w:rsid w:val="00907047"/>
    <w:rsid w:val="009070A5"/>
    <w:rsid w:val="00907428"/>
    <w:rsid w:val="00907B80"/>
    <w:rsid w:val="009103FD"/>
    <w:rsid w:val="00910E6C"/>
    <w:rsid w:val="00911343"/>
    <w:rsid w:val="009116F7"/>
    <w:rsid w:val="00911AD0"/>
    <w:rsid w:val="00911B46"/>
    <w:rsid w:val="00911DDB"/>
    <w:rsid w:val="009124D4"/>
    <w:rsid w:val="009125AB"/>
    <w:rsid w:val="0091342A"/>
    <w:rsid w:val="0091345E"/>
    <w:rsid w:val="00913650"/>
    <w:rsid w:val="009136B9"/>
    <w:rsid w:val="00913B94"/>
    <w:rsid w:val="00913FED"/>
    <w:rsid w:val="0091403A"/>
    <w:rsid w:val="00914AE6"/>
    <w:rsid w:val="0091540A"/>
    <w:rsid w:val="0091552F"/>
    <w:rsid w:val="00915817"/>
    <w:rsid w:val="009165FE"/>
    <w:rsid w:val="0091694E"/>
    <w:rsid w:val="009170CF"/>
    <w:rsid w:val="009172E3"/>
    <w:rsid w:val="00917455"/>
    <w:rsid w:val="009176C8"/>
    <w:rsid w:val="00917B79"/>
    <w:rsid w:val="00917D4F"/>
    <w:rsid w:val="00920285"/>
    <w:rsid w:val="00920657"/>
    <w:rsid w:val="00920E23"/>
    <w:rsid w:val="00920EE8"/>
    <w:rsid w:val="00920F30"/>
    <w:rsid w:val="00920FF5"/>
    <w:rsid w:val="00921B2B"/>
    <w:rsid w:val="00921D99"/>
    <w:rsid w:val="0092202E"/>
    <w:rsid w:val="00922A59"/>
    <w:rsid w:val="00922FF6"/>
    <w:rsid w:val="0092365E"/>
    <w:rsid w:val="009238D0"/>
    <w:rsid w:val="00923A55"/>
    <w:rsid w:val="00923A64"/>
    <w:rsid w:val="00923AB2"/>
    <w:rsid w:val="00923CAE"/>
    <w:rsid w:val="009241AD"/>
    <w:rsid w:val="00924437"/>
    <w:rsid w:val="0092449D"/>
    <w:rsid w:val="0092469B"/>
    <w:rsid w:val="00925113"/>
    <w:rsid w:val="009252F7"/>
    <w:rsid w:val="00925C98"/>
    <w:rsid w:val="00925D53"/>
    <w:rsid w:val="00926519"/>
    <w:rsid w:val="009268A6"/>
    <w:rsid w:val="00926E55"/>
    <w:rsid w:val="009274EB"/>
    <w:rsid w:val="00931692"/>
    <w:rsid w:val="009322B0"/>
    <w:rsid w:val="00932539"/>
    <w:rsid w:val="0093254D"/>
    <w:rsid w:val="00932C9E"/>
    <w:rsid w:val="00932F66"/>
    <w:rsid w:val="00933745"/>
    <w:rsid w:val="00933CBD"/>
    <w:rsid w:val="00933E20"/>
    <w:rsid w:val="00934AB0"/>
    <w:rsid w:val="00934DBB"/>
    <w:rsid w:val="00934FA0"/>
    <w:rsid w:val="009353AD"/>
    <w:rsid w:val="00936123"/>
    <w:rsid w:val="00936AF7"/>
    <w:rsid w:val="00937139"/>
    <w:rsid w:val="00937E84"/>
    <w:rsid w:val="0094073E"/>
    <w:rsid w:val="0094081A"/>
    <w:rsid w:val="00940B95"/>
    <w:rsid w:val="0094131F"/>
    <w:rsid w:val="009428DF"/>
    <w:rsid w:val="00943DB8"/>
    <w:rsid w:val="00943FF0"/>
    <w:rsid w:val="00944245"/>
    <w:rsid w:val="00944967"/>
    <w:rsid w:val="00944D61"/>
    <w:rsid w:val="009450A0"/>
    <w:rsid w:val="009451EF"/>
    <w:rsid w:val="00945591"/>
    <w:rsid w:val="00945A84"/>
    <w:rsid w:val="00945C73"/>
    <w:rsid w:val="0094665A"/>
    <w:rsid w:val="00946739"/>
    <w:rsid w:val="00946861"/>
    <w:rsid w:val="0094697D"/>
    <w:rsid w:val="00946BAD"/>
    <w:rsid w:val="00946DE8"/>
    <w:rsid w:val="00946E3C"/>
    <w:rsid w:val="009472F9"/>
    <w:rsid w:val="00947BA5"/>
    <w:rsid w:val="00947EEE"/>
    <w:rsid w:val="00950BAC"/>
    <w:rsid w:val="009516A9"/>
    <w:rsid w:val="00951AD3"/>
    <w:rsid w:val="00952C66"/>
    <w:rsid w:val="009531A8"/>
    <w:rsid w:val="00953431"/>
    <w:rsid w:val="009534C2"/>
    <w:rsid w:val="0095363B"/>
    <w:rsid w:val="00953B15"/>
    <w:rsid w:val="0095450D"/>
    <w:rsid w:val="00954983"/>
    <w:rsid w:val="009550D4"/>
    <w:rsid w:val="0095622D"/>
    <w:rsid w:val="009562C3"/>
    <w:rsid w:val="0095659F"/>
    <w:rsid w:val="00956981"/>
    <w:rsid w:val="0095753F"/>
    <w:rsid w:val="00957A17"/>
    <w:rsid w:val="00957EF7"/>
    <w:rsid w:val="00960673"/>
    <w:rsid w:val="00960685"/>
    <w:rsid w:val="00960706"/>
    <w:rsid w:val="0096137D"/>
    <w:rsid w:val="0096186C"/>
    <w:rsid w:val="00961C0A"/>
    <w:rsid w:val="009634C1"/>
    <w:rsid w:val="00963816"/>
    <w:rsid w:val="00963AB8"/>
    <w:rsid w:val="00963ADD"/>
    <w:rsid w:val="00963BAF"/>
    <w:rsid w:val="00963E72"/>
    <w:rsid w:val="00965E9E"/>
    <w:rsid w:val="00966476"/>
    <w:rsid w:val="0096647A"/>
    <w:rsid w:val="00966989"/>
    <w:rsid w:val="00966DC8"/>
    <w:rsid w:val="00966E8C"/>
    <w:rsid w:val="00967100"/>
    <w:rsid w:val="009672A7"/>
    <w:rsid w:val="00967810"/>
    <w:rsid w:val="00970199"/>
    <w:rsid w:val="009704AF"/>
    <w:rsid w:val="0097058C"/>
    <w:rsid w:val="00970720"/>
    <w:rsid w:val="0097096B"/>
    <w:rsid w:val="009711CC"/>
    <w:rsid w:val="00971628"/>
    <w:rsid w:val="00971722"/>
    <w:rsid w:val="009736E4"/>
    <w:rsid w:val="0097374D"/>
    <w:rsid w:val="009738B3"/>
    <w:rsid w:val="00974D10"/>
    <w:rsid w:val="00974E52"/>
    <w:rsid w:val="00975746"/>
    <w:rsid w:val="0097623C"/>
    <w:rsid w:val="00976EB1"/>
    <w:rsid w:val="00977857"/>
    <w:rsid w:val="00980003"/>
    <w:rsid w:val="00980066"/>
    <w:rsid w:val="00980476"/>
    <w:rsid w:val="009805A7"/>
    <w:rsid w:val="00980918"/>
    <w:rsid w:val="009809E7"/>
    <w:rsid w:val="00983434"/>
    <w:rsid w:val="009838BE"/>
    <w:rsid w:val="00983B3F"/>
    <w:rsid w:val="00983BD0"/>
    <w:rsid w:val="00983E3B"/>
    <w:rsid w:val="00984031"/>
    <w:rsid w:val="0098464E"/>
    <w:rsid w:val="009852F6"/>
    <w:rsid w:val="009857D2"/>
    <w:rsid w:val="00985869"/>
    <w:rsid w:val="00986018"/>
    <w:rsid w:val="00986307"/>
    <w:rsid w:val="009863DE"/>
    <w:rsid w:val="0098712F"/>
    <w:rsid w:val="009875C7"/>
    <w:rsid w:val="00990E1A"/>
    <w:rsid w:val="00990E7C"/>
    <w:rsid w:val="00991180"/>
    <w:rsid w:val="009912C5"/>
    <w:rsid w:val="009914CE"/>
    <w:rsid w:val="00992152"/>
    <w:rsid w:val="0099257E"/>
    <w:rsid w:val="00992678"/>
    <w:rsid w:val="0099281C"/>
    <w:rsid w:val="00992B84"/>
    <w:rsid w:val="00993236"/>
    <w:rsid w:val="0099408E"/>
    <w:rsid w:val="009941EB"/>
    <w:rsid w:val="00994303"/>
    <w:rsid w:val="00995175"/>
    <w:rsid w:val="0099539A"/>
    <w:rsid w:val="009956FE"/>
    <w:rsid w:val="00996257"/>
    <w:rsid w:val="00996373"/>
    <w:rsid w:val="00996688"/>
    <w:rsid w:val="00997719"/>
    <w:rsid w:val="009A0169"/>
    <w:rsid w:val="009A07A0"/>
    <w:rsid w:val="009A08E7"/>
    <w:rsid w:val="009A0FFB"/>
    <w:rsid w:val="009A1911"/>
    <w:rsid w:val="009A1985"/>
    <w:rsid w:val="009A1FE6"/>
    <w:rsid w:val="009A342C"/>
    <w:rsid w:val="009A3A1C"/>
    <w:rsid w:val="009A3FC7"/>
    <w:rsid w:val="009A44F5"/>
    <w:rsid w:val="009A4B0B"/>
    <w:rsid w:val="009A62CC"/>
    <w:rsid w:val="009A74D1"/>
    <w:rsid w:val="009A76B0"/>
    <w:rsid w:val="009A7DD2"/>
    <w:rsid w:val="009B063D"/>
    <w:rsid w:val="009B0B18"/>
    <w:rsid w:val="009B1C1F"/>
    <w:rsid w:val="009B1C9D"/>
    <w:rsid w:val="009B1FED"/>
    <w:rsid w:val="009B262D"/>
    <w:rsid w:val="009B2CB7"/>
    <w:rsid w:val="009B3314"/>
    <w:rsid w:val="009B44DB"/>
    <w:rsid w:val="009B60D5"/>
    <w:rsid w:val="009B629E"/>
    <w:rsid w:val="009B675E"/>
    <w:rsid w:val="009B6BD5"/>
    <w:rsid w:val="009B6D13"/>
    <w:rsid w:val="009B78D6"/>
    <w:rsid w:val="009B7D35"/>
    <w:rsid w:val="009B7F47"/>
    <w:rsid w:val="009C01F8"/>
    <w:rsid w:val="009C0EA5"/>
    <w:rsid w:val="009C1033"/>
    <w:rsid w:val="009C10CA"/>
    <w:rsid w:val="009C10EE"/>
    <w:rsid w:val="009C19EC"/>
    <w:rsid w:val="009C2008"/>
    <w:rsid w:val="009C20BD"/>
    <w:rsid w:val="009C25C7"/>
    <w:rsid w:val="009C3144"/>
    <w:rsid w:val="009C3EE2"/>
    <w:rsid w:val="009C3F6F"/>
    <w:rsid w:val="009C407D"/>
    <w:rsid w:val="009C42D7"/>
    <w:rsid w:val="009C48AA"/>
    <w:rsid w:val="009C51E3"/>
    <w:rsid w:val="009C56E7"/>
    <w:rsid w:val="009C6C38"/>
    <w:rsid w:val="009C72C9"/>
    <w:rsid w:val="009D0D7D"/>
    <w:rsid w:val="009D0E5C"/>
    <w:rsid w:val="009D0F6B"/>
    <w:rsid w:val="009D14A3"/>
    <w:rsid w:val="009D2AA3"/>
    <w:rsid w:val="009D2B26"/>
    <w:rsid w:val="009D4B8C"/>
    <w:rsid w:val="009D501D"/>
    <w:rsid w:val="009D5562"/>
    <w:rsid w:val="009D5C69"/>
    <w:rsid w:val="009D5DB2"/>
    <w:rsid w:val="009D5EE3"/>
    <w:rsid w:val="009D5EFB"/>
    <w:rsid w:val="009D62BC"/>
    <w:rsid w:val="009D6338"/>
    <w:rsid w:val="009D64EE"/>
    <w:rsid w:val="009D7FFC"/>
    <w:rsid w:val="009E0434"/>
    <w:rsid w:val="009E0D50"/>
    <w:rsid w:val="009E12F7"/>
    <w:rsid w:val="009E1E54"/>
    <w:rsid w:val="009E27E8"/>
    <w:rsid w:val="009E31BD"/>
    <w:rsid w:val="009E3275"/>
    <w:rsid w:val="009E3B87"/>
    <w:rsid w:val="009E3C87"/>
    <w:rsid w:val="009E3F5C"/>
    <w:rsid w:val="009E40B4"/>
    <w:rsid w:val="009E41D0"/>
    <w:rsid w:val="009E4EAB"/>
    <w:rsid w:val="009E573A"/>
    <w:rsid w:val="009E5F5F"/>
    <w:rsid w:val="009E6096"/>
    <w:rsid w:val="009E683C"/>
    <w:rsid w:val="009E6ED7"/>
    <w:rsid w:val="009E7300"/>
    <w:rsid w:val="009E7857"/>
    <w:rsid w:val="009E7A33"/>
    <w:rsid w:val="009F0932"/>
    <w:rsid w:val="009F09A4"/>
    <w:rsid w:val="009F10AC"/>
    <w:rsid w:val="009F13A8"/>
    <w:rsid w:val="009F1728"/>
    <w:rsid w:val="009F17AE"/>
    <w:rsid w:val="009F1991"/>
    <w:rsid w:val="009F1B02"/>
    <w:rsid w:val="009F1EC0"/>
    <w:rsid w:val="009F2145"/>
    <w:rsid w:val="009F24E1"/>
    <w:rsid w:val="009F2D56"/>
    <w:rsid w:val="009F363A"/>
    <w:rsid w:val="009F41B6"/>
    <w:rsid w:val="009F5026"/>
    <w:rsid w:val="009F52A3"/>
    <w:rsid w:val="009F6361"/>
    <w:rsid w:val="009F6A4D"/>
    <w:rsid w:val="00A00137"/>
    <w:rsid w:val="00A00267"/>
    <w:rsid w:val="00A00A0F"/>
    <w:rsid w:val="00A00DBB"/>
    <w:rsid w:val="00A011C7"/>
    <w:rsid w:val="00A01616"/>
    <w:rsid w:val="00A01FE5"/>
    <w:rsid w:val="00A02109"/>
    <w:rsid w:val="00A024EF"/>
    <w:rsid w:val="00A0268E"/>
    <w:rsid w:val="00A028D6"/>
    <w:rsid w:val="00A0292F"/>
    <w:rsid w:val="00A02E97"/>
    <w:rsid w:val="00A02EFA"/>
    <w:rsid w:val="00A037B4"/>
    <w:rsid w:val="00A03ACF"/>
    <w:rsid w:val="00A03AFD"/>
    <w:rsid w:val="00A03EB5"/>
    <w:rsid w:val="00A03FC8"/>
    <w:rsid w:val="00A03FDD"/>
    <w:rsid w:val="00A0414F"/>
    <w:rsid w:val="00A0432F"/>
    <w:rsid w:val="00A0469C"/>
    <w:rsid w:val="00A04A8A"/>
    <w:rsid w:val="00A04C17"/>
    <w:rsid w:val="00A067D2"/>
    <w:rsid w:val="00A0783E"/>
    <w:rsid w:val="00A07A2D"/>
    <w:rsid w:val="00A07B78"/>
    <w:rsid w:val="00A07BEB"/>
    <w:rsid w:val="00A07EC8"/>
    <w:rsid w:val="00A10558"/>
    <w:rsid w:val="00A10E9C"/>
    <w:rsid w:val="00A12627"/>
    <w:rsid w:val="00A12631"/>
    <w:rsid w:val="00A1292C"/>
    <w:rsid w:val="00A13232"/>
    <w:rsid w:val="00A133C0"/>
    <w:rsid w:val="00A145F6"/>
    <w:rsid w:val="00A14986"/>
    <w:rsid w:val="00A14B25"/>
    <w:rsid w:val="00A1549D"/>
    <w:rsid w:val="00A155FE"/>
    <w:rsid w:val="00A15D6D"/>
    <w:rsid w:val="00A15ED9"/>
    <w:rsid w:val="00A1625A"/>
    <w:rsid w:val="00A170F8"/>
    <w:rsid w:val="00A17E5C"/>
    <w:rsid w:val="00A203C3"/>
    <w:rsid w:val="00A208FC"/>
    <w:rsid w:val="00A20DEF"/>
    <w:rsid w:val="00A212D6"/>
    <w:rsid w:val="00A21393"/>
    <w:rsid w:val="00A213B3"/>
    <w:rsid w:val="00A21599"/>
    <w:rsid w:val="00A21CC0"/>
    <w:rsid w:val="00A220F9"/>
    <w:rsid w:val="00A22D4B"/>
    <w:rsid w:val="00A23040"/>
    <w:rsid w:val="00A23757"/>
    <w:rsid w:val="00A23E50"/>
    <w:rsid w:val="00A245B2"/>
    <w:rsid w:val="00A245C9"/>
    <w:rsid w:val="00A248A8"/>
    <w:rsid w:val="00A24DCF"/>
    <w:rsid w:val="00A25433"/>
    <w:rsid w:val="00A258C4"/>
    <w:rsid w:val="00A25BFD"/>
    <w:rsid w:val="00A25CFE"/>
    <w:rsid w:val="00A26A44"/>
    <w:rsid w:val="00A27256"/>
    <w:rsid w:val="00A2791F"/>
    <w:rsid w:val="00A27A5F"/>
    <w:rsid w:val="00A27AF0"/>
    <w:rsid w:val="00A27C85"/>
    <w:rsid w:val="00A27E82"/>
    <w:rsid w:val="00A27FFE"/>
    <w:rsid w:val="00A303C0"/>
    <w:rsid w:val="00A3077A"/>
    <w:rsid w:val="00A30AFD"/>
    <w:rsid w:val="00A30FA9"/>
    <w:rsid w:val="00A31CD5"/>
    <w:rsid w:val="00A31E3C"/>
    <w:rsid w:val="00A31E9C"/>
    <w:rsid w:val="00A321F2"/>
    <w:rsid w:val="00A32B73"/>
    <w:rsid w:val="00A32CCE"/>
    <w:rsid w:val="00A333ED"/>
    <w:rsid w:val="00A3444A"/>
    <w:rsid w:val="00A34AB4"/>
    <w:rsid w:val="00A351FE"/>
    <w:rsid w:val="00A3548E"/>
    <w:rsid w:val="00A358E3"/>
    <w:rsid w:val="00A35E12"/>
    <w:rsid w:val="00A36B05"/>
    <w:rsid w:val="00A36CC0"/>
    <w:rsid w:val="00A37278"/>
    <w:rsid w:val="00A37700"/>
    <w:rsid w:val="00A379D9"/>
    <w:rsid w:val="00A37A81"/>
    <w:rsid w:val="00A37E54"/>
    <w:rsid w:val="00A40563"/>
    <w:rsid w:val="00A405D9"/>
    <w:rsid w:val="00A4152F"/>
    <w:rsid w:val="00A41656"/>
    <w:rsid w:val="00A42279"/>
    <w:rsid w:val="00A423FF"/>
    <w:rsid w:val="00A42EFC"/>
    <w:rsid w:val="00A43090"/>
    <w:rsid w:val="00A43501"/>
    <w:rsid w:val="00A43674"/>
    <w:rsid w:val="00A438E4"/>
    <w:rsid w:val="00A43C1D"/>
    <w:rsid w:val="00A45059"/>
    <w:rsid w:val="00A452DD"/>
    <w:rsid w:val="00A4553E"/>
    <w:rsid w:val="00A466D0"/>
    <w:rsid w:val="00A471D4"/>
    <w:rsid w:val="00A47BE6"/>
    <w:rsid w:val="00A50156"/>
    <w:rsid w:val="00A50F32"/>
    <w:rsid w:val="00A512C1"/>
    <w:rsid w:val="00A5136C"/>
    <w:rsid w:val="00A51B4B"/>
    <w:rsid w:val="00A51BD2"/>
    <w:rsid w:val="00A52531"/>
    <w:rsid w:val="00A53192"/>
    <w:rsid w:val="00A535BD"/>
    <w:rsid w:val="00A54C1E"/>
    <w:rsid w:val="00A54D1E"/>
    <w:rsid w:val="00A554BC"/>
    <w:rsid w:val="00A55A1F"/>
    <w:rsid w:val="00A562DF"/>
    <w:rsid w:val="00A5699C"/>
    <w:rsid w:val="00A57605"/>
    <w:rsid w:val="00A602F1"/>
    <w:rsid w:val="00A603A2"/>
    <w:rsid w:val="00A604FC"/>
    <w:rsid w:val="00A60B04"/>
    <w:rsid w:val="00A60D0B"/>
    <w:rsid w:val="00A60E36"/>
    <w:rsid w:val="00A611FC"/>
    <w:rsid w:val="00A621D4"/>
    <w:rsid w:val="00A6290D"/>
    <w:rsid w:val="00A6300C"/>
    <w:rsid w:val="00A633F2"/>
    <w:rsid w:val="00A636B6"/>
    <w:rsid w:val="00A6438D"/>
    <w:rsid w:val="00A64932"/>
    <w:rsid w:val="00A64BC3"/>
    <w:rsid w:val="00A65260"/>
    <w:rsid w:val="00A652F9"/>
    <w:rsid w:val="00A6530D"/>
    <w:rsid w:val="00A65595"/>
    <w:rsid w:val="00A65A3A"/>
    <w:rsid w:val="00A65F70"/>
    <w:rsid w:val="00A66BC7"/>
    <w:rsid w:val="00A677FD"/>
    <w:rsid w:val="00A703D3"/>
    <w:rsid w:val="00A703F7"/>
    <w:rsid w:val="00A711D1"/>
    <w:rsid w:val="00A71270"/>
    <w:rsid w:val="00A718E5"/>
    <w:rsid w:val="00A71E7D"/>
    <w:rsid w:val="00A720F6"/>
    <w:rsid w:val="00A72390"/>
    <w:rsid w:val="00A72432"/>
    <w:rsid w:val="00A726BF"/>
    <w:rsid w:val="00A729B5"/>
    <w:rsid w:val="00A731A5"/>
    <w:rsid w:val="00A73673"/>
    <w:rsid w:val="00A73B37"/>
    <w:rsid w:val="00A73DA5"/>
    <w:rsid w:val="00A74775"/>
    <w:rsid w:val="00A747DA"/>
    <w:rsid w:val="00A75F00"/>
    <w:rsid w:val="00A763C5"/>
    <w:rsid w:val="00A77DCA"/>
    <w:rsid w:val="00A80275"/>
    <w:rsid w:val="00A80454"/>
    <w:rsid w:val="00A80D69"/>
    <w:rsid w:val="00A8180C"/>
    <w:rsid w:val="00A82034"/>
    <w:rsid w:val="00A82336"/>
    <w:rsid w:val="00A825E1"/>
    <w:rsid w:val="00A8264D"/>
    <w:rsid w:val="00A827DC"/>
    <w:rsid w:val="00A8389A"/>
    <w:rsid w:val="00A83BB5"/>
    <w:rsid w:val="00A83FAB"/>
    <w:rsid w:val="00A8439F"/>
    <w:rsid w:val="00A8490B"/>
    <w:rsid w:val="00A8526A"/>
    <w:rsid w:val="00A857EE"/>
    <w:rsid w:val="00A8589B"/>
    <w:rsid w:val="00A85C46"/>
    <w:rsid w:val="00A8627B"/>
    <w:rsid w:val="00A8646A"/>
    <w:rsid w:val="00A87D9C"/>
    <w:rsid w:val="00A90231"/>
    <w:rsid w:val="00A905A7"/>
    <w:rsid w:val="00A9150A"/>
    <w:rsid w:val="00A91632"/>
    <w:rsid w:val="00A91920"/>
    <w:rsid w:val="00A932CA"/>
    <w:rsid w:val="00A938CE"/>
    <w:rsid w:val="00A939F6"/>
    <w:rsid w:val="00A93EB3"/>
    <w:rsid w:val="00A946A8"/>
    <w:rsid w:val="00A94990"/>
    <w:rsid w:val="00A949A0"/>
    <w:rsid w:val="00A95500"/>
    <w:rsid w:val="00A95B0E"/>
    <w:rsid w:val="00A95D5A"/>
    <w:rsid w:val="00A95E85"/>
    <w:rsid w:val="00A9621C"/>
    <w:rsid w:val="00A9652F"/>
    <w:rsid w:val="00A9661C"/>
    <w:rsid w:val="00A966FE"/>
    <w:rsid w:val="00A96C83"/>
    <w:rsid w:val="00A971AE"/>
    <w:rsid w:val="00A979C2"/>
    <w:rsid w:val="00AA086B"/>
    <w:rsid w:val="00AA0A29"/>
    <w:rsid w:val="00AA0C38"/>
    <w:rsid w:val="00AA1065"/>
    <w:rsid w:val="00AA13A6"/>
    <w:rsid w:val="00AA1957"/>
    <w:rsid w:val="00AA1A41"/>
    <w:rsid w:val="00AA1C03"/>
    <w:rsid w:val="00AA20E4"/>
    <w:rsid w:val="00AA31F3"/>
    <w:rsid w:val="00AA3404"/>
    <w:rsid w:val="00AA344D"/>
    <w:rsid w:val="00AA5964"/>
    <w:rsid w:val="00AA661C"/>
    <w:rsid w:val="00AA6AC7"/>
    <w:rsid w:val="00AA6BCE"/>
    <w:rsid w:val="00AA7409"/>
    <w:rsid w:val="00AA7C0E"/>
    <w:rsid w:val="00AA7CC2"/>
    <w:rsid w:val="00AB06E2"/>
    <w:rsid w:val="00AB0719"/>
    <w:rsid w:val="00AB1377"/>
    <w:rsid w:val="00AB15CA"/>
    <w:rsid w:val="00AB20A8"/>
    <w:rsid w:val="00AB2801"/>
    <w:rsid w:val="00AB2AD8"/>
    <w:rsid w:val="00AB3EF8"/>
    <w:rsid w:val="00AB4428"/>
    <w:rsid w:val="00AB469D"/>
    <w:rsid w:val="00AB4AAA"/>
    <w:rsid w:val="00AB6001"/>
    <w:rsid w:val="00AB6170"/>
    <w:rsid w:val="00AB6898"/>
    <w:rsid w:val="00AB6F14"/>
    <w:rsid w:val="00AB6F1A"/>
    <w:rsid w:val="00AB77E6"/>
    <w:rsid w:val="00AB7AB3"/>
    <w:rsid w:val="00AC0079"/>
    <w:rsid w:val="00AC0186"/>
    <w:rsid w:val="00AC04C5"/>
    <w:rsid w:val="00AC0C75"/>
    <w:rsid w:val="00AC2033"/>
    <w:rsid w:val="00AC206F"/>
    <w:rsid w:val="00AC23F0"/>
    <w:rsid w:val="00AC331F"/>
    <w:rsid w:val="00AC3BF6"/>
    <w:rsid w:val="00AC47CD"/>
    <w:rsid w:val="00AC49A7"/>
    <w:rsid w:val="00AC4A8F"/>
    <w:rsid w:val="00AC4B5D"/>
    <w:rsid w:val="00AC4F58"/>
    <w:rsid w:val="00AC55E6"/>
    <w:rsid w:val="00AC5A20"/>
    <w:rsid w:val="00AC5C42"/>
    <w:rsid w:val="00AC5F3B"/>
    <w:rsid w:val="00AC6EA2"/>
    <w:rsid w:val="00AC7020"/>
    <w:rsid w:val="00AC7298"/>
    <w:rsid w:val="00AC74BA"/>
    <w:rsid w:val="00AC76D1"/>
    <w:rsid w:val="00AD0352"/>
    <w:rsid w:val="00AD05EA"/>
    <w:rsid w:val="00AD07C1"/>
    <w:rsid w:val="00AD0AE3"/>
    <w:rsid w:val="00AD24DE"/>
    <w:rsid w:val="00AD28C5"/>
    <w:rsid w:val="00AD3AFC"/>
    <w:rsid w:val="00AD4768"/>
    <w:rsid w:val="00AD50F6"/>
    <w:rsid w:val="00AD53C9"/>
    <w:rsid w:val="00AD5F1B"/>
    <w:rsid w:val="00AD6026"/>
    <w:rsid w:val="00AD60E1"/>
    <w:rsid w:val="00AD6127"/>
    <w:rsid w:val="00AD63B4"/>
    <w:rsid w:val="00AD6710"/>
    <w:rsid w:val="00AD6728"/>
    <w:rsid w:val="00AD7E9D"/>
    <w:rsid w:val="00AE0003"/>
    <w:rsid w:val="00AE04A5"/>
    <w:rsid w:val="00AE06B3"/>
    <w:rsid w:val="00AE078D"/>
    <w:rsid w:val="00AE09E2"/>
    <w:rsid w:val="00AE0C4C"/>
    <w:rsid w:val="00AE1839"/>
    <w:rsid w:val="00AE1929"/>
    <w:rsid w:val="00AE264F"/>
    <w:rsid w:val="00AE2794"/>
    <w:rsid w:val="00AE27C1"/>
    <w:rsid w:val="00AE2B04"/>
    <w:rsid w:val="00AE2EAB"/>
    <w:rsid w:val="00AE328E"/>
    <w:rsid w:val="00AE39F2"/>
    <w:rsid w:val="00AE3F35"/>
    <w:rsid w:val="00AE4484"/>
    <w:rsid w:val="00AE45C9"/>
    <w:rsid w:val="00AE4CAB"/>
    <w:rsid w:val="00AE5157"/>
    <w:rsid w:val="00AE5538"/>
    <w:rsid w:val="00AE58AF"/>
    <w:rsid w:val="00AE5EB8"/>
    <w:rsid w:val="00AE5EB9"/>
    <w:rsid w:val="00AE5EE2"/>
    <w:rsid w:val="00AE6496"/>
    <w:rsid w:val="00AE7D07"/>
    <w:rsid w:val="00AF0232"/>
    <w:rsid w:val="00AF0341"/>
    <w:rsid w:val="00AF08B4"/>
    <w:rsid w:val="00AF10B4"/>
    <w:rsid w:val="00AF121F"/>
    <w:rsid w:val="00AF12C1"/>
    <w:rsid w:val="00AF1B3F"/>
    <w:rsid w:val="00AF235D"/>
    <w:rsid w:val="00AF2B94"/>
    <w:rsid w:val="00AF2BFC"/>
    <w:rsid w:val="00AF2CBC"/>
    <w:rsid w:val="00AF2FCE"/>
    <w:rsid w:val="00AF3887"/>
    <w:rsid w:val="00AF4894"/>
    <w:rsid w:val="00AF4C56"/>
    <w:rsid w:val="00AF4E92"/>
    <w:rsid w:val="00AF54FA"/>
    <w:rsid w:val="00AF554D"/>
    <w:rsid w:val="00AF56E6"/>
    <w:rsid w:val="00AF64B6"/>
    <w:rsid w:val="00AF7801"/>
    <w:rsid w:val="00AF7E30"/>
    <w:rsid w:val="00B002ED"/>
    <w:rsid w:val="00B0037C"/>
    <w:rsid w:val="00B0081C"/>
    <w:rsid w:val="00B0094C"/>
    <w:rsid w:val="00B011B8"/>
    <w:rsid w:val="00B012AB"/>
    <w:rsid w:val="00B019EC"/>
    <w:rsid w:val="00B01C7D"/>
    <w:rsid w:val="00B01E0C"/>
    <w:rsid w:val="00B01E75"/>
    <w:rsid w:val="00B02521"/>
    <w:rsid w:val="00B02760"/>
    <w:rsid w:val="00B027E0"/>
    <w:rsid w:val="00B02A0A"/>
    <w:rsid w:val="00B03368"/>
    <w:rsid w:val="00B0355D"/>
    <w:rsid w:val="00B04B33"/>
    <w:rsid w:val="00B0573C"/>
    <w:rsid w:val="00B05832"/>
    <w:rsid w:val="00B05F0F"/>
    <w:rsid w:val="00B070C9"/>
    <w:rsid w:val="00B073BF"/>
    <w:rsid w:val="00B0764E"/>
    <w:rsid w:val="00B07E1A"/>
    <w:rsid w:val="00B10423"/>
    <w:rsid w:val="00B10C3D"/>
    <w:rsid w:val="00B10E36"/>
    <w:rsid w:val="00B11204"/>
    <w:rsid w:val="00B115D4"/>
    <w:rsid w:val="00B11699"/>
    <w:rsid w:val="00B11B00"/>
    <w:rsid w:val="00B12D6A"/>
    <w:rsid w:val="00B12E5B"/>
    <w:rsid w:val="00B13D58"/>
    <w:rsid w:val="00B13FE3"/>
    <w:rsid w:val="00B1431E"/>
    <w:rsid w:val="00B14764"/>
    <w:rsid w:val="00B148E3"/>
    <w:rsid w:val="00B14DD2"/>
    <w:rsid w:val="00B17391"/>
    <w:rsid w:val="00B175F7"/>
    <w:rsid w:val="00B1781B"/>
    <w:rsid w:val="00B17884"/>
    <w:rsid w:val="00B17FE9"/>
    <w:rsid w:val="00B20BBF"/>
    <w:rsid w:val="00B210A6"/>
    <w:rsid w:val="00B21409"/>
    <w:rsid w:val="00B21811"/>
    <w:rsid w:val="00B22818"/>
    <w:rsid w:val="00B22B13"/>
    <w:rsid w:val="00B23169"/>
    <w:rsid w:val="00B23741"/>
    <w:rsid w:val="00B23B86"/>
    <w:rsid w:val="00B23F1D"/>
    <w:rsid w:val="00B23F6A"/>
    <w:rsid w:val="00B23FE1"/>
    <w:rsid w:val="00B2477C"/>
    <w:rsid w:val="00B24B68"/>
    <w:rsid w:val="00B25A91"/>
    <w:rsid w:val="00B26397"/>
    <w:rsid w:val="00B26599"/>
    <w:rsid w:val="00B26715"/>
    <w:rsid w:val="00B26837"/>
    <w:rsid w:val="00B26C78"/>
    <w:rsid w:val="00B26EFB"/>
    <w:rsid w:val="00B27AC0"/>
    <w:rsid w:val="00B3018D"/>
    <w:rsid w:val="00B304FD"/>
    <w:rsid w:val="00B309C5"/>
    <w:rsid w:val="00B30ADF"/>
    <w:rsid w:val="00B31619"/>
    <w:rsid w:val="00B31936"/>
    <w:rsid w:val="00B31A1C"/>
    <w:rsid w:val="00B31FB4"/>
    <w:rsid w:val="00B3239A"/>
    <w:rsid w:val="00B3281C"/>
    <w:rsid w:val="00B3288D"/>
    <w:rsid w:val="00B32C49"/>
    <w:rsid w:val="00B32E68"/>
    <w:rsid w:val="00B33354"/>
    <w:rsid w:val="00B33531"/>
    <w:rsid w:val="00B338D9"/>
    <w:rsid w:val="00B33D95"/>
    <w:rsid w:val="00B33E71"/>
    <w:rsid w:val="00B33FFA"/>
    <w:rsid w:val="00B34F31"/>
    <w:rsid w:val="00B3528D"/>
    <w:rsid w:val="00B35CAF"/>
    <w:rsid w:val="00B36250"/>
    <w:rsid w:val="00B37A2A"/>
    <w:rsid w:val="00B40037"/>
    <w:rsid w:val="00B4042A"/>
    <w:rsid w:val="00B40AD1"/>
    <w:rsid w:val="00B40C57"/>
    <w:rsid w:val="00B4149C"/>
    <w:rsid w:val="00B41E1B"/>
    <w:rsid w:val="00B42124"/>
    <w:rsid w:val="00B4212E"/>
    <w:rsid w:val="00B42555"/>
    <w:rsid w:val="00B42A56"/>
    <w:rsid w:val="00B43649"/>
    <w:rsid w:val="00B438B4"/>
    <w:rsid w:val="00B43BF2"/>
    <w:rsid w:val="00B45238"/>
    <w:rsid w:val="00B45722"/>
    <w:rsid w:val="00B45B46"/>
    <w:rsid w:val="00B45E21"/>
    <w:rsid w:val="00B45EA2"/>
    <w:rsid w:val="00B465E8"/>
    <w:rsid w:val="00B46D25"/>
    <w:rsid w:val="00B46F3A"/>
    <w:rsid w:val="00B47478"/>
    <w:rsid w:val="00B479A2"/>
    <w:rsid w:val="00B50261"/>
    <w:rsid w:val="00B505FC"/>
    <w:rsid w:val="00B51857"/>
    <w:rsid w:val="00B51AB0"/>
    <w:rsid w:val="00B527FF"/>
    <w:rsid w:val="00B5289C"/>
    <w:rsid w:val="00B532AE"/>
    <w:rsid w:val="00B5350F"/>
    <w:rsid w:val="00B538CC"/>
    <w:rsid w:val="00B53EDF"/>
    <w:rsid w:val="00B5420B"/>
    <w:rsid w:val="00B5494F"/>
    <w:rsid w:val="00B54B23"/>
    <w:rsid w:val="00B54E00"/>
    <w:rsid w:val="00B550BB"/>
    <w:rsid w:val="00B55B14"/>
    <w:rsid w:val="00B55C47"/>
    <w:rsid w:val="00B5603F"/>
    <w:rsid w:val="00B56767"/>
    <w:rsid w:val="00B56E49"/>
    <w:rsid w:val="00B572EA"/>
    <w:rsid w:val="00B573B9"/>
    <w:rsid w:val="00B57AAB"/>
    <w:rsid w:val="00B57D01"/>
    <w:rsid w:val="00B60001"/>
    <w:rsid w:val="00B60BAC"/>
    <w:rsid w:val="00B616C2"/>
    <w:rsid w:val="00B6172A"/>
    <w:rsid w:val="00B61BB4"/>
    <w:rsid w:val="00B630CF"/>
    <w:rsid w:val="00B638F4"/>
    <w:rsid w:val="00B639DF"/>
    <w:rsid w:val="00B63A86"/>
    <w:rsid w:val="00B640AC"/>
    <w:rsid w:val="00B64FF2"/>
    <w:rsid w:val="00B65889"/>
    <w:rsid w:val="00B65BBF"/>
    <w:rsid w:val="00B65C49"/>
    <w:rsid w:val="00B65CB9"/>
    <w:rsid w:val="00B662E0"/>
    <w:rsid w:val="00B6637A"/>
    <w:rsid w:val="00B66885"/>
    <w:rsid w:val="00B66B19"/>
    <w:rsid w:val="00B66CE2"/>
    <w:rsid w:val="00B671F7"/>
    <w:rsid w:val="00B67346"/>
    <w:rsid w:val="00B67595"/>
    <w:rsid w:val="00B67813"/>
    <w:rsid w:val="00B67836"/>
    <w:rsid w:val="00B67EC2"/>
    <w:rsid w:val="00B70157"/>
    <w:rsid w:val="00B705E5"/>
    <w:rsid w:val="00B71129"/>
    <w:rsid w:val="00B7130D"/>
    <w:rsid w:val="00B7134F"/>
    <w:rsid w:val="00B715A9"/>
    <w:rsid w:val="00B71D08"/>
    <w:rsid w:val="00B71F1F"/>
    <w:rsid w:val="00B72AFE"/>
    <w:rsid w:val="00B72E63"/>
    <w:rsid w:val="00B737CF"/>
    <w:rsid w:val="00B74023"/>
    <w:rsid w:val="00B74FB7"/>
    <w:rsid w:val="00B75562"/>
    <w:rsid w:val="00B75DCD"/>
    <w:rsid w:val="00B7664A"/>
    <w:rsid w:val="00B76D32"/>
    <w:rsid w:val="00B7717F"/>
    <w:rsid w:val="00B77B66"/>
    <w:rsid w:val="00B8048E"/>
    <w:rsid w:val="00B80A90"/>
    <w:rsid w:val="00B817EA"/>
    <w:rsid w:val="00B81D7F"/>
    <w:rsid w:val="00B8242B"/>
    <w:rsid w:val="00B82524"/>
    <w:rsid w:val="00B828AF"/>
    <w:rsid w:val="00B83B5B"/>
    <w:rsid w:val="00B840E3"/>
    <w:rsid w:val="00B843D9"/>
    <w:rsid w:val="00B843E4"/>
    <w:rsid w:val="00B845D1"/>
    <w:rsid w:val="00B84CA3"/>
    <w:rsid w:val="00B8537A"/>
    <w:rsid w:val="00B857C6"/>
    <w:rsid w:val="00B85EA3"/>
    <w:rsid w:val="00B86ADE"/>
    <w:rsid w:val="00B875BD"/>
    <w:rsid w:val="00B87BF1"/>
    <w:rsid w:val="00B87D6E"/>
    <w:rsid w:val="00B87E2E"/>
    <w:rsid w:val="00B9041F"/>
    <w:rsid w:val="00B90605"/>
    <w:rsid w:val="00B90660"/>
    <w:rsid w:val="00B90E0F"/>
    <w:rsid w:val="00B912F9"/>
    <w:rsid w:val="00B91D49"/>
    <w:rsid w:val="00B9225A"/>
    <w:rsid w:val="00B92A7C"/>
    <w:rsid w:val="00B933A4"/>
    <w:rsid w:val="00B93966"/>
    <w:rsid w:val="00B93D65"/>
    <w:rsid w:val="00B94DC5"/>
    <w:rsid w:val="00B953A4"/>
    <w:rsid w:val="00B95848"/>
    <w:rsid w:val="00B96A98"/>
    <w:rsid w:val="00B973F5"/>
    <w:rsid w:val="00BA053C"/>
    <w:rsid w:val="00BA0934"/>
    <w:rsid w:val="00BA0A0A"/>
    <w:rsid w:val="00BA0D1B"/>
    <w:rsid w:val="00BA0E23"/>
    <w:rsid w:val="00BA1147"/>
    <w:rsid w:val="00BA13FD"/>
    <w:rsid w:val="00BA15A9"/>
    <w:rsid w:val="00BA168D"/>
    <w:rsid w:val="00BA169F"/>
    <w:rsid w:val="00BA17C6"/>
    <w:rsid w:val="00BA19F4"/>
    <w:rsid w:val="00BA1F40"/>
    <w:rsid w:val="00BA2253"/>
    <w:rsid w:val="00BA2433"/>
    <w:rsid w:val="00BA27E4"/>
    <w:rsid w:val="00BA310F"/>
    <w:rsid w:val="00BA378B"/>
    <w:rsid w:val="00BA453B"/>
    <w:rsid w:val="00BA578A"/>
    <w:rsid w:val="00BA5A0F"/>
    <w:rsid w:val="00BA5AF7"/>
    <w:rsid w:val="00BA5B7E"/>
    <w:rsid w:val="00BA5BF2"/>
    <w:rsid w:val="00BA5DBE"/>
    <w:rsid w:val="00BA7049"/>
    <w:rsid w:val="00BA734B"/>
    <w:rsid w:val="00BA76F3"/>
    <w:rsid w:val="00BA7970"/>
    <w:rsid w:val="00BA79F9"/>
    <w:rsid w:val="00BA7FEE"/>
    <w:rsid w:val="00BB05B5"/>
    <w:rsid w:val="00BB0848"/>
    <w:rsid w:val="00BB0DFB"/>
    <w:rsid w:val="00BB0F73"/>
    <w:rsid w:val="00BB0FBC"/>
    <w:rsid w:val="00BB1727"/>
    <w:rsid w:val="00BB1A35"/>
    <w:rsid w:val="00BB1DCC"/>
    <w:rsid w:val="00BB1EBF"/>
    <w:rsid w:val="00BB355A"/>
    <w:rsid w:val="00BB46C9"/>
    <w:rsid w:val="00BB480A"/>
    <w:rsid w:val="00BB4901"/>
    <w:rsid w:val="00BB4C6D"/>
    <w:rsid w:val="00BB4E0A"/>
    <w:rsid w:val="00BB530A"/>
    <w:rsid w:val="00BB66F3"/>
    <w:rsid w:val="00BB6CA6"/>
    <w:rsid w:val="00BB6D98"/>
    <w:rsid w:val="00BB6F95"/>
    <w:rsid w:val="00BB7885"/>
    <w:rsid w:val="00BC03C7"/>
    <w:rsid w:val="00BC12F8"/>
    <w:rsid w:val="00BC1ACC"/>
    <w:rsid w:val="00BC1AD4"/>
    <w:rsid w:val="00BC1B6A"/>
    <w:rsid w:val="00BC1FE1"/>
    <w:rsid w:val="00BC22BD"/>
    <w:rsid w:val="00BC24F3"/>
    <w:rsid w:val="00BC2C2B"/>
    <w:rsid w:val="00BC315B"/>
    <w:rsid w:val="00BC369F"/>
    <w:rsid w:val="00BC3971"/>
    <w:rsid w:val="00BC41B3"/>
    <w:rsid w:val="00BC4D42"/>
    <w:rsid w:val="00BC507D"/>
    <w:rsid w:val="00BC50F3"/>
    <w:rsid w:val="00BC5676"/>
    <w:rsid w:val="00BC5A08"/>
    <w:rsid w:val="00BC5C99"/>
    <w:rsid w:val="00BC624B"/>
    <w:rsid w:val="00BC7496"/>
    <w:rsid w:val="00BD0536"/>
    <w:rsid w:val="00BD0D13"/>
    <w:rsid w:val="00BD158B"/>
    <w:rsid w:val="00BD2613"/>
    <w:rsid w:val="00BD28D4"/>
    <w:rsid w:val="00BD3A3F"/>
    <w:rsid w:val="00BD3B96"/>
    <w:rsid w:val="00BD3BEB"/>
    <w:rsid w:val="00BD3E23"/>
    <w:rsid w:val="00BD489A"/>
    <w:rsid w:val="00BD50A6"/>
    <w:rsid w:val="00BD50B6"/>
    <w:rsid w:val="00BD52BA"/>
    <w:rsid w:val="00BD5B7F"/>
    <w:rsid w:val="00BD5D7A"/>
    <w:rsid w:val="00BD648F"/>
    <w:rsid w:val="00BD661C"/>
    <w:rsid w:val="00BD6682"/>
    <w:rsid w:val="00BD7C9E"/>
    <w:rsid w:val="00BE025D"/>
    <w:rsid w:val="00BE02E5"/>
    <w:rsid w:val="00BE0C40"/>
    <w:rsid w:val="00BE0C6D"/>
    <w:rsid w:val="00BE0E38"/>
    <w:rsid w:val="00BE1D73"/>
    <w:rsid w:val="00BE2023"/>
    <w:rsid w:val="00BE20C3"/>
    <w:rsid w:val="00BE224E"/>
    <w:rsid w:val="00BE2930"/>
    <w:rsid w:val="00BE2F31"/>
    <w:rsid w:val="00BE3108"/>
    <w:rsid w:val="00BE38EE"/>
    <w:rsid w:val="00BE3A5C"/>
    <w:rsid w:val="00BE3C9C"/>
    <w:rsid w:val="00BE411C"/>
    <w:rsid w:val="00BE4AA5"/>
    <w:rsid w:val="00BE524F"/>
    <w:rsid w:val="00BE53CD"/>
    <w:rsid w:val="00BE56B0"/>
    <w:rsid w:val="00BE6270"/>
    <w:rsid w:val="00BE6A64"/>
    <w:rsid w:val="00BE6A65"/>
    <w:rsid w:val="00BE6A84"/>
    <w:rsid w:val="00BE759D"/>
    <w:rsid w:val="00BE7A84"/>
    <w:rsid w:val="00BF05E9"/>
    <w:rsid w:val="00BF1088"/>
    <w:rsid w:val="00BF10F0"/>
    <w:rsid w:val="00BF113C"/>
    <w:rsid w:val="00BF1271"/>
    <w:rsid w:val="00BF2701"/>
    <w:rsid w:val="00BF27A5"/>
    <w:rsid w:val="00BF2CA1"/>
    <w:rsid w:val="00BF2DAE"/>
    <w:rsid w:val="00BF3554"/>
    <w:rsid w:val="00BF3A95"/>
    <w:rsid w:val="00BF3E88"/>
    <w:rsid w:val="00BF4061"/>
    <w:rsid w:val="00BF407F"/>
    <w:rsid w:val="00BF4109"/>
    <w:rsid w:val="00BF41AE"/>
    <w:rsid w:val="00BF4384"/>
    <w:rsid w:val="00BF4D03"/>
    <w:rsid w:val="00BF52BD"/>
    <w:rsid w:val="00BF54F0"/>
    <w:rsid w:val="00BF5655"/>
    <w:rsid w:val="00BF60C4"/>
    <w:rsid w:val="00BF6378"/>
    <w:rsid w:val="00BF65E1"/>
    <w:rsid w:val="00BF660A"/>
    <w:rsid w:val="00BF6DBC"/>
    <w:rsid w:val="00BF6FD9"/>
    <w:rsid w:val="00BF7B97"/>
    <w:rsid w:val="00C00399"/>
    <w:rsid w:val="00C012E7"/>
    <w:rsid w:val="00C01326"/>
    <w:rsid w:val="00C01374"/>
    <w:rsid w:val="00C0138B"/>
    <w:rsid w:val="00C0194E"/>
    <w:rsid w:val="00C01AFD"/>
    <w:rsid w:val="00C02141"/>
    <w:rsid w:val="00C022F0"/>
    <w:rsid w:val="00C02471"/>
    <w:rsid w:val="00C0316B"/>
    <w:rsid w:val="00C0350C"/>
    <w:rsid w:val="00C04340"/>
    <w:rsid w:val="00C04485"/>
    <w:rsid w:val="00C06010"/>
    <w:rsid w:val="00C06D33"/>
    <w:rsid w:val="00C0705B"/>
    <w:rsid w:val="00C070E5"/>
    <w:rsid w:val="00C076D8"/>
    <w:rsid w:val="00C07758"/>
    <w:rsid w:val="00C07E9C"/>
    <w:rsid w:val="00C10AB5"/>
    <w:rsid w:val="00C116D0"/>
    <w:rsid w:val="00C11F22"/>
    <w:rsid w:val="00C12301"/>
    <w:rsid w:val="00C124E9"/>
    <w:rsid w:val="00C12969"/>
    <w:rsid w:val="00C136F3"/>
    <w:rsid w:val="00C13BCD"/>
    <w:rsid w:val="00C13E3D"/>
    <w:rsid w:val="00C14319"/>
    <w:rsid w:val="00C1432C"/>
    <w:rsid w:val="00C14B40"/>
    <w:rsid w:val="00C1560B"/>
    <w:rsid w:val="00C158A1"/>
    <w:rsid w:val="00C15FCA"/>
    <w:rsid w:val="00C1638B"/>
    <w:rsid w:val="00C1690B"/>
    <w:rsid w:val="00C16C39"/>
    <w:rsid w:val="00C17BFC"/>
    <w:rsid w:val="00C17EF3"/>
    <w:rsid w:val="00C20329"/>
    <w:rsid w:val="00C203BE"/>
    <w:rsid w:val="00C20DF8"/>
    <w:rsid w:val="00C2148A"/>
    <w:rsid w:val="00C217B9"/>
    <w:rsid w:val="00C218A1"/>
    <w:rsid w:val="00C21BD5"/>
    <w:rsid w:val="00C21FD1"/>
    <w:rsid w:val="00C221D4"/>
    <w:rsid w:val="00C226A7"/>
    <w:rsid w:val="00C22B93"/>
    <w:rsid w:val="00C22C3C"/>
    <w:rsid w:val="00C23C24"/>
    <w:rsid w:val="00C23E6A"/>
    <w:rsid w:val="00C2438B"/>
    <w:rsid w:val="00C24ADD"/>
    <w:rsid w:val="00C24B5E"/>
    <w:rsid w:val="00C25163"/>
    <w:rsid w:val="00C25B3A"/>
    <w:rsid w:val="00C26B1D"/>
    <w:rsid w:val="00C26B9C"/>
    <w:rsid w:val="00C30253"/>
    <w:rsid w:val="00C30510"/>
    <w:rsid w:val="00C3065B"/>
    <w:rsid w:val="00C30DE2"/>
    <w:rsid w:val="00C30FCC"/>
    <w:rsid w:val="00C32538"/>
    <w:rsid w:val="00C3291B"/>
    <w:rsid w:val="00C32921"/>
    <w:rsid w:val="00C32A6D"/>
    <w:rsid w:val="00C34896"/>
    <w:rsid w:val="00C34B72"/>
    <w:rsid w:val="00C34E36"/>
    <w:rsid w:val="00C34EC8"/>
    <w:rsid w:val="00C34F04"/>
    <w:rsid w:val="00C35730"/>
    <w:rsid w:val="00C359F6"/>
    <w:rsid w:val="00C35AA3"/>
    <w:rsid w:val="00C35DDF"/>
    <w:rsid w:val="00C36282"/>
    <w:rsid w:val="00C3645B"/>
    <w:rsid w:val="00C365A9"/>
    <w:rsid w:val="00C36E97"/>
    <w:rsid w:val="00C37683"/>
    <w:rsid w:val="00C37DF3"/>
    <w:rsid w:val="00C404DC"/>
    <w:rsid w:val="00C40D1A"/>
    <w:rsid w:val="00C4210D"/>
    <w:rsid w:val="00C42642"/>
    <w:rsid w:val="00C42F32"/>
    <w:rsid w:val="00C4415B"/>
    <w:rsid w:val="00C44C88"/>
    <w:rsid w:val="00C44D47"/>
    <w:rsid w:val="00C44D73"/>
    <w:rsid w:val="00C4541B"/>
    <w:rsid w:val="00C4542E"/>
    <w:rsid w:val="00C45BAF"/>
    <w:rsid w:val="00C462E3"/>
    <w:rsid w:val="00C4645C"/>
    <w:rsid w:val="00C465E0"/>
    <w:rsid w:val="00C46A07"/>
    <w:rsid w:val="00C46A2C"/>
    <w:rsid w:val="00C47AD5"/>
    <w:rsid w:val="00C47AE0"/>
    <w:rsid w:val="00C50332"/>
    <w:rsid w:val="00C50DAE"/>
    <w:rsid w:val="00C50F15"/>
    <w:rsid w:val="00C51556"/>
    <w:rsid w:val="00C51714"/>
    <w:rsid w:val="00C52B3E"/>
    <w:rsid w:val="00C53133"/>
    <w:rsid w:val="00C538F8"/>
    <w:rsid w:val="00C53B23"/>
    <w:rsid w:val="00C53D8B"/>
    <w:rsid w:val="00C54011"/>
    <w:rsid w:val="00C541A0"/>
    <w:rsid w:val="00C54B58"/>
    <w:rsid w:val="00C554E8"/>
    <w:rsid w:val="00C5568E"/>
    <w:rsid w:val="00C558BD"/>
    <w:rsid w:val="00C55C65"/>
    <w:rsid w:val="00C55E56"/>
    <w:rsid w:val="00C57361"/>
    <w:rsid w:val="00C579DF"/>
    <w:rsid w:val="00C57ED1"/>
    <w:rsid w:val="00C60A20"/>
    <w:rsid w:val="00C60D86"/>
    <w:rsid w:val="00C610BE"/>
    <w:rsid w:val="00C61207"/>
    <w:rsid w:val="00C61480"/>
    <w:rsid w:val="00C614B9"/>
    <w:rsid w:val="00C622A4"/>
    <w:rsid w:val="00C63206"/>
    <w:rsid w:val="00C63553"/>
    <w:rsid w:val="00C636EF"/>
    <w:rsid w:val="00C63BD4"/>
    <w:rsid w:val="00C64021"/>
    <w:rsid w:val="00C65A79"/>
    <w:rsid w:val="00C65DB8"/>
    <w:rsid w:val="00C66427"/>
    <w:rsid w:val="00C664AD"/>
    <w:rsid w:val="00C665FD"/>
    <w:rsid w:val="00C66EA0"/>
    <w:rsid w:val="00C67B21"/>
    <w:rsid w:val="00C703FE"/>
    <w:rsid w:val="00C70443"/>
    <w:rsid w:val="00C7048E"/>
    <w:rsid w:val="00C70763"/>
    <w:rsid w:val="00C707EE"/>
    <w:rsid w:val="00C7088A"/>
    <w:rsid w:val="00C717C0"/>
    <w:rsid w:val="00C71AE9"/>
    <w:rsid w:val="00C71BA5"/>
    <w:rsid w:val="00C71BC1"/>
    <w:rsid w:val="00C71C7B"/>
    <w:rsid w:val="00C722F9"/>
    <w:rsid w:val="00C723C8"/>
    <w:rsid w:val="00C7285F"/>
    <w:rsid w:val="00C72D08"/>
    <w:rsid w:val="00C73899"/>
    <w:rsid w:val="00C739EC"/>
    <w:rsid w:val="00C74180"/>
    <w:rsid w:val="00C74A6E"/>
    <w:rsid w:val="00C74DA1"/>
    <w:rsid w:val="00C74E0C"/>
    <w:rsid w:val="00C756C6"/>
    <w:rsid w:val="00C757AD"/>
    <w:rsid w:val="00C7582A"/>
    <w:rsid w:val="00C75B0A"/>
    <w:rsid w:val="00C75D3A"/>
    <w:rsid w:val="00C75E84"/>
    <w:rsid w:val="00C75FCC"/>
    <w:rsid w:val="00C7600D"/>
    <w:rsid w:val="00C76558"/>
    <w:rsid w:val="00C766DC"/>
    <w:rsid w:val="00C76BEA"/>
    <w:rsid w:val="00C76F2C"/>
    <w:rsid w:val="00C775CD"/>
    <w:rsid w:val="00C778E0"/>
    <w:rsid w:val="00C77ADB"/>
    <w:rsid w:val="00C77B5A"/>
    <w:rsid w:val="00C77E5A"/>
    <w:rsid w:val="00C80548"/>
    <w:rsid w:val="00C80BE8"/>
    <w:rsid w:val="00C80D80"/>
    <w:rsid w:val="00C80E53"/>
    <w:rsid w:val="00C81CDE"/>
    <w:rsid w:val="00C821CC"/>
    <w:rsid w:val="00C8288D"/>
    <w:rsid w:val="00C83463"/>
    <w:rsid w:val="00C84DEC"/>
    <w:rsid w:val="00C8506C"/>
    <w:rsid w:val="00C862B8"/>
    <w:rsid w:val="00C86406"/>
    <w:rsid w:val="00C8641E"/>
    <w:rsid w:val="00C86F35"/>
    <w:rsid w:val="00C87C7F"/>
    <w:rsid w:val="00C90C9C"/>
    <w:rsid w:val="00C91475"/>
    <w:rsid w:val="00C91D0B"/>
    <w:rsid w:val="00C92092"/>
    <w:rsid w:val="00C92402"/>
    <w:rsid w:val="00C92B97"/>
    <w:rsid w:val="00C93077"/>
    <w:rsid w:val="00C93561"/>
    <w:rsid w:val="00C936F7"/>
    <w:rsid w:val="00C93AF3"/>
    <w:rsid w:val="00C94D85"/>
    <w:rsid w:val="00C951F6"/>
    <w:rsid w:val="00C952CF"/>
    <w:rsid w:val="00C95345"/>
    <w:rsid w:val="00C96A80"/>
    <w:rsid w:val="00C96F24"/>
    <w:rsid w:val="00C96F69"/>
    <w:rsid w:val="00C97355"/>
    <w:rsid w:val="00C97F36"/>
    <w:rsid w:val="00CA0009"/>
    <w:rsid w:val="00CA0117"/>
    <w:rsid w:val="00CA0812"/>
    <w:rsid w:val="00CA0D5E"/>
    <w:rsid w:val="00CA0F50"/>
    <w:rsid w:val="00CA14DC"/>
    <w:rsid w:val="00CA18DB"/>
    <w:rsid w:val="00CA1F83"/>
    <w:rsid w:val="00CA298A"/>
    <w:rsid w:val="00CA327A"/>
    <w:rsid w:val="00CA34A3"/>
    <w:rsid w:val="00CA3B6E"/>
    <w:rsid w:val="00CA3C90"/>
    <w:rsid w:val="00CA3DA9"/>
    <w:rsid w:val="00CA40FA"/>
    <w:rsid w:val="00CA4891"/>
    <w:rsid w:val="00CA492F"/>
    <w:rsid w:val="00CA4B23"/>
    <w:rsid w:val="00CA5552"/>
    <w:rsid w:val="00CA55E3"/>
    <w:rsid w:val="00CA58C6"/>
    <w:rsid w:val="00CA5C34"/>
    <w:rsid w:val="00CA6289"/>
    <w:rsid w:val="00CA649C"/>
    <w:rsid w:val="00CA65D0"/>
    <w:rsid w:val="00CA6744"/>
    <w:rsid w:val="00CA6AC6"/>
    <w:rsid w:val="00CA7023"/>
    <w:rsid w:val="00CA7C66"/>
    <w:rsid w:val="00CB020E"/>
    <w:rsid w:val="00CB0714"/>
    <w:rsid w:val="00CB0DCD"/>
    <w:rsid w:val="00CB1196"/>
    <w:rsid w:val="00CB11DA"/>
    <w:rsid w:val="00CB123A"/>
    <w:rsid w:val="00CB2247"/>
    <w:rsid w:val="00CB2718"/>
    <w:rsid w:val="00CB4198"/>
    <w:rsid w:val="00CB461E"/>
    <w:rsid w:val="00CB466F"/>
    <w:rsid w:val="00CB4A5A"/>
    <w:rsid w:val="00CB503A"/>
    <w:rsid w:val="00CB5C65"/>
    <w:rsid w:val="00CB6259"/>
    <w:rsid w:val="00CB64FE"/>
    <w:rsid w:val="00CB6651"/>
    <w:rsid w:val="00CB72F4"/>
    <w:rsid w:val="00CB735A"/>
    <w:rsid w:val="00CB7456"/>
    <w:rsid w:val="00CC028E"/>
    <w:rsid w:val="00CC0890"/>
    <w:rsid w:val="00CC0F2B"/>
    <w:rsid w:val="00CC117C"/>
    <w:rsid w:val="00CC1269"/>
    <w:rsid w:val="00CC1879"/>
    <w:rsid w:val="00CC1B7F"/>
    <w:rsid w:val="00CC1F12"/>
    <w:rsid w:val="00CC2329"/>
    <w:rsid w:val="00CC2389"/>
    <w:rsid w:val="00CC253D"/>
    <w:rsid w:val="00CC305F"/>
    <w:rsid w:val="00CC3AB0"/>
    <w:rsid w:val="00CC3CC7"/>
    <w:rsid w:val="00CC3D07"/>
    <w:rsid w:val="00CC3D3A"/>
    <w:rsid w:val="00CC3F65"/>
    <w:rsid w:val="00CC53D1"/>
    <w:rsid w:val="00CC543D"/>
    <w:rsid w:val="00CC5733"/>
    <w:rsid w:val="00CC63F4"/>
    <w:rsid w:val="00CC6B79"/>
    <w:rsid w:val="00CC6CE6"/>
    <w:rsid w:val="00CC6D83"/>
    <w:rsid w:val="00CC7825"/>
    <w:rsid w:val="00CC7D7F"/>
    <w:rsid w:val="00CC7E50"/>
    <w:rsid w:val="00CD02DF"/>
    <w:rsid w:val="00CD0B35"/>
    <w:rsid w:val="00CD0DF3"/>
    <w:rsid w:val="00CD18CA"/>
    <w:rsid w:val="00CD19B9"/>
    <w:rsid w:val="00CD2545"/>
    <w:rsid w:val="00CD2B77"/>
    <w:rsid w:val="00CD2BA4"/>
    <w:rsid w:val="00CD2D60"/>
    <w:rsid w:val="00CD363C"/>
    <w:rsid w:val="00CD379A"/>
    <w:rsid w:val="00CD3AE8"/>
    <w:rsid w:val="00CD3D38"/>
    <w:rsid w:val="00CD3E91"/>
    <w:rsid w:val="00CD422D"/>
    <w:rsid w:val="00CD474F"/>
    <w:rsid w:val="00CD503A"/>
    <w:rsid w:val="00CD627C"/>
    <w:rsid w:val="00CD780A"/>
    <w:rsid w:val="00CD7974"/>
    <w:rsid w:val="00CD7B90"/>
    <w:rsid w:val="00CE08C2"/>
    <w:rsid w:val="00CE09A4"/>
    <w:rsid w:val="00CE0C36"/>
    <w:rsid w:val="00CE1205"/>
    <w:rsid w:val="00CE16D1"/>
    <w:rsid w:val="00CE2337"/>
    <w:rsid w:val="00CE25CB"/>
    <w:rsid w:val="00CE27A1"/>
    <w:rsid w:val="00CE27DE"/>
    <w:rsid w:val="00CE31A3"/>
    <w:rsid w:val="00CE43FD"/>
    <w:rsid w:val="00CE454A"/>
    <w:rsid w:val="00CE45DB"/>
    <w:rsid w:val="00CE472B"/>
    <w:rsid w:val="00CE4E24"/>
    <w:rsid w:val="00CE51A3"/>
    <w:rsid w:val="00CE5719"/>
    <w:rsid w:val="00CE5C07"/>
    <w:rsid w:val="00CE62A2"/>
    <w:rsid w:val="00CE65E9"/>
    <w:rsid w:val="00CE678D"/>
    <w:rsid w:val="00CE74B5"/>
    <w:rsid w:val="00CE75A1"/>
    <w:rsid w:val="00CF05D6"/>
    <w:rsid w:val="00CF0737"/>
    <w:rsid w:val="00CF0EA7"/>
    <w:rsid w:val="00CF0EC2"/>
    <w:rsid w:val="00CF19BB"/>
    <w:rsid w:val="00CF1C9C"/>
    <w:rsid w:val="00CF20EB"/>
    <w:rsid w:val="00CF3204"/>
    <w:rsid w:val="00CF3540"/>
    <w:rsid w:val="00CF3A76"/>
    <w:rsid w:val="00CF3E2A"/>
    <w:rsid w:val="00CF4F1D"/>
    <w:rsid w:val="00CF5D26"/>
    <w:rsid w:val="00CF615F"/>
    <w:rsid w:val="00CF6438"/>
    <w:rsid w:val="00CF68FD"/>
    <w:rsid w:val="00D003F9"/>
    <w:rsid w:val="00D00D1F"/>
    <w:rsid w:val="00D016C1"/>
    <w:rsid w:val="00D01C71"/>
    <w:rsid w:val="00D0216F"/>
    <w:rsid w:val="00D03332"/>
    <w:rsid w:val="00D03AC9"/>
    <w:rsid w:val="00D03B11"/>
    <w:rsid w:val="00D04194"/>
    <w:rsid w:val="00D0432A"/>
    <w:rsid w:val="00D04493"/>
    <w:rsid w:val="00D04B59"/>
    <w:rsid w:val="00D0564A"/>
    <w:rsid w:val="00D05901"/>
    <w:rsid w:val="00D05B77"/>
    <w:rsid w:val="00D05C0F"/>
    <w:rsid w:val="00D067C4"/>
    <w:rsid w:val="00D06F25"/>
    <w:rsid w:val="00D071A0"/>
    <w:rsid w:val="00D103E6"/>
    <w:rsid w:val="00D110BC"/>
    <w:rsid w:val="00D1133B"/>
    <w:rsid w:val="00D11610"/>
    <w:rsid w:val="00D11641"/>
    <w:rsid w:val="00D11E1C"/>
    <w:rsid w:val="00D1222F"/>
    <w:rsid w:val="00D12D9E"/>
    <w:rsid w:val="00D13368"/>
    <w:rsid w:val="00D14473"/>
    <w:rsid w:val="00D148E2"/>
    <w:rsid w:val="00D1503F"/>
    <w:rsid w:val="00D154CE"/>
    <w:rsid w:val="00D15A4A"/>
    <w:rsid w:val="00D15B38"/>
    <w:rsid w:val="00D15E97"/>
    <w:rsid w:val="00D16180"/>
    <w:rsid w:val="00D16C33"/>
    <w:rsid w:val="00D16DA1"/>
    <w:rsid w:val="00D1719D"/>
    <w:rsid w:val="00D17531"/>
    <w:rsid w:val="00D20080"/>
    <w:rsid w:val="00D202E8"/>
    <w:rsid w:val="00D20381"/>
    <w:rsid w:val="00D20572"/>
    <w:rsid w:val="00D20FCC"/>
    <w:rsid w:val="00D21790"/>
    <w:rsid w:val="00D21AD0"/>
    <w:rsid w:val="00D21E53"/>
    <w:rsid w:val="00D22085"/>
    <w:rsid w:val="00D22554"/>
    <w:rsid w:val="00D228B8"/>
    <w:rsid w:val="00D22AA0"/>
    <w:rsid w:val="00D23B32"/>
    <w:rsid w:val="00D241A9"/>
    <w:rsid w:val="00D2558F"/>
    <w:rsid w:val="00D2619F"/>
    <w:rsid w:val="00D26596"/>
    <w:rsid w:val="00D26A17"/>
    <w:rsid w:val="00D26C41"/>
    <w:rsid w:val="00D2760F"/>
    <w:rsid w:val="00D27CC4"/>
    <w:rsid w:val="00D30071"/>
    <w:rsid w:val="00D302B2"/>
    <w:rsid w:val="00D30501"/>
    <w:rsid w:val="00D30EA0"/>
    <w:rsid w:val="00D3120F"/>
    <w:rsid w:val="00D3203E"/>
    <w:rsid w:val="00D32159"/>
    <w:rsid w:val="00D32530"/>
    <w:rsid w:val="00D32911"/>
    <w:rsid w:val="00D32993"/>
    <w:rsid w:val="00D32A60"/>
    <w:rsid w:val="00D32B0C"/>
    <w:rsid w:val="00D32FBA"/>
    <w:rsid w:val="00D32FC1"/>
    <w:rsid w:val="00D3346F"/>
    <w:rsid w:val="00D337C6"/>
    <w:rsid w:val="00D34721"/>
    <w:rsid w:val="00D3498D"/>
    <w:rsid w:val="00D34F4B"/>
    <w:rsid w:val="00D35E2A"/>
    <w:rsid w:val="00D363D3"/>
    <w:rsid w:val="00D36BF3"/>
    <w:rsid w:val="00D3757F"/>
    <w:rsid w:val="00D37761"/>
    <w:rsid w:val="00D377D2"/>
    <w:rsid w:val="00D40585"/>
    <w:rsid w:val="00D40F3E"/>
    <w:rsid w:val="00D40F78"/>
    <w:rsid w:val="00D40FEB"/>
    <w:rsid w:val="00D41243"/>
    <w:rsid w:val="00D4140B"/>
    <w:rsid w:val="00D417DE"/>
    <w:rsid w:val="00D41FD7"/>
    <w:rsid w:val="00D4227C"/>
    <w:rsid w:val="00D422C8"/>
    <w:rsid w:val="00D432A1"/>
    <w:rsid w:val="00D43369"/>
    <w:rsid w:val="00D43C08"/>
    <w:rsid w:val="00D43E02"/>
    <w:rsid w:val="00D4423B"/>
    <w:rsid w:val="00D443AD"/>
    <w:rsid w:val="00D44419"/>
    <w:rsid w:val="00D44ADD"/>
    <w:rsid w:val="00D44E22"/>
    <w:rsid w:val="00D44EA6"/>
    <w:rsid w:val="00D4580F"/>
    <w:rsid w:val="00D4660E"/>
    <w:rsid w:val="00D47008"/>
    <w:rsid w:val="00D47071"/>
    <w:rsid w:val="00D47B26"/>
    <w:rsid w:val="00D502A1"/>
    <w:rsid w:val="00D505F9"/>
    <w:rsid w:val="00D51926"/>
    <w:rsid w:val="00D5228B"/>
    <w:rsid w:val="00D522FD"/>
    <w:rsid w:val="00D52CCD"/>
    <w:rsid w:val="00D5341C"/>
    <w:rsid w:val="00D5370F"/>
    <w:rsid w:val="00D539A9"/>
    <w:rsid w:val="00D53D41"/>
    <w:rsid w:val="00D54AAB"/>
    <w:rsid w:val="00D55170"/>
    <w:rsid w:val="00D555A1"/>
    <w:rsid w:val="00D5585D"/>
    <w:rsid w:val="00D572AB"/>
    <w:rsid w:val="00D577CD"/>
    <w:rsid w:val="00D57B33"/>
    <w:rsid w:val="00D60668"/>
    <w:rsid w:val="00D61193"/>
    <w:rsid w:val="00D61A96"/>
    <w:rsid w:val="00D6210B"/>
    <w:rsid w:val="00D62F0B"/>
    <w:rsid w:val="00D63959"/>
    <w:rsid w:val="00D63CBB"/>
    <w:rsid w:val="00D64D80"/>
    <w:rsid w:val="00D65133"/>
    <w:rsid w:val="00D652F0"/>
    <w:rsid w:val="00D658F2"/>
    <w:rsid w:val="00D65C2B"/>
    <w:rsid w:val="00D66052"/>
    <w:rsid w:val="00D66214"/>
    <w:rsid w:val="00D66A42"/>
    <w:rsid w:val="00D7012A"/>
    <w:rsid w:val="00D70766"/>
    <w:rsid w:val="00D70941"/>
    <w:rsid w:val="00D712EE"/>
    <w:rsid w:val="00D713E2"/>
    <w:rsid w:val="00D716D0"/>
    <w:rsid w:val="00D71BE6"/>
    <w:rsid w:val="00D72FE5"/>
    <w:rsid w:val="00D73FAE"/>
    <w:rsid w:val="00D74100"/>
    <w:rsid w:val="00D74333"/>
    <w:rsid w:val="00D74611"/>
    <w:rsid w:val="00D74A76"/>
    <w:rsid w:val="00D7501B"/>
    <w:rsid w:val="00D755E3"/>
    <w:rsid w:val="00D75895"/>
    <w:rsid w:val="00D759AA"/>
    <w:rsid w:val="00D759F7"/>
    <w:rsid w:val="00D75B8E"/>
    <w:rsid w:val="00D7658A"/>
    <w:rsid w:val="00D765E1"/>
    <w:rsid w:val="00D7694A"/>
    <w:rsid w:val="00D770BD"/>
    <w:rsid w:val="00D77898"/>
    <w:rsid w:val="00D779C2"/>
    <w:rsid w:val="00D77F27"/>
    <w:rsid w:val="00D800B3"/>
    <w:rsid w:val="00D80493"/>
    <w:rsid w:val="00D80AFF"/>
    <w:rsid w:val="00D821AA"/>
    <w:rsid w:val="00D82AAE"/>
    <w:rsid w:val="00D82C83"/>
    <w:rsid w:val="00D831EE"/>
    <w:rsid w:val="00D83425"/>
    <w:rsid w:val="00D83534"/>
    <w:rsid w:val="00D8365E"/>
    <w:rsid w:val="00D83CC5"/>
    <w:rsid w:val="00D84DA0"/>
    <w:rsid w:val="00D84FD2"/>
    <w:rsid w:val="00D856AC"/>
    <w:rsid w:val="00D857D1"/>
    <w:rsid w:val="00D85B6F"/>
    <w:rsid w:val="00D8605F"/>
    <w:rsid w:val="00D872EA"/>
    <w:rsid w:val="00D872ED"/>
    <w:rsid w:val="00D8780F"/>
    <w:rsid w:val="00D878DC"/>
    <w:rsid w:val="00D879BC"/>
    <w:rsid w:val="00D90A9E"/>
    <w:rsid w:val="00D90E43"/>
    <w:rsid w:val="00D91A9F"/>
    <w:rsid w:val="00D92067"/>
    <w:rsid w:val="00D920B9"/>
    <w:rsid w:val="00D925D3"/>
    <w:rsid w:val="00D92A64"/>
    <w:rsid w:val="00D92ED1"/>
    <w:rsid w:val="00D93085"/>
    <w:rsid w:val="00D93368"/>
    <w:rsid w:val="00D93E93"/>
    <w:rsid w:val="00D94316"/>
    <w:rsid w:val="00D94EDF"/>
    <w:rsid w:val="00D9519F"/>
    <w:rsid w:val="00D95698"/>
    <w:rsid w:val="00D961AB"/>
    <w:rsid w:val="00D970A6"/>
    <w:rsid w:val="00D97898"/>
    <w:rsid w:val="00D97A49"/>
    <w:rsid w:val="00D97EF9"/>
    <w:rsid w:val="00DA0628"/>
    <w:rsid w:val="00DA0DD8"/>
    <w:rsid w:val="00DA0E37"/>
    <w:rsid w:val="00DA0E75"/>
    <w:rsid w:val="00DA2218"/>
    <w:rsid w:val="00DA224C"/>
    <w:rsid w:val="00DA228A"/>
    <w:rsid w:val="00DA309B"/>
    <w:rsid w:val="00DA37A8"/>
    <w:rsid w:val="00DA42B0"/>
    <w:rsid w:val="00DA4870"/>
    <w:rsid w:val="00DA4F58"/>
    <w:rsid w:val="00DA51CB"/>
    <w:rsid w:val="00DA6006"/>
    <w:rsid w:val="00DA628D"/>
    <w:rsid w:val="00DA6644"/>
    <w:rsid w:val="00DA6A4E"/>
    <w:rsid w:val="00DA6F9E"/>
    <w:rsid w:val="00DA7417"/>
    <w:rsid w:val="00DA7DF7"/>
    <w:rsid w:val="00DA7F64"/>
    <w:rsid w:val="00DB011C"/>
    <w:rsid w:val="00DB01E4"/>
    <w:rsid w:val="00DB07D1"/>
    <w:rsid w:val="00DB0D31"/>
    <w:rsid w:val="00DB18BE"/>
    <w:rsid w:val="00DB1B21"/>
    <w:rsid w:val="00DB1EEC"/>
    <w:rsid w:val="00DB2B84"/>
    <w:rsid w:val="00DB2D52"/>
    <w:rsid w:val="00DB33B2"/>
    <w:rsid w:val="00DB446F"/>
    <w:rsid w:val="00DB44CC"/>
    <w:rsid w:val="00DB4913"/>
    <w:rsid w:val="00DB4C7C"/>
    <w:rsid w:val="00DB4F5F"/>
    <w:rsid w:val="00DB62F7"/>
    <w:rsid w:val="00DB69F8"/>
    <w:rsid w:val="00DB6BFD"/>
    <w:rsid w:val="00DB7117"/>
    <w:rsid w:val="00DB7780"/>
    <w:rsid w:val="00DB7FCC"/>
    <w:rsid w:val="00DC04E4"/>
    <w:rsid w:val="00DC06DB"/>
    <w:rsid w:val="00DC0D2B"/>
    <w:rsid w:val="00DC1688"/>
    <w:rsid w:val="00DC1D52"/>
    <w:rsid w:val="00DC31FA"/>
    <w:rsid w:val="00DC3281"/>
    <w:rsid w:val="00DC3771"/>
    <w:rsid w:val="00DC48EE"/>
    <w:rsid w:val="00DC49DD"/>
    <w:rsid w:val="00DC559E"/>
    <w:rsid w:val="00DC68D1"/>
    <w:rsid w:val="00DC6A5A"/>
    <w:rsid w:val="00DC6ED7"/>
    <w:rsid w:val="00DD0507"/>
    <w:rsid w:val="00DD1009"/>
    <w:rsid w:val="00DD152C"/>
    <w:rsid w:val="00DD16CB"/>
    <w:rsid w:val="00DD17CD"/>
    <w:rsid w:val="00DD1920"/>
    <w:rsid w:val="00DD1ACC"/>
    <w:rsid w:val="00DD1B0F"/>
    <w:rsid w:val="00DD1FD3"/>
    <w:rsid w:val="00DD2208"/>
    <w:rsid w:val="00DD25A0"/>
    <w:rsid w:val="00DD274C"/>
    <w:rsid w:val="00DD2B48"/>
    <w:rsid w:val="00DD3030"/>
    <w:rsid w:val="00DD3120"/>
    <w:rsid w:val="00DD41F2"/>
    <w:rsid w:val="00DD44FF"/>
    <w:rsid w:val="00DD498E"/>
    <w:rsid w:val="00DD4DD1"/>
    <w:rsid w:val="00DD5B99"/>
    <w:rsid w:val="00DD5F31"/>
    <w:rsid w:val="00DD6D1B"/>
    <w:rsid w:val="00DD6E07"/>
    <w:rsid w:val="00DD6F3B"/>
    <w:rsid w:val="00DE041D"/>
    <w:rsid w:val="00DE043A"/>
    <w:rsid w:val="00DE0C46"/>
    <w:rsid w:val="00DE0D38"/>
    <w:rsid w:val="00DE0E6F"/>
    <w:rsid w:val="00DE0EBB"/>
    <w:rsid w:val="00DE0FCE"/>
    <w:rsid w:val="00DE14CD"/>
    <w:rsid w:val="00DE185F"/>
    <w:rsid w:val="00DE2B79"/>
    <w:rsid w:val="00DE33DE"/>
    <w:rsid w:val="00DE3682"/>
    <w:rsid w:val="00DE3769"/>
    <w:rsid w:val="00DE4087"/>
    <w:rsid w:val="00DE419F"/>
    <w:rsid w:val="00DE4ED0"/>
    <w:rsid w:val="00DE55CC"/>
    <w:rsid w:val="00DE5820"/>
    <w:rsid w:val="00DE58D1"/>
    <w:rsid w:val="00DE5AB8"/>
    <w:rsid w:val="00DE5C0D"/>
    <w:rsid w:val="00DE5C4B"/>
    <w:rsid w:val="00DE6B29"/>
    <w:rsid w:val="00DF030D"/>
    <w:rsid w:val="00DF1073"/>
    <w:rsid w:val="00DF1083"/>
    <w:rsid w:val="00DF1B6E"/>
    <w:rsid w:val="00DF24BE"/>
    <w:rsid w:val="00DF285B"/>
    <w:rsid w:val="00DF36B0"/>
    <w:rsid w:val="00DF400D"/>
    <w:rsid w:val="00DF5B9E"/>
    <w:rsid w:val="00DF7BE9"/>
    <w:rsid w:val="00DF7D03"/>
    <w:rsid w:val="00E00001"/>
    <w:rsid w:val="00E0039B"/>
    <w:rsid w:val="00E00B68"/>
    <w:rsid w:val="00E0100F"/>
    <w:rsid w:val="00E01409"/>
    <w:rsid w:val="00E01D74"/>
    <w:rsid w:val="00E022C5"/>
    <w:rsid w:val="00E029C9"/>
    <w:rsid w:val="00E02EDE"/>
    <w:rsid w:val="00E030ED"/>
    <w:rsid w:val="00E03745"/>
    <w:rsid w:val="00E03752"/>
    <w:rsid w:val="00E03DBC"/>
    <w:rsid w:val="00E04C9C"/>
    <w:rsid w:val="00E058A0"/>
    <w:rsid w:val="00E05A75"/>
    <w:rsid w:val="00E05DC6"/>
    <w:rsid w:val="00E0654F"/>
    <w:rsid w:val="00E06ED8"/>
    <w:rsid w:val="00E07D7D"/>
    <w:rsid w:val="00E100E4"/>
    <w:rsid w:val="00E107F8"/>
    <w:rsid w:val="00E10AF3"/>
    <w:rsid w:val="00E10DF5"/>
    <w:rsid w:val="00E1101C"/>
    <w:rsid w:val="00E111DC"/>
    <w:rsid w:val="00E11232"/>
    <w:rsid w:val="00E112DB"/>
    <w:rsid w:val="00E11E06"/>
    <w:rsid w:val="00E1226E"/>
    <w:rsid w:val="00E124FE"/>
    <w:rsid w:val="00E1354A"/>
    <w:rsid w:val="00E13E41"/>
    <w:rsid w:val="00E14BBB"/>
    <w:rsid w:val="00E15508"/>
    <w:rsid w:val="00E157A9"/>
    <w:rsid w:val="00E15EA2"/>
    <w:rsid w:val="00E161A7"/>
    <w:rsid w:val="00E16B2F"/>
    <w:rsid w:val="00E16E40"/>
    <w:rsid w:val="00E16E9C"/>
    <w:rsid w:val="00E173EB"/>
    <w:rsid w:val="00E17CFC"/>
    <w:rsid w:val="00E20C5A"/>
    <w:rsid w:val="00E20CBF"/>
    <w:rsid w:val="00E210A5"/>
    <w:rsid w:val="00E214BE"/>
    <w:rsid w:val="00E2151E"/>
    <w:rsid w:val="00E2182F"/>
    <w:rsid w:val="00E219AC"/>
    <w:rsid w:val="00E21F53"/>
    <w:rsid w:val="00E2264C"/>
    <w:rsid w:val="00E232B4"/>
    <w:rsid w:val="00E23743"/>
    <w:rsid w:val="00E23C59"/>
    <w:rsid w:val="00E2500A"/>
    <w:rsid w:val="00E251F9"/>
    <w:rsid w:val="00E255AB"/>
    <w:rsid w:val="00E25A80"/>
    <w:rsid w:val="00E261E0"/>
    <w:rsid w:val="00E2765A"/>
    <w:rsid w:val="00E27A96"/>
    <w:rsid w:val="00E27B5F"/>
    <w:rsid w:val="00E27FA3"/>
    <w:rsid w:val="00E30832"/>
    <w:rsid w:val="00E3152D"/>
    <w:rsid w:val="00E3184D"/>
    <w:rsid w:val="00E31901"/>
    <w:rsid w:val="00E33469"/>
    <w:rsid w:val="00E336DA"/>
    <w:rsid w:val="00E34438"/>
    <w:rsid w:val="00E34441"/>
    <w:rsid w:val="00E3452D"/>
    <w:rsid w:val="00E3481E"/>
    <w:rsid w:val="00E34CAE"/>
    <w:rsid w:val="00E35471"/>
    <w:rsid w:val="00E35A56"/>
    <w:rsid w:val="00E36BCF"/>
    <w:rsid w:val="00E3757F"/>
    <w:rsid w:val="00E376A6"/>
    <w:rsid w:val="00E3797A"/>
    <w:rsid w:val="00E41244"/>
    <w:rsid w:val="00E41366"/>
    <w:rsid w:val="00E4139C"/>
    <w:rsid w:val="00E41DE3"/>
    <w:rsid w:val="00E41DE9"/>
    <w:rsid w:val="00E426A4"/>
    <w:rsid w:val="00E4324C"/>
    <w:rsid w:val="00E43EC0"/>
    <w:rsid w:val="00E441DD"/>
    <w:rsid w:val="00E449BA"/>
    <w:rsid w:val="00E44A68"/>
    <w:rsid w:val="00E45174"/>
    <w:rsid w:val="00E4520E"/>
    <w:rsid w:val="00E4523F"/>
    <w:rsid w:val="00E45376"/>
    <w:rsid w:val="00E457CF"/>
    <w:rsid w:val="00E4656F"/>
    <w:rsid w:val="00E4659C"/>
    <w:rsid w:val="00E4746D"/>
    <w:rsid w:val="00E47EC0"/>
    <w:rsid w:val="00E47F97"/>
    <w:rsid w:val="00E50A16"/>
    <w:rsid w:val="00E50F12"/>
    <w:rsid w:val="00E514D3"/>
    <w:rsid w:val="00E51C75"/>
    <w:rsid w:val="00E51DA1"/>
    <w:rsid w:val="00E5281D"/>
    <w:rsid w:val="00E5289A"/>
    <w:rsid w:val="00E53A21"/>
    <w:rsid w:val="00E53A90"/>
    <w:rsid w:val="00E53BF6"/>
    <w:rsid w:val="00E53D53"/>
    <w:rsid w:val="00E53DAC"/>
    <w:rsid w:val="00E540E1"/>
    <w:rsid w:val="00E54257"/>
    <w:rsid w:val="00E5465F"/>
    <w:rsid w:val="00E55210"/>
    <w:rsid w:val="00E55C02"/>
    <w:rsid w:val="00E55C7B"/>
    <w:rsid w:val="00E56027"/>
    <w:rsid w:val="00E561CB"/>
    <w:rsid w:val="00E5684B"/>
    <w:rsid w:val="00E56F05"/>
    <w:rsid w:val="00E5730C"/>
    <w:rsid w:val="00E574EC"/>
    <w:rsid w:val="00E57B16"/>
    <w:rsid w:val="00E6016E"/>
    <w:rsid w:val="00E601E9"/>
    <w:rsid w:val="00E6025C"/>
    <w:rsid w:val="00E60493"/>
    <w:rsid w:val="00E6058C"/>
    <w:rsid w:val="00E6105A"/>
    <w:rsid w:val="00E61289"/>
    <w:rsid w:val="00E6135C"/>
    <w:rsid w:val="00E6186F"/>
    <w:rsid w:val="00E62308"/>
    <w:rsid w:val="00E6230C"/>
    <w:rsid w:val="00E62406"/>
    <w:rsid w:val="00E624EC"/>
    <w:rsid w:val="00E62BFA"/>
    <w:rsid w:val="00E62CA1"/>
    <w:rsid w:val="00E63304"/>
    <w:rsid w:val="00E6338E"/>
    <w:rsid w:val="00E63D7D"/>
    <w:rsid w:val="00E646EE"/>
    <w:rsid w:val="00E64867"/>
    <w:rsid w:val="00E650F3"/>
    <w:rsid w:val="00E65101"/>
    <w:rsid w:val="00E6579B"/>
    <w:rsid w:val="00E6598C"/>
    <w:rsid w:val="00E65D5D"/>
    <w:rsid w:val="00E65EA3"/>
    <w:rsid w:val="00E6662A"/>
    <w:rsid w:val="00E66D60"/>
    <w:rsid w:val="00E66F1A"/>
    <w:rsid w:val="00E66F9B"/>
    <w:rsid w:val="00E67513"/>
    <w:rsid w:val="00E6773C"/>
    <w:rsid w:val="00E70B2C"/>
    <w:rsid w:val="00E710C0"/>
    <w:rsid w:val="00E712B9"/>
    <w:rsid w:val="00E71573"/>
    <w:rsid w:val="00E722DA"/>
    <w:rsid w:val="00E72A94"/>
    <w:rsid w:val="00E72F1B"/>
    <w:rsid w:val="00E73575"/>
    <w:rsid w:val="00E737CD"/>
    <w:rsid w:val="00E7392E"/>
    <w:rsid w:val="00E73D56"/>
    <w:rsid w:val="00E742EB"/>
    <w:rsid w:val="00E75381"/>
    <w:rsid w:val="00E75429"/>
    <w:rsid w:val="00E75A18"/>
    <w:rsid w:val="00E76B62"/>
    <w:rsid w:val="00E76D72"/>
    <w:rsid w:val="00E77723"/>
    <w:rsid w:val="00E803DF"/>
    <w:rsid w:val="00E806AA"/>
    <w:rsid w:val="00E80D48"/>
    <w:rsid w:val="00E8129A"/>
    <w:rsid w:val="00E8160A"/>
    <w:rsid w:val="00E81664"/>
    <w:rsid w:val="00E8179A"/>
    <w:rsid w:val="00E823EC"/>
    <w:rsid w:val="00E834B2"/>
    <w:rsid w:val="00E8458F"/>
    <w:rsid w:val="00E848C0"/>
    <w:rsid w:val="00E84A1C"/>
    <w:rsid w:val="00E850AB"/>
    <w:rsid w:val="00E851F1"/>
    <w:rsid w:val="00E85214"/>
    <w:rsid w:val="00E8595F"/>
    <w:rsid w:val="00E865D3"/>
    <w:rsid w:val="00E8669D"/>
    <w:rsid w:val="00E868A8"/>
    <w:rsid w:val="00E86C70"/>
    <w:rsid w:val="00E878D5"/>
    <w:rsid w:val="00E87970"/>
    <w:rsid w:val="00E87E0E"/>
    <w:rsid w:val="00E90BAF"/>
    <w:rsid w:val="00E913E0"/>
    <w:rsid w:val="00E9149C"/>
    <w:rsid w:val="00E915FD"/>
    <w:rsid w:val="00E917BF"/>
    <w:rsid w:val="00E91CFA"/>
    <w:rsid w:val="00E91D28"/>
    <w:rsid w:val="00E92208"/>
    <w:rsid w:val="00E93D34"/>
    <w:rsid w:val="00E94749"/>
    <w:rsid w:val="00E95EE6"/>
    <w:rsid w:val="00E961DF"/>
    <w:rsid w:val="00E96991"/>
    <w:rsid w:val="00E97309"/>
    <w:rsid w:val="00E974B3"/>
    <w:rsid w:val="00E976FF"/>
    <w:rsid w:val="00E97A28"/>
    <w:rsid w:val="00E97F75"/>
    <w:rsid w:val="00EA0104"/>
    <w:rsid w:val="00EA0941"/>
    <w:rsid w:val="00EA1268"/>
    <w:rsid w:val="00EA14E1"/>
    <w:rsid w:val="00EA1DD4"/>
    <w:rsid w:val="00EA24F8"/>
    <w:rsid w:val="00EA262B"/>
    <w:rsid w:val="00EA2724"/>
    <w:rsid w:val="00EA27DE"/>
    <w:rsid w:val="00EA2C45"/>
    <w:rsid w:val="00EA34C1"/>
    <w:rsid w:val="00EA3E6A"/>
    <w:rsid w:val="00EA415E"/>
    <w:rsid w:val="00EA478A"/>
    <w:rsid w:val="00EA5169"/>
    <w:rsid w:val="00EA532E"/>
    <w:rsid w:val="00EA560B"/>
    <w:rsid w:val="00EA576D"/>
    <w:rsid w:val="00EA5CEE"/>
    <w:rsid w:val="00EA5DAE"/>
    <w:rsid w:val="00EA6162"/>
    <w:rsid w:val="00EA6908"/>
    <w:rsid w:val="00EA6AC5"/>
    <w:rsid w:val="00EA76B4"/>
    <w:rsid w:val="00EA79D2"/>
    <w:rsid w:val="00EB03DF"/>
    <w:rsid w:val="00EB0CDE"/>
    <w:rsid w:val="00EB0D67"/>
    <w:rsid w:val="00EB1E7A"/>
    <w:rsid w:val="00EB25D6"/>
    <w:rsid w:val="00EB2740"/>
    <w:rsid w:val="00EB2CE3"/>
    <w:rsid w:val="00EB2D52"/>
    <w:rsid w:val="00EB2F4C"/>
    <w:rsid w:val="00EB3024"/>
    <w:rsid w:val="00EB38B5"/>
    <w:rsid w:val="00EB3BF8"/>
    <w:rsid w:val="00EB3EDD"/>
    <w:rsid w:val="00EB40A9"/>
    <w:rsid w:val="00EB4923"/>
    <w:rsid w:val="00EB4AC1"/>
    <w:rsid w:val="00EB4B83"/>
    <w:rsid w:val="00EB4BEF"/>
    <w:rsid w:val="00EB5470"/>
    <w:rsid w:val="00EB5560"/>
    <w:rsid w:val="00EB60AC"/>
    <w:rsid w:val="00EB6A34"/>
    <w:rsid w:val="00EB6CF1"/>
    <w:rsid w:val="00EB75CE"/>
    <w:rsid w:val="00EC04E0"/>
    <w:rsid w:val="00EC053A"/>
    <w:rsid w:val="00EC0D37"/>
    <w:rsid w:val="00EC0FF6"/>
    <w:rsid w:val="00EC37EF"/>
    <w:rsid w:val="00EC3E56"/>
    <w:rsid w:val="00EC4E06"/>
    <w:rsid w:val="00EC52FE"/>
    <w:rsid w:val="00EC6648"/>
    <w:rsid w:val="00EC6A5A"/>
    <w:rsid w:val="00EC6C3A"/>
    <w:rsid w:val="00EC72E4"/>
    <w:rsid w:val="00ED006E"/>
    <w:rsid w:val="00ED0142"/>
    <w:rsid w:val="00ED01B4"/>
    <w:rsid w:val="00ED023E"/>
    <w:rsid w:val="00ED048A"/>
    <w:rsid w:val="00ED118E"/>
    <w:rsid w:val="00ED12CF"/>
    <w:rsid w:val="00ED1445"/>
    <w:rsid w:val="00ED155F"/>
    <w:rsid w:val="00ED2474"/>
    <w:rsid w:val="00ED2A41"/>
    <w:rsid w:val="00ED2C83"/>
    <w:rsid w:val="00ED32C7"/>
    <w:rsid w:val="00ED39EC"/>
    <w:rsid w:val="00ED4030"/>
    <w:rsid w:val="00ED4211"/>
    <w:rsid w:val="00ED4E99"/>
    <w:rsid w:val="00ED5350"/>
    <w:rsid w:val="00ED54A2"/>
    <w:rsid w:val="00ED5F09"/>
    <w:rsid w:val="00ED6469"/>
    <w:rsid w:val="00ED66BA"/>
    <w:rsid w:val="00ED6C07"/>
    <w:rsid w:val="00ED7351"/>
    <w:rsid w:val="00ED7479"/>
    <w:rsid w:val="00ED74BF"/>
    <w:rsid w:val="00ED74E7"/>
    <w:rsid w:val="00ED7799"/>
    <w:rsid w:val="00ED7B8D"/>
    <w:rsid w:val="00EE0413"/>
    <w:rsid w:val="00EE10C8"/>
    <w:rsid w:val="00EE1A0D"/>
    <w:rsid w:val="00EE1E94"/>
    <w:rsid w:val="00EE2F6A"/>
    <w:rsid w:val="00EE3F46"/>
    <w:rsid w:val="00EE4348"/>
    <w:rsid w:val="00EE478B"/>
    <w:rsid w:val="00EE484A"/>
    <w:rsid w:val="00EE4C47"/>
    <w:rsid w:val="00EE5439"/>
    <w:rsid w:val="00EE559D"/>
    <w:rsid w:val="00EE592D"/>
    <w:rsid w:val="00EE63DF"/>
    <w:rsid w:val="00EE682B"/>
    <w:rsid w:val="00EE6934"/>
    <w:rsid w:val="00EE6D7D"/>
    <w:rsid w:val="00EE707A"/>
    <w:rsid w:val="00EE78D1"/>
    <w:rsid w:val="00EE78F9"/>
    <w:rsid w:val="00EE7A0B"/>
    <w:rsid w:val="00EE7C62"/>
    <w:rsid w:val="00EE7F0D"/>
    <w:rsid w:val="00EF0825"/>
    <w:rsid w:val="00EF0FE7"/>
    <w:rsid w:val="00EF1B13"/>
    <w:rsid w:val="00EF2572"/>
    <w:rsid w:val="00EF2771"/>
    <w:rsid w:val="00EF2A35"/>
    <w:rsid w:val="00EF2AF3"/>
    <w:rsid w:val="00EF32E7"/>
    <w:rsid w:val="00EF363B"/>
    <w:rsid w:val="00EF3C20"/>
    <w:rsid w:val="00EF4A5E"/>
    <w:rsid w:val="00EF4F3F"/>
    <w:rsid w:val="00EF4F91"/>
    <w:rsid w:val="00EF55F3"/>
    <w:rsid w:val="00EF5CBF"/>
    <w:rsid w:val="00EF620B"/>
    <w:rsid w:val="00EF6466"/>
    <w:rsid w:val="00EF6526"/>
    <w:rsid w:val="00EF693B"/>
    <w:rsid w:val="00EF6DD6"/>
    <w:rsid w:val="00EF75A7"/>
    <w:rsid w:val="00EF7600"/>
    <w:rsid w:val="00F002AC"/>
    <w:rsid w:val="00F003F1"/>
    <w:rsid w:val="00F0040E"/>
    <w:rsid w:val="00F00ADC"/>
    <w:rsid w:val="00F00D7D"/>
    <w:rsid w:val="00F01F44"/>
    <w:rsid w:val="00F02106"/>
    <w:rsid w:val="00F0224A"/>
    <w:rsid w:val="00F027B8"/>
    <w:rsid w:val="00F03A99"/>
    <w:rsid w:val="00F03DF1"/>
    <w:rsid w:val="00F04DC4"/>
    <w:rsid w:val="00F04ECA"/>
    <w:rsid w:val="00F05355"/>
    <w:rsid w:val="00F0542E"/>
    <w:rsid w:val="00F05686"/>
    <w:rsid w:val="00F062AE"/>
    <w:rsid w:val="00F065F7"/>
    <w:rsid w:val="00F0667B"/>
    <w:rsid w:val="00F06BE0"/>
    <w:rsid w:val="00F075AE"/>
    <w:rsid w:val="00F0798F"/>
    <w:rsid w:val="00F10342"/>
    <w:rsid w:val="00F10B73"/>
    <w:rsid w:val="00F1125B"/>
    <w:rsid w:val="00F11650"/>
    <w:rsid w:val="00F11AB2"/>
    <w:rsid w:val="00F11E92"/>
    <w:rsid w:val="00F1261F"/>
    <w:rsid w:val="00F129D2"/>
    <w:rsid w:val="00F12BAC"/>
    <w:rsid w:val="00F12CEE"/>
    <w:rsid w:val="00F12ECF"/>
    <w:rsid w:val="00F12ED0"/>
    <w:rsid w:val="00F131C6"/>
    <w:rsid w:val="00F13300"/>
    <w:rsid w:val="00F1330B"/>
    <w:rsid w:val="00F13832"/>
    <w:rsid w:val="00F13BD6"/>
    <w:rsid w:val="00F13ED0"/>
    <w:rsid w:val="00F14023"/>
    <w:rsid w:val="00F147C6"/>
    <w:rsid w:val="00F14A89"/>
    <w:rsid w:val="00F14EF2"/>
    <w:rsid w:val="00F1527A"/>
    <w:rsid w:val="00F15789"/>
    <w:rsid w:val="00F164FB"/>
    <w:rsid w:val="00F16707"/>
    <w:rsid w:val="00F179BE"/>
    <w:rsid w:val="00F216E5"/>
    <w:rsid w:val="00F21EE5"/>
    <w:rsid w:val="00F21FE7"/>
    <w:rsid w:val="00F21FEC"/>
    <w:rsid w:val="00F227C1"/>
    <w:rsid w:val="00F22A3E"/>
    <w:rsid w:val="00F22B30"/>
    <w:rsid w:val="00F22DF5"/>
    <w:rsid w:val="00F23291"/>
    <w:rsid w:val="00F240EB"/>
    <w:rsid w:val="00F24179"/>
    <w:rsid w:val="00F24657"/>
    <w:rsid w:val="00F24756"/>
    <w:rsid w:val="00F270AA"/>
    <w:rsid w:val="00F2725E"/>
    <w:rsid w:val="00F275E7"/>
    <w:rsid w:val="00F27D8F"/>
    <w:rsid w:val="00F30046"/>
    <w:rsid w:val="00F30047"/>
    <w:rsid w:val="00F30397"/>
    <w:rsid w:val="00F30457"/>
    <w:rsid w:val="00F30610"/>
    <w:rsid w:val="00F317A6"/>
    <w:rsid w:val="00F31A9D"/>
    <w:rsid w:val="00F31B72"/>
    <w:rsid w:val="00F31DD7"/>
    <w:rsid w:val="00F32605"/>
    <w:rsid w:val="00F32769"/>
    <w:rsid w:val="00F33159"/>
    <w:rsid w:val="00F331F9"/>
    <w:rsid w:val="00F33A04"/>
    <w:rsid w:val="00F33B3C"/>
    <w:rsid w:val="00F340E2"/>
    <w:rsid w:val="00F34173"/>
    <w:rsid w:val="00F3446A"/>
    <w:rsid w:val="00F34992"/>
    <w:rsid w:val="00F35C3D"/>
    <w:rsid w:val="00F36A96"/>
    <w:rsid w:val="00F36C4C"/>
    <w:rsid w:val="00F373A2"/>
    <w:rsid w:val="00F374BA"/>
    <w:rsid w:val="00F37EE5"/>
    <w:rsid w:val="00F37F5C"/>
    <w:rsid w:val="00F40390"/>
    <w:rsid w:val="00F40718"/>
    <w:rsid w:val="00F40EEB"/>
    <w:rsid w:val="00F410DC"/>
    <w:rsid w:val="00F410E9"/>
    <w:rsid w:val="00F41302"/>
    <w:rsid w:val="00F41664"/>
    <w:rsid w:val="00F417D4"/>
    <w:rsid w:val="00F417FF"/>
    <w:rsid w:val="00F41A0B"/>
    <w:rsid w:val="00F4240C"/>
    <w:rsid w:val="00F4294C"/>
    <w:rsid w:val="00F42E8C"/>
    <w:rsid w:val="00F438B8"/>
    <w:rsid w:val="00F43BB7"/>
    <w:rsid w:val="00F43D5D"/>
    <w:rsid w:val="00F43FA4"/>
    <w:rsid w:val="00F44637"/>
    <w:rsid w:val="00F449E4"/>
    <w:rsid w:val="00F44D7B"/>
    <w:rsid w:val="00F44E11"/>
    <w:rsid w:val="00F45312"/>
    <w:rsid w:val="00F454DC"/>
    <w:rsid w:val="00F46B2C"/>
    <w:rsid w:val="00F471D6"/>
    <w:rsid w:val="00F47265"/>
    <w:rsid w:val="00F47279"/>
    <w:rsid w:val="00F47399"/>
    <w:rsid w:val="00F47623"/>
    <w:rsid w:val="00F477B0"/>
    <w:rsid w:val="00F47E69"/>
    <w:rsid w:val="00F50252"/>
    <w:rsid w:val="00F5098F"/>
    <w:rsid w:val="00F5232E"/>
    <w:rsid w:val="00F525B8"/>
    <w:rsid w:val="00F52890"/>
    <w:rsid w:val="00F5329B"/>
    <w:rsid w:val="00F53EB2"/>
    <w:rsid w:val="00F54B9A"/>
    <w:rsid w:val="00F564B0"/>
    <w:rsid w:val="00F56DE1"/>
    <w:rsid w:val="00F5722C"/>
    <w:rsid w:val="00F60707"/>
    <w:rsid w:val="00F60BF6"/>
    <w:rsid w:val="00F61F78"/>
    <w:rsid w:val="00F620EE"/>
    <w:rsid w:val="00F6212F"/>
    <w:rsid w:val="00F622D8"/>
    <w:rsid w:val="00F629B7"/>
    <w:rsid w:val="00F62FC1"/>
    <w:rsid w:val="00F6320F"/>
    <w:rsid w:val="00F6349F"/>
    <w:rsid w:val="00F63B4E"/>
    <w:rsid w:val="00F6412D"/>
    <w:rsid w:val="00F6451F"/>
    <w:rsid w:val="00F6466A"/>
    <w:rsid w:val="00F647A6"/>
    <w:rsid w:val="00F64B4B"/>
    <w:rsid w:val="00F652BB"/>
    <w:rsid w:val="00F65A44"/>
    <w:rsid w:val="00F65B0F"/>
    <w:rsid w:val="00F65F8E"/>
    <w:rsid w:val="00F66CA7"/>
    <w:rsid w:val="00F6743E"/>
    <w:rsid w:val="00F67C4B"/>
    <w:rsid w:val="00F67CC9"/>
    <w:rsid w:val="00F70A57"/>
    <w:rsid w:val="00F70AA9"/>
    <w:rsid w:val="00F70DB8"/>
    <w:rsid w:val="00F711D6"/>
    <w:rsid w:val="00F72279"/>
    <w:rsid w:val="00F722F6"/>
    <w:rsid w:val="00F723B9"/>
    <w:rsid w:val="00F7256E"/>
    <w:rsid w:val="00F72DBD"/>
    <w:rsid w:val="00F7372C"/>
    <w:rsid w:val="00F73B79"/>
    <w:rsid w:val="00F73F1B"/>
    <w:rsid w:val="00F7469E"/>
    <w:rsid w:val="00F750DE"/>
    <w:rsid w:val="00F75331"/>
    <w:rsid w:val="00F754B2"/>
    <w:rsid w:val="00F758DA"/>
    <w:rsid w:val="00F76753"/>
    <w:rsid w:val="00F768C8"/>
    <w:rsid w:val="00F768D2"/>
    <w:rsid w:val="00F774DD"/>
    <w:rsid w:val="00F77B6A"/>
    <w:rsid w:val="00F77E1F"/>
    <w:rsid w:val="00F8085A"/>
    <w:rsid w:val="00F80950"/>
    <w:rsid w:val="00F812E7"/>
    <w:rsid w:val="00F813F2"/>
    <w:rsid w:val="00F81639"/>
    <w:rsid w:val="00F81955"/>
    <w:rsid w:val="00F83094"/>
    <w:rsid w:val="00F831F3"/>
    <w:rsid w:val="00F83294"/>
    <w:rsid w:val="00F847B9"/>
    <w:rsid w:val="00F849FD"/>
    <w:rsid w:val="00F84E22"/>
    <w:rsid w:val="00F84EDA"/>
    <w:rsid w:val="00F84FAF"/>
    <w:rsid w:val="00F857A1"/>
    <w:rsid w:val="00F90005"/>
    <w:rsid w:val="00F90AE5"/>
    <w:rsid w:val="00F90DA4"/>
    <w:rsid w:val="00F90F2C"/>
    <w:rsid w:val="00F9264D"/>
    <w:rsid w:val="00F92851"/>
    <w:rsid w:val="00F92E13"/>
    <w:rsid w:val="00F933DD"/>
    <w:rsid w:val="00F9384B"/>
    <w:rsid w:val="00F93F5C"/>
    <w:rsid w:val="00F941B1"/>
    <w:rsid w:val="00F94344"/>
    <w:rsid w:val="00F94853"/>
    <w:rsid w:val="00F95DD8"/>
    <w:rsid w:val="00F96026"/>
    <w:rsid w:val="00F9626F"/>
    <w:rsid w:val="00F967D3"/>
    <w:rsid w:val="00F96BCD"/>
    <w:rsid w:val="00F97757"/>
    <w:rsid w:val="00F978E7"/>
    <w:rsid w:val="00F97A47"/>
    <w:rsid w:val="00F97ABE"/>
    <w:rsid w:val="00F97E28"/>
    <w:rsid w:val="00FA0373"/>
    <w:rsid w:val="00FA08E8"/>
    <w:rsid w:val="00FA10CF"/>
    <w:rsid w:val="00FA18D6"/>
    <w:rsid w:val="00FA3B3B"/>
    <w:rsid w:val="00FA3D21"/>
    <w:rsid w:val="00FA543F"/>
    <w:rsid w:val="00FA54B9"/>
    <w:rsid w:val="00FA55E5"/>
    <w:rsid w:val="00FA5690"/>
    <w:rsid w:val="00FA5CB3"/>
    <w:rsid w:val="00FA633C"/>
    <w:rsid w:val="00FA65A2"/>
    <w:rsid w:val="00FA6BBA"/>
    <w:rsid w:val="00FA6BFB"/>
    <w:rsid w:val="00FA6DC5"/>
    <w:rsid w:val="00FA76A8"/>
    <w:rsid w:val="00FB0064"/>
    <w:rsid w:val="00FB01D0"/>
    <w:rsid w:val="00FB0455"/>
    <w:rsid w:val="00FB0FAC"/>
    <w:rsid w:val="00FB1CA7"/>
    <w:rsid w:val="00FB1FCC"/>
    <w:rsid w:val="00FB203B"/>
    <w:rsid w:val="00FB2431"/>
    <w:rsid w:val="00FB2448"/>
    <w:rsid w:val="00FB246A"/>
    <w:rsid w:val="00FB24B9"/>
    <w:rsid w:val="00FB26E4"/>
    <w:rsid w:val="00FB46D7"/>
    <w:rsid w:val="00FB476B"/>
    <w:rsid w:val="00FB4954"/>
    <w:rsid w:val="00FB50BD"/>
    <w:rsid w:val="00FB5586"/>
    <w:rsid w:val="00FB5A56"/>
    <w:rsid w:val="00FB5E8F"/>
    <w:rsid w:val="00FB617D"/>
    <w:rsid w:val="00FB6225"/>
    <w:rsid w:val="00FB6276"/>
    <w:rsid w:val="00FB65ED"/>
    <w:rsid w:val="00FB68EF"/>
    <w:rsid w:val="00FB72CB"/>
    <w:rsid w:val="00FB733A"/>
    <w:rsid w:val="00FB7F1E"/>
    <w:rsid w:val="00FC025F"/>
    <w:rsid w:val="00FC05B6"/>
    <w:rsid w:val="00FC0954"/>
    <w:rsid w:val="00FC10A4"/>
    <w:rsid w:val="00FC1537"/>
    <w:rsid w:val="00FC1773"/>
    <w:rsid w:val="00FC18C2"/>
    <w:rsid w:val="00FC1BE3"/>
    <w:rsid w:val="00FC1C68"/>
    <w:rsid w:val="00FC1D05"/>
    <w:rsid w:val="00FC28F7"/>
    <w:rsid w:val="00FC29BB"/>
    <w:rsid w:val="00FC2B56"/>
    <w:rsid w:val="00FC324B"/>
    <w:rsid w:val="00FC34F5"/>
    <w:rsid w:val="00FC356D"/>
    <w:rsid w:val="00FC3816"/>
    <w:rsid w:val="00FC38F8"/>
    <w:rsid w:val="00FC3C20"/>
    <w:rsid w:val="00FC3DFD"/>
    <w:rsid w:val="00FC4470"/>
    <w:rsid w:val="00FC4A8A"/>
    <w:rsid w:val="00FC4C6E"/>
    <w:rsid w:val="00FC4E42"/>
    <w:rsid w:val="00FC4F06"/>
    <w:rsid w:val="00FC522A"/>
    <w:rsid w:val="00FC5B15"/>
    <w:rsid w:val="00FC5B79"/>
    <w:rsid w:val="00FC62CB"/>
    <w:rsid w:val="00FC70CC"/>
    <w:rsid w:val="00FC7E94"/>
    <w:rsid w:val="00FD085B"/>
    <w:rsid w:val="00FD09F6"/>
    <w:rsid w:val="00FD0A60"/>
    <w:rsid w:val="00FD0C7A"/>
    <w:rsid w:val="00FD0C81"/>
    <w:rsid w:val="00FD140F"/>
    <w:rsid w:val="00FD22A0"/>
    <w:rsid w:val="00FD2413"/>
    <w:rsid w:val="00FD250D"/>
    <w:rsid w:val="00FD279C"/>
    <w:rsid w:val="00FD2AD4"/>
    <w:rsid w:val="00FD2C90"/>
    <w:rsid w:val="00FD2DC3"/>
    <w:rsid w:val="00FD2F2A"/>
    <w:rsid w:val="00FD3444"/>
    <w:rsid w:val="00FD3562"/>
    <w:rsid w:val="00FD3A9C"/>
    <w:rsid w:val="00FD3B13"/>
    <w:rsid w:val="00FD406E"/>
    <w:rsid w:val="00FD4652"/>
    <w:rsid w:val="00FD4A1D"/>
    <w:rsid w:val="00FD5265"/>
    <w:rsid w:val="00FD5429"/>
    <w:rsid w:val="00FD56E3"/>
    <w:rsid w:val="00FD6022"/>
    <w:rsid w:val="00FD6096"/>
    <w:rsid w:val="00FD62CC"/>
    <w:rsid w:val="00FD64EC"/>
    <w:rsid w:val="00FD6FF0"/>
    <w:rsid w:val="00FD7498"/>
    <w:rsid w:val="00FD7B20"/>
    <w:rsid w:val="00FD7C9D"/>
    <w:rsid w:val="00FE0433"/>
    <w:rsid w:val="00FE08EC"/>
    <w:rsid w:val="00FE090A"/>
    <w:rsid w:val="00FE0D30"/>
    <w:rsid w:val="00FE1F01"/>
    <w:rsid w:val="00FE228E"/>
    <w:rsid w:val="00FE2300"/>
    <w:rsid w:val="00FE2331"/>
    <w:rsid w:val="00FE24CB"/>
    <w:rsid w:val="00FE2505"/>
    <w:rsid w:val="00FE32DE"/>
    <w:rsid w:val="00FE3593"/>
    <w:rsid w:val="00FE3757"/>
    <w:rsid w:val="00FE3A6A"/>
    <w:rsid w:val="00FE43FC"/>
    <w:rsid w:val="00FE44A2"/>
    <w:rsid w:val="00FE4D68"/>
    <w:rsid w:val="00FE52A8"/>
    <w:rsid w:val="00FE5B1D"/>
    <w:rsid w:val="00FE6771"/>
    <w:rsid w:val="00FE6E28"/>
    <w:rsid w:val="00FE6F95"/>
    <w:rsid w:val="00FE7A9A"/>
    <w:rsid w:val="00FE7B82"/>
    <w:rsid w:val="00FF0164"/>
    <w:rsid w:val="00FF02A5"/>
    <w:rsid w:val="00FF0E87"/>
    <w:rsid w:val="00FF1115"/>
    <w:rsid w:val="00FF25BB"/>
    <w:rsid w:val="00FF2B71"/>
    <w:rsid w:val="00FF2BF8"/>
    <w:rsid w:val="00FF2E63"/>
    <w:rsid w:val="00FF34B3"/>
    <w:rsid w:val="00FF3C8B"/>
    <w:rsid w:val="00FF4301"/>
    <w:rsid w:val="00FF44A4"/>
    <w:rsid w:val="00FF4825"/>
    <w:rsid w:val="00FF4D71"/>
    <w:rsid w:val="00FF501D"/>
    <w:rsid w:val="00FF5110"/>
    <w:rsid w:val="00FF52F0"/>
    <w:rsid w:val="00FF5688"/>
    <w:rsid w:val="00FF5801"/>
    <w:rsid w:val="00FF58BD"/>
    <w:rsid w:val="00FF58BF"/>
    <w:rsid w:val="00FF6032"/>
    <w:rsid w:val="00FF6479"/>
    <w:rsid w:val="00FF6C73"/>
    <w:rsid w:val="00FF74FA"/>
    <w:rsid w:val="00FF7E73"/>
    <w:rsid w:val="01664485"/>
    <w:rsid w:val="0199CF54"/>
    <w:rsid w:val="01C6F5E2"/>
    <w:rsid w:val="01F83523"/>
    <w:rsid w:val="0295FE56"/>
    <w:rsid w:val="02A2C891"/>
    <w:rsid w:val="03101061"/>
    <w:rsid w:val="054CD2BB"/>
    <w:rsid w:val="06368C9D"/>
    <w:rsid w:val="06BD1160"/>
    <w:rsid w:val="072E04B3"/>
    <w:rsid w:val="07474F7C"/>
    <w:rsid w:val="07B00F3E"/>
    <w:rsid w:val="07C7ADBE"/>
    <w:rsid w:val="07EDA9A5"/>
    <w:rsid w:val="088FC654"/>
    <w:rsid w:val="08C2DED8"/>
    <w:rsid w:val="08DE06EF"/>
    <w:rsid w:val="09821CFB"/>
    <w:rsid w:val="0988029A"/>
    <w:rsid w:val="0A553A92"/>
    <w:rsid w:val="0A587797"/>
    <w:rsid w:val="0ABAF9CD"/>
    <w:rsid w:val="0B36909B"/>
    <w:rsid w:val="0B56B65D"/>
    <w:rsid w:val="0BC11C31"/>
    <w:rsid w:val="0C02DE7C"/>
    <w:rsid w:val="0C0DFB99"/>
    <w:rsid w:val="0C17DE1F"/>
    <w:rsid w:val="0C66464A"/>
    <w:rsid w:val="0D2B77D7"/>
    <w:rsid w:val="0E0604ED"/>
    <w:rsid w:val="0E80E2A8"/>
    <w:rsid w:val="0E9CFBDD"/>
    <w:rsid w:val="0EAF258D"/>
    <w:rsid w:val="0EDBF7B5"/>
    <w:rsid w:val="0EFEDC8A"/>
    <w:rsid w:val="0F4407D2"/>
    <w:rsid w:val="0F9F237E"/>
    <w:rsid w:val="0FA15871"/>
    <w:rsid w:val="105BCF76"/>
    <w:rsid w:val="10F4B864"/>
    <w:rsid w:val="11EEA679"/>
    <w:rsid w:val="121F5CCE"/>
    <w:rsid w:val="12B02959"/>
    <w:rsid w:val="12FF6562"/>
    <w:rsid w:val="13A873A4"/>
    <w:rsid w:val="1445FDB9"/>
    <w:rsid w:val="1480D040"/>
    <w:rsid w:val="14C2F471"/>
    <w:rsid w:val="1675836F"/>
    <w:rsid w:val="169D5E9E"/>
    <w:rsid w:val="180D59E2"/>
    <w:rsid w:val="18270584"/>
    <w:rsid w:val="188F525F"/>
    <w:rsid w:val="18E5F739"/>
    <w:rsid w:val="1933B18F"/>
    <w:rsid w:val="19690E3E"/>
    <w:rsid w:val="1A0BFF3F"/>
    <w:rsid w:val="1AAB25E5"/>
    <w:rsid w:val="1AAD4D4D"/>
    <w:rsid w:val="1CA0A851"/>
    <w:rsid w:val="1CC6D48D"/>
    <w:rsid w:val="1DB146C1"/>
    <w:rsid w:val="1DD78D86"/>
    <w:rsid w:val="1E843403"/>
    <w:rsid w:val="1F934A5E"/>
    <w:rsid w:val="1FA33B2B"/>
    <w:rsid w:val="20218D49"/>
    <w:rsid w:val="203B9CA1"/>
    <w:rsid w:val="203FE1C2"/>
    <w:rsid w:val="2075E621"/>
    <w:rsid w:val="20C9DE42"/>
    <w:rsid w:val="218A02A7"/>
    <w:rsid w:val="21A79946"/>
    <w:rsid w:val="220EF56B"/>
    <w:rsid w:val="2335CA58"/>
    <w:rsid w:val="23E33B2E"/>
    <w:rsid w:val="252D27DA"/>
    <w:rsid w:val="26430C66"/>
    <w:rsid w:val="266DB684"/>
    <w:rsid w:val="26AB8B91"/>
    <w:rsid w:val="27325169"/>
    <w:rsid w:val="27972063"/>
    <w:rsid w:val="2817D37C"/>
    <w:rsid w:val="288DDED7"/>
    <w:rsid w:val="28F31F78"/>
    <w:rsid w:val="28FF195B"/>
    <w:rsid w:val="2A05A232"/>
    <w:rsid w:val="2A41D834"/>
    <w:rsid w:val="2A801F3A"/>
    <w:rsid w:val="2B0F83EB"/>
    <w:rsid w:val="2C989E8C"/>
    <w:rsid w:val="2CBED3C5"/>
    <w:rsid w:val="2D0C4DD8"/>
    <w:rsid w:val="2D60006A"/>
    <w:rsid w:val="2D92317E"/>
    <w:rsid w:val="2E31425A"/>
    <w:rsid w:val="2E8F51F2"/>
    <w:rsid w:val="2EDA0364"/>
    <w:rsid w:val="2FA268B2"/>
    <w:rsid w:val="2FD5D449"/>
    <w:rsid w:val="2FE79C1B"/>
    <w:rsid w:val="2FF27B48"/>
    <w:rsid w:val="304571E4"/>
    <w:rsid w:val="309BB64D"/>
    <w:rsid w:val="31B4421B"/>
    <w:rsid w:val="33841569"/>
    <w:rsid w:val="3386943C"/>
    <w:rsid w:val="34A7C4ED"/>
    <w:rsid w:val="34A7FD9E"/>
    <w:rsid w:val="35136450"/>
    <w:rsid w:val="3523D4CE"/>
    <w:rsid w:val="353B1B51"/>
    <w:rsid w:val="364D51DE"/>
    <w:rsid w:val="36719B66"/>
    <w:rsid w:val="36847363"/>
    <w:rsid w:val="36EBDA1E"/>
    <w:rsid w:val="36ED014C"/>
    <w:rsid w:val="36FD28F6"/>
    <w:rsid w:val="3883102F"/>
    <w:rsid w:val="389E2E4F"/>
    <w:rsid w:val="38E71E65"/>
    <w:rsid w:val="38F3A21D"/>
    <w:rsid w:val="392BAB49"/>
    <w:rsid w:val="3934C956"/>
    <w:rsid w:val="39DEB60D"/>
    <w:rsid w:val="3A5DC93F"/>
    <w:rsid w:val="3B0CCF6F"/>
    <w:rsid w:val="3B3C4563"/>
    <w:rsid w:val="3B5BF9ED"/>
    <w:rsid w:val="3C1B2AA4"/>
    <w:rsid w:val="3C7090B4"/>
    <w:rsid w:val="3C756B62"/>
    <w:rsid w:val="3C7D820D"/>
    <w:rsid w:val="3D1C7454"/>
    <w:rsid w:val="3DB92656"/>
    <w:rsid w:val="3DE1B665"/>
    <w:rsid w:val="3E7719E4"/>
    <w:rsid w:val="3E8E778E"/>
    <w:rsid w:val="3EB5A2B5"/>
    <w:rsid w:val="3EEF5007"/>
    <w:rsid w:val="3FC3B8A5"/>
    <w:rsid w:val="41F620F2"/>
    <w:rsid w:val="41F9C2BF"/>
    <w:rsid w:val="42722C41"/>
    <w:rsid w:val="42A39F5B"/>
    <w:rsid w:val="430AF9F0"/>
    <w:rsid w:val="44A195C8"/>
    <w:rsid w:val="450036DF"/>
    <w:rsid w:val="45571C87"/>
    <w:rsid w:val="4574C7F4"/>
    <w:rsid w:val="47434A6B"/>
    <w:rsid w:val="477C966A"/>
    <w:rsid w:val="479E8E55"/>
    <w:rsid w:val="4837C983"/>
    <w:rsid w:val="48FACC3A"/>
    <w:rsid w:val="495BD2C8"/>
    <w:rsid w:val="498D0EEA"/>
    <w:rsid w:val="4A3FBFBE"/>
    <w:rsid w:val="4AD83CB9"/>
    <w:rsid w:val="4ADA5AE5"/>
    <w:rsid w:val="4B15E6BD"/>
    <w:rsid w:val="4B7C32E9"/>
    <w:rsid w:val="4B93F7AF"/>
    <w:rsid w:val="4BC01BF3"/>
    <w:rsid w:val="4CA21541"/>
    <w:rsid w:val="4D1DF32D"/>
    <w:rsid w:val="4D38B6FF"/>
    <w:rsid w:val="4DBA18A8"/>
    <w:rsid w:val="4DDD1F0D"/>
    <w:rsid w:val="4DF53685"/>
    <w:rsid w:val="4EB8CCBC"/>
    <w:rsid w:val="4ED0C3B4"/>
    <w:rsid w:val="4EF2E34A"/>
    <w:rsid w:val="4F3B14D1"/>
    <w:rsid w:val="4F541393"/>
    <w:rsid w:val="4FA70A31"/>
    <w:rsid w:val="505C3E65"/>
    <w:rsid w:val="50D56541"/>
    <w:rsid w:val="51C37638"/>
    <w:rsid w:val="51D1C7C3"/>
    <w:rsid w:val="52968169"/>
    <w:rsid w:val="52C97D27"/>
    <w:rsid w:val="537AD61E"/>
    <w:rsid w:val="53BCDFB9"/>
    <w:rsid w:val="546CB8B5"/>
    <w:rsid w:val="54BB807E"/>
    <w:rsid w:val="553F6FDA"/>
    <w:rsid w:val="56286832"/>
    <w:rsid w:val="5667868A"/>
    <w:rsid w:val="568B86BB"/>
    <w:rsid w:val="56A1A0B9"/>
    <w:rsid w:val="56C5C902"/>
    <w:rsid w:val="5780F4F8"/>
    <w:rsid w:val="58012B75"/>
    <w:rsid w:val="5832D637"/>
    <w:rsid w:val="58738BD9"/>
    <w:rsid w:val="587BE787"/>
    <w:rsid w:val="58AA68C4"/>
    <w:rsid w:val="58D47909"/>
    <w:rsid w:val="590FAB47"/>
    <w:rsid w:val="598B6F2F"/>
    <w:rsid w:val="59CF96A7"/>
    <w:rsid w:val="5AB2FB0C"/>
    <w:rsid w:val="5BD38EC3"/>
    <w:rsid w:val="5C6C94D8"/>
    <w:rsid w:val="5CC3BBFE"/>
    <w:rsid w:val="5CE9E133"/>
    <w:rsid w:val="5E299D1A"/>
    <w:rsid w:val="5E3DBC11"/>
    <w:rsid w:val="5E82C2CF"/>
    <w:rsid w:val="5ED247F2"/>
    <w:rsid w:val="5ED6B0D2"/>
    <w:rsid w:val="5EE22073"/>
    <w:rsid w:val="5EEA082D"/>
    <w:rsid w:val="5F017E1A"/>
    <w:rsid w:val="5FCDF430"/>
    <w:rsid w:val="600ABEF1"/>
    <w:rsid w:val="60D9A582"/>
    <w:rsid w:val="6138CCC3"/>
    <w:rsid w:val="615B7B77"/>
    <w:rsid w:val="61944A4D"/>
    <w:rsid w:val="62340C17"/>
    <w:rsid w:val="623E3BCA"/>
    <w:rsid w:val="6444D461"/>
    <w:rsid w:val="64DD182E"/>
    <w:rsid w:val="654FFF54"/>
    <w:rsid w:val="65ABAB04"/>
    <w:rsid w:val="66BE2D94"/>
    <w:rsid w:val="671C0296"/>
    <w:rsid w:val="677C6643"/>
    <w:rsid w:val="679853B7"/>
    <w:rsid w:val="67ED6332"/>
    <w:rsid w:val="68A5AA93"/>
    <w:rsid w:val="68F28764"/>
    <w:rsid w:val="69064AF2"/>
    <w:rsid w:val="6942F33A"/>
    <w:rsid w:val="69A241B0"/>
    <w:rsid w:val="69C9579D"/>
    <w:rsid w:val="6A238494"/>
    <w:rsid w:val="6A3044B8"/>
    <w:rsid w:val="6ABE6253"/>
    <w:rsid w:val="6B512960"/>
    <w:rsid w:val="6B542C3E"/>
    <w:rsid w:val="6B9C9099"/>
    <w:rsid w:val="6C116BC9"/>
    <w:rsid w:val="6D2DB723"/>
    <w:rsid w:val="6D598C81"/>
    <w:rsid w:val="6D6D65E0"/>
    <w:rsid w:val="6E2AC75A"/>
    <w:rsid w:val="6E7FE4AE"/>
    <w:rsid w:val="70864778"/>
    <w:rsid w:val="714B9ED3"/>
    <w:rsid w:val="71D16E1A"/>
    <w:rsid w:val="72274EAF"/>
    <w:rsid w:val="729CAE24"/>
    <w:rsid w:val="72B9D6DC"/>
    <w:rsid w:val="7366FE47"/>
    <w:rsid w:val="76582633"/>
    <w:rsid w:val="78BEEDF3"/>
    <w:rsid w:val="799512C7"/>
    <w:rsid w:val="79D46F8D"/>
    <w:rsid w:val="7A3AED91"/>
    <w:rsid w:val="7A46967E"/>
    <w:rsid w:val="7ABC2D3E"/>
    <w:rsid w:val="7B306E2B"/>
    <w:rsid w:val="7C1B2C51"/>
    <w:rsid w:val="7C4F6C0C"/>
    <w:rsid w:val="7C59E146"/>
    <w:rsid w:val="7C5F18B5"/>
    <w:rsid w:val="7CBA2389"/>
    <w:rsid w:val="7D15D693"/>
    <w:rsid w:val="7DFDF361"/>
    <w:rsid w:val="7E0ED0F8"/>
    <w:rsid w:val="7EBCA88C"/>
    <w:rsid w:val="7F809887"/>
    <w:rsid w:val="7FB2EC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9C3EE2"/>
    <w:pPr>
      <w:numPr>
        <w:numId w:val="2"/>
      </w:numPr>
      <w:tabs>
        <w:tab w:val="num" w:pos="360"/>
      </w:tabs>
      <w:ind w:left="0" w:firstLine="0"/>
    </w:pPr>
    <w:rPr>
      <w:rFonts w:eastAsia="Times New Roman"/>
      <w:lang w:eastAsia="de-DE"/>
    </w:rPr>
  </w:style>
  <w:style w:type="paragraph" w:styleId="ListNumber">
    <w:name w:val="List Number"/>
    <w:basedOn w:val="Normal"/>
    <w:rsid w:val="009C3EE2"/>
    <w:pPr>
      <w:numPr>
        <w:numId w:val="6"/>
      </w:numPr>
    </w:pPr>
    <w:rPr>
      <w:rFonts w:eastAsia="Times New Roman"/>
      <w:lang w:eastAsia="de-DE"/>
    </w:rPr>
  </w:style>
  <w:style w:type="paragraph" w:customStyle="1" w:styleId="ListBullet1">
    <w:name w:val="List Bullet 1"/>
    <w:basedOn w:val="Normal"/>
    <w:rsid w:val="009C3EE2"/>
    <w:pPr>
      <w:numPr>
        <w:numId w:val="1"/>
      </w:numPr>
    </w:pPr>
    <w:rPr>
      <w:rFonts w:eastAsia="Times New Roman"/>
      <w:lang w:eastAsia="de-DE"/>
    </w:rPr>
  </w:style>
  <w:style w:type="paragraph" w:customStyle="1" w:styleId="ListDash">
    <w:name w:val="List Dash"/>
    <w:basedOn w:val="Normal"/>
    <w:rsid w:val="009C3EE2"/>
    <w:pPr>
      <w:numPr>
        <w:numId w:val="3"/>
      </w:numPr>
    </w:pPr>
    <w:rPr>
      <w:rFonts w:eastAsia="Times New Roman"/>
      <w:lang w:eastAsia="de-DE"/>
    </w:rPr>
  </w:style>
  <w:style w:type="paragraph" w:customStyle="1" w:styleId="ListDash1">
    <w:name w:val="List Dash 1"/>
    <w:basedOn w:val="Normal"/>
    <w:rsid w:val="009C3EE2"/>
    <w:pPr>
      <w:numPr>
        <w:numId w:val="4"/>
      </w:numPr>
    </w:pPr>
    <w:rPr>
      <w:rFonts w:eastAsia="Times New Roman"/>
      <w:lang w:eastAsia="de-DE"/>
    </w:rPr>
  </w:style>
  <w:style w:type="paragraph" w:customStyle="1" w:styleId="ListDash2">
    <w:name w:val="List Dash 2"/>
    <w:basedOn w:val="Normal"/>
    <w:rsid w:val="009C3EE2"/>
    <w:pPr>
      <w:numPr>
        <w:numId w:val="5"/>
      </w:numPr>
    </w:pPr>
    <w:rPr>
      <w:rFonts w:eastAsia="Times New Roman"/>
      <w:lang w:eastAsia="de-DE"/>
    </w:rPr>
  </w:style>
  <w:style w:type="paragraph" w:customStyle="1" w:styleId="ListNumberLevel2">
    <w:name w:val="List Number (Level 2)"/>
    <w:basedOn w:val="Normal"/>
    <w:rsid w:val="009C3EE2"/>
    <w:pPr>
      <w:numPr>
        <w:ilvl w:val="1"/>
        <w:numId w:val="6"/>
      </w:numPr>
    </w:pPr>
    <w:rPr>
      <w:rFonts w:eastAsia="Times New Roman"/>
      <w:lang w:eastAsia="de-DE"/>
    </w:rPr>
  </w:style>
  <w:style w:type="paragraph" w:customStyle="1" w:styleId="ListNumberLevel3">
    <w:name w:val="List Number (Level 3)"/>
    <w:basedOn w:val="Normal"/>
    <w:rsid w:val="009C3EE2"/>
    <w:pPr>
      <w:numPr>
        <w:ilvl w:val="2"/>
        <w:numId w:val="6"/>
      </w:numPr>
    </w:pPr>
    <w:rPr>
      <w:rFonts w:eastAsia="Times New Roman"/>
      <w:lang w:eastAsia="de-DE"/>
    </w:rPr>
  </w:style>
  <w:style w:type="paragraph" w:customStyle="1" w:styleId="ListNumberLevel4">
    <w:name w:val="List Number (Level 4)"/>
    <w:basedOn w:val="Normal"/>
    <w:rsid w:val="009C3EE2"/>
    <w:pPr>
      <w:numPr>
        <w:ilvl w:val="3"/>
        <w:numId w:val="6"/>
      </w:numPr>
    </w:pPr>
    <w:rPr>
      <w:rFonts w:eastAsia="Times New Roman"/>
      <w:lang w:eastAsia="de-DE"/>
    </w:rPr>
  </w:style>
  <w:style w:type="table" w:styleId="TableGrid">
    <w:name w:val="Table Grid"/>
    <w:basedOn w:val="TableNormal"/>
    <w:uiPriority w:val="39"/>
    <w:rsid w:val="009C3EE2"/>
    <w:pPr>
      <w:spacing w:before="120" w:after="120" w:line="240" w:lineRule="auto"/>
      <w:jc w:val="both"/>
    </w:pPr>
    <w:rPr>
      <w:rFonts w:ascii="Times New Roman" w:eastAsia="Times New Roman" w:hAnsi="Times New Roman" w:cs="Times New Roman"/>
      <w:sz w:val="20"/>
      <w:szCs w:val="20"/>
      <w:lang w:val="en-IE" w:eastAsia="en-IE"/>
    </w:rPr>
    <w:tblPr/>
  </w:style>
  <w:style w:type="character" w:styleId="Hyperlink">
    <w:name w:val="Hyperlink"/>
    <w:uiPriority w:val="99"/>
    <w:rsid w:val="009C3EE2"/>
    <w:rPr>
      <w:color w:val="0000FF"/>
      <w:u w:val="single"/>
    </w:rPr>
  </w:style>
  <w:style w:type="paragraph" w:styleId="ListBullet">
    <w:name w:val="List Bullet"/>
    <w:basedOn w:val="Normal"/>
    <w:rsid w:val="009C3EE2"/>
    <w:pPr>
      <w:numPr>
        <w:numId w:val="7"/>
      </w:numPr>
    </w:pPr>
    <w:rPr>
      <w:rFonts w:eastAsia="Times New Roman"/>
      <w:lang w:val="fr-FR" w:eastAsia="en-GB"/>
    </w:rPr>
  </w:style>
  <w:style w:type="paragraph" w:styleId="ListBullet2">
    <w:name w:val="List Bullet 2"/>
    <w:basedOn w:val="Normal"/>
    <w:rsid w:val="009C3EE2"/>
    <w:pPr>
      <w:numPr>
        <w:numId w:val="8"/>
      </w:numPr>
    </w:pPr>
    <w:rPr>
      <w:rFonts w:eastAsia="Times New Roman"/>
      <w:lang w:val="fr-FR" w:eastAsia="en-GB"/>
    </w:rPr>
  </w:style>
  <w:style w:type="paragraph" w:styleId="ListBullet3">
    <w:name w:val="List Bullet 3"/>
    <w:basedOn w:val="Normal"/>
    <w:rsid w:val="009C3EE2"/>
    <w:pPr>
      <w:numPr>
        <w:numId w:val="9"/>
      </w:numPr>
    </w:pPr>
    <w:rPr>
      <w:rFonts w:eastAsia="Times New Roman"/>
      <w:lang w:val="fr-FR" w:eastAsia="en-GB"/>
    </w:rPr>
  </w:style>
  <w:style w:type="paragraph" w:styleId="ListNumber2">
    <w:name w:val="List Number 2"/>
    <w:basedOn w:val="Normal"/>
    <w:rsid w:val="009C3EE2"/>
    <w:pPr>
      <w:numPr>
        <w:numId w:val="13"/>
      </w:numPr>
    </w:pPr>
    <w:rPr>
      <w:rFonts w:eastAsia="Times New Roman"/>
      <w:lang w:val="fr-FR" w:eastAsia="en-GB"/>
    </w:rPr>
  </w:style>
  <w:style w:type="paragraph" w:styleId="ListNumber3">
    <w:name w:val="List Number 3"/>
    <w:basedOn w:val="Normal"/>
    <w:rsid w:val="009C3EE2"/>
    <w:pPr>
      <w:numPr>
        <w:numId w:val="14"/>
      </w:numPr>
    </w:pPr>
    <w:rPr>
      <w:rFonts w:eastAsia="Times New Roman"/>
      <w:lang w:val="fr-FR" w:eastAsia="en-GB"/>
    </w:rPr>
  </w:style>
  <w:style w:type="paragraph" w:styleId="ListNumber4">
    <w:name w:val="List Number 4"/>
    <w:basedOn w:val="Normal"/>
    <w:rsid w:val="009C3EE2"/>
    <w:pPr>
      <w:numPr>
        <w:numId w:val="15"/>
      </w:numPr>
    </w:pPr>
    <w:rPr>
      <w:rFonts w:eastAsia="Times New Roman"/>
      <w:lang w:val="fr-FR" w:eastAsia="en-GB"/>
    </w:rPr>
  </w:style>
  <w:style w:type="paragraph" w:customStyle="1" w:styleId="ListDash3">
    <w:name w:val="List Dash 3"/>
    <w:basedOn w:val="Normal"/>
    <w:rsid w:val="009C3EE2"/>
    <w:pPr>
      <w:numPr>
        <w:numId w:val="10"/>
      </w:numPr>
    </w:pPr>
    <w:rPr>
      <w:rFonts w:eastAsia="Times New Roman"/>
      <w:lang w:val="fr-FR" w:eastAsia="en-GB"/>
    </w:rPr>
  </w:style>
  <w:style w:type="paragraph" w:customStyle="1" w:styleId="ListDash4">
    <w:name w:val="List Dash 4"/>
    <w:basedOn w:val="Normal"/>
    <w:rsid w:val="009C3EE2"/>
    <w:pPr>
      <w:numPr>
        <w:numId w:val="11"/>
      </w:numPr>
    </w:pPr>
    <w:rPr>
      <w:rFonts w:eastAsia="Times New Roman"/>
      <w:lang w:val="fr-FR" w:eastAsia="en-GB"/>
    </w:rPr>
  </w:style>
  <w:style w:type="paragraph" w:customStyle="1" w:styleId="ListNumber1">
    <w:name w:val="List Number 1"/>
    <w:basedOn w:val="Text1"/>
    <w:rsid w:val="009C3EE2"/>
    <w:pPr>
      <w:numPr>
        <w:numId w:val="12"/>
      </w:numPr>
    </w:pPr>
    <w:rPr>
      <w:rFonts w:eastAsia="Times New Roman"/>
      <w:lang w:val="fr-FR" w:eastAsia="en-GB"/>
    </w:rPr>
  </w:style>
  <w:style w:type="paragraph" w:customStyle="1" w:styleId="ListNumber1Level2">
    <w:name w:val="List Number 1 (Level 2)"/>
    <w:basedOn w:val="Text1"/>
    <w:rsid w:val="009C3EE2"/>
    <w:pPr>
      <w:numPr>
        <w:ilvl w:val="1"/>
        <w:numId w:val="12"/>
      </w:numPr>
    </w:pPr>
    <w:rPr>
      <w:rFonts w:eastAsia="Times New Roman"/>
      <w:lang w:val="fr-FR" w:eastAsia="en-GB"/>
    </w:rPr>
  </w:style>
  <w:style w:type="paragraph" w:customStyle="1" w:styleId="ListNumber2Level2">
    <w:name w:val="List Number 2 (Level 2)"/>
    <w:basedOn w:val="Text2"/>
    <w:rsid w:val="009C3EE2"/>
    <w:pPr>
      <w:numPr>
        <w:ilvl w:val="1"/>
        <w:numId w:val="13"/>
      </w:numPr>
    </w:pPr>
    <w:rPr>
      <w:rFonts w:eastAsia="Times New Roman"/>
      <w:lang w:val="fr-FR" w:eastAsia="en-GB"/>
    </w:rPr>
  </w:style>
  <w:style w:type="paragraph" w:customStyle="1" w:styleId="ListNumber3Level2">
    <w:name w:val="List Number 3 (Level 2)"/>
    <w:basedOn w:val="Text3"/>
    <w:rsid w:val="009C3EE2"/>
    <w:pPr>
      <w:numPr>
        <w:ilvl w:val="1"/>
        <w:numId w:val="14"/>
      </w:numPr>
    </w:pPr>
    <w:rPr>
      <w:rFonts w:eastAsia="Times New Roman"/>
      <w:lang w:val="fr-FR" w:eastAsia="en-GB"/>
    </w:rPr>
  </w:style>
  <w:style w:type="paragraph" w:customStyle="1" w:styleId="ListNumber4Level2">
    <w:name w:val="List Number 4 (Level 2)"/>
    <w:basedOn w:val="Text4"/>
    <w:rsid w:val="009C3EE2"/>
    <w:pPr>
      <w:numPr>
        <w:ilvl w:val="1"/>
        <w:numId w:val="15"/>
      </w:numPr>
    </w:pPr>
    <w:rPr>
      <w:rFonts w:eastAsia="Times New Roman"/>
      <w:lang w:val="fr-FR" w:eastAsia="en-GB"/>
    </w:rPr>
  </w:style>
  <w:style w:type="paragraph" w:customStyle="1" w:styleId="ListNumber1Level3">
    <w:name w:val="List Number 1 (Level 3)"/>
    <w:basedOn w:val="Text1"/>
    <w:rsid w:val="009C3EE2"/>
    <w:pPr>
      <w:numPr>
        <w:ilvl w:val="2"/>
        <w:numId w:val="12"/>
      </w:numPr>
    </w:pPr>
    <w:rPr>
      <w:rFonts w:eastAsia="Times New Roman"/>
      <w:lang w:val="fr-FR" w:eastAsia="en-GB"/>
    </w:rPr>
  </w:style>
  <w:style w:type="paragraph" w:customStyle="1" w:styleId="ListNumber2Level3">
    <w:name w:val="List Number 2 (Level 3)"/>
    <w:basedOn w:val="Text2"/>
    <w:rsid w:val="009C3EE2"/>
    <w:pPr>
      <w:numPr>
        <w:ilvl w:val="2"/>
        <w:numId w:val="13"/>
      </w:numPr>
    </w:pPr>
    <w:rPr>
      <w:rFonts w:eastAsia="Times New Roman"/>
      <w:lang w:val="fr-FR" w:eastAsia="en-GB"/>
    </w:rPr>
  </w:style>
  <w:style w:type="paragraph" w:customStyle="1" w:styleId="ListNumber3Level3">
    <w:name w:val="List Number 3 (Level 3)"/>
    <w:basedOn w:val="Text3"/>
    <w:rsid w:val="009C3EE2"/>
    <w:pPr>
      <w:numPr>
        <w:ilvl w:val="2"/>
        <w:numId w:val="14"/>
      </w:numPr>
    </w:pPr>
    <w:rPr>
      <w:rFonts w:eastAsia="Times New Roman"/>
      <w:lang w:val="fr-FR" w:eastAsia="en-GB"/>
    </w:rPr>
  </w:style>
  <w:style w:type="paragraph" w:customStyle="1" w:styleId="ListNumber4Level3">
    <w:name w:val="List Number 4 (Level 3)"/>
    <w:basedOn w:val="Text4"/>
    <w:rsid w:val="009C3EE2"/>
    <w:pPr>
      <w:numPr>
        <w:ilvl w:val="2"/>
        <w:numId w:val="15"/>
      </w:numPr>
    </w:pPr>
    <w:rPr>
      <w:rFonts w:eastAsia="Times New Roman"/>
      <w:lang w:val="fr-FR" w:eastAsia="en-GB"/>
    </w:rPr>
  </w:style>
  <w:style w:type="paragraph" w:customStyle="1" w:styleId="ListNumber1Level4">
    <w:name w:val="List Number 1 (Level 4)"/>
    <w:basedOn w:val="Text1"/>
    <w:rsid w:val="009C3EE2"/>
    <w:pPr>
      <w:numPr>
        <w:ilvl w:val="3"/>
        <w:numId w:val="12"/>
      </w:numPr>
    </w:pPr>
    <w:rPr>
      <w:rFonts w:eastAsia="Times New Roman"/>
      <w:lang w:val="fr-FR" w:eastAsia="en-GB"/>
    </w:rPr>
  </w:style>
  <w:style w:type="paragraph" w:customStyle="1" w:styleId="ListNumber2Level4">
    <w:name w:val="List Number 2 (Level 4)"/>
    <w:basedOn w:val="Text2"/>
    <w:rsid w:val="009C3EE2"/>
    <w:pPr>
      <w:numPr>
        <w:ilvl w:val="3"/>
        <w:numId w:val="13"/>
      </w:numPr>
    </w:pPr>
    <w:rPr>
      <w:rFonts w:eastAsia="Times New Roman"/>
      <w:lang w:val="fr-FR" w:eastAsia="en-GB"/>
    </w:rPr>
  </w:style>
  <w:style w:type="paragraph" w:customStyle="1" w:styleId="ListNumber3Level4">
    <w:name w:val="List Number 3 (Level 4)"/>
    <w:basedOn w:val="Text3"/>
    <w:rsid w:val="009C3EE2"/>
    <w:pPr>
      <w:numPr>
        <w:ilvl w:val="3"/>
        <w:numId w:val="14"/>
      </w:numPr>
    </w:pPr>
    <w:rPr>
      <w:rFonts w:eastAsia="Times New Roman"/>
      <w:lang w:val="fr-FR" w:eastAsia="en-GB"/>
    </w:rPr>
  </w:style>
  <w:style w:type="paragraph" w:customStyle="1" w:styleId="ListNumber4Level4">
    <w:name w:val="List Number 4 (Level 4)"/>
    <w:basedOn w:val="Text4"/>
    <w:rsid w:val="009C3EE2"/>
    <w:pPr>
      <w:numPr>
        <w:ilvl w:val="3"/>
        <w:numId w:val="15"/>
      </w:numPr>
    </w:pPr>
    <w:rPr>
      <w:rFonts w:eastAsia="Times New Roman"/>
      <w:lang w:val="fr-FR" w:eastAsia="en-GB"/>
    </w:rPr>
  </w:style>
  <w:style w:type="paragraph" w:customStyle="1" w:styleId="Annexetitreacte">
    <w:name w:val="Annexe titre (acte)"/>
    <w:basedOn w:val="Normal"/>
    <w:next w:val="Normal"/>
    <w:rsid w:val="009C3EE2"/>
    <w:pPr>
      <w:jc w:val="center"/>
    </w:pPr>
    <w:rPr>
      <w:rFonts w:eastAsia="Times New Roman"/>
      <w:b/>
      <w:u w:val="single"/>
      <w:lang w:val="fr-FR" w:eastAsia="en-GB"/>
    </w:rPr>
  </w:style>
  <w:style w:type="paragraph" w:customStyle="1" w:styleId="Annexetitreexposglobal">
    <w:name w:val="Annexe titre (exposé global)"/>
    <w:basedOn w:val="Normal"/>
    <w:next w:val="Normal"/>
    <w:rsid w:val="009C3EE2"/>
    <w:pPr>
      <w:jc w:val="center"/>
    </w:pPr>
    <w:rPr>
      <w:rFonts w:eastAsia="Times New Roman"/>
      <w:b/>
      <w:u w:val="single"/>
      <w:lang w:val="fr-FR" w:eastAsia="en-GB"/>
    </w:rPr>
  </w:style>
  <w:style w:type="paragraph" w:customStyle="1" w:styleId="Annexetitrefichefinacte">
    <w:name w:val="Annexe titre (fiche fin. acte)"/>
    <w:basedOn w:val="Normal"/>
    <w:next w:val="Normal"/>
    <w:rsid w:val="009C3EE2"/>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9C3EE2"/>
    <w:pPr>
      <w:jc w:val="center"/>
    </w:pPr>
    <w:rPr>
      <w:rFonts w:eastAsia="Times New Roman"/>
      <w:b/>
      <w:u w:val="single"/>
      <w:lang w:val="fr-FR" w:eastAsia="en-GB"/>
    </w:rPr>
  </w:style>
  <w:style w:type="paragraph" w:customStyle="1" w:styleId="Annexetitreglobale">
    <w:name w:val="Annexe titre (globale)"/>
    <w:basedOn w:val="Normal"/>
    <w:next w:val="Normal"/>
    <w:rsid w:val="009C3EE2"/>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9C3EE2"/>
    <w:pPr>
      <w:jc w:val="center"/>
    </w:pPr>
    <w:rPr>
      <w:rFonts w:eastAsia="Times New Roman"/>
      <w:b/>
      <w:u w:val="single"/>
      <w:lang w:val="fr-FR" w:eastAsia="en-GB"/>
    </w:rPr>
  </w:style>
  <w:style w:type="paragraph" w:customStyle="1" w:styleId="Langueoriginale">
    <w:name w:val="Langue originale"/>
    <w:basedOn w:val="Normal"/>
    <w:rsid w:val="009C3EE2"/>
    <w:pPr>
      <w:spacing w:before="360"/>
      <w:jc w:val="center"/>
    </w:pPr>
    <w:rPr>
      <w:rFonts w:eastAsia="Times New Roman"/>
      <w:caps/>
      <w:lang w:val="fr-FR" w:eastAsia="en-GB"/>
    </w:rPr>
  </w:style>
  <w:style w:type="paragraph" w:customStyle="1" w:styleId="Phrasefinale">
    <w:name w:val="Phrase finale"/>
    <w:basedOn w:val="Normal"/>
    <w:next w:val="Normal"/>
    <w:rsid w:val="009C3EE2"/>
    <w:pPr>
      <w:spacing w:before="360" w:after="0"/>
      <w:jc w:val="center"/>
    </w:pPr>
    <w:rPr>
      <w:rFonts w:eastAsia="Times New Roman"/>
      <w:lang w:val="fr-FR" w:eastAsia="en-GB"/>
    </w:rPr>
  </w:style>
  <w:style w:type="paragraph" w:customStyle="1" w:styleId="Prliminairetitre">
    <w:name w:val="Préliminaire titre"/>
    <w:basedOn w:val="Normal"/>
    <w:next w:val="Normal"/>
    <w:rsid w:val="009C3EE2"/>
    <w:pPr>
      <w:spacing w:before="360" w:after="360"/>
      <w:jc w:val="center"/>
    </w:pPr>
    <w:rPr>
      <w:rFonts w:eastAsia="Times New Roman"/>
      <w:b/>
      <w:lang w:val="fr-FR" w:eastAsia="en-GB"/>
    </w:rPr>
  </w:style>
  <w:style w:type="paragraph" w:customStyle="1" w:styleId="Prliminairetype">
    <w:name w:val="Préliminaire type"/>
    <w:basedOn w:val="Normal"/>
    <w:next w:val="Normal"/>
    <w:rsid w:val="009C3EE2"/>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9C3EE2"/>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9C3EE2"/>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9C3EE2"/>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9C3EE2"/>
    <w:pPr>
      <w:spacing w:before="0" w:after="0"/>
      <w:jc w:val="center"/>
    </w:pPr>
    <w:rPr>
      <w:rFonts w:eastAsia="Times New Roman"/>
      <w:b/>
      <w:lang w:val="fr-FR" w:eastAsia="en-GB"/>
    </w:rPr>
  </w:style>
  <w:style w:type="paragraph" w:customStyle="1" w:styleId="Statutprliminaire">
    <w:name w:val="Statut (préliminaire)"/>
    <w:basedOn w:val="Normal"/>
    <w:next w:val="Normal"/>
    <w:rsid w:val="009C3EE2"/>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9C3EE2"/>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9C3EE2"/>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9C3EE2"/>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9C3EE2"/>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9C3EE2"/>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9C3EE2"/>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9C3EE2"/>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9C3EE2"/>
    <w:pPr>
      <w:jc w:val="center"/>
    </w:pPr>
    <w:rPr>
      <w:rFonts w:eastAsia="Times New Roman"/>
      <w:b/>
      <w:u w:val="single"/>
      <w:lang w:val="fr-FR" w:eastAsia="en-GB"/>
    </w:rPr>
  </w:style>
  <w:style w:type="character" w:styleId="CommentReference">
    <w:name w:val="annotation reference"/>
    <w:rsid w:val="009C3EE2"/>
    <w:rPr>
      <w:rFonts w:cs="Times New Roman"/>
      <w:sz w:val="16"/>
      <w:szCs w:val="16"/>
    </w:rPr>
  </w:style>
  <w:style w:type="paragraph" w:styleId="CommentText">
    <w:name w:val="annotation text"/>
    <w:basedOn w:val="Normal"/>
    <w:link w:val="CommentTextChar"/>
    <w:rsid w:val="009C3EE2"/>
    <w:rPr>
      <w:rFonts w:eastAsia="Times New Roman"/>
      <w:sz w:val="20"/>
      <w:szCs w:val="20"/>
      <w:lang w:val="fr-FR" w:eastAsia="en-GB"/>
    </w:rPr>
  </w:style>
  <w:style w:type="character" w:customStyle="1" w:styleId="CommentTextChar">
    <w:name w:val="Comment Text Char"/>
    <w:basedOn w:val="DefaultParagraphFont"/>
    <w:link w:val="CommentText"/>
    <w:rsid w:val="009C3EE2"/>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9C3EE2"/>
    <w:rPr>
      <w:b/>
      <w:bCs/>
    </w:rPr>
  </w:style>
  <w:style w:type="character" w:customStyle="1" w:styleId="CommentSubjectChar">
    <w:name w:val="Comment Subject Char"/>
    <w:basedOn w:val="CommentTextChar"/>
    <w:link w:val="CommentSubject"/>
    <w:rsid w:val="009C3EE2"/>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9C3EE2"/>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9C3EE2"/>
    <w:rPr>
      <w:rFonts w:ascii="Tahoma" w:eastAsia="Times New Roman" w:hAnsi="Tahoma" w:cs="Tahoma"/>
      <w:sz w:val="16"/>
      <w:szCs w:val="16"/>
      <w:lang w:val="fr-FR" w:eastAsia="en-GB"/>
    </w:rPr>
  </w:style>
  <w:style w:type="paragraph" w:styleId="Caption">
    <w:name w:val="caption"/>
    <w:basedOn w:val="Normal"/>
    <w:next w:val="Normal"/>
    <w:qFormat/>
    <w:rsid w:val="009C3EE2"/>
    <w:rPr>
      <w:rFonts w:eastAsia="Times New Roman"/>
      <w:b/>
      <w:bCs/>
      <w:sz w:val="20"/>
      <w:szCs w:val="20"/>
      <w:lang w:val="fr-FR" w:eastAsia="en-GB"/>
    </w:rPr>
  </w:style>
  <w:style w:type="paragraph" w:styleId="TableofFigures">
    <w:name w:val="table of figures"/>
    <w:basedOn w:val="Normal"/>
    <w:next w:val="Normal"/>
    <w:rsid w:val="009C3EE2"/>
    <w:rPr>
      <w:rFonts w:eastAsia="Times New Roman"/>
      <w:lang w:val="fr-FR" w:eastAsia="en-GB"/>
    </w:rPr>
  </w:style>
  <w:style w:type="character" w:styleId="PageNumber">
    <w:name w:val="page number"/>
    <w:rsid w:val="009C3EE2"/>
  </w:style>
  <w:style w:type="character" w:customStyle="1" w:styleId="tw4winMark">
    <w:name w:val="tw4winMark"/>
    <w:rsid w:val="009C3EE2"/>
    <w:rPr>
      <w:vanish/>
      <w:color w:val="800080"/>
      <w:vertAlign w:val="subscript"/>
    </w:rPr>
  </w:style>
  <w:style w:type="character" w:styleId="FollowedHyperlink">
    <w:name w:val="FollowedHyperlink"/>
    <w:rsid w:val="009C3EE2"/>
    <w:rPr>
      <w:color w:val="800080"/>
      <w:u w:val="single"/>
    </w:rPr>
  </w:style>
  <w:style w:type="paragraph" w:customStyle="1" w:styleId="Sous-titreobjet">
    <w:name w:val="Sous-titre objet"/>
    <w:basedOn w:val="Normal"/>
    <w:rsid w:val="009C3EE2"/>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9C3EE2"/>
  </w:style>
  <w:style w:type="paragraph" w:styleId="Revision">
    <w:name w:val="Revision"/>
    <w:hidden/>
    <w:uiPriority w:val="99"/>
    <w:semiHidden/>
    <w:rsid w:val="009C3EE2"/>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9C3EE2"/>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9C3EE2"/>
    <w:rPr>
      <w:rFonts w:ascii="Times New Roman" w:hAnsi="Times New Roman" w:cs="Times New Roman"/>
      <w:b/>
      <w:sz w:val="28"/>
      <w:lang w:val="en-GB"/>
    </w:rPr>
  </w:style>
  <w:style w:type="character" w:customStyle="1" w:styleId="FooterCoverPageChar">
    <w:name w:val="Footer Cover Page Char"/>
    <w:link w:val="FooterCoverPage"/>
    <w:rsid w:val="009C3EE2"/>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9C3EE2"/>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9C3EE2"/>
    <w:rPr>
      <w:rFonts w:ascii="Times New Roman" w:eastAsia="Calibri" w:hAnsi="Times New Roman" w:cs="Times New Roman"/>
      <w:sz w:val="24"/>
      <w:lang w:val="en-GB" w:eastAsia="en-GB"/>
    </w:rPr>
  </w:style>
  <w:style w:type="character" w:customStyle="1" w:styleId="FooterSensitivityChar">
    <w:name w:val="Footer Sensitivity Char"/>
    <w:rsid w:val="009C3EE2"/>
    <w:rPr>
      <w:rFonts w:ascii="Times New Roman" w:hAnsi="Times New Roman" w:cs="Times New Roman"/>
      <w:b/>
      <w:sz w:val="32"/>
      <w:lang w:val="en-GB"/>
    </w:rPr>
  </w:style>
  <w:style w:type="character" w:customStyle="1" w:styleId="HeaderSensitivityChar">
    <w:name w:val="Header Sensitivity Char"/>
    <w:rsid w:val="009C3EE2"/>
    <w:rPr>
      <w:rFonts w:ascii="Times New Roman" w:hAnsi="Times New Roman" w:cs="Times New Roman"/>
      <w:b/>
      <w:sz w:val="32"/>
      <w:lang w:val="en-GB"/>
    </w:rPr>
  </w:style>
  <w:style w:type="character" w:customStyle="1" w:styleId="HeaderSensitivityRightChar">
    <w:name w:val="Header Sensitivity Right Char"/>
    <w:rsid w:val="009C3EE2"/>
    <w:rPr>
      <w:rFonts w:ascii="Times New Roman" w:hAnsi="Times New Roman" w:cs="Times New Roman"/>
      <w:sz w:val="28"/>
      <w:lang w:val="en-GB"/>
    </w:rPr>
  </w:style>
  <w:style w:type="paragraph" w:customStyle="1" w:styleId="LegalNumPar">
    <w:name w:val="LegalNumPar"/>
    <w:basedOn w:val="Normal"/>
    <w:rsid w:val="009C3EE2"/>
    <w:pPr>
      <w:numPr>
        <w:numId w:val="16"/>
      </w:numPr>
      <w:spacing w:line="360" w:lineRule="auto"/>
    </w:pPr>
    <w:rPr>
      <w:rFonts w:eastAsia="Times New Roman"/>
      <w:lang w:eastAsia="en-GB"/>
    </w:rPr>
  </w:style>
  <w:style w:type="paragraph" w:customStyle="1" w:styleId="LegalNumPar2">
    <w:name w:val="LegalNumPar2"/>
    <w:basedOn w:val="Normal"/>
    <w:rsid w:val="009C3EE2"/>
    <w:pPr>
      <w:numPr>
        <w:ilvl w:val="1"/>
        <w:numId w:val="16"/>
      </w:numPr>
      <w:spacing w:line="360" w:lineRule="auto"/>
    </w:pPr>
    <w:rPr>
      <w:rFonts w:eastAsia="Times New Roman"/>
      <w:lang w:eastAsia="en-GB"/>
    </w:rPr>
  </w:style>
  <w:style w:type="paragraph" w:customStyle="1" w:styleId="LegalNumPar3">
    <w:name w:val="LegalNumPar3"/>
    <w:basedOn w:val="Normal"/>
    <w:rsid w:val="009C3EE2"/>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9C3EE2"/>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9C3EE2"/>
    <w:rPr>
      <w:color w:val="605E5C"/>
      <w:shd w:val="clear" w:color="auto" w:fill="E1DFDD"/>
    </w:rPr>
  </w:style>
  <w:style w:type="character" w:styleId="Strong">
    <w:name w:val="Strong"/>
    <w:basedOn w:val="DefaultParagraphFont"/>
    <w:qFormat/>
    <w:rsid w:val="009C3EE2"/>
    <w:rPr>
      <w:b/>
      <w:bCs/>
    </w:rPr>
  </w:style>
  <w:style w:type="character" w:styleId="Emphasis">
    <w:name w:val="Emphasis"/>
    <w:basedOn w:val="DefaultParagraphFont"/>
    <w:qFormat/>
    <w:rsid w:val="009C3EE2"/>
    <w:rPr>
      <w:i/>
      <w:iCs/>
    </w:rPr>
  </w:style>
  <w:style w:type="character" w:customStyle="1" w:styleId="Mention1">
    <w:name w:val="Mention1"/>
    <w:basedOn w:val="DefaultParagraphFont"/>
    <w:uiPriority w:val="99"/>
    <w:unhideWhenUsed/>
    <w:rsid w:val="009C3EE2"/>
    <w:rPr>
      <w:color w:val="2B579A"/>
      <w:shd w:val="clear" w:color="auto" w:fill="E1DFDD"/>
    </w:rPr>
  </w:style>
  <w:style w:type="character" w:customStyle="1" w:styleId="normaltextrun">
    <w:name w:val="normaltextrun"/>
    <w:basedOn w:val="DefaultParagraphFont"/>
    <w:rsid w:val="009C3EE2"/>
  </w:style>
  <w:style w:type="character" w:customStyle="1" w:styleId="eop">
    <w:name w:val="eop"/>
    <w:basedOn w:val="DefaultParagraphFont"/>
    <w:rsid w:val="009C3EE2"/>
  </w:style>
  <w:style w:type="paragraph" w:customStyle="1" w:styleId="paragraph">
    <w:name w:val="paragraph"/>
    <w:basedOn w:val="Normal"/>
    <w:rsid w:val="00C44D47"/>
    <w:pPr>
      <w:spacing w:before="100" w:beforeAutospacing="1" w:after="100" w:afterAutospacing="1"/>
      <w:jc w:val="left"/>
    </w:pPr>
    <w:rPr>
      <w:rFonts w:eastAsia="Times New Roman"/>
      <w:szCs w:val="24"/>
      <w:lang w:val="de-DE" w:eastAsia="de-DE"/>
    </w:rPr>
  </w:style>
  <w:style w:type="paragraph" w:customStyle="1" w:styleId="CharCharChar1">
    <w:name w:val="Char Char Char1"/>
    <w:basedOn w:val="Normal"/>
    <w:link w:val="FootnoteReference"/>
    <w:uiPriority w:val="99"/>
    <w:rsid w:val="00583BD9"/>
    <w:pPr>
      <w:spacing w:before="0" w:after="160" w:line="240" w:lineRule="exact"/>
    </w:pPr>
    <w:rPr>
      <w:rFonts w:asciiTheme="minorHAnsi" w:hAnsiTheme="minorHAnsi" w:cstheme="minorBidi"/>
      <w:sz w:val="22"/>
      <w:vertAlign w:val="superscript"/>
      <w:lang w:val="en-US"/>
    </w:rPr>
  </w:style>
  <w:style w:type="paragraph" w:styleId="NormalWeb">
    <w:name w:val="Normal (Web)"/>
    <w:basedOn w:val="Normal"/>
    <w:uiPriority w:val="99"/>
    <w:semiHidden/>
    <w:unhideWhenUsed/>
    <w:rsid w:val="00EA2724"/>
    <w:rPr>
      <w:szCs w:val="24"/>
    </w:rPr>
  </w:style>
  <w:style w:type="character" w:customStyle="1" w:styleId="HeaderChar">
    <w:name w:val="Header Char"/>
    <w:basedOn w:val="DefaultParagraphFont"/>
    <w:link w:val="Header"/>
    <w:uiPriority w:val="99"/>
    <w:rsid w:val="004623B1"/>
    <w:rPr>
      <w:rFonts w:ascii="Times New Roman" w:hAnsi="Times New Roman" w:cs="Times New Roman"/>
      <w:sz w:val="24"/>
      <w:lang w:val="en-GB"/>
    </w:rPr>
  </w:style>
  <w:style w:type="character" w:customStyle="1" w:styleId="FooterChar">
    <w:name w:val="Footer Char"/>
    <w:basedOn w:val="DefaultParagraphFont"/>
    <w:link w:val="Footer"/>
    <w:uiPriority w:val="99"/>
    <w:rsid w:val="004623B1"/>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4623B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623B1"/>
    <w:pPr>
      <w:spacing w:before="0"/>
      <w:jc w:val="right"/>
    </w:pPr>
    <w:rPr>
      <w:sz w:val="28"/>
    </w:rPr>
  </w:style>
  <w:style w:type="paragraph" w:customStyle="1" w:styleId="FooterSensitivity">
    <w:name w:val="Footer Sensitivity"/>
    <w:basedOn w:val="Normal"/>
    <w:rsid w:val="004623B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4623B1"/>
    <w:pPr>
      <w:tabs>
        <w:tab w:val="center" w:pos="4535"/>
        <w:tab w:val="right" w:pos="9071"/>
      </w:tabs>
      <w:spacing w:before="0"/>
    </w:pPr>
  </w:style>
  <w:style w:type="paragraph" w:customStyle="1" w:styleId="HeaderLandscape">
    <w:name w:val="HeaderLandscape"/>
    <w:basedOn w:val="Normal"/>
    <w:rsid w:val="004623B1"/>
    <w:pPr>
      <w:tabs>
        <w:tab w:val="center" w:pos="7285"/>
        <w:tab w:val="right" w:pos="14003"/>
      </w:tabs>
      <w:spacing w:before="0"/>
    </w:pPr>
  </w:style>
  <w:style w:type="paragraph" w:styleId="Footer">
    <w:name w:val="footer"/>
    <w:basedOn w:val="Normal"/>
    <w:link w:val="FooterChar"/>
    <w:uiPriority w:val="99"/>
    <w:unhideWhenUsed/>
    <w:rsid w:val="004623B1"/>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4623B1"/>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69797">
      <w:bodyDiv w:val="1"/>
      <w:marLeft w:val="0"/>
      <w:marRight w:val="0"/>
      <w:marTop w:val="0"/>
      <w:marBottom w:val="0"/>
      <w:divBdr>
        <w:top w:val="none" w:sz="0" w:space="0" w:color="auto"/>
        <w:left w:val="none" w:sz="0" w:space="0" w:color="auto"/>
        <w:bottom w:val="none" w:sz="0" w:space="0" w:color="auto"/>
        <w:right w:val="none" w:sz="0" w:space="0" w:color="auto"/>
      </w:divBdr>
    </w:div>
    <w:div w:id="457338102">
      <w:bodyDiv w:val="1"/>
      <w:marLeft w:val="0"/>
      <w:marRight w:val="0"/>
      <w:marTop w:val="0"/>
      <w:marBottom w:val="0"/>
      <w:divBdr>
        <w:top w:val="none" w:sz="0" w:space="0" w:color="auto"/>
        <w:left w:val="none" w:sz="0" w:space="0" w:color="auto"/>
        <w:bottom w:val="none" w:sz="0" w:space="0" w:color="auto"/>
        <w:right w:val="none" w:sz="0" w:space="0" w:color="auto"/>
      </w:divBdr>
    </w:div>
    <w:div w:id="778990439">
      <w:bodyDiv w:val="1"/>
      <w:marLeft w:val="0"/>
      <w:marRight w:val="0"/>
      <w:marTop w:val="0"/>
      <w:marBottom w:val="0"/>
      <w:divBdr>
        <w:top w:val="none" w:sz="0" w:space="0" w:color="auto"/>
        <w:left w:val="none" w:sz="0" w:space="0" w:color="auto"/>
        <w:bottom w:val="none" w:sz="0" w:space="0" w:color="auto"/>
        <w:right w:val="none" w:sz="0" w:space="0" w:color="auto"/>
      </w:divBdr>
    </w:div>
    <w:div w:id="941380754">
      <w:bodyDiv w:val="1"/>
      <w:marLeft w:val="0"/>
      <w:marRight w:val="0"/>
      <w:marTop w:val="0"/>
      <w:marBottom w:val="0"/>
      <w:divBdr>
        <w:top w:val="none" w:sz="0" w:space="0" w:color="auto"/>
        <w:left w:val="none" w:sz="0" w:space="0" w:color="auto"/>
        <w:bottom w:val="none" w:sz="0" w:space="0" w:color="auto"/>
        <w:right w:val="none" w:sz="0" w:space="0" w:color="auto"/>
      </w:divBdr>
      <w:divsChild>
        <w:div w:id="311297445">
          <w:marLeft w:val="0"/>
          <w:marRight w:val="0"/>
          <w:marTop w:val="0"/>
          <w:marBottom w:val="0"/>
          <w:divBdr>
            <w:top w:val="none" w:sz="0" w:space="0" w:color="auto"/>
            <w:left w:val="none" w:sz="0" w:space="0" w:color="auto"/>
            <w:bottom w:val="none" w:sz="0" w:space="0" w:color="auto"/>
            <w:right w:val="none" w:sz="0" w:space="0" w:color="auto"/>
          </w:divBdr>
          <w:divsChild>
            <w:div w:id="114072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2484">
      <w:bodyDiv w:val="1"/>
      <w:marLeft w:val="0"/>
      <w:marRight w:val="0"/>
      <w:marTop w:val="0"/>
      <w:marBottom w:val="0"/>
      <w:divBdr>
        <w:top w:val="none" w:sz="0" w:space="0" w:color="auto"/>
        <w:left w:val="none" w:sz="0" w:space="0" w:color="auto"/>
        <w:bottom w:val="none" w:sz="0" w:space="0" w:color="auto"/>
        <w:right w:val="none" w:sz="0" w:space="0" w:color="auto"/>
      </w:divBdr>
    </w:div>
    <w:div w:id="1029838064">
      <w:bodyDiv w:val="1"/>
      <w:marLeft w:val="0"/>
      <w:marRight w:val="0"/>
      <w:marTop w:val="0"/>
      <w:marBottom w:val="0"/>
      <w:divBdr>
        <w:top w:val="none" w:sz="0" w:space="0" w:color="auto"/>
        <w:left w:val="none" w:sz="0" w:space="0" w:color="auto"/>
        <w:bottom w:val="none" w:sz="0" w:space="0" w:color="auto"/>
        <w:right w:val="none" w:sz="0" w:space="0" w:color="auto"/>
      </w:divBdr>
    </w:div>
    <w:div w:id="1096487253">
      <w:bodyDiv w:val="1"/>
      <w:marLeft w:val="0"/>
      <w:marRight w:val="0"/>
      <w:marTop w:val="0"/>
      <w:marBottom w:val="0"/>
      <w:divBdr>
        <w:top w:val="none" w:sz="0" w:space="0" w:color="auto"/>
        <w:left w:val="none" w:sz="0" w:space="0" w:color="auto"/>
        <w:bottom w:val="none" w:sz="0" w:space="0" w:color="auto"/>
        <w:right w:val="none" w:sz="0" w:space="0" w:color="auto"/>
      </w:divBdr>
    </w:div>
    <w:div w:id="1229532674">
      <w:bodyDiv w:val="1"/>
      <w:marLeft w:val="0"/>
      <w:marRight w:val="0"/>
      <w:marTop w:val="0"/>
      <w:marBottom w:val="0"/>
      <w:divBdr>
        <w:top w:val="none" w:sz="0" w:space="0" w:color="auto"/>
        <w:left w:val="none" w:sz="0" w:space="0" w:color="auto"/>
        <w:bottom w:val="none" w:sz="0" w:space="0" w:color="auto"/>
        <w:right w:val="none" w:sz="0" w:space="0" w:color="auto"/>
      </w:divBdr>
    </w:div>
    <w:div w:id="1258171987">
      <w:bodyDiv w:val="1"/>
      <w:marLeft w:val="0"/>
      <w:marRight w:val="0"/>
      <w:marTop w:val="0"/>
      <w:marBottom w:val="0"/>
      <w:divBdr>
        <w:top w:val="none" w:sz="0" w:space="0" w:color="auto"/>
        <w:left w:val="none" w:sz="0" w:space="0" w:color="auto"/>
        <w:bottom w:val="none" w:sz="0" w:space="0" w:color="auto"/>
        <w:right w:val="none" w:sz="0" w:space="0" w:color="auto"/>
      </w:divBdr>
    </w:div>
    <w:div w:id="1276912463">
      <w:bodyDiv w:val="1"/>
      <w:marLeft w:val="0"/>
      <w:marRight w:val="0"/>
      <w:marTop w:val="0"/>
      <w:marBottom w:val="0"/>
      <w:divBdr>
        <w:top w:val="none" w:sz="0" w:space="0" w:color="auto"/>
        <w:left w:val="none" w:sz="0" w:space="0" w:color="auto"/>
        <w:bottom w:val="none" w:sz="0" w:space="0" w:color="auto"/>
        <w:right w:val="none" w:sz="0" w:space="0" w:color="auto"/>
      </w:divBdr>
    </w:div>
    <w:div w:id="1316370442">
      <w:bodyDiv w:val="1"/>
      <w:marLeft w:val="0"/>
      <w:marRight w:val="0"/>
      <w:marTop w:val="0"/>
      <w:marBottom w:val="0"/>
      <w:divBdr>
        <w:top w:val="none" w:sz="0" w:space="0" w:color="auto"/>
        <w:left w:val="none" w:sz="0" w:space="0" w:color="auto"/>
        <w:bottom w:val="none" w:sz="0" w:space="0" w:color="auto"/>
        <w:right w:val="none" w:sz="0" w:space="0" w:color="auto"/>
      </w:divBdr>
      <w:divsChild>
        <w:div w:id="1977488257">
          <w:marLeft w:val="0"/>
          <w:marRight w:val="0"/>
          <w:marTop w:val="0"/>
          <w:marBottom w:val="0"/>
          <w:divBdr>
            <w:top w:val="none" w:sz="0" w:space="0" w:color="auto"/>
            <w:left w:val="none" w:sz="0" w:space="0" w:color="auto"/>
            <w:bottom w:val="none" w:sz="0" w:space="0" w:color="auto"/>
            <w:right w:val="none" w:sz="0" w:space="0" w:color="auto"/>
          </w:divBdr>
          <w:divsChild>
            <w:div w:id="18773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174245">
      <w:bodyDiv w:val="1"/>
      <w:marLeft w:val="0"/>
      <w:marRight w:val="0"/>
      <w:marTop w:val="0"/>
      <w:marBottom w:val="0"/>
      <w:divBdr>
        <w:top w:val="none" w:sz="0" w:space="0" w:color="auto"/>
        <w:left w:val="none" w:sz="0" w:space="0" w:color="auto"/>
        <w:bottom w:val="none" w:sz="0" w:space="0" w:color="auto"/>
        <w:right w:val="none" w:sz="0" w:space="0" w:color="auto"/>
      </w:divBdr>
    </w:div>
    <w:div w:id="1452243084">
      <w:bodyDiv w:val="1"/>
      <w:marLeft w:val="0"/>
      <w:marRight w:val="0"/>
      <w:marTop w:val="0"/>
      <w:marBottom w:val="0"/>
      <w:divBdr>
        <w:top w:val="none" w:sz="0" w:space="0" w:color="auto"/>
        <w:left w:val="none" w:sz="0" w:space="0" w:color="auto"/>
        <w:bottom w:val="none" w:sz="0" w:space="0" w:color="auto"/>
        <w:right w:val="none" w:sz="0" w:space="0" w:color="auto"/>
      </w:divBdr>
    </w:div>
    <w:div w:id="1488201651">
      <w:bodyDiv w:val="1"/>
      <w:marLeft w:val="0"/>
      <w:marRight w:val="0"/>
      <w:marTop w:val="0"/>
      <w:marBottom w:val="0"/>
      <w:divBdr>
        <w:top w:val="none" w:sz="0" w:space="0" w:color="auto"/>
        <w:left w:val="none" w:sz="0" w:space="0" w:color="auto"/>
        <w:bottom w:val="none" w:sz="0" w:space="0" w:color="auto"/>
        <w:right w:val="none" w:sz="0" w:space="0" w:color="auto"/>
      </w:divBdr>
    </w:div>
    <w:div w:id="1492941067">
      <w:bodyDiv w:val="1"/>
      <w:marLeft w:val="0"/>
      <w:marRight w:val="0"/>
      <w:marTop w:val="0"/>
      <w:marBottom w:val="0"/>
      <w:divBdr>
        <w:top w:val="none" w:sz="0" w:space="0" w:color="auto"/>
        <w:left w:val="none" w:sz="0" w:space="0" w:color="auto"/>
        <w:bottom w:val="none" w:sz="0" w:space="0" w:color="auto"/>
        <w:right w:val="none" w:sz="0" w:space="0" w:color="auto"/>
      </w:divBdr>
    </w:div>
    <w:div w:id="1557550340">
      <w:bodyDiv w:val="1"/>
      <w:marLeft w:val="0"/>
      <w:marRight w:val="0"/>
      <w:marTop w:val="0"/>
      <w:marBottom w:val="0"/>
      <w:divBdr>
        <w:top w:val="none" w:sz="0" w:space="0" w:color="auto"/>
        <w:left w:val="none" w:sz="0" w:space="0" w:color="auto"/>
        <w:bottom w:val="none" w:sz="0" w:space="0" w:color="auto"/>
        <w:right w:val="none" w:sz="0" w:space="0" w:color="auto"/>
      </w:divBdr>
    </w:div>
    <w:div w:id="1574194447">
      <w:bodyDiv w:val="1"/>
      <w:marLeft w:val="0"/>
      <w:marRight w:val="0"/>
      <w:marTop w:val="0"/>
      <w:marBottom w:val="0"/>
      <w:divBdr>
        <w:top w:val="none" w:sz="0" w:space="0" w:color="auto"/>
        <w:left w:val="none" w:sz="0" w:space="0" w:color="auto"/>
        <w:bottom w:val="none" w:sz="0" w:space="0" w:color="auto"/>
        <w:right w:val="none" w:sz="0" w:space="0" w:color="auto"/>
      </w:divBdr>
    </w:div>
    <w:div w:id="1650597331">
      <w:bodyDiv w:val="1"/>
      <w:marLeft w:val="0"/>
      <w:marRight w:val="0"/>
      <w:marTop w:val="0"/>
      <w:marBottom w:val="0"/>
      <w:divBdr>
        <w:top w:val="none" w:sz="0" w:space="0" w:color="auto"/>
        <w:left w:val="none" w:sz="0" w:space="0" w:color="auto"/>
        <w:bottom w:val="none" w:sz="0" w:space="0" w:color="auto"/>
        <w:right w:val="none" w:sz="0" w:space="0" w:color="auto"/>
      </w:divBdr>
    </w:div>
    <w:div w:id="1655909208">
      <w:bodyDiv w:val="1"/>
      <w:marLeft w:val="0"/>
      <w:marRight w:val="0"/>
      <w:marTop w:val="0"/>
      <w:marBottom w:val="0"/>
      <w:divBdr>
        <w:top w:val="none" w:sz="0" w:space="0" w:color="auto"/>
        <w:left w:val="none" w:sz="0" w:space="0" w:color="auto"/>
        <w:bottom w:val="none" w:sz="0" w:space="0" w:color="auto"/>
        <w:right w:val="none" w:sz="0" w:space="0" w:color="auto"/>
      </w:divBdr>
    </w:div>
    <w:div w:id="1673026218">
      <w:bodyDiv w:val="1"/>
      <w:marLeft w:val="0"/>
      <w:marRight w:val="0"/>
      <w:marTop w:val="0"/>
      <w:marBottom w:val="0"/>
      <w:divBdr>
        <w:top w:val="none" w:sz="0" w:space="0" w:color="auto"/>
        <w:left w:val="none" w:sz="0" w:space="0" w:color="auto"/>
        <w:bottom w:val="none" w:sz="0" w:space="0" w:color="auto"/>
        <w:right w:val="none" w:sz="0" w:space="0" w:color="auto"/>
      </w:divBdr>
      <w:divsChild>
        <w:div w:id="958100395">
          <w:marLeft w:val="0"/>
          <w:marRight w:val="0"/>
          <w:marTop w:val="0"/>
          <w:marBottom w:val="0"/>
          <w:divBdr>
            <w:top w:val="none" w:sz="0" w:space="0" w:color="auto"/>
            <w:left w:val="none" w:sz="0" w:space="0" w:color="auto"/>
            <w:bottom w:val="none" w:sz="0" w:space="0" w:color="auto"/>
            <w:right w:val="none" w:sz="0" w:space="0" w:color="auto"/>
          </w:divBdr>
          <w:divsChild>
            <w:div w:id="211034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4341">
      <w:bodyDiv w:val="1"/>
      <w:marLeft w:val="0"/>
      <w:marRight w:val="0"/>
      <w:marTop w:val="0"/>
      <w:marBottom w:val="0"/>
      <w:divBdr>
        <w:top w:val="none" w:sz="0" w:space="0" w:color="auto"/>
        <w:left w:val="none" w:sz="0" w:space="0" w:color="auto"/>
        <w:bottom w:val="none" w:sz="0" w:space="0" w:color="auto"/>
        <w:right w:val="none" w:sz="0" w:space="0" w:color="auto"/>
      </w:divBdr>
      <w:divsChild>
        <w:div w:id="1199009605">
          <w:marLeft w:val="0"/>
          <w:marRight w:val="0"/>
          <w:marTop w:val="0"/>
          <w:marBottom w:val="0"/>
          <w:divBdr>
            <w:top w:val="none" w:sz="0" w:space="0" w:color="auto"/>
            <w:left w:val="none" w:sz="0" w:space="0" w:color="auto"/>
            <w:bottom w:val="none" w:sz="0" w:space="0" w:color="auto"/>
            <w:right w:val="none" w:sz="0" w:space="0" w:color="auto"/>
          </w:divBdr>
        </w:div>
        <w:div w:id="1514761740">
          <w:marLeft w:val="0"/>
          <w:marRight w:val="0"/>
          <w:marTop w:val="0"/>
          <w:marBottom w:val="0"/>
          <w:divBdr>
            <w:top w:val="none" w:sz="0" w:space="0" w:color="auto"/>
            <w:left w:val="none" w:sz="0" w:space="0" w:color="auto"/>
            <w:bottom w:val="none" w:sz="0" w:space="0" w:color="auto"/>
            <w:right w:val="none" w:sz="0" w:space="0" w:color="auto"/>
          </w:divBdr>
        </w:div>
        <w:div w:id="1737436572">
          <w:marLeft w:val="0"/>
          <w:marRight w:val="0"/>
          <w:marTop w:val="0"/>
          <w:marBottom w:val="0"/>
          <w:divBdr>
            <w:top w:val="none" w:sz="0" w:space="0" w:color="auto"/>
            <w:left w:val="none" w:sz="0" w:space="0" w:color="auto"/>
            <w:bottom w:val="none" w:sz="0" w:space="0" w:color="auto"/>
            <w:right w:val="none" w:sz="0" w:space="0" w:color="auto"/>
          </w:divBdr>
        </w:div>
      </w:divsChild>
    </w:div>
    <w:div w:id="1752002918">
      <w:bodyDiv w:val="1"/>
      <w:marLeft w:val="0"/>
      <w:marRight w:val="0"/>
      <w:marTop w:val="0"/>
      <w:marBottom w:val="0"/>
      <w:divBdr>
        <w:top w:val="none" w:sz="0" w:space="0" w:color="auto"/>
        <w:left w:val="none" w:sz="0" w:space="0" w:color="auto"/>
        <w:bottom w:val="none" w:sz="0" w:space="0" w:color="auto"/>
        <w:right w:val="none" w:sz="0" w:space="0" w:color="auto"/>
      </w:divBdr>
    </w:div>
    <w:div w:id="1786997916">
      <w:bodyDiv w:val="1"/>
      <w:marLeft w:val="0"/>
      <w:marRight w:val="0"/>
      <w:marTop w:val="0"/>
      <w:marBottom w:val="0"/>
      <w:divBdr>
        <w:top w:val="none" w:sz="0" w:space="0" w:color="auto"/>
        <w:left w:val="none" w:sz="0" w:space="0" w:color="auto"/>
        <w:bottom w:val="none" w:sz="0" w:space="0" w:color="auto"/>
        <w:right w:val="none" w:sz="0" w:space="0" w:color="auto"/>
      </w:divBdr>
    </w:div>
    <w:div w:id="1990279669">
      <w:bodyDiv w:val="1"/>
      <w:marLeft w:val="0"/>
      <w:marRight w:val="0"/>
      <w:marTop w:val="0"/>
      <w:marBottom w:val="0"/>
      <w:divBdr>
        <w:top w:val="none" w:sz="0" w:space="0" w:color="auto"/>
        <w:left w:val="none" w:sz="0" w:space="0" w:color="auto"/>
        <w:bottom w:val="none" w:sz="0" w:space="0" w:color="auto"/>
        <w:right w:val="none" w:sz="0" w:space="0" w:color="auto"/>
      </w:divBdr>
    </w:div>
    <w:div w:id="2081246117">
      <w:bodyDiv w:val="1"/>
      <w:marLeft w:val="0"/>
      <w:marRight w:val="0"/>
      <w:marTop w:val="0"/>
      <w:marBottom w:val="0"/>
      <w:divBdr>
        <w:top w:val="none" w:sz="0" w:space="0" w:color="auto"/>
        <w:left w:val="none" w:sz="0" w:space="0" w:color="auto"/>
        <w:bottom w:val="none" w:sz="0" w:space="0" w:color="auto"/>
        <w:right w:val="none" w:sz="0" w:space="0" w:color="auto"/>
      </w:divBdr>
      <w:divsChild>
        <w:div w:id="1246498924">
          <w:marLeft w:val="0"/>
          <w:marRight w:val="0"/>
          <w:marTop w:val="0"/>
          <w:marBottom w:val="0"/>
          <w:divBdr>
            <w:top w:val="none" w:sz="0" w:space="0" w:color="auto"/>
            <w:left w:val="none" w:sz="0" w:space="0" w:color="auto"/>
            <w:bottom w:val="none" w:sz="0" w:space="0" w:color="auto"/>
            <w:right w:val="none" w:sz="0" w:space="0" w:color="auto"/>
          </w:divBdr>
          <w:divsChild>
            <w:div w:id="59108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4541-European-Data-Union-Strategy_en" TargetMode="External"/><Relationship Id="rId2" Type="http://schemas.openxmlformats.org/officeDocument/2006/relationships/hyperlink" Target="https://ec.europa.eu/info/law/better-regulation/have-your-say/initiatives/14578-The-EU-Cybersecurity-Act_en" TargetMode="External"/><Relationship Id="rId1" Type="http://schemas.openxmlformats.org/officeDocument/2006/relationships/hyperlink" Target="https://ec.europa.eu/info/law/better-regulation/have-your-say/initiatives/14625-Apply-AI-Strategy-strengthening-the-AI-continent_en" TargetMode="External"/><Relationship Id="rId4" Type="http://schemas.openxmlformats.org/officeDocument/2006/relationships/hyperlink" Target="https://ec.europa.eu/info/law/better-regulation/have-your-say/initiatives/14855-Simplification-digital-package-and-omnibus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AFD1D29FD09D4186F670B11E2F31DB" ma:contentTypeVersion="9" ma:contentTypeDescription="Create a new document." ma:contentTypeScope="" ma:versionID="9492e64f1d8786b4c5a6bc9cf2e9dcfc">
  <xsd:schema xmlns:xsd="http://www.w3.org/2001/XMLSchema" xmlns:xs="http://www.w3.org/2001/XMLSchema" xmlns:p="http://schemas.microsoft.com/office/2006/metadata/properties" xmlns:ns2="d6e8c2b5-0804-41b1-bc9c-74c45783f9ff" targetNamespace="http://schemas.microsoft.com/office/2006/metadata/properties" ma:root="true" ma:fieldsID="d0f74c53c22ccacf3b29482b60a48f21" ns2:_="">
    <xsd:import namespace="d6e8c2b5-0804-41b1-bc9c-74c45783f9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8c2b5-0804-41b1-bc9c-74c45783f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e8c2b5-0804-41b1-bc9c-74c45783f9f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1882EC-E1D6-4ACD-A63D-47815255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8c2b5-0804-41b1-bc9c-74c45783f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506D3-0E82-4AE2-A898-103096F4625F}">
  <ds:schemaRefs>
    <ds:schemaRef ds:uri="http://schemas.microsoft.com/office/2006/metadata/properties"/>
    <ds:schemaRef ds:uri="http://schemas.microsoft.com/office/infopath/2007/PartnerControls"/>
    <ds:schemaRef ds:uri="d6e8c2b5-0804-41b1-bc9c-74c45783f9ff"/>
  </ds:schemaRefs>
</ds:datastoreItem>
</file>

<file path=customXml/itemProps3.xml><?xml version="1.0" encoding="utf-8"?>
<ds:datastoreItem xmlns:ds="http://schemas.openxmlformats.org/officeDocument/2006/customXml" ds:itemID="{6C98B84B-0A1B-42FA-8AC6-296B460114AB}">
  <ds:schemaRefs>
    <ds:schemaRef ds:uri="http://schemas.openxmlformats.org/officeDocument/2006/bibliography"/>
  </ds:schemaRefs>
</ds:datastoreItem>
</file>

<file path=customXml/itemProps4.xml><?xml version="1.0" encoding="utf-8"?>
<ds:datastoreItem xmlns:ds="http://schemas.openxmlformats.org/officeDocument/2006/customXml" ds:itemID="{561E126D-3355-4F3B-8442-6D048A533D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Template>
  <TotalTime>0</TotalTime>
  <Pages>5</Pages>
  <Words>18137</Words>
  <Characters>112633</Characters>
  <Application>Microsoft Office Word</Application>
  <DocSecurity>0</DocSecurity>
  <Lines>5631</Lines>
  <Paragraphs>3632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2025-11-17T18:18:00Z</dcterms:created>
  <dcterms:modified xsi:type="dcterms:W3CDTF">2025-11-17T19:31:00Z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9.2, Build 20250828</vt:lpwstr>
  </property>
  <property fmtid="{D5CDD505-2E9C-101B-9397-08002B2CF9AE}" pid="3" name="MSIP_Label_6bd9ddd1-4d20-43f6-abfa-fc3c07406f94_Enabled">
    <vt:lpwstr>true</vt:lpwstr>
  </property>
  <property fmtid="{D5CDD505-2E9C-101B-9397-08002B2CF9AE}" pid="4" name="MSIP_Label_6bd9ddd1-4d20-43f6-abfa-fc3c07406f94_SetDate">
    <vt:lpwstr>2025-11-14T10:49:22Z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1d8c99d9-c830-4b2f-99ab-d6c45f17c5a9</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Category">
    <vt:lpwstr>COM/PL/ORG</vt:lpwstr>
  </property>
  <property fmtid="{D5CDD505-2E9C-101B-9397-08002B2CF9AE}" pid="12" name="DQCStatus">
    <vt:lpwstr>Yellow (DQC version 03)</vt:lpwstr>
  </property>
  <property fmtid="{D5CDD505-2E9C-101B-9397-08002B2CF9AE}" pid="13" name="Level of sensitivity">
    <vt:lpwstr>Standard treatment</vt:lpwstr>
  </property>
  <property fmtid="{D5CDD505-2E9C-101B-9397-08002B2CF9AE}" pid="14" name="Part">
    <vt:lpwstr>1</vt:lpwstr>
  </property>
  <property fmtid="{D5CDD505-2E9C-101B-9397-08002B2CF9AE}" pid="15" name="Total parts">
    <vt:lpwstr>1</vt:lpwstr>
  </property>
  <property fmtid="{D5CDD505-2E9C-101B-9397-08002B2CF9AE}" pid="16" name="LWTemplateID">
    <vt:lpwstr>SJ-023</vt:lpwstr>
  </property>
  <property fmtid="{D5CDD505-2E9C-101B-9397-08002B2CF9AE}" pid="17" name="ContentTypeId">
    <vt:lpwstr>0x01010028AFD1D29FD09D4186F670B11E2F31DB</vt:lpwstr>
  </property>
  <property fmtid="{D5CDD505-2E9C-101B-9397-08002B2CF9AE}" pid="18" name="MediaServiceImageTags">
    <vt:lpwstr/>
  </property>
</Properties>
</file>